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3417D2"/>
        </w:tc>
        <w:tc>
          <w:tcPr>
            <w:tcW w:w="4337" w:type="dxa"/>
            <w:tcBorders>
              <w:bottom w:val="single" w:sz="4" w:space="0" w:color="auto"/>
            </w:tcBorders>
            <w:tcMar>
              <w:left w:w="0" w:type="dxa"/>
              <w:right w:w="0" w:type="dxa"/>
            </w:tcMar>
          </w:tcPr>
          <w:p w:rsidR="00EC4E49" w:rsidRPr="008B2CC1" w:rsidRDefault="005725F2" w:rsidP="003417D2">
            <w:r>
              <w:rPr>
                <w:noProof/>
                <w:lang w:eastAsia="en-US"/>
              </w:rPr>
              <w:drawing>
                <wp:inline distT="0" distB="0" distL="0" distR="0" wp14:anchorId="00A42E2D" wp14:editId="358C340A">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3417D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5179AE" w:rsidP="003417D2">
            <w:pPr>
              <w:jc w:val="right"/>
              <w:rPr>
                <w:rFonts w:ascii="Arial Black" w:hAnsi="Arial Black"/>
                <w:caps/>
                <w:sz w:val="15"/>
              </w:rPr>
            </w:pPr>
            <w:r>
              <w:rPr>
                <w:rFonts w:ascii="Arial Black" w:hAnsi="Arial Black"/>
                <w:caps/>
                <w:sz w:val="15"/>
              </w:rPr>
              <w:t>wo/</w:t>
            </w:r>
            <w:r w:rsidR="00A77461">
              <w:rPr>
                <w:rFonts w:ascii="Arial Black" w:hAnsi="Arial Black"/>
                <w:caps/>
                <w:sz w:val="15"/>
              </w:rPr>
              <w:t>pbc/24/</w:t>
            </w:r>
            <w:bookmarkStart w:id="0" w:name="Code"/>
            <w:bookmarkEnd w:id="0"/>
            <w:r w:rsidR="00775804">
              <w:rPr>
                <w:rFonts w:ascii="Arial Black" w:hAnsi="Arial Black"/>
                <w:caps/>
                <w:sz w:val="15"/>
              </w:rPr>
              <w:t>7</w:t>
            </w:r>
            <w:r w:rsidR="00A42DAF">
              <w:rPr>
                <w:rFonts w:ascii="Arial Black" w:hAnsi="Arial Black"/>
                <w:caps/>
                <w:sz w:val="15"/>
              </w:rPr>
              <w:t xml:space="preserve"> </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3417D2">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1" w:name="Original"/>
            <w:bookmarkEnd w:id="1"/>
            <w:r w:rsidR="00775804">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8F10BC">
            <w:pPr>
              <w:jc w:val="right"/>
              <w:rPr>
                <w:rFonts w:ascii="Arial Black" w:hAnsi="Arial Black"/>
                <w:caps/>
                <w:sz w:val="15"/>
              </w:rPr>
            </w:pPr>
            <w:r w:rsidRPr="0090731E">
              <w:rPr>
                <w:rFonts w:ascii="Arial Black" w:hAnsi="Arial Black"/>
                <w:caps/>
                <w:sz w:val="15"/>
              </w:rPr>
              <w:t>DATE:</w:t>
            </w:r>
            <w:r w:rsidR="00A42DAF">
              <w:rPr>
                <w:rFonts w:ascii="Arial Black" w:hAnsi="Arial Black"/>
                <w:caps/>
                <w:sz w:val="15"/>
              </w:rPr>
              <w:t xml:space="preserve"> </w:t>
            </w:r>
            <w:r w:rsidRPr="0090731E">
              <w:rPr>
                <w:rFonts w:ascii="Arial Black" w:hAnsi="Arial Black"/>
                <w:caps/>
                <w:sz w:val="15"/>
              </w:rPr>
              <w:t xml:space="preserve"> </w:t>
            </w:r>
            <w:bookmarkStart w:id="2" w:name="Date"/>
            <w:bookmarkEnd w:id="2"/>
            <w:r w:rsidR="000C341D">
              <w:rPr>
                <w:rFonts w:ascii="Arial Black" w:hAnsi="Arial Black"/>
                <w:caps/>
                <w:sz w:val="15"/>
              </w:rPr>
              <w:t>July 2</w:t>
            </w:r>
            <w:r w:rsidR="008F10BC">
              <w:rPr>
                <w:rFonts w:ascii="Arial Black" w:hAnsi="Arial Black"/>
                <w:caps/>
                <w:sz w:val="15"/>
              </w:rPr>
              <w:t>7</w:t>
            </w:r>
            <w:r w:rsidR="00775804">
              <w:rPr>
                <w:rFonts w:ascii="Arial Black" w:hAnsi="Arial Black"/>
                <w:caps/>
                <w:sz w:val="15"/>
              </w:rPr>
              <w:t>, 2015</w:t>
            </w:r>
          </w:p>
        </w:tc>
      </w:tr>
    </w:tbl>
    <w:p w:rsidR="008B2CC1" w:rsidRPr="008B2CC1" w:rsidRDefault="008B2CC1" w:rsidP="003417D2"/>
    <w:p w:rsidR="008B2CC1" w:rsidRPr="008B2CC1" w:rsidRDefault="008B2CC1" w:rsidP="003417D2"/>
    <w:p w:rsidR="008B2CC1" w:rsidRPr="008B2CC1" w:rsidRDefault="008B2CC1" w:rsidP="003417D2"/>
    <w:p w:rsidR="008B2CC1" w:rsidRPr="008B2CC1" w:rsidRDefault="008B2CC1" w:rsidP="003417D2"/>
    <w:p w:rsidR="008B2CC1" w:rsidRPr="008B2CC1" w:rsidRDefault="008B2CC1" w:rsidP="003417D2"/>
    <w:p w:rsidR="008B2CC1" w:rsidRPr="003845C1" w:rsidRDefault="00A77461" w:rsidP="003417D2">
      <w:pPr>
        <w:rPr>
          <w:b/>
          <w:sz w:val="28"/>
          <w:szCs w:val="28"/>
        </w:rPr>
      </w:pPr>
      <w:r w:rsidRPr="00A77461">
        <w:rPr>
          <w:b/>
          <w:sz w:val="28"/>
          <w:szCs w:val="28"/>
        </w:rPr>
        <w:t>Program and Budget Committee</w:t>
      </w:r>
    </w:p>
    <w:p w:rsidR="003845C1" w:rsidRDefault="003845C1" w:rsidP="003417D2"/>
    <w:p w:rsidR="003845C1" w:rsidRDefault="003845C1" w:rsidP="003417D2"/>
    <w:p w:rsidR="00A77461" w:rsidRPr="00A77461" w:rsidRDefault="00A77461" w:rsidP="003417D2">
      <w:pPr>
        <w:rPr>
          <w:b/>
          <w:sz w:val="24"/>
          <w:szCs w:val="24"/>
        </w:rPr>
      </w:pPr>
      <w:r w:rsidRPr="00A77461">
        <w:rPr>
          <w:b/>
          <w:sz w:val="24"/>
          <w:szCs w:val="24"/>
        </w:rPr>
        <w:t xml:space="preserve">Twenty-Fourth </w:t>
      </w:r>
      <w:proofErr w:type="gramStart"/>
      <w:r w:rsidRPr="00A77461">
        <w:rPr>
          <w:b/>
          <w:sz w:val="24"/>
          <w:szCs w:val="24"/>
        </w:rPr>
        <w:t>Session</w:t>
      </w:r>
      <w:proofErr w:type="gramEnd"/>
    </w:p>
    <w:p w:rsidR="008B2CC1" w:rsidRPr="008B2CC1" w:rsidRDefault="00A77461" w:rsidP="003417D2">
      <w:r w:rsidRPr="00A77461">
        <w:rPr>
          <w:b/>
          <w:sz w:val="24"/>
          <w:szCs w:val="24"/>
        </w:rPr>
        <w:t>Geneva, September 14 to 18, 2015</w:t>
      </w:r>
    </w:p>
    <w:p w:rsidR="008B2CC1" w:rsidRPr="008B2CC1" w:rsidRDefault="008B2CC1" w:rsidP="003417D2"/>
    <w:p w:rsidR="008B2CC1" w:rsidRPr="008B2CC1" w:rsidRDefault="008B2CC1" w:rsidP="003417D2"/>
    <w:p w:rsidR="00775804" w:rsidRDefault="00BD4394" w:rsidP="003417D2">
      <w:pPr>
        <w:rPr>
          <w:caps/>
          <w:sz w:val="24"/>
        </w:rPr>
      </w:pPr>
      <w:bookmarkStart w:id="3" w:name="TitleOfDoc"/>
      <w:bookmarkEnd w:id="3"/>
      <w:r>
        <w:rPr>
          <w:caps/>
          <w:sz w:val="24"/>
        </w:rPr>
        <w:t xml:space="preserve">PROGRESS </w:t>
      </w:r>
      <w:r w:rsidR="00775804">
        <w:rPr>
          <w:caps/>
          <w:sz w:val="24"/>
        </w:rPr>
        <w:t>REPORT ON THE IMPLEMENTATION OF THE JOINT INSPECTION UNIT (JIU) RECOMMENDATIONS FOR THE REVIEW OF WIPO LEGISLATIVE BODIES</w:t>
      </w:r>
    </w:p>
    <w:p w:rsidR="008B2CC1" w:rsidRPr="008B2CC1" w:rsidRDefault="008B2CC1" w:rsidP="003417D2"/>
    <w:p w:rsidR="008B2CC1" w:rsidRPr="008B2CC1" w:rsidRDefault="00775804" w:rsidP="003417D2">
      <w:pPr>
        <w:rPr>
          <w:i/>
        </w:rPr>
      </w:pPr>
      <w:bookmarkStart w:id="4" w:name="Prepared"/>
      <w:bookmarkEnd w:id="4"/>
      <w:proofErr w:type="gramStart"/>
      <w:r>
        <w:rPr>
          <w:i/>
        </w:rPr>
        <w:t>prepared</w:t>
      </w:r>
      <w:proofErr w:type="gramEnd"/>
      <w:r>
        <w:rPr>
          <w:i/>
        </w:rPr>
        <w:t xml:space="preserve"> by the Secretariat</w:t>
      </w:r>
    </w:p>
    <w:p w:rsidR="00AC205C" w:rsidRDefault="00AC205C" w:rsidP="003417D2"/>
    <w:p w:rsidR="000F5E56" w:rsidRDefault="000F5E56" w:rsidP="003417D2"/>
    <w:p w:rsidR="002928D3" w:rsidRDefault="002928D3" w:rsidP="003417D2"/>
    <w:p w:rsidR="002928D3" w:rsidRDefault="002928D3" w:rsidP="003417D2"/>
    <w:p w:rsidR="00775804" w:rsidRDefault="00775804" w:rsidP="003417D2">
      <w:pPr>
        <w:pStyle w:val="ONUME"/>
      </w:pPr>
      <w:r>
        <w:t>This document provides an overview of the status of implementation of the recommendations to the WIPO legislative bodies resulting from the reviews of the Joint Inspection Unit (JIU) d</w:t>
      </w:r>
      <w:r w:rsidR="00981545">
        <w:t>uring the period of 2010 to 2014</w:t>
      </w:r>
      <w:r>
        <w:t>, and includes the recommendations addressed to the WIPO legislative bodies resulting from the Joint Inspection Unit Review of Management and Administration in WIPO</w:t>
      </w:r>
      <w:r w:rsidR="00F62D1D">
        <w:t xml:space="preserve"> (MAR)</w:t>
      </w:r>
      <w:r w:rsidR="002E166B">
        <w:t>.</w:t>
      </w:r>
    </w:p>
    <w:p w:rsidR="003B2C6B" w:rsidRDefault="003B2C6B" w:rsidP="003B2C6B">
      <w:pPr>
        <w:pStyle w:val="ONUME"/>
      </w:pPr>
      <w:r>
        <w:t>The status of recommendations vis-à-vis the previous report can now be more easily tracked as a result of the newly introduced comment boxes appearing on the tables.</w:t>
      </w:r>
    </w:p>
    <w:p w:rsidR="002B41F1" w:rsidRDefault="003021A5" w:rsidP="002B41F1">
      <w:pPr>
        <w:pStyle w:val="ONUME"/>
      </w:pPr>
      <w:r>
        <w:t xml:space="preserve">In summary, </w:t>
      </w:r>
      <w:r w:rsidR="000C341D">
        <w:t xml:space="preserve">it is noted that </w:t>
      </w:r>
      <w:r>
        <w:t>o</w:t>
      </w:r>
      <w:r w:rsidR="003C2D3C" w:rsidRPr="0052268D">
        <w:t xml:space="preserve">ver the past five years, the JIU has issued a total of </w:t>
      </w:r>
      <w:r w:rsidR="000B425E">
        <w:t>5</w:t>
      </w:r>
      <w:r w:rsidR="003C2D3C" w:rsidRPr="0052268D">
        <w:t>7 reports, notes, and management letters, with a reduction in the number of reports in the last two years.</w:t>
      </w:r>
      <w:r w:rsidR="002B41F1">
        <w:t xml:space="preserve"> </w:t>
      </w:r>
      <w:r w:rsidR="003C2D3C" w:rsidRPr="0052268D">
        <w:t xml:space="preserve"> Of the </w:t>
      </w:r>
      <w:r w:rsidR="000B425E">
        <w:t>5</w:t>
      </w:r>
      <w:r w:rsidR="003C2D3C" w:rsidRPr="0052268D">
        <w:t xml:space="preserve">7 </w:t>
      </w:r>
      <w:r w:rsidR="000B425E">
        <w:t>documents</w:t>
      </w:r>
      <w:r w:rsidR="003C2D3C" w:rsidRPr="0052268D">
        <w:t xml:space="preserve">, </w:t>
      </w:r>
      <w:r w:rsidR="000B425E">
        <w:t xml:space="preserve">47 were reports, of which </w:t>
      </w:r>
      <w:r w:rsidR="003C2D3C" w:rsidRPr="0052268D">
        <w:t>30 were applicable to WIPO.</w:t>
      </w:r>
      <w:r>
        <w:t xml:space="preserve">  </w:t>
      </w:r>
      <w:r w:rsidR="002B41F1" w:rsidRPr="00326F06">
        <w:t>WIPO has made progress over the last three years in closing JIU recommendations</w:t>
      </w:r>
      <w:r w:rsidR="002B41F1">
        <w:t>, including both those addressed to the Executive Head as well as to Legislative Bodies</w:t>
      </w:r>
      <w:r w:rsidR="002B41F1">
        <w:rPr>
          <w:rStyle w:val="FootnoteReference"/>
        </w:rPr>
        <w:footnoteReference w:id="2"/>
      </w:r>
      <w:r w:rsidR="002B41F1" w:rsidRPr="00326F06">
        <w:t>.</w:t>
      </w:r>
      <w:r w:rsidR="002B41F1">
        <w:t xml:space="preserve"> </w:t>
      </w:r>
    </w:p>
    <w:p w:rsidR="002E166B" w:rsidRPr="00326F06" w:rsidRDefault="002E166B" w:rsidP="002E166B">
      <w:pPr>
        <w:pStyle w:val="ONUME"/>
        <w:numPr>
          <w:ilvl w:val="0"/>
          <w:numId w:val="0"/>
        </w:numPr>
      </w:pPr>
    </w:p>
    <w:p w:rsidR="005004D1" w:rsidRPr="00563C44" w:rsidRDefault="005004D1" w:rsidP="00A80336">
      <w:pPr>
        <w:jc w:val="center"/>
        <w:rPr>
          <w:b/>
        </w:rPr>
      </w:pPr>
      <w:proofErr w:type="gramStart"/>
      <w:r w:rsidRPr="00563C44">
        <w:rPr>
          <w:b/>
        </w:rPr>
        <w:lastRenderedPageBreak/>
        <w:t>Chart 1.</w:t>
      </w:r>
      <w:proofErr w:type="gramEnd"/>
      <w:r w:rsidRPr="00563C44">
        <w:rPr>
          <w:b/>
        </w:rPr>
        <w:t xml:space="preserve"> JIU reports, notes and management letters</w:t>
      </w:r>
    </w:p>
    <w:p w:rsidR="005004D1" w:rsidRDefault="005004D1" w:rsidP="00A80336">
      <w:pPr>
        <w:jc w:val="center"/>
      </w:pPr>
    </w:p>
    <w:p w:rsidR="005004D1" w:rsidRDefault="00D07DF7" w:rsidP="00A80336">
      <w:pPr>
        <w:jc w:val="center"/>
      </w:pPr>
      <w:r>
        <w:rPr>
          <w:noProof/>
          <w:lang w:eastAsia="en-US"/>
        </w:rPr>
        <w:drawing>
          <wp:inline distT="0" distB="0" distL="0" distR="0" wp14:anchorId="5EB5263E" wp14:editId="6689102F">
            <wp:extent cx="3848100" cy="2276475"/>
            <wp:effectExtent l="0" t="0" r="19050" b="9525"/>
            <wp:docPr id="31"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5004D1" w:rsidRDefault="005004D1" w:rsidP="00A80336">
      <w:pPr>
        <w:jc w:val="center"/>
      </w:pPr>
    </w:p>
    <w:p w:rsidR="005004D1" w:rsidRPr="00563C44" w:rsidRDefault="005004D1" w:rsidP="00A80336">
      <w:pPr>
        <w:jc w:val="center"/>
        <w:rPr>
          <w:b/>
        </w:rPr>
      </w:pPr>
      <w:proofErr w:type="gramStart"/>
      <w:r w:rsidRPr="00563C44">
        <w:rPr>
          <w:b/>
        </w:rPr>
        <w:t>Chart 2.</w:t>
      </w:r>
      <w:proofErr w:type="gramEnd"/>
      <w:r w:rsidRPr="00563C44">
        <w:rPr>
          <w:b/>
        </w:rPr>
        <w:t xml:space="preserve"> Number</w:t>
      </w:r>
      <w:r w:rsidR="002967DD" w:rsidRPr="00563C44">
        <w:rPr>
          <w:b/>
        </w:rPr>
        <w:t xml:space="preserve"> of All JIU Recommendations – new, closed, cumulative outstanding at year end</w:t>
      </w:r>
    </w:p>
    <w:p w:rsidR="005004D1" w:rsidRDefault="005004D1" w:rsidP="00A80336">
      <w:pPr>
        <w:jc w:val="center"/>
      </w:pPr>
    </w:p>
    <w:p w:rsidR="002967DD" w:rsidRDefault="002967DD" w:rsidP="00A80336">
      <w:pPr>
        <w:jc w:val="center"/>
      </w:pPr>
      <w:r>
        <w:rPr>
          <w:noProof/>
          <w:lang w:eastAsia="en-US"/>
        </w:rPr>
        <w:drawing>
          <wp:inline distT="0" distB="0" distL="0" distR="0" wp14:anchorId="333EB7FD" wp14:editId="08252162">
            <wp:extent cx="3829050" cy="2371725"/>
            <wp:effectExtent l="0" t="0" r="19050" b="9525"/>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2967DD" w:rsidRDefault="002967DD" w:rsidP="00A80336">
      <w:pPr>
        <w:jc w:val="center"/>
      </w:pPr>
    </w:p>
    <w:p w:rsidR="005643B4" w:rsidRDefault="005643B4" w:rsidP="00A80336">
      <w:pPr>
        <w:jc w:val="center"/>
      </w:pPr>
    </w:p>
    <w:p w:rsidR="00A80336" w:rsidRDefault="00A80336" w:rsidP="00A80336">
      <w:pPr>
        <w:jc w:val="center"/>
        <w:rPr>
          <w:b/>
        </w:rPr>
      </w:pPr>
      <w:proofErr w:type="gramStart"/>
      <w:r w:rsidRPr="00563C44">
        <w:rPr>
          <w:b/>
        </w:rPr>
        <w:t>Chart 3.</w:t>
      </w:r>
      <w:proofErr w:type="gramEnd"/>
      <w:r w:rsidRPr="00563C44">
        <w:rPr>
          <w:b/>
        </w:rPr>
        <w:t xml:space="preserve"> JIU Recommendations 2010-2013 – Status as at end 2013</w:t>
      </w:r>
    </w:p>
    <w:p w:rsidR="00A80336" w:rsidRDefault="00A80336" w:rsidP="00A80336">
      <w:pPr>
        <w:jc w:val="center"/>
        <w:rPr>
          <w:b/>
        </w:rPr>
      </w:pPr>
    </w:p>
    <w:p w:rsidR="002967DD" w:rsidRDefault="00A80336" w:rsidP="00A80336">
      <w:pPr>
        <w:jc w:val="center"/>
      </w:pPr>
      <w:r>
        <w:rPr>
          <w:noProof/>
          <w:lang w:eastAsia="en-US"/>
        </w:rPr>
        <w:drawing>
          <wp:inline distT="0" distB="0" distL="0" distR="0" wp14:anchorId="137E501F" wp14:editId="6FD46C7B">
            <wp:extent cx="3857625" cy="2095500"/>
            <wp:effectExtent l="0" t="0" r="9525" b="1905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A80336" w:rsidRDefault="00A80336" w:rsidP="00A80336">
      <w:pPr>
        <w:jc w:val="center"/>
      </w:pPr>
    </w:p>
    <w:p w:rsidR="00701DB1" w:rsidRDefault="00701DB1" w:rsidP="00A80336">
      <w:pPr>
        <w:jc w:val="center"/>
        <w:rPr>
          <w:b/>
        </w:rPr>
      </w:pPr>
    </w:p>
    <w:p w:rsidR="00CB16E6" w:rsidRDefault="00CB16E6" w:rsidP="00A80336">
      <w:pPr>
        <w:jc w:val="center"/>
        <w:rPr>
          <w:b/>
        </w:rPr>
      </w:pPr>
    </w:p>
    <w:p w:rsidR="00CB16E6" w:rsidRDefault="00CB16E6" w:rsidP="00A80336">
      <w:pPr>
        <w:jc w:val="center"/>
        <w:rPr>
          <w:b/>
        </w:rPr>
      </w:pPr>
    </w:p>
    <w:p w:rsidR="002967DD" w:rsidRPr="00563C44" w:rsidRDefault="002967DD" w:rsidP="00A80336">
      <w:pPr>
        <w:jc w:val="center"/>
        <w:rPr>
          <w:b/>
        </w:rPr>
      </w:pPr>
      <w:proofErr w:type="gramStart"/>
      <w:r w:rsidRPr="00563C44">
        <w:rPr>
          <w:b/>
        </w:rPr>
        <w:t>Chart 4.</w:t>
      </w:r>
      <w:proofErr w:type="gramEnd"/>
      <w:r w:rsidRPr="00563C44">
        <w:rPr>
          <w:b/>
        </w:rPr>
        <w:t xml:space="preserve"> JIU Recommendations 2010-2014 – Status as at end 2014</w:t>
      </w:r>
    </w:p>
    <w:p w:rsidR="002967DD" w:rsidRDefault="002967DD" w:rsidP="002967DD"/>
    <w:p w:rsidR="002967DD" w:rsidRPr="00326F06" w:rsidRDefault="002967DD" w:rsidP="00A80336">
      <w:pPr>
        <w:jc w:val="center"/>
      </w:pPr>
      <w:r>
        <w:rPr>
          <w:noProof/>
          <w:lang w:eastAsia="en-US"/>
        </w:rPr>
        <w:drawing>
          <wp:inline distT="0" distB="0" distL="0" distR="0" wp14:anchorId="4352A5DE" wp14:editId="54B200CD">
            <wp:extent cx="3933825" cy="2228850"/>
            <wp:effectExtent l="0" t="0" r="9525" b="19050"/>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0C341D" w:rsidRDefault="000C341D" w:rsidP="000C341D"/>
    <w:p w:rsidR="00701DB1" w:rsidRDefault="00701DB1" w:rsidP="000C341D"/>
    <w:p w:rsidR="00701DB1" w:rsidRDefault="00701DB1" w:rsidP="000C341D"/>
    <w:p w:rsidR="002967DD" w:rsidRDefault="002967DD" w:rsidP="00A80336">
      <w:pPr>
        <w:jc w:val="center"/>
        <w:rPr>
          <w:b/>
        </w:rPr>
      </w:pPr>
      <w:proofErr w:type="gramStart"/>
      <w:r w:rsidRPr="00563C44">
        <w:rPr>
          <w:b/>
        </w:rPr>
        <w:t>Chart 5.</w:t>
      </w:r>
      <w:proofErr w:type="gramEnd"/>
      <w:r w:rsidRPr="00563C44">
        <w:rPr>
          <w:b/>
        </w:rPr>
        <w:t xml:space="preserve"> JIU Recommendations Addressed to Legislative Bodies 2010-2014</w:t>
      </w:r>
    </w:p>
    <w:p w:rsidR="00701DB1" w:rsidRDefault="00701DB1" w:rsidP="00A80336">
      <w:pPr>
        <w:jc w:val="center"/>
        <w:rPr>
          <w:b/>
        </w:rPr>
      </w:pPr>
    </w:p>
    <w:p w:rsidR="00A80336" w:rsidRPr="00563C44" w:rsidRDefault="00A80336" w:rsidP="00A80336">
      <w:pPr>
        <w:jc w:val="center"/>
        <w:rPr>
          <w:b/>
        </w:rPr>
      </w:pPr>
    </w:p>
    <w:p w:rsidR="002967DD" w:rsidRDefault="002967DD" w:rsidP="00A80336">
      <w:pPr>
        <w:jc w:val="center"/>
      </w:pPr>
      <w:r>
        <w:rPr>
          <w:noProof/>
          <w:lang w:eastAsia="en-US"/>
        </w:rPr>
        <w:drawing>
          <wp:inline distT="0" distB="0" distL="0" distR="0" wp14:anchorId="4BD5996E" wp14:editId="5C6BEC72">
            <wp:extent cx="4019550" cy="2447925"/>
            <wp:effectExtent l="0" t="0" r="19050" b="9525"/>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0946C5" w:rsidRDefault="000946C5" w:rsidP="002B41F1">
      <w:pPr>
        <w:jc w:val="center"/>
      </w:pPr>
    </w:p>
    <w:p w:rsidR="00701DB1" w:rsidRDefault="00701DB1" w:rsidP="002B41F1">
      <w:pPr>
        <w:jc w:val="center"/>
      </w:pPr>
    </w:p>
    <w:p w:rsidR="00701DB1" w:rsidRDefault="00701DB1" w:rsidP="002B41F1">
      <w:pPr>
        <w:jc w:val="center"/>
      </w:pPr>
    </w:p>
    <w:p w:rsidR="002B41F1" w:rsidRDefault="002B41F1" w:rsidP="003B2C6B">
      <w:pPr>
        <w:pStyle w:val="ONUME"/>
      </w:pPr>
      <w:r>
        <w:t>WIPO works with the JIU extensively in order to (</w:t>
      </w:r>
      <w:proofErr w:type="spellStart"/>
      <w:r>
        <w:t>i</w:t>
      </w:r>
      <w:proofErr w:type="spellEnd"/>
      <w:r>
        <w:t>) provide input into the reports produced by the JIU; (ii) review draft reports and recommendations and provide feedback and input to these as appropriate; and (iii) implement recommendations as appropriate.</w:t>
      </w:r>
    </w:p>
    <w:p w:rsidR="002967DD" w:rsidRDefault="00775804" w:rsidP="003B2C6B">
      <w:pPr>
        <w:pStyle w:val="ONUME"/>
      </w:pPr>
      <w:r>
        <w:t>The Annex to the present document contains recommendations addressed to the legislative bodies of United Nations system organizations</w:t>
      </w:r>
      <w:r w:rsidR="00F62D1D">
        <w:t xml:space="preserve">, where these recommendations are marked for action by WIPO.  The </w:t>
      </w:r>
      <w:r>
        <w:t>current status of acceptance/implementation of recommendations</w:t>
      </w:r>
      <w:r w:rsidR="00F62D1D">
        <w:t xml:space="preserve"> reflects the Secretariat’s proposals and assessments</w:t>
      </w:r>
      <w:r w:rsidR="002967DD">
        <w:t>, where thes</w:t>
      </w:r>
      <w:r w:rsidR="00F62D1D">
        <w:t>e were possible to provide, for consideration by Member States.</w:t>
      </w:r>
      <w:r>
        <w:t xml:space="preserve">  </w:t>
      </w:r>
    </w:p>
    <w:p w:rsidR="00775804" w:rsidRDefault="00775804" w:rsidP="003B2C6B">
      <w:pPr>
        <w:pStyle w:val="ONUME"/>
      </w:pPr>
      <w:r>
        <w:t>Recommendations outstanding as at the date of the current report, as well as those implemented since the last Report on the Implementation of the Joint Inspection Unit Recommendations (WO/PBC/2</w:t>
      </w:r>
      <w:r w:rsidR="00140F38">
        <w:t>2</w:t>
      </w:r>
      <w:r>
        <w:t>/</w:t>
      </w:r>
      <w:r w:rsidR="00140F38">
        <w:t>23</w:t>
      </w:r>
      <w:r>
        <w:t xml:space="preserve">) are presented </w:t>
      </w:r>
      <w:r w:rsidRPr="00305BED">
        <w:t xml:space="preserve">in </w:t>
      </w:r>
      <w:r w:rsidR="00140F38" w:rsidRPr="00305BED">
        <w:t xml:space="preserve">the </w:t>
      </w:r>
      <w:r w:rsidRPr="00305BED">
        <w:t>Annex.</w:t>
      </w:r>
      <w:r w:rsidR="003B2C6B">
        <w:t xml:space="preserve"> </w:t>
      </w:r>
      <w:r w:rsidR="002967DD">
        <w:t xml:space="preserve"> </w:t>
      </w:r>
      <w:r w:rsidR="003B2C6B" w:rsidRPr="003B2C6B">
        <w:t xml:space="preserve">It is highlighted that the attached table contains only the most recent updates to recommendations.  Those </w:t>
      </w:r>
      <w:r w:rsidR="003B2C6B" w:rsidRPr="003B2C6B">
        <w:lastRenderedPageBreak/>
        <w:t xml:space="preserve">recommendations which were reported on as “implemented” or “not relevant” in the previous report no longer appear in the updated table.  </w:t>
      </w:r>
    </w:p>
    <w:p w:rsidR="0012020B" w:rsidRPr="00305BED" w:rsidRDefault="0012020B" w:rsidP="003417D2">
      <w:pPr>
        <w:pStyle w:val="ONUME"/>
      </w:pPr>
      <w:r>
        <w:t xml:space="preserve">To facilitate assessment of progress in the consideration and/or implementation of recommendations, notes have been provided for each recommendation to highlight whether these are new, or updated, or unchanged from the previous report.  </w:t>
      </w:r>
    </w:p>
    <w:p w:rsidR="00775804" w:rsidRPr="00305BED" w:rsidRDefault="00775804" w:rsidP="003417D2">
      <w:pPr>
        <w:pStyle w:val="ONUME"/>
      </w:pPr>
      <w:r w:rsidRPr="00305BED">
        <w:t xml:space="preserve">The last report included </w:t>
      </w:r>
      <w:r w:rsidR="00901A6C" w:rsidRPr="00305BED">
        <w:t>12</w:t>
      </w:r>
      <w:r w:rsidRPr="00305BED">
        <w:t xml:space="preserve"> recommendations to WIPO’s legislative bodies which were reported on as completed or not relevant, and </w:t>
      </w:r>
      <w:r w:rsidR="0012020B">
        <w:t xml:space="preserve">these </w:t>
      </w:r>
      <w:r w:rsidRPr="00305BED">
        <w:t xml:space="preserve">therefore no longer appear in the current report.  </w:t>
      </w:r>
      <w:r w:rsidR="00305BED" w:rsidRPr="00305BED">
        <w:t>Seven</w:t>
      </w:r>
      <w:r w:rsidRPr="00305BED">
        <w:t xml:space="preserve"> new recommendations have been incorporated into the report, bringing the total number of recommendations in the annex to </w:t>
      </w:r>
      <w:r w:rsidR="00B366DC" w:rsidRPr="00B366DC">
        <w:t>20</w:t>
      </w:r>
      <w:r w:rsidRPr="00B366DC">
        <w:t>,</w:t>
      </w:r>
      <w:r w:rsidRPr="00305BED">
        <w:t xml:space="preserve"> of which </w:t>
      </w:r>
    </w:p>
    <w:p w:rsidR="00775804" w:rsidRPr="00B366DC" w:rsidRDefault="002E166B" w:rsidP="003417D2">
      <w:pPr>
        <w:pStyle w:val="ONUME"/>
        <w:numPr>
          <w:ilvl w:val="1"/>
          <w:numId w:val="5"/>
        </w:numPr>
      </w:pPr>
      <w:r>
        <w:t>Eleven</w:t>
      </w:r>
      <w:r w:rsidR="00775804" w:rsidRPr="00B366DC">
        <w:t xml:space="preserve"> have been accepted and implemented;</w:t>
      </w:r>
    </w:p>
    <w:p w:rsidR="00775804" w:rsidRPr="00B366DC" w:rsidRDefault="00B366DC" w:rsidP="003417D2">
      <w:pPr>
        <w:pStyle w:val="ONUME"/>
        <w:numPr>
          <w:ilvl w:val="1"/>
          <w:numId w:val="5"/>
        </w:numPr>
      </w:pPr>
      <w:r w:rsidRPr="00B366DC">
        <w:t xml:space="preserve">One </w:t>
      </w:r>
      <w:r w:rsidR="00775804" w:rsidRPr="00B366DC">
        <w:t>ha</w:t>
      </w:r>
      <w:r w:rsidRPr="00B366DC">
        <w:t>s</w:t>
      </w:r>
      <w:r w:rsidR="00775804" w:rsidRPr="00B366DC">
        <w:t xml:space="preserve"> been accepted and </w:t>
      </w:r>
      <w:r w:rsidRPr="00B366DC">
        <w:t>is</w:t>
      </w:r>
      <w:r w:rsidR="00775804" w:rsidRPr="00B366DC">
        <w:t xml:space="preserve"> </w:t>
      </w:r>
      <w:r w:rsidRPr="00B366DC">
        <w:t>in progress</w:t>
      </w:r>
      <w:r w:rsidR="00775804" w:rsidRPr="00B366DC">
        <w:t>;</w:t>
      </w:r>
    </w:p>
    <w:p w:rsidR="00775804" w:rsidRPr="0090524A" w:rsidRDefault="002E166B" w:rsidP="003417D2">
      <w:pPr>
        <w:pStyle w:val="ONUME"/>
        <w:numPr>
          <w:ilvl w:val="1"/>
          <w:numId w:val="5"/>
        </w:numPr>
      </w:pPr>
      <w:r>
        <w:t>Eight</w:t>
      </w:r>
      <w:r w:rsidR="00B366DC" w:rsidRPr="0090524A">
        <w:t xml:space="preserve"> </w:t>
      </w:r>
      <w:r w:rsidR="00C617A4">
        <w:t>remain</w:t>
      </w:r>
      <w:r w:rsidR="00775804" w:rsidRPr="0090524A">
        <w:t xml:space="preserve"> under consideration</w:t>
      </w:r>
      <w:r w:rsidR="0090524A" w:rsidRPr="0090524A">
        <w:t>.</w:t>
      </w:r>
    </w:p>
    <w:p w:rsidR="00043BAB" w:rsidRDefault="00775804" w:rsidP="003417D2">
      <w:pPr>
        <w:pStyle w:val="ONUME"/>
      </w:pPr>
      <w:r w:rsidRPr="00FE0614">
        <w:t>The following</w:t>
      </w:r>
      <w:r w:rsidR="003A357C">
        <w:t xml:space="preserve"> decision paragraph is proposed.</w:t>
      </w:r>
    </w:p>
    <w:p w:rsidR="001179D7" w:rsidRDefault="00C617A4" w:rsidP="003417D2">
      <w:pPr>
        <w:pStyle w:val="ONUME"/>
        <w:ind w:left="5103"/>
        <w:rPr>
          <w:i/>
        </w:rPr>
      </w:pPr>
      <w:r>
        <w:rPr>
          <w:i/>
        </w:rPr>
        <w:t>The Program and Budget Committee (PBC)</w:t>
      </w:r>
    </w:p>
    <w:p w:rsidR="00C617A4" w:rsidRDefault="001179D7" w:rsidP="001179D7">
      <w:pPr>
        <w:pStyle w:val="ONUME"/>
        <w:numPr>
          <w:ilvl w:val="0"/>
          <w:numId w:val="0"/>
        </w:numPr>
        <w:ind w:left="5534"/>
        <w:rPr>
          <w:i/>
        </w:rPr>
      </w:pPr>
      <w:r>
        <w:rPr>
          <w:i/>
        </w:rPr>
        <w:t>(</w:t>
      </w:r>
      <w:proofErr w:type="spellStart"/>
      <w:proofErr w:type="gramStart"/>
      <w:r>
        <w:rPr>
          <w:i/>
        </w:rPr>
        <w:t>i</w:t>
      </w:r>
      <w:proofErr w:type="spellEnd"/>
      <w:proofErr w:type="gramEnd"/>
      <w:r>
        <w:rPr>
          <w:i/>
        </w:rPr>
        <w:t>)</w:t>
      </w:r>
      <w:r w:rsidR="00C617A4">
        <w:rPr>
          <w:i/>
        </w:rPr>
        <w:t xml:space="preserve"> took note of the </w:t>
      </w:r>
      <w:r>
        <w:rPr>
          <w:i/>
        </w:rPr>
        <w:t>present report;</w:t>
      </w:r>
    </w:p>
    <w:p w:rsidR="00C617A4" w:rsidRDefault="00C617A4" w:rsidP="00C617A4">
      <w:pPr>
        <w:pStyle w:val="ONUME"/>
        <w:numPr>
          <w:ilvl w:val="0"/>
          <w:numId w:val="0"/>
        </w:numPr>
        <w:ind w:left="5534"/>
        <w:rPr>
          <w:i/>
        </w:rPr>
      </w:pPr>
      <w:r>
        <w:rPr>
          <w:i/>
        </w:rPr>
        <w:t>(</w:t>
      </w:r>
      <w:r w:rsidR="001179D7">
        <w:rPr>
          <w:i/>
        </w:rPr>
        <w:t>i</w:t>
      </w:r>
      <w:r>
        <w:rPr>
          <w:i/>
        </w:rPr>
        <w:t>i)</w:t>
      </w:r>
      <w:r w:rsidR="006777F2">
        <w:rPr>
          <w:i/>
        </w:rPr>
        <w:t xml:space="preserve"> </w:t>
      </w:r>
      <w:r>
        <w:rPr>
          <w:i/>
        </w:rPr>
        <w:t>welcomed</w:t>
      </w:r>
      <w:r w:rsidR="001179D7">
        <w:rPr>
          <w:i/>
        </w:rPr>
        <w:t xml:space="preserve"> and endorsed</w:t>
      </w:r>
      <w:r>
        <w:rPr>
          <w:i/>
        </w:rPr>
        <w:t xml:space="preserve"> the implementation of recommendations under </w:t>
      </w:r>
      <w:r w:rsidR="006777F2">
        <w:rPr>
          <w:i/>
        </w:rPr>
        <w:t>JIU/REP/2014/8 (Recommendation 2); JIU/REP/2014/6 (Recommendation 3 and 4); JIU/REP/2014/3 (Recommendation 2); JIU/REP/2014/1 (Recommendation 1 and 2); JIU/REP/2012/10 (Recommendation 8</w:t>
      </w:r>
      <w:r w:rsidR="001179D7">
        <w:rPr>
          <w:i/>
        </w:rPr>
        <w:t>); JIU/REP/2011/4 (Recommendation 12); JIU/REP/2011/1 (Recommendation 2); JIU/REP/2010/3 (Recommendation 6</w:t>
      </w:r>
      <w:r w:rsidR="002E166B">
        <w:rPr>
          <w:i/>
        </w:rPr>
        <w:t xml:space="preserve"> and 8</w:t>
      </w:r>
      <w:r w:rsidR="001179D7">
        <w:rPr>
          <w:i/>
        </w:rPr>
        <w:t>) as set out in the present report; and</w:t>
      </w:r>
    </w:p>
    <w:p w:rsidR="001179D7" w:rsidRDefault="001179D7" w:rsidP="00C617A4">
      <w:pPr>
        <w:pStyle w:val="ONUME"/>
        <w:numPr>
          <w:ilvl w:val="0"/>
          <w:numId w:val="0"/>
        </w:numPr>
        <w:ind w:left="5534"/>
        <w:rPr>
          <w:i/>
        </w:rPr>
      </w:pPr>
      <w:r>
        <w:rPr>
          <w:i/>
        </w:rPr>
        <w:t xml:space="preserve">(iii) </w:t>
      </w:r>
      <w:proofErr w:type="gramStart"/>
      <w:r>
        <w:rPr>
          <w:i/>
        </w:rPr>
        <w:t>noted</w:t>
      </w:r>
      <w:proofErr w:type="gramEnd"/>
      <w:r>
        <w:rPr>
          <w:i/>
        </w:rPr>
        <w:t xml:space="preserve"> the </w:t>
      </w:r>
      <w:r w:rsidR="002E166B">
        <w:rPr>
          <w:i/>
        </w:rPr>
        <w:t xml:space="preserve">open </w:t>
      </w:r>
      <w:r>
        <w:rPr>
          <w:i/>
        </w:rPr>
        <w:t>recommendations made by the Joint Inspection Unit (JIU) for Member States’ consideration in respect of which the Secretariat will provide</w:t>
      </w:r>
      <w:r w:rsidR="003C2D3C">
        <w:rPr>
          <w:i/>
        </w:rPr>
        <w:t xml:space="preserve"> updates as appropriate at the 25</w:t>
      </w:r>
      <w:r w:rsidR="003C2D3C" w:rsidRPr="003C2D3C">
        <w:rPr>
          <w:i/>
          <w:vertAlign w:val="superscript"/>
        </w:rPr>
        <w:t>th</w:t>
      </w:r>
      <w:r w:rsidR="003C2D3C">
        <w:rPr>
          <w:i/>
        </w:rPr>
        <w:t xml:space="preserve"> session of the PBC.</w:t>
      </w:r>
    </w:p>
    <w:p w:rsidR="00775804" w:rsidRDefault="00775804" w:rsidP="003417D2">
      <w:pPr>
        <w:keepNext/>
        <w:keepLines/>
        <w:ind w:left="5103"/>
        <w:rPr>
          <w:i/>
        </w:rPr>
      </w:pPr>
    </w:p>
    <w:p w:rsidR="00775804" w:rsidRDefault="00775804" w:rsidP="003417D2">
      <w:pPr>
        <w:keepNext/>
        <w:keepLines/>
        <w:ind w:left="5103"/>
        <w:rPr>
          <w:i/>
        </w:rPr>
      </w:pPr>
    </w:p>
    <w:p w:rsidR="00775804" w:rsidRDefault="00775804" w:rsidP="003417D2">
      <w:pPr>
        <w:keepNext/>
        <w:keepLines/>
        <w:ind w:left="5103"/>
        <w:rPr>
          <w:i/>
        </w:rPr>
      </w:pPr>
    </w:p>
    <w:p w:rsidR="009E34A5" w:rsidRDefault="00775804" w:rsidP="003417D2">
      <w:pPr>
        <w:pStyle w:val="Endofdocument-Annex"/>
        <w:sectPr w:rsidR="009E34A5" w:rsidSect="003417D2">
          <w:headerReference w:type="default" r:id="rId15"/>
          <w:endnotePr>
            <w:numFmt w:val="decimal"/>
          </w:endnotePr>
          <w:pgSz w:w="11907" w:h="16840" w:code="9"/>
          <w:pgMar w:top="567" w:right="1134" w:bottom="1418" w:left="1418" w:header="567" w:footer="1021" w:gutter="0"/>
          <w:pgNumType w:start="1"/>
          <w:cols w:space="720"/>
          <w:titlePg/>
          <w:docGrid w:linePitch="299"/>
        </w:sectPr>
      </w:pPr>
      <w:r w:rsidRPr="00981E2D">
        <w:t>[Annex</w:t>
      </w:r>
      <w:r>
        <w:t xml:space="preserve"> follows]</w:t>
      </w:r>
    </w:p>
    <w:p w:rsidR="00B731C5" w:rsidRPr="00BB37A1" w:rsidRDefault="00B731C5" w:rsidP="003417D2">
      <w:pPr>
        <w:rPr>
          <w:b/>
        </w:rPr>
      </w:pPr>
      <w:r w:rsidRPr="00BB37A1">
        <w:rPr>
          <w:b/>
        </w:rPr>
        <w:lastRenderedPageBreak/>
        <w:t>JIU RECOMMENDATIONS ADDRESSED TO THE WIPO LEGISLATIVE BODIES</w:t>
      </w:r>
    </w:p>
    <w:p w:rsidR="00F240D9" w:rsidRPr="00BB37A1" w:rsidRDefault="00F240D9" w:rsidP="003417D2">
      <w:pPr>
        <w:rPr>
          <w:b/>
        </w:rPr>
      </w:pPr>
    </w:p>
    <w:p w:rsidR="00BB37A1" w:rsidRDefault="00BB37A1" w:rsidP="003417D2"/>
    <w:p w:rsidR="00F240D9" w:rsidRPr="00BB37A1" w:rsidRDefault="00BB37A1" w:rsidP="003417D2">
      <w:r>
        <w:t>I.</w:t>
      </w:r>
      <w:r>
        <w:tab/>
      </w:r>
      <w:r w:rsidRPr="00BB37A1">
        <w:t>RECOMMENDATIONS FROM JIU REVIEWS HELD IN 2014</w:t>
      </w:r>
    </w:p>
    <w:p w:rsidR="00B731C5" w:rsidRDefault="00B731C5" w:rsidP="003417D2">
      <w:pPr>
        <w:rPr>
          <w:b/>
        </w:rPr>
      </w:pPr>
    </w:p>
    <w:p w:rsidR="004A115E" w:rsidRDefault="004A115E" w:rsidP="003417D2">
      <w:pPr>
        <w:rPr>
          <w:b/>
        </w:rPr>
      </w:pPr>
    </w:p>
    <w:p w:rsidR="00810478" w:rsidRPr="00BB37A1" w:rsidRDefault="00810478" w:rsidP="006803B7">
      <w:pPr>
        <w:pStyle w:val="ListParagraph"/>
        <w:numPr>
          <w:ilvl w:val="0"/>
          <w:numId w:val="9"/>
        </w:numPr>
      </w:pPr>
      <w:r w:rsidRPr="00BB37A1">
        <w:t>JIU/REP/2014/9 “Contract Management and Administration in the United Nations system”</w:t>
      </w:r>
    </w:p>
    <w:p w:rsidR="009247F4" w:rsidRPr="00BB37A1" w:rsidRDefault="009247F4" w:rsidP="009247F4"/>
    <w:p w:rsidR="004A115E" w:rsidRPr="006803B7" w:rsidRDefault="006803B7" w:rsidP="006803B7">
      <w:r w:rsidRPr="006803B7">
        <w:t>This</w:t>
      </w:r>
      <w:r>
        <w:t xml:space="preserve"> </w:t>
      </w:r>
      <w:r w:rsidR="0092398F">
        <w:t>report was issued by the JIU on March 26, 2015.  All recommendations are therefore new within the context of the progress report to Member States.</w:t>
      </w:r>
    </w:p>
    <w:p w:rsidR="009247F4" w:rsidRDefault="009247F4" w:rsidP="006803B7">
      <w:pPr>
        <w:rPr>
          <w:b/>
        </w:rPr>
      </w:pPr>
    </w:p>
    <w:p w:rsidR="00201B52" w:rsidRDefault="00201B52" w:rsidP="006803B7">
      <w:pPr>
        <w:rPr>
          <w:b/>
        </w:rPr>
      </w:pPr>
    </w:p>
    <w:tbl>
      <w:tblPr>
        <w:tblStyle w:val="TableGrid"/>
        <w:tblW w:w="9781" w:type="dxa"/>
        <w:tblInd w:w="-34" w:type="dxa"/>
        <w:tblLayout w:type="fixed"/>
        <w:tblLook w:val="04A0" w:firstRow="1" w:lastRow="0" w:firstColumn="1" w:lastColumn="0" w:noHBand="0" w:noVBand="1"/>
      </w:tblPr>
      <w:tblGrid>
        <w:gridCol w:w="2694"/>
        <w:gridCol w:w="1559"/>
        <w:gridCol w:w="1418"/>
        <w:gridCol w:w="1417"/>
        <w:gridCol w:w="2693"/>
      </w:tblGrid>
      <w:tr w:rsidR="00321A0F" w:rsidRPr="006E5611" w:rsidTr="00567E4C">
        <w:trPr>
          <w:tblHeader/>
        </w:trPr>
        <w:tc>
          <w:tcPr>
            <w:tcW w:w="2694" w:type="dxa"/>
            <w:vMerge w:val="restart"/>
            <w:shd w:val="clear" w:color="auto" w:fill="DAEEF3" w:themeFill="accent5" w:themeFillTint="33"/>
            <w:tcMar>
              <w:top w:w="85" w:type="dxa"/>
            </w:tcMar>
            <w:vAlign w:val="center"/>
          </w:tcPr>
          <w:p w:rsidR="00321A0F" w:rsidRPr="00157CCC" w:rsidRDefault="00321A0F" w:rsidP="003417D2">
            <w:pPr>
              <w:jc w:val="center"/>
              <w:rPr>
                <w:b/>
                <w:sz w:val="18"/>
                <w:szCs w:val="18"/>
              </w:rPr>
            </w:pPr>
            <w:r w:rsidRPr="006E5611">
              <w:rPr>
                <w:b/>
                <w:sz w:val="18"/>
                <w:szCs w:val="18"/>
              </w:rPr>
              <w:t>Recommendations</w:t>
            </w:r>
          </w:p>
        </w:tc>
        <w:tc>
          <w:tcPr>
            <w:tcW w:w="1559" w:type="dxa"/>
            <w:vMerge w:val="restart"/>
            <w:shd w:val="clear" w:color="auto" w:fill="DAEEF3" w:themeFill="accent5" w:themeFillTint="33"/>
            <w:tcMar>
              <w:top w:w="85" w:type="dxa"/>
            </w:tcMar>
            <w:vAlign w:val="center"/>
          </w:tcPr>
          <w:p w:rsidR="00321A0F" w:rsidRPr="00157CCC" w:rsidRDefault="00321A0F" w:rsidP="00D17DB1">
            <w:pPr>
              <w:jc w:val="center"/>
              <w:rPr>
                <w:b/>
                <w:sz w:val="18"/>
                <w:szCs w:val="18"/>
              </w:rPr>
            </w:pPr>
            <w:r w:rsidRPr="00321A0F">
              <w:rPr>
                <w:b/>
                <w:sz w:val="18"/>
                <w:szCs w:val="18"/>
              </w:rPr>
              <w:t>Responsible Officer</w:t>
            </w:r>
          </w:p>
        </w:tc>
        <w:tc>
          <w:tcPr>
            <w:tcW w:w="2835" w:type="dxa"/>
            <w:gridSpan w:val="2"/>
            <w:tcBorders>
              <w:bottom w:val="single" w:sz="4" w:space="0" w:color="auto"/>
            </w:tcBorders>
            <w:shd w:val="clear" w:color="auto" w:fill="DAEEF3" w:themeFill="accent5" w:themeFillTint="33"/>
            <w:tcMar>
              <w:top w:w="85" w:type="dxa"/>
            </w:tcMar>
            <w:vAlign w:val="center"/>
          </w:tcPr>
          <w:p w:rsidR="00321A0F" w:rsidRPr="00157CCC" w:rsidRDefault="00321A0F" w:rsidP="003417D2">
            <w:pPr>
              <w:jc w:val="center"/>
              <w:rPr>
                <w:b/>
                <w:sz w:val="18"/>
                <w:szCs w:val="18"/>
              </w:rPr>
            </w:pPr>
            <w:r w:rsidRPr="00157CCC">
              <w:rPr>
                <w:b/>
                <w:sz w:val="18"/>
                <w:szCs w:val="18"/>
              </w:rPr>
              <w:t>Acceptance Status</w:t>
            </w:r>
          </w:p>
        </w:tc>
        <w:tc>
          <w:tcPr>
            <w:tcW w:w="2693" w:type="dxa"/>
            <w:vMerge w:val="restart"/>
            <w:shd w:val="clear" w:color="auto" w:fill="DAEEF3" w:themeFill="accent5" w:themeFillTint="33"/>
            <w:tcMar>
              <w:top w:w="85" w:type="dxa"/>
            </w:tcMar>
            <w:vAlign w:val="center"/>
          </w:tcPr>
          <w:p w:rsidR="00321A0F" w:rsidRPr="006E5611" w:rsidRDefault="00321A0F" w:rsidP="003417D2">
            <w:pPr>
              <w:spacing w:after="200"/>
              <w:jc w:val="center"/>
              <w:rPr>
                <w:b/>
                <w:sz w:val="18"/>
                <w:szCs w:val="18"/>
              </w:rPr>
            </w:pPr>
            <w:r>
              <w:rPr>
                <w:b/>
                <w:sz w:val="18"/>
                <w:szCs w:val="18"/>
              </w:rPr>
              <w:t>Management/Focal Point Assessment</w:t>
            </w:r>
          </w:p>
        </w:tc>
      </w:tr>
      <w:tr w:rsidR="00567E4C" w:rsidRPr="006E5611" w:rsidTr="00567E4C">
        <w:trPr>
          <w:tblHeader/>
        </w:trPr>
        <w:tc>
          <w:tcPr>
            <w:tcW w:w="2694" w:type="dxa"/>
            <w:vMerge/>
            <w:tcMar>
              <w:top w:w="85" w:type="dxa"/>
            </w:tcMar>
          </w:tcPr>
          <w:p w:rsidR="00321A0F" w:rsidRPr="006E5611" w:rsidRDefault="00321A0F" w:rsidP="003417D2">
            <w:pPr>
              <w:rPr>
                <w:sz w:val="18"/>
                <w:szCs w:val="18"/>
              </w:rPr>
            </w:pPr>
          </w:p>
        </w:tc>
        <w:tc>
          <w:tcPr>
            <w:tcW w:w="1559" w:type="dxa"/>
            <w:vMerge/>
            <w:shd w:val="clear" w:color="auto" w:fill="DAEEF3" w:themeFill="accent5" w:themeFillTint="33"/>
            <w:tcMar>
              <w:top w:w="85" w:type="dxa"/>
            </w:tcMar>
          </w:tcPr>
          <w:p w:rsidR="00321A0F" w:rsidRPr="00321A0F" w:rsidRDefault="00321A0F" w:rsidP="003417D2">
            <w:pPr>
              <w:rPr>
                <w:b/>
                <w:sz w:val="18"/>
                <w:szCs w:val="18"/>
              </w:rPr>
            </w:pPr>
          </w:p>
        </w:tc>
        <w:tc>
          <w:tcPr>
            <w:tcW w:w="1418" w:type="dxa"/>
            <w:shd w:val="clear" w:color="auto" w:fill="DAEEF3" w:themeFill="accent5" w:themeFillTint="33"/>
            <w:tcMar>
              <w:top w:w="85" w:type="dxa"/>
            </w:tcMar>
            <w:vAlign w:val="center"/>
          </w:tcPr>
          <w:p w:rsidR="00321A0F" w:rsidRPr="00157CCC" w:rsidRDefault="00321A0F" w:rsidP="00874852">
            <w:pPr>
              <w:jc w:val="center"/>
              <w:rPr>
                <w:sz w:val="18"/>
                <w:szCs w:val="18"/>
              </w:rPr>
            </w:pPr>
            <w:r w:rsidRPr="00157CCC">
              <w:rPr>
                <w:b/>
                <w:sz w:val="16"/>
                <w:szCs w:val="18"/>
              </w:rPr>
              <w:t>Acceptance</w:t>
            </w:r>
          </w:p>
        </w:tc>
        <w:tc>
          <w:tcPr>
            <w:tcW w:w="1417" w:type="dxa"/>
            <w:shd w:val="clear" w:color="auto" w:fill="DAEEF3" w:themeFill="accent5" w:themeFillTint="33"/>
            <w:tcMar>
              <w:top w:w="85" w:type="dxa"/>
            </w:tcMar>
            <w:vAlign w:val="center"/>
          </w:tcPr>
          <w:p w:rsidR="00321A0F" w:rsidRPr="00157CCC" w:rsidRDefault="00321A0F" w:rsidP="00874852">
            <w:pPr>
              <w:jc w:val="center"/>
              <w:rPr>
                <w:sz w:val="18"/>
                <w:szCs w:val="18"/>
              </w:rPr>
            </w:pPr>
            <w:r w:rsidRPr="00157CCC">
              <w:rPr>
                <w:b/>
                <w:sz w:val="16"/>
                <w:szCs w:val="18"/>
              </w:rPr>
              <w:t>Implementation</w:t>
            </w:r>
          </w:p>
        </w:tc>
        <w:tc>
          <w:tcPr>
            <w:tcW w:w="2693" w:type="dxa"/>
            <w:vMerge/>
            <w:shd w:val="clear" w:color="auto" w:fill="DAEEF3" w:themeFill="accent5" w:themeFillTint="33"/>
            <w:tcMar>
              <w:top w:w="85" w:type="dxa"/>
            </w:tcMar>
          </w:tcPr>
          <w:p w:rsidR="00321A0F" w:rsidRPr="006E5611" w:rsidRDefault="00321A0F" w:rsidP="003417D2">
            <w:pPr>
              <w:spacing w:after="200"/>
              <w:rPr>
                <w:b/>
                <w:sz w:val="16"/>
                <w:szCs w:val="18"/>
              </w:rPr>
            </w:pPr>
          </w:p>
        </w:tc>
      </w:tr>
      <w:tr w:rsidR="00810478" w:rsidRPr="00944074" w:rsidTr="00567E4C">
        <w:tc>
          <w:tcPr>
            <w:tcW w:w="2694" w:type="dxa"/>
            <w:tcMar>
              <w:top w:w="85" w:type="dxa"/>
              <w:bottom w:w="85" w:type="dxa"/>
            </w:tcMar>
            <w:vAlign w:val="center"/>
          </w:tcPr>
          <w:p w:rsidR="00810478" w:rsidRPr="00A76376" w:rsidRDefault="005423E4" w:rsidP="00660FA5">
            <w:pPr>
              <w:pStyle w:val="Default"/>
              <w:rPr>
                <w:rFonts w:ascii="Arial" w:hAnsi="Arial" w:cs="Arial"/>
                <w:sz w:val="18"/>
                <w:szCs w:val="18"/>
              </w:rPr>
            </w:pPr>
            <w:r>
              <w:rPr>
                <w:bCs/>
                <w:noProof/>
                <w:sz w:val="18"/>
                <w:szCs w:val="18"/>
              </w:rPr>
              <w:drawing>
                <wp:anchor distT="0" distB="0" distL="114300" distR="114300" simplePos="0" relativeHeight="251680768" behindDoc="1" locked="0" layoutInCell="1" allowOverlap="1" wp14:anchorId="335AC94D" wp14:editId="3CE95A6D">
                  <wp:simplePos x="0" y="0"/>
                  <wp:positionH relativeFrom="column">
                    <wp:posOffset>-258445</wp:posOffset>
                  </wp:positionH>
                  <wp:positionV relativeFrom="paragraph">
                    <wp:posOffset>-13970</wp:posOffset>
                  </wp:positionV>
                  <wp:extent cx="228600" cy="228600"/>
                  <wp:effectExtent l="0" t="0" r="0" b="0"/>
                  <wp:wrapTight wrapText="bothSides">
                    <wp:wrapPolygon edited="0">
                      <wp:start x="3600" y="0"/>
                      <wp:lineTo x="0" y="5400"/>
                      <wp:lineTo x="0" y="14400"/>
                      <wp:lineTo x="3600" y="19800"/>
                      <wp:lineTo x="16200" y="19800"/>
                      <wp:lineTo x="19800" y="14400"/>
                      <wp:lineTo x="19800" y="5400"/>
                      <wp:lineTo x="16200" y="0"/>
                      <wp:lineTo x="3600" y="0"/>
                    </wp:wrapPolygon>
                  </wp:wrapTight>
                  <wp:docPr id="17" name="Picture 17" descr="D:\Users\doyon\AppData\Local\Microsoft\Windows\Temporary Internet Files\Content.IE5\RNX63FW3\new[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doyon\AppData\Local\Microsoft\Windows\Temporary Internet Files\Content.IE5\RNX63FW3\new[1].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14:sizeRelH relativeFrom="page">
                    <wp14:pctWidth>0</wp14:pctWidth>
                  </wp14:sizeRelH>
                  <wp14:sizeRelV relativeFrom="page">
                    <wp14:pctHeight>0</wp14:pctHeight>
                  </wp14:sizeRelV>
                </wp:anchor>
              </w:drawing>
            </w:r>
            <w:r w:rsidR="00810478" w:rsidRPr="00A76376">
              <w:rPr>
                <w:rFonts w:ascii="Arial" w:hAnsi="Arial" w:cs="Arial"/>
                <w:bCs/>
                <w:sz w:val="18"/>
                <w:szCs w:val="18"/>
              </w:rPr>
              <w:t>Rec. 1</w:t>
            </w:r>
            <w:r w:rsidR="004457EE">
              <w:rPr>
                <w:rFonts w:ascii="Arial" w:hAnsi="Arial" w:cs="Arial"/>
                <w:bCs/>
                <w:sz w:val="18"/>
                <w:szCs w:val="18"/>
              </w:rPr>
              <w:t xml:space="preserve"> </w:t>
            </w:r>
            <w:r w:rsidR="00810478" w:rsidRPr="00A76376">
              <w:rPr>
                <w:rFonts w:ascii="Arial" w:hAnsi="Arial" w:cs="Arial"/>
                <w:bCs/>
                <w:sz w:val="18"/>
                <w:szCs w:val="18"/>
              </w:rPr>
              <w:t xml:space="preserve"> The legislative bodies of the United Nations system organizations should direct the executive heads of their organizations to update and, when necessary, develop specific policies, procedures, guidance and follow-up systems to ensure effective and efficient management of post-award contract activities. </w:t>
            </w:r>
          </w:p>
        </w:tc>
        <w:tc>
          <w:tcPr>
            <w:tcW w:w="1559" w:type="dxa"/>
            <w:tcMar>
              <w:top w:w="85" w:type="dxa"/>
            </w:tcMar>
          </w:tcPr>
          <w:p w:rsidR="00810478" w:rsidRPr="00A76376" w:rsidRDefault="00810478" w:rsidP="003417D2">
            <w:pPr>
              <w:rPr>
                <w:sz w:val="18"/>
                <w:szCs w:val="18"/>
              </w:rPr>
            </w:pPr>
            <w:r w:rsidRPr="00A76376">
              <w:rPr>
                <w:sz w:val="18"/>
                <w:szCs w:val="18"/>
              </w:rPr>
              <w:t>Director, Procurement and Travel Division</w:t>
            </w:r>
            <w:r w:rsidR="00305BED">
              <w:rPr>
                <w:sz w:val="18"/>
                <w:szCs w:val="18"/>
              </w:rPr>
              <w:t xml:space="preserve"> (PTD)</w:t>
            </w:r>
          </w:p>
        </w:tc>
        <w:tc>
          <w:tcPr>
            <w:tcW w:w="1418" w:type="dxa"/>
            <w:tcMar>
              <w:top w:w="85" w:type="dxa"/>
            </w:tcMar>
          </w:tcPr>
          <w:p w:rsidR="00810478" w:rsidRPr="00A76376" w:rsidRDefault="00810478" w:rsidP="003417D2">
            <w:pPr>
              <w:rPr>
                <w:sz w:val="18"/>
                <w:szCs w:val="18"/>
              </w:rPr>
            </w:pPr>
            <w:r w:rsidRPr="00A76376">
              <w:rPr>
                <w:sz w:val="18"/>
                <w:szCs w:val="18"/>
              </w:rPr>
              <w:t>Accepted</w:t>
            </w:r>
          </w:p>
        </w:tc>
        <w:tc>
          <w:tcPr>
            <w:tcW w:w="1417" w:type="dxa"/>
            <w:tcMar>
              <w:top w:w="85" w:type="dxa"/>
            </w:tcMar>
          </w:tcPr>
          <w:p w:rsidR="00810478" w:rsidRPr="00A76376" w:rsidRDefault="00810478" w:rsidP="003417D2">
            <w:pPr>
              <w:rPr>
                <w:sz w:val="18"/>
                <w:szCs w:val="18"/>
              </w:rPr>
            </w:pPr>
            <w:r>
              <w:rPr>
                <w:sz w:val="18"/>
                <w:szCs w:val="18"/>
              </w:rPr>
              <w:t>In progress</w:t>
            </w:r>
          </w:p>
        </w:tc>
        <w:tc>
          <w:tcPr>
            <w:tcW w:w="2693" w:type="dxa"/>
            <w:tcMar>
              <w:top w:w="85" w:type="dxa"/>
            </w:tcMar>
          </w:tcPr>
          <w:p w:rsidR="00810478" w:rsidRPr="00A76376" w:rsidRDefault="00810478" w:rsidP="003417D2">
            <w:pPr>
              <w:rPr>
                <w:sz w:val="18"/>
                <w:szCs w:val="18"/>
              </w:rPr>
            </w:pPr>
            <w:r>
              <w:rPr>
                <w:sz w:val="18"/>
                <w:szCs w:val="18"/>
              </w:rPr>
              <w:t>The suppliers that are deemed “strategic” in the annual procurement plan must be met twice a year and a vendor performance review must take place on the basis of pre</w:t>
            </w:r>
            <w:r>
              <w:rPr>
                <w:sz w:val="18"/>
                <w:szCs w:val="18"/>
              </w:rPr>
              <w:noBreakHyphen/>
              <w:t>determined Key Performance Indicators. A vendor performance template has been developed and the performance review meeting will take place in the course of 2015 as planned.</w:t>
            </w:r>
          </w:p>
        </w:tc>
      </w:tr>
      <w:tr w:rsidR="00602A1B" w:rsidRPr="00944074" w:rsidTr="00602A1B">
        <w:trPr>
          <w:trHeight w:val="4307"/>
        </w:trPr>
        <w:tc>
          <w:tcPr>
            <w:tcW w:w="2694" w:type="dxa"/>
            <w:tcMar>
              <w:top w:w="85" w:type="dxa"/>
              <w:bottom w:w="85" w:type="dxa"/>
            </w:tcMar>
          </w:tcPr>
          <w:p w:rsidR="00810478" w:rsidRPr="00A76376" w:rsidRDefault="00660FA5" w:rsidP="00602A1B">
            <w:pPr>
              <w:pStyle w:val="Default"/>
              <w:rPr>
                <w:rFonts w:ascii="Arial" w:hAnsi="Arial" w:cs="Arial"/>
                <w:bCs/>
                <w:sz w:val="18"/>
                <w:szCs w:val="18"/>
              </w:rPr>
            </w:pPr>
            <w:r>
              <w:rPr>
                <w:rFonts w:ascii="Arial" w:hAnsi="Arial" w:cs="Arial"/>
                <w:bCs/>
                <w:noProof/>
                <w:sz w:val="18"/>
                <w:szCs w:val="18"/>
              </w:rPr>
              <w:drawing>
                <wp:anchor distT="0" distB="0" distL="114300" distR="114300" simplePos="0" relativeHeight="251659264" behindDoc="1" locked="0" layoutInCell="1" allowOverlap="1" wp14:anchorId="5F3EDE10" wp14:editId="09D9FD2F">
                  <wp:simplePos x="0" y="0"/>
                  <wp:positionH relativeFrom="column">
                    <wp:posOffset>-276860</wp:posOffset>
                  </wp:positionH>
                  <wp:positionV relativeFrom="paragraph">
                    <wp:posOffset>-15240</wp:posOffset>
                  </wp:positionV>
                  <wp:extent cx="247650" cy="247650"/>
                  <wp:effectExtent l="0" t="0" r="0" b="0"/>
                  <wp:wrapTight wrapText="bothSides">
                    <wp:wrapPolygon edited="0">
                      <wp:start x="3323" y="0"/>
                      <wp:lineTo x="0" y="6646"/>
                      <wp:lineTo x="0" y="11631"/>
                      <wp:lineTo x="3323" y="19938"/>
                      <wp:lineTo x="16615" y="19938"/>
                      <wp:lineTo x="19938" y="11631"/>
                      <wp:lineTo x="19938" y="6646"/>
                      <wp:lineTo x="16615" y="0"/>
                      <wp:lineTo x="3323" y="0"/>
                    </wp:wrapPolygon>
                  </wp:wrapTight>
                  <wp:docPr id="3" name="Picture 3" descr="D:\Users\doyon\AppData\Local\Microsoft\Windows\Temporary Internet Files\Content.IE5\RNX63FW3\new[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doyon\AppData\Local\Microsoft\Windows\Temporary Internet Files\Content.IE5\RNX63FW3\new[1].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14:sizeRelH relativeFrom="page">
                    <wp14:pctWidth>0</wp14:pctWidth>
                  </wp14:sizeRelH>
                  <wp14:sizeRelV relativeFrom="page">
                    <wp14:pctHeight>0</wp14:pctHeight>
                  </wp14:sizeRelV>
                </wp:anchor>
              </w:drawing>
            </w:r>
            <w:r w:rsidR="00810478" w:rsidRPr="00A76376">
              <w:rPr>
                <w:rFonts w:ascii="Arial" w:hAnsi="Arial" w:cs="Arial"/>
                <w:bCs/>
                <w:sz w:val="18"/>
                <w:szCs w:val="18"/>
              </w:rPr>
              <w:t>Rec. 3</w:t>
            </w:r>
            <w:r w:rsidR="004457EE">
              <w:rPr>
                <w:rFonts w:ascii="Arial" w:hAnsi="Arial" w:cs="Arial"/>
                <w:bCs/>
                <w:sz w:val="18"/>
                <w:szCs w:val="18"/>
              </w:rPr>
              <w:t xml:space="preserve"> </w:t>
            </w:r>
            <w:r w:rsidR="00810478" w:rsidRPr="00A76376">
              <w:rPr>
                <w:rFonts w:ascii="Arial" w:hAnsi="Arial" w:cs="Arial"/>
                <w:bCs/>
                <w:sz w:val="18"/>
                <w:szCs w:val="18"/>
              </w:rPr>
              <w:t xml:space="preserve"> The legislative bodies of the United Nations system organizations should direct the executive heads of their organizations to put in place a system whereby the persons designated to manage contracts after award are notified in writing about their accountability and responsibilities when managing a contract, and possess the required qualifications to manage the contract. </w:t>
            </w:r>
          </w:p>
        </w:tc>
        <w:tc>
          <w:tcPr>
            <w:tcW w:w="1559" w:type="dxa"/>
            <w:tcMar>
              <w:top w:w="85" w:type="dxa"/>
            </w:tcMar>
          </w:tcPr>
          <w:p w:rsidR="00810478" w:rsidRPr="00A76376" w:rsidRDefault="00810478" w:rsidP="00305BED">
            <w:pPr>
              <w:rPr>
                <w:sz w:val="18"/>
                <w:szCs w:val="18"/>
              </w:rPr>
            </w:pPr>
            <w:r w:rsidRPr="00A76376">
              <w:rPr>
                <w:sz w:val="18"/>
                <w:szCs w:val="18"/>
              </w:rPr>
              <w:t xml:space="preserve">Director, </w:t>
            </w:r>
            <w:r w:rsidR="00305BED">
              <w:rPr>
                <w:sz w:val="18"/>
                <w:szCs w:val="18"/>
              </w:rPr>
              <w:t>PTD</w:t>
            </w:r>
          </w:p>
        </w:tc>
        <w:tc>
          <w:tcPr>
            <w:tcW w:w="1418" w:type="dxa"/>
            <w:tcMar>
              <w:top w:w="85" w:type="dxa"/>
            </w:tcMar>
          </w:tcPr>
          <w:p w:rsidR="00810478" w:rsidRPr="00A76376" w:rsidRDefault="00810478" w:rsidP="003417D2">
            <w:pPr>
              <w:rPr>
                <w:sz w:val="18"/>
                <w:szCs w:val="18"/>
              </w:rPr>
            </w:pPr>
            <w:r w:rsidRPr="00A76376">
              <w:rPr>
                <w:sz w:val="18"/>
                <w:szCs w:val="18"/>
              </w:rPr>
              <w:t>Under consideration</w:t>
            </w:r>
          </w:p>
        </w:tc>
        <w:tc>
          <w:tcPr>
            <w:tcW w:w="1417" w:type="dxa"/>
            <w:tcMar>
              <w:top w:w="85" w:type="dxa"/>
            </w:tcMar>
          </w:tcPr>
          <w:p w:rsidR="00810478" w:rsidRPr="00A76376" w:rsidRDefault="00810478" w:rsidP="003417D2">
            <w:pPr>
              <w:rPr>
                <w:sz w:val="18"/>
                <w:szCs w:val="18"/>
              </w:rPr>
            </w:pPr>
          </w:p>
        </w:tc>
        <w:tc>
          <w:tcPr>
            <w:tcW w:w="2693" w:type="dxa"/>
            <w:tcMar>
              <w:top w:w="85" w:type="dxa"/>
            </w:tcMar>
          </w:tcPr>
          <w:p w:rsidR="00810478" w:rsidRPr="00A76376" w:rsidRDefault="00810478" w:rsidP="003417D2">
            <w:pPr>
              <w:rPr>
                <w:sz w:val="18"/>
                <w:szCs w:val="18"/>
              </w:rPr>
            </w:pPr>
            <w:r>
              <w:rPr>
                <w:sz w:val="18"/>
                <w:szCs w:val="18"/>
              </w:rPr>
              <w:t>The Procurement section will consult the different Programs to explain the importance of the role of contract manager and the associated responsibilities, and agree on a formal designation process.</w:t>
            </w:r>
          </w:p>
        </w:tc>
      </w:tr>
    </w:tbl>
    <w:p w:rsidR="003417D2" w:rsidRDefault="003417D2">
      <w:r>
        <w:br w:type="page"/>
      </w:r>
    </w:p>
    <w:p w:rsidR="00DE0429" w:rsidRDefault="00DE0429" w:rsidP="00DE0429">
      <w:pPr>
        <w:pStyle w:val="ListParagraph"/>
        <w:numPr>
          <w:ilvl w:val="0"/>
          <w:numId w:val="9"/>
        </w:numPr>
      </w:pPr>
      <w:r w:rsidRPr="00BB37A1">
        <w:lastRenderedPageBreak/>
        <w:t>JIU/REP/2014/</w:t>
      </w:r>
      <w:r>
        <w:t>8</w:t>
      </w:r>
      <w:r w:rsidRPr="00BB37A1">
        <w:t>, “</w:t>
      </w:r>
      <w:r w:rsidRPr="00DE0429">
        <w:t xml:space="preserve">Use of non-staff personnel and related contractual modalities in the United Nations System </w:t>
      </w:r>
      <w:proofErr w:type="spellStart"/>
      <w:r w:rsidRPr="00DE0429">
        <w:t>Organisations</w:t>
      </w:r>
      <w:proofErr w:type="spellEnd"/>
      <w:r w:rsidRPr="00BB37A1">
        <w:t>”</w:t>
      </w:r>
    </w:p>
    <w:p w:rsidR="00DE0429" w:rsidRDefault="00DE0429"/>
    <w:p w:rsidR="00DE0429" w:rsidRPr="006803B7" w:rsidRDefault="00DE0429" w:rsidP="00DE0429">
      <w:r w:rsidRPr="006803B7">
        <w:t>This</w:t>
      </w:r>
      <w:r>
        <w:t xml:space="preserve"> report was issued by the JIU on April 20, 2015.  All recommendations are therefore new within the context of the progress report to Member States.</w:t>
      </w:r>
    </w:p>
    <w:p w:rsidR="00DE0429" w:rsidRDefault="00DE0429"/>
    <w:p w:rsidR="00201B52" w:rsidRDefault="00201B52"/>
    <w:tbl>
      <w:tblPr>
        <w:tblStyle w:val="TableGrid"/>
        <w:tblW w:w="0" w:type="auto"/>
        <w:tblLayout w:type="fixed"/>
        <w:tblLook w:val="04A0" w:firstRow="1" w:lastRow="0" w:firstColumn="1" w:lastColumn="0" w:noHBand="0" w:noVBand="1"/>
      </w:tblPr>
      <w:tblGrid>
        <w:gridCol w:w="2660"/>
        <w:gridCol w:w="1559"/>
        <w:gridCol w:w="1418"/>
        <w:gridCol w:w="1417"/>
        <w:gridCol w:w="2517"/>
      </w:tblGrid>
      <w:tr w:rsidR="00DE0429" w:rsidTr="00685546">
        <w:trPr>
          <w:tblHeader/>
        </w:trPr>
        <w:tc>
          <w:tcPr>
            <w:tcW w:w="2660" w:type="dxa"/>
            <w:vMerge w:val="restart"/>
            <w:shd w:val="clear" w:color="auto" w:fill="B6DDE8" w:themeFill="accent5" w:themeFillTint="66"/>
            <w:tcMar>
              <w:top w:w="85" w:type="dxa"/>
              <w:bottom w:w="85" w:type="dxa"/>
            </w:tcMar>
            <w:vAlign w:val="center"/>
          </w:tcPr>
          <w:p w:rsidR="00DE0429" w:rsidRDefault="00DE0429" w:rsidP="00685546">
            <w:pPr>
              <w:jc w:val="center"/>
              <w:rPr>
                <w:b/>
                <w:sz w:val="18"/>
                <w:szCs w:val="18"/>
              </w:rPr>
            </w:pPr>
            <w:r w:rsidRPr="006D7D80">
              <w:rPr>
                <w:b/>
                <w:sz w:val="18"/>
                <w:szCs w:val="18"/>
              </w:rPr>
              <w:t>Recommendation</w:t>
            </w:r>
          </w:p>
        </w:tc>
        <w:tc>
          <w:tcPr>
            <w:tcW w:w="1559" w:type="dxa"/>
            <w:vMerge w:val="restart"/>
            <w:shd w:val="clear" w:color="auto" w:fill="B6DDE8" w:themeFill="accent5" w:themeFillTint="66"/>
            <w:tcMar>
              <w:top w:w="85" w:type="dxa"/>
              <w:bottom w:w="85" w:type="dxa"/>
            </w:tcMar>
            <w:vAlign w:val="center"/>
          </w:tcPr>
          <w:p w:rsidR="00DE0429" w:rsidRDefault="00DE0429" w:rsidP="00685546">
            <w:pPr>
              <w:jc w:val="center"/>
              <w:rPr>
                <w:b/>
                <w:sz w:val="18"/>
                <w:szCs w:val="18"/>
              </w:rPr>
            </w:pPr>
            <w:r w:rsidRPr="006D7D80">
              <w:rPr>
                <w:b/>
                <w:sz w:val="18"/>
                <w:szCs w:val="18"/>
              </w:rPr>
              <w:t>Responsible Officer</w:t>
            </w:r>
          </w:p>
        </w:tc>
        <w:tc>
          <w:tcPr>
            <w:tcW w:w="2835" w:type="dxa"/>
            <w:gridSpan w:val="2"/>
            <w:shd w:val="clear" w:color="auto" w:fill="B6DDE8" w:themeFill="accent5" w:themeFillTint="66"/>
            <w:tcMar>
              <w:top w:w="85" w:type="dxa"/>
              <w:bottom w:w="85" w:type="dxa"/>
            </w:tcMar>
            <w:vAlign w:val="center"/>
          </w:tcPr>
          <w:p w:rsidR="00DE0429" w:rsidRDefault="00DE0429" w:rsidP="00685546">
            <w:pPr>
              <w:jc w:val="center"/>
              <w:rPr>
                <w:b/>
                <w:sz w:val="18"/>
                <w:szCs w:val="18"/>
              </w:rPr>
            </w:pPr>
            <w:r>
              <w:rPr>
                <w:b/>
                <w:sz w:val="18"/>
                <w:szCs w:val="18"/>
              </w:rPr>
              <w:t>Acceptance Status</w:t>
            </w:r>
          </w:p>
        </w:tc>
        <w:tc>
          <w:tcPr>
            <w:tcW w:w="2517" w:type="dxa"/>
            <w:vMerge w:val="restart"/>
            <w:shd w:val="clear" w:color="auto" w:fill="B6DDE8" w:themeFill="accent5" w:themeFillTint="66"/>
            <w:tcMar>
              <w:top w:w="85" w:type="dxa"/>
              <w:bottom w:w="85" w:type="dxa"/>
            </w:tcMar>
            <w:vAlign w:val="center"/>
          </w:tcPr>
          <w:p w:rsidR="00DE0429" w:rsidRDefault="00DE0429" w:rsidP="00685546">
            <w:pPr>
              <w:jc w:val="center"/>
              <w:rPr>
                <w:b/>
                <w:sz w:val="18"/>
                <w:szCs w:val="18"/>
              </w:rPr>
            </w:pPr>
            <w:r w:rsidRPr="006D7D80">
              <w:rPr>
                <w:b/>
                <w:sz w:val="18"/>
                <w:szCs w:val="18"/>
              </w:rPr>
              <w:t>Management/Focal Point Assessment</w:t>
            </w:r>
          </w:p>
        </w:tc>
      </w:tr>
      <w:tr w:rsidR="00DE0429" w:rsidTr="00685546">
        <w:trPr>
          <w:tblHeader/>
        </w:trPr>
        <w:tc>
          <w:tcPr>
            <w:tcW w:w="2660" w:type="dxa"/>
            <w:vMerge/>
            <w:shd w:val="clear" w:color="auto" w:fill="B6DDE8" w:themeFill="accent5" w:themeFillTint="66"/>
            <w:tcMar>
              <w:top w:w="85" w:type="dxa"/>
              <w:bottom w:w="85" w:type="dxa"/>
            </w:tcMar>
          </w:tcPr>
          <w:p w:rsidR="00DE0429" w:rsidRPr="006D7D80" w:rsidRDefault="00DE0429" w:rsidP="00685546">
            <w:pPr>
              <w:rPr>
                <w:b/>
                <w:sz w:val="18"/>
                <w:szCs w:val="18"/>
              </w:rPr>
            </w:pPr>
          </w:p>
        </w:tc>
        <w:tc>
          <w:tcPr>
            <w:tcW w:w="1559" w:type="dxa"/>
            <w:vMerge/>
            <w:shd w:val="clear" w:color="auto" w:fill="B6DDE8" w:themeFill="accent5" w:themeFillTint="66"/>
            <w:tcMar>
              <w:top w:w="85" w:type="dxa"/>
              <w:bottom w:w="85" w:type="dxa"/>
            </w:tcMar>
          </w:tcPr>
          <w:p w:rsidR="00DE0429" w:rsidRPr="006D7D80" w:rsidRDefault="00DE0429" w:rsidP="00685546">
            <w:pPr>
              <w:rPr>
                <w:b/>
                <w:sz w:val="18"/>
                <w:szCs w:val="18"/>
              </w:rPr>
            </w:pPr>
          </w:p>
        </w:tc>
        <w:tc>
          <w:tcPr>
            <w:tcW w:w="1418" w:type="dxa"/>
            <w:shd w:val="clear" w:color="auto" w:fill="B6DDE8" w:themeFill="accent5" w:themeFillTint="66"/>
            <w:tcMar>
              <w:top w:w="85" w:type="dxa"/>
              <w:bottom w:w="85" w:type="dxa"/>
            </w:tcMar>
            <w:vAlign w:val="center"/>
          </w:tcPr>
          <w:p w:rsidR="00DE0429" w:rsidRPr="00874852" w:rsidRDefault="00DE0429" w:rsidP="00685546">
            <w:pPr>
              <w:jc w:val="center"/>
              <w:rPr>
                <w:b/>
                <w:sz w:val="16"/>
                <w:szCs w:val="18"/>
              </w:rPr>
            </w:pPr>
            <w:r w:rsidRPr="00874852">
              <w:rPr>
                <w:b/>
                <w:sz w:val="16"/>
                <w:szCs w:val="18"/>
              </w:rPr>
              <w:t>Acceptance</w:t>
            </w:r>
          </w:p>
        </w:tc>
        <w:tc>
          <w:tcPr>
            <w:tcW w:w="1417" w:type="dxa"/>
            <w:shd w:val="clear" w:color="auto" w:fill="B6DDE8" w:themeFill="accent5" w:themeFillTint="66"/>
            <w:tcMar>
              <w:top w:w="85" w:type="dxa"/>
              <w:bottom w:w="85" w:type="dxa"/>
            </w:tcMar>
            <w:vAlign w:val="center"/>
          </w:tcPr>
          <w:p w:rsidR="00DE0429" w:rsidRPr="00874852" w:rsidRDefault="00DE0429" w:rsidP="00685546">
            <w:pPr>
              <w:jc w:val="center"/>
              <w:rPr>
                <w:b/>
                <w:sz w:val="16"/>
                <w:szCs w:val="18"/>
              </w:rPr>
            </w:pPr>
            <w:r w:rsidRPr="00874852">
              <w:rPr>
                <w:b/>
                <w:sz w:val="16"/>
                <w:szCs w:val="18"/>
              </w:rPr>
              <w:t>Implementation</w:t>
            </w:r>
          </w:p>
        </w:tc>
        <w:tc>
          <w:tcPr>
            <w:tcW w:w="2517" w:type="dxa"/>
            <w:vMerge/>
            <w:shd w:val="clear" w:color="auto" w:fill="B6DDE8" w:themeFill="accent5" w:themeFillTint="66"/>
            <w:tcMar>
              <w:top w:w="85" w:type="dxa"/>
              <w:bottom w:w="85" w:type="dxa"/>
            </w:tcMar>
          </w:tcPr>
          <w:p w:rsidR="00DE0429" w:rsidRPr="006D7D80" w:rsidRDefault="00DE0429" w:rsidP="00685546">
            <w:pPr>
              <w:rPr>
                <w:b/>
                <w:sz w:val="18"/>
                <w:szCs w:val="18"/>
              </w:rPr>
            </w:pPr>
          </w:p>
        </w:tc>
      </w:tr>
      <w:tr w:rsidR="00DE0429" w:rsidTr="00685546">
        <w:tc>
          <w:tcPr>
            <w:tcW w:w="2660" w:type="dxa"/>
            <w:tcMar>
              <w:top w:w="85" w:type="dxa"/>
              <w:bottom w:w="85" w:type="dxa"/>
            </w:tcMar>
          </w:tcPr>
          <w:p w:rsidR="00DE0429" w:rsidRPr="00530273" w:rsidRDefault="00DE0429" w:rsidP="004457EE">
            <w:pPr>
              <w:rPr>
                <w:sz w:val="18"/>
                <w:szCs w:val="18"/>
              </w:rPr>
            </w:pPr>
            <w:r w:rsidRPr="00530273">
              <w:rPr>
                <w:bCs/>
                <w:noProof/>
                <w:sz w:val="18"/>
                <w:szCs w:val="18"/>
                <w:lang w:eastAsia="en-US"/>
              </w:rPr>
              <w:drawing>
                <wp:anchor distT="0" distB="0" distL="114300" distR="114300" simplePos="0" relativeHeight="251710464" behindDoc="1" locked="0" layoutInCell="1" allowOverlap="1" wp14:anchorId="0AD2A0BC" wp14:editId="4D6D09AA">
                  <wp:simplePos x="0" y="0"/>
                  <wp:positionH relativeFrom="column">
                    <wp:posOffset>-58420</wp:posOffset>
                  </wp:positionH>
                  <wp:positionV relativeFrom="paragraph">
                    <wp:posOffset>-43815</wp:posOffset>
                  </wp:positionV>
                  <wp:extent cx="247650" cy="247650"/>
                  <wp:effectExtent l="0" t="0" r="0" b="0"/>
                  <wp:wrapTight wrapText="bothSides">
                    <wp:wrapPolygon edited="0">
                      <wp:start x="3323" y="0"/>
                      <wp:lineTo x="0" y="6646"/>
                      <wp:lineTo x="0" y="11631"/>
                      <wp:lineTo x="3323" y="19938"/>
                      <wp:lineTo x="16615" y="19938"/>
                      <wp:lineTo x="19938" y="11631"/>
                      <wp:lineTo x="19938" y="6646"/>
                      <wp:lineTo x="16615" y="0"/>
                      <wp:lineTo x="3323" y="0"/>
                    </wp:wrapPolygon>
                  </wp:wrapTight>
                  <wp:docPr id="5" name="Picture 5" descr="D:\Users\doyon\AppData\Local\Microsoft\Windows\Temporary Internet Files\Content.IE5\RNX63FW3\new[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doyon\AppData\Local\Microsoft\Windows\Temporary Internet Files\Content.IE5\RNX63FW3\new[1].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30273">
              <w:rPr>
                <w:color w:val="000000"/>
                <w:sz w:val="18"/>
                <w:szCs w:val="18"/>
              </w:rPr>
              <w:t xml:space="preserve">Rec. </w:t>
            </w:r>
            <w:r w:rsidR="000D1116" w:rsidRPr="00530273">
              <w:rPr>
                <w:color w:val="000000"/>
                <w:sz w:val="18"/>
                <w:szCs w:val="18"/>
              </w:rPr>
              <w:t>2</w:t>
            </w:r>
            <w:r w:rsidRPr="00530273">
              <w:rPr>
                <w:color w:val="000000"/>
                <w:sz w:val="18"/>
                <w:szCs w:val="18"/>
              </w:rPr>
              <w:t xml:space="preserve">  </w:t>
            </w:r>
            <w:r w:rsidR="000D1116" w:rsidRPr="00530273">
              <w:rPr>
                <w:color w:val="000000"/>
                <w:sz w:val="18"/>
                <w:szCs w:val="18"/>
              </w:rPr>
              <w:t>The legislative/governing bodies of the United Nations system organizations should systematically exercise their oversight functions on the use of non-staff personnel through regular reviews of non-staff personnel information/data provided by the respective executive heads.</w:t>
            </w:r>
          </w:p>
        </w:tc>
        <w:tc>
          <w:tcPr>
            <w:tcW w:w="1559" w:type="dxa"/>
            <w:tcMar>
              <w:top w:w="85" w:type="dxa"/>
              <w:bottom w:w="85" w:type="dxa"/>
            </w:tcMar>
          </w:tcPr>
          <w:p w:rsidR="00DE0429" w:rsidRPr="00DE0429" w:rsidRDefault="0004305C" w:rsidP="003C2D3C">
            <w:pPr>
              <w:rPr>
                <w:sz w:val="18"/>
                <w:szCs w:val="18"/>
              </w:rPr>
            </w:pPr>
            <w:r>
              <w:rPr>
                <w:sz w:val="18"/>
                <w:szCs w:val="18"/>
              </w:rPr>
              <w:t>Director,</w:t>
            </w:r>
            <w:r w:rsidR="003C2D3C">
              <w:rPr>
                <w:sz w:val="18"/>
                <w:szCs w:val="18"/>
              </w:rPr>
              <w:t xml:space="preserve"> Program Planning and Finance (DPPF), (Controller)</w:t>
            </w:r>
          </w:p>
        </w:tc>
        <w:tc>
          <w:tcPr>
            <w:tcW w:w="1418" w:type="dxa"/>
            <w:tcMar>
              <w:top w:w="85" w:type="dxa"/>
              <w:bottom w:w="85" w:type="dxa"/>
            </w:tcMar>
          </w:tcPr>
          <w:p w:rsidR="00DE0429" w:rsidRPr="00B731C5" w:rsidRDefault="0004305C" w:rsidP="00685546">
            <w:pPr>
              <w:rPr>
                <w:sz w:val="18"/>
                <w:szCs w:val="18"/>
              </w:rPr>
            </w:pPr>
            <w:r>
              <w:rPr>
                <w:sz w:val="18"/>
                <w:szCs w:val="18"/>
              </w:rPr>
              <w:t>Accepted</w:t>
            </w:r>
          </w:p>
        </w:tc>
        <w:tc>
          <w:tcPr>
            <w:tcW w:w="1417" w:type="dxa"/>
            <w:tcMar>
              <w:top w:w="85" w:type="dxa"/>
              <w:bottom w:w="85" w:type="dxa"/>
            </w:tcMar>
          </w:tcPr>
          <w:p w:rsidR="00DE0429" w:rsidRPr="00B731C5" w:rsidRDefault="0004305C" w:rsidP="00685546">
            <w:pPr>
              <w:rPr>
                <w:sz w:val="18"/>
                <w:szCs w:val="18"/>
              </w:rPr>
            </w:pPr>
            <w:r>
              <w:rPr>
                <w:sz w:val="18"/>
                <w:szCs w:val="18"/>
              </w:rPr>
              <w:t>Implemented</w:t>
            </w:r>
          </w:p>
        </w:tc>
        <w:tc>
          <w:tcPr>
            <w:tcW w:w="2517" w:type="dxa"/>
            <w:tcMar>
              <w:top w:w="85" w:type="dxa"/>
              <w:bottom w:w="85" w:type="dxa"/>
            </w:tcMar>
          </w:tcPr>
          <w:p w:rsidR="00DE0429" w:rsidRPr="00B731C5" w:rsidRDefault="00054A11" w:rsidP="003C2D3C">
            <w:pPr>
              <w:rPr>
                <w:sz w:val="18"/>
                <w:szCs w:val="18"/>
              </w:rPr>
            </w:pPr>
            <w:r>
              <w:rPr>
                <w:sz w:val="18"/>
                <w:szCs w:val="18"/>
              </w:rPr>
              <w:t>Reporting is provided to Member States to enable their oversight function as part of the Financial Management Reporting (FMR),</w:t>
            </w:r>
            <w:r w:rsidR="003C2D3C">
              <w:rPr>
                <w:sz w:val="18"/>
                <w:szCs w:val="18"/>
              </w:rPr>
              <w:t xml:space="preserve"> and</w:t>
            </w:r>
            <w:r>
              <w:rPr>
                <w:sz w:val="18"/>
                <w:szCs w:val="18"/>
              </w:rPr>
              <w:t xml:space="preserve"> the Program Performance Report (PPR).</w:t>
            </w:r>
          </w:p>
        </w:tc>
      </w:tr>
    </w:tbl>
    <w:p w:rsidR="00DE0429" w:rsidRDefault="00DE0429"/>
    <w:p w:rsidR="00DE0429" w:rsidRDefault="00DE0429"/>
    <w:p w:rsidR="007632A4" w:rsidRDefault="007632A4" w:rsidP="00DE0429">
      <w:pPr>
        <w:pStyle w:val="ListParagraph"/>
        <w:numPr>
          <w:ilvl w:val="0"/>
          <w:numId w:val="9"/>
        </w:numPr>
      </w:pPr>
      <w:r w:rsidRPr="00BB37A1">
        <w:t xml:space="preserve">JIU/REP/2014/6, “Analysis of the Evaluation Function in the United Nations </w:t>
      </w:r>
      <w:r w:rsidR="002E658D">
        <w:t>s</w:t>
      </w:r>
      <w:r w:rsidRPr="00BB37A1">
        <w:t>ystem”</w:t>
      </w:r>
    </w:p>
    <w:p w:rsidR="002E658D" w:rsidRDefault="002E658D" w:rsidP="009247F4"/>
    <w:p w:rsidR="002E658D" w:rsidRDefault="002E658D" w:rsidP="009247F4">
      <w:r w:rsidRPr="006803B7">
        <w:t>This</w:t>
      </w:r>
      <w:r>
        <w:t xml:space="preserve"> report was issued by the JIU on March 31, 2015.  All recommendations are therefore new within the context of the progress report to Member States.</w:t>
      </w:r>
    </w:p>
    <w:p w:rsidR="007632A4" w:rsidRDefault="007632A4" w:rsidP="009247F4"/>
    <w:p w:rsidR="00201B52" w:rsidRPr="00CF386F" w:rsidRDefault="00201B52" w:rsidP="009247F4"/>
    <w:tbl>
      <w:tblPr>
        <w:tblStyle w:val="TableGrid"/>
        <w:tblW w:w="0" w:type="auto"/>
        <w:tblLayout w:type="fixed"/>
        <w:tblLook w:val="04A0" w:firstRow="1" w:lastRow="0" w:firstColumn="1" w:lastColumn="0" w:noHBand="0" w:noVBand="1"/>
      </w:tblPr>
      <w:tblGrid>
        <w:gridCol w:w="2660"/>
        <w:gridCol w:w="1559"/>
        <w:gridCol w:w="1418"/>
        <w:gridCol w:w="1417"/>
        <w:gridCol w:w="2517"/>
      </w:tblGrid>
      <w:tr w:rsidR="00D17DB1" w:rsidTr="00567E4C">
        <w:trPr>
          <w:tblHeader/>
        </w:trPr>
        <w:tc>
          <w:tcPr>
            <w:tcW w:w="2660" w:type="dxa"/>
            <w:vMerge w:val="restart"/>
            <w:shd w:val="clear" w:color="auto" w:fill="B6DDE8" w:themeFill="accent5" w:themeFillTint="66"/>
            <w:tcMar>
              <w:top w:w="85" w:type="dxa"/>
              <w:bottom w:w="85" w:type="dxa"/>
            </w:tcMar>
            <w:vAlign w:val="center"/>
          </w:tcPr>
          <w:p w:rsidR="00D17DB1" w:rsidRDefault="00D17DB1" w:rsidP="00D17DB1">
            <w:pPr>
              <w:rPr>
                <w:b/>
                <w:sz w:val="18"/>
                <w:szCs w:val="18"/>
              </w:rPr>
            </w:pPr>
            <w:r w:rsidRPr="006D7D80">
              <w:rPr>
                <w:b/>
                <w:sz w:val="18"/>
                <w:szCs w:val="18"/>
              </w:rPr>
              <w:t>Recommendation</w:t>
            </w:r>
          </w:p>
        </w:tc>
        <w:tc>
          <w:tcPr>
            <w:tcW w:w="1559" w:type="dxa"/>
            <w:vMerge w:val="restart"/>
            <w:shd w:val="clear" w:color="auto" w:fill="B6DDE8" w:themeFill="accent5" w:themeFillTint="66"/>
            <w:tcMar>
              <w:top w:w="85" w:type="dxa"/>
              <w:bottom w:w="85" w:type="dxa"/>
            </w:tcMar>
            <w:vAlign w:val="center"/>
          </w:tcPr>
          <w:p w:rsidR="00D17DB1" w:rsidRDefault="00D17DB1" w:rsidP="00D17DB1">
            <w:pPr>
              <w:keepNext/>
              <w:keepLines/>
              <w:jc w:val="center"/>
              <w:rPr>
                <w:b/>
                <w:sz w:val="18"/>
                <w:szCs w:val="18"/>
              </w:rPr>
            </w:pPr>
            <w:r w:rsidRPr="006D7D80">
              <w:rPr>
                <w:b/>
                <w:sz w:val="18"/>
                <w:szCs w:val="18"/>
              </w:rPr>
              <w:t>Responsible Officer</w:t>
            </w:r>
          </w:p>
        </w:tc>
        <w:tc>
          <w:tcPr>
            <w:tcW w:w="2835" w:type="dxa"/>
            <w:gridSpan w:val="2"/>
            <w:shd w:val="clear" w:color="auto" w:fill="B6DDE8" w:themeFill="accent5" w:themeFillTint="66"/>
            <w:tcMar>
              <w:top w:w="85" w:type="dxa"/>
              <w:bottom w:w="85" w:type="dxa"/>
            </w:tcMar>
          </w:tcPr>
          <w:p w:rsidR="00D17DB1" w:rsidRDefault="00D17DB1" w:rsidP="00D17DB1">
            <w:pPr>
              <w:keepNext/>
              <w:keepLines/>
              <w:jc w:val="center"/>
              <w:rPr>
                <w:b/>
                <w:sz w:val="18"/>
                <w:szCs w:val="18"/>
              </w:rPr>
            </w:pPr>
            <w:r>
              <w:rPr>
                <w:b/>
                <w:sz w:val="18"/>
                <w:szCs w:val="18"/>
              </w:rPr>
              <w:t>Acceptance Status</w:t>
            </w:r>
          </w:p>
        </w:tc>
        <w:tc>
          <w:tcPr>
            <w:tcW w:w="2517" w:type="dxa"/>
            <w:vMerge w:val="restart"/>
            <w:shd w:val="clear" w:color="auto" w:fill="B6DDE8" w:themeFill="accent5" w:themeFillTint="66"/>
            <w:tcMar>
              <w:top w:w="85" w:type="dxa"/>
              <w:bottom w:w="85" w:type="dxa"/>
            </w:tcMar>
            <w:vAlign w:val="center"/>
          </w:tcPr>
          <w:p w:rsidR="00D17DB1" w:rsidRDefault="00D17DB1" w:rsidP="00D17DB1">
            <w:pPr>
              <w:keepNext/>
              <w:keepLines/>
              <w:jc w:val="center"/>
              <w:rPr>
                <w:b/>
                <w:sz w:val="18"/>
                <w:szCs w:val="18"/>
              </w:rPr>
            </w:pPr>
            <w:r w:rsidRPr="006D7D80">
              <w:rPr>
                <w:b/>
                <w:sz w:val="18"/>
                <w:szCs w:val="18"/>
              </w:rPr>
              <w:t>Management/Focal Point Assessment</w:t>
            </w:r>
          </w:p>
        </w:tc>
      </w:tr>
      <w:tr w:rsidR="00D17DB1" w:rsidTr="00567E4C">
        <w:trPr>
          <w:tblHeader/>
        </w:trPr>
        <w:tc>
          <w:tcPr>
            <w:tcW w:w="2660" w:type="dxa"/>
            <w:vMerge/>
            <w:shd w:val="clear" w:color="auto" w:fill="B6DDE8" w:themeFill="accent5" w:themeFillTint="66"/>
            <w:tcMar>
              <w:top w:w="85" w:type="dxa"/>
              <w:bottom w:w="85" w:type="dxa"/>
            </w:tcMar>
          </w:tcPr>
          <w:p w:rsidR="00D17DB1" w:rsidRPr="006D7D80" w:rsidRDefault="00D17DB1" w:rsidP="003417D2">
            <w:pPr>
              <w:keepNext/>
              <w:keepLines/>
              <w:rPr>
                <w:b/>
                <w:sz w:val="18"/>
                <w:szCs w:val="18"/>
              </w:rPr>
            </w:pPr>
          </w:p>
        </w:tc>
        <w:tc>
          <w:tcPr>
            <w:tcW w:w="1559" w:type="dxa"/>
            <w:vMerge/>
            <w:shd w:val="clear" w:color="auto" w:fill="B6DDE8" w:themeFill="accent5" w:themeFillTint="66"/>
            <w:tcMar>
              <w:top w:w="85" w:type="dxa"/>
              <w:bottom w:w="85" w:type="dxa"/>
            </w:tcMar>
          </w:tcPr>
          <w:p w:rsidR="00D17DB1" w:rsidRPr="006D7D80" w:rsidRDefault="00D17DB1" w:rsidP="003417D2">
            <w:pPr>
              <w:keepNext/>
              <w:keepLines/>
              <w:rPr>
                <w:b/>
                <w:sz w:val="18"/>
                <w:szCs w:val="18"/>
              </w:rPr>
            </w:pPr>
          </w:p>
        </w:tc>
        <w:tc>
          <w:tcPr>
            <w:tcW w:w="1418" w:type="dxa"/>
            <w:shd w:val="clear" w:color="auto" w:fill="B6DDE8" w:themeFill="accent5" w:themeFillTint="66"/>
            <w:tcMar>
              <w:top w:w="85" w:type="dxa"/>
              <w:bottom w:w="85" w:type="dxa"/>
            </w:tcMar>
            <w:vAlign w:val="center"/>
          </w:tcPr>
          <w:p w:rsidR="00D17DB1" w:rsidRPr="00D17DB1" w:rsidRDefault="00D17DB1" w:rsidP="00874852">
            <w:pPr>
              <w:keepNext/>
              <w:keepLines/>
              <w:jc w:val="center"/>
              <w:rPr>
                <w:b/>
                <w:sz w:val="16"/>
                <w:szCs w:val="18"/>
              </w:rPr>
            </w:pPr>
            <w:r w:rsidRPr="00D17DB1">
              <w:rPr>
                <w:b/>
                <w:sz w:val="16"/>
                <w:szCs w:val="18"/>
              </w:rPr>
              <w:t>Acceptance</w:t>
            </w:r>
          </w:p>
        </w:tc>
        <w:tc>
          <w:tcPr>
            <w:tcW w:w="1417" w:type="dxa"/>
            <w:shd w:val="clear" w:color="auto" w:fill="B6DDE8" w:themeFill="accent5" w:themeFillTint="66"/>
            <w:tcMar>
              <w:top w:w="85" w:type="dxa"/>
              <w:bottom w:w="85" w:type="dxa"/>
            </w:tcMar>
            <w:vAlign w:val="center"/>
          </w:tcPr>
          <w:p w:rsidR="00D17DB1" w:rsidRPr="00D17DB1" w:rsidRDefault="00D17DB1" w:rsidP="00874852">
            <w:pPr>
              <w:keepNext/>
              <w:keepLines/>
              <w:jc w:val="center"/>
              <w:rPr>
                <w:b/>
                <w:sz w:val="16"/>
                <w:szCs w:val="18"/>
              </w:rPr>
            </w:pPr>
            <w:r w:rsidRPr="00D17DB1">
              <w:rPr>
                <w:b/>
                <w:sz w:val="16"/>
                <w:szCs w:val="18"/>
              </w:rPr>
              <w:t>Implementation</w:t>
            </w:r>
          </w:p>
        </w:tc>
        <w:tc>
          <w:tcPr>
            <w:tcW w:w="2517" w:type="dxa"/>
            <w:vMerge/>
            <w:shd w:val="clear" w:color="auto" w:fill="B6DDE8" w:themeFill="accent5" w:themeFillTint="66"/>
            <w:tcMar>
              <w:top w:w="85" w:type="dxa"/>
              <w:bottom w:w="85" w:type="dxa"/>
            </w:tcMar>
          </w:tcPr>
          <w:p w:rsidR="00D17DB1" w:rsidRPr="006D7D80" w:rsidRDefault="00D17DB1" w:rsidP="003417D2">
            <w:pPr>
              <w:keepNext/>
              <w:keepLines/>
              <w:rPr>
                <w:b/>
                <w:sz w:val="18"/>
                <w:szCs w:val="18"/>
              </w:rPr>
            </w:pPr>
          </w:p>
        </w:tc>
      </w:tr>
      <w:tr w:rsidR="003417D2" w:rsidTr="00567E4C">
        <w:tc>
          <w:tcPr>
            <w:tcW w:w="2660" w:type="dxa"/>
            <w:tcMar>
              <w:top w:w="85" w:type="dxa"/>
              <w:bottom w:w="85" w:type="dxa"/>
            </w:tcMar>
          </w:tcPr>
          <w:p w:rsidR="003417D2" w:rsidRPr="004A5AF2" w:rsidRDefault="005423E4" w:rsidP="004457EE">
            <w:pPr>
              <w:pStyle w:val="Default"/>
              <w:rPr>
                <w:sz w:val="18"/>
                <w:szCs w:val="18"/>
              </w:rPr>
            </w:pPr>
            <w:r>
              <w:rPr>
                <w:rFonts w:ascii="Arial" w:hAnsi="Arial" w:cs="Arial"/>
                <w:bCs/>
                <w:noProof/>
                <w:sz w:val="18"/>
                <w:szCs w:val="18"/>
              </w:rPr>
              <w:drawing>
                <wp:anchor distT="0" distB="0" distL="114300" distR="114300" simplePos="0" relativeHeight="251682816" behindDoc="1" locked="0" layoutInCell="1" allowOverlap="1" wp14:anchorId="6B188F87" wp14:editId="284726E7">
                  <wp:simplePos x="0" y="0"/>
                  <wp:positionH relativeFrom="column">
                    <wp:posOffset>-58420</wp:posOffset>
                  </wp:positionH>
                  <wp:positionV relativeFrom="paragraph">
                    <wp:posOffset>2540</wp:posOffset>
                  </wp:positionV>
                  <wp:extent cx="247650" cy="247650"/>
                  <wp:effectExtent l="0" t="0" r="0" b="0"/>
                  <wp:wrapTight wrapText="bothSides">
                    <wp:wrapPolygon edited="0">
                      <wp:start x="3323" y="0"/>
                      <wp:lineTo x="0" y="6646"/>
                      <wp:lineTo x="0" y="11631"/>
                      <wp:lineTo x="3323" y="19938"/>
                      <wp:lineTo x="16615" y="19938"/>
                      <wp:lineTo x="19938" y="11631"/>
                      <wp:lineTo x="19938" y="6646"/>
                      <wp:lineTo x="16615" y="0"/>
                      <wp:lineTo x="3323" y="0"/>
                    </wp:wrapPolygon>
                  </wp:wrapTight>
                  <wp:docPr id="18" name="Picture 18" descr="D:\Users\doyon\AppData\Local\Microsoft\Windows\Temporary Internet Files\Content.IE5\RNX63FW3\new[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doyon\AppData\Local\Microsoft\Windows\Temporary Internet Files\Content.IE5\RNX63FW3\new[1].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14:sizeRelH relativeFrom="page">
                    <wp14:pctWidth>0</wp14:pctWidth>
                  </wp14:sizeRelH>
                  <wp14:sizeRelV relativeFrom="page">
                    <wp14:pctHeight>0</wp14:pctHeight>
                  </wp14:sizeRelV>
                </wp:anchor>
              </w:drawing>
            </w:r>
            <w:r w:rsidR="003417D2" w:rsidRPr="00EE7A17">
              <w:rPr>
                <w:rFonts w:ascii="Arial" w:hAnsi="Arial" w:cs="Arial"/>
                <w:bCs/>
                <w:sz w:val="18"/>
                <w:szCs w:val="18"/>
              </w:rPr>
              <w:t xml:space="preserve">Rec. </w:t>
            </w:r>
            <w:proofErr w:type="gramStart"/>
            <w:r w:rsidR="003417D2" w:rsidRPr="00EE7A17">
              <w:rPr>
                <w:rFonts w:ascii="Arial" w:hAnsi="Arial" w:cs="Arial"/>
                <w:bCs/>
                <w:sz w:val="18"/>
                <w:szCs w:val="18"/>
              </w:rPr>
              <w:t>3</w:t>
            </w:r>
            <w:r w:rsidR="003417D2">
              <w:rPr>
                <w:rFonts w:ascii="Arial" w:hAnsi="Arial" w:cs="Arial"/>
                <w:bCs/>
                <w:sz w:val="18"/>
                <w:szCs w:val="18"/>
              </w:rPr>
              <w:t xml:space="preserve"> </w:t>
            </w:r>
            <w:r w:rsidR="003417D2" w:rsidRPr="00EE7A17">
              <w:rPr>
                <w:rFonts w:ascii="Arial" w:hAnsi="Arial" w:cs="Arial"/>
                <w:bCs/>
                <w:sz w:val="18"/>
                <w:szCs w:val="18"/>
              </w:rPr>
              <w:t xml:space="preserve"> The</w:t>
            </w:r>
            <w:proofErr w:type="gramEnd"/>
            <w:r w:rsidR="003417D2" w:rsidRPr="00EE7A17">
              <w:rPr>
                <w:rFonts w:ascii="Arial" w:hAnsi="Arial" w:cs="Arial"/>
                <w:bCs/>
                <w:sz w:val="18"/>
                <w:szCs w:val="18"/>
              </w:rPr>
              <w:t xml:space="preserve"> legislative bodies should request the executive heads of United Nations system organizations to develop comprehensive budget frameworks and resource allocation plans for their respective evaluation functions, based on the cost of maintaining an effective and sustainable evaluation function that adds value to the organization. The plans should be submitted for consideration to the legislative bodies within existing budgetary and reporting mechanisms and processes. </w:t>
            </w:r>
          </w:p>
        </w:tc>
        <w:tc>
          <w:tcPr>
            <w:tcW w:w="1559" w:type="dxa"/>
            <w:tcMar>
              <w:top w:w="85" w:type="dxa"/>
              <w:bottom w:w="85" w:type="dxa"/>
            </w:tcMar>
          </w:tcPr>
          <w:p w:rsidR="003417D2" w:rsidRPr="00B731C5" w:rsidRDefault="003417D2" w:rsidP="003417D2">
            <w:pPr>
              <w:rPr>
                <w:sz w:val="18"/>
                <w:szCs w:val="18"/>
              </w:rPr>
            </w:pPr>
            <w:r>
              <w:rPr>
                <w:sz w:val="18"/>
                <w:szCs w:val="18"/>
              </w:rPr>
              <w:t>Director, Internal Oversight Division</w:t>
            </w:r>
            <w:r w:rsidR="00305BED">
              <w:rPr>
                <w:sz w:val="18"/>
                <w:szCs w:val="18"/>
              </w:rPr>
              <w:t xml:space="preserve"> (IOD)</w:t>
            </w:r>
          </w:p>
        </w:tc>
        <w:tc>
          <w:tcPr>
            <w:tcW w:w="1418" w:type="dxa"/>
            <w:tcMar>
              <w:top w:w="85" w:type="dxa"/>
              <w:bottom w:w="85" w:type="dxa"/>
            </w:tcMar>
          </w:tcPr>
          <w:p w:rsidR="003417D2" w:rsidRPr="00B731C5" w:rsidRDefault="003417D2" w:rsidP="003417D2">
            <w:pPr>
              <w:rPr>
                <w:sz w:val="18"/>
                <w:szCs w:val="18"/>
              </w:rPr>
            </w:pPr>
            <w:r>
              <w:rPr>
                <w:sz w:val="18"/>
                <w:szCs w:val="18"/>
              </w:rPr>
              <w:t>Accepted</w:t>
            </w:r>
          </w:p>
        </w:tc>
        <w:tc>
          <w:tcPr>
            <w:tcW w:w="1417" w:type="dxa"/>
            <w:tcMar>
              <w:top w:w="85" w:type="dxa"/>
              <w:bottom w:w="85" w:type="dxa"/>
            </w:tcMar>
          </w:tcPr>
          <w:p w:rsidR="003417D2" w:rsidRPr="00B731C5" w:rsidRDefault="003417D2" w:rsidP="003417D2">
            <w:pPr>
              <w:rPr>
                <w:sz w:val="18"/>
                <w:szCs w:val="18"/>
              </w:rPr>
            </w:pPr>
            <w:r>
              <w:rPr>
                <w:sz w:val="18"/>
                <w:szCs w:val="18"/>
              </w:rPr>
              <w:t>Implemented</w:t>
            </w:r>
          </w:p>
        </w:tc>
        <w:tc>
          <w:tcPr>
            <w:tcW w:w="2517" w:type="dxa"/>
            <w:tcMar>
              <w:top w:w="85" w:type="dxa"/>
              <w:bottom w:w="85" w:type="dxa"/>
            </w:tcMar>
          </w:tcPr>
          <w:p w:rsidR="003417D2" w:rsidRDefault="003417D2" w:rsidP="003417D2">
            <w:pPr>
              <w:rPr>
                <w:sz w:val="18"/>
                <w:szCs w:val="18"/>
              </w:rPr>
            </w:pPr>
            <w:r>
              <w:rPr>
                <w:sz w:val="18"/>
                <w:szCs w:val="18"/>
              </w:rPr>
              <w:t>Paragraphs 40 and 41 of the WIPO Internal Oversight Charter provide: “</w:t>
            </w:r>
            <w:r w:rsidRPr="00972EDC">
              <w:rPr>
                <w:sz w:val="18"/>
                <w:szCs w:val="18"/>
              </w:rPr>
              <w:t>40. In presenting Program and Budget proposals to the Member States, the Director General</w:t>
            </w:r>
            <w:r>
              <w:rPr>
                <w:sz w:val="18"/>
                <w:szCs w:val="18"/>
              </w:rPr>
              <w:t xml:space="preserve"> </w:t>
            </w:r>
            <w:r w:rsidRPr="00972EDC">
              <w:rPr>
                <w:sz w:val="18"/>
                <w:szCs w:val="18"/>
              </w:rPr>
              <w:t>shall take into account the need to ensure the operational independence of the internal oversight</w:t>
            </w:r>
            <w:r>
              <w:rPr>
                <w:sz w:val="18"/>
                <w:szCs w:val="18"/>
              </w:rPr>
              <w:t xml:space="preserve"> </w:t>
            </w:r>
            <w:r w:rsidRPr="00972EDC">
              <w:rPr>
                <w:sz w:val="18"/>
                <w:szCs w:val="18"/>
              </w:rPr>
              <w:t>function and shall provide the necessary resources to enable the Director, IOD to achieve the</w:t>
            </w:r>
            <w:r>
              <w:rPr>
                <w:sz w:val="18"/>
                <w:szCs w:val="18"/>
              </w:rPr>
              <w:t xml:space="preserve"> </w:t>
            </w:r>
            <w:r w:rsidRPr="00972EDC">
              <w:rPr>
                <w:sz w:val="18"/>
                <w:szCs w:val="18"/>
              </w:rPr>
              <w:t>objectives of his/her mandate. The allocation of financial and human resources including insourcing,</w:t>
            </w:r>
            <w:r>
              <w:rPr>
                <w:sz w:val="18"/>
                <w:szCs w:val="18"/>
              </w:rPr>
              <w:t xml:space="preserve"> </w:t>
            </w:r>
            <w:r w:rsidRPr="00972EDC">
              <w:rPr>
                <w:sz w:val="18"/>
                <w:szCs w:val="18"/>
              </w:rPr>
              <w:t>outsourcing or co</w:t>
            </w:r>
            <w:r>
              <w:rPr>
                <w:sz w:val="18"/>
                <w:szCs w:val="18"/>
              </w:rPr>
              <w:noBreakHyphen/>
            </w:r>
            <w:r w:rsidRPr="00972EDC">
              <w:rPr>
                <w:sz w:val="18"/>
                <w:szCs w:val="18"/>
              </w:rPr>
              <w:t>sourcing of services shall be clearly identified in the Program and</w:t>
            </w:r>
            <w:r>
              <w:rPr>
                <w:sz w:val="18"/>
                <w:szCs w:val="18"/>
              </w:rPr>
              <w:t xml:space="preserve"> </w:t>
            </w:r>
            <w:r w:rsidRPr="00972EDC">
              <w:rPr>
                <w:sz w:val="18"/>
                <w:szCs w:val="18"/>
              </w:rPr>
              <w:t>Budget proposal, which will take into account the advice of the IAOC.</w:t>
            </w:r>
          </w:p>
          <w:p w:rsidR="003417D2" w:rsidRPr="00972EDC" w:rsidRDefault="003417D2" w:rsidP="003417D2">
            <w:pPr>
              <w:rPr>
                <w:sz w:val="18"/>
                <w:szCs w:val="18"/>
              </w:rPr>
            </w:pPr>
          </w:p>
          <w:p w:rsidR="003417D2" w:rsidRPr="00B731C5" w:rsidRDefault="003417D2" w:rsidP="003417D2">
            <w:pPr>
              <w:rPr>
                <w:sz w:val="18"/>
                <w:szCs w:val="18"/>
              </w:rPr>
            </w:pPr>
            <w:r w:rsidRPr="00972EDC">
              <w:rPr>
                <w:sz w:val="18"/>
                <w:szCs w:val="18"/>
              </w:rPr>
              <w:t xml:space="preserve">41. The Director, IOD shall ensure that IOD comprises </w:t>
            </w:r>
            <w:r w:rsidRPr="00972EDC">
              <w:rPr>
                <w:sz w:val="18"/>
                <w:szCs w:val="18"/>
              </w:rPr>
              <w:lastRenderedPageBreak/>
              <w:t>staff, appointed in accordance with WIPO</w:t>
            </w:r>
            <w:r>
              <w:rPr>
                <w:sz w:val="18"/>
                <w:szCs w:val="18"/>
              </w:rPr>
              <w:t xml:space="preserve"> </w:t>
            </w:r>
            <w:r w:rsidRPr="00972EDC">
              <w:rPr>
                <w:sz w:val="18"/>
                <w:szCs w:val="18"/>
              </w:rPr>
              <w:t>Staff Regulations and Rules, which collectively possess the knowledge, skills and other</w:t>
            </w:r>
            <w:r>
              <w:rPr>
                <w:sz w:val="18"/>
                <w:szCs w:val="18"/>
              </w:rPr>
              <w:t xml:space="preserve"> </w:t>
            </w:r>
            <w:r w:rsidRPr="00972EDC">
              <w:rPr>
                <w:sz w:val="18"/>
                <w:szCs w:val="18"/>
              </w:rPr>
              <w:t>competencies needed to perform the internal oversight functions. He/she shall promote continuing</w:t>
            </w:r>
            <w:r>
              <w:rPr>
                <w:sz w:val="18"/>
                <w:szCs w:val="18"/>
              </w:rPr>
              <w:t xml:space="preserve"> </w:t>
            </w:r>
            <w:r w:rsidRPr="00972EDC">
              <w:rPr>
                <w:sz w:val="18"/>
                <w:szCs w:val="18"/>
              </w:rPr>
              <w:t>professional development to meet the requirements of this Charter.</w:t>
            </w:r>
            <w:r w:rsidRPr="00972EDC" w:rsidDel="00972EDC">
              <w:rPr>
                <w:sz w:val="18"/>
                <w:szCs w:val="18"/>
              </w:rPr>
              <w:t xml:space="preserve"> </w:t>
            </w:r>
            <w:r>
              <w:rPr>
                <w:sz w:val="18"/>
                <w:szCs w:val="18"/>
              </w:rPr>
              <w:t>“These provisions address the issues raised in the recommendation on budget and resource allocation. The oversight’s budget, which includes resources for evaluation, is reviewed and approved by the Member States.”</w:t>
            </w:r>
          </w:p>
        </w:tc>
      </w:tr>
      <w:tr w:rsidR="003417D2" w:rsidTr="00567E4C">
        <w:tc>
          <w:tcPr>
            <w:tcW w:w="2660" w:type="dxa"/>
            <w:tcMar>
              <w:top w:w="85" w:type="dxa"/>
              <w:bottom w:w="85" w:type="dxa"/>
            </w:tcMar>
          </w:tcPr>
          <w:p w:rsidR="003417D2" w:rsidRDefault="005423E4" w:rsidP="003417D2">
            <w:pPr>
              <w:pStyle w:val="Default"/>
              <w:rPr>
                <w:rFonts w:ascii="Arial" w:hAnsi="Arial" w:cs="Arial"/>
                <w:bCs/>
                <w:sz w:val="18"/>
                <w:szCs w:val="18"/>
              </w:rPr>
            </w:pPr>
            <w:r>
              <w:rPr>
                <w:rFonts w:ascii="Arial" w:hAnsi="Arial" w:cs="Arial"/>
                <w:bCs/>
                <w:noProof/>
                <w:sz w:val="18"/>
                <w:szCs w:val="18"/>
              </w:rPr>
              <w:lastRenderedPageBreak/>
              <w:drawing>
                <wp:anchor distT="0" distB="0" distL="114300" distR="114300" simplePos="0" relativeHeight="251684864" behindDoc="1" locked="0" layoutInCell="1" allowOverlap="1" wp14:anchorId="4CAC454F" wp14:editId="07EBB5EE">
                  <wp:simplePos x="0" y="0"/>
                  <wp:positionH relativeFrom="column">
                    <wp:posOffset>27305</wp:posOffset>
                  </wp:positionH>
                  <wp:positionV relativeFrom="paragraph">
                    <wp:posOffset>0</wp:posOffset>
                  </wp:positionV>
                  <wp:extent cx="247650" cy="247650"/>
                  <wp:effectExtent l="0" t="0" r="0" b="0"/>
                  <wp:wrapTight wrapText="bothSides">
                    <wp:wrapPolygon edited="0">
                      <wp:start x="3323" y="0"/>
                      <wp:lineTo x="0" y="6646"/>
                      <wp:lineTo x="0" y="11631"/>
                      <wp:lineTo x="3323" y="19938"/>
                      <wp:lineTo x="16615" y="19938"/>
                      <wp:lineTo x="19938" y="11631"/>
                      <wp:lineTo x="19938" y="6646"/>
                      <wp:lineTo x="16615" y="0"/>
                      <wp:lineTo x="3323" y="0"/>
                    </wp:wrapPolygon>
                  </wp:wrapTight>
                  <wp:docPr id="19" name="Picture 19" descr="D:\Users\doyon\AppData\Local\Microsoft\Windows\Temporary Internet Files\Content.IE5\RNX63FW3\new[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doyon\AppData\Local\Microsoft\Windows\Temporary Internet Files\Content.IE5\RNX63FW3\new[1].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14:sizeRelH relativeFrom="page">
                    <wp14:pctWidth>0</wp14:pctWidth>
                  </wp14:sizeRelH>
                  <wp14:sizeRelV relativeFrom="page">
                    <wp14:pctHeight>0</wp14:pctHeight>
                  </wp14:sizeRelV>
                </wp:anchor>
              </w:drawing>
            </w:r>
            <w:r w:rsidR="003417D2" w:rsidRPr="00EE7A17">
              <w:rPr>
                <w:rFonts w:ascii="Arial" w:hAnsi="Arial" w:cs="Arial"/>
                <w:bCs/>
                <w:sz w:val="18"/>
                <w:szCs w:val="18"/>
              </w:rPr>
              <w:t>Rec. 4</w:t>
            </w:r>
            <w:r w:rsidR="003417D2">
              <w:rPr>
                <w:rFonts w:ascii="Arial" w:hAnsi="Arial" w:cs="Arial"/>
                <w:bCs/>
                <w:sz w:val="18"/>
                <w:szCs w:val="18"/>
              </w:rPr>
              <w:t xml:space="preserve"> </w:t>
            </w:r>
            <w:r w:rsidR="003417D2" w:rsidRPr="00EE7A17">
              <w:rPr>
                <w:rFonts w:ascii="Arial" w:hAnsi="Arial" w:cs="Arial"/>
                <w:bCs/>
                <w:sz w:val="18"/>
                <w:szCs w:val="18"/>
              </w:rPr>
              <w:t xml:space="preserve"> The legislative bodies should direct the executive heads of United Nations system organizations to review and revise, as necessary, existing policies for the appointment of the heads of evaluation offices, in order to enhance independence, integrity, ethics, credibility and inclusion, with due regard to the following criteria: </w:t>
            </w:r>
          </w:p>
          <w:p w:rsidR="003417D2" w:rsidRPr="00EE7A17" w:rsidRDefault="003417D2" w:rsidP="003417D2">
            <w:pPr>
              <w:pStyle w:val="Default"/>
              <w:rPr>
                <w:rFonts w:ascii="Arial" w:hAnsi="Arial" w:cs="Arial"/>
                <w:sz w:val="18"/>
                <w:szCs w:val="18"/>
              </w:rPr>
            </w:pPr>
          </w:p>
          <w:p w:rsidR="003417D2" w:rsidRPr="00EE7A17" w:rsidRDefault="003417D2" w:rsidP="003417D2">
            <w:pPr>
              <w:pStyle w:val="Default"/>
              <w:numPr>
                <w:ilvl w:val="0"/>
                <w:numId w:val="8"/>
              </w:numPr>
              <w:ind w:left="360" w:hanging="270"/>
              <w:rPr>
                <w:rFonts w:ascii="Arial" w:hAnsi="Arial" w:cs="Arial"/>
                <w:sz w:val="18"/>
                <w:szCs w:val="18"/>
              </w:rPr>
            </w:pPr>
            <w:r w:rsidRPr="00EE7A17">
              <w:rPr>
                <w:rFonts w:ascii="Arial" w:hAnsi="Arial" w:cs="Arial"/>
                <w:bCs/>
                <w:sz w:val="18"/>
                <w:szCs w:val="18"/>
              </w:rPr>
              <w:t xml:space="preserve">Term limits should be established for a single non-renewable term of office of between five and seven years, with no possibility for the incumbent of re-entry into the organization; </w:t>
            </w:r>
          </w:p>
          <w:p w:rsidR="003417D2" w:rsidRPr="00EE7A17" w:rsidRDefault="003417D2" w:rsidP="003417D2">
            <w:pPr>
              <w:pStyle w:val="Default"/>
              <w:numPr>
                <w:ilvl w:val="0"/>
                <w:numId w:val="8"/>
              </w:numPr>
              <w:ind w:left="360" w:hanging="270"/>
              <w:rPr>
                <w:rFonts w:ascii="Arial" w:hAnsi="Arial" w:cs="Arial"/>
                <w:bCs/>
                <w:sz w:val="18"/>
                <w:szCs w:val="18"/>
              </w:rPr>
            </w:pPr>
            <w:r w:rsidRPr="00EE7A17">
              <w:rPr>
                <w:rFonts w:ascii="Arial" w:hAnsi="Arial" w:cs="Arial"/>
                <w:bCs/>
                <w:sz w:val="18"/>
                <w:szCs w:val="18"/>
              </w:rPr>
              <w:t xml:space="preserve">The head of evaluation should have qualifications and substantial experience in evaluation, complemented by experience in the related fields of strategic planning, basic and operational research and knowledge management, and should have excellent management and leadership attributes. </w:t>
            </w:r>
          </w:p>
        </w:tc>
        <w:tc>
          <w:tcPr>
            <w:tcW w:w="1559" w:type="dxa"/>
            <w:tcMar>
              <w:top w:w="85" w:type="dxa"/>
              <w:bottom w:w="85" w:type="dxa"/>
            </w:tcMar>
          </w:tcPr>
          <w:p w:rsidR="003417D2" w:rsidRDefault="003417D2" w:rsidP="00305BED">
            <w:pPr>
              <w:rPr>
                <w:sz w:val="18"/>
                <w:szCs w:val="18"/>
              </w:rPr>
            </w:pPr>
            <w:r>
              <w:rPr>
                <w:sz w:val="18"/>
                <w:szCs w:val="18"/>
              </w:rPr>
              <w:t xml:space="preserve">Director, </w:t>
            </w:r>
            <w:r w:rsidR="00305BED">
              <w:rPr>
                <w:sz w:val="18"/>
                <w:szCs w:val="18"/>
              </w:rPr>
              <w:t>IOD</w:t>
            </w:r>
          </w:p>
        </w:tc>
        <w:tc>
          <w:tcPr>
            <w:tcW w:w="1418" w:type="dxa"/>
            <w:tcMar>
              <w:top w:w="85" w:type="dxa"/>
              <w:bottom w:w="85" w:type="dxa"/>
            </w:tcMar>
          </w:tcPr>
          <w:p w:rsidR="003417D2" w:rsidRDefault="003417D2" w:rsidP="003417D2">
            <w:pPr>
              <w:rPr>
                <w:sz w:val="18"/>
                <w:szCs w:val="18"/>
              </w:rPr>
            </w:pPr>
            <w:r>
              <w:rPr>
                <w:sz w:val="18"/>
                <w:szCs w:val="18"/>
              </w:rPr>
              <w:t>Accepted</w:t>
            </w:r>
          </w:p>
        </w:tc>
        <w:tc>
          <w:tcPr>
            <w:tcW w:w="1417" w:type="dxa"/>
            <w:tcMar>
              <w:top w:w="85" w:type="dxa"/>
              <w:bottom w:w="85" w:type="dxa"/>
            </w:tcMar>
          </w:tcPr>
          <w:p w:rsidR="003417D2" w:rsidRDefault="003417D2" w:rsidP="003417D2">
            <w:pPr>
              <w:rPr>
                <w:sz w:val="18"/>
                <w:szCs w:val="18"/>
              </w:rPr>
            </w:pPr>
            <w:r>
              <w:rPr>
                <w:sz w:val="18"/>
                <w:szCs w:val="18"/>
              </w:rPr>
              <w:t>Implemented</w:t>
            </w:r>
          </w:p>
        </w:tc>
        <w:tc>
          <w:tcPr>
            <w:tcW w:w="2517" w:type="dxa"/>
            <w:tcMar>
              <w:top w:w="85" w:type="dxa"/>
              <w:bottom w:w="85" w:type="dxa"/>
            </w:tcMar>
          </w:tcPr>
          <w:p w:rsidR="003417D2" w:rsidRDefault="003417D2" w:rsidP="003417D2">
            <w:pPr>
              <w:rPr>
                <w:sz w:val="18"/>
                <w:szCs w:val="18"/>
              </w:rPr>
            </w:pPr>
            <w:r>
              <w:rPr>
                <w:sz w:val="18"/>
                <w:szCs w:val="18"/>
              </w:rPr>
              <w:t>The provisions of the Internal Oversight Charter guarantee that the appointment of the Director of Internal Oversight, responsible for evaluation, conforms with the need for independence, integrity, ethics, credibility and inclusion with due regard to term limits and competence. This is recognized by the JIU in its report JIU/REP/2014/6 under paragraph 94 and table 9.</w:t>
            </w:r>
            <w:r w:rsidR="000E1C35">
              <w:rPr>
                <w:sz w:val="18"/>
                <w:szCs w:val="18"/>
              </w:rPr>
              <w:t xml:space="preserve"> </w:t>
            </w:r>
            <w:r>
              <w:rPr>
                <w:sz w:val="18"/>
                <w:szCs w:val="18"/>
              </w:rPr>
              <w:t>The relevant provisions of the Charter are in the following paragraphs:</w:t>
            </w:r>
          </w:p>
          <w:p w:rsidR="003417D2" w:rsidRDefault="003417D2" w:rsidP="003417D2">
            <w:pPr>
              <w:rPr>
                <w:sz w:val="18"/>
                <w:szCs w:val="18"/>
              </w:rPr>
            </w:pPr>
          </w:p>
          <w:p w:rsidR="003417D2" w:rsidRDefault="003417D2" w:rsidP="003417D2">
            <w:pPr>
              <w:rPr>
                <w:sz w:val="18"/>
                <w:szCs w:val="18"/>
              </w:rPr>
            </w:pPr>
            <w:r w:rsidRPr="00E81AF9">
              <w:rPr>
                <w:sz w:val="18"/>
                <w:szCs w:val="18"/>
              </w:rPr>
              <w:t>42. The Director, IOD shall be a person with high qualifications and competence in oversight</w:t>
            </w:r>
            <w:r>
              <w:rPr>
                <w:sz w:val="18"/>
                <w:szCs w:val="18"/>
              </w:rPr>
              <w:t xml:space="preserve"> </w:t>
            </w:r>
            <w:r w:rsidRPr="00E81AF9">
              <w:rPr>
                <w:sz w:val="18"/>
                <w:szCs w:val="18"/>
              </w:rPr>
              <w:t>functions. The recruitment of the Director, IOD shall be based on an open, transparent</w:t>
            </w:r>
            <w:r>
              <w:rPr>
                <w:sz w:val="18"/>
                <w:szCs w:val="18"/>
              </w:rPr>
              <w:t xml:space="preserve"> </w:t>
            </w:r>
            <w:r w:rsidRPr="00E81AF9">
              <w:rPr>
                <w:sz w:val="18"/>
                <w:szCs w:val="18"/>
              </w:rPr>
              <w:t>international selection process to be conducted by the Director General in consultation with the</w:t>
            </w:r>
            <w:r>
              <w:rPr>
                <w:sz w:val="18"/>
                <w:szCs w:val="18"/>
              </w:rPr>
              <w:t xml:space="preserve"> </w:t>
            </w:r>
            <w:r w:rsidRPr="00E81AF9">
              <w:rPr>
                <w:sz w:val="18"/>
                <w:szCs w:val="18"/>
              </w:rPr>
              <w:t>IAOC.</w:t>
            </w:r>
          </w:p>
          <w:p w:rsidR="003417D2" w:rsidRPr="00E81AF9" w:rsidRDefault="003417D2" w:rsidP="003417D2">
            <w:pPr>
              <w:rPr>
                <w:sz w:val="18"/>
                <w:szCs w:val="18"/>
              </w:rPr>
            </w:pPr>
          </w:p>
          <w:p w:rsidR="003417D2" w:rsidRDefault="003417D2" w:rsidP="003417D2">
            <w:pPr>
              <w:rPr>
                <w:sz w:val="18"/>
                <w:szCs w:val="18"/>
              </w:rPr>
            </w:pPr>
            <w:r w:rsidRPr="00E81AF9">
              <w:rPr>
                <w:sz w:val="18"/>
                <w:szCs w:val="18"/>
              </w:rPr>
              <w:t>43. The Director, IOD shall be appointed by the Director General after endorsement by the IAOC</w:t>
            </w:r>
            <w:r>
              <w:rPr>
                <w:sz w:val="18"/>
                <w:szCs w:val="18"/>
              </w:rPr>
              <w:t xml:space="preserve"> </w:t>
            </w:r>
            <w:r w:rsidRPr="00E81AF9">
              <w:rPr>
                <w:sz w:val="18"/>
                <w:szCs w:val="18"/>
              </w:rPr>
              <w:t>and the Coordination Committee. The Director, IOD shall have a non-renewable fixed term of</w:t>
            </w:r>
            <w:r>
              <w:rPr>
                <w:sz w:val="18"/>
                <w:szCs w:val="18"/>
              </w:rPr>
              <w:t xml:space="preserve"> </w:t>
            </w:r>
            <w:r w:rsidRPr="00E81AF9">
              <w:rPr>
                <w:sz w:val="18"/>
                <w:szCs w:val="18"/>
              </w:rPr>
              <w:t xml:space="preserve">office of six years. On </w:t>
            </w:r>
            <w:r w:rsidRPr="00E81AF9">
              <w:rPr>
                <w:sz w:val="18"/>
                <w:szCs w:val="18"/>
              </w:rPr>
              <w:lastRenderedPageBreak/>
              <w:t>completion of the fixed term of office he/she shall not be eligible for any</w:t>
            </w:r>
            <w:r>
              <w:rPr>
                <w:sz w:val="18"/>
                <w:szCs w:val="18"/>
              </w:rPr>
              <w:t xml:space="preserve"> </w:t>
            </w:r>
            <w:r w:rsidRPr="00E81AF9">
              <w:rPr>
                <w:sz w:val="18"/>
                <w:szCs w:val="18"/>
              </w:rPr>
              <w:t>further employment in WIPO. Steps should be taken, where possible, to ensure that the start of</w:t>
            </w:r>
            <w:r>
              <w:rPr>
                <w:sz w:val="18"/>
                <w:szCs w:val="18"/>
              </w:rPr>
              <w:t xml:space="preserve"> </w:t>
            </w:r>
            <w:r w:rsidRPr="00E81AF9">
              <w:rPr>
                <w:sz w:val="18"/>
                <w:szCs w:val="18"/>
              </w:rPr>
              <w:t>the terms of the Director, IOD should not be the same as that of a new External Auditor.</w:t>
            </w:r>
          </w:p>
          <w:p w:rsidR="00116B07" w:rsidRPr="00E81AF9" w:rsidRDefault="00116B07" w:rsidP="003417D2">
            <w:pPr>
              <w:rPr>
                <w:sz w:val="18"/>
                <w:szCs w:val="18"/>
              </w:rPr>
            </w:pPr>
          </w:p>
          <w:p w:rsidR="003417D2" w:rsidRDefault="003417D2" w:rsidP="003417D2">
            <w:pPr>
              <w:rPr>
                <w:sz w:val="18"/>
                <w:szCs w:val="18"/>
              </w:rPr>
            </w:pPr>
            <w:r w:rsidRPr="00E81AF9">
              <w:rPr>
                <w:sz w:val="18"/>
                <w:szCs w:val="18"/>
              </w:rPr>
              <w:t>44. The Director General may dismiss the Director, IOD only on specific and documented</w:t>
            </w:r>
            <w:r>
              <w:rPr>
                <w:sz w:val="18"/>
                <w:szCs w:val="18"/>
              </w:rPr>
              <w:t xml:space="preserve"> </w:t>
            </w:r>
            <w:r w:rsidRPr="00E81AF9">
              <w:rPr>
                <w:sz w:val="18"/>
                <w:szCs w:val="18"/>
              </w:rPr>
              <w:t>grounds and after endorsement by the IAOC and the Coordination Committee.</w:t>
            </w:r>
            <w:r>
              <w:rPr>
                <w:sz w:val="18"/>
                <w:szCs w:val="18"/>
              </w:rPr>
              <w:t xml:space="preserve"> </w:t>
            </w:r>
          </w:p>
          <w:p w:rsidR="00116B07" w:rsidRPr="00E81AF9" w:rsidRDefault="00116B07" w:rsidP="003417D2">
            <w:pPr>
              <w:rPr>
                <w:sz w:val="18"/>
                <w:szCs w:val="18"/>
              </w:rPr>
            </w:pPr>
          </w:p>
          <w:p w:rsidR="003417D2" w:rsidRDefault="003417D2" w:rsidP="003417D2">
            <w:pPr>
              <w:rPr>
                <w:sz w:val="18"/>
                <w:szCs w:val="18"/>
              </w:rPr>
            </w:pPr>
            <w:r w:rsidRPr="00E81AF9">
              <w:rPr>
                <w:sz w:val="18"/>
                <w:szCs w:val="18"/>
              </w:rPr>
              <w:t>45. The performance appraisal of the Director, IOD shall be made by the Director General after</w:t>
            </w:r>
            <w:r>
              <w:rPr>
                <w:sz w:val="18"/>
                <w:szCs w:val="18"/>
              </w:rPr>
              <w:t xml:space="preserve"> </w:t>
            </w:r>
            <w:r w:rsidRPr="00E81AF9">
              <w:rPr>
                <w:sz w:val="18"/>
                <w:szCs w:val="18"/>
              </w:rPr>
              <w:t>receiving input from and in consultation with the IAOC.</w:t>
            </w:r>
            <w:r>
              <w:rPr>
                <w:sz w:val="18"/>
                <w:szCs w:val="18"/>
              </w:rPr>
              <w:t>”</w:t>
            </w:r>
          </w:p>
        </w:tc>
      </w:tr>
    </w:tbl>
    <w:p w:rsidR="00CF386F" w:rsidRDefault="00CF386F" w:rsidP="003417D2">
      <w:pPr>
        <w:rPr>
          <w:bCs/>
        </w:rPr>
      </w:pPr>
    </w:p>
    <w:p w:rsidR="00571309" w:rsidRDefault="00571309" w:rsidP="003417D2">
      <w:pPr>
        <w:rPr>
          <w:bCs/>
        </w:rPr>
      </w:pPr>
    </w:p>
    <w:p w:rsidR="004A5AF2" w:rsidRPr="00BB37A1" w:rsidRDefault="004A5AF2" w:rsidP="00533D03">
      <w:pPr>
        <w:pStyle w:val="ListParagraph"/>
        <w:numPr>
          <w:ilvl w:val="0"/>
          <w:numId w:val="9"/>
        </w:numPr>
      </w:pPr>
      <w:r w:rsidRPr="00533D03">
        <w:rPr>
          <w:bCs/>
        </w:rPr>
        <w:t>JIU/</w:t>
      </w:r>
      <w:r w:rsidR="003C2D3C">
        <w:rPr>
          <w:bCs/>
        </w:rPr>
        <w:t>REP/</w:t>
      </w:r>
      <w:r w:rsidRPr="00533D03">
        <w:rPr>
          <w:bCs/>
        </w:rPr>
        <w:t>2014/3</w:t>
      </w:r>
      <w:r w:rsidRPr="00BB37A1">
        <w:t xml:space="preserve"> “Capital/refurbishment/construction projects across the United</w:t>
      </w:r>
      <w:r w:rsidR="002E658D">
        <w:t xml:space="preserve"> </w:t>
      </w:r>
      <w:r w:rsidRPr="00BB37A1">
        <w:t>Nations</w:t>
      </w:r>
      <w:r w:rsidR="002E658D">
        <w:t xml:space="preserve"> </w:t>
      </w:r>
      <w:r w:rsidRPr="00BB37A1">
        <w:t>system</w:t>
      </w:r>
      <w:r w:rsidR="002E658D">
        <w:t xml:space="preserve"> </w:t>
      </w:r>
      <w:r w:rsidRPr="00BB37A1">
        <w:t>organizations”</w:t>
      </w:r>
    </w:p>
    <w:p w:rsidR="004A5AF2" w:rsidRDefault="004A5AF2" w:rsidP="009247F4">
      <w:pPr>
        <w:rPr>
          <w:b/>
        </w:rPr>
      </w:pPr>
    </w:p>
    <w:p w:rsidR="002E658D" w:rsidRPr="006803B7" w:rsidRDefault="002E658D" w:rsidP="002E658D">
      <w:r w:rsidRPr="006803B7">
        <w:t>This</w:t>
      </w:r>
      <w:r>
        <w:t xml:space="preserve"> report was issued by the JIU on </w:t>
      </w:r>
      <w:r w:rsidR="00AD7562">
        <w:t>September 30, 2014</w:t>
      </w:r>
      <w:r>
        <w:t>.  All recommendations are therefore new within the context of the progress report to Member States.</w:t>
      </w:r>
    </w:p>
    <w:p w:rsidR="009F79CC" w:rsidRDefault="009F79CC" w:rsidP="002E658D">
      <w:pPr>
        <w:rPr>
          <w:b/>
        </w:rPr>
      </w:pPr>
    </w:p>
    <w:p w:rsidR="00201B52" w:rsidRDefault="00201B52" w:rsidP="002E658D">
      <w:pPr>
        <w:rPr>
          <w:b/>
        </w:rPr>
      </w:pPr>
    </w:p>
    <w:tbl>
      <w:tblPr>
        <w:tblStyle w:val="TableGrid"/>
        <w:tblW w:w="0" w:type="auto"/>
        <w:tblLayout w:type="fixed"/>
        <w:tblLook w:val="04A0" w:firstRow="1" w:lastRow="0" w:firstColumn="1" w:lastColumn="0" w:noHBand="0" w:noVBand="1"/>
      </w:tblPr>
      <w:tblGrid>
        <w:gridCol w:w="2660"/>
        <w:gridCol w:w="1559"/>
        <w:gridCol w:w="1418"/>
        <w:gridCol w:w="1417"/>
        <w:gridCol w:w="2517"/>
      </w:tblGrid>
      <w:tr w:rsidR="00874852" w:rsidTr="00567E4C">
        <w:trPr>
          <w:tblHeader/>
        </w:trPr>
        <w:tc>
          <w:tcPr>
            <w:tcW w:w="2660" w:type="dxa"/>
            <w:vMerge w:val="restart"/>
            <w:shd w:val="clear" w:color="auto" w:fill="B6DDE8" w:themeFill="accent5" w:themeFillTint="66"/>
            <w:tcMar>
              <w:top w:w="85" w:type="dxa"/>
              <w:bottom w:w="85" w:type="dxa"/>
            </w:tcMar>
            <w:vAlign w:val="center"/>
          </w:tcPr>
          <w:p w:rsidR="00874852" w:rsidRDefault="00874852" w:rsidP="00874852">
            <w:pPr>
              <w:jc w:val="center"/>
              <w:rPr>
                <w:b/>
                <w:sz w:val="18"/>
                <w:szCs w:val="18"/>
              </w:rPr>
            </w:pPr>
            <w:r w:rsidRPr="006D7D80">
              <w:rPr>
                <w:b/>
                <w:sz w:val="18"/>
                <w:szCs w:val="18"/>
              </w:rPr>
              <w:t>Recommendation</w:t>
            </w:r>
          </w:p>
        </w:tc>
        <w:tc>
          <w:tcPr>
            <w:tcW w:w="1559" w:type="dxa"/>
            <w:vMerge w:val="restart"/>
            <w:shd w:val="clear" w:color="auto" w:fill="B6DDE8" w:themeFill="accent5" w:themeFillTint="66"/>
            <w:tcMar>
              <w:top w:w="85" w:type="dxa"/>
              <w:bottom w:w="85" w:type="dxa"/>
            </w:tcMar>
            <w:vAlign w:val="center"/>
          </w:tcPr>
          <w:p w:rsidR="00874852" w:rsidRDefault="00874852" w:rsidP="00874852">
            <w:pPr>
              <w:jc w:val="center"/>
              <w:rPr>
                <w:b/>
                <w:sz w:val="18"/>
                <w:szCs w:val="18"/>
              </w:rPr>
            </w:pPr>
            <w:r w:rsidRPr="006D7D80">
              <w:rPr>
                <w:b/>
                <w:sz w:val="18"/>
                <w:szCs w:val="18"/>
              </w:rPr>
              <w:t>Responsible Officer</w:t>
            </w:r>
          </w:p>
        </w:tc>
        <w:tc>
          <w:tcPr>
            <w:tcW w:w="2835" w:type="dxa"/>
            <w:gridSpan w:val="2"/>
            <w:shd w:val="clear" w:color="auto" w:fill="B6DDE8" w:themeFill="accent5" w:themeFillTint="66"/>
            <w:tcMar>
              <w:top w:w="85" w:type="dxa"/>
              <w:bottom w:w="85" w:type="dxa"/>
            </w:tcMar>
            <w:vAlign w:val="center"/>
          </w:tcPr>
          <w:p w:rsidR="00874852" w:rsidRDefault="00874852" w:rsidP="00874852">
            <w:pPr>
              <w:jc w:val="center"/>
              <w:rPr>
                <w:b/>
                <w:sz w:val="18"/>
                <w:szCs w:val="18"/>
              </w:rPr>
            </w:pPr>
            <w:r>
              <w:rPr>
                <w:b/>
                <w:sz w:val="18"/>
                <w:szCs w:val="18"/>
              </w:rPr>
              <w:t>Acceptance Status</w:t>
            </w:r>
          </w:p>
        </w:tc>
        <w:tc>
          <w:tcPr>
            <w:tcW w:w="2517" w:type="dxa"/>
            <w:vMerge w:val="restart"/>
            <w:shd w:val="clear" w:color="auto" w:fill="B6DDE8" w:themeFill="accent5" w:themeFillTint="66"/>
            <w:tcMar>
              <w:top w:w="85" w:type="dxa"/>
              <w:bottom w:w="85" w:type="dxa"/>
            </w:tcMar>
            <w:vAlign w:val="center"/>
          </w:tcPr>
          <w:p w:rsidR="00874852" w:rsidRDefault="00874852" w:rsidP="00874852">
            <w:pPr>
              <w:jc w:val="center"/>
              <w:rPr>
                <w:b/>
                <w:sz w:val="18"/>
                <w:szCs w:val="18"/>
              </w:rPr>
            </w:pPr>
            <w:r w:rsidRPr="006D7D80">
              <w:rPr>
                <w:b/>
                <w:sz w:val="18"/>
                <w:szCs w:val="18"/>
              </w:rPr>
              <w:t>Management/Focal Point Assessment</w:t>
            </w:r>
          </w:p>
        </w:tc>
      </w:tr>
      <w:tr w:rsidR="00874852" w:rsidTr="00567E4C">
        <w:trPr>
          <w:tblHeader/>
        </w:trPr>
        <w:tc>
          <w:tcPr>
            <w:tcW w:w="2660" w:type="dxa"/>
            <w:vMerge/>
            <w:shd w:val="clear" w:color="auto" w:fill="B6DDE8" w:themeFill="accent5" w:themeFillTint="66"/>
            <w:tcMar>
              <w:top w:w="85" w:type="dxa"/>
              <w:bottom w:w="85" w:type="dxa"/>
            </w:tcMar>
          </w:tcPr>
          <w:p w:rsidR="00874852" w:rsidRPr="006D7D80" w:rsidRDefault="00874852" w:rsidP="00874852">
            <w:pPr>
              <w:rPr>
                <w:b/>
                <w:sz w:val="18"/>
                <w:szCs w:val="18"/>
              </w:rPr>
            </w:pPr>
          </w:p>
        </w:tc>
        <w:tc>
          <w:tcPr>
            <w:tcW w:w="1559" w:type="dxa"/>
            <w:vMerge/>
            <w:shd w:val="clear" w:color="auto" w:fill="B6DDE8" w:themeFill="accent5" w:themeFillTint="66"/>
            <w:tcMar>
              <w:top w:w="85" w:type="dxa"/>
              <w:bottom w:w="85" w:type="dxa"/>
            </w:tcMar>
          </w:tcPr>
          <w:p w:rsidR="00874852" w:rsidRPr="006D7D80" w:rsidRDefault="00874852" w:rsidP="00874852">
            <w:pPr>
              <w:rPr>
                <w:b/>
                <w:sz w:val="18"/>
                <w:szCs w:val="18"/>
              </w:rPr>
            </w:pPr>
          </w:p>
        </w:tc>
        <w:tc>
          <w:tcPr>
            <w:tcW w:w="1418" w:type="dxa"/>
            <w:shd w:val="clear" w:color="auto" w:fill="B6DDE8" w:themeFill="accent5" w:themeFillTint="66"/>
            <w:tcMar>
              <w:top w:w="85" w:type="dxa"/>
              <w:bottom w:w="85" w:type="dxa"/>
            </w:tcMar>
            <w:vAlign w:val="center"/>
          </w:tcPr>
          <w:p w:rsidR="00874852" w:rsidRPr="00874852" w:rsidRDefault="00874852" w:rsidP="00874852">
            <w:pPr>
              <w:jc w:val="center"/>
              <w:rPr>
                <w:b/>
                <w:sz w:val="16"/>
                <w:szCs w:val="18"/>
              </w:rPr>
            </w:pPr>
            <w:r w:rsidRPr="00874852">
              <w:rPr>
                <w:b/>
                <w:sz w:val="16"/>
                <w:szCs w:val="18"/>
              </w:rPr>
              <w:t>Acceptance</w:t>
            </w:r>
          </w:p>
        </w:tc>
        <w:tc>
          <w:tcPr>
            <w:tcW w:w="1417" w:type="dxa"/>
            <w:shd w:val="clear" w:color="auto" w:fill="B6DDE8" w:themeFill="accent5" w:themeFillTint="66"/>
            <w:tcMar>
              <w:top w:w="85" w:type="dxa"/>
              <w:bottom w:w="85" w:type="dxa"/>
            </w:tcMar>
            <w:vAlign w:val="center"/>
          </w:tcPr>
          <w:p w:rsidR="00874852" w:rsidRPr="00874852" w:rsidRDefault="00874852" w:rsidP="00874852">
            <w:pPr>
              <w:jc w:val="center"/>
              <w:rPr>
                <w:b/>
                <w:sz w:val="16"/>
                <w:szCs w:val="18"/>
              </w:rPr>
            </w:pPr>
            <w:r w:rsidRPr="00874852">
              <w:rPr>
                <w:b/>
                <w:sz w:val="16"/>
                <w:szCs w:val="18"/>
              </w:rPr>
              <w:t>Implementation</w:t>
            </w:r>
          </w:p>
        </w:tc>
        <w:tc>
          <w:tcPr>
            <w:tcW w:w="2517" w:type="dxa"/>
            <w:vMerge/>
            <w:shd w:val="clear" w:color="auto" w:fill="B6DDE8" w:themeFill="accent5" w:themeFillTint="66"/>
            <w:tcMar>
              <w:top w:w="85" w:type="dxa"/>
              <w:bottom w:w="85" w:type="dxa"/>
            </w:tcMar>
          </w:tcPr>
          <w:p w:rsidR="00874852" w:rsidRPr="006D7D80" w:rsidRDefault="00874852" w:rsidP="003417D2">
            <w:pPr>
              <w:rPr>
                <w:b/>
                <w:sz w:val="18"/>
                <w:szCs w:val="18"/>
              </w:rPr>
            </w:pPr>
          </w:p>
        </w:tc>
      </w:tr>
      <w:tr w:rsidR="00B731C5" w:rsidTr="00567E4C">
        <w:tc>
          <w:tcPr>
            <w:tcW w:w="2660" w:type="dxa"/>
            <w:tcMar>
              <w:top w:w="85" w:type="dxa"/>
              <w:bottom w:w="85" w:type="dxa"/>
            </w:tcMar>
          </w:tcPr>
          <w:p w:rsidR="00F561E6" w:rsidRDefault="005423E4" w:rsidP="003417D2">
            <w:pPr>
              <w:rPr>
                <w:sz w:val="18"/>
                <w:szCs w:val="18"/>
              </w:rPr>
            </w:pPr>
            <w:r>
              <w:rPr>
                <w:bCs/>
                <w:noProof/>
                <w:sz w:val="18"/>
                <w:szCs w:val="18"/>
                <w:lang w:eastAsia="en-US"/>
              </w:rPr>
              <w:drawing>
                <wp:anchor distT="0" distB="0" distL="114300" distR="114300" simplePos="0" relativeHeight="251686912" behindDoc="1" locked="0" layoutInCell="1" allowOverlap="1" wp14:anchorId="78AF10D9" wp14:editId="6F26472C">
                  <wp:simplePos x="0" y="0"/>
                  <wp:positionH relativeFrom="column">
                    <wp:posOffset>635</wp:posOffset>
                  </wp:positionH>
                  <wp:positionV relativeFrom="paragraph">
                    <wp:posOffset>5080</wp:posOffset>
                  </wp:positionV>
                  <wp:extent cx="247650" cy="247650"/>
                  <wp:effectExtent l="0" t="0" r="0" b="0"/>
                  <wp:wrapTight wrapText="bothSides">
                    <wp:wrapPolygon edited="0">
                      <wp:start x="3323" y="0"/>
                      <wp:lineTo x="0" y="6646"/>
                      <wp:lineTo x="0" y="11631"/>
                      <wp:lineTo x="3323" y="19938"/>
                      <wp:lineTo x="16615" y="19938"/>
                      <wp:lineTo x="19938" y="11631"/>
                      <wp:lineTo x="19938" y="6646"/>
                      <wp:lineTo x="16615" y="0"/>
                      <wp:lineTo x="3323" y="0"/>
                    </wp:wrapPolygon>
                  </wp:wrapTight>
                  <wp:docPr id="20" name="Picture 20" descr="D:\Users\doyon\AppData\Local\Microsoft\Windows\Temporary Internet Files\Content.IE5\RNX63FW3\new[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doyon\AppData\Local\Microsoft\Windows\Temporary Internet Files\Content.IE5\RNX63FW3\new[1].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14:sizeRelH relativeFrom="page">
                    <wp14:pctWidth>0</wp14:pctWidth>
                  </wp14:sizeRelH>
                  <wp14:sizeRelV relativeFrom="page">
                    <wp14:pctHeight>0</wp14:pctHeight>
                  </wp14:sizeRelV>
                </wp:anchor>
              </w:drawing>
            </w:r>
            <w:r w:rsidR="004A5AF2" w:rsidRPr="004A5AF2">
              <w:rPr>
                <w:sz w:val="18"/>
                <w:szCs w:val="18"/>
              </w:rPr>
              <w:t>Rec. 2  Taking into account the high cost and high risk of capital/refurbishment/construction projects, the legislative/</w:t>
            </w:r>
          </w:p>
          <w:p w:rsidR="00B731C5" w:rsidRPr="004A5AF2" w:rsidRDefault="004A5AF2" w:rsidP="003417D2">
            <w:pPr>
              <w:rPr>
                <w:sz w:val="18"/>
                <w:szCs w:val="18"/>
              </w:rPr>
            </w:pPr>
            <w:proofErr w:type="gramStart"/>
            <w:r w:rsidRPr="004A5AF2">
              <w:rPr>
                <w:sz w:val="18"/>
                <w:szCs w:val="18"/>
              </w:rPr>
              <w:t>governing</w:t>
            </w:r>
            <w:proofErr w:type="gramEnd"/>
            <w:r w:rsidRPr="004A5AF2">
              <w:rPr>
                <w:sz w:val="18"/>
                <w:szCs w:val="18"/>
              </w:rPr>
              <w:t xml:space="preserve"> bodies of the United Nations system organizations should exercise their monitoring and oversight role with regard to their respective projects on an ongoing basis, including during the pre-planning, planning, executing and completing phases, ensuring cost efficiency and the achievement of the overall goals of the projects.</w:t>
            </w:r>
          </w:p>
        </w:tc>
        <w:tc>
          <w:tcPr>
            <w:tcW w:w="1559" w:type="dxa"/>
            <w:tcMar>
              <w:top w:w="85" w:type="dxa"/>
              <w:bottom w:w="85" w:type="dxa"/>
            </w:tcMar>
          </w:tcPr>
          <w:p w:rsidR="00B731C5" w:rsidRPr="00305BED" w:rsidRDefault="005D0D6C" w:rsidP="003417D2">
            <w:pPr>
              <w:rPr>
                <w:sz w:val="18"/>
                <w:szCs w:val="18"/>
                <w:lang w:val="fr-CH"/>
              </w:rPr>
            </w:pPr>
            <w:proofErr w:type="spellStart"/>
            <w:r w:rsidRPr="00305BED">
              <w:rPr>
                <w:sz w:val="18"/>
                <w:szCs w:val="18"/>
                <w:lang w:val="fr-CH"/>
              </w:rPr>
              <w:t>Director</w:t>
            </w:r>
            <w:proofErr w:type="spellEnd"/>
            <w:r w:rsidRPr="00305BED">
              <w:rPr>
                <w:sz w:val="18"/>
                <w:szCs w:val="18"/>
                <w:lang w:val="fr-CH"/>
              </w:rPr>
              <w:t xml:space="preserve">, </w:t>
            </w:r>
            <w:proofErr w:type="spellStart"/>
            <w:r w:rsidRPr="00305BED">
              <w:rPr>
                <w:sz w:val="18"/>
                <w:szCs w:val="18"/>
                <w:lang w:val="fr-CH"/>
              </w:rPr>
              <w:t>Premises</w:t>
            </w:r>
            <w:proofErr w:type="spellEnd"/>
            <w:r w:rsidRPr="00305BED">
              <w:rPr>
                <w:sz w:val="18"/>
                <w:szCs w:val="18"/>
                <w:lang w:val="fr-CH"/>
              </w:rPr>
              <w:t xml:space="preserve"> Infrastructure Division</w:t>
            </w:r>
            <w:r w:rsidR="00F561E6">
              <w:rPr>
                <w:sz w:val="18"/>
                <w:szCs w:val="18"/>
                <w:lang w:val="fr-CH"/>
              </w:rPr>
              <w:t xml:space="preserve"> (PID)</w:t>
            </w:r>
          </w:p>
        </w:tc>
        <w:tc>
          <w:tcPr>
            <w:tcW w:w="1418" w:type="dxa"/>
            <w:tcMar>
              <w:top w:w="85" w:type="dxa"/>
              <w:bottom w:w="85" w:type="dxa"/>
            </w:tcMar>
          </w:tcPr>
          <w:p w:rsidR="00B731C5" w:rsidRPr="00B731C5" w:rsidRDefault="005D0D6C" w:rsidP="003417D2">
            <w:pPr>
              <w:rPr>
                <w:sz w:val="18"/>
                <w:szCs w:val="18"/>
              </w:rPr>
            </w:pPr>
            <w:r>
              <w:rPr>
                <w:sz w:val="18"/>
                <w:szCs w:val="18"/>
              </w:rPr>
              <w:t>Accepted</w:t>
            </w:r>
          </w:p>
        </w:tc>
        <w:tc>
          <w:tcPr>
            <w:tcW w:w="1417" w:type="dxa"/>
            <w:tcMar>
              <w:top w:w="85" w:type="dxa"/>
              <w:bottom w:w="85" w:type="dxa"/>
            </w:tcMar>
          </w:tcPr>
          <w:p w:rsidR="00B731C5" w:rsidRPr="00B731C5" w:rsidRDefault="005D0D6C" w:rsidP="003417D2">
            <w:pPr>
              <w:rPr>
                <w:sz w:val="18"/>
                <w:szCs w:val="18"/>
              </w:rPr>
            </w:pPr>
            <w:r>
              <w:rPr>
                <w:sz w:val="18"/>
                <w:szCs w:val="18"/>
              </w:rPr>
              <w:t>Implemented</w:t>
            </w:r>
          </w:p>
        </w:tc>
        <w:tc>
          <w:tcPr>
            <w:tcW w:w="2517" w:type="dxa"/>
            <w:tcMar>
              <w:top w:w="85" w:type="dxa"/>
              <w:bottom w:w="85" w:type="dxa"/>
            </w:tcMar>
          </w:tcPr>
          <w:p w:rsidR="00B731C5" w:rsidRPr="00B731C5" w:rsidRDefault="005D0D6C" w:rsidP="003417D2">
            <w:pPr>
              <w:rPr>
                <w:sz w:val="18"/>
                <w:szCs w:val="18"/>
              </w:rPr>
            </w:pPr>
            <w:r w:rsidRPr="005D0D6C">
              <w:rPr>
                <w:sz w:val="18"/>
              </w:rPr>
              <w:t>Member States review and approve such projects as well as monitor and oversee implementation of the same, both directly, through project progress reports, as well as through relevant reports of the External Auditor, the Internal Oversight Division, and the Independent Advisory Oversight Committee.</w:t>
            </w:r>
          </w:p>
        </w:tc>
      </w:tr>
    </w:tbl>
    <w:p w:rsidR="00BB37A1" w:rsidRDefault="00BB37A1" w:rsidP="003417D2"/>
    <w:p w:rsidR="00571309" w:rsidRDefault="00571309">
      <w:r>
        <w:br w:type="page"/>
      </w:r>
    </w:p>
    <w:p w:rsidR="00D35B77" w:rsidRPr="00D35B77" w:rsidRDefault="00D35B77" w:rsidP="00DE0429">
      <w:pPr>
        <w:pStyle w:val="ListParagraph"/>
        <w:numPr>
          <w:ilvl w:val="0"/>
          <w:numId w:val="9"/>
        </w:numPr>
        <w:rPr>
          <w:szCs w:val="22"/>
        </w:rPr>
      </w:pPr>
      <w:r w:rsidRPr="00D35B77">
        <w:rPr>
          <w:szCs w:val="22"/>
        </w:rPr>
        <w:lastRenderedPageBreak/>
        <w:t>JIU/2014/2 “Review of Management and Administration in the World Intellectual Property Organization (WIPO)”</w:t>
      </w:r>
    </w:p>
    <w:p w:rsidR="009F79CC" w:rsidRDefault="009F79CC" w:rsidP="003417D2"/>
    <w:p w:rsidR="00201B52" w:rsidRDefault="00201B52" w:rsidP="003417D2"/>
    <w:tbl>
      <w:tblPr>
        <w:tblStyle w:val="TableGrid"/>
        <w:tblW w:w="0" w:type="auto"/>
        <w:tblLayout w:type="fixed"/>
        <w:tblLook w:val="04A0" w:firstRow="1" w:lastRow="0" w:firstColumn="1" w:lastColumn="0" w:noHBand="0" w:noVBand="1"/>
      </w:tblPr>
      <w:tblGrid>
        <w:gridCol w:w="2660"/>
        <w:gridCol w:w="1559"/>
        <w:gridCol w:w="1418"/>
        <w:gridCol w:w="1417"/>
        <w:gridCol w:w="2517"/>
      </w:tblGrid>
      <w:tr w:rsidR="00D35B77" w:rsidTr="00567E4C">
        <w:trPr>
          <w:tblHeader/>
        </w:trPr>
        <w:tc>
          <w:tcPr>
            <w:tcW w:w="2660" w:type="dxa"/>
            <w:vMerge w:val="restart"/>
            <w:shd w:val="clear" w:color="auto" w:fill="B6DDE8" w:themeFill="accent5" w:themeFillTint="66"/>
            <w:tcMar>
              <w:top w:w="85" w:type="dxa"/>
              <w:bottom w:w="85" w:type="dxa"/>
            </w:tcMar>
            <w:vAlign w:val="center"/>
          </w:tcPr>
          <w:p w:rsidR="00D35B77" w:rsidRDefault="00D35B77" w:rsidP="003A0402">
            <w:pPr>
              <w:jc w:val="center"/>
              <w:rPr>
                <w:b/>
              </w:rPr>
            </w:pPr>
            <w:r>
              <w:rPr>
                <w:b/>
              </w:rPr>
              <w:br w:type="page"/>
            </w:r>
            <w:r w:rsidRPr="006D7D80">
              <w:rPr>
                <w:b/>
                <w:sz w:val="18"/>
                <w:szCs w:val="18"/>
              </w:rPr>
              <w:t>Recommendation</w:t>
            </w:r>
          </w:p>
        </w:tc>
        <w:tc>
          <w:tcPr>
            <w:tcW w:w="1559" w:type="dxa"/>
            <w:vMerge w:val="restart"/>
            <w:shd w:val="clear" w:color="auto" w:fill="B6DDE8" w:themeFill="accent5" w:themeFillTint="66"/>
            <w:tcMar>
              <w:top w:w="85" w:type="dxa"/>
              <w:bottom w:w="85" w:type="dxa"/>
            </w:tcMar>
            <w:vAlign w:val="center"/>
          </w:tcPr>
          <w:p w:rsidR="00D35B77" w:rsidRDefault="00D35B77" w:rsidP="003A0402">
            <w:pPr>
              <w:jc w:val="center"/>
              <w:rPr>
                <w:b/>
                <w:sz w:val="18"/>
                <w:szCs w:val="18"/>
              </w:rPr>
            </w:pPr>
            <w:r w:rsidRPr="006D7D80">
              <w:rPr>
                <w:b/>
                <w:sz w:val="18"/>
                <w:szCs w:val="18"/>
              </w:rPr>
              <w:t>Responsible Officer</w:t>
            </w:r>
          </w:p>
        </w:tc>
        <w:tc>
          <w:tcPr>
            <w:tcW w:w="2835" w:type="dxa"/>
            <w:gridSpan w:val="2"/>
            <w:shd w:val="clear" w:color="auto" w:fill="B6DDE8" w:themeFill="accent5" w:themeFillTint="66"/>
            <w:tcMar>
              <w:top w:w="85" w:type="dxa"/>
              <w:bottom w:w="85" w:type="dxa"/>
            </w:tcMar>
            <w:vAlign w:val="center"/>
          </w:tcPr>
          <w:p w:rsidR="00D35B77" w:rsidRDefault="00D35B77" w:rsidP="003A0402">
            <w:pPr>
              <w:jc w:val="center"/>
              <w:rPr>
                <w:b/>
                <w:sz w:val="18"/>
                <w:szCs w:val="18"/>
              </w:rPr>
            </w:pPr>
            <w:r>
              <w:rPr>
                <w:b/>
                <w:sz w:val="18"/>
                <w:szCs w:val="18"/>
              </w:rPr>
              <w:t>Acceptance Status</w:t>
            </w:r>
            <w:r w:rsidR="00602A1B">
              <w:rPr>
                <w:b/>
                <w:sz w:val="18"/>
                <w:szCs w:val="18"/>
              </w:rPr>
              <w:t>*</w:t>
            </w:r>
          </w:p>
        </w:tc>
        <w:tc>
          <w:tcPr>
            <w:tcW w:w="2517" w:type="dxa"/>
            <w:vMerge w:val="restart"/>
            <w:shd w:val="clear" w:color="auto" w:fill="B6DDE8" w:themeFill="accent5" w:themeFillTint="66"/>
            <w:tcMar>
              <w:top w:w="85" w:type="dxa"/>
              <w:bottom w:w="85" w:type="dxa"/>
            </w:tcMar>
            <w:vAlign w:val="center"/>
          </w:tcPr>
          <w:p w:rsidR="00D35B77" w:rsidRDefault="00D35B77" w:rsidP="003A0402">
            <w:pPr>
              <w:jc w:val="center"/>
              <w:rPr>
                <w:b/>
                <w:sz w:val="18"/>
                <w:szCs w:val="18"/>
              </w:rPr>
            </w:pPr>
            <w:r w:rsidRPr="006D7D80">
              <w:rPr>
                <w:b/>
                <w:sz w:val="18"/>
                <w:szCs w:val="18"/>
              </w:rPr>
              <w:t>Management/Focal Point Assessment</w:t>
            </w:r>
          </w:p>
        </w:tc>
      </w:tr>
      <w:tr w:rsidR="00D35B77" w:rsidTr="00567E4C">
        <w:trPr>
          <w:trHeight w:val="355"/>
          <w:tblHeader/>
        </w:trPr>
        <w:tc>
          <w:tcPr>
            <w:tcW w:w="2660" w:type="dxa"/>
            <w:vMerge/>
            <w:shd w:val="clear" w:color="auto" w:fill="B6DDE8" w:themeFill="accent5" w:themeFillTint="66"/>
          </w:tcPr>
          <w:p w:rsidR="00D35B77" w:rsidRPr="006D7D80" w:rsidRDefault="00D35B77" w:rsidP="003A0402">
            <w:pPr>
              <w:rPr>
                <w:b/>
                <w:sz w:val="18"/>
                <w:szCs w:val="18"/>
              </w:rPr>
            </w:pPr>
          </w:p>
        </w:tc>
        <w:tc>
          <w:tcPr>
            <w:tcW w:w="1559" w:type="dxa"/>
            <w:vMerge/>
            <w:shd w:val="clear" w:color="auto" w:fill="B6DDE8" w:themeFill="accent5" w:themeFillTint="66"/>
          </w:tcPr>
          <w:p w:rsidR="00D35B77" w:rsidRPr="006D7D80" w:rsidRDefault="00D35B77" w:rsidP="003A0402">
            <w:pPr>
              <w:rPr>
                <w:b/>
                <w:sz w:val="18"/>
                <w:szCs w:val="18"/>
              </w:rPr>
            </w:pPr>
          </w:p>
        </w:tc>
        <w:tc>
          <w:tcPr>
            <w:tcW w:w="1418" w:type="dxa"/>
            <w:shd w:val="clear" w:color="auto" w:fill="B6DDE8" w:themeFill="accent5" w:themeFillTint="66"/>
            <w:vAlign w:val="center"/>
          </w:tcPr>
          <w:p w:rsidR="00D35B77" w:rsidRPr="00874852" w:rsidRDefault="00D35B77" w:rsidP="003A0402">
            <w:pPr>
              <w:jc w:val="center"/>
              <w:rPr>
                <w:b/>
                <w:sz w:val="16"/>
                <w:szCs w:val="18"/>
              </w:rPr>
            </w:pPr>
            <w:r w:rsidRPr="00874852">
              <w:rPr>
                <w:b/>
                <w:sz w:val="16"/>
                <w:szCs w:val="18"/>
              </w:rPr>
              <w:t>Acceptance</w:t>
            </w:r>
          </w:p>
        </w:tc>
        <w:tc>
          <w:tcPr>
            <w:tcW w:w="1417" w:type="dxa"/>
            <w:shd w:val="clear" w:color="auto" w:fill="B6DDE8" w:themeFill="accent5" w:themeFillTint="66"/>
            <w:vAlign w:val="center"/>
          </w:tcPr>
          <w:p w:rsidR="00D35B77" w:rsidRPr="00874852" w:rsidRDefault="00D35B77" w:rsidP="003A0402">
            <w:pPr>
              <w:jc w:val="center"/>
              <w:rPr>
                <w:b/>
                <w:sz w:val="16"/>
                <w:szCs w:val="18"/>
              </w:rPr>
            </w:pPr>
            <w:r w:rsidRPr="00874852">
              <w:rPr>
                <w:b/>
                <w:sz w:val="16"/>
                <w:szCs w:val="18"/>
              </w:rPr>
              <w:t>Implementation</w:t>
            </w:r>
          </w:p>
        </w:tc>
        <w:tc>
          <w:tcPr>
            <w:tcW w:w="2517" w:type="dxa"/>
            <w:vMerge/>
            <w:shd w:val="clear" w:color="auto" w:fill="B6DDE8" w:themeFill="accent5" w:themeFillTint="66"/>
          </w:tcPr>
          <w:p w:rsidR="00D35B77" w:rsidRPr="006D7D80" w:rsidRDefault="00D35B77" w:rsidP="003A0402">
            <w:pPr>
              <w:rPr>
                <w:b/>
                <w:sz w:val="18"/>
                <w:szCs w:val="18"/>
              </w:rPr>
            </w:pPr>
          </w:p>
        </w:tc>
      </w:tr>
      <w:tr w:rsidR="00D35B77" w:rsidTr="00567E4C">
        <w:tc>
          <w:tcPr>
            <w:tcW w:w="2660" w:type="dxa"/>
            <w:tcMar>
              <w:top w:w="85" w:type="dxa"/>
              <w:bottom w:w="85" w:type="dxa"/>
            </w:tcMar>
          </w:tcPr>
          <w:p w:rsidR="00D35B77" w:rsidRPr="00723C3B" w:rsidRDefault="00D35B77" w:rsidP="004457EE">
            <w:r>
              <w:rPr>
                <w:sz w:val="18"/>
                <w:szCs w:val="18"/>
              </w:rPr>
              <w:t xml:space="preserve">Rec. 1  </w:t>
            </w:r>
            <w:r w:rsidRPr="00846812">
              <w:rPr>
                <w:sz w:val="18"/>
                <w:szCs w:val="18"/>
              </w:rPr>
              <w:t>The WIPO General Assembly should review the WIPO governance framework as well as current practices with a view to strengthen the capacity of the governing bodies to guide and monitor the work of the organization. In doing so, Member States may wish to consider in their</w:t>
            </w:r>
            <w:r>
              <w:rPr>
                <w:sz w:val="18"/>
                <w:szCs w:val="18"/>
              </w:rPr>
              <w:t xml:space="preserve"> deliberations the options suggested in this report.</w:t>
            </w:r>
          </w:p>
        </w:tc>
        <w:tc>
          <w:tcPr>
            <w:tcW w:w="1559" w:type="dxa"/>
          </w:tcPr>
          <w:p w:rsidR="00D35B77" w:rsidRPr="00B731C5" w:rsidRDefault="00D35B77" w:rsidP="003A0402">
            <w:pPr>
              <w:rPr>
                <w:sz w:val="18"/>
                <w:szCs w:val="18"/>
              </w:rPr>
            </w:pPr>
            <w:r>
              <w:rPr>
                <w:rFonts w:eastAsia="Calibri"/>
                <w:sz w:val="18"/>
                <w:szCs w:val="18"/>
              </w:rPr>
              <w:t>Assistant Director General and Chief of Staff</w:t>
            </w:r>
          </w:p>
        </w:tc>
        <w:tc>
          <w:tcPr>
            <w:tcW w:w="1418" w:type="dxa"/>
          </w:tcPr>
          <w:p w:rsidR="00D35B77" w:rsidRPr="00B731C5" w:rsidRDefault="006E79A5" w:rsidP="003A0402">
            <w:pPr>
              <w:rPr>
                <w:sz w:val="18"/>
                <w:szCs w:val="18"/>
              </w:rPr>
            </w:pPr>
            <w:r>
              <w:rPr>
                <w:noProof/>
                <w:lang w:eastAsia="en-US"/>
              </w:rPr>
              <mc:AlternateContent>
                <mc:Choice Requires="wps">
                  <w:drawing>
                    <wp:anchor distT="0" distB="0" distL="114300" distR="114300" simplePos="0" relativeHeight="251718656" behindDoc="0" locked="0" layoutInCell="1" allowOverlap="1" wp14:anchorId="2A8543DE" wp14:editId="5589703E">
                      <wp:simplePos x="0" y="0"/>
                      <wp:positionH relativeFrom="column">
                        <wp:posOffset>59055</wp:posOffset>
                      </wp:positionH>
                      <wp:positionV relativeFrom="paragraph">
                        <wp:posOffset>453390</wp:posOffset>
                      </wp:positionV>
                      <wp:extent cx="1562100" cy="381000"/>
                      <wp:effectExtent l="0" t="0" r="19050" b="19050"/>
                      <wp:wrapNone/>
                      <wp:docPr id="15" name="Rounded Rectangle 15"/>
                      <wp:cNvGraphicFramePr/>
                      <a:graphic xmlns:a="http://schemas.openxmlformats.org/drawingml/2006/main">
                        <a:graphicData uri="http://schemas.microsoft.com/office/word/2010/wordprocessingShape">
                          <wps:wsp>
                            <wps:cNvSpPr/>
                            <wps:spPr>
                              <a:xfrm>
                                <a:off x="0" y="0"/>
                                <a:ext cx="1562100" cy="381000"/>
                              </a:xfrm>
                              <a:prstGeom prst="roundRect">
                                <a:avLst/>
                              </a:prstGeom>
                              <a:solidFill>
                                <a:sysClr val="window" lastClr="FFFFFF"/>
                              </a:solidFill>
                              <a:ln w="25400" cap="flat" cmpd="sng" algn="ctr">
                                <a:solidFill>
                                  <a:srgbClr val="1F497D">
                                    <a:lumMod val="40000"/>
                                    <a:lumOff val="60000"/>
                                  </a:srgbClr>
                                </a:solidFill>
                                <a:prstDash val="solid"/>
                              </a:ln>
                              <a:effectLst/>
                            </wps:spPr>
                            <wps:txbx>
                              <w:txbxContent>
                                <w:p w:rsidR="003810C3" w:rsidRPr="007A3F04" w:rsidRDefault="007A3F04" w:rsidP="006E79A5">
                                  <w:pPr>
                                    <w:jc w:val="center"/>
                                  </w:pPr>
                                  <w:r w:rsidRPr="007A3F04">
                                    <w:rPr>
                                      <w:i/>
                                      <w:sz w:val="14"/>
                                      <w:szCs w:val="14"/>
                                    </w:rPr>
                                    <w:t>Please refer to document WO/PBC/23/4</w:t>
                                  </w:r>
                                  <w:r w:rsidR="003C2D3C">
                                    <w:rPr>
                                      <w:i/>
                                      <w:sz w:val="14"/>
                                      <w:szCs w:val="14"/>
                                    </w:rPr>
                                    <w:t xml:space="preserve"> and WO/PBC/23/9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5" o:spid="_x0000_s1026" style="position:absolute;margin-left:4.65pt;margin-top:35.7pt;width:123pt;height:30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" fillcolor="window" strokecolor="#8eb4e3" strokeweight="2pt">
                      <v:textbox>
                        <w:txbxContent>
                          <w:p w:rsidR="003810C3" w:rsidRPr="007A3F04" w:rsidRDefault="007A3F04" w:rsidP="006E79A5">
                            <w:pPr>
                              <w:jc w:val="center"/>
                            </w:pPr>
                            <w:r w:rsidRPr="007A3F04">
                              <w:rPr>
                                <w:i/>
                                <w:sz w:val="14"/>
                                <w:szCs w:val="14"/>
                              </w:rPr>
                              <w:t>Please refer to document WO/PBC/23/4</w:t>
                            </w:r>
                            <w:r w:rsidR="003C2D3C">
                              <w:rPr>
                                <w:i/>
                                <w:sz w:val="14"/>
                                <w:szCs w:val="14"/>
                              </w:rPr>
                              <w:t xml:space="preserve"> and WO/PBC/23/9</w:t>
                            </w:r>
                          </w:p>
                        </w:txbxContent>
                      </v:textbox>
                    </v:roundrect>
                  </w:pict>
                </mc:Fallback>
              </mc:AlternateContent>
            </w:r>
            <w:r w:rsidR="00D35B77">
              <w:rPr>
                <w:sz w:val="18"/>
                <w:szCs w:val="18"/>
              </w:rPr>
              <w:t>Under consideration</w:t>
            </w:r>
          </w:p>
        </w:tc>
        <w:tc>
          <w:tcPr>
            <w:tcW w:w="1417" w:type="dxa"/>
          </w:tcPr>
          <w:p w:rsidR="00D35B77" w:rsidRPr="00B731C5" w:rsidRDefault="00D35B77" w:rsidP="003A0402">
            <w:pPr>
              <w:rPr>
                <w:sz w:val="18"/>
                <w:szCs w:val="18"/>
              </w:rPr>
            </w:pPr>
          </w:p>
        </w:tc>
        <w:tc>
          <w:tcPr>
            <w:tcW w:w="2517" w:type="dxa"/>
          </w:tcPr>
          <w:p w:rsidR="00D35B77" w:rsidRPr="00B731C5" w:rsidRDefault="00D35B77" w:rsidP="003C2D3C">
            <w:pPr>
              <w:spacing w:after="200"/>
              <w:rPr>
                <w:sz w:val="18"/>
                <w:szCs w:val="18"/>
              </w:rPr>
            </w:pPr>
            <w:r w:rsidRPr="00512658">
              <w:rPr>
                <w:rFonts w:eastAsia="Calibri"/>
                <w:sz w:val="18"/>
                <w:szCs w:val="18"/>
              </w:rPr>
              <w:t>A letter was sent on May 30, 2014, from the Director General of WIPO to the Chair of the WIPO General Assembly, drawing the Chair’s at</w:t>
            </w:r>
            <w:r>
              <w:rPr>
                <w:rFonts w:eastAsia="Calibri"/>
                <w:sz w:val="18"/>
                <w:szCs w:val="18"/>
              </w:rPr>
              <w:t xml:space="preserve">tention to this recommendation. </w:t>
            </w:r>
            <w:r w:rsidRPr="00512658">
              <w:rPr>
                <w:rFonts w:eastAsia="Calibri"/>
                <w:sz w:val="18"/>
                <w:szCs w:val="18"/>
              </w:rPr>
              <w:t xml:space="preserve"> </w:t>
            </w:r>
            <w:r w:rsidR="00A2333A">
              <w:rPr>
                <w:rFonts w:eastAsia="Calibri"/>
                <w:sz w:val="18"/>
                <w:szCs w:val="18"/>
              </w:rPr>
              <w:t>The Director General sent a follow-up letter to the Chair on July 30, 2015</w:t>
            </w:r>
            <w:r w:rsidR="003469AA">
              <w:rPr>
                <w:rFonts w:eastAsia="Calibri"/>
                <w:sz w:val="18"/>
                <w:szCs w:val="18"/>
              </w:rPr>
              <w:t>,</w:t>
            </w:r>
            <w:r w:rsidR="00A2333A">
              <w:rPr>
                <w:rFonts w:eastAsia="Calibri"/>
                <w:sz w:val="18"/>
                <w:szCs w:val="18"/>
              </w:rPr>
              <w:t xml:space="preserve"> reminding the Chair of this recommendation.  </w:t>
            </w:r>
            <w:r w:rsidRPr="00512658">
              <w:rPr>
                <w:rFonts w:eastAsia="Calibri"/>
                <w:sz w:val="18"/>
                <w:szCs w:val="18"/>
              </w:rPr>
              <w:t>Governance was discussed during the 22</w:t>
            </w:r>
            <w:r w:rsidRPr="00512658">
              <w:rPr>
                <w:rFonts w:eastAsia="Calibri"/>
                <w:sz w:val="18"/>
                <w:szCs w:val="18"/>
                <w:vertAlign w:val="superscript"/>
              </w:rPr>
              <w:t>nd</w:t>
            </w:r>
            <w:r w:rsidRPr="00512658">
              <w:rPr>
                <w:rFonts w:eastAsia="Calibri"/>
                <w:sz w:val="18"/>
                <w:szCs w:val="18"/>
              </w:rPr>
              <w:t xml:space="preserve"> session of the PBC in September 2014, as well as at the Assemblies meeting of the same year.  The decision of the Member States was to place this item on the agenda of the </w:t>
            </w:r>
            <w:r w:rsidR="003C2D3C">
              <w:rPr>
                <w:rFonts w:eastAsia="Calibri"/>
                <w:sz w:val="18"/>
                <w:szCs w:val="18"/>
              </w:rPr>
              <w:t>23</w:t>
            </w:r>
            <w:r w:rsidR="003C2D3C" w:rsidRPr="003C2D3C">
              <w:rPr>
                <w:rFonts w:eastAsia="Calibri"/>
                <w:sz w:val="18"/>
                <w:szCs w:val="18"/>
                <w:vertAlign w:val="superscript"/>
              </w:rPr>
              <w:t>rd</w:t>
            </w:r>
            <w:r w:rsidR="003C2D3C">
              <w:rPr>
                <w:rFonts w:eastAsia="Calibri"/>
                <w:sz w:val="18"/>
                <w:szCs w:val="18"/>
              </w:rPr>
              <w:t xml:space="preserve"> </w:t>
            </w:r>
            <w:r w:rsidRPr="00512658">
              <w:rPr>
                <w:rFonts w:eastAsia="Calibri"/>
                <w:sz w:val="18"/>
                <w:szCs w:val="18"/>
              </w:rPr>
              <w:t>session of the PBC.</w:t>
            </w:r>
            <w:r w:rsidR="003C2D3C">
              <w:rPr>
                <w:rFonts w:eastAsia="Calibri"/>
                <w:sz w:val="18"/>
                <w:szCs w:val="18"/>
              </w:rPr>
              <w:t xml:space="preserve">  The PBC, following its discussions on this agenda item, decided to continue its deliberations at its 24</w:t>
            </w:r>
            <w:r w:rsidR="003C2D3C" w:rsidRPr="003C2D3C">
              <w:rPr>
                <w:rFonts w:eastAsia="Calibri"/>
                <w:sz w:val="18"/>
                <w:szCs w:val="18"/>
                <w:vertAlign w:val="superscript"/>
              </w:rPr>
              <w:t>th</w:t>
            </w:r>
            <w:r w:rsidR="003C2D3C">
              <w:rPr>
                <w:rFonts w:eastAsia="Calibri"/>
                <w:sz w:val="18"/>
                <w:szCs w:val="18"/>
              </w:rPr>
              <w:t xml:space="preserve"> session.</w:t>
            </w:r>
          </w:p>
        </w:tc>
      </w:tr>
      <w:tr w:rsidR="00BE0B4A" w:rsidTr="00567E4C">
        <w:tc>
          <w:tcPr>
            <w:tcW w:w="2660" w:type="dxa"/>
            <w:tcMar>
              <w:top w:w="85" w:type="dxa"/>
              <w:bottom w:w="85" w:type="dxa"/>
            </w:tcMar>
          </w:tcPr>
          <w:p w:rsidR="00BE0B4A" w:rsidRDefault="004457EE" w:rsidP="003A0402">
            <w:pPr>
              <w:rPr>
                <w:sz w:val="18"/>
                <w:szCs w:val="18"/>
              </w:rPr>
            </w:pPr>
            <w:r>
              <w:rPr>
                <w:sz w:val="18"/>
                <w:szCs w:val="18"/>
              </w:rPr>
              <w:t xml:space="preserve">Rec. </w:t>
            </w:r>
            <w:proofErr w:type="gramStart"/>
            <w:r>
              <w:rPr>
                <w:sz w:val="18"/>
                <w:szCs w:val="18"/>
              </w:rPr>
              <w:t xml:space="preserve">6  </w:t>
            </w:r>
            <w:r w:rsidR="00BE0B4A" w:rsidRPr="00FB6E76">
              <w:rPr>
                <w:sz w:val="18"/>
                <w:szCs w:val="18"/>
              </w:rPr>
              <w:t>The</w:t>
            </w:r>
            <w:proofErr w:type="gramEnd"/>
            <w:r w:rsidR="00BE0B4A" w:rsidRPr="00FB6E76">
              <w:rPr>
                <w:sz w:val="18"/>
                <w:szCs w:val="18"/>
              </w:rPr>
              <w:t xml:space="preserve"> Coordination Committee should revisit the present principles concerning geographical distribution in order to ensure broader geographical diversity within the WIPO professional workforce.</w:t>
            </w:r>
          </w:p>
        </w:tc>
        <w:tc>
          <w:tcPr>
            <w:tcW w:w="1559" w:type="dxa"/>
          </w:tcPr>
          <w:p w:rsidR="00BE0B4A" w:rsidRDefault="00BE0B4A" w:rsidP="003A0402">
            <w:pPr>
              <w:rPr>
                <w:rFonts w:eastAsia="Calibri"/>
                <w:sz w:val="18"/>
                <w:szCs w:val="18"/>
              </w:rPr>
            </w:pPr>
            <w:r>
              <w:rPr>
                <w:sz w:val="18"/>
                <w:szCs w:val="18"/>
              </w:rPr>
              <w:t>Director, Human Resources Management Department</w:t>
            </w:r>
            <w:r w:rsidR="0077582B">
              <w:rPr>
                <w:sz w:val="18"/>
                <w:szCs w:val="18"/>
              </w:rPr>
              <w:t xml:space="preserve"> (HRMD)</w:t>
            </w:r>
          </w:p>
        </w:tc>
        <w:tc>
          <w:tcPr>
            <w:tcW w:w="1418" w:type="dxa"/>
          </w:tcPr>
          <w:p w:rsidR="00BE0B4A" w:rsidRDefault="003810C3" w:rsidP="003A0402">
            <w:pPr>
              <w:rPr>
                <w:sz w:val="18"/>
                <w:szCs w:val="18"/>
              </w:rPr>
            </w:pPr>
            <w:r>
              <w:rPr>
                <w:noProof/>
                <w:lang w:eastAsia="en-US"/>
              </w:rPr>
              <mc:AlternateContent>
                <mc:Choice Requires="wps">
                  <w:drawing>
                    <wp:anchor distT="0" distB="0" distL="114300" distR="114300" simplePos="0" relativeHeight="251726848" behindDoc="0" locked="0" layoutInCell="1" allowOverlap="1" wp14:anchorId="36DF39E2" wp14:editId="2CBC58C9">
                      <wp:simplePos x="0" y="0"/>
                      <wp:positionH relativeFrom="column">
                        <wp:posOffset>59055</wp:posOffset>
                      </wp:positionH>
                      <wp:positionV relativeFrom="paragraph">
                        <wp:posOffset>368300</wp:posOffset>
                      </wp:positionV>
                      <wp:extent cx="1562100" cy="381000"/>
                      <wp:effectExtent l="0" t="0" r="19050" b="19050"/>
                      <wp:wrapNone/>
                      <wp:docPr id="4" name="Rounded Rectangle 4"/>
                      <wp:cNvGraphicFramePr/>
                      <a:graphic xmlns:a="http://schemas.openxmlformats.org/drawingml/2006/main">
                        <a:graphicData uri="http://schemas.microsoft.com/office/word/2010/wordprocessingShape">
                          <wps:wsp>
                            <wps:cNvSpPr/>
                            <wps:spPr>
                              <a:xfrm>
                                <a:off x="0" y="0"/>
                                <a:ext cx="1562100" cy="381000"/>
                              </a:xfrm>
                              <a:prstGeom prst="roundRect">
                                <a:avLst/>
                              </a:prstGeom>
                              <a:solidFill>
                                <a:sysClr val="window" lastClr="FFFFFF"/>
                              </a:solidFill>
                              <a:ln w="25400" cap="flat" cmpd="sng" algn="ctr">
                                <a:solidFill>
                                  <a:srgbClr val="1F497D">
                                    <a:lumMod val="40000"/>
                                    <a:lumOff val="60000"/>
                                  </a:srgbClr>
                                </a:solidFill>
                                <a:prstDash val="solid"/>
                              </a:ln>
                              <a:effectLst/>
                            </wps:spPr>
                            <wps:txbx>
                              <w:txbxContent>
                                <w:p w:rsidR="007A3F04" w:rsidRPr="007A3F04" w:rsidRDefault="007A3F04" w:rsidP="007A3F04">
                                  <w:pPr>
                                    <w:jc w:val="center"/>
                                  </w:pPr>
                                  <w:r w:rsidRPr="007A3F04">
                                    <w:rPr>
                                      <w:i/>
                                      <w:sz w:val="14"/>
                                      <w:szCs w:val="14"/>
                                    </w:rPr>
                                    <w:t>Please refer to document WO/PBC/23/4</w:t>
                                  </w:r>
                                </w:p>
                                <w:p w:rsidR="003810C3" w:rsidRPr="003810C3" w:rsidRDefault="003810C3" w:rsidP="003810C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4" o:spid="_x0000_s1027" style="position:absolute;margin-left:4.65pt;margin-top:29pt;width:123pt;height:30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" fillcolor="window" strokecolor="#8eb4e3" strokeweight="2pt">
                      <v:textbox>
                        <w:txbxContent>
                          <w:p w:rsidR="007A3F04" w:rsidRPr="007A3F04" w:rsidRDefault="007A3F04" w:rsidP="007A3F04">
                            <w:pPr>
                              <w:jc w:val="center"/>
                            </w:pPr>
                            <w:r w:rsidRPr="007A3F04">
                              <w:rPr>
                                <w:i/>
                                <w:sz w:val="14"/>
                                <w:szCs w:val="14"/>
                              </w:rPr>
                              <w:t>Please refer to document WO/PBC/23/4</w:t>
                            </w:r>
                          </w:p>
                          <w:p w:rsidR="003810C3" w:rsidRPr="003810C3" w:rsidRDefault="003810C3" w:rsidP="003810C3">
                            <w:pPr>
                              <w:jc w:val="center"/>
                            </w:pPr>
                          </w:p>
                        </w:txbxContent>
                      </v:textbox>
                    </v:roundrect>
                  </w:pict>
                </mc:Fallback>
              </mc:AlternateContent>
            </w:r>
            <w:r w:rsidR="00BE0B4A" w:rsidRPr="002F4C82">
              <w:rPr>
                <w:sz w:val="18"/>
                <w:szCs w:val="18"/>
              </w:rPr>
              <w:t>Under consideration</w:t>
            </w:r>
          </w:p>
        </w:tc>
        <w:tc>
          <w:tcPr>
            <w:tcW w:w="1417" w:type="dxa"/>
          </w:tcPr>
          <w:p w:rsidR="00BE0B4A" w:rsidRPr="00B731C5" w:rsidRDefault="00BE0B4A" w:rsidP="003A0402">
            <w:pPr>
              <w:rPr>
                <w:sz w:val="18"/>
                <w:szCs w:val="18"/>
              </w:rPr>
            </w:pPr>
          </w:p>
        </w:tc>
        <w:tc>
          <w:tcPr>
            <w:tcW w:w="2517" w:type="dxa"/>
          </w:tcPr>
          <w:p w:rsidR="00BE0B4A" w:rsidRDefault="00BE0B4A" w:rsidP="003A0402">
            <w:pPr>
              <w:pStyle w:val="ONUME"/>
              <w:numPr>
                <w:ilvl w:val="0"/>
                <w:numId w:val="0"/>
              </w:numPr>
            </w:pPr>
            <w:r w:rsidRPr="00FB6E76">
              <w:rPr>
                <w:sz w:val="18"/>
                <w:szCs w:val="18"/>
              </w:rPr>
              <w:t>A letter was sent on May 30, 2014, from the Director General of WIPO to the Chair of the WIPO Coordination Committee, drawing the Chair’s attention to this recommendation.</w:t>
            </w:r>
            <w:r w:rsidR="00A2333A">
              <w:rPr>
                <w:sz w:val="18"/>
                <w:szCs w:val="18"/>
              </w:rPr>
              <w:t xml:space="preserve">  The Director General sent a follow-up letter to the Chair on July 30, 2015, reminding the Chair of this recommendation.</w:t>
            </w:r>
          </w:p>
        </w:tc>
      </w:tr>
    </w:tbl>
    <w:p w:rsidR="00681299" w:rsidRDefault="00681299" w:rsidP="00681299"/>
    <w:p w:rsidR="004E138B" w:rsidRDefault="004E138B">
      <w:r>
        <w:br w:type="page"/>
      </w:r>
    </w:p>
    <w:p w:rsidR="009247F4" w:rsidRPr="00305BED" w:rsidRDefault="009247F4" w:rsidP="00DE0429">
      <w:pPr>
        <w:pStyle w:val="ListParagraph"/>
        <w:numPr>
          <w:ilvl w:val="0"/>
          <w:numId w:val="9"/>
        </w:numPr>
      </w:pPr>
      <w:r w:rsidRPr="00305BED">
        <w:lastRenderedPageBreak/>
        <w:t>JIU/2014/1 “An analysis of the resource mobilization function within the United Nations system”</w:t>
      </w:r>
    </w:p>
    <w:p w:rsidR="009247F4" w:rsidRDefault="009247F4" w:rsidP="00681299"/>
    <w:p w:rsidR="00305BED" w:rsidRPr="006803B7" w:rsidRDefault="00305BED" w:rsidP="00305BED">
      <w:r w:rsidRPr="006803B7">
        <w:t>This</w:t>
      </w:r>
      <w:r>
        <w:t xml:space="preserve"> report was issued by the JIU on </w:t>
      </w:r>
      <w:r w:rsidR="00F561E6">
        <w:t>August 5, 2014</w:t>
      </w:r>
      <w:r>
        <w:t>.  All recommendations are therefore new within the context of the progress report to Member States.</w:t>
      </w:r>
    </w:p>
    <w:p w:rsidR="009247F4" w:rsidRDefault="009247F4" w:rsidP="003417D2"/>
    <w:p w:rsidR="00201B52" w:rsidRDefault="00201B52" w:rsidP="003417D2"/>
    <w:tbl>
      <w:tblPr>
        <w:tblStyle w:val="TableGrid"/>
        <w:tblW w:w="0" w:type="auto"/>
        <w:tblLayout w:type="fixed"/>
        <w:tblLook w:val="04A0" w:firstRow="1" w:lastRow="0" w:firstColumn="1" w:lastColumn="0" w:noHBand="0" w:noVBand="1"/>
      </w:tblPr>
      <w:tblGrid>
        <w:gridCol w:w="2660"/>
        <w:gridCol w:w="1559"/>
        <w:gridCol w:w="1418"/>
        <w:gridCol w:w="1417"/>
        <w:gridCol w:w="2517"/>
      </w:tblGrid>
      <w:tr w:rsidR="00874852" w:rsidTr="00567E4C">
        <w:trPr>
          <w:tblHeader/>
        </w:trPr>
        <w:tc>
          <w:tcPr>
            <w:tcW w:w="2660" w:type="dxa"/>
            <w:vMerge w:val="restart"/>
            <w:shd w:val="clear" w:color="auto" w:fill="B6DDE8" w:themeFill="accent5" w:themeFillTint="66"/>
            <w:tcMar>
              <w:top w:w="85" w:type="dxa"/>
              <w:bottom w:w="85" w:type="dxa"/>
            </w:tcMar>
            <w:vAlign w:val="center"/>
          </w:tcPr>
          <w:p w:rsidR="00874852" w:rsidRDefault="00874852" w:rsidP="00874852">
            <w:pPr>
              <w:jc w:val="center"/>
              <w:rPr>
                <w:b/>
                <w:sz w:val="18"/>
                <w:szCs w:val="18"/>
              </w:rPr>
            </w:pPr>
            <w:r w:rsidRPr="006D7D80">
              <w:rPr>
                <w:b/>
                <w:sz w:val="18"/>
                <w:szCs w:val="18"/>
              </w:rPr>
              <w:t>Recommendation</w:t>
            </w:r>
          </w:p>
        </w:tc>
        <w:tc>
          <w:tcPr>
            <w:tcW w:w="1559" w:type="dxa"/>
            <w:vMerge w:val="restart"/>
            <w:shd w:val="clear" w:color="auto" w:fill="B6DDE8" w:themeFill="accent5" w:themeFillTint="66"/>
            <w:tcMar>
              <w:top w:w="85" w:type="dxa"/>
              <w:bottom w:w="85" w:type="dxa"/>
            </w:tcMar>
            <w:vAlign w:val="center"/>
          </w:tcPr>
          <w:p w:rsidR="00874852" w:rsidRDefault="00874852" w:rsidP="00874852">
            <w:pPr>
              <w:jc w:val="center"/>
              <w:rPr>
                <w:b/>
                <w:sz w:val="18"/>
                <w:szCs w:val="18"/>
              </w:rPr>
            </w:pPr>
            <w:r>
              <w:rPr>
                <w:b/>
                <w:sz w:val="18"/>
                <w:szCs w:val="18"/>
              </w:rPr>
              <w:t>Responsible Officer</w:t>
            </w:r>
          </w:p>
        </w:tc>
        <w:tc>
          <w:tcPr>
            <w:tcW w:w="2835" w:type="dxa"/>
            <w:gridSpan w:val="2"/>
            <w:shd w:val="clear" w:color="auto" w:fill="B6DDE8" w:themeFill="accent5" w:themeFillTint="66"/>
            <w:tcMar>
              <w:top w:w="85" w:type="dxa"/>
              <w:bottom w:w="85" w:type="dxa"/>
            </w:tcMar>
            <w:vAlign w:val="center"/>
          </w:tcPr>
          <w:p w:rsidR="00874852" w:rsidRDefault="00874852" w:rsidP="00874852">
            <w:pPr>
              <w:jc w:val="center"/>
              <w:rPr>
                <w:b/>
                <w:sz w:val="18"/>
                <w:szCs w:val="18"/>
              </w:rPr>
            </w:pPr>
            <w:r>
              <w:rPr>
                <w:b/>
                <w:sz w:val="18"/>
                <w:szCs w:val="18"/>
              </w:rPr>
              <w:t>Acceptance Status</w:t>
            </w:r>
          </w:p>
        </w:tc>
        <w:tc>
          <w:tcPr>
            <w:tcW w:w="2517" w:type="dxa"/>
            <w:vMerge w:val="restart"/>
            <w:shd w:val="clear" w:color="auto" w:fill="B6DDE8" w:themeFill="accent5" w:themeFillTint="66"/>
            <w:tcMar>
              <w:top w:w="85" w:type="dxa"/>
              <w:bottom w:w="85" w:type="dxa"/>
            </w:tcMar>
            <w:vAlign w:val="center"/>
          </w:tcPr>
          <w:p w:rsidR="00874852" w:rsidRDefault="00874852" w:rsidP="00874852">
            <w:pPr>
              <w:jc w:val="center"/>
              <w:rPr>
                <w:b/>
                <w:sz w:val="18"/>
                <w:szCs w:val="18"/>
              </w:rPr>
            </w:pPr>
            <w:r w:rsidRPr="006D7D80">
              <w:rPr>
                <w:b/>
                <w:sz w:val="18"/>
                <w:szCs w:val="18"/>
              </w:rPr>
              <w:t>Management/Focal Point Assessment</w:t>
            </w:r>
          </w:p>
        </w:tc>
      </w:tr>
      <w:tr w:rsidR="00874852" w:rsidTr="00567E4C">
        <w:trPr>
          <w:tblHeader/>
        </w:trPr>
        <w:tc>
          <w:tcPr>
            <w:tcW w:w="2660" w:type="dxa"/>
            <w:vMerge/>
            <w:shd w:val="clear" w:color="auto" w:fill="B6DDE8" w:themeFill="accent5" w:themeFillTint="66"/>
            <w:tcMar>
              <w:top w:w="85" w:type="dxa"/>
              <w:bottom w:w="85" w:type="dxa"/>
            </w:tcMar>
          </w:tcPr>
          <w:p w:rsidR="00874852" w:rsidRPr="006D7D80" w:rsidRDefault="00874852" w:rsidP="00874852">
            <w:pPr>
              <w:rPr>
                <w:b/>
                <w:sz w:val="18"/>
                <w:szCs w:val="18"/>
              </w:rPr>
            </w:pPr>
          </w:p>
        </w:tc>
        <w:tc>
          <w:tcPr>
            <w:tcW w:w="1559" w:type="dxa"/>
            <w:vMerge/>
            <w:shd w:val="clear" w:color="auto" w:fill="B6DDE8" w:themeFill="accent5" w:themeFillTint="66"/>
            <w:tcMar>
              <w:top w:w="85" w:type="dxa"/>
              <w:bottom w:w="85" w:type="dxa"/>
            </w:tcMar>
          </w:tcPr>
          <w:p w:rsidR="00874852" w:rsidRPr="006D7D80" w:rsidRDefault="00874852" w:rsidP="00874852">
            <w:pPr>
              <w:rPr>
                <w:b/>
                <w:sz w:val="18"/>
                <w:szCs w:val="18"/>
              </w:rPr>
            </w:pPr>
          </w:p>
        </w:tc>
        <w:tc>
          <w:tcPr>
            <w:tcW w:w="1418" w:type="dxa"/>
            <w:shd w:val="clear" w:color="auto" w:fill="B6DDE8" w:themeFill="accent5" w:themeFillTint="66"/>
            <w:tcMar>
              <w:top w:w="85" w:type="dxa"/>
              <w:bottom w:w="85" w:type="dxa"/>
            </w:tcMar>
            <w:vAlign w:val="center"/>
          </w:tcPr>
          <w:p w:rsidR="00874852" w:rsidRPr="00874852" w:rsidRDefault="00874852" w:rsidP="00874852">
            <w:pPr>
              <w:jc w:val="center"/>
              <w:rPr>
                <w:b/>
                <w:sz w:val="16"/>
                <w:szCs w:val="18"/>
              </w:rPr>
            </w:pPr>
            <w:r w:rsidRPr="00874852">
              <w:rPr>
                <w:b/>
                <w:sz w:val="16"/>
                <w:szCs w:val="18"/>
              </w:rPr>
              <w:t>Acceptance</w:t>
            </w:r>
          </w:p>
        </w:tc>
        <w:tc>
          <w:tcPr>
            <w:tcW w:w="1417" w:type="dxa"/>
            <w:shd w:val="clear" w:color="auto" w:fill="B6DDE8" w:themeFill="accent5" w:themeFillTint="66"/>
            <w:tcMar>
              <w:top w:w="85" w:type="dxa"/>
              <w:bottom w:w="85" w:type="dxa"/>
            </w:tcMar>
            <w:vAlign w:val="center"/>
          </w:tcPr>
          <w:p w:rsidR="00874852" w:rsidRPr="00874852" w:rsidRDefault="00874852" w:rsidP="00874852">
            <w:pPr>
              <w:jc w:val="center"/>
              <w:rPr>
                <w:b/>
                <w:sz w:val="16"/>
                <w:szCs w:val="18"/>
              </w:rPr>
            </w:pPr>
            <w:r w:rsidRPr="00874852">
              <w:rPr>
                <w:b/>
                <w:sz w:val="16"/>
                <w:szCs w:val="18"/>
              </w:rPr>
              <w:t>Implementation</w:t>
            </w:r>
          </w:p>
        </w:tc>
        <w:tc>
          <w:tcPr>
            <w:tcW w:w="2517" w:type="dxa"/>
            <w:vMerge/>
            <w:shd w:val="clear" w:color="auto" w:fill="B6DDE8" w:themeFill="accent5" w:themeFillTint="66"/>
            <w:tcMar>
              <w:top w:w="85" w:type="dxa"/>
              <w:bottom w:w="85" w:type="dxa"/>
            </w:tcMar>
          </w:tcPr>
          <w:p w:rsidR="00874852" w:rsidRPr="006D7D80" w:rsidRDefault="00874852" w:rsidP="00D638E7">
            <w:pPr>
              <w:rPr>
                <w:b/>
                <w:sz w:val="18"/>
                <w:szCs w:val="18"/>
              </w:rPr>
            </w:pPr>
          </w:p>
        </w:tc>
      </w:tr>
      <w:tr w:rsidR="00874852" w:rsidTr="00567E4C">
        <w:tc>
          <w:tcPr>
            <w:tcW w:w="2660" w:type="dxa"/>
            <w:tcMar>
              <w:top w:w="85" w:type="dxa"/>
              <w:bottom w:w="85" w:type="dxa"/>
            </w:tcMar>
          </w:tcPr>
          <w:p w:rsidR="00874852" w:rsidRPr="004A5AF2" w:rsidRDefault="005423E4" w:rsidP="004457EE">
            <w:pPr>
              <w:spacing w:line="276" w:lineRule="auto"/>
              <w:rPr>
                <w:sz w:val="18"/>
                <w:szCs w:val="18"/>
              </w:rPr>
            </w:pPr>
            <w:r>
              <w:rPr>
                <w:bCs/>
                <w:noProof/>
                <w:sz w:val="18"/>
                <w:szCs w:val="18"/>
                <w:lang w:eastAsia="en-US"/>
              </w:rPr>
              <w:drawing>
                <wp:anchor distT="0" distB="0" distL="114300" distR="114300" simplePos="0" relativeHeight="251688960" behindDoc="1" locked="0" layoutInCell="1" allowOverlap="1" wp14:anchorId="7C811966" wp14:editId="7FB85FD4">
                  <wp:simplePos x="0" y="0"/>
                  <wp:positionH relativeFrom="column">
                    <wp:posOffset>33020</wp:posOffset>
                  </wp:positionH>
                  <wp:positionV relativeFrom="paragraph">
                    <wp:posOffset>-1270</wp:posOffset>
                  </wp:positionV>
                  <wp:extent cx="247650" cy="247650"/>
                  <wp:effectExtent l="0" t="0" r="0" b="0"/>
                  <wp:wrapTight wrapText="bothSides">
                    <wp:wrapPolygon edited="0">
                      <wp:start x="3323" y="0"/>
                      <wp:lineTo x="0" y="6646"/>
                      <wp:lineTo x="0" y="11631"/>
                      <wp:lineTo x="3323" y="19938"/>
                      <wp:lineTo x="16615" y="19938"/>
                      <wp:lineTo x="19938" y="11631"/>
                      <wp:lineTo x="19938" y="6646"/>
                      <wp:lineTo x="16615" y="0"/>
                      <wp:lineTo x="3323" y="0"/>
                    </wp:wrapPolygon>
                  </wp:wrapTight>
                  <wp:docPr id="21" name="Picture 21" descr="D:\Users\doyon\AppData\Local\Microsoft\Windows\Temporary Internet Files\Content.IE5\RNX63FW3\new[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doyon\AppData\Local\Microsoft\Windows\Temporary Internet Files\Content.IE5\RNX63FW3\new[1].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14:sizeRelH relativeFrom="page">
                    <wp14:pctWidth>0</wp14:pctWidth>
                  </wp14:sizeRelH>
                  <wp14:sizeRelV relativeFrom="page">
                    <wp14:pctHeight>0</wp14:pctHeight>
                  </wp14:sizeRelV>
                </wp:anchor>
              </w:drawing>
            </w:r>
            <w:r w:rsidR="0034016A" w:rsidRPr="0034016A">
              <w:rPr>
                <w:rFonts w:eastAsiaTheme="minorHAnsi"/>
                <w:sz w:val="18"/>
                <w:szCs w:val="18"/>
                <w:lang w:eastAsia="en-US"/>
              </w:rPr>
              <w:t xml:space="preserve">Rec 1  </w:t>
            </w:r>
            <w:r w:rsidR="0034016A" w:rsidRPr="0034016A">
              <w:rPr>
                <w:rFonts w:eastAsia="Times New Roman"/>
                <w:sz w:val="18"/>
                <w:szCs w:val="18"/>
                <w:lang w:eastAsia="en-US"/>
              </w:rPr>
              <w:t>The legislative bodies of the United Nations system organizations should periodically review the resource mobilization strategy/policy, including by providing political guidance and oversight of the implementation of the resource mobilization strategy/policy and by ensuring monitoring and the review of regular updates.</w:t>
            </w:r>
          </w:p>
        </w:tc>
        <w:tc>
          <w:tcPr>
            <w:tcW w:w="1559" w:type="dxa"/>
            <w:tcMar>
              <w:top w:w="85" w:type="dxa"/>
              <w:bottom w:w="85" w:type="dxa"/>
            </w:tcMar>
          </w:tcPr>
          <w:p w:rsidR="00874852" w:rsidRPr="00B731C5" w:rsidRDefault="00F561E6" w:rsidP="003C2D3C">
            <w:pPr>
              <w:rPr>
                <w:sz w:val="18"/>
                <w:szCs w:val="18"/>
              </w:rPr>
            </w:pPr>
            <w:r>
              <w:rPr>
                <w:rFonts w:eastAsia="Calibri"/>
                <w:sz w:val="18"/>
                <w:szCs w:val="18"/>
              </w:rPr>
              <w:t>Director,</w:t>
            </w:r>
            <w:r w:rsidR="003C2D3C">
              <w:rPr>
                <w:rFonts w:eastAsia="Calibri"/>
                <w:sz w:val="18"/>
                <w:szCs w:val="18"/>
              </w:rPr>
              <w:t xml:space="preserve"> PPF</w:t>
            </w:r>
            <w:r>
              <w:rPr>
                <w:rFonts w:eastAsia="Calibri"/>
                <w:sz w:val="18"/>
                <w:szCs w:val="18"/>
              </w:rPr>
              <w:t xml:space="preserve"> (Controller)</w:t>
            </w:r>
          </w:p>
        </w:tc>
        <w:tc>
          <w:tcPr>
            <w:tcW w:w="1418" w:type="dxa"/>
            <w:tcMar>
              <w:top w:w="85" w:type="dxa"/>
              <w:bottom w:w="85" w:type="dxa"/>
            </w:tcMar>
          </w:tcPr>
          <w:p w:rsidR="00874852" w:rsidRPr="00B731C5" w:rsidRDefault="00F561E6" w:rsidP="00B3191A">
            <w:pPr>
              <w:rPr>
                <w:sz w:val="18"/>
                <w:szCs w:val="18"/>
              </w:rPr>
            </w:pPr>
            <w:r>
              <w:rPr>
                <w:sz w:val="18"/>
                <w:szCs w:val="18"/>
              </w:rPr>
              <w:t>Accepted</w:t>
            </w:r>
          </w:p>
        </w:tc>
        <w:tc>
          <w:tcPr>
            <w:tcW w:w="1417" w:type="dxa"/>
            <w:tcMar>
              <w:top w:w="85" w:type="dxa"/>
              <w:bottom w:w="85" w:type="dxa"/>
            </w:tcMar>
          </w:tcPr>
          <w:p w:rsidR="00874852" w:rsidRPr="00B731C5" w:rsidRDefault="00F561E6" w:rsidP="00B3191A">
            <w:pPr>
              <w:rPr>
                <w:sz w:val="18"/>
                <w:szCs w:val="18"/>
              </w:rPr>
            </w:pPr>
            <w:r>
              <w:rPr>
                <w:sz w:val="18"/>
                <w:szCs w:val="18"/>
              </w:rPr>
              <w:t>Implemented</w:t>
            </w:r>
          </w:p>
        </w:tc>
        <w:tc>
          <w:tcPr>
            <w:tcW w:w="2517" w:type="dxa"/>
            <w:tcMar>
              <w:top w:w="85" w:type="dxa"/>
              <w:bottom w:w="85" w:type="dxa"/>
            </w:tcMar>
          </w:tcPr>
          <w:p w:rsidR="00874852" w:rsidRPr="0034016A" w:rsidRDefault="0034016A" w:rsidP="00B3191A">
            <w:pPr>
              <w:spacing w:line="276" w:lineRule="auto"/>
              <w:rPr>
                <w:sz w:val="18"/>
                <w:szCs w:val="18"/>
              </w:rPr>
            </w:pPr>
            <w:r w:rsidRPr="0034016A">
              <w:rPr>
                <w:rFonts w:eastAsiaTheme="minorHAnsi"/>
                <w:sz w:val="18"/>
                <w:lang w:eastAsia="en-US"/>
              </w:rPr>
              <w:t>Information is provided regularly to WIPO’s legislative bodies, through the Program and Budget Committee as well as the meetings of the Assemblies of Member States on the mobilization as well as utilization of the voluntary contributions provided to the Organization by its donors.  This is done through the Program and Budget document, the Financial Management Report, as well as the Program Performance Report.</w:t>
            </w:r>
          </w:p>
        </w:tc>
      </w:tr>
      <w:tr w:rsidR="00ED221C" w:rsidTr="00567E4C">
        <w:tc>
          <w:tcPr>
            <w:tcW w:w="2660" w:type="dxa"/>
            <w:tcMar>
              <w:top w:w="85" w:type="dxa"/>
              <w:bottom w:w="85" w:type="dxa"/>
            </w:tcMar>
          </w:tcPr>
          <w:p w:rsidR="00ED221C" w:rsidRDefault="001228E5" w:rsidP="004457EE">
            <w:pPr>
              <w:rPr>
                <w:sz w:val="18"/>
                <w:szCs w:val="18"/>
              </w:rPr>
            </w:pPr>
            <w:r>
              <w:rPr>
                <w:bCs/>
                <w:noProof/>
                <w:sz w:val="18"/>
                <w:szCs w:val="18"/>
                <w:lang w:eastAsia="en-US"/>
              </w:rPr>
              <w:drawing>
                <wp:anchor distT="0" distB="0" distL="114300" distR="114300" simplePos="0" relativeHeight="251691008" behindDoc="1" locked="0" layoutInCell="1" allowOverlap="1" wp14:anchorId="5F4138EE" wp14:editId="6431F879">
                  <wp:simplePos x="0" y="0"/>
                  <wp:positionH relativeFrom="column">
                    <wp:posOffset>-39370</wp:posOffset>
                  </wp:positionH>
                  <wp:positionV relativeFrom="paragraph">
                    <wp:posOffset>-66675</wp:posOffset>
                  </wp:positionV>
                  <wp:extent cx="247650" cy="247650"/>
                  <wp:effectExtent l="0" t="0" r="0" b="0"/>
                  <wp:wrapTight wrapText="bothSides">
                    <wp:wrapPolygon edited="0">
                      <wp:start x="3323" y="0"/>
                      <wp:lineTo x="0" y="6646"/>
                      <wp:lineTo x="0" y="11631"/>
                      <wp:lineTo x="3323" y="19938"/>
                      <wp:lineTo x="16615" y="19938"/>
                      <wp:lineTo x="19938" y="11631"/>
                      <wp:lineTo x="19938" y="6646"/>
                      <wp:lineTo x="16615" y="0"/>
                      <wp:lineTo x="3323" y="0"/>
                    </wp:wrapPolygon>
                  </wp:wrapTight>
                  <wp:docPr id="2" name="Picture 2" descr="D:\Users\doyon\AppData\Local\Microsoft\Windows\Temporary Internet Files\Content.IE5\RNX63FW3\new[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doyon\AppData\Local\Microsoft\Windows\Temporary Internet Files\Content.IE5\RNX63FW3\new[1].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14:sizeRelH relativeFrom="page">
                    <wp14:pctWidth>0</wp14:pctWidth>
                  </wp14:sizeRelH>
                  <wp14:sizeRelV relativeFrom="page">
                    <wp14:pctHeight>0</wp14:pctHeight>
                  </wp14:sizeRelV>
                </wp:anchor>
              </w:drawing>
            </w:r>
            <w:r w:rsidR="005423E4" w:rsidRPr="00395050">
              <w:rPr>
                <w:rFonts w:eastAsia="Times New Roman"/>
                <w:sz w:val="18"/>
                <w:szCs w:val="18"/>
              </w:rPr>
              <w:t>Rec.</w:t>
            </w:r>
            <w:r w:rsidR="004457EE">
              <w:rPr>
                <w:rFonts w:eastAsia="Times New Roman"/>
                <w:sz w:val="18"/>
                <w:szCs w:val="18"/>
              </w:rPr>
              <w:t xml:space="preserve"> </w:t>
            </w:r>
            <w:r w:rsidR="005423E4" w:rsidRPr="00395050">
              <w:rPr>
                <w:rFonts w:eastAsia="Times New Roman"/>
                <w:sz w:val="18"/>
                <w:szCs w:val="18"/>
              </w:rPr>
              <w:t xml:space="preserve">2  </w:t>
            </w:r>
            <w:r w:rsidR="005423E4" w:rsidRPr="00972B85">
              <w:rPr>
                <w:rFonts w:eastAsia="Times New Roman"/>
                <w:sz w:val="18"/>
                <w:szCs w:val="18"/>
              </w:rPr>
              <w:t>The General Assembly of the United Nations and the legislative bodies of the United Nations system organizations should request</w:t>
            </w:r>
            <w:r w:rsidR="005423E4" w:rsidRPr="00395050">
              <w:rPr>
                <w:rFonts w:eastAsia="Times New Roman"/>
                <w:sz w:val="18"/>
                <w:szCs w:val="18"/>
              </w:rPr>
              <w:t xml:space="preserve"> </w:t>
            </w:r>
            <w:r w:rsidR="005423E4" w:rsidRPr="00972B85">
              <w:rPr>
                <w:rFonts w:eastAsia="Times New Roman"/>
                <w:sz w:val="18"/>
                <w:szCs w:val="18"/>
              </w:rPr>
              <w:t>member States, when providing specified contributions, to make them predictable, long-term and in line with the core mandate and priorities of the organizations.</w:t>
            </w:r>
          </w:p>
        </w:tc>
        <w:tc>
          <w:tcPr>
            <w:tcW w:w="1559" w:type="dxa"/>
            <w:tcMar>
              <w:top w:w="85" w:type="dxa"/>
              <w:bottom w:w="85" w:type="dxa"/>
            </w:tcMar>
          </w:tcPr>
          <w:p w:rsidR="00ED221C" w:rsidRPr="004E138B" w:rsidRDefault="00FB3831" w:rsidP="00D638E7">
            <w:pPr>
              <w:rPr>
                <w:rFonts w:eastAsia="Calibri"/>
                <w:sz w:val="18"/>
                <w:szCs w:val="18"/>
                <w:lang w:val="fr-CH"/>
              </w:rPr>
            </w:pPr>
            <w:proofErr w:type="spellStart"/>
            <w:r w:rsidRPr="004E138B">
              <w:rPr>
                <w:rFonts w:eastAsia="Calibri"/>
                <w:sz w:val="18"/>
                <w:szCs w:val="18"/>
                <w:lang w:val="fr-CH"/>
              </w:rPr>
              <w:t>Director</w:t>
            </w:r>
            <w:proofErr w:type="spellEnd"/>
            <w:r w:rsidRPr="004E138B">
              <w:rPr>
                <w:rFonts w:eastAsia="Calibri"/>
                <w:sz w:val="18"/>
                <w:szCs w:val="18"/>
                <w:lang w:val="fr-CH"/>
              </w:rPr>
              <w:t xml:space="preserve">, </w:t>
            </w:r>
            <w:proofErr w:type="spellStart"/>
            <w:r w:rsidRPr="004E138B">
              <w:rPr>
                <w:rFonts w:eastAsia="Calibri"/>
                <w:sz w:val="18"/>
                <w:szCs w:val="18"/>
                <w:lang w:val="fr-CH"/>
              </w:rPr>
              <w:t>External</w:t>
            </w:r>
            <w:proofErr w:type="spellEnd"/>
            <w:r w:rsidRPr="004E138B">
              <w:rPr>
                <w:rFonts w:eastAsia="Calibri"/>
                <w:sz w:val="18"/>
                <w:szCs w:val="18"/>
                <w:lang w:val="fr-CH"/>
              </w:rPr>
              <w:t xml:space="preserve"> Relations Division</w:t>
            </w:r>
            <w:r w:rsidR="005423E4" w:rsidRPr="004E138B">
              <w:rPr>
                <w:rFonts w:eastAsia="Calibri"/>
                <w:sz w:val="18"/>
                <w:szCs w:val="18"/>
                <w:lang w:val="fr-CH"/>
              </w:rPr>
              <w:t xml:space="preserve"> (ERD)</w:t>
            </w:r>
          </w:p>
        </w:tc>
        <w:tc>
          <w:tcPr>
            <w:tcW w:w="1418" w:type="dxa"/>
            <w:tcMar>
              <w:top w:w="85" w:type="dxa"/>
              <w:bottom w:w="85" w:type="dxa"/>
            </w:tcMar>
          </w:tcPr>
          <w:p w:rsidR="00ED221C" w:rsidRDefault="00FB3831" w:rsidP="00D638E7">
            <w:pPr>
              <w:rPr>
                <w:sz w:val="18"/>
                <w:szCs w:val="18"/>
              </w:rPr>
            </w:pPr>
            <w:r>
              <w:rPr>
                <w:sz w:val="18"/>
                <w:szCs w:val="18"/>
              </w:rPr>
              <w:t xml:space="preserve">Accepted </w:t>
            </w:r>
          </w:p>
        </w:tc>
        <w:tc>
          <w:tcPr>
            <w:tcW w:w="1417" w:type="dxa"/>
            <w:tcMar>
              <w:top w:w="85" w:type="dxa"/>
              <w:bottom w:w="85" w:type="dxa"/>
            </w:tcMar>
          </w:tcPr>
          <w:p w:rsidR="00ED221C" w:rsidRPr="00B731C5" w:rsidRDefault="00FB3831" w:rsidP="00D638E7">
            <w:pPr>
              <w:rPr>
                <w:sz w:val="18"/>
                <w:szCs w:val="18"/>
              </w:rPr>
            </w:pPr>
            <w:r>
              <w:rPr>
                <w:sz w:val="18"/>
                <w:szCs w:val="18"/>
              </w:rPr>
              <w:t>Implemented</w:t>
            </w:r>
          </w:p>
        </w:tc>
        <w:tc>
          <w:tcPr>
            <w:tcW w:w="2517" w:type="dxa"/>
            <w:tcMar>
              <w:top w:w="85" w:type="dxa"/>
              <w:bottom w:w="85" w:type="dxa"/>
            </w:tcMar>
          </w:tcPr>
          <w:p w:rsidR="00ED221C" w:rsidRPr="00512658" w:rsidRDefault="005423E4" w:rsidP="00FB3831">
            <w:pPr>
              <w:rPr>
                <w:rFonts w:eastAsia="Calibri"/>
                <w:sz w:val="18"/>
                <w:szCs w:val="18"/>
              </w:rPr>
            </w:pPr>
            <w:r w:rsidRPr="005423E4">
              <w:rPr>
                <w:sz w:val="18"/>
              </w:rPr>
              <w:t>The WIPO Financial Regulations and Rules require that the acceptance of contributions is consistent with the policies, aims and activities of the Organization. In agreeing funding agreements with donors, WIPO links the objectives of the contributions with the relevant Expected Results of the Organization, and where possible seeks to agree on long term funding arrangements.</w:t>
            </w:r>
          </w:p>
        </w:tc>
      </w:tr>
    </w:tbl>
    <w:p w:rsidR="00FB3831" w:rsidRDefault="00FB3831" w:rsidP="009247F4">
      <w:pPr>
        <w:rPr>
          <w:b/>
        </w:rPr>
      </w:pPr>
    </w:p>
    <w:p w:rsidR="00F0366F" w:rsidRPr="00BB37A1" w:rsidRDefault="00567E4C" w:rsidP="003417D2">
      <w:r>
        <w:rPr>
          <w:b/>
        </w:rPr>
        <w:br w:type="page"/>
      </w:r>
      <w:r w:rsidR="00BB37A1">
        <w:lastRenderedPageBreak/>
        <w:t>II.</w:t>
      </w:r>
      <w:r w:rsidR="00BB37A1">
        <w:tab/>
      </w:r>
      <w:r w:rsidR="00BB37A1" w:rsidRPr="00BB37A1">
        <w:t>RECOMMENDATIONS FROM JIU REVIEWS HELD IN 2012</w:t>
      </w:r>
    </w:p>
    <w:p w:rsidR="0055469E" w:rsidRPr="00BB37A1" w:rsidRDefault="0055469E" w:rsidP="003417D2"/>
    <w:p w:rsidR="004A115E" w:rsidRPr="00BB37A1" w:rsidRDefault="004A115E" w:rsidP="003417D2"/>
    <w:p w:rsidR="00810478" w:rsidRPr="00BB37A1" w:rsidRDefault="00810478" w:rsidP="00B3191A">
      <w:pPr>
        <w:pStyle w:val="ListParagraph"/>
        <w:numPr>
          <w:ilvl w:val="0"/>
          <w:numId w:val="14"/>
        </w:numPr>
      </w:pPr>
      <w:r w:rsidRPr="00BB37A1">
        <w:t>JIU/REP/2012/12, “Strategic planning in the United Nations system”</w:t>
      </w:r>
    </w:p>
    <w:p w:rsidR="004A115E" w:rsidRDefault="004A115E" w:rsidP="003417D2"/>
    <w:p w:rsidR="00201B52" w:rsidRPr="00860304" w:rsidRDefault="00201B52" w:rsidP="003417D2"/>
    <w:tbl>
      <w:tblPr>
        <w:tblStyle w:val="TableGrid"/>
        <w:tblW w:w="0" w:type="auto"/>
        <w:tblLayout w:type="fixed"/>
        <w:tblLook w:val="04A0" w:firstRow="1" w:lastRow="0" w:firstColumn="1" w:lastColumn="0" w:noHBand="0" w:noVBand="1"/>
      </w:tblPr>
      <w:tblGrid>
        <w:gridCol w:w="2660"/>
        <w:gridCol w:w="1559"/>
        <w:gridCol w:w="1418"/>
        <w:gridCol w:w="1417"/>
        <w:gridCol w:w="2517"/>
      </w:tblGrid>
      <w:tr w:rsidR="00874852" w:rsidTr="00567E4C">
        <w:trPr>
          <w:tblHeader/>
        </w:trPr>
        <w:tc>
          <w:tcPr>
            <w:tcW w:w="2660" w:type="dxa"/>
            <w:vMerge w:val="restart"/>
            <w:shd w:val="clear" w:color="auto" w:fill="B6DDE8" w:themeFill="accent5" w:themeFillTint="66"/>
            <w:tcMar>
              <w:top w:w="85" w:type="dxa"/>
              <w:bottom w:w="85" w:type="dxa"/>
            </w:tcMar>
            <w:vAlign w:val="center"/>
          </w:tcPr>
          <w:p w:rsidR="00874852" w:rsidRDefault="00874852" w:rsidP="00874852">
            <w:pPr>
              <w:jc w:val="center"/>
              <w:rPr>
                <w:b/>
                <w:sz w:val="18"/>
                <w:szCs w:val="18"/>
              </w:rPr>
            </w:pPr>
            <w:r w:rsidRPr="006D7D80">
              <w:rPr>
                <w:b/>
                <w:sz w:val="18"/>
                <w:szCs w:val="18"/>
              </w:rPr>
              <w:t>Recommendation</w:t>
            </w:r>
          </w:p>
        </w:tc>
        <w:tc>
          <w:tcPr>
            <w:tcW w:w="1559" w:type="dxa"/>
            <w:vMerge w:val="restart"/>
            <w:shd w:val="clear" w:color="auto" w:fill="B6DDE8" w:themeFill="accent5" w:themeFillTint="66"/>
            <w:tcMar>
              <w:top w:w="85" w:type="dxa"/>
              <w:bottom w:w="85" w:type="dxa"/>
            </w:tcMar>
            <w:vAlign w:val="center"/>
          </w:tcPr>
          <w:p w:rsidR="00874852" w:rsidRDefault="00874852" w:rsidP="00874852">
            <w:pPr>
              <w:jc w:val="center"/>
              <w:rPr>
                <w:b/>
                <w:sz w:val="18"/>
                <w:szCs w:val="18"/>
              </w:rPr>
            </w:pPr>
            <w:r>
              <w:rPr>
                <w:b/>
                <w:sz w:val="18"/>
                <w:szCs w:val="18"/>
              </w:rPr>
              <w:t>Responsible Officer</w:t>
            </w:r>
          </w:p>
        </w:tc>
        <w:tc>
          <w:tcPr>
            <w:tcW w:w="2835" w:type="dxa"/>
            <w:gridSpan w:val="2"/>
            <w:shd w:val="clear" w:color="auto" w:fill="B6DDE8" w:themeFill="accent5" w:themeFillTint="66"/>
            <w:tcMar>
              <w:top w:w="85" w:type="dxa"/>
              <w:bottom w:w="85" w:type="dxa"/>
            </w:tcMar>
            <w:vAlign w:val="center"/>
          </w:tcPr>
          <w:p w:rsidR="00874852" w:rsidRDefault="00874852" w:rsidP="00874852">
            <w:pPr>
              <w:jc w:val="center"/>
              <w:rPr>
                <w:b/>
                <w:sz w:val="18"/>
                <w:szCs w:val="18"/>
              </w:rPr>
            </w:pPr>
            <w:r>
              <w:rPr>
                <w:b/>
                <w:sz w:val="18"/>
                <w:szCs w:val="18"/>
              </w:rPr>
              <w:t>Acceptance Status</w:t>
            </w:r>
          </w:p>
        </w:tc>
        <w:tc>
          <w:tcPr>
            <w:tcW w:w="2517" w:type="dxa"/>
            <w:vMerge w:val="restart"/>
            <w:shd w:val="clear" w:color="auto" w:fill="B6DDE8" w:themeFill="accent5" w:themeFillTint="66"/>
            <w:tcMar>
              <w:top w:w="85" w:type="dxa"/>
              <w:bottom w:w="85" w:type="dxa"/>
            </w:tcMar>
            <w:vAlign w:val="center"/>
          </w:tcPr>
          <w:p w:rsidR="00874852" w:rsidRDefault="00874852" w:rsidP="00874852">
            <w:pPr>
              <w:jc w:val="center"/>
              <w:rPr>
                <w:b/>
                <w:sz w:val="18"/>
                <w:szCs w:val="18"/>
              </w:rPr>
            </w:pPr>
            <w:r w:rsidRPr="006D7D80">
              <w:rPr>
                <w:b/>
                <w:sz w:val="18"/>
                <w:szCs w:val="18"/>
              </w:rPr>
              <w:t>Management/Focal Point Assessment</w:t>
            </w:r>
          </w:p>
        </w:tc>
      </w:tr>
      <w:tr w:rsidR="00874852" w:rsidTr="00567E4C">
        <w:trPr>
          <w:tblHeader/>
        </w:trPr>
        <w:tc>
          <w:tcPr>
            <w:tcW w:w="2660" w:type="dxa"/>
            <w:vMerge/>
            <w:shd w:val="clear" w:color="auto" w:fill="B6DDE8" w:themeFill="accent5" w:themeFillTint="66"/>
            <w:tcMar>
              <w:top w:w="85" w:type="dxa"/>
              <w:bottom w:w="85" w:type="dxa"/>
            </w:tcMar>
          </w:tcPr>
          <w:p w:rsidR="00874852" w:rsidRPr="006D7D80" w:rsidRDefault="00874852" w:rsidP="003417D2">
            <w:pPr>
              <w:rPr>
                <w:b/>
                <w:sz w:val="18"/>
                <w:szCs w:val="18"/>
              </w:rPr>
            </w:pPr>
          </w:p>
        </w:tc>
        <w:tc>
          <w:tcPr>
            <w:tcW w:w="1559" w:type="dxa"/>
            <w:vMerge/>
            <w:shd w:val="clear" w:color="auto" w:fill="B6DDE8" w:themeFill="accent5" w:themeFillTint="66"/>
            <w:tcMar>
              <w:top w:w="85" w:type="dxa"/>
              <w:bottom w:w="85" w:type="dxa"/>
            </w:tcMar>
          </w:tcPr>
          <w:p w:rsidR="00874852" w:rsidRPr="006D7D80" w:rsidRDefault="00874852" w:rsidP="003417D2">
            <w:pPr>
              <w:rPr>
                <w:b/>
                <w:sz w:val="18"/>
                <w:szCs w:val="18"/>
              </w:rPr>
            </w:pPr>
          </w:p>
        </w:tc>
        <w:tc>
          <w:tcPr>
            <w:tcW w:w="1418" w:type="dxa"/>
            <w:shd w:val="clear" w:color="auto" w:fill="B6DDE8" w:themeFill="accent5" w:themeFillTint="66"/>
            <w:tcMar>
              <w:top w:w="85" w:type="dxa"/>
              <w:bottom w:w="85" w:type="dxa"/>
            </w:tcMar>
            <w:vAlign w:val="center"/>
          </w:tcPr>
          <w:p w:rsidR="00874852" w:rsidRPr="00874852" w:rsidRDefault="00874852" w:rsidP="00874852">
            <w:pPr>
              <w:jc w:val="center"/>
              <w:rPr>
                <w:b/>
                <w:sz w:val="16"/>
                <w:szCs w:val="18"/>
              </w:rPr>
            </w:pPr>
            <w:r w:rsidRPr="00874852">
              <w:rPr>
                <w:b/>
                <w:sz w:val="16"/>
                <w:szCs w:val="18"/>
              </w:rPr>
              <w:t>Acceptance</w:t>
            </w:r>
          </w:p>
        </w:tc>
        <w:tc>
          <w:tcPr>
            <w:tcW w:w="1417" w:type="dxa"/>
            <w:shd w:val="clear" w:color="auto" w:fill="B6DDE8" w:themeFill="accent5" w:themeFillTint="66"/>
            <w:tcMar>
              <w:top w:w="85" w:type="dxa"/>
              <w:bottom w:w="85" w:type="dxa"/>
            </w:tcMar>
            <w:vAlign w:val="center"/>
          </w:tcPr>
          <w:p w:rsidR="00874852" w:rsidRPr="00874852" w:rsidRDefault="00874852" w:rsidP="00874852">
            <w:pPr>
              <w:jc w:val="center"/>
              <w:rPr>
                <w:b/>
                <w:sz w:val="16"/>
                <w:szCs w:val="18"/>
              </w:rPr>
            </w:pPr>
            <w:r w:rsidRPr="00874852">
              <w:rPr>
                <w:b/>
                <w:sz w:val="16"/>
                <w:szCs w:val="18"/>
              </w:rPr>
              <w:t>Implementation</w:t>
            </w:r>
          </w:p>
        </w:tc>
        <w:tc>
          <w:tcPr>
            <w:tcW w:w="2517" w:type="dxa"/>
            <w:vMerge/>
            <w:shd w:val="clear" w:color="auto" w:fill="B6DDE8" w:themeFill="accent5" w:themeFillTint="66"/>
            <w:tcMar>
              <w:top w:w="85" w:type="dxa"/>
              <w:bottom w:w="85" w:type="dxa"/>
            </w:tcMar>
          </w:tcPr>
          <w:p w:rsidR="00874852" w:rsidRPr="006D7D80" w:rsidRDefault="00874852" w:rsidP="003417D2">
            <w:pPr>
              <w:rPr>
                <w:b/>
                <w:sz w:val="18"/>
                <w:szCs w:val="18"/>
              </w:rPr>
            </w:pPr>
          </w:p>
        </w:tc>
      </w:tr>
      <w:tr w:rsidR="00810478" w:rsidTr="00567E4C">
        <w:tc>
          <w:tcPr>
            <w:tcW w:w="2660" w:type="dxa"/>
            <w:tcMar>
              <w:top w:w="85" w:type="dxa"/>
              <w:bottom w:w="85" w:type="dxa"/>
            </w:tcMar>
          </w:tcPr>
          <w:p w:rsidR="00810478" w:rsidRPr="00723C3B" w:rsidRDefault="00810478" w:rsidP="004457EE">
            <w:r w:rsidRPr="00723C3B">
              <w:rPr>
                <w:sz w:val="18"/>
                <w:szCs w:val="18"/>
              </w:rPr>
              <w:t xml:space="preserve">Rec. </w:t>
            </w:r>
            <w:proofErr w:type="gramStart"/>
            <w:r w:rsidRPr="00723C3B">
              <w:rPr>
                <w:sz w:val="18"/>
                <w:szCs w:val="18"/>
              </w:rPr>
              <w:t>4</w:t>
            </w:r>
            <w:r w:rsidR="004457EE">
              <w:rPr>
                <w:sz w:val="18"/>
                <w:szCs w:val="18"/>
              </w:rPr>
              <w:t xml:space="preserve"> </w:t>
            </w:r>
            <w:r w:rsidRPr="00723C3B">
              <w:rPr>
                <w:sz w:val="18"/>
                <w:szCs w:val="18"/>
              </w:rPr>
              <w:t xml:space="preserve"> The</w:t>
            </w:r>
            <w:proofErr w:type="gramEnd"/>
            <w:r w:rsidRPr="00723C3B">
              <w:rPr>
                <w:sz w:val="18"/>
                <w:szCs w:val="18"/>
              </w:rPr>
              <w:t xml:space="preserve"> legislative bodies of the United Nations system organizations should formulate and define relevant system-wide sectorial strategic frameworks through the Economic and Social Council to address the long</w:t>
            </w:r>
            <w:r w:rsidRPr="00723C3B">
              <w:rPr>
                <w:sz w:val="18"/>
                <w:szCs w:val="18"/>
              </w:rPr>
              <w:noBreakHyphen/>
              <w:t>term goals established by the 2005 World Summit Outcome, adopted by the General Assembly in resolution 60/1, as well as those established by the missions and mandates of the system organizations as a result of global conferences.</w:t>
            </w:r>
          </w:p>
        </w:tc>
        <w:tc>
          <w:tcPr>
            <w:tcW w:w="1559" w:type="dxa"/>
            <w:tcMar>
              <w:top w:w="85" w:type="dxa"/>
              <w:bottom w:w="85" w:type="dxa"/>
            </w:tcMar>
          </w:tcPr>
          <w:p w:rsidR="00810478" w:rsidRPr="00B731C5" w:rsidRDefault="00810478" w:rsidP="009F1FD5">
            <w:pPr>
              <w:rPr>
                <w:sz w:val="18"/>
                <w:szCs w:val="18"/>
              </w:rPr>
            </w:pPr>
            <w:r w:rsidRPr="004510FA">
              <w:rPr>
                <w:sz w:val="18"/>
                <w:szCs w:val="18"/>
              </w:rPr>
              <w:t>Director, P</w:t>
            </w:r>
            <w:r w:rsidR="009F1FD5">
              <w:rPr>
                <w:sz w:val="18"/>
                <w:szCs w:val="18"/>
              </w:rPr>
              <w:t>PF</w:t>
            </w:r>
            <w:r w:rsidRPr="004510FA">
              <w:rPr>
                <w:sz w:val="18"/>
                <w:szCs w:val="18"/>
              </w:rPr>
              <w:t xml:space="preserve"> (Controller)</w:t>
            </w:r>
          </w:p>
        </w:tc>
        <w:tc>
          <w:tcPr>
            <w:tcW w:w="1418" w:type="dxa"/>
            <w:tcMar>
              <w:top w:w="85" w:type="dxa"/>
              <w:bottom w:w="85" w:type="dxa"/>
            </w:tcMar>
          </w:tcPr>
          <w:p w:rsidR="00810478" w:rsidRPr="00B731C5" w:rsidRDefault="003810C3" w:rsidP="003417D2">
            <w:pPr>
              <w:rPr>
                <w:sz w:val="18"/>
                <w:szCs w:val="18"/>
              </w:rPr>
            </w:pPr>
            <w:r>
              <w:rPr>
                <w:noProof/>
                <w:lang w:eastAsia="en-US"/>
              </w:rPr>
              <mc:AlternateContent>
                <mc:Choice Requires="wps">
                  <w:drawing>
                    <wp:anchor distT="0" distB="0" distL="114300" distR="114300" simplePos="0" relativeHeight="251728896" behindDoc="0" locked="0" layoutInCell="1" allowOverlap="1" wp14:anchorId="6813BFF3" wp14:editId="58B7AD8F">
                      <wp:simplePos x="0" y="0"/>
                      <wp:positionH relativeFrom="column">
                        <wp:posOffset>49530</wp:posOffset>
                      </wp:positionH>
                      <wp:positionV relativeFrom="paragraph">
                        <wp:posOffset>856615</wp:posOffset>
                      </wp:positionV>
                      <wp:extent cx="1562100" cy="381000"/>
                      <wp:effectExtent l="0" t="0" r="19050" b="19050"/>
                      <wp:wrapNone/>
                      <wp:docPr id="8" name="Rounded Rectangle 8"/>
                      <wp:cNvGraphicFramePr/>
                      <a:graphic xmlns:a="http://schemas.openxmlformats.org/drawingml/2006/main">
                        <a:graphicData uri="http://schemas.microsoft.com/office/word/2010/wordprocessingShape">
                          <wps:wsp>
                            <wps:cNvSpPr/>
                            <wps:spPr>
                              <a:xfrm>
                                <a:off x="0" y="0"/>
                                <a:ext cx="1562100" cy="381000"/>
                              </a:xfrm>
                              <a:prstGeom prst="roundRect">
                                <a:avLst/>
                              </a:prstGeom>
                              <a:solidFill>
                                <a:sysClr val="window" lastClr="FFFFFF"/>
                              </a:solidFill>
                              <a:ln w="25400" cap="flat" cmpd="sng" algn="ctr">
                                <a:solidFill>
                                  <a:srgbClr val="1F497D">
                                    <a:lumMod val="40000"/>
                                    <a:lumOff val="60000"/>
                                  </a:srgbClr>
                                </a:solidFill>
                                <a:prstDash val="solid"/>
                              </a:ln>
                              <a:effectLst/>
                            </wps:spPr>
                            <wps:txbx>
                              <w:txbxContent>
                                <w:p w:rsidR="003810C3" w:rsidRPr="003810C3" w:rsidRDefault="003810C3" w:rsidP="003810C3">
                                  <w:pPr>
                                    <w:jc w:val="center"/>
                                    <w:rPr>
                                      <w:i/>
                                      <w:sz w:val="14"/>
                                      <w:szCs w:val="14"/>
                                    </w:rPr>
                                  </w:pPr>
                                  <w:r w:rsidRPr="003810C3">
                                    <w:rPr>
                                      <w:i/>
                                      <w:sz w:val="14"/>
                                      <w:szCs w:val="14"/>
                                    </w:rPr>
                                    <w:t>No change from previous status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8" o:spid="_x0000_s1028" style="position:absolute;margin-left:3.9pt;margin-top:67.45pt;width:123pt;height:30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" fillcolor="window" strokecolor="#8eb4e3" strokeweight="2pt">
                      <v:textbox>
                        <w:txbxContent>
                          <w:p w:rsidR="003810C3" w:rsidRPr="003810C3" w:rsidRDefault="003810C3" w:rsidP="003810C3">
                            <w:pPr>
                              <w:jc w:val="center"/>
                              <w:rPr>
                                <w:i/>
                                <w:sz w:val="14"/>
                                <w:szCs w:val="14"/>
                              </w:rPr>
                            </w:pPr>
                            <w:r w:rsidRPr="003810C3">
                              <w:rPr>
                                <w:i/>
                                <w:sz w:val="14"/>
                                <w:szCs w:val="14"/>
                              </w:rPr>
                              <w:t>No change from previous status</w:t>
                            </w:r>
                          </w:p>
                        </w:txbxContent>
                      </v:textbox>
                    </v:roundrect>
                  </w:pict>
                </mc:Fallback>
              </mc:AlternateContent>
            </w:r>
            <w:r w:rsidR="00810478">
              <w:rPr>
                <w:sz w:val="18"/>
                <w:szCs w:val="18"/>
              </w:rPr>
              <w:t>Under consideration</w:t>
            </w:r>
          </w:p>
        </w:tc>
        <w:tc>
          <w:tcPr>
            <w:tcW w:w="1417" w:type="dxa"/>
            <w:tcMar>
              <w:top w:w="85" w:type="dxa"/>
              <w:bottom w:w="85" w:type="dxa"/>
            </w:tcMar>
          </w:tcPr>
          <w:p w:rsidR="00810478" w:rsidRPr="00B731C5" w:rsidRDefault="00810478" w:rsidP="003417D2">
            <w:pPr>
              <w:rPr>
                <w:sz w:val="18"/>
                <w:szCs w:val="18"/>
              </w:rPr>
            </w:pPr>
          </w:p>
        </w:tc>
        <w:tc>
          <w:tcPr>
            <w:tcW w:w="2517" w:type="dxa"/>
            <w:tcMar>
              <w:top w:w="85" w:type="dxa"/>
              <w:bottom w:w="85" w:type="dxa"/>
            </w:tcMar>
          </w:tcPr>
          <w:p w:rsidR="00810478" w:rsidRPr="00B731C5" w:rsidRDefault="00810478" w:rsidP="003417D2">
            <w:pPr>
              <w:spacing w:after="200"/>
              <w:rPr>
                <w:sz w:val="18"/>
                <w:szCs w:val="18"/>
              </w:rPr>
            </w:pPr>
            <w:r w:rsidRPr="00810478">
              <w:rPr>
                <w:sz w:val="18"/>
                <w:szCs w:val="18"/>
              </w:rPr>
              <w:t xml:space="preserve">WIPO’s current medium term strategic plan (MTSP) covers the 2010-15 time </w:t>
            </w:r>
            <w:proofErr w:type="gramStart"/>
            <w:r w:rsidRPr="00810478">
              <w:rPr>
                <w:sz w:val="18"/>
                <w:szCs w:val="18"/>
              </w:rPr>
              <w:t>frame</w:t>
            </w:r>
            <w:proofErr w:type="gramEnd"/>
            <w:r w:rsidRPr="00810478">
              <w:rPr>
                <w:sz w:val="18"/>
                <w:szCs w:val="18"/>
              </w:rPr>
              <w:t xml:space="preserve"> and the WIPO Results Framework is developed on a biennial basis. Given the technical and specialized nature of WIPO’s work neither of these strategic planning tools are formulated or defined through the UN Economic and Social Council. WIPO remains focused on playing its part in helping to realize the MDGs.  Our Development Agenda related activities underline our commitment to assist Member States benefit from the use of the intellectual property system for economic, social and cultural development. While WIPO does undertake important work in this regard, given the nature of our support, it can be difficult to directly plan and attribute this to the achievement of MDGs.</w:t>
            </w:r>
          </w:p>
        </w:tc>
      </w:tr>
    </w:tbl>
    <w:p w:rsidR="00860304" w:rsidRDefault="00860304">
      <w:pPr>
        <w:rPr>
          <w:b/>
        </w:rPr>
      </w:pPr>
    </w:p>
    <w:p w:rsidR="00201B52" w:rsidRDefault="00201B52">
      <w:pPr>
        <w:rPr>
          <w:b/>
        </w:rPr>
      </w:pPr>
    </w:p>
    <w:p w:rsidR="00810478" w:rsidRPr="006803B7" w:rsidRDefault="00810478" w:rsidP="00B3191A">
      <w:pPr>
        <w:pStyle w:val="ListParagraph"/>
        <w:numPr>
          <w:ilvl w:val="0"/>
          <w:numId w:val="14"/>
        </w:numPr>
        <w:rPr>
          <w:szCs w:val="22"/>
        </w:rPr>
      </w:pPr>
      <w:r w:rsidRPr="006803B7">
        <w:rPr>
          <w:szCs w:val="22"/>
        </w:rPr>
        <w:t>JIU/REP/2012/10, “Staff–Management relations in the United Nations specialized agencies and common system”</w:t>
      </w:r>
    </w:p>
    <w:p w:rsidR="00810478" w:rsidRDefault="00810478" w:rsidP="003417D2">
      <w:pPr>
        <w:rPr>
          <w:b/>
        </w:rPr>
      </w:pPr>
    </w:p>
    <w:p w:rsidR="00201B52" w:rsidRDefault="00201B52" w:rsidP="003417D2">
      <w:pPr>
        <w:rPr>
          <w:b/>
        </w:rPr>
      </w:pPr>
    </w:p>
    <w:tbl>
      <w:tblPr>
        <w:tblStyle w:val="TableGrid"/>
        <w:tblW w:w="0" w:type="auto"/>
        <w:tblLayout w:type="fixed"/>
        <w:tblLook w:val="04A0" w:firstRow="1" w:lastRow="0" w:firstColumn="1" w:lastColumn="0" w:noHBand="0" w:noVBand="1"/>
      </w:tblPr>
      <w:tblGrid>
        <w:gridCol w:w="2660"/>
        <w:gridCol w:w="1559"/>
        <w:gridCol w:w="1418"/>
        <w:gridCol w:w="1417"/>
        <w:gridCol w:w="2517"/>
      </w:tblGrid>
      <w:tr w:rsidR="00874852" w:rsidTr="00567E4C">
        <w:trPr>
          <w:tblHeader/>
        </w:trPr>
        <w:tc>
          <w:tcPr>
            <w:tcW w:w="2660" w:type="dxa"/>
            <w:vMerge w:val="restart"/>
            <w:shd w:val="clear" w:color="auto" w:fill="B6DDE8" w:themeFill="accent5" w:themeFillTint="66"/>
            <w:tcMar>
              <w:top w:w="85" w:type="dxa"/>
              <w:bottom w:w="85" w:type="dxa"/>
            </w:tcMar>
            <w:vAlign w:val="center"/>
          </w:tcPr>
          <w:p w:rsidR="00874852" w:rsidRDefault="00874852" w:rsidP="00874852">
            <w:pPr>
              <w:jc w:val="center"/>
              <w:rPr>
                <w:b/>
              </w:rPr>
            </w:pPr>
            <w:r>
              <w:rPr>
                <w:b/>
              </w:rPr>
              <w:br w:type="page"/>
            </w:r>
            <w:r w:rsidRPr="006D7D80">
              <w:rPr>
                <w:b/>
                <w:sz w:val="18"/>
                <w:szCs w:val="18"/>
              </w:rPr>
              <w:t>Recommendation</w:t>
            </w:r>
          </w:p>
        </w:tc>
        <w:tc>
          <w:tcPr>
            <w:tcW w:w="1559" w:type="dxa"/>
            <w:vMerge w:val="restart"/>
            <w:shd w:val="clear" w:color="auto" w:fill="B6DDE8" w:themeFill="accent5" w:themeFillTint="66"/>
            <w:tcMar>
              <w:top w:w="85" w:type="dxa"/>
              <w:bottom w:w="85" w:type="dxa"/>
            </w:tcMar>
            <w:vAlign w:val="center"/>
          </w:tcPr>
          <w:p w:rsidR="00874852" w:rsidRDefault="00874852" w:rsidP="00874852">
            <w:pPr>
              <w:jc w:val="center"/>
              <w:rPr>
                <w:b/>
                <w:sz w:val="18"/>
                <w:szCs w:val="18"/>
              </w:rPr>
            </w:pPr>
            <w:r w:rsidRPr="006D7D80">
              <w:rPr>
                <w:b/>
                <w:sz w:val="18"/>
                <w:szCs w:val="18"/>
              </w:rPr>
              <w:t>Responsible Officer</w:t>
            </w:r>
          </w:p>
        </w:tc>
        <w:tc>
          <w:tcPr>
            <w:tcW w:w="2835" w:type="dxa"/>
            <w:gridSpan w:val="2"/>
            <w:shd w:val="clear" w:color="auto" w:fill="B6DDE8" w:themeFill="accent5" w:themeFillTint="66"/>
            <w:tcMar>
              <w:top w:w="85" w:type="dxa"/>
              <w:bottom w:w="85" w:type="dxa"/>
            </w:tcMar>
            <w:vAlign w:val="center"/>
          </w:tcPr>
          <w:p w:rsidR="00874852" w:rsidRDefault="00874852" w:rsidP="00602A1B">
            <w:pPr>
              <w:jc w:val="center"/>
              <w:rPr>
                <w:b/>
                <w:sz w:val="18"/>
                <w:szCs w:val="18"/>
              </w:rPr>
            </w:pPr>
            <w:r>
              <w:rPr>
                <w:b/>
                <w:sz w:val="18"/>
                <w:szCs w:val="18"/>
              </w:rPr>
              <w:t>Acceptance Status</w:t>
            </w:r>
          </w:p>
        </w:tc>
        <w:tc>
          <w:tcPr>
            <w:tcW w:w="2517" w:type="dxa"/>
            <w:vMerge w:val="restart"/>
            <w:shd w:val="clear" w:color="auto" w:fill="B6DDE8" w:themeFill="accent5" w:themeFillTint="66"/>
            <w:tcMar>
              <w:top w:w="85" w:type="dxa"/>
              <w:bottom w:w="85" w:type="dxa"/>
            </w:tcMar>
            <w:vAlign w:val="center"/>
          </w:tcPr>
          <w:p w:rsidR="00874852" w:rsidRDefault="00874852" w:rsidP="00874852">
            <w:pPr>
              <w:jc w:val="center"/>
              <w:rPr>
                <w:b/>
                <w:sz w:val="18"/>
                <w:szCs w:val="18"/>
              </w:rPr>
            </w:pPr>
            <w:r w:rsidRPr="006D7D80">
              <w:rPr>
                <w:b/>
                <w:sz w:val="18"/>
                <w:szCs w:val="18"/>
              </w:rPr>
              <w:t>Management/Focal Point Assessment</w:t>
            </w:r>
          </w:p>
        </w:tc>
      </w:tr>
      <w:tr w:rsidR="00874852" w:rsidTr="00567E4C">
        <w:trPr>
          <w:trHeight w:val="355"/>
          <w:tblHeader/>
        </w:trPr>
        <w:tc>
          <w:tcPr>
            <w:tcW w:w="2660" w:type="dxa"/>
            <w:vMerge/>
            <w:shd w:val="clear" w:color="auto" w:fill="B6DDE8" w:themeFill="accent5" w:themeFillTint="66"/>
          </w:tcPr>
          <w:p w:rsidR="00874852" w:rsidRPr="006D7D80" w:rsidRDefault="00874852" w:rsidP="003417D2">
            <w:pPr>
              <w:rPr>
                <w:b/>
                <w:sz w:val="18"/>
                <w:szCs w:val="18"/>
              </w:rPr>
            </w:pPr>
          </w:p>
        </w:tc>
        <w:tc>
          <w:tcPr>
            <w:tcW w:w="1559" w:type="dxa"/>
            <w:vMerge/>
            <w:shd w:val="clear" w:color="auto" w:fill="B6DDE8" w:themeFill="accent5" w:themeFillTint="66"/>
          </w:tcPr>
          <w:p w:rsidR="00874852" w:rsidRPr="006D7D80" w:rsidRDefault="00874852" w:rsidP="003417D2">
            <w:pPr>
              <w:rPr>
                <w:b/>
                <w:sz w:val="18"/>
                <w:szCs w:val="18"/>
              </w:rPr>
            </w:pPr>
          </w:p>
        </w:tc>
        <w:tc>
          <w:tcPr>
            <w:tcW w:w="1418" w:type="dxa"/>
            <w:shd w:val="clear" w:color="auto" w:fill="B6DDE8" w:themeFill="accent5" w:themeFillTint="66"/>
            <w:vAlign w:val="center"/>
          </w:tcPr>
          <w:p w:rsidR="00874852" w:rsidRPr="00874852" w:rsidRDefault="00874852" w:rsidP="00874852">
            <w:pPr>
              <w:jc w:val="center"/>
              <w:rPr>
                <w:b/>
                <w:sz w:val="16"/>
                <w:szCs w:val="18"/>
              </w:rPr>
            </w:pPr>
            <w:r w:rsidRPr="00874852">
              <w:rPr>
                <w:b/>
                <w:sz w:val="16"/>
                <w:szCs w:val="18"/>
              </w:rPr>
              <w:t>Acceptance</w:t>
            </w:r>
          </w:p>
        </w:tc>
        <w:tc>
          <w:tcPr>
            <w:tcW w:w="1417" w:type="dxa"/>
            <w:shd w:val="clear" w:color="auto" w:fill="B6DDE8" w:themeFill="accent5" w:themeFillTint="66"/>
            <w:vAlign w:val="center"/>
          </w:tcPr>
          <w:p w:rsidR="00874852" w:rsidRPr="00874852" w:rsidRDefault="00874852" w:rsidP="00874852">
            <w:pPr>
              <w:jc w:val="center"/>
              <w:rPr>
                <w:b/>
                <w:sz w:val="16"/>
                <w:szCs w:val="18"/>
              </w:rPr>
            </w:pPr>
            <w:r w:rsidRPr="00874852">
              <w:rPr>
                <w:b/>
                <w:sz w:val="16"/>
                <w:szCs w:val="18"/>
              </w:rPr>
              <w:t>Implementation</w:t>
            </w:r>
          </w:p>
        </w:tc>
        <w:tc>
          <w:tcPr>
            <w:tcW w:w="2517" w:type="dxa"/>
            <w:vMerge/>
            <w:shd w:val="clear" w:color="auto" w:fill="B6DDE8" w:themeFill="accent5" w:themeFillTint="66"/>
          </w:tcPr>
          <w:p w:rsidR="00874852" w:rsidRPr="006D7D80" w:rsidRDefault="00874852" w:rsidP="003417D2">
            <w:pPr>
              <w:rPr>
                <w:b/>
                <w:sz w:val="18"/>
                <w:szCs w:val="18"/>
              </w:rPr>
            </w:pPr>
          </w:p>
        </w:tc>
      </w:tr>
      <w:tr w:rsidR="00810478" w:rsidTr="00567E4C">
        <w:tc>
          <w:tcPr>
            <w:tcW w:w="2660" w:type="dxa"/>
            <w:tcMar>
              <w:top w:w="85" w:type="dxa"/>
              <w:bottom w:w="85" w:type="dxa"/>
            </w:tcMar>
          </w:tcPr>
          <w:p w:rsidR="00860304" w:rsidRPr="00860304" w:rsidRDefault="00810478" w:rsidP="004457EE">
            <w:pPr>
              <w:rPr>
                <w:sz w:val="18"/>
                <w:szCs w:val="18"/>
              </w:rPr>
            </w:pPr>
            <w:r w:rsidRPr="00FB6E76">
              <w:rPr>
                <w:sz w:val="18"/>
                <w:szCs w:val="18"/>
              </w:rPr>
              <w:t>Rec. 8</w:t>
            </w:r>
            <w:r w:rsidR="004457EE">
              <w:rPr>
                <w:sz w:val="18"/>
                <w:szCs w:val="18"/>
              </w:rPr>
              <w:t xml:space="preserve"> </w:t>
            </w:r>
            <w:r w:rsidRPr="00FB6E76">
              <w:rPr>
                <w:sz w:val="18"/>
                <w:szCs w:val="18"/>
              </w:rPr>
              <w:t xml:space="preserve"> The legislative or Governing Bodies of the organizations under review should mandate their Executive Heads to </w:t>
            </w:r>
            <w:r w:rsidRPr="00B1748F">
              <w:rPr>
                <w:sz w:val="18"/>
                <w:szCs w:val="18"/>
              </w:rPr>
              <w:t xml:space="preserve">prioritize the development of a burden-sharing formula and agreement with regard to financing all costs associated with the representational function of officials of staff </w:t>
            </w:r>
            <w:r w:rsidRPr="00B1748F">
              <w:rPr>
                <w:sz w:val="18"/>
                <w:szCs w:val="18"/>
              </w:rPr>
              <w:lastRenderedPageBreak/>
              <w:t>federations that are recognized in the ICSC statutes and rules of procedures.</w:t>
            </w:r>
          </w:p>
        </w:tc>
        <w:tc>
          <w:tcPr>
            <w:tcW w:w="1559" w:type="dxa"/>
            <w:tcMar>
              <w:top w:w="85" w:type="dxa"/>
              <w:bottom w:w="85" w:type="dxa"/>
            </w:tcMar>
          </w:tcPr>
          <w:p w:rsidR="00810478" w:rsidRPr="00B731C5" w:rsidRDefault="00810478" w:rsidP="0077582B">
            <w:pPr>
              <w:rPr>
                <w:sz w:val="18"/>
                <w:szCs w:val="18"/>
              </w:rPr>
            </w:pPr>
            <w:r>
              <w:rPr>
                <w:sz w:val="18"/>
                <w:szCs w:val="18"/>
              </w:rPr>
              <w:lastRenderedPageBreak/>
              <w:t xml:space="preserve">Director, </w:t>
            </w:r>
            <w:r w:rsidR="0077582B">
              <w:rPr>
                <w:sz w:val="18"/>
                <w:szCs w:val="18"/>
              </w:rPr>
              <w:t>HRMD</w:t>
            </w:r>
          </w:p>
        </w:tc>
        <w:tc>
          <w:tcPr>
            <w:tcW w:w="1418" w:type="dxa"/>
            <w:tcMar>
              <w:top w:w="85" w:type="dxa"/>
              <w:bottom w:w="85" w:type="dxa"/>
            </w:tcMar>
          </w:tcPr>
          <w:p w:rsidR="00860304" w:rsidRPr="00B731C5" w:rsidRDefault="00337266" w:rsidP="00ED0EFC">
            <w:pPr>
              <w:rPr>
                <w:sz w:val="18"/>
                <w:szCs w:val="18"/>
              </w:rPr>
            </w:pPr>
            <w:r>
              <w:rPr>
                <w:noProof/>
                <w:lang w:eastAsia="en-US"/>
              </w:rPr>
              <mc:AlternateContent>
                <mc:Choice Requires="wps">
                  <w:drawing>
                    <wp:anchor distT="0" distB="0" distL="114300" distR="114300" simplePos="0" relativeHeight="251696128" behindDoc="0" locked="0" layoutInCell="1" allowOverlap="1" wp14:anchorId="198A3073" wp14:editId="65717C06">
                      <wp:simplePos x="0" y="0"/>
                      <wp:positionH relativeFrom="column">
                        <wp:posOffset>49530</wp:posOffset>
                      </wp:positionH>
                      <wp:positionV relativeFrom="paragraph">
                        <wp:posOffset>541655</wp:posOffset>
                      </wp:positionV>
                      <wp:extent cx="1562100" cy="238125"/>
                      <wp:effectExtent l="0" t="0" r="19050" b="28575"/>
                      <wp:wrapNone/>
                      <wp:docPr id="7" name="Rounded Rectangle 7"/>
                      <wp:cNvGraphicFramePr/>
                      <a:graphic xmlns:a="http://schemas.openxmlformats.org/drawingml/2006/main">
                        <a:graphicData uri="http://schemas.microsoft.com/office/word/2010/wordprocessingShape">
                          <wps:wsp>
                            <wps:cNvSpPr/>
                            <wps:spPr>
                              <a:xfrm>
                                <a:off x="0" y="0"/>
                                <a:ext cx="1562100" cy="238125"/>
                              </a:xfrm>
                              <a:prstGeom prst="roundRect">
                                <a:avLst/>
                              </a:prstGeom>
                              <a:solidFill>
                                <a:schemeClr val="lt1"/>
                              </a:solidFill>
                              <a:ln>
                                <a:solidFill>
                                  <a:schemeClr val="tx2">
                                    <a:lumMod val="40000"/>
                                    <a:lumOff val="60000"/>
                                  </a:schemeClr>
                                </a:solidFill>
                              </a:ln>
                            </wps:spPr>
                            <wps:style>
                              <a:lnRef idx="2">
                                <a:schemeClr val="accent6"/>
                              </a:lnRef>
                              <a:fillRef idx="1">
                                <a:schemeClr val="lt1"/>
                              </a:fillRef>
                              <a:effectRef idx="0">
                                <a:schemeClr val="accent6"/>
                              </a:effectRef>
                              <a:fontRef idx="minor">
                                <a:schemeClr val="dk1"/>
                              </a:fontRef>
                            </wps:style>
                            <wps:txbx>
                              <w:txbxContent>
                                <w:p w:rsidR="00337266" w:rsidRDefault="00337266" w:rsidP="00337266">
                                  <w:pPr>
                                    <w:jc w:val="center"/>
                                  </w:pPr>
                                  <w:r w:rsidRPr="00337266">
                                    <w:rPr>
                                      <w:i/>
                                      <w:sz w:val="14"/>
                                      <w:szCs w:val="14"/>
                                    </w:rPr>
                                    <w:t>Previously “under consideration”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7" o:spid="_x0000_s1029" style="position:absolute;margin-left:3.9pt;margin-top:42.65pt;width:123pt;height:18.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" fillcolor="white [3201]" strokecolor="#8db3e2 [1311]" strokeweight="2pt">
                      <v:textbox>
                        <w:txbxContent>
                          <w:p w:rsidR="00337266" w:rsidRDefault="00337266" w:rsidP="00337266">
                            <w:pPr>
                              <w:jc w:val="center"/>
                            </w:pPr>
                            <w:r w:rsidRPr="00337266">
                              <w:rPr>
                                <w:i/>
                                <w:sz w:val="14"/>
                                <w:szCs w:val="14"/>
                              </w:rPr>
                              <w:t>Previously “under consideration”</w:t>
                            </w:r>
                          </w:p>
                        </w:txbxContent>
                      </v:textbox>
                    </v:roundrect>
                  </w:pict>
                </mc:Fallback>
              </mc:AlternateContent>
            </w:r>
            <w:r w:rsidR="00810478">
              <w:rPr>
                <w:sz w:val="18"/>
                <w:szCs w:val="18"/>
              </w:rPr>
              <w:t>Accepted</w:t>
            </w:r>
          </w:p>
        </w:tc>
        <w:tc>
          <w:tcPr>
            <w:tcW w:w="1417" w:type="dxa"/>
            <w:tcMar>
              <w:top w:w="85" w:type="dxa"/>
              <w:bottom w:w="85" w:type="dxa"/>
            </w:tcMar>
          </w:tcPr>
          <w:p w:rsidR="00810478" w:rsidRPr="00B731C5" w:rsidRDefault="00810478" w:rsidP="003417D2">
            <w:pPr>
              <w:rPr>
                <w:sz w:val="18"/>
                <w:szCs w:val="18"/>
              </w:rPr>
            </w:pPr>
            <w:r>
              <w:rPr>
                <w:sz w:val="18"/>
                <w:szCs w:val="18"/>
              </w:rPr>
              <w:t>Implemented</w:t>
            </w:r>
          </w:p>
        </w:tc>
        <w:tc>
          <w:tcPr>
            <w:tcW w:w="2517" w:type="dxa"/>
            <w:tcMar>
              <w:top w:w="85" w:type="dxa"/>
              <w:bottom w:w="85" w:type="dxa"/>
            </w:tcMar>
          </w:tcPr>
          <w:p w:rsidR="00810478" w:rsidRDefault="00810478" w:rsidP="003417D2">
            <w:pPr>
              <w:rPr>
                <w:sz w:val="18"/>
                <w:szCs w:val="18"/>
              </w:rPr>
            </w:pPr>
            <w:r>
              <w:rPr>
                <w:sz w:val="18"/>
                <w:szCs w:val="18"/>
              </w:rPr>
              <w:t>In accordance with this recommendation, the Chief Executives Board’s High Level Committee on Management (HLCM) has been mandated to consider this issue as a matter of priority.  The last meeting of the HLCM in March 2015 has taken up this matter and will address it accordingly.</w:t>
            </w:r>
          </w:p>
          <w:p w:rsidR="00810478" w:rsidRPr="00B731C5" w:rsidRDefault="00810478" w:rsidP="003417D2">
            <w:pPr>
              <w:spacing w:after="200"/>
              <w:rPr>
                <w:sz w:val="18"/>
                <w:szCs w:val="18"/>
              </w:rPr>
            </w:pPr>
          </w:p>
        </w:tc>
      </w:tr>
    </w:tbl>
    <w:p w:rsidR="00201B52" w:rsidRDefault="00201B52" w:rsidP="00201B52">
      <w:pPr>
        <w:pStyle w:val="ListParagraph"/>
        <w:rPr>
          <w:szCs w:val="22"/>
        </w:rPr>
      </w:pPr>
    </w:p>
    <w:p w:rsidR="00201B52" w:rsidRDefault="00201B52" w:rsidP="00201B52">
      <w:pPr>
        <w:pStyle w:val="ListParagraph"/>
        <w:rPr>
          <w:szCs w:val="22"/>
        </w:rPr>
      </w:pPr>
    </w:p>
    <w:p w:rsidR="00810478" w:rsidRPr="006803B7" w:rsidRDefault="00810478" w:rsidP="00B3191A">
      <w:pPr>
        <w:pStyle w:val="ListParagraph"/>
        <w:numPr>
          <w:ilvl w:val="0"/>
          <w:numId w:val="14"/>
        </w:numPr>
        <w:rPr>
          <w:szCs w:val="22"/>
        </w:rPr>
      </w:pPr>
      <w:r w:rsidRPr="006803B7">
        <w:rPr>
          <w:szCs w:val="22"/>
        </w:rPr>
        <w:t>JIU/REP/2012/9 “Lump-sum payments in lieu of entitlements”</w:t>
      </w:r>
    </w:p>
    <w:p w:rsidR="004A115E" w:rsidRDefault="004A115E" w:rsidP="003417D2">
      <w:pPr>
        <w:rPr>
          <w:b/>
        </w:rPr>
      </w:pPr>
    </w:p>
    <w:p w:rsidR="00201B52" w:rsidRDefault="00201B52" w:rsidP="003417D2">
      <w:pPr>
        <w:rPr>
          <w:b/>
        </w:rPr>
      </w:pPr>
    </w:p>
    <w:tbl>
      <w:tblPr>
        <w:tblStyle w:val="TableGrid"/>
        <w:tblW w:w="0" w:type="auto"/>
        <w:tblLayout w:type="fixed"/>
        <w:tblLook w:val="04A0" w:firstRow="1" w:lastRow="0" w:firstColumn="1" w:lastColumn="0" w:noHBand="0" w:noVBand="1"/>
      </w:tblPr>
      <w:tblGrid>
        <w:gridCol w:w="2660"/>
        <w:gridCol w:w="1559"/>
        <w:gridCol w:w="1418"/>
        <w:gridCol w:w="1417"/>
        <w:gridCol w:w="2517"/>
      </w:tblGrid>
      <w:tr w:rsidR="00EC3BA2" w:rsidTr="00567E4C">
        <w:trPr>
          <w:tblHeader/>
        </w:trPr>
        <w:tc>
          <w:tcPr>
            <w:tcW w:w="2660" w:type="dxa"/>
            <w:vMerge w:val="restart"/>
            <w:shd w:val="clear" w:color="auto" w:fill="B6DDE8" w:themeFill="accent5" w:themeFillTint="66"/>
            <w:tcMar>
              <w:top w:w="85" w:type="dxa"/>
              <w:bottom w:w="85" w:type="dxa"/>
            </w:tcMar>
            <w:vAlign w:val="center"/>
          </w:tcPr>
          <w:p w:rsidR="00EC3BA2" w:rsidRDefault="00EC3BA2" w:rsidP="00EC3BA2">
            <w:pPr>
              <w:jc w:val="center"/>
              <w:rPr>
                <w:b/>
              </w:rPr>
            </w:pPr>
            <w:r>
              <w:rPr>
                <w:b/>
              </w:rPr>
              <w:br w:type="page"/>
            </w:r>
            <w:r w:rsidRPr="006D7D80">
              <w:rPr>
                <w:b/>
                <w:sz w:val="18"/>
                <w:szCs w:val="18"/>
              </w:rPr>
              <w:t>Recommendation</w:t>
            </w:r>
          </w:p>
        </w:tc>
        <w:tc>
          <w:tcPr>
            <w:tcW w:w="1559" w:type="dxa"/>
            <w:vMerge w:val="restart"/>
            <w:shd w:val="clear" w:color="auto" w:fill="B6DDE8" w:themeFill="accent5" w:themeFillTint="66"/>
            <w:tcMar>
              <w:top w:w="85" w:type="dxa"/>
              <w:bottom w:w="85" w:type="dxa"/>
            </w:tcMar>
            <w:vAlign w:val="center"/>
          </w:tcPr>
          <w:p w:rsidR="00EC3BA2" w:rsidRDefault="00EC3BA2" w:rsidP="00EC3BA2">
            <w:pPr>
              <w:jc w:val="center"/>
              <w:rPr>
                <w:b/>
                <w:sz w:val="18"/>
                <w:szCs w:val="18"/>
              </w:rPr>
            </w:pPr>
            <w:r w:rsidRPr="006D7D80">
              <w:rPr>
                <w:b/>
                <w:sz w:val="18"/>
                <w:szCs w:val="18"/>
              </w:rPr>
              <w:t>Responsible Officer</w:t>
            </w:r>
          </w:p>
        </w:tc>
        <w:tc>
          <w:tcPr>
            <w:tcW w:w="2835" w:type="dxa"/>
            <w:gridSpan w:val="2"/>
            <w:shd w:val="clear" w:color="auto" w:fill="B6DDE8" w:themeFill="accent5" w:themeFillTint="66"/>
            <w:tcMar>
              <w:top w:w="85" w:type="dxa"/>
              <w:bottom w:w="85" w:type="dxa"/>
            </w:tcMar>
            <w:vAlign w:val="center"/>
          </w:tcPr>
          <w:p w:rsidR="00EC3BA2" w:rsidRDefault="00EC3BA2" w:rsidP="00EC3BA2">
            <w:pPr>
              <w:jc w:val="center"/>
              <w:rPr>
                <w:b/>
                <w:sz w:val="18"/>
                <w:szCs w:val="18"/>
              </w:rPr>
            </w:pPr>
            <w:r>
              <w:rPr>
                <w:b/>
                <w:sz w:val="18"/>
                <w:szCs w:val="18"/>
              </w:rPr>
              <w:t>Acceptance Status</w:t>
            </w:r>
          </w:p>
        </w:tc>
        <w:tc>
          <w:tcPr>
            <w:tcW w:w="2517" w:type="dxa"/>
            <w:vMerge w:val="restart"/>
            <w:shd w:val="clear" w:color="auto" w:fill="B6DDE8" w:themeFill="accent5" w:themeFillTint="66"/>
            <w:tcMar>
              <w:top w:w="85" w:type="dxa"/>
              <w:bottom w:w="85" w:type="dxa"/>
            </w:tcMar>
            <w:vAlign w:val="center"/>
          </w:tcPr>
          <w:p w:rsidR="00EC3BA2" w:rsidRDefault="00EC3BA2" w:rsidP="00EC3BA2">
            <w:pPr>
              <w:jc w:val="center"/>
              <w:rPr>
                <w:b/>
                <w:sz w:val="18"/>
                <w:szCs w:val="18"/>
              </w:rPr>
            </w:pPr>
            <w:r w:rsidRPr="006D7D80">
              <w:rPr>
                <w:b/>
                <w:sz w:val="18"/>
                <w:szCs w:val="18"/>
              </w:rPr>
              <w:t>Management/Focal Point Assessment</w:t>
            </w:r>
          </w:p>
        </w:tc>
      </w:tr>
      <w:tr w:rsidR="00EC3BA2" w:rsidTr="00567E4C">
        <w:trPr>
          <w:tblHeader/>
        </w:trPr>
        <w:tc>
          <w:tcPr>
            <w:tcW w:w="2660" w:type="dxa"/>
            <w:vMerge/>
            <w:shd w:val="clear" w:color="auto" w:fill="B6DDE8" w:themeFill="accent5" w:themeFillTint="66"/>
          </w:tcPr>
          <w:p w:rsidR="00EC3BA2" w:rsidRPr="006D7D80" w:rsidRDefault="00EC3BA2" w:rsidP="003417D2">
            <w:pPr>
              <w:rPr>
                <w:b/>
                <w:sz w:val="18"/>
                <w:szCs w:val="18"/>
              </w:rPr>
            </w:pPr>
          </w:p>
        </w:tc>
        <w:tc>
          <w:tcPr>
            <w:tcW w:w="1559" w:type="dxa"/>
            <w:vMerge/>
            <w:shd w:val="clear" w:color="auto" w:fill="B6DDE8" w:themeFill="accent5" w:themeFillTint="66"/>
          </w:tcPr>
          <w:p w:rsidR="00EC3BA2" w:rsidRPr="006D7D80" w:rsidRDefault="00EC3BA2" w:rsidP="003417D2">
            <w:pPr>
              <w:rPr>
                <w:b/>
                <w:sz w:val="18"/>
                <w:szCs w:val="18"/>
              </w:rPr>
            </w:pPr>
          </w:p>
        </w:tc>
        <w:tc>
          <w:tcPr>
            <w:tcW w:w="1418" w:type="dxa"/>
            <w:shd w:val="clear" w:color="auto" w:fill="B6DDE8" w:themeFill="accent5" w:themeFillTint="66"/>
            <w:tcMar>
              <w:top w:w="85" w:type="dxa"/>
              <w:bottom w:w="85" w:type="dxa"/>
            </w:tcMar>
            <w:vAlign w:val="center"/>
          </w:tcPr>
          <w:p w:rsidR="00EC3BA2" w:rsidRPr="00EC3BA2" w:rsidRDefault="00EC3BA2" w:rsidP="00EC3BA2">
            <w:pPr>
              <w:jc w:val="center"/>
              <w:rPr>
                <w:b/>
                <w:sz w:val="16"/>
                <w:szCs w:val="18"/>
              </w:rPr>
            </w:pPr>
            <w:r w:rsidRPr="00EC3BA2">
              <w:rPr>
                <w:b/>
                <w:sz w:val="16"/>
                <w:szCs w:val="18"/>
              </w:rPr>
              <w:t>Acceptance</w:t>
            </w:r>
          </w:p>
        </w:tc>
        <w:tc>
          <w:tcPr>
            <w:tcW w:w="1417" w:type="dxa"/>
            <w:shd w:val="clear" w:color="auto" w:fill="B6DDE8" w:themeFill="accent5" w:themeFillTint="66"/>
            <w:tcMar>
              <w:top w:w="85" w:type="dxa"/>
              <w:bottom w:w="85" w:type="dxa"/>
            </w:tcMar>
            <w:vAlign w:val="center"/>
          </w:tcPr>
          <w:p w:rsidR="00EC3BA2" w:rsidRPr="00EC3BA2" w:rsidRDefault="00EC3BA2" w:rsidP="00EC3BA2">
            <w:pPr>
              <w:jc w:val="center"/>
              <w:rPr>
                <w:b/>
                <w:sz w:val="16"/>
                <w:szCs w:val="18"/>
              </w:rPr>
            </w:pPr>
            <w:r w:rsidRPr="00EC3BA2">
              <w:rPr>
                <w:b/>
                <w:sz w:val="16"/>
                <w:szCs w:val="18"/>
              </w:rPr>
              <w:t>Implementation</w:t>
            </w:r>
          </w:p>
        </w:tc>
        <w:tc>
          <w:tcPr>
            <w:tcW w:w="2517" w:type="dxa"/>
            <w:vMerge/>
            <w:shd w:val="clear" w:color="auto" w:fill="B6DDE8" w:themeFill="accent5" w:themeFillTint="66"/>
          </w:tcPr>
          <w:p w:rsidR="00EC3BA2" w:rsidRPr="006D7D80" w:rsidRDefault="00EC3BA2" w:rsidP="003417D2">
            <w:pPr>
              <w:rPr>
                <w:b/>
                <w:sz w:val="18"/>
                <w:szCs w:val="18"/>
              </w:rPr>
            </w:pPr>
          </w:p>
        </w:tc>
      </w:tr>
      <w:tr w:rsidR="00810478" w:rsidTr="00567E4C">
        <w:tc>
          <w:tcPr>
            <w:tcW w:w="2660" w:type="dxa"/>
            <w:tcMar>
              <w:top w:w="85" w:type="dxa"/>
              <w:bottom w:w="85" w:type="dxa"/>
            </w:tcMar>
            <w:vAlign w:val="center"/>
          </w:tcPr>
          <w:p w:rsidR="00810478" w:rsidRPr="006E5611" w:rsidRDefault="00810478" w:rsidP="004457EE">
            <w:pPr>
              <w:rPr>
                <w:sz w:val="18"/>
                <w:szCs w:val="18"/>
              </w:rPr>
            </w:pPr>
            <w:r w:rsidRPr="004A1F54">
              <w:rPr>
                <w:sz w:val="18"/>
                <w:szCs w:val="18"/>
              </w:rPr>
              <w:t>Rec. 3</w:t>
            </w:r>
            <w:r>
              <w:rPr>
                <w:sz w:val="18"/>
                <w:szCs w:val="18"/>
              </w:rPr>
              <w:t xml:space="preserve"> </w:t>
            </w:r>
            <w:r w:rsidRPr="004A1F54">
              <w:rPr>
                <w:sz w:val="18"/>
                <w:szCs w:val="18"/>
              </w:rPr>
              <w:t xml:space="preserve"> The legislative/governing bodies of United Nations system organizations should request their respective executive heads to suspend, if not already the case, the payment of additional DSA (15 or 40 per cent), to those officials travelling on organizational budgets.</w:t>
            </w:r>
          </w:p>
        </w:tc>
        <w:tc>
          <w:tcPr>
            <w:tcW w:w="1559" w:type="dxa"/>
            <w:tcMar>
              <w:top w:w="85" w:type="dxa"/>
              <w:bottom w:w="85" w:type="dxa"/>
            </w:tcMar>
          </w:tcPr>
          <w:p w:rsidR="00810478" w:rsidRPr="004A1F54" w:rsidRDefault="00810478" w:rsidP="00D944CD">
            <w:pPr>
              <w:rPr>
                <w:sz w:val="18"/>
                <w:szCs w:val="18"/>
              </w:rPr>
            </w:pPr>
            <w:r>
              <w:rPr>
                <w:sz w:val="18"/>
              </w:rPr>
              <w:t>Director, P</w:t>
            </w:r>
            <w:r w:rsidR="00D944CD">
              <w:rPr>
                <w:sz w:val="18"/>
              </w:rPr>
              <w:t>TD</w:t>
            </w:r>
            <w:bookmarkStart w:id="6" w:name="_GoBack"/>
            <w:bookmarkEnd w:id="6"/>
          </w:p>
        </w:tc>
        <w:tc>
          <w:tcPr>
            <w:tcW w:w="1418" w:type="dxa"/>
            <w:tcMar>
              <w:top w:w="85" w:type="dxa"/>
              <w:bottom w:w="85" w:type="dxa"/>
            </w:tcMar>
          </w:tcPr>
          <w:p w:rsidR="00810478" w:rsidRPr="006E5611" w:rsidRDefault="003810C3" w:rsidP="003417D2">
            <w:pPr>
              <w:rPr>
                <w:sz w:val="18"/>
                <w:szCs w:val="18"/>
              </w:rPr>
            </w:pPr>
            <w:r>
              <w:rPr>
                <w:noProof/>
                <w:lang w:eastAsia="en-US"/>
              </w:rPr>
              <mc:AlternateContent>
                <mc:Choice Requires="wps">
                  <w:drawing>
                    <wp:anchor distT="0" distB="0" distL="114300" distR="114300" simplePos="0" relativeHeight="251730944" behindDoc="0" locked="0" layoutInCell="1" allowOverlap="1" wp14:anchorId="4DAFE0A0" wp14:editId="6F4929EC">
                      <wp:simplePos x="0" y="0"/>
                      <wp:positionH relativeFrom="column">
                        <wp:posOffset>59055</wp:posOffset>
                      </wp:positionH>
                      <wp:positionV relativeFrom="paragraph">
                        <wp:posOffset>493395</wp:posOffset>
                      </wp:positionV>
                      <wp:extent cx="1562100" cy="381000"/>
                      <wp:effectExtent l="0" t="0" r="19050" b="19050"/>
                      <wp:wrapNone/>
                      <wp:docPr id="24" name="Rounded Rectangle 24"/>
                      <wp:cNvGraphicFramePr/>
                      <a:graphic xmlns:a="http://schemas.openxmlformats.org/drawingml/2006/main">
                        <a:graphicData uri="http://schemas.microsoft.com/office/word/2010/wordprocessingShape">
                          <wps:wsp>
                            <wps:cNvSpPr/>
                            <wps:spPr>
                              <a:xfrm>
                                <a:off x="0" y="0"/>
                                <a:ext cx="1562100" cy="381000"/>
                              </a:xfrm>
                              <a:prstGeom prst="roundRect">
                                <a:avLst/>
                              </a:prstGeom>
                              <a:solidFill>
                                <a:sysClr val="window" lastClr="FFFFFF"/>
                              </a:solidFill>
                              <a:ln w="25400" cap="flat" cmpd="sng" algn="ctr">
                                <a:solidFill>
                                  <a:srgbClr val="1F497D">
                                    <a:lumMod val="40000"/>
                                    <a:lumOff val="60000"/>
                                  </a:srgbClr>
                                </a:solidFill>
                                <a:prstDash val="solid"/>
                              </a:ln>
                              <a:effectLst/>
                            </wps:spPr>
                            <wps:txbx>
                              <w:txbxContent>
                                <w:p w:rsidR="003810C3" w:rsidRPr="003810C3" w:rsidRDefault="003810C3" w:rsidP="003810C3">
                                  <w:pPr>
                                    <w:jc w:val="center"/>
                                    <w:rPr>
                                      <w:i/>
                                      <w:sz w:val="14"/>
                                      <w:szCs w:val="14"/>
                                    </w:rPr>
                                  </w:pPr>
                                  <w:r w:rsidRPr="003810C3">
                                    <w:rPr>
                                      <w:i/>
                                      <w:sz w:val="14"/>
                                      <w:szCs w:val="14"/>
                                    </w:rPr>
                                    <w:t>No change from previous status</w:t>
                                  </w:r>
                                </w:p>
                                <w:p w:rsidR="003810C3" w:rsidRPr="003810C3" w:rsidRDefault="003810C3" w:rsidP="003810C3">
                                  <w:pPr>
                                    <w:jc w:val="center"/>
                                  </w:pPr>
                                  <w:r w:rsidRPr="003810C3">
                                    <w:rPr>
                                      <w:i/>
                                      <w:sz w:val="14"/>
                                      <w:szCs w:val="14"/>
                                    </w:rPr>
                                    <w:t xml:space="preserve">Assessment </w:t>
                                  </w:r>
                                  <w:r w:rsidR="00F5285C">
                                    <w:rPr>
                                      <w:i/>
                                      <w:sz w:val="14"/>
                                      <w:szCs w:val="14"/>
                                    </w:rPr>
                                    <w:t xml:space="preserve">has been </w:t>
                                  </w:r>
                                  <w:r w:rsidRPr="003810C3">
                                    <w:rPr>
                                      <w:i/>
                                      <w:sz w:val="14"/>
                                      <w:szCs w:val="14"/>
                                    </w:rPr>
                                    <w:t>updated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4" o:spid="_x0000_s1030" style="position:absolute;margin-left:4.65pt;margin-top:38.85pt;width:123pt;height:30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" fillcolor="window" strokecolor="#8eb4e3" strokeweight="2pt">
                      <v:textbox>
                        <w:txbxContent>
                          <w:p w:rsidR="003810C3" w:rsidRPr="003810C3" w:rsidRDefault="003810C3" w:rsidP="003810C3">
                            <w:pPr>
                              <w:jc w:val="center"/>
                              <w:rPr>
                                <w:i/>
                                <w:sz w:val="14"/>
                                <w:szCs w:val="14"/>
                              </w:rPr>
                            </w:pPr>
                            <w:r w:rsidRPr="003810C3">
                              <w:rPr>
                                <w:i/>
                                <w:sz w:val="14"/>
                                <w:szCs w:val="14"/>
                              </w:rPr>
                              <w:t>No change from previous status</w:t>
                            </w:r>
                          </w:p>
                          <w:p w:rsidR="003810C3" w:rsidRPr="003810C3" w:rsidRDefault="003810C3" w:rsidP="003810C3">
                            <w:pPr>
                              <w:jc w:val="center"/>
                            </w:pPr>
                            <w:r w:rsidRPr="003810C3">
                              <w:rPr>
                                <w:i/>
                                <w:sz w:val="14"/>
                                <w:szCs w:val="14"/>
                              </w:rPr>
                              <w:t xml:space="preserve">Assessment </w:t>
                            </w:r>
                            <w:r w:rsidR="00F5285C">
                              <w:rPr>
                                <w:i/>
                                <w:sz w:val="14"/>
                                <w:szCs w:val="14"/>
                              </w:rPr>
                              <w:t xml:space="preserve">has been </w:t>
                            </w:r>
                            <w:r w:rsidRPr="003810C3">
                              <w:rPr>
                                <w:i/>
                                <w:sz w:val="14"/>
                                <w:szCs w:val="14"/>
                              </w:rPr>
                              <w:t>updated</w:t>
                            </w:r>
                          </w:p>
                        </w:txbxContent>
                      </v:textbox>
                    </v:roundrect>
                  </w:pict>
                </mc:Fallback>
              </mc:AlternateContent>
            </w:r>
            <w:r w:rsidR="00810478" w:rsidRPr="004A1F54">
              <w:rPr>
                <w:sz w:val="18"/>
                <w:szCs w:val="18"/>
              </w:rPr>
              <w:t>Under consideration</w:t>
            </w:r>
          </w:p>
        </w:tc>
        <w:tc>
          <w:tcPr>
            <w:tcW w:w="1417" w:type="dxa"/>
            <w:tcMar>
              <w:top w:w="85" w:type="dxa"/>
              <w:bottom w:w="85" w:type="dxa"/>
            </w:tcMar>
          </w:tcPr>
          <w:p w:rsidR="00810478" w:rsidRPr="006E5611" w:rsidRDefault="00810478" w:rsidP="003417D2">
            <w:pPr>
              <w:rPr>
                <w:sz w:val="18"/>
                <w:szCs w:val="18"/>
              </w:rPr>
            </w:pPr>
          </w:p>
        </w:tc>
        <w:tc>
          <w:tcPr>
            <w:tcW w:w="2517" w:type="dxa"/>
            <w:tcMar>
              <w:top w:w="85" w:type="dxa"/>
              <w:bottom w:w="85" w:type="dxa"/>
            </w:tcMar>
          </w:tcPr>
          <w:p w:rsidR="00810478" w:rsidRPr="006E5611" w:rsidRDefault="00126D4B" w:rsidP="00B61A56">
            <w:pPr>
              <w:rPr>
                <w:sz w:val="18"/>
                <w:szCs w:val="18"/>
              </w:rPr>
            </w:pPr>
            <w:r>
              <w:rPr>
                <w:sz w:val="18"/>
                <w:szCs w:val="18"/>
              </w:rPr>
              <w:t>WIPO is undertaking a benchmark and cost analysis to progress on this item.</w:t>
            </w:r>
          </w:p>
        </w:tc>
      </w:tr>
    </w:tbl>
    <w:p w:rsidR="00810478" w:rsidRDefault="00810478" w:rsidP="003417D2">
      <w:pPr>
        <w:rPr>
          <w:b/>
        </w:rPr>
      </w:pPr>
    </w:p>
    <w:p w:rsidR="00201B52" w:rsidRDefault="00201B52">
      <w:pPr>
        <w:rPr>
          <w:b/>
        </w:rPr>
      </w:pPr>
      <w:r>
        <w:rPr>
          <w:b/>
        </w:rPr>
        <w:br w:type="page"/>
      </w:r>
    </w:p>
    <w:p w:rsidR="00810478" w:rsidRPr="00BB37A1" w:rsidRDefault="00BB37A1" w:rsidP="00567E4C">
      <w:r>
        <w:lastRenderedPageBreak/>
        <w:t>III.</w:t>
      </w:r>
      <w:r>
        <w:tab/>
      </w:r>
      <w:r w:rsidRPr="00BB37A1">
        <w:t>RECOMMENDATIONS FROM JIU REVIEWS HELD IN 2011</w:t>
      </w:r>
    </w:p>
    <w:p w:rsidR="00810478" w:rsidRPr="00BB37A1" w:rsidRDefault="00810478" w:rsidP="003417D2"/>
    <w:p w:rsidR="004A115E" w:rsidRPr="00BB37A1" w:rsidRDefault="004A115E" w:rsidP="003417D2"/>
    <w:p w:rsidR="00810478" w:rsidRPr="00BB37A1" w:rsidRDefault="00810478" w:rsidP="0028314B">
      <w:pPr>
        <w:pStyle w:val="ListParagraph"/>
        <w:numPr>
          <w:ilvl w:val="0"/>
          <w:numId w:val="16"/>
        </w:numPr>
      </w:pPr>
      <w:r w:rsidRPr="00BB37A1">
        <w:t xml:space="preserve">JIU/REP/2011/4, “Multilingualism in the United Nations system: </w:t>
      </w:r>
      <w:r w:rsidR="002F5089">
        <w:t xml:space="preserve"> </w:t>
      </w:r>
      <w:r w:rsidRPr="00BB37A1">
        <w:t>Status of implementation”</w:t>
      </w:r>
    </w:p>
    <w:p w:rsidR="004A115E" w:rsidRDefault="004A115E" w:rsidP="003417D2"/>
    <w:p w:rsidR="00201B52" w:rsidRPr="00BB37A1" w:rsidRDefault="00201B52" w:rsidP="003417D2"/>
    <w:tbl>
      <w:tblPr>
        <w:tblStyle w:val="TableGrid"/>
        <w:tblW w:w="0" w:type="auto"/>
        <w:tblLayout w:type="fixed"/>
        <w:tblLook w:val="04A0" w:firstRow="1" w:lastRow="0" w:firstColumn="1" w:lastColumn="0" w:noHBand="0" w:noVBand="1"/>
      </w:tblPr>
      <w:tblGrid>
        <w:gridCol w:w="2660"/>
        <w:gridCol w:w="1559"/>
        <w:gridCol w:w="1418"/>
        <w:gridCol w:w="1417"/>
        <w:gridCol w:w="2517"/>
      </w:tblGrid>
      <w:tr w:rsidR="002C0439" w:rsidTr="00567E4C">
        <w:trPr>
          <w:tblHeader/>
        </w:trPr>
        <w:tc>
          <w:tcPr>
            <w:tcW w:w="2660" w:type="dxa"/>
            <w:vMerge w:val="restart"/>
            <w:shd w:val="clear" w:color="auto" w:fill="B6DDE8" w:themeFill="accent5" w:themeFillTint="66"/>
            <w:tcMar>
              <w:top w:w="85" w:type="dxa"/>
              <w:bottom w:w="85" w:type="dxa"/>
            </w:tcMar>
            <w:vAlign w:val="center"/>
          </w:tcPr>
          <w:p w:rsidR="002C0439" w:rsidRDefault="002C0439" w:rsidP="002C0439">
            <w:pPr>
              <w:jc w:val="center"/>
              <w:rPr>
                <w:b/>
              </w:rPr>
            </w:pPr>
            <w:r>
              <w:rPr>
                <w:b/>
              </w:rPr>
              <w:br w:type="page"/>
            </w:r>
            <w:r w:rsidRPr="006D7D80">
              <w:rPr>
                <w:b/>
                <w:sz w:val="18"/>
                <w:szCs w:val="18"/>
              </w:rPr>
              <w:t>Recommendation</w:t>
            </w:r>
          </w:p>
        </w:tc>
        <w:tc>
          <w:tcPr>
            <w:tcW w:w="1559" w:type="dxa"/>
            <w:vMerge w:val="restart"/>
            <w:shd w:val="clear" w:color="auto" w:fill="B6DDE8" w:themeFill="accent5" w:themeFillTint="66"/>
            <w:tcMar>
              <w:top w:w="85" w:type="dxa"/>
              <w:bottom w:w="85" w:type="dxa"/>
            </w:tcMar>
            <w:vAlign w:val="center"/>
          </w:tcPr>
          <w:p w:rsidR="002C0439" w:rsidRDefault="002C0439" w:rsidP="002C0439">
            <w:pPr>
              <w:jc w:val="center"/>
              <w:rPr>
                <w:b/>
                <w:sz w:val="18"/>
                <w:szCs w:val="18"/>
              </w:rPr>
            </w:pPr>
            <w:r w:rsidRPr="006D7D80">
              <w:rPr>
                <w:b/>
                <w:sz w:val="18"/>
                <w:szCs w:val="18"/>
              </w:rPr>
              <w:t>Responsible Officer</w:t>
            </w:r>
          </w:p>
        </w:tc>
        <w:tc>
          <w:tcPr>
            <w:tcW w:w="2835" w:type="dxa"/>
            <w:gridSpan w:val="2"/>
            <w:shd w:val="clear" w:color="auto" w:fill="B6DDE8" w:themeFill="accent5" w:themeFillTint="66"/>
            <w:tcMar>
              <w:top w:w="85" w:type="dxa"/>
              <w:bottom w:w="85" w:type="dxa"/>
            </w:tcMar>
            <w:vAlign w:val="center"/>
          </w:tcPr>
          <w:p w:rsidR="002C0439" w:rsidRDefault="002C0439" w:rsidP="00E37CB3">
            <w:pPr>
              <w:jc w:val="center"/>
              <w:rPr>
                <w:b/>
                <w:sz w:val="18"/>
                <w:szCs w:val="18"/>
              </w:rPr>
            </w:pPr>
            <w:r>
              <w:rPr>
                <w:b/>
                <w:sz w:val="18"/>
                <w:szCs w:val="18"/>
              </w:rPr>
              <w:t>Acceptance Status</w:t>
            </w:r>
          </w:p>
        </w:tc>
        <w:tc>
          <w:tcPr>
            <w:tcW w:w="2517" w:type="dxa"/>
            <w:vMerge w:val="restart"/>
            <w:shd w:val="clear" w:color="auto" w:fill="B6DDE8" w:themeFill="accent5" w:themeFillTint="66"/>
            <w:tcMar>
              <w:top w:w="85" w:type="dxa"/>
              <w:bottom w:w="85" w:type="dxa"/>
            </w:tcMar>
            <w:vAlign w:val="center"/>
          </w:tcPr>
          <w:p w:rsidR="002C0439" w:rsidRDefault="002C0439" w:rsidP="002C0439">
            <w:pPr>
              <w:jc w:val="center"/>
              <w:rPr>
                <w:b/>
                <w:sz w:val="18"/>
                <w:szCs w:val="18"/>
              </w:rPr>
            </w:pPr>
            <w:r w:rsidRPr="006D7D80">
              <w:rPr>
                <w:b/>
                <w:sz w:val="18"/>
                <w:szCs w:val="18"/>
              </w:rPr>
              <w:t>Management/Focal Point Assessment</w:t>
            </w:r>
          </w:p>
        </w:tc>
      </w:tr>
      <w:tr w:rsidR="002C0439" w:rsidTr="00567E4C">
        <w:trPr>
          <w:tblHeader/>
        </w:trPr>
        <w:tc>
          <w:tcPr>
            <w:tcW w:w="2660" w:type="dxa"/>
            <w:vMerge/>
            <w:shd w:val="clear" w:color="auto" w:fill="B6DDE8" w:themeFill="accent5" w:themeFillTint="66"/>
          </w:tcPr>
          <w:p w:rsidR="002C0439" w:rsidRPr="006D7D80" w:rsidRDefault="002C0439" w:rsidP="003417D2">
            <w:pPr>
              <w:rPr>
                <w:b/>
                <w:sz w:val="18"/>
                <w:szCs w:val="18"/>
              </w:rPr>
            </w:pPr>
          </w:p>
        </w:tc>
        <w:tc>
          <w:tcPr>
            <w:tcW w:w="1559" w:type="dxa"/>
            <w:vMerge/>
            <w:shd w:val="clear" w:color="auto" w:fill="B6DDE8" w:themeFill="accent5" w:themeFillTint="66"/>
          </w:tcPr>
          <w:p w:rsidR="002C0439" w:rsidRPr="006D7D80" w:rsidRDefault="002C0439" w:rsidP="003417D2">
            <w:pPr>
              <w:rPr>
                <w:b/>
                <w:sz w:val="18"/>
                <w:szCs w:val="18"/>
              </w:rPr>
            </w:pPr>
          </w:p>
        </w:tc>
        <w:tc>
          <w:tcPr>
            <w:tcW w:w="1418" w:type="dxa"/>
            <w:shd w:val="clear" w:color="auto" w:fill="B6DDE8" w:themeFill="accent5" w:themeFillTint="66"/>
            <w:tcMar>
              <w:top w:w="85" w:type="dxa"/>
              <w:bottom w:w="85" w:type="dxa"/>
            </w:tcMar>
            <w:vAlign w:val="center"/>
          </w:tcPr>
          <w:p w:rsidR="002C0439" w:rsidRPr="002C0439" w:rsidRDefault="002C0439" w:rsidP="002C0439">
            <w:pPr>
              <w:jc w:val="center"/>
              <w:rPr>
                <w:b/>
                <w:sz w:val="16"/>
                <w:szCs w:val="18"/>
              </w:rPr>
            </w:pPr>
            <w:r w:rsidRPr="002C0439">
              <w:rPr>
                <w:b/>
                <w:sz w:val="16"/>
                <w:szCs w:val="18"/>
              </w:rPr>
              <w:t>Acceptance</w:t>
            </w:r>
          </w:p>
        </w:tc>
        <w:tc>
          <w:tcPr>
            <w:tcW w:w="1417" w:type="dxa"/>
            <w:shd w:val="clear" w:color="auto" w:fill="B6DDE8" w:themeFill="accent5" w:themeFillTint="66"/>
            <w:tcMar>
              <w:top w:w="85" w:type="dxa"/>
              <w:bottom w:w="85" w:type="dxa"/>
            </w:tcMar>
            <w:vAlign w:val="center"/>
          </w:tcPr>
          <w:p w:rsidR="002C0439" w:rsidRPr="002C0439" w:rsidRDefault="002C0439" w:rsidP="002C0439">
            <w:pPr>
              <w:jc w:val="center"/>
              <w:rPr>
                <w:b/>
                <w:sz w:val="16"/>
                <w:szCs w:val="18"/>
              </w:rPr>
            </w:pPr>
            <w:r w:rsidRPr="002C0439">
              <w:rPr>
                <w:b/>
                <w:sz w:val="16"/>
                <w:szCs w:val="18"/>
              </w:rPr>
              <w:t>Implementation</w:t>
            </w:r>
          </w:p>
        </w:tc>
        <w:tc>
          <w:tcPr>
            <w:tcW w:w="2517" w:type="dxa"/>
            <w:vMerge/>
            <w:shd w:val="clear" w:color="auto" w:fill="B6DDE8" w:themeFill="accent5" w:themeFillTint="66"/>
          </w:tcPr>
          <w:p w:rsidR="002C0439" w:rsidRPr="006D7D80" w:rsidRDefault="002C0439" w:rsidP="003417D2">
            <w:pPr>
              <w:rPr>
                <w:b/>
                <w:sz w:val="18"/>
                <w:szCs w:val="18"/>
              </w:rPr>
            </w:pPr>
          </w:p>
        </w:tc>
      </w:tr>
      <w:tr w:rsidR="00810478" w:rsidTr="00567E4C">
        <w:tc>
          <w:tcPr>
            <w:tcW w:w="2660" w:type="dxa"/>
            <w:tcMar>
              <w:top w:w="85" w:type="dxa"/>
              <w:bottom w:w="85" w:type="dxa"/>
            </w:tcMar>
            <w:vAlign w:val="center"/>
          </w:tcPr>
          <w:p w:rsidR="00810478" w:rsidRPr="006E5611" w:rsidRDefault="00810478" w:rsidP="004457EE">
            <w:pPr>
              <w:rPr>
                <w:sz w:val="18"/>
                <w:szCs w:val="18"/>
              </w:rPr>
            </w:pPr>
            <w:r w:rsidRPr="005118C4">
              <w:rPr>
                <w:sz w:val="18"/>
                <w:szCs w:val="18"/>
              </w:rPr>
              <w:t>Rec. 12  The legislative bodies of the organizations of the United Nations system should direct and approve the necessary support to the executive heads to develop multilingual websites in all their official or working languages, with due attention to the language specificities of the duty stations concerned.</w:t>
            </w:r>
          </w:p>
        </w:tc>
        <w:tc>
          <w:tcPr>
            <w:tcW w:w="1559" w:type="dxa"/>
            <w:tcMar>
              <w:top w:w="85" w:type="dxa"/>
              <w:bottom w:w="85" w:type="dxa"/>
            </w:tcMar>
          </w:tcPr>
          <w:p w:rsidR="00810478" w:rsidRPr="004A1F54" w:rsidRDefault="00810478" w:rsidP="003417D2">
            <w:pPr>
              <w:rPr>
                <w:sz w:val="18"/>
                <w:szCs w:val="18"/>
              </w:rPr>
            </w:pPr>
            <w:r>
              <w:rPr>
                <w:sz w:val="18"/>
                <w:szCs w:val="18"/>
              </w:rPr>
              <w:t>Director, Conference and Language Department</w:t>
            </w:r>
            <w:r w:rsidR="0028314B">
              <w:rPr>
                <w:sz w:val="18"/>
                <w:szCs w:val="18"/>
              </w:rPr>
              <w:t xml:space="preserve"> (CLD)</w:t>
            </w:r>
          </w:p>
        </w:tc>
        <w:tc>
          <w:tcPr>
            <w:tcW w:w="1418" w:type="dxa"/>
            <w:tcMar>
              <w:top w:w="85" w:type="dxa"/>
              <w:bottom w:w="85" w:type="dxa"/>
            </w:tcMar>
          </w:tcPr>
          <w:p w:rsidR="00810478" w:rsidRPr="006E5611" w:rsidRDefault="006E79A5" w:rsidP="003417D2">
            <w:pPr>
              <w:rPr>
                <w:sz w:val="18"/>
                <w:szCs w:val="18"/>
              </w:rPr>
            </w:pPr>
            <w:r>
              <w:rPr>
                <w:noProof/>
                <w:lang w:eastAsia="en-US"/>
              </w:rPr>
              <mc:AlternateContent>
                <mc:Choice Requires="wps">
                  <w:drawing>
                    <wp:anchor distT="0" distB="0" distL="114300" distR="114300" simplePos="0" relativeHeight="251712512" behindDoc="0" locked="0" layoutInCell="1" allowOverlap="1" wp14:anchorId="64DA2DBB" wp14:editId="21194776">
                      <wp:simplePos x="0" y="0"/>
                      <wp:positionH relativeFrom="column">
                        <wp:posOffset>59055</wp:posOffset>
                      </wp:positionH>
                      <wp:positionV relativeFrom="paragraph">
                        <wp:posOffset>520700</wp:posOffset>
                      </wp:positionV>
                      <wp:extent cx="1562100" cy="238125"/>
                      <wp:effectExtent l="0" t="0" r="19050" b="28575"/>
                      <wp:wrapNone/>
                      <wp:docPr id="6" name="Rounded Rectangle 6"/>
                      <wp:cNvGraphicFramePr/>
                      <a:graphic xmlns:a="http://schemas.openxmlformats.org/drawingml/2006/main">
                        <a:graphicData uri="http://schemas.microsoft.com/office/word/2010/wordprocessingShape">
                          <wps:wsp>
                            <wps:cNvSpPr/>
                            <wps:spPr>
                              <a:xfrm>
                                <a:off x="0" y="0"/>
                                <a:ext cx="1562100" cy="238125"/>
                              </a:xfrm>
                              <a:prstGeom prst="roundRect">
                                <a:avLst/>
                              </a:prstGeom>
                              <a:solidFill>
                                <a:sysClr val="window" lastClr="FFFFFF"/>
                              </a:solidFill>
                              <a:ln w="25400" cap="flat" cmpd="sng" algn="ctr">
                                <a:solidFill>
                                  <a:srgbClr val="1F497D">
                                    <a:lumMod val="40000"/>
                                    <a:lumOff val="60000"/>
                                  </a:srgbClr>
                                </a:solidFill>
                                <a:prstDash val="solid"/>
                              </a:ln>
                              <a:effectLst/>
                            </wps:spPr>
                            <wps:txbx>
                              <w:txbxContent>
                                <w:p w:rsidR="006E79A5" w:rsidRDefault="006E79A5" w:rsidP="006E79A5">
                                  <w:pPr>
                                    <w:jc w:val="center"/>
                                  </w:pPr>
                                  <w:r w:rsidRPr="00337266">
                                    <w:rPr>
                                      <w:i/>
                                      <w:sz w:val="14"/>
                                      <w:szCs w:val="14"/>
                                    </w:rPr>
                                    <w:t>Previously “</w:t>
                                  </w:r>
                                  <w:r>
                                    <w:rPr>
                                      <w:i/>
                                      <w:sz w:val="14"/>
                                      <w:szCs w:val="14"/>
                                    </w:rPr>
                                    <w:t>in progress</w:t>
                                  </w:r>
                                  <w:r w:rsidRPr="00337266">
                                    <w:rPr>
                                      <w:i/>
                                      <w:sz w:val="14"/>
                                      <w:szCs w:val="1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6" o:spid="_x0000_s1031" style="position:absolute;margin-left:4.65pt;margin-top:41pt;width:123pt;height:18.7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" fillcolor="window" strokecolor="#8eb4e3" strokeweight="2pt">
                      <v:textbox>
                        <w:txbxContent>
                          <w:p w:rsidR="006E79A5" w:rsidRDefault="006E79A5" w:rsidP="006E79A5">
                            <w:pPr>
                              <w:jc w:val="center"/>
                            </w:pPr>
                            <w:r w:rsidRPr="00337266">
                              <w:rPr>
                                <w:i/>
                                <w:sz w:val="14"/>
                                <w:szCs w:val="14"/>
                              </w:rPr>
                              <w:t>Previously “</w:t>
                            </w:r>
                            <w:r>
                              <w:rPr>
                                <w:i/>
                                <w:sz w:val="14"/>
                                <w:szCs w:val="14"/>
                              </w:rPr>
                              <w:t>in progress</w:t>
                            </w:r>
                            <w:r w:rsidRPr="00337266">
                              <w:rPr>
                                <w:i/>
                                <w:sz w:val="14"/>
                                <w:szCs w:val="14"/>
                              </w:rPr>
                              <w:t>”</w:t>
                            </w:r>
                          </w:p>
                        </w:txbxContent>
                      </v:textbox>
                    </v:roundrect>
                  </w:pict>
                </mc:Fallback>
              </mc:AlternateContent>
            </w:r>
            <w:r w:rsidR="00810478">
              <w:rPr>
                <w:sz w:val="18"/>
                <w:szCs w:val="18"/>
              </w:rPr>
              <w:t>Accepted</w:t>
            </w:r>
          </w:p>
        </w:tc>
        <w:tc>
          <w:tcPr>
            <w:tcW w:w="1417" w:type="dxa"/>
            <w:tcMar>
              <w:top w:w="85" w:type="dxa"/>
              <w:bottom w:w="85" w:type="dxa"/>
            </w:tcMar>
          </w:tcPr>
          <w:p w:rsidR="00810478" w:rsidRPr="006E5611" w:rsidRDefault="00810478" w:rsidP="003417D2">
            <w:pPr>
              <w:rPr>
                <w:sz w:val="18"/>
                <w:szCs w:val="18"/>
              </w:rPr>
            </w:pPr>
            <w:r>
              <w:rPr>
                <w:sz w:val="18"/>
                <w:szCs w:val="18"/>
              </w:rPr>
              <w:t>Implemented</w:t>
            </w:r>
          </w:p>
        </w:tc>
        <w:tc>
          <w:tcPr>
            <w:tcW w:w="2517" w:type="dxa"/>
            <w:tcMar>
              <w:top w:w="85" w:type="dxa"/>
              <w:bottom w:w="85" w:type="dxa"/>
            </w:tcMar>
          </w:tcPr>
          <w:p w:rsidR="00810478" w:rsidRPr="006E5611" w:rsidRDefault="00810478" w:rsidP="003417D2">
            <w:pPr>
              <w:rPr>
                <w:sz w:val="18"/>
                <w:szCs w:val="18"/>
              </w:rPr>
            </w:pPr>
            <w:r>
              <w:rPr>
                <w:sz w:val="18"/>
                <w:szCs w:val="18"/>
              </w:rPr>
              <w:t>WIPO’s website is available in all official languages of the United Nations.</w:t>
            </w:r>
          </w:p>
        </w:tc>
      </w:tr>
    </w:tbl>
    <w:p w:rsidR="00810478" w:rsidRDefault="00810478" w:rsidP="003417D2">
      <w:pPr>
        <w:rPr>
          <w:b/>
        </w:rPr>
      </w:pPr>
    </w:p>
    <w:p w:rsidR="00ED0EFC" w:rsidRDefault="00ED0EFC" w:rsidP="003417D2">
      <w:pPr>
        <w:rPr>
          <w:b/>
        </w:rPr>
      </w:pPr>
    </w:p>
    <w:p w:rsidR="005E7826" w:rsidRPr="00BB37A1" w:rsidRDefault="005E7826" w:rsidP="0028314B">
      <w:pPr>
        <w:pStyle w:val="ListParagraph"/>
        <w:numPr>
          <w:ilvl w:val="0"/>
          <w:numId w:val="16"/>
        </w:numPr>
      </w:pPr>
      <w:r>
        <w:t>JIU/REP/2011/3</w:t>
      </w:r>
      <w:r w:rsidRPr="00BB37A1">
        <w:t>, “</w:t>
      </w:r>
      <w:r>
        <w:t>South-South and Triangular Cooperation in the United Nations system</w:t>
      </w:r>
      <w:r w:rsidRPr="00BB37A1">
        <w:t>”</w:t>
      </w:r>
    </w:p>
    <w:p w:rsidR="00510129" w:rsidRDefault="00510129" w:rsidP="003417D2">
      <w:pPr>
        <w:rPr>
          <w:b/>
        </w:rPr>
      </w:pPr>
    </w:p>
    <w:p w:rsidR="00201B52" w:rsidRDefault="00201B52" w:rsidP="003417D2">
      <w:pPr>
        <w:rPr>
          <w:b/>
        </w:rPr>
      </w:pPr>
    </w:p>
    <w:tbl>
      <w:tblPr>
        <w:tblStyle w:val="TableGrid"/>
        <w:tblW w:w="0" w:type="auto"/>
        <w:tblLayout w:type="fixed"/>
        <w:tblLook w:val="04A0" w:firstRow="1" w:lastRow="0" w:firstColumn="1" w:lastColumn="0" w:noHBand="0" w:noVBand="1"/>
      </w:tblPr>
      <w:tblGrid>
        <w:gridCol w:w="2660"/>
        <w:gridCol w:w="1559"/>
        <w:gridCol w:w="1418"/>
        <w:gridCol w:w="1417"/>
        <w:gridCol w:w="2517"/>
      </w:tblGrid>
      <w:tr w:rsidR="005E7826" w:rsidTr="00567E4C">
        <w:trPr>
          <w:tblHeader/>
        </w:trPr>
        <w:tc>
          <w:tcPr>
            <w:tcW w:w="2660" w:type="dxa"/>
            <w:vMerge w:val="restart"/>
            <w:shd w:val="clear" w:color="auto" w:fill="B6DDE8" w:themeFill="accent5" w:themeFillTint="66"/>
            <w:tcMar>
              <w:top w:w="85" w:type="dxa"/>
              <w:bottom w:w="85" w:type="dxa"/>
            </w:tcMar>
            <w:vAlign w:val="center"/>
          </w:tcPr>
          <w:p w:rsidR="005E7826" w:rsidRDefault="005E7826" w:rsidP="00D638E7">
            <w:pPr>
              <w:jc w:val="center"/>
              <w:rPr>
                <w:b/>
              </w:rPr>
            </w:pPr>
            <w:r>
              <w:rPr>
                <w:b/>
              </w:rPr>
              <w:br w:type="page"/>
            </w:r>
            <w:r w:rsidRPr="006D7D80">
              <w:rPr>
                <w:b/>
                <w:sz w:val="18"/>
                <w:szCs w:val="18"/>
              </w:rPr>
              <w:t>Recommendation</w:t>
            </w:r>
          </w:p>
        </w:tc>
        <w:tc>
          <w:tcPr>
            <w:tcW w:w="1559" w:type="dxa"/>
            <w:vMerge w:val="restart"/>
            <w:shd w:val="clear" w:color="auto" w:fill="B6DDE8" w:themeFill="accent5" w:themeFillTint="66"/>
            <w:tcMar>
              <w:top w:w="85" w:type="dxa"/>
              <w:bottom w:w="85" w:type="dxa"/>
            </w:tcMar>
            <w:vAlign w:val="center"/>
          </w:tcPr>
          <w:p w:rsidR="005E7826" w:rsidRDefault="005E7826" w:rsidP="00D638E7">
            <w:pPr>
              <w:jc w:val="center"/>
              <w:rPr>
                <w:b/>
                <w:sz w:val="18"/>
                <w:szCs w:val="18"/>
              </w:rPr>
            </w:pPr>
            <w:r w:rsidRPr="006D7D80">
              <w:rPr>
                <w:b/>
                <w:sz w:val="18"/>
                <w:szCs w:val="18"/>
              </w:rPr>
              <w:t>Responsible Officer</w:t>
            </w:r>
          </w:p>
        </w:tc>
        <w:tc>
          <w:tcPr>
            <w:tcW w:w="2835" w:type="dxa"/>
            <w:gridSpan w:val="2"/>
            <w:shd w:val="clear" w:color="auto" w:fill="B6DDE8" w:themeFill="accent5" w:themeFillTint="66"/>
            <w:tcMar>
              <w:top w:w="85" w:type="dxa"/>
              <w:bottom w:w="85" w:type="dxa"/>
            </w:tcMar>
            <w:vAlign w:val="center"/>
          </w:tcPr>
          <w:p w:rsidR="005E7826" w:rsidRDefault="005E7826" w:rsidP="00D638E7">
            <w:pPr>
              <w:jc w:val="center"/>
              <w:rPr>
                <w:b/>
                <w:sz w:val="18"/>
                <w:szCs w:val="18"/>
              </w:rPr>
            </w:pPr>
            <w:r>
              <w:rPr>
                <w:b/>
                <w:sz w:val="18"/>
                <w:szCs w:val="18"/>
              </w:rPr>
              <w:t>Acceptance Status</w:t>
            </w:r>
          </w:p>
        </w:tc>
        <w:tc>
          <w:tcPr>
            <w:tcW w:w="2517" w:type="dxa"/>
            <w:vMerge w:val="restart"/>
            <w:shd w:val="clear" w:color="auto" w:fill="B6DDE8" w:themeFill="accent5" w:themeFillTint="66"/>
            <w:tcMar>
              <w:top w:w="85" w:type="dxa"/>
              <w:bottom w:w="85" w:type="dxa"/>
            </w:tcMar>
            <w:vAlign w:val="center"/>
          </w:tcPr>
          <w:p w:rsidR="005E7826" w:rsidRDefault="005E7826" w:rsidP="00D638E7">
            <w:pPr>
              <w:jc w:val="center"/>
              <w:rPr>
                <w:b/>
                <w:sz w:val="18"/>
                <w:szCs w:val="18"/>
              </w:rPr>
            </w:pPr>
            <w:r w:rsidRPr="006D7D80">
              <w:rPr>
                <w:b/>
                <w:sz w:val="18"/>
                <w:szCs w:val="18"/>
              </w:rPr>
              <w:t>Management/Focal Point Assessment</w:t>
            </w:r>
          </w:p>
        </w:tc>
      </w:tr>
      <w:tr w:rsidR="005E7826" w:rsidTr="00567E4C">
        <w:trPr>
          <w:tblHeader/>
        </w:trPr>
        <w:tc>
          <w:tcPr>
            <w:tcW w:w="2660" w:type="dxa"/>
            <w:vMerge/>
            <w:shd w:val="clear" w:color="auto" w:fill="B6DDE8" w:themeFill="accent5" w:themeFillTint="66"/>
          </w:tcPr>
          <w:p w:rsidR="005E7826" w:rsidRPr="006D7D80" w:rsidRDefault="005E7826" w:rsidP="00D638E7">
            <w:pPr>
              <w:rPr>
                <w:b/>
                <w:sz w:val="18"/>
                <w:szCs w:val="18"/>
              </w:rPr>
            </w:pPr>
          </w:p>
        </w:tc>
        <w:tc>
          <w:tcPr>
            <w:tcW w:w="1559" w:type="dxa"/>
            <w:vMerge/>
            <w:shd w:val="clear" w:color="auto" w:fill="B6DDE8" w:themeFill="accent5" w:themeFillTint="66"/>
          </w:tcPr>
          <w:p w:rsidR="005E7826" w:rsidRPr="006D7D80" w:rsidRDefault="005E7826" w:rsidP="00D638E7">
            <w:pPr>
              <w:rPr>
                <w:b/>
                <w:sz w:val="18"/>
                <w:szCs w:val="18"/>
              </w:rPr>
            </w:pPr>
          </w:p>
        </w:tc>
        <w:tc>
          <w:tcPr>
            <w:tcW w:w="1418" w:type="dxa"/>
            <w:shd w:val="clear" w:color="auto" w:fill="B6DDE8" w:themeFill="accent5" w:themeFillTint="66"/>
            <w:tcMar>
              <w:top w:w="85" w:type="dxa"/>
              <w:bottom w:w="85" w:type="dxa"/>
            </w:tcMar>
            <w:vAlign w:val="center"/>
          </w:tcPr>
          <w:p w:rsidR="005E7826" w:rsidRPr="002C0439" w:rsidRDefault="005E7826" w:rsidP="00D638E7">
            <w:pPr>
              <w:jc w:val="center"/>
              <w:rPr>
                <w:b/>
                <w:sz w:val="16"/>
                <w:szCs w:val="18"/>
              </w:rPr>
            </w:pPr>
            <w:r w:rsidRPr="002C0439">
              <w:rPr>
                <w:b/>
                <w:sz w:val="16"/>
                <w:szCs w:val="18"/>
              </w:rPr>
              <w:t>Acceptance</w:t>
            </w:r>
          </w:p>
        </w:tc>
        <w:tc>
          <w:tcPr>
            <w:tcW w:w="1417" w:type="dxa"/>
            <w:shd w:val="clear" w:color="auto" w:fill="B6DDE8" w:themeFill="accent5" w:themeFillTint="66"/>
            <w:tcMar>
              <w:top w:w="85" w:type="dxa"/>
              <w:bottom w:w="85" w:type="dxa"/>
            </w:tcMar>
            <w:vAlign w:val="center"/>
          </w:tcPr>
          <w:p w:rsidR="005E7826" w:rsidRPr="002C0439" w:rsidRDefault="005E7826" w:rsidP="00D638E7">
            <w:pPr>
              <w:jc w:val="center"/>
              <w:rPr>
                <w:b/>
                <w:sz w:val="16"/>
                <w:szCs w:val="18"/>
              </w:rPr>
            </w:pPr>
            <w:r w:rsidRPr="002C0439">
              <w:rPr>
                <w:b/>
                <w:sz w:val="16"/>
                <w:szCs w:val="18"/>
              </w:rPr>
              <w:t>Implementation</w:t>
            </w:r>
          </w:p>
        </w:tc>
        <w:tc>
          <w:tcPr>
            <w:tcW w:w="2517" w:type="dxa"/>
            <w:vMerge/>
            <w:shd w:val="clear" w:color="auto" w:fill="B6DDE8" w:themeFill="accent5" w:themeFillTint="66"/>
          </w:tcPr>
          <w:p w:rsidR="005E7826" w:rsidRPr="006D7D80" w:rsidRDefault="005E7826" w:rsidP="00D638E7">
            <w:pPr>
              <w:rPr>
                <w:b/>
                <w:sz w:val="18"/>
                <w:szCs w:val="18"/>
              </w:rPr>
            </w:pPr>
          </w:p>
        </w:tc>
      </w:tr>
      <w:tr w:rsidR="005E7826" w:rsidTr="004457EE">
        <w:tc>
          <w:tcPr>
            <w:tcW w:w="2660" w:type="dxa"/>
            <w:tcMar>
              <w:top w:w="85" w:type="dxa"/>
              <w:bottom w:w="85" w:type="dxa"/>
            </w:tcMar>
          </w:tcPr>
          <w:p w:rsidR="005E7826" w:rsidRPr="006E5611" w:rsidRDefault="005E7826" w:rsidP="004457EE">
            <w:pPr>
              <w:rPr>
                <w:sz w:val="18"/>
                <w:szCs w:val="18"/>
              </w:rPr>
            </w:pPr>
            <w:r>
              <w:rPr>
                <w:sz w:val="18"/>
                <w:szCs w:val="18"/>
              </w:rPr>
              <w:t xml:space="preserve">Rec. </w:t>
            </w:r>
            <w:proofErr w:type="gramStart"/>
            <w:r>
              <w:rPr>
                <w:sz w:val="18"/>
                <w:szCs w:val="18"/>
              </w:rPr>
              <w:t xml:space="preserve">3 </w:t>
            </w:r>
            <w:r w:rsidRPr="0002233A">
              <w:rPr>
                <w:sz w:val="18"/>
                <w:szCs w:val="18"/>
              </w:rPr>
              <w:t xml:space="preserve"> The</w:t>
            </w:r>
            <w:proofErr w:type="gramEnd"/>
            <w:r w:rsidRPr="0002233A">
              <w:rPr>
                <w:sz w:val="18"/>
                <w:szCs w:val="18"/>
              </w:rPr>
              <w:t xml:space="preserve"> legislative bodies of United Nations system organizations should request the Executive Heads to establish identifiable and dedicated structures, mechanisms and focal points tasked with developing agency-specific corporate policy and support strategy, and ensure coordination on South-South and triangular cooperation within their respective organizations and inter-agencies, through the reallocation of the necessary staff and resources for this purpose, as appropriate.</w:t>
            </w:r>
          </w:p>
        </w:tc>
        <w:tc>
          <w:tcPr>
            <w:tcW w:w="1559" w:type="dxa"/>
            <w:tcMar>
              <w:top w:w="85" w:type="dxa"/>
              <w:bottom w:w="85" w:type="dxa"/>
            </w:tcMar>
          </w:tcPr>
          <w:p w:rsidR="005E7826" w:rsidRPr="004A1F54" w:rsidRDefault="005E7826" w:rsidP="005E7826">
            <w:pPr>
              <w:rPr>
                <w:sz w:val="18"/>
                <w:szCs w:val="18"/>
              </w:rPr>
            </w:pPr>
            <w:r>
              <w:rPr>
                <w:sz w:val="18"/>
                <w:szCs w:val="18"/>
              </w:rPr>
              <w:t>Director, Development Agenda Coordination Division</w:t>
            </w:r>
            <w:r w:rsidR="009034FB">
              <w:rPr>
                <w:sz w:val="18"/>
                <w:szCs w:val="18"/>
              </w:rPr>
              <w:t xml:space="preserve"> (DACD)</w:t>
            </w:r>
          </w:p>
        </w:tc>
        <w:tc>
          <w:tcPr>
            <w:tcW w:w="1418" w:type="dxa"/>
            <w:tcMar>
              <w:top w:w="85" w:type="dxa"/>
              <w:bottom w:w="85" w:type="dxa"/>
            </w:tcMar>
          </w:tcPr>
          <w:p w:rsidR="005E7826" w:rsidRPr="006E5611" w:rsidRDefault="003810C3" w:rsidP="00D638E7">
            <w:pPr>
              <w:rPr>
                <w:sz w:val="18"/>
                <w:szCs w:val="18"/>
              </w:rPr>
            </w:pPr>
            <w:r>
              <w:rPr>
                <w:noProof/>
                <w:lang w:eastAsia="en-US"/>
              </w:rPr>
              <mc:AlternateContent>
                <mc:Choice Requires="wps">
                  <w:drawing>
                    <wp:anchor distT="0" distB="0" distL="114300" distR="114300" simplePos="0" relativeHeight="251732992" behindDoc="0" locked="0" layoutInCell="1" allowOverlap="1" wp14:anchorId="61D73C40" wp14:editId="192F60E8">
                      <wp:simplePos x="0" y="0"/>
                      <wp:positionH relativeFrom="column">
                        <wp:posOffset>49530</wp:posOffset>
                      </wp:positionH>
                      <wp:positionV relativeFrom="paragraph">
                        <wp:posOffset>632460</wp:posOffset>
                      </wp:positionV>
                      <wp:extent cx="1562100" cy="381000"/>
                      <wp:effectExtent l="0" t="0" r="19050" b="19050"/>
                      <wp:wrapNone/>
                      <wp:docPr id="25" name="Rounded Rectangle 25"/>
                      <wp:cNvGraphicFramePr/>
                      <a:graphic xmlns:a="http://schemas.openxmlformats.org/drawingml/2006/main">
                        <a:graphicData uri="http://schemas.microsoft.com/office/word/2010/wordprocessingShape">
                          <wps:wsp>
                            <wps:cNvSpPr/>
                            <wps:spPr>
                              <a:xfrm>
                                <a:off x="0" y="0"/>
                                <a:ext cx="1562100" cy="381000"/>
                              </a:xfrm>
                              <a:prstGeom prst="roundRect">
                                <a:avLst/>
                              </a:prstGeom>
                              <a:solidFill>
                                <a:sysClr val="window" lastClr="FFFFFF"/>
                              </a:solidFill>
                              <a:ln w="25400" cap="flat" cmpd="sng" algn="ctr">
                                <a:solidFill>
                                  <a:srgbClr val="1F497D">
                                    <a:lumMod val="40000"/>
                                    <a:lumOff val="60000"/>
                                  </a:srgbClr>
                                </a:solidFill>
                                <a:prstDash val="solid"/>
                              </a:ln>
                              <a:effectLst/>
                            </wps:spPr>
                            <wps:txbx>
                              <w:txbxContent>
                                <w:p w:rsidR="003810C3" w:rsidRPr="003810C3" w:rsidRDefault="003810C3" w:rsidP="003810C3">
                                  <w:pPr>
                                    <w:jc w:val="center"/>
                                    <w:rPr>
                                      <w:i/>
                                      <w:sz w:val="14"/>
                                      <w:szCs w:val="14"/>
                                    </w:rPr>
                                  </w:pPr>
                                  <w:r w:rsidRPr="003810C3">
                                    <w:rPr>
                                      <w:i/>
                                      <w:sz w:val="14"/>
                                      <w:szCs w:val="14"/>
                                    </w:rPr>
                                    <w:t>No change from previous status</w:t>
                                  </w:r>
                                </w:p>
                                <w:p w:rsidR="003810C3" w:rsidRPr="003810C3" w:rsidRDefault="003810C3" w:rsidP="003810C3">
                                  <w:pPr>
                                    <w:jc w:val="center"/>
                                  </w:pPr>
                                  <w:r w:rsidRPr="003810C3">
                                    <w:rPr>
                                      <w:i/>
                                      <w:sz w:val="14"/>
                                      <w:szCs w:val="14"/>
                                    </w:rPr>
                                    <w:t xml:space="preserve">Assessment </w:t>
                                  </w:r>
                                  <w:r w:rsidR="00F5285C">
                                    <w:rPr>
                                      <w:i/>
                                      <w:sz w:val="14"/>
                                      <w:szCs w:val="14"/>
                                    </w:rPr>
                                    <w:t xml:space="preserve">has been </w:t>
                                  </w:r>
                                  <w:r w:rsidRPr="003810C3">
                                    <w:rPr>
                                      <w:i/>
                                      <w:sz w:val="14"/>
                                      <w:szCs w:val="14"/>
                                    </w:rPr>
                                    <w:t>updated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5" o:spid="_x0000_s1032" style="position:absolute;margin-left:3.9pt;margin-top:49.8pt;width:123pt;height:30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" fillcolor="window" strokecolor="#8eb4e3" strokeweight="2pt">
                      <v:textbox>
                        <w:txbxContent>
                          <w:p w:rsidR="003810C3" w:rsidRPr="003810C3" w:rsidRDefault="003810C3" w:rsidP="003810C3">
                            <w:pPr>
                              <w:jc w:val="center"/>
                              <w:rPr>
                                <w:i/>
                                <w:sz w:val="14"/>
                                <w:szCs w:val="14"/>
                              </w:rPr>
                            </w:pPr>
                            <w:r w:rsidRPr="003810C3">
                              <w:rPr>
                                <w:i/>
                                <w:sz w:val="14"/>
                                <w:szCs w:val="14"/>
                              </w:rPr>
                              <w:t>No change from previous status</w:t>
                            </w:r>
                          </w:p>
                          <w:p w:rsidR="003810C3" w:rsidRPr="003810C3" w:rsidRDefault="003810C3" w:rsidP="003810C3">
                            <w:pPr>
                              <w:jc w:val="center"/>
                            </w:pPr>
                            <w:r w:rsidRPr="003810C3">
                              <w:rPr>
                                <w:i/>
                                <w:sz w:val="14"/>
                                <w:szCs w:val="14"/>
                              </w:rPr>
                              <w:t xml:space="preserve">Assessment </w:t>
                            </w:r>
                            <w:r w:rsidR="00F5285C">
                              <w:rPr>
                                <w:i/>
                                <w:sz w:val="14"/>
                                <w:szCs w:val="14"/>
                              </w:rPr>
                              <w:t xml:space="preserve">has been </w:t>
                            </w:r>
                            <w:r w:rsidRPr="003810C3">
                              <w:rPr>
                                <w:i/>
                                <w:sz w:val="14"/>
                                <w:szCs w:val="14"/>
                              </w:rPr>
                              <w:t>updated</w:t>
                            </w:r>
                          </w:p>
                        </w:txbxContent>
                      </v:textbox>
                    </v:roundrect>
                  </w:pict>
                </mc:Fallback>
              </mc:AlternateContent>
            </w:r>
            <w:r w:rsidR="005E7826" w:rsidRPr="00565118">
              <w:rPr>
                <w:sz w:val="18"/>
                <w:szCs w:val="18"/>
              </w:rPr>
              <w:t>Under consideration</w:t>
            </w:r>
          </w:p>
        </w:tc>
        <w:tc>
          <w:tcPr>
            <w:tcW w:w="1417" w:type="dxa"/>
            <w:tcMar>
              <w:top w:w="85" w:type="dxa"/>
              <w:bottom w:w="85" w:type="dxa"/>
            </w:tcMar>
          </w:tcPr>
          <w:p w:rsidR="005E7826" w:rsidRPr="006E5611" w:rsidRDefault="005E7826" w:rsidP="00D638E7">
            <w:pPr>
              <w:rPr>
                <w:sz w:val="18"/>
                <w:szCs w:val="18"/>
              </w:rPr>
            </w:pPr>
          </w:p>
        </w:tc>
        <w:tc>
          <w:tcPr>
            <w:tcW w:w="2517" w:type="dxa"/>
            <w:tcMar>
              <w:top w:w="85" w:type="dxa"/>
              <w:bottom w:w="85" w:type="dxa"/>
            </w:tcMar>
          </w:tcPr>
          <w:p w:rsidR="005E7826" w:rsidRPr="006E5611" w:rsidRDefault="00F93A17" w:rsidP="00F93A17">
            <w:pPr>
              <w:rPr>
                <w:sz w:val="18"/>
                <w:szCs w:val="18"/>
              </w:rPr>
            </w:pPr>
            <w:r w:rsidRPr="00F93A17">
              <w:rPr>
                <w:sz w:val="18"/>
              </w:rPr>
              <w:t>The Development Agenda project on Enhancing South</w:t>
            </w:r>
            <w:r>
              <w:rPr>
                <w:sz w:val="18"/>
              </w:rPr>
              <w:noBreakHyphen/>
            </w:r>
            <w:r w:rsidRPr="00F93A17">
              <w:rPr>
                <w:sz w:val="18"/>
              </w:rPr>
              <w:t>South Cooperation on IP and Development among Developing Countries and LDCs was completed by end June 2015.  One of the remaining activities that shall provide critical input to the Organization’s policy and support strategy for the promotion of South-South cooperation is the mapping of the existing South-South activities within WIPO and studying good practices within other UN organizations. </w:t>
            </w:r>
            <w:r>
              <w:rPr>
                <w:sz w:val="18"/>
              </w:rPr>
              <w:t xml:space="preserve"> </w:t>
            </w:r>
            <w:r w:rsidRPr="00F93A17">
              <w:rPr>
                <w:sz w:val="18"/>
              </w:rPr>
              <w:t>The conclusion of this activity will enable the Organization to elaborate its approach in this area.</w:t>
            </w:r>
            <w:r>
              <w:rPr>
                <w:sz w:val="20"/>
              </w:rPr>
              <w:t xml:space="preserve"> </w:t>
            </w:r>
          </w:p>
        </w:tc>
      </w:tr>
      <w:tr w:rsidR="005E7826" w:rsidTr="00567E4C">
        <w:tc>
          <w:tcPr>
            <w:tcW w:w="2660" w:type="dxa"/>
            <w:tcMar>
              <w:top w:w="85" w:type="dxa"/>
              <w:bottom w:w="85" w:type="dxa"/>
            </w:tcMar>
          </w:tcPr>
          <w:p w:rsidR="005E7826" w:rsidRDefault="005E7826" w:rsidP="004457EE">
            <w:pPr>
              <w:rPr>
                <w:sz w:val="18"/>
                <w:szCs w:val="18"/>
              </w:rPr>
            </w:pPr>
            <w:r w:rsidRPr="00565118">
              <w:rPr>
                <w:sz w:val="18"/>
                <w:szCs w:val="18"/>
              </w:rPr>
              <w:t xml:space="preserve">Rec. </w:t>
            </w:r>
            <w:proofErr w:type="gramStart"/>
            <w:r w:rsidRPr="00565118">
              <w:rPr>
                <w:sz w:val="18"/>
                <w:szCs w:val="18"/>
              </w:rPr>
              <w:t>9</w:t>
            </w:r>
            <w:r w:rsidR="004457EE">
              <w:rPr>
                <w:sz w:val="18"/>
                <w:szCs w:val="18"/>
              </w:rPr>
              <w:t xml:space="preserve"> </w:t>
            </w:r>
            <w:r w:rsidRPr="00565118">
              <w:rPr>
                <w:sz w:val="18"/>
                <w:szCs w:val="18"/>
              </w:rPr>
              <w:t xml:space="preserve"> The</w:t>
            </w:r>
            <w:proofErr w:type="gramEnd"/>
            <w:r w:rsidRPr="00565118">
              <w:rPr>
                <w:sz w:val="18"/>
                <w:szCs w:val="18"/>
              </w:rPr>
              <w:t xml:space="preserve"> legislative and governing bodies of the United Nations system organizations should request the Executive Heads to apportion a specific percentage – not less than 0.5 per cent – of core budget resources for the promotion of </w:t>
            </w:r>
            <w:r w:rsidRPr="00565118">
              <w:rPr>
                <w:sz w:val="18"/>
                <w:szCs w:val="18"/>
              </w:rPr>
              <w:lastRenderedPageBreak/>
              <w:t xml:space="preserve">South-South cooperation (SSC) in their respective areas of competence, in consultation with </w:t>
            </w:r>
            <w:proofErr w:type="spellStart"/>
            <w:r w:rsidRPr="00565118">
              <w:rPr>
                <w:sz w:val="18"/>
                <w:szCs w:val="18"/>
              </w:rPr>
              <w:t>programme</w:t>
            </w:r>
            <w:proofErr w:type="spellEnd"/>
            <w:r w:rsidRPr="00565118">
              <w:rPr>
                <w:sz w:val="18"/>
                <w:szCs w:val="18"/>
              </w:rPr>
              <w:t xml:space="preserve"> countries; and to agree with donor countries to use a specific portion of </w:t>
            </w:r>
            <w:proofErr w:type="spellStart"/>
            <w:r w:rsidRPr="00565118">
              <w:rPr>
                <w:sz w:val="18"/>
                <w:szCs w:val="18"/>
              </w:rPr>
              <w:t>extrabudgetary</w:t>
            </w:r>
            <w:proofErr w:type="spellEnd"/>
            <w:r w:rsidRPr="00565118">
              <w:rPr>
                <w:sz w:val="18"/>
                <w:szCs w:val="18"/>
              </w:rPr>
              <w:t xml:space="preserve"> resources to finance SSC and triangular cooperation initiatives.</w:t>
            </w:r>
          </w:p>
        </w:tc>
        <w:tc>
          <w:tcPr>
            <w:tcW w:w="1559" w:type="dxa"/>
            <w:tcMar>
              <w:top w:w="85" w:type="dxa"/>
              <w:bottom w:w="85" w:type="dxa"/>
            </w:tcMar>
          </w:tcPr>
          <w:p w:rsidR="005E7826" w:rsidRDefault="005E7826" w:rsidP="009034FB">
            <w:pPr>
              <w:rPr>
                <w:sz w:val="18"/>
                <w:szCs w:val="18"/>
              </w:rPr>
            </w:pPr>
            <w:r>
              <w:rPr>
                <w:sz w:val="18"/>
                <w:szCs w:val="18"/>
              </w:rPr>
              <w:lastRenderedPageBreak/>
              <w:t xml:space="preserve">Director, </w:t>
            </w:r>
            <w:r w:rsidR="009034FB">
              <w:rPr>
                <w:sz w:val="18"/>
                <w:szCs w:val="18"/>
              </w:rPr>
              <w:t>DACD</w:t>
            </w:r>
          </w:p>
        </w:tc>
        <w:tc>
          <w:tcPr>
            <w:tcW w:w="1418" w:type="dxa"/>
            <w:tcMar>
              <w:top w:w="85" w:type="dxa"/>
              <w:bottom w:w="85" w:type="dxa"/>
            </w:tcMar>
          </w:tcPr>
          <w:p w:rsidR="005E7826" w:rsidRPr="00565118" w:rsidRDefault="003810C3" w:rsidP="00D638E7">
            <w:pPr>
              <w:rPr>
                <w:sz w:val="18"/>
                <w:szCs w:val="18"/>
              </w:rPr>
            </w:pPr>
            <w:r>
              <w:rPr>
                <w:noProof/>
                <w:lang w:eastAsia="en-US"/>
              </w:rPr>
              <mc:AlternateContent>
                <mc:Choice Requires="wps">
                  <w:drawing>
                    <wp:anchor distT="0" distB="0" distL="114300" distR="114300" simplePos="0" relativeHeight="251735040" behindDoc="0" locked="0" layoutInCell="1" allowOverlap="1" wp14:anchorId="49A56F36" wp14:editId="6AA836AB">
                      <wp:simplePos x="0" y="0"/>
                      <wp:positionH relativeFrom="column">
                        <wp:posOffset>59055</wp:posOffset>
                      </wp:positionH>
                      <wp:positionV relativeFrom="paragraph">
                        <wp:posOffset>409575</wp:posOffset>
                      </wp:positionV>
                      <wp:extent cx="1562100" cy="381000"/>
                      <wp:effectExtent l="0" t="0" r="19050" b="19050"/>
                      <wp:wrapNone/>
                      <wp:docPr id="26" name="Rounded Rectangle 26"/>
                      <wp:cNvGraphicFramePr/>
                      <a:graphic xmlns:a="http://schemas.openxmlformats.org/drawingml/2006/main">
                        <a:graphicData uri="http://schemas.microsoft.com/office/word/2010/wordprocessingShape">
                          <wps:wsp>
                            <wps:cNvSpPr/>
                            <wps:spPr>
                              <a:xfrm>
                                <a:off x="0" y="0"/>
                                <a:ext cx="1562100" cy="381000"/>
                              </a:xfrm>
                              <a:prstGeom prst="roundRect">
                                <a:avLst/>
                              </a:prstGeom>
                              <a:solidFill>
                                <a:sysClr val="window" lastClr="FFFFFF"/>
                              </a:solidFill>
                              <a:ln w="25400" cap="flat" cmpd="sng" algn="ctr">
                                <a:solidFill>
                                  <a:srgbClr val="1F497D">
                                    <a:lumMod val="40000"/>
                                    <a:lumOff val="60000"/>
                                  </a:srgbClr>
                                </a:solidFill>
                                <a:prstDash val="solid"/>
                              </a:ln>
                              <a:effectLst/>
                            </wps:spPr>
                            <wps:txbx>
                              <w:txbxContent>
                                <w:p w:rsidR="003810C3" w:rsidRPr="003810C3" w:rsidRDefault="003810C3" w:rsidP="003810C3">
                                  <w:pPr>
                                    <w:jc w:val="center"/>
                                    <w:rPr>
                                      <w:i/>
                                      <w:sz w:val="14"/>
                                      <w:szCs w:val="14"/>
                                    </w:rPr>
                                  </w:pPr>
                                  <w:r w:rsidRPr="003810C3">
                                    <w:rPr>
                                      <w:i/>
                                      <w:sz w:val="14"/>
                                      <w:szCs w:val="14"/>
                                    </w:rPr>
                                    <w:t>No change from previous status</w:t>
                                  </w:r>
                                </w:p>
                                <w:p w:rsidR="003810C3" w:rsidRPr="003810C3" w:rsidRDefault="003810C3" w:rsidP="003810C3">
                                  <w:pPr>
                                    <w:jc w:val="center"/>
                                  </w:pPr>
                                  <w:r w:rsidRPr="003810C3">
                                    <w:rPr>
                                      <w:i/>
                                      <w:sz w:val="14"/>
                                      <w:szCs w:val="14"/>
                                    </w:rPr>
                                    <w:t xml:space="preserve">Assessment </w:t>
                                  </w:r>
                                  <w:r w:rsidR="00F5285C">
                                    <w:rPr>
                                      <w:i/>
                                      <w:sz w:val="14"/>
                                      <w:szCs w:val="14"/>
                                    </w:rPr>
                                    <w:t xml:space="preserve">has been </w:t>
                                  </w:r>
                                  <w:r w:rsidRPr="003810C3">
                                    <w:rPr>
                                      <w:i/>
                                      <w:sz w:val="14"/>
                                      <w:szCs w:val="14"/>
                                    </w:rPr>
                                    <w:t>updated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6" o:spid="_x0000_s1033" style="position:absolute;margin-left:4.65pt;margin-top:32.25pt;width:123pt;height:30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" fillcolor="window" strokecolor="#8eb4e3" strokeweight="2pt">
                      <v:textbox>
                        <w:txbxContent>
                          <w:p w:rsidR="003810C3" w:rsidRPr="003810C3" w:rsidRDefault="003810C3" w:rsidP="003810C3">
                            <w:pPr>
                              <w:jc w:val="center"/>
                              <w:rPr>
                                <w:i/>
                                <w:sz w:val="14"/>
                                <w:szCs w:val="14"/>
                              </w:rPr>
                            </w:pPr>
                            <w:r w:rsidRPr="003810C3">
                              <w:rPr>
                                <w:i/>
                                <w:sz w:val="14"/>
                                <w:szCs w:val="14"/>
                              </w:rPr>
                              <w:t>No change from previous status</w:t>
                            </w:r>
                          </w:p>
                          <w:p w:rsidR="003810C3" w:rsidRPr="003810C3" w:rsidRDefault="003810C3" w:rsidP="003810C3">
                            <w:pPr>
                              <w:jc w:val="center"/>
                            </w:pPr>
                            <w:r w:rsidRPr="003810C3">
                              <w:rPr>
                                <w:i/>
                                <w:sz w:val="14"/>
                                <w:szCs w:val="14"/>
                              </w:rPr>
                              <w:t xml:space="preserve">Assessment </w:t>
                            </w:r>
                            <w:r w:rsidR="00F5285C">
                              <w:rPr>
                                <w:i/>
                                <w:sz w:val="14"/>
                                <w:szCs w:val="14"/>
                              </w:rPr>
                              <w:t xml:space="preserve">has been </w:t>
                            </w:r>
                            <w:r w:rsidRPr="003810C3">
                              <w:rPr>
                                <w:i/>
                                <w:sz w:val="14"/>
                                <w:szCs w:val="14"/>
                              </w:rPr>
                              <w:t>updated</w:t>
                            </w:r>
                          </w:p>
                        </w:txbxContent>
                      </v:textbox>
                    </v:roundrect>
                  </w:pict>
                </mc:Fallback>
              </mc:AlternateContent>
            </w:r>
            <w:r w:rsidR="005E7826">
              <w:rPr>
                <w:sz w:val="18"/>
                <w:szCs w:val="18"/>
              </w:rPr>
              <w:t>Under consideration</w:t>
            </w:r>
          </w:p>
        </w:tc>
        <w:tc>
          <w:tcPr>
            <w:tcW w:w="1417" w:type="dxa"/>
            <w:tcMar>
              <w:top w:w="85" w:type="dxa"/>
              <w:bottom w:w="85" w:type="dxa"/>
            </w:tcMar>
          </w:tcPr>
          <w:p w:rsidR="005E7826" w:rsidRPr="006E5611" w:rsidRDefault="005E7826" w:rsidP="00D638E7">
            <w:pPr>
              <w:rPr>
                <w:sz w:val="18"/>
                <w:szCs w:val="18"/>
              </w:rPr>
            </w:pPr>
          </w:p>
        </w:tc>
        <w:tc>
          <w:tcPr>
            <w:tcW w:w="2517" w:type="dxa"/>
            <w:tcMar>
              <w:top w:w="85" w:type="dxa"/>
              <w:bottom w:w="85" w:type="dxa"/>
            </w:tcMar>
          </w:tcPr>
          <w:p w:rsidR="005E7826" w:rsidRPr="00D748C8" w:rsidRDefault="00F93A17" w:rsidP="00F93A17">
            <w:pPr>
              <w:rPr>
                <w:sz w:val="18"/>
                <w:szCs w:val="18"/>
              </w:rPr>
            </w:pPr>
            <w:r w:rsidRPr="00F93A17">
              <w:rPr>
                <w:sz w:val="18"/>
              </w:rPr>
              <w:t>The Development Agenda project on Enhancing South</w:t>
            </w:r>
            <w:r>
              <w:rPr>
                <w:sz w:val="18"/>
              </w:rPr>
              <w:noBreakHyphen/>
            </w:r>
            <w:r w:rsidRPr="00F93A17">
              <w:rPr>
                <w:sz w:val="18"/>
              </w:rPr>
              <w:t xml:space="preserve">South Cooperation on IP and Development among Developing Countries and LDCs was completed by end June 2015.  One of the remaining activities that </w:t>
            </w:r>
            <w:r w:rsidRPr="00F93A17">
              <w:rPr>
                <w:sz w:val="18"/>
              </w:rPr>
              <w:lastRenderedPageBreak/>
              <w:t>shall provide critical input to the Organization’s policy and support strategy for the promotion of South-South cooperation is the mapping of the existing South-South activities within WIPO and studying good practices within other UN organizations. </w:t>
            </w:r>
            <w:r>
              <w:rPr>
                <w:sz w:val="18"/>
              </w:rPr>
              <w:t xml:space="preserve"> </w:t>
            </w:r>
            <w:r w:rsidRPr="00F93A17">
              <w:rPr>
                <w:sz w:val="18"/>
              </w:rPr>
              <w:t>The conclusion of this activity will enable the Organization to elaborate its approach in this area.</w:t>
            </w:r>
          </w:p>
        </w:tc>
      </w:tr>
    </w:tbl>
    <w:p w:rsidR="009034FB" w:rsidRDefault="009034FB" w:rsidP="003417D2">
      <w:pPr>
        <w:rPr>
          <w:b/>
        </w:rPr>
      </w:pPr>
    </w:p>
    <w:p w:rsidR="00201B52" w:rsidRDefault="00201B52" w:rsidP="003417D2">
      <w:pPr>
        <w:rPr>
          <w:b/>
        </w:rPr>
      </w:pPr>
    </w:p>
    <w:p w:rsidR="002F5089" w:rsidRDefault="002F5089" w:rsidP="0028314B">
      <w:pPr>
        <w:pStyle w:val="ListParagraph"/>
        <w:numPr>
          <w:ilvl w:val="0"/>
          <w:numId w:val="16"/>
        </w:numPr>
      </w:pPr>
      <w:r w:rsidRPr="002F5089">
        <w:t>JIU/REP/2011/1, “Review of the medical service in the United Nations system”</w:t>
      </w:r>
    </w:p>
    <w:p w:rsidR="002F5089" w:rsidRDefault="002F5089" w:rsidP="003417D2">
      <w:pPr>
        <w:rPr>
          <w:b/>
        </w:rPr>
      </w:pPr>
    </w:p>
    <w:p w:rsidR="00201B52" w:rsidRDefault="00201B52" w:rsidP="003417D2">
      <w:pPr>
        <w:rPr>
          <w:b/>
        </w:rPr>
      </w:pPr>
    </w:p>
    <w:tbl>
      <w:tblPr>
        <w:tblStyle w:val="TableGrid"/>
        <w:tblW w:w="0" w:type="auto"/>
        <w:tblLayout w:type="fixed"/>
        <w:tblLook w:val="04A0" w:firstRow="1" w:lastRow="0" w:firstColumn="1" w:lastColumn="0" w:noHBand="0" w:noVBand="1"/>
      </w:tblPr>
      <w:tblGrid>
        <w:gridCol w:w="2660"/>
        <w:gridCol w:w="1559"/>
        <w:gridCol w:w="1418"/>
        <w:gridCol w:w="1417"/>
        <w:gridCol w:w="2517"/>
      </w:tblGrid>
      <w:tr w:rsidR="002F5089" w:rsidTr="00567E4C">
        <w:trPr>
          <w:tblHeader/>
        </w:trPr>
        <w:tc>
          <w:tcPr>
            <w:tcW w:w="2660" w:type="dxa"/>
            <w:vMerge w:val="restart"/>
            <w:shd w:val="clear" w:color="auto" w:fill="B6DDE8" w:themeFill="accent5" w:themeFillTint="66"/>
            <w:tcMar>
              <w:top w:w="85" w:type="dxa"/>
              <w:bottom w:w="85" w:type="dxa"/>
            </w:tcMar>
            <w:vAlign w:val="center"/>
          </w:tcPr>
          <w:p w:rsidR="002F5089" w:rsidRDefault="002F5089" w:rsidP="00D638E7">
            <w:pPr>
              <w:jc w:val="center"/>
              <w:rPr>
                <w:b/>
              </w:rPr>
            </w:pPr>
            <w:r>
              <w:rPr>
                <w:b/>
              </w:rPr>
              <w:br w:type="page"/>
            </w:r>
            <w:r w:rsidRPr="006D7D80">
              <w:rPr>
                <w:b/>
                <w:sz w:val="18"/>
                <w:szCs w:val="18"/>
              </w:rPr>
              <w:t>Recommendation</w:t>
            </w:r>
          </w:p>
        </w:tc>
        <w:tc>
          <w:tcPr>
            <w:tcW w:w="1559" w:type="dxa"/>
            <w:vMerge w:val="restart"/>
            <w:shd w:val="clear" w:color="auto" w:fill="B6DDE8" w:themeFill="accent5" w:themeFillTint="66"/>
            <w:tcMar>
              <w:top w:w="85" w:type="dxa"/>
              <w:bottom w:w="85" w:type="dxa"/>
            </w:tcMar>
            <w:vAlign w:val="center"/>
          </w:tcPr>
          <w:p w:rsidR="002F5089" w:rsidRDefault="002F5089" w:rsidP="00D638E7">
            <w:pPr>
              <w:jc w:val="center"/>
              <w:rPr>
                <w:b/>
                <w:sz w:val="18"/>
                <w:szCs w:val="18"/>
              </w:rPr>
            </w:pPr>
            <w:r w:rsidRPr="006D7D80">
              <w:rPr>
                <w:b/>
                <w:sz w:val="18"/>
                <w:szCs w:val="18"/>
              </w:rPr>
              <w:t>Responsible Officer</w:t>
            </w:r>
          </w:p>
        </w:tc>
        <w:tc>
          <w:tcPr>
            <w:tcW w:w="2835" w:type="dxa"/>
            <w:gridSpan w:val="2"/>
            <w:shd w:val="clear" w:color="auto" w:fill="B6DDE8" w:themeFill="accent5" w:themeFillTint="66"/>
            <w:tcMar>
              <w:top w:w="85" w:type="dxa"/>
              <w:bottom w:w="85" w:type="dxa"/>
            </w:tcMar>
            <w:vAlign w:val="center"/>
          </w:tcPr>
          <w:p w:rsidR="002F5089" w:rsidRDefault="002F5089" w:rsidP="00D638E7">
            <w:pPr>
              <w:jc w:val="center"/>
              <w:rPr>
                <w:b/>
                <w:sz w:val="18"/>
                <w:szCs w:val="18"/>
              </w:rPr>
            </w:pPr>
            <w:r>
              <w:rPr>
                <w:b/>
                <w:sz w:val="18"/>
                <w:szCs w:val="18"/>
              </w:rPr>
              <w:t>Acceptance Status</w:t>
            </w:r>
          </w:p>
        </w:tc>
        <w:tc>
          <w:tcPr>
            <w:tcW w:w="2517" w:type="dxa"/>
            <w:vMerge w:val="restart"/>
            <w:shd w:val="clear" w:color="auto" w:fill="B6DDE8" w:themeFill="accent5" w:themeFillTint="66"/>
            <w:tcMar>
              <w:top w:w="85" w:type="dxa"/>
              <w:bottom w:w="85" w:type="dxa"/>
            </w:tcMar>
            <w:vAlign w:val="center"/>
          </w:tcPr>
          <w:p w:rsidR="002F5089" w:rsidRDefault="002F5089" w:rsidP="00D638E7">
            <w:pPr>
              <w:jc w:val="center"/>
              <w:rPr>
                <w:b/>
                <w:sz w:val="18"/>
                <w:szCs w:val="18"/>
              </w:rPr>
            </w:pPr>
            <w:r w:rsidRPr="006D7D80">
              <w:rPr>
                <w:b/>
                <w:sz w:val="18"/>
                <w:szCs w:val="18"/>
              </w:rPr>
              <w:t>Management/Focal Point Assessment</w:t>
            </w:r>
          </w:p>
        </w:tc>
      </w:tr>
      <w:tr w:rsidR="002F5089" w:rsidTr="00567E4C">
        <w:trPr>
          <w:tblHeader/>
        </w:trPr>
        <w:tc>
          <w:tcPr>
            <w:tcW w:w="2660" w:type="dxa"/>
            <w:vMerge/>
            <w:shd w:val="clear" w:color="auto" w:fill="B6DDE8" w:themeFill="accent5" w:themeFillTint="66"/>
          </w:tcPr>
          <w:p w:rsidR="002F5089" w:rsidRPr="006D7D80" w:rsidRDefault="002F5089" w:rsidP="00D638E7">
            <w:pPr>
              <w:rPr>
                <w:b/>
                <w:sz w:val="18"/>
                <w:szCs w:val="18"/>
              </w:rPr>
            </w:pPr>
          </w:p>
        </w:tc>
        <w:tc>
          <w:tcPr>
            <w:tcW w:w="1559" w:type="dxa"/>
            <w:vMerge/>
            <w:shd w:val="clear" w:color="auto" w:fill="B6DDE8" w:themeFill="accent5" w:themeFillTint="66"/>
          </w:tcPr>
          <w:p w:rsidR="002F5089" w:rsidRPr="006D7D80" w:rsidRDefault="002F5089" w:rsidP="00D638E7">
            <w:pPr>
              <w:rPr>
                <w:b/>
                <w:sz w:val="18"/>
                <w:szCs w:val="18"/>
              </w:rPr>
            </w:pPr>
          </w:p>
        </w:tc>
        <w:tc>
          <w:tcPr>
            <w:tcW w:w="1418" w:type="dxa"/>
            <w:shd w:val="clear" w:color="auto" w:fill="B6DDE8" w:themeFill="accent5" w:themeFillTint="66"/>
            <w:tcMar>
              <w:top w:w="85" w:type="dxa"/>
              <w:bottom w:w="85" w:type="dxa"/>
            </w:tcMar>
            <w:vAlign w:val="center"/>
          </w:tcPr>
          <w:p w:rsidR="002F5089" w:rsidRPr="002C0439" w:rsidRDefault="002F5089" w:rsidP="00D638E7">
            <w:pPr>
              <w:jc w:val="center"/>
              <w:rPr>
                <w:b/>
                <w:sz w:val="16"/>
                <w:szCs w:val="18"/>
              </w:rPr>
            </w:pPr>
            <w:r w:rsidRPr="002C0439">
              <w:rPr>
                <w:b/>
                <w:sz w:val="16"/>
                <w:szCs w:val="18"/>
              </w:rPr>
              <w:t>Acceptance</w:t>
            </w:r>
          </w:p>
        </w:tc>
        <w:tc>
          <w:tcPr>
            <w:tcW w:w="1417" w:type="dxa"/>
            <w:shd w:val="clear" w:color="auto" w:fill="B6DDE8" w:themeFill="accent5" w:themeFillTint="66"/>
            <w:tcMar>
              <w:top w:w="85" w:type="dxa"/>
              <w:bottom w:w="85" w:type="dxa"/>
            </w:tcMar>
            <w:vAlign w:val="center"/>
          </w:tcPr>
          <w:p w:rsidR="002F5089" w:rsidRPr="002C0439" w:rsidRDefault="002F5089" w:rsidP="00D638E7">
            <w:pPr>
              <w:jc w:val="center"/>
              <w:rPr>
                <w:b/>
                <w:sz w:val="16"/>
                <w:szCs w:val="18"/>
              </w:rPr>
            </w:pPr>
            <w:r w:rsidRPr="002C0439">
              <w:rPr>
                <w:b/>
                <w:sz w:val="16"/>
                <w:szCs w:val="18"/>
              </w:rPr>
              <w:t>Implementation</w:t>
            </w:r>
          </w:p>
        </w:tc>
        <w:tc>
          <w:tcPr>
            <w:tcW w:w="2517" w:type="dxa"/>
            <w:vMerge/>
            <w:shd w:val="clear" w:color="auto" w:fill="B6DDE8" w:themeFill="accent5" w:themeFillTint="66"/>
          </w:tcPr>
          <w:p w:rsidR="002F5089" w:rsidRPr="006D7D80" w:rsidRDefault="002F5089" w:rsidP="00D638E7">
            <w:pPr>
              <w:rPr>
                <w:b/>
                <w:sz w:val="18"/>
                <w:szCs w:val="18"/>
              </w:rPr>
            </w:pPr>
          </w:p>
        </w:tc>
      </w:tr>
      <w:tr w:rsidR="002F5089" w:rsidTr="00567E4C">
        <w:tc>
          <w:tcPr>
            <w:tcW w:w="2660" w:type="dxa"/>
            <w:tcMar>
              <w:top w:w="85" w:type="dxa"/>
              <w:bottom w:w="85" w:type="dxa"/>
            </w:tcMar>
          </w:tcPr>
          <w:p w:rsidR="002F5089" w:rsidRPr="006E5611" w:rsidRDefault="002F5089" w:rsidP="004457EE">
            <w:pPr>
              <w:rPr>
                <w:sz w:val="18"/>
                <w:szCs w:val="18"/>
              </w:rPr>
            </w:pPr>
            <w:r>
              <w:rPr>
                <w:sz w:val="18"/>
                <w:szCs w:val="18"/>
              </w:rPr>
              <w:t>Rec</w:t>
            </w:r>
            <w:r w:rsidRPr="00F65AD6">
              <w:rPr>
                <w:sz w:val="18"/>
                <w:szCs w:val="18"/>
              </w:rPr>
              <w:t>. 2</w:t>
            </w:r>
            <w:r>
              <w:rPr>
                <w:sz w:val="18"/>
                <w:szCs w:val="18"/>
              </w:rPr>
              <w:t xml:space="preserve"> </w:t>
            </w:r>
            <w:r w:rsidRPr="0002233A">
              <w:rPr>
                <w:sz w:val="18"/>
                <w:szCs w:val="18"/>
              </w:rPr>
              <w:t xml:space="preserve"> </w:t>
            </w:r>
            <w:r w:rsidRPr="003A3ED6">
              <w:rPr>
                <w:sz w:val="18"/>
                <w:szCs w:val="18"/>
              </w:rPr>
              <w:t>The legislative bodies of United Nations system organizations should adopt appropriate standards with regard to Occupational Safety and Health issues, taking into account and ensuring compatibility with emerging modifications to the Minimum Operating Safety and Security Standards.</w:t>
            </w:r>
          </w:p>
        </w:tc>
        <w:tc>
          <w:tcPr>
            <w:tcW w:w="1559" w:type="dxa"/>
            <w:tcMar>
              <w:top w:w="85" w:type="dxa"/>
              <w:bottom w:w="85" w:type="dxa"/>
            </w:tcMar>
          </w:tcPr>
          <w:p w:rsidR="002F5089" w:rsidRPr="004A1F54" w:rsidRDefault="002F5089" w:rsidP="00D638E7">
            <w:pPr>
              <w:rPr>
                <w:sz w:val="18"/>
                <w:szCs w:val="18"/>
              </w:rPr>
            </w:pPr>
            <w:r>
              <w:rPr>
                <w:sz w:val="18"/>
                <w:szCs w:val="18"/>
              </w:rPr>
              <w:t>Director, HRMD</w:t>
            </w:r>
          </w:p>
        </w:tc>
        <w:tc>
          <w:tcPr>
            <w:tcW w:w="1418" w:type="dxa"/>
            <w:tcMar>
              <w:top w:w="85" w:type="dxa"/>
              <w:bottom w:w="85" w:type="dxa"/>
            </w:tcMar>
          </w:tcPr>
          <w:p w:rsidR="002F5089" w:rsidRPr="006E5611" w:rsidRDefault="006E79A5" w:rsidP="00D638E7">
            <w:pPr>
              <w:rPr>
                <w:sz w:val="18"/>
                <w:szCs w:val="18"/>
              </w:rPr>
            </w:pPr>
            <w:r>
              <w:rPr>
                <w:noProof/>
                <w:lang w:eastAsia="en-US"/>
              </w:rPr>
              <mc:AlternateContent>
                <mc:Choice Requires="wps">
                  <w:drawing>
                    <wp:anchor distT="0" distB="0" distL="114300" distR="114300" simplePos="0" relativeHeight="251722752" behindDoc="0" locked="0" layoutInCell="1" allowOverlap="1" wp14:anchorId="524625F9" wp14:editId="682B91DA">
                      <wp:simplePos x="0" y="0"/>
                      <wp:positionH relativeFrom="column">
                        <wp:posOffset>59055</wp:posOffset>
                      </wp:positionH>
                      <wp:positionV relativeFrom="paragraph">
                        <wp:posOffset>610870</wp:posOffset>
                      </wp:positionV>
                      <wp:extent cx="1562100" cy="238125"/>
                      <wp:effectExtent l="0" t="0" r="19050" b="28575"/>
                      <wp:wrapNone/>
                      <wp:docPr id="22" name="Rounded Rectangle 22"/>
                      <wp:cNvGraphicFramePr/>
                      <a:graphic xmlns:a="http://schemas.openxmlformats.org/drawingml/2006/main">
                        <a:graphicData uri="http://schemas.microsoft.com/office/word/2010/wordprocessingShape">
                          <wps:wsp>
                            <wps:cNvSpPr/>
                            <wps:spPr>
                              <a:xfrm>
                                <a:off x="0" y="0"/>
                                <a:ext cx="1562100" cy="238125"/>
                              </a:xfrm>
                              <a:prstGeom prst="roundRect">
                                <a:avLst/>
                              </a:prstGeom>
                              <a:solidFill>
                                <a:sysClr val="window" lastClr="FFFFFF"/>
                              </a:solidFill>
                              <a:ln w="25400" cap="flat" cmpd="sng" algn="ctr">
                                <a:solidFill>
                                  <a:srgbClr val="1F497D">
                                    <a:lumMod val="40000"/>
                                    <a:lumOff val="60000"/>
                                  </a:srgbClr>
                                </a:solidFill>
                                <a:prstDash val="solid"/>
                              </a:ln>
                              <a:effectLst/>
                            </wps:spPr>
                            <wps:txbx>
                              <w:txbxContent>
                                <w:p w:rsidR="006E79A5" w:rsidRDefault="006E79A5" w:rsidP="006E79A5">
                                  <w:pPr>
                                    <w:jc w:val="center"/>
                                  </w:pPr>
                                  <w:r w:rsidRPr="00337266">
                                    <w:rPr>
                                      <w:i/>
                                      <w:sz w:val="14"/>
                                      <w:szCs w:val="14"/>
                                    </w:rPr>
                                    <w:t>Previously “</w:t>
                                  </w:r>
                                  <w:r>
                                    <w:rPr>
                                      <w:i/>
                                      <w:sz w:val="14"/>
                                      <w:szCs w:val="14"/>
                                    </w:rPr>
                                    <w:t>in progress</w:t>
                                  </w:r>
                                  <w:r w:rsidRPr="00337266">
                                    <w:rPr>
                                      <w:i/>
                                      <w:sz w:val="14"/>
                                      <w:szCs w:val="1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2" o:spid="_x0000_s1034" style="position:absolute;margin-left:4.65pt;margin-top:48.1pt;width:123pt;height:18.7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" fillcolor="window" strokecolor="#8eb4e3" strokeweight="2pt">
                      <v:textbox>
                        <w:txbxContent>
                          <w:p w:rsidR="006E79A5" w:rsidRDefault="006E79A5" w:rsidP="006E79A5">
                            <w:pPr>
                              <w:jc w:val="center"/>
                            </w:pPr>
                            <w:r w:rsidRPr="00337266">
                              <w:rPr>
                                <w:i/>
                                <w:sz w:val="14"/>
                                <w:szCs w:val="14"/>
                              </w:rPr>
                              <w:t>Previously “</w:t>
                            </w:r>
                            <w:r>
                              <w:rPr>
                                <w:i/>
                                <w:sz w:val="14"/>
                                <w:szCs w:val="14"/>
                              </w:rPr>
                              <w:t>in progress</w:t>
                            </w:r>
                            <w:r w:rsidRPr="00337266">
                              <w:rPr>
                                <w:i/>
                                <w:sz w:val="14"/>
                                <w:szCs w:val="14"/>
                              </w:rPr>
                              <w:t>”</w:t>
                            </w:r>
                          </w:p>
                        </w:txbxContent>
                      </v:textbox>
                    </v:roundrect>
                  </w:pict>
                </mc:Fallback>
              </mc:AlternateContent>
            </w:r>
            <w:r w:rsidR="002F5089">
              <w:rPr>
                <w:sz w:val="18"/>
                <w:szCs w:val="18"/>
              </w:rPr>
              <w:t>Accepted</w:t>
            </w:r>
          </w:p>
        </w:tc>
        <w:tc>
          <w:tcPr>
            <w:tcW w:w="1417" w:type="dxa"/>
            <w:tcMar>
              <w:top w:w="85" w:type="dxa"/>
              <w:bottom w:w="85" w:type="dxa"/>
            </w:tcMar>
          </w:tcPr>
          <w:p w:rsidR="002F5089" w:rsidRPr="006E5611" w:rsidRDefault="002F5089" w:rsidP="002F5089">
            <w:pPr>
              <w:rPr>
                <w:sz w:val="18"/>
                <w:szCs w:val="18"/>
              </w:rPr>
            </w:pPr>
            <w:r>
              <w:rPr>
                <w:sz w:val="18"/>
                <w:szCs w:val="18"/>
              </w:rPr>
              <w:t>Implemented</w:t>
            </w:r>
          </w:p>
        </w:tc>
        <w:tc>
          <w:tcPr>
            <w:tcW w:w="2517" w:type="dxa"/>
            <w:tcMar>
              <w:top w:w="85" w:type="dxa"/>
              <w:bottom w:w="85" w:type="dxa"/>
            </w:tcMar>
          </w:tcPr>
          <w:p w:rsidR="002F5089" w:rsidRPr="002F5089" w:rsidRDefault="002F5089" w:rsidP="002F5089">
            <w:pPr>
              <w:spacing w:after="200" w:line="276" w:lineRule="auto"/>
              <w:rPr>
                <w:rFonts w:eastAsiaTheme="minorHAnsi"/>
                <w:sz w:val="18"/>
                <w:szCs w:val="18"/>
                <w:lang w:eastAsia="en-US"/>
              </w:rPr>
            </w:pPr>
            <w:r w:rsidRPr="002F5089">
              <w:rPr>
                <w:rFonts w:eastAsiaTheme="minorHAnsi"/>
                <w:sz w:val="18"/>
                <w:szCs w:val="18"/>
                <w:lang w:eastAsia="en-US"/>
              </w:rPr>
              <w:t xml:space="preserve">The Occupational Health and Safety Committee set up in December 2013 meets regularly to consider and make recommendations on matters affecting staff health and safety.  </w:t>
            </w:r>
          </w:p>
          <w:p w:rsidR="002F5089" w:rsidRPr="002F5089" w:rsidRDefault="002F5089" w:rsidP="002F5089">
            <w:pPr>
              <w:spacing w:after="200" w:line="276" w:lineRule="auto"/>
              <w:rPr>
                <w:rFonts w:eastAsiaTheme="minorHAnsi"/>
                <w:sz w:val="18"/>
                <w:szCs w:val="18"/>
                <w:lang w:eastAsia="en-US"/>
              </w:rPr>
            </w:pPr>
            <w:r w:rsidRPr="002F5089">
              <w:rPr>
                <w:rFonts w:eastAsiaTheme="minorHAnsi"/>
                <w:sz w:val="18"/>
                <w:szCs w:val="18"/>
                <w:lang w:eastAsia="en-US"/>
              </w:rPr>
              <w:t xml:space="preserve">Appropriate occupational health and safety standards will be detailed in the policy on the same subject, which has been developed and will be issued in the course of 2015. </w:t>
            </w:r>
          </w:p>
          <w:p w:rsidR="002F5089" w:rsidRPr="006E5611" w:rsidRDefault="002F5089" w:rsidP="002F5089">
            <w:pPr>
              <w:spacing w:after="200" w:line="276" w:lineRule="auto"/>
              <w:rPr>
                <w:sz w:val="18"/>
                <w:szCs w:val="18"/>
              </w:rPr>
            </w:pPr>
            <w:r w:rsidRPr="002F5089">
              <w:rPr>
                <w:rFonts w:eastAsiaTheme="minorHAnsi"/>
                <w:sz w:val="18"/>
                <w:szCs w:val="18"/>
                <w:lang w:eastAsia="en-US"/>
              </w:rPr>
              <w:t>Furthermore, the Safety and Security upgrade project is nearing completion after four years of work, as a result of which WIPO will meet or exceed UNHMOSS requirements for Headquarters.</w:t>
            </w:r>
          </w:p>
        </w:tc>
      </w:tr>
    </w:tbl>
    <w:p w:rsidR="002F5089" w:rsidRDefault="002F5089" w:rsidP="003417D2">
      <w:pPr>
        <w:rPr>
          <w:b/>
        </w:rPr>
      </w:pPr>
    </w:p>
    <w:p w:rsidR="00201B52" w:rsidRDefault="00201B52">
      <w:pPr>
        <w:rPr>
          <w:b/>
        </w:rPr>
      </w:pPr>
      <w:r>
        <w:rPr>
          <w:b/>
        </w:rPr>
        <w:br w:type="page"/>
      </w:r>
    </w:p>
    <w:p w:rsidR="00810478" w:rsidRPr="00BB37A1" w:rsidRDefault="00BB37A1" w:rsidP="003417D2">
      <w:r>
        <w:lastRenderedPageBreak/>
        <w:t>IV.</w:t>
      </w:r>
      <w:r>
        <w:tab/>
      </w:r>
      <w:r w:rsidRPr="00BB37A1">
        <w:t>RECOMMENDATIONS FROM JIU REVIEWS HELD IN 2010</w:t>
      </w:r>
    </w:p>
    <w:p w:rsidR="00810478" w:rsidRPr="00BB37A1" w:rsidRDefault="00810478" w:rsidP="003417D2"/>
    <w:p w:rsidR="004A115E" w:rsidRPr="00BB37A1" w:rsidRDefault="004A115E" w:rsidP="003417D2"/>
    <w:p w:rsidR="00DA1CA4" w:rsidRPr="00256D65" w:rsidRDefault="00DA1CA4" w:rsidP="00BB17D9">
      <w:pPr>
        <w:pStyle w:val="ListParagraph"/>
        <w:numPr>
          <w:ilvl w:val="0"/>
          <w:numId w:val="17"/>
        </w:numPr>
      </w:pPr>
      <w:r w:rsidRPr="00256D65">
        <w:t>JIU/REP/2010/7, “Policies and Procedures for the Administration of Trust Funds in the United Nations System Organizations”</w:t>
      </w:r>
    </w:p>
    <w:p w:rsidR="00510129" w:rsidRDefault="00510129" w:rsidP="003417D2"/>
    <w:p w:rsidR="00201B52" w:rsidRPr="00CF386F" w:rsidRDefault="00201B52" w:rsidP="003417D2"/>
    <w:tbl>
      <w:tblPr>
        <w:tblStyle w:val="TableGrid"/>
        <w:tblW w:w="0" w:type="auto"/>
        <w:tblLayout w:type="fixed"/>
        <w:tblLook w:val="04A0" w:firstRow="1" w:lastRow="0" w:firstColumn="1" w:lastColumn="0" w:noHBand="0" w:noVBand="1"/>
      </w:tblPr>
      <w:tblGrid>
        <w:gridCol w:w="2660"/>
        <w:gridCol w:w="1559"/>
        <w:gridCol w:w="1418"/>
        <w:gridCol w:w="1417"/>
        <w:gridCol w:w="2517"/>
      </w:tblGrid>
      <w:tr w:rsidR="004E7301" w:rsidTr="00567E4C">
        <w:trPr>
          <w:tblHeader/>
        </w:trPr>
        <w:tc>
          <w:tcPr>
            <w:tcW w:w="2660" w:type="dxa"/>
            <w:vMerge w:val="restart"/>
            <w:shd w:val="clear" w:color="auto" w:fill="B6DDE8" w:themeFill="accent5" w:themeFillTint="66"/>
            <w:tcMar>
              <w:top w:w="85" w:type="dxa"/>
              <w:bottom w:w="85" w:type="dxa"/>
            </w:tcMar>
            <w:vAlign w:val="center"/>
          </w:tcPr>
          <w:p w:rsidR="004E7301" w:rsidRDefault="004E7301" w:rsidP="004E7301">
            <w:pPr>
              <w:jc w:val="center"/>
              <w:rPr>
                <w:b/>
              </w:rPr>
            </w:pPr>
            <w:r>
              <w:rPr>
                <w:b/>
              </w:rPr>
              <w:br w:type="page"/>
            </w:r>
            <w:r w:rsidRPr="006D7D80">
              <w:rPr>
                <w:b/>
                <w:sz w:val="18"/>
                <w:szCs w:val="18"/>
              </w:rPr>
              <w:t>Recommendation</w:t>
            </w:r>
          </w:p>
        </w:tc>
        <w:tc>
          <w:tcPr>
            <w:tcW w:w="1559" w:type="dxa"/>
            <w:vMerge w:val="restart"/>
            <w:shd w:val="clear" w:color="auto" w:fill="B6DDE8" w:themeFill="accent5" w:themeFillTint="66"/>
            <w:tcMar>
              <w:top w:w="85" w:type="dxa"/>
              <w:bottom w:w="85" w:type="dxa"/>
            </w:tcMar>
            <w:vAlign w:val="center"/>
          </w:tcPr>
          <w:p w:rsidR="004E7301" w:rsidRDefault="004E7301" w:rsidP="004E7301">
            <w:pPr>
              <w:jc w:val="center"/>
              <w:rPr>
                <w:b/>
                <w:sz w:val="18"/>
                <w:szCs w:val="18"/>
              </w:rPr>
            </w:pPr>
            <w:r w:rsidRPr="006D7D80">
              <w:rPr>
                <w:b/>
                <w:sz w:val="18"/>
                <w:szCs w:val="18"/>
              </w:rPr>
              <w:t>Responsible Officer</w:t>
            </w:r>
          </w:p>
        </w:tc>
        <w:tc>
          <w:tcPr>
            <w:tcW w:w="2835" w:type="dxa"/>
            <w:gridSpan w:val="2"/>
            <w:shd w:val="clear" w:color="auto" w:fill="B6DDE8" w:themeFill="accent5" w:themeFillTint="66"/>
            <w:tcMar>
              <w:top w:w="85" w:type="dxa"/>
              <w:bottom w:w="85" w:type="dxa"/>
            </w:tcMar>
            <w:vAlign w:val="center"/>
          </w:tcPr>
          <w:p w:rsidR="004E7301" w:rsidRDefault="004E7301" w:rsidP="004E7301">
            <w:pPr>
              <w:jc w:val="center"/>
              <w:rPr>
                <w:b/>
                <w:sz w:val="18"/>
                <w:szCs w:val="18"/>
              </w:rPr>
            </w:pPr>
            <w:r>
              <w:rPr>
                <w:b/>
                <w:sz w:val="18"/>
                <w:szCs w:val="18"/>
              </w:rPr>
              <w:t>Acceptance Status</w:t>
            </w:r>
          </w:p>
        </w:tc>
        <w:tc>
          <w:tcPr>
            <w:tcW w:w="2517" w:type="dxa"/>
            <w:vMerge w:val="restart"/>
            <w:shd w:val="clear" w:color="auto" w:fill="B6DDE8" w:themeFill="accent5" w:themeFillTint="66"/>
            <w:vAlign w:val="center"/>
          </w:tcPr>
          <w:p w:rsidR="004E7301" w:rsidRDefault="004E7301" w:rsidP="004E7301">
            <w:pPr>
              <w:jc w:val="center"/>
              <w:rPr>
                <w:b/>
                <w:sz w:val="18"/>
                <w:szCs w:val="18"/>
              </w:rPr>
            </w:pPr>
            <w:r w:rsidRPr="006D7D80">
              <w:rPr>
                <w:b/>
                <w:sz w:val="18"/>
                <w:szCs w:val="18"/>
              </w:rPr>
              <w:t>Management/Focal Point Assessment</w:t>
            </w:r>
          </w:p>
        </w:tc>
      </w:tr>
      <w:tr w:rsidR="004E7301" w:rsidTr="00567E4C">
        <w:trPr>
          <w:tblHeader/>
        </w:trPr>
        <w:tc>
          <w:tcPr>
            <w:tcW w:w="2660" w:type="dxa"/>
            <w:vMerge/>
            <w:shd w:val="clear" w:color="auto" w:fill="B6DDE8" w:themeFill="accent5" w:themeFillTint="66"/>
          </w:tcPr>
          <w:p w:rsidR="004E7301" w:rsidRPr="006D7D80" w:rsidRDefault="004E7301" w:rsidP="003417D2">
            <w:pPr>
              <w:rPr>
                <w:b/>
                <w:sz w:val="18"/>
                <w:szCs w:val="18"/>
              </w:rPr>
            </w:pPr>
          </w:p>
        </w:tc>
        <w:tc>
          <w:tcPr>
            <w:tcW w:w="1559" w:type="dxa"/>
            <w:vMerge/>
            <w:shd w:val="clear" w:color="auto" w:fill="B6DDE8" w:themeFill="accent5" w:themeFillTint="66"/>
          </w:tcPr>
          <w:p w:rsidR="004E7301" w:rsidRPr="006D7D80" w:rsidRDefault="004E7301" w:rsidP="003417D2">
            <w:pPr>
              <w:rPr>
                <w:b/>
                <w:sz w:val="18"/>
                <w:szCs w:val="18"/>
              </w:rPr>
            </w:pPr>
          </w:p>
        </w:tc>
        <w:tc>
          <w:tcPr>
            <w:tcW w:w="1418" w:type="dxa"/>
            <w:shd w:val="clear" w:color="auto" w:fill="B6DDE8" w:themeFill="accent5" w:themeFillTint="66"/>
            <w:tcMar>
              <w:top w:w="85" w:type="dxa"/>
              <w:bottom w:w="85" w:type="dxa"/>
            </w:tcMar>
            <w:vAlign w:val="center"/>
          </w:tcPr>
          <w:p w:rsidR="004E7301" w:rsidRPr="004E7301" w:rsidRDefault="004E7301" w:rsidP="004E7301">
            <w:pPr>
              <w:jc w:val="center"/>
              <w:rPr>
                <w:b/>
                <w:sz w:val="16"/>
                <w:szCs w:val="18"/>
              </w:rPr>
            </w:pPr>
            <w:r w:rsidRPr="004E7301">
              <w:rPr>
                <w:b/>
                <w:sz w:val="16"/>
                <w:szCs w:val="18"/>
              </w:rPr>
              <w:t>Acceptance</w:t>
            </w:r>
          </w:p>
        </w:tc>
        <w:tc>
          <w:tcPr>
            <w:tcW w:w="1417" w:type="dxa"/>
            <w:shd w:val="clear" w:color="auto" w:fill="B6DDE8" w:themeFill="accent5" w:themeFillTint="66"/>
            <w:tcMar>
              <w:top w:w="85" w:type="dxa"/>
              <w:bottom w:w="85" w:type="dxa"/>
            </w:tcMar>
            <w:vAlign w:val="center"/>
          </w:tcPr>
          <w:p w:rsidR="004E7301" w:rsidRPr="004E7301" w:rsidRDefault="004E7301" w:rsidP="004E7301">
            <w:pPr>
              <w:jc w:val="center"/>
              <w:rPr>
                <w:b/>
                <w:sz w:val="16"/>
                <w:szCs w:val="18"/>
              </w:rPr>
            </w:pPr>
            <w:r w:rsidRPr="004E7301">
              <w:rPr>
                <w:b/>
                <w:sz w:val="16"/>
                <w:szCs w:val="18"/>
              </w:rPr>
              <w:t>Implementation</w:t>
            </w:r>
          </w:p>
        </w:tc>
        <w:tc>
          <w:tcPr>
            <w:tcW w:w="2517" w:type="dxa"/>
            <w:vMerge/>
            <w:shd w:val="clear" w:color="auto" w:fill="B6DDE8" w:themeFill="accent5" w:themeFillTint="66"/>
          </w:tcPr>
          <w:p w:rsidR="004E7301" w:rsidRPr="006D7D80" w:rsidRDefault="004E7301" w:rsidP="003417D2">
            <w:pPr>
              <w:rPr>
                <w:b/>
                <w:sz w:val="18"/>
                <w:szCs w:val="18"/>
              </w:rPr>
            </w:pPr>
          </w:p>
        </w:tc>
      </w:tr>
      <w:tr w:rsidR="00DA1CA4" w:rsidTr="00567E4C">
        <w:tc>
          <w:tcPr>
            <w:tcW w:w="2660" w:type="dxa"/>
            <w:tcMar>
              <w:top w:w="85" w:type="dxa"/>
              <w:bottom w:w="85" w:type="dxa"/>
            </w:tcMar>
            <w:vAlign w:val="center"/>
          </w:tcPr>
          <w:p w:rsidR="00DA1CA4" w:rsidRPr="006E5611" w:rsidRDefault="00DA1CA4" w:rsidP="004457EE">
            <w:pPr>
              <w:rPr>
                <w:sz w:val="18"/>
                <w:szCs w:val="18"/>
              </w:rPr>
            </w:pPr>
            <w:r w:rsidRPr="008B504A">
              <w:rPr>
                <w:sz w:val="18"/>
                <w:szCs w:val="18"/>
              </w:rPr>
              <w:t>Rec. 7</w:t>
            </w:r>
            <w:r w:rsidR="004457EE">
              <w:rPr>
                <w:sz w:val="18"/>
                <w:szCs w:val="18"/>
              </w:rPr>
              <w:t xml:space="preserve"> </w:t>
            </w:r>
            <w:r w:rsidRPr="008B504A">
              <w:rPr>
                <w:sz w:val="18"/>
                <w:szCs w:val="18"/>
              </w:rPr>
              <w:t xml:space="preserve"> The legislative bodies of the United Nations system organizations should review the harmonized cost recovery policies and principles for trust funds and activities financed by other </w:t>
            </w:r>
            <w:proofErr w:type="spellStart"/>
            <w:r w:rsidRPr="008B504A">
              <w:rPr>
                <w:sz w:val="18"/>
                <w:szCs w:val="18"/>
              </w:rPr>
              <w:t>extrabudgetary</w:t>
            </w:r>
            <w:proofErr w:type="spellEnd"/>
            <w:r w:rsidRPr="008B504A">
              <w:rPr>
                <w:sz w:val="18"/>
                <w:szCs w:val="18"/>
              </w:rPr>
              <w:t xml:space="preserve"> resources, once they have been agreed within the CEB, with a view to updating the cost recovery policies of their organizations accordingly.</w:t>
            </w:r>
          </w:p>
        </w:tc>
        <w:tc>
          <w:tcPr>
            <w:tcW w:w="1559" w:type="dxa"/>
            <w:tcMar>
              <w:top w:w="85" w:type="dxa"/>
              <w:bottom w:w="85" w:type="dxa"/>
            </w:tcMar>
          </w:tcPr>
          <w:p w:rsidR="00DA1CA4" w:rsidRPr="004A1F54" w:rsidRDefault="00DA1CA4" w:rsidP="00D944CD">
            <w:pPr>
              <w:rPr>
                <w:sz w:val="18"/>
                <w:szCs w:val="18"/>
              </w:rPr>
            </w:pPr>
            <w:r w:rsidRPr="004510FA">
              <w:rPr>
                <w:sz w:val="18"/>
                <w:szCs w:val="18"/>
              </w:rPr>
              <w:t>Director, P</w:t>
            </w:r>
            <w:r w:rsidR="00D944CD">
              <w:rPr>
                <w:sz w:val="18"/>
                <w:szCs w:val="18"/>
              </w:rPr>
              <w:t>PF</w:t>
            </w:r>
            <w:r w:rsidRPr="004510FA">
              <w:rPr>
                <w:sz w:val="18"/>
                <w:szCs w:val="18"/>
              </w:rPr>
              <w:t xml:space="preserve"> (Controller)</w:t>
            </w:r>
          </w:p>
        </w:tc>
        <w:tc>
          <w:tcPr>
            <w:tcW w:w="1418" w:type="dxa"/>
            <w:tcMar>
              <w:top w:w="85" w:type="dxa"/>
              <w:bottom w:w="85" w:type="dxa"/>
            </w:tcMar>
          </w:tcPr>
          <w:p w:rsidR="00DA1CA4" w:rsidRPr="006E5611" w:rsidRDefault="003810C3" w:rsidP="003417D2">
            <w:pPr>
              <w:rPr>
                <w:sz w:val="18"/>
                <w:szCs w:val="18"/>
              </w:rPr>
            </w:pPr>
            <w:r>
              <w:rPr>
                <w:noProof/>
                <w:lang w:eastAsia="en-US"/>
              </w:rPr>
              <mc:AlternateContent>
                <mc:Choice Requires="wps">
                  <w:drawing>
                    <wp:anchor distT="0" distB="0" distL="114300" distR="114300" simplePos="0" relativeHeight="251737088" behindDoc="0" locked="0" layoutInCell="1" allowOverlap="1" wp14:anchorId="6A875493" wp14:editId="64C47952">
                      <wp:simplePos x="0" y="0"/>
                      <wp:positionH relativeFrom="column">
                        <wp:posOffset>49530</wp:posOffset>
                      </wp:positionH>
                      <wp:positionV relativeFrom="paragraph">
                        <wp:posOffset>572135</wp:posOffset>
                      </wp:positionV>
                      <wp:extent cx="1562100" cy="381000"/>
                      <wp:effectExtent l="0" t="0" r="19050" b="19050"/>
                      <wp:wrapNone/>
                      <wp:docPr id="27" name="Rounded Rectangle 27"/>
                      <wp:cNvGraphicFramePr/>
                      <a:graphic xmlns:a="http://schemas.openxmlformats.org/drawingml/2006/main">
                        <a:graphicData uri="http://schemas.microsoft.com/office/word/2010/wordprocessingShape">
                          <wps:wsp>
                            <wps:cNvSpPr/>
                            <wps:spPr>
                              <a:xfrm>
                                <a:off x="0" y="0"/>
                                <a:ext cx="1562100" cy="381000"/>
                              </a:xfrm>
                              <a:prstGeom prst="roundRect">
                                <a:avLst/>
                              </a:prstGeom>
                              <a:solidFill>
                                <a:sysClr val="window" lastClr="FFFFFF"/>
                              </a:solidFill>
                              <a:ln w="25400" cap="flat" cmpd="sng" algn="ctr">
                                <a:solidFill>
                                  <a:srgbClr val="1F497D">
                                    <a:lumMod val="40000"/>
                                    <a:lumOff val="60000"/>
                                  </a:srgbClr>
                                </a:solidFill>
                                <a:prstDash val="solid"/>
                              </a:ln>
                              <a:effectLst/>
                            </wps:spPr>
                            <wps:txbx>
                              <w:txbxContent>
                                <w:p w:rsidR="003810C3" w:rsidRPr="003810C3" w:rsidRDefault="003810C3" w:rsidP="003810C3">
                                  <w:pPr>
                                    <w:jc w:val="center"/>
                                    <w:rPr>
                                      <w:i/>
                                      <w:sz w:val="14"/>
                                      <w:szCs w:val="14"/>
                                    </w:rPr>
                                  </w:pPr>
                                  <w:r w:rsidRPr="003810C3">
                                    <w:rPr>
                                      <w:i/>
                                      <w:sz w:val="14"/>
                                      <w:szCs w:val="14"/>
                                    </w:rPr>
                                    <w:t>No change from previous status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7" o:spid="_x0000_s1035" style="position:absolute;margin-left:3.9pt;margin-top:45.05pt;width:123pt;height:30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" fillcolor="window" strokecolor="#8eb4e3" strokeweight="2pt">
                      <v:textbox>
                        <w:txbxContent>
                          <w:p w:rsidR="003810C3" w:rsidRPr="003810C3" w:rsidRDefault="003810C3" w:rsidP="003810C3">
                            <w:pPr>
                              <w:jc w:val="center"/>
                              <w:rPr>
                                <w:i/>
                                <w:sz w:val="14"/>
                                <w:szCs w:val="14"/>
                              </w:rPr>
                            </w:pPr>
                            <w:r w:rsidRPr="003810C3">
                              <w:rPr>
                                <w:i/>
                                <w:sz w:val="14"/>
                                <w:szCs w:val="14"/>
                              </w:rPr>
                              <w:t>No change from previous status</w:t>
                            </w:r>
                          </w:p>
                        </w:txbxContent>
                      </v:textbox>
                    </v:roundrect>
                  </w:pict>
                </mc:Fallback>
              </mc:AlternateContent>
            </w:r>
            <w:r w:rsidR="00DA1CA4">
              <w:rPr>
                <w:sz w:val="18"/>
                <w:szCs w:val="18"/>
              </w:rPr>
              <w:t>Under consideration</w:t>
            </w:r>
          </w:p>
        </w:tc>
        <w:tc>
          <w:tcPr>
            <w:tcW w:w="1417" w:type="dxa"/>
            <w:tcMar>
              <w:top w:w="85" w:type="dxa"/>
              <w:bottom w:w="85" w:type="dxa"/>
            </w:tcMar>
          </w:tcPr>
          <w:p w:rsidR="00DA1CA4" w:rsidRPr="006E5611" w:rsidRDefault="00DA1CA4" w:rsidP="003417D2">
            <w:pPr>
              <w:rPr>
                <w:sz w:val="18"/>
                <w:szCs w:val="18"/>
              </w:rPr>
            </w:pPr>
          </w:p>
        </w:tc>
        <w:tc>
          <w:tcPr>
            <w:tcW w:w="2517" w:type="dxa"/>
            <w:tcMar>
              <w:top w:w="85" w:type="dxa"/>
              <w:bottom w:w="85" w:type="dxa"/>
            </w:tcMar>
          </w:tcPr>
          <w:p w:rsidR="00DA1CA4" w:rsidRPr="006E5611" w:rsidRDefault="00DA1CA4" w:rsidP="003417D2">
            <w:pPr>
              <w:rPr>
                <w:sz w:val="18"/>
                <w:szCs w:val="18"/>
              </w:rPr>
            </w:pPr>
            <w:r w:rsidRPr="008B504A">
              <w:rPr>
                <w:sz w:val="18"/>
                <w:szCs w:val="18"/>
              </w:rPr>
              <w:t>This system-wide recommendation is under consideration by the CEB.</w:t>
            </w:r>
          </w:p>
        </w:tc>
      </w:tr>
    </w:tbl>
    <w:p w:rsidR="005F7D29" w:rsidRDefault="005F7D29" w:rsidP="003417D2"/>
    <w:p w:rsidR="00201B52" w:rsidRDefault="00201B52" w:rsidP="003417D2"/>
    <w:p w:rsidR="006A4C18" w:rsidRPr="00BB37A1" w:rsidRDefault="006A4C18" w:rsidP="00BB17D9">
      <w:pPr>
        <w:pStyle w:val="ListParagraph"/>
        <w:numPr>
          <w:ilvl w:val="0"/>
          <w:numId w:val="17"/>
        </w:numPr>
      </w:pPr>
      <w:r w:rsidRPr="00BB37A1">
        <w:t>JIU/REP/2010/3, “Ethics in the United Nations System</w:t>
      </w:r>
    </w:p>
    <w:p w:rsidR="006A4C18" w:rsidRDefault="006A4C18" w:rsidP="003417D2"/>
    <w:p w:rsidR="00201B52" w:rsidRPr="00BB37A1" w:rsidRDefault="00201B52" w:rsidP="003417D2"/>
    <w:tbl>
      <w:tblPr>
        <w:tblStyle w:val="TableGrid"/>
        <w:tblW w:w="0" w:type="auto"/>
        <w:tblLayout w:type="fixed"/>
        <w:tblLook w:val="04A0" w:firstRow="1" w:lastRow="0" w:firstColumn="1" w:lastColumn="0" w:noHBand="0" w:noVBand="1"/>
      </w:tblPr>
      <w:tblGrid>
        <w:gridCol w:w="2660"/>
        <w:gridCol w:w="1559"/>
        <w:gridCol w:w="1418"/>
        <w:gridCol w:w="1417"/>
        <w:gridCol w:w="2517"/>
      </w:tblGrid>
      <w:tr w:rsidR="004E7301" w:rsidTr="00567E4C">
        <w:trPr>
          <w:tblHeader/>
        </w:trPr>
        <w:tc>
          <w:tcPr>
            <w:tcW w:w="2660" w:type="dxa"/>
            <w:vMerge w:val="restart"/>
            <w:shd w:val="clear" w:color="auto" w:fill="B6DDE8" w:themeFill="accent5" w:themeFillTint="66"/>
            <w:tcMar>
              <w:top w:w="85" w:type="dxa"/>
              <w:bottom w:w="85" w:type="dxa"/>
            </w:tcMar>
            <w:vAlign w:val="center"/>
          </w:tcPr>
          <w:p w:rsidR="004E7301" w:rsidRDefault="004E7301" w:rsidP="004E7301">
            <w:pPr>
              <w:jc w:val="center"/>
              <w:rPr>
                <w:b/>
              </w:rPr>
            </w:pPr>
            <w:r>
              <w:rPr>
                <w:b/>
              </w:rPr>
              <w:br w:type="page"/>
            </w:r>
            <w:r w:rsidRPr="006D7D80">
              <w:rPr>
                <w:b/>
                <w:sz w:val="18"/>
                <w:szCs w:val="18"/>
              </w:rPr>
              <w:t>Recommendation</w:t>
            </w:r>
          </w:p>
        </w:tc>
        <w:tc>
          <w:tcPr>
            <w:tcW w:w="1559" w:type="dxa"/>
            <w:vMerge w:val="restart"/>
            <w:shd w:val="clear" w:color="auto" w:fill="B6DDE8" w:themeFill="accent5" w:themeFillTint="66"/>
            <w:tcMar>
              <w:top w:w="85" w:type="dxa"/>
              <w:bottom w:w="85" w:type="dxa"/>
            </w:tcMar>
            <w:vAlign w:val="center"/>
          </w:tcPr>
          <w:p w:rsidR="004E7301" w:rsidRDefault="004E7301" w:rsidP="004E7301">
            <w:pPr>
              <w:jc w:val="center"/>
              <w:rPr>
                <w:b/>
                <w:sz w:val="18"/>
                <w:szCs w:val="18"/>
              </w:rPr>
            </w:pPr>
            <w:r w:rsidRPr="006D7D80">
              <w:rPr>
                <w:b/>
                <w:sz w:val="18"/>
                <w:szCs w:val="18"/>
              </w:rPr>
              <w:t>Responsible Officer</w:t>
            </w:r>
          </w:p>
        </w:tc>
        <w:tc>
          <w:tcPr>
            <w:tcW w:w="2835" w:type="dxa"/>
            <w:gridSpan w:val="2"/>
            <w:shd w:val="clear" w:color="auto" w:fill="B6DDE8" w:themeFill="accent5" w:themeFillTint="66"/>
            <w:tcMar>
              <w:top w:w="85" w:type="dxa"/>
              <w:bottom w:w="85" w:type="dxa"/>
            </w:tcMar>
            <w:vAlign w:val="center"/>
          </w:tcPr>
          <w:p w:rsidR="004E7301" w:rsidRDefault="004E7301" w:rsidP="00E37CB3">
            <w:pPr>
              <w:jc w:val="center"/>
              <w:rPr>
                <w:b/>
                <w:sz w:val="18"/>
                <w:szCs w:val="18"/>
              </w:rPr>
            </w:pPr>
            <w:r>
              <w:rPr>
                <w:b/>
                <w:sz w:val="18"/>
                <w:szCs w:val="18"/>
              </w:rPr>
              <w:t>Acceptance Status</w:t>
            </w:r>
          </w:p>
        </w:tc>
        <w:tc>
          <w:tcPr>
            <w:tcW w:w="2517" w:type="dxa"/>
            <w:vMerge w:val="restart"/>
            <w:shd w:val="clear" w:color="auto" w:fill="B6DDE8" w:themeFill="accent5" w:themeFillTint="66"/>
            <w:tcMar>
              <w:top w:w="85" w:type="dxa"/>
              <w:bottom w:w="85" w:type="dxa"/>
            </w:tcMar>
            <w:vAlign w:val="center"/>
          </w:tcPr>
          <w:p w:rsidR="004E7301" w:rsidRDefault="004E7301" w:rsidP="004E7301">
            <w:pPr>
              <w:jc w:val="center"/>
              <w:rPr>
                <w:b/>
                <w:sz w:val="18"/>
                <w:szCs w:val="18"/>
              </w:rPr>
            </w:pPr>
            <w:r w:rsidRPr="006D7D80">
              <w:rPr>
                <w:b/>
                <w:sz w:val="18"/>
                <w:szCs w:val="18"/>
              </w:rPr>
              <w:t>Management/Focal Point Assessment</w:t>
            </w:r>
          </w:p>
        </w:tc>
      </w:tr>
      <w:tr w:rsidR="004E7301" w:rsidTr="00567E4C">
        <w:trPr>
          <w:tblHeader/>
        </w:trPr>
        <w:tc>
          <w:tcPr>
            <w:tcW w:w="2660" w:type="dxa"/>
            <w:vMerge/>
            <w:shd w:val="clear" w:color="auto" w:fill="B6DDE8" w:themeFill="accent5" w:themeFillTint="66"/>
          </w:tcPr>
          <w:p w:rsidR="004E7301" w:rsidRPr="006D7D80" w:rsidRDefault="004E7301" w:rsidP="003417D2">
            <w:pPr>
              <w:rPr>
                <w:b/>
                <w:sz w:val="18"/>
                <w:szCs w:val="18"/>
              </w:rPr>
            </w:pPr>
          </w:p>
        </w:tc>
        <w:tc>
          <w:tcPr>
            <w:tcW w:w="1559" w:type="dxa"/>
            <w:vMerge/>
            <w:shd w:val="clear" w:color="auto" w:fill="B6DDE8" w:themeFill="accent5" w:themeFillTint="66"/>
          </w:tcPr>
          <w:p w:rsidR="004E7301" w:rsidRPr="006D7D80" w:rsidRDefault="004E7301" w:rsidP="003417D2">
            <w:pPr>
              <w:rPr>
                <w:b/>
                <w:sz w:val="18"/>
                <w:szCs w:val="18"/>
              </w:rPr>
            </w:pPr>
          </w:p>
        </w:tc>
        <w:tc>
          <w:tcPr>
            <w:tcW w:w="1418" w:type="dxa"/>
            <w:shd w:val="clear" w:color="auto" w:fill="B6DDE8" w:themeFill="accent5" w:themeFillTint="66"/>
            <w:tcMar>
              <w:top w:w="85" w:type="dxa"/>
              <w:bottom w:w="85" w:type="dxa"/>
            </w:tcMar>
            <w:vAlign w:val="center"/>
          </w:tcPr>
          <w:p w:rsidR="004E7301" w:rsidRPr="004E7301" w:rsidRDefault="004E7301" w:rsidP="004E7301">
            <w:pPr>
              <w:jc w:val="center"/>
              <w:rPr>
                <w:b/>
                <w:sz w:val="16"/>
                <w:szCs w:val="18"/>
              </w:rPr>
            </w:pPr>
            <w:r w:rsidRPr="004E7301">
              <w:rPr>
                <w:b/>
                <w:sz w:val="16"/>
                <w:szCs w:val="18"/>
              </w:rPr>
              <w:t>Acceptance</w:t>
            </w:r>
          </w:p>
        </w:tc>
        <w:tc>
          <w:tcPr>
            <w:tcW w:w="1417" w:type="dxa"/>
            <w:shd w:val="clear" w:color="auto" w:fill="B6DDE8" w:themeFill="accent5" w:themeFillTint="66"/>
            <w:tcMar>
              <w:top w:w="85" w:type="dxa"/>
              <w:bottom w:w="85" w:type="dxa"/>
            </w:tcMar>
            <w:vAlign w:val="center"/>
          </w:tcPr>
          <w:p w:rsidR="004E7301" w:rsidRPr="004E7301" w:rsidRDefault="004E7301" w:rsidP="004E7301">
            <w:pPr>
              <w:jc w:val="center"/>
              <w:rPr>
                <w:b/>
                <w:sz w:val="16"/>
                <w:szCs w:val="18"/>
              </w:rPr>
            </w:pPr>
            <w:r w:rsidRPr="004E7301">
              <w:rPr>
                <w:b/>
                <w:sz w:val="16"/>
                <w:szCs w:val="18"/>
              </w:rPr>
              <w:t>Implementation</w:t>
            </w:r>
          </w:p>
        </w:tc>
        <w:tc>
          <w:tcPr>
            <w:tcW w:w="2517" w:type="dxa"/>
            <w:vMerge/>
            <w:shd w:val="clear" w:color="auto" w:fill="B6DDE8" w:themeFill="accent5" w:themeFillTint="66"/>
          </w:tcPr>
          <w:p w:rsidR="004E7301" w:rsidRPr="006D7D80" w:rsidRDefault="004E7301" w:rsidP="003417D2">
            <w:pPr>
              <w:rPr>
                <w:b/>
                <w:sz w:val="18"/>
                <w:szCs w:val="18"/>
              </w:rPr>
            </w:pPr>
          </w:p>
        </w:tc>
      </w:tr>
      <w:tr w:rsidR="006A4C18" w:rsidTr="00567E4C">
        <w:tc>
          <w:tcPr>
            <w:tcW w:w="2660" w:type="dxa"/>
            <w:tcMar>
              <w:top w:w="85" w:type="dxa"/>
              <w:bottom w:w="85" w:type="dxa"/>
            </w:tcMar>
            <w:vAlign w:val="center"/>
          </w:tcPr>
          <w:p w:rsidR="006A4C18" w:rsidRPr="006E5611" w:rsidRDefault="006A4C18" w:rsidP="004457EE">
            <w:pPr>
              <w:rPr>
                <w:sz w:val="18"/>
                <w:szCs w:val="18"/>
              </w:rPr>
            </w:pPr>
            <w:r w:rsidRPr="00B0148D">
              <w:rPr>
                <w:sz w:val="18"/>
                <w:szCs w:val="18"/>
              </w:rPr>
              <w:t>Rec. 6</w:t>
            </w:r>
            <w:r w:rsidR="004457EE">
              <w:rPr>
                <w:sz w:val="18"/>
                <w:szCs w:val="18"/>
              </w:rPr>
              <w:t xml:space="preserve"> </w:t>
            </w:r>
            <w:r w:rsidRPr="00B0148D">
              <w:rPr>
                <w:sz w:val="18"/>
                <w:szCs w:val="18"/>
              </w:rPr>
              <w:t xml:space="preserve"> The legislative bodies should direct their respective executive heads to apply term limits to the appointment of the head of the ethics office, which should be a non</w:t>
            </w:r>
            <w:r w:rsidRPr="00B0148D">
              <w:rPr>
                <w:sz w:val="18"/>
                <w:szCs w:val="18"/>
              </w:rPr>
              <w:noBreakHyphen/>
              <w:t>renewable appointment of seven years, or no more than two consecutive appointments of four or five years, with no possibility of re-employment by the same organization.</w:t>
            </w:r>
          </w:p>
        </w:tc>
        <w:tc>
          <w:tcPr>
            <w:tcW w:w="1559" w:type="dxa"/>
            <w:tcMar>
              <w:top w:w="85" w:type="dxa"/>
              <w:bottom w:w="85" w:type="dxa"/>
            </w:tcMar>
          </w:tcPr>
          <w:p w:rsidR="006A4C18" w:rsidRPr="004A1F54" w:rsidRDefault="006A4C18" w:rsidP="003417D2">
            <w:pPr>
              <w:rPr>
                <w:sz w:val="18"/>
                <w:szCs w:val="18"/>
              </w:rPr>
            </w:pPr>
            <w:r w:rsidRPr="0029217C">
              <w:rPr>
                <w:sz w:val="18"/>
                <w:szCs w:val="18"/>
              </w:rPr>
              <w:t>Chief Ethics Officer</w:t>
            </w:r>
          </w:p>
        </w:tc>
        <w:tc>
          <w:tcPr>
            <w:tcW w:w="1418" w:type="dxa"/>
            <w:tcMar>
              <w:top w:w="85" w:type="dxa"/>
              <w:bottom w:w="85" w:type="dxa"/>
            </w:tcMar>
          </w:tcPr>
          <w:p w:rsidR="006A4C18" w:rsidRPr="006E5611" w:rsidRDefault="00E37CB3" w:rsidP="003417D2">
            <w:pPr>
              <w:rPr>
                <w:sz w:val="18"/>
                <w:szCs w:val="18"/>
              </w:rPr>
            </w:pPr>
            <w:r>
              <w:rPr>
                <w:noProof/>
                <w:lang w:eastAsia="en-US"/>
              </w:rPr>
              <mc:AlternateContent>
                <mc:Choice Requires="wps">
                  <w:drawing>
                    <wp:anchor distT="0" distB="0" distL="114300" distR="114300" simplePos="0" relativeHeight="251704320" behindDoc="0" locked="0" layoutInCell="1" allowOverlap="1" wp14:anchorId="606F2A89" wp14:editId="23BFAB41">
                      <wp:simplePos x="0" y="0"/>
                      <wp:positionH relativeFrom="column">
                        <wp:posOffset>49530</wp:posOffset>
                      </wp:positionH>
                      <wp:positionV relativeFrom="paragraph">
                        <wp:posOffset>318770</wp:posOffset>
                      </wp:positionV>
                      <wp:extent cx="1562100" cy="238125"/>
                      <wp:effectExtent l="0" t="0" r="19050" b="28575"/>
                      <wp:wrapNone/>
                      <wp:docPr id="11" name="Rounded Rectangle 11"/>
                      <wp:cNvGraphicFramePr/>
                      <a:graphic xmlns:a="http://schemas.openxmlformats.org/drawingml/2006/main">
                        <a:graphicData uri="http://schemas.microsoft.com/office/word/2010/wordprocessingShape">
                          <wps:wsp>
                            <wps:cNvSpPr/>
                            <wps:spPr>
                              <a:xfrm>
                                <a:off x="0" y="0"/>
                                <a:ext cx="1562100" cy="238125"/>
                              </a:xfrm>
                              <a:prstGeom prst="roundRect">
                                <a:avLst/>
                              </a:prstGeom>
                              <a:solidFill>
                                <a:sysClr val="window" lastClr="FFFFFF"/>
                              </a:solidFill>
                              <a:ln w="25400" cap="flat" cmpd="sng" algn="ctr">
                                <a:solidFill>
                                  <a:srgbClr val="1F497D">
                                    <a:lumMod val="40000"/>
                                    <a:lumOff val="60000"/>
                                  </a:srgbClr>
                                </a:solidFill>
                                <a:prstDash val="solid"/>
                              </a:ln>
                              <a:effectLst/>
                            </wps:spPr>
                            <wps:txbx>
                              <w:txbxContent>
                                <w:p w:rsidR="00E37CB3" w:rsidRDefault="00E37CB3" w:rsidP="00E37CB3">
                                  <w:pPr>
                                    <w:jc w:val="center"/>
                                  </w:pPr>
                                  <w:r w:rsidRPr="00337266">
                                    <w:rPr>
                                      <w:i/>
                                      <w:sz w:val="14"/>
                                      <w:szCs w:val="14"/>
                                    </w:rPr>
                                    <w:t>Previously “under consideration”</w:t>
                                  </w:r>
                                </w:p>
                                <w:p w:rsidR="00E37CB3" w:rsidRPr="00E37CB3" w:rsidRDefault="00E37CB3" w:rsidP="00E37CB3">
                                  <w:pPr>
                                    <w:jc w:val="center"/>
                                    <w:rPr>
                                      <w:lang w:val="fr-CH"/>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1" o:spid="_x0000_s1036" style="position:absolute;margin-left:3.9pt;margin-top:25.1pt;width:123pt;height:18.7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" fillcolor="window" strokecolor="#8eb4e3" strokeweight="2pt">
                      <v:textbox>
                        <w:txbxContent>
                          <w:p w:rsidR="00E37CB3" w:rsidRDefault="00E37CB3" w:rsidP="00E37CB3">
                            <w:pPr>
                              <w:jc w:val="center"/>
                            </w:pPr>
                            <w:r w:rsidRPr="00337266">
                              <w:rPr>
                                <w:i/>
                                <w:sz w:val="14"/>
                                <w:szCs w:val="14"/>
                              </w:rPr>
                              <w:t>Previously “under consideration”</w:t>
                            </w:r>
                          </w:p>
                          <w:p w:rsidR="00E37CB3" w:rsidRPr="00E37CB3" w:rsidRDefault="00E37CB3" w:rsidP="00E37CB3">
                            <w:pPr>
                              <w:jc w:val="center"/>
                              <w:rPr>
                                <w:lang w:val="fr-CH"/>
                              </w:rPr>
                            </w:pPr>
                          </w:p>
                        </w:txbxContent>
                      </v:textbox>
                    </v:roundrect>
                  </w:pict>
                </mc:Fallback>
              </mc:AlternateContent>
            </w:r>
            <w:r w:rsidR="00256D65">
              <w:rPr>
                <w:sz w:val="18"/>
                <w:szCs w:val="18"/>
              </w:rPr>
              <w:t>Accepted</w:t>
            </w:r>
          </w:p>
        </w:tc>
        <w:tc>
          <w:tcPr>
            <w:tcW w:w="1417" w:type="dxa"/>
            <w:tcMar>
              <w:top w:w="85" w:type="dxa"/>
              <w:bottom w:w="85" w:type="dxa"/>
            </w:tcMar>
          </w:tcPr>
          <w:p w:rsidR="006A4C18" w:rsidRPr="006E5611" w:rsidRDefault="00256D65" w:rsidP="003417D2">
            <w:pPr>
              <w:spacing w:after="200"/>
              <w:rPr>
                <w:sz w:val="18"/>
                <w:szCs w:val="18"/>
              </w:rPr>
            </w:pPr>
            <w:r>
              <w:rPr>
                <w:rFonts w:eastAsiaTheme="minorHAnsi"/>
                <w:sz w:val="18"/>
                <w:szCs w:val="18"/>
                <w:lang w:eastAsia="en-US"/>
              </w:rPr>
              <w:t>Implemented</w:t>
            </w:r>
          </w:p>
        </w:tc>
        <w:tc>
          <w:tcPr>
            <w:tcW w:w="2517" w:type="dxa"/>
            <w:tcMar>
              <w:top w:w="85" w:type="dxa"/>
              <w:bottom w:w="85" w:type="dxa"/>
            </w:tcMar>
          </w:tcPr>
          <w:p w:rsidR="006A4C18" w:rsidRPr="006E5611" w:rsidRDefault="006A4C18" w:rsidP="00256D65">
            <w:pPr>
              <w:rPr>
                <w:sz w:val="18"/>
                <w:szCs w:val="18"/>
              </w:rPr>
            </w:pPr>
            <w:r w:rsidRPr="00B0148D">
              <w:rPr>
                <w:noProof/>
                <w:sz w:val="18"/>
              </w:rPr>
              <w:t xml:space="preserve">The Chief Ethics Officer </w:t>
            </w:r>
            <w:r w:rsidR="00256D65">
              <w:rPr>
                <w:noProof/>
                <w:sz w:val="18"/>
              </w:rPr>
              <w:t>will be</w:t>
            </w:r>
            <w:r w:rsidRPr="00B0148D">
              <w:rPr>
                <w:noProof/>
                <w:sz w:val="18"/>
              </w:rPr>
              <w:t xml:space="preserve"> appointed for a fixed term of four years, only renewable once, and is not eligible for any further employment at WIPO.</w:t>
            </w:r>
          </w:p>
        </w:tc>
      </w:tr>
      <w:tr w:rsidR="006A4C18" w:rsidTr="00567E4C">
        <w:tc>
          <w:tcPr>
            <w:tcW w:w="2660" w:type="dxa"/>
            <w:tcMar>
              <w:top w:w="85" w:type="dxa"/>
              <w:bottom w:w="85" w:type="dxa"/>
            </w:tcMar>
            <w:vAlign w:val="center"/>
          </w:tcPr>
          <w:p w:rsidR="006A4C18" w:rsidRPr="00B0148D" w:rsidRDefault="006A4C18" w:rsidP="004457EE">
            <w:pPr>
              <w:rPr>
                <w:sz w:val="18"/>
                <w:szCs w:val="18"/>
              </w:rPr>
            </w:pPr>
            <w:r w:rsidRPr="00B0148D">
              <w:rPr>
                <w:sz w:val="18"/>
                <w:szCs w:val="18"/>
              </w:rPr>
              <w:t xml:space="preserve">Rec. </w:t>
            </w:r>
            <w:proofErr w:type="gramStart"/>
            <w:r w:rsidRPr="00B0148D">
              <w:rPr>
                <w:sz w:val="18"/>
                <w:szCs w:val="18"/>
              </w:rPr>
              <w:t>8</w:t>
            </w:r>
            <w:r w:rsidR="004457EE">
              <w:rPr>
                <w:sz w:val="18"/>
                <w:szCs w:val="18"/>
              </w:rPr>
              <w:t xml:space="preserve"> </w:t>
            </w:r>
            <w:r w:rsidRPr="00B0148D">
              <w:rPr>
                <w:sz w:val="18"/>
                <w:szCs w:val="18"/>
              </w:rPr>
              <w:t xml:space="preserve"> The</w:t>
            </w:r>
            <w:proofErr w:type="gramEnd"/>
            <w:r w:rsidRPr="00B0148D">
              <w:rPr>
                <w:sz w:val="18"/>
                <w:szCs w:val="18"/>
              </w:rPr>
              <w:t xml:space="preserve"> legislative bodies should direct their respective executive heads to ensure that the head of the ethics office has informal access to the legislative bodies which is enshrined in writing.</w:t>
            </w:r>
          </w:p>
        </w:tc>
        <w:tc>
          <w:tcPr>
            <w:tcW w:w="1559" w:type="dxa"/>
            <w:tcMar>
              <w:top w:w="85" w:type="dxa"/>
              <w:bottom w:w="85" w:type="dxa"/>
            </w:tcMar>
          </w:tcPr>
          <w:p w:rsidR="006A4C18" w:rsidRPr="0029217C" w:rsidRDefault="006A4C18" w:rsidP="003417D2">
            <w:pPr>
              <w:rPr>
                <w:sz w:val="18"/>
                <w:szCs w:val="18"/>
              </w:rPr>
            </w:pPr>
            <w:r w:rsidRPr="0029217C">
              <w:rPr>
                <w:sz w:val="18"/>
                <w:szCs w:val="18"/>
              </w:rPr>
              <w:t>Chief Ethics Officer</w:t>
            </w:r>
          </w:p>
        </w:tc>
        <w:tc>
          <w:tcPr>
            <w:tcW w:w="1418" w:type="dxa"/>
            <w:tcMar>
              <w:top w:w="85" w:type="dxa"/>
              <w:bottom w:w="85" w:type="dxa"/>
            </w:tcMar>
          </w:tcPr>
          <w:p w:rsidR="006A4C18" w:rsidRPr="00B0148D" w:rsidRDefault="00D70001" w:rsidP="003417D2">
            <w:pPr>
              <w:rPr>
                <w:sz w:val="18"/>
                <w:szCs w:val="18"/>
              </w:rPr>
            </w:pPr>
            <w:r>
              <w:rPr>
                <w:noProof/>
                <w:lang w:eastAsia="en-US"/>
              </w:rPr>
              <mc:AlternateContent>
                <mc:Choice Requires="wps">
                  <w:drawing>
                    <wp:anchor distT="0" distB="0" distL="114300" distR="114300" simplePos="0" relativeHeight="251741184" behindDoc="0" locked="0" layoutInCell="1" allowOverlap="1" wp14:anchorId="0B199C28" wp14:editId="70885F34">
                      <wp:simplePos x="0" y="0"/>
                      <wp:positionH relativeFrom="column">
                        <wp:posOffset>49530</wp:posOffset>
                      </wp:positionH>
                      <wp:positionV relativeFrom="paragraph">
                        <wp:posOffset>360680</wp:posOffset>
                      </wp:positionV>
                      <wp:extent cx="1562100" cy="238125"/>
                      <wp:effectExtent l="0" t="0" r="19050" b="28575"/>
                      <wp:wrapNone/>
                      <wp:docPr id="9" name="Rounded Rectangle 9"/>
                      <wp:cNvGraphicFramePr/>
                      <a:graphic xmlns:a="http://schemas.openxmlformats.org/drawingml/2006/main">
                        <a:graphicData uri="http://schemas.microsoft.com/office/word/2010/wordprocessingShape">
                          <wps:wsp>
                            <wps:cNvSpPr/>
                            <wps:spPr>
                              <a:xfrm>
                                <a:off x="0" y="0"/>
                                <a:ext cx="1562100" cy="238125"/>
                              </a:xfrm>
                              <a:prstGeom prst="roundRect">
                                <a:avLst/>
                              </a:prstGeom>
                              <a:solidFill>
                                <a:sysClr val="window" lastClr="FFFFFF"/>
                              </a:solidFill>
                              <a:ln w="25400" cap="flat" cmpd="sng" algn="ctr">
                                <a:solidFill>
                                  <a:srgbClr val="1F497D">
                                    <a:lumMod val="40000"/>
                                    <a:lumOff val="60000"/>
                                  </a:srgbClr>
                                </a:solidFill>
                                <a:prstDash val="solid"/>
                              </a:ln>
                              <a:effectLst/>
                            </wps:spPr>
                            <wps:txbx>
                              <w:txbxContent>
                                <w:p w:rsidR="00D70001" w:rsidRDefault="00D70001" w:rsidP="00D70001">
                                  <w:pPr>
                                    <w:jc w:val="center"/>
                                  </w:pPr>
                                  <w:r w:rsidRPr="00337266">
                                    <w:rPr>
                                      <w:i/>
                                      <w:sz w:val="14"/>
                                      <w:szCs w:val="14"/>
                                    </w:rPr>
                                    <w:t>Previously “under consideration”</w:t>
                                  </w:r>
                                </w:p>
                                <w:p w:rsidR="00D70001" w:rsidRPr="00E37CB3" w:rsidRDefault="00D70001" w:rsidP="00D70001">
                                  <w:pPr>
                                    <w:jc w:val="center"/>
                                    <w:rPr>
                                      <w:lang w:val="fr-CH"/>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9" o:spid="_x0000_s1037" style="position:absolute;margin-left:3.9pt;margin-top:28.4pt;width:123pt;height:18.7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" fillcolor="window" strokecolor="#8eb4e3" strokeweight="2pt">
                      <v:textbox>
                        <w:txbxContent>
                          <w:p w:rsidR="00D70001" w:rsidRDefault="00D70001" w:rsidP="00D70001">
                            <w:pPr>
                              <w:jc w:val="center"/>
                            </w:pPr>
                            <w:r w:rsidRPr="00337266">
                              <w:rPr>
                                <w:i/>
                                <w:sz w:val="14"/>
                                <w:szCs w:val="14"/>
                              </w:rPr>
                              <w:t>Previously “under consideration”</w:t>
                            </w:r>
                          </w:p>
                          <w:p w:rsidR="00D70001" w:rsidRPr="00E37CB3" w:rsidRDefault="00D70001" w:rsidP="00D70001">
                            <w:pPr>
                              <w:jc w:val="center"/>
                              <w:rPr>
                                <w:lang w:val="fr-CH"/>
                              </w:rPr>
                            </w:pPr>
                          </w:p>
                        </w:txbxContent>
                      </v:textbox>
                    </v:roundrect>
                  </w:pict>
                </mc:Fallback>
              </mc:AlternateContent>
            </w:r>
            <w:r>
              <w:rPr>
                <w:sz w:val="18"/>
                <w:szCs w:val="18"/>
              </w:rPr>
              <w:t>Accepted</w:t>
            </w:r>
            <w:r w:rsidR="00256D65">
              <w:rPr>
                <w:sz w:val="18"/>
                <w:szCs w:val="18"/>
              </w:rPr>
              <w:t xml:space="preserve"> </w:t>
            </w:r>
          </w:p>
        </w:tc>
        <w:tc>
          <w:tcPr>
            <w:tcW w:w="1417" w:type="dxa"/>
            <w:tcMar>
              <w:top w:w="85" w:type="dxa"/>
              <w:bottom w:w="85" w:type="dxa"/>
            </w:tcMar>
          </w:tcPr>
          <w:p w:rsidR="006A4C18" w:rsidRPr="006A4C18" w:rsidRDefault="00D70001" w:rsidP="00256D65">
            <w:pPr>
              <w:spacing w:after="200"/>
              <w:rPr>
                <w:rFonts w:eastAsiaTheme="minorHAnsi"/>
                <w:sz w:val="18"/>
                <w:szCs w:val="18"/>
                <w:lang w:eastAsia="en-US"/>
              </w:rPr>
            </w:pPr>
            <w:r>
              <w:rPr>
                <w:rFonts w:eastAsiaTheme="minorHAnsi"/>
                <w:sz w:val="18"/>
                <w:szCs w:val="18"/>
                <w:lang w:eastAsia="en-US"/>
              </w:rPr>
              <w:t>Implemented</w:t>
            </w:r>
          </w:p>
        </w:tc>
        <w:tc>
          <w:tcPr>
            <w:tcW w:w="2517" w:type="dxa"/>
            <w:tcMar>
              <w:top w:w="85" w:type="dxa"/>
              <w:bottom w:w="85" w:type="dxa"/>
            </w:tcMar>
          </w:tcPr>
          <w:p w:rsidR="006A4C18" w:rsidRPr="00B0148D" w:rsidRDefault="006A4C18" w:rsidP="003417D2">
            <w:pPr>
              <w:rPr>
                <w:noProof/>
                <w:sz w:val="18"/>
              </w:rPr>
            </w:pPr>
            <w:r w:rsidRPr="00B0148D">
              <w:rPr>
                <w:sz w:val="18"/>
                <w:szCs w:val="18"/>
              </w:rPr>
              <w:t>The WIPO Chief Ethics Officer has informal access to the legislative bodies, unless these decide otherwise.</w:t>
            </w:r>
          </w:p>
        </w:tc>
      </w:tr>
    </w:tbl>
    <w:p w:rsidR="003B74BF" w:rsidRDefault="003B74BF" w:rsidP="003417D2">
      <w:pPr>
        <w:rPr>
          <w:b/>
        </w:rPr>
      </w:pPr>
    </w:p>
    <w:p w:rsidR="003B74BF" w:rsidRDefault="003B74BF" w:rsidP="003417D2">
      <w:pPr>
        <w:rPr>
          <w:b/>
        </w:rPr>
      </w:pPr>
    </w:p>
    <w:p w:rsidR="003B74BF" w:rsidRDefault="003B74BF" w:rsidP="003417D2">
      <w:pPr>
        <w:rPr>
          <w:b/>
        </w:rPr>
      </w:pPr>
    </w:p>
    <w:p w:rsidR="00810478" w:rsidRPr="0055469E" w:rsidRDefault="00BB37A1" w:rsidP="003417D2">
      <w:pPr>
        <w:pStyle w:val="Endofdocument-Annex"/>
      </w:pPr>
      <w:r>
        <w:t>[End of A</w:t>
      </w:r>
      <w:r w:rsidR="003B74BF">
        <w:t>nnex and of document]</w:t>
      </w:r>
    </w:p>
    <w:sectPr w:rsidR="00810478" w:rsidRPr="0055469E" w:rsidSect="003417D2">
      <w:headerReference w:type="default" r:id="rId18"/>
      <w:headerReference w:type="first" r:id="rId19"/>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5804" w:rsidRDefault="00775804">
      <w:r>
        <w:separator/>
      </w:r>
    </w:p>
  </w:endnote>
  <w:endnote w:type="continuationSeparator" w:id="0">
    <w:p w:rsidR="00775804" w:rsidRDefault="00775804" w:rsidP="003B38C1">
      <w:r>
        <w:separator/>
      </w:r>
    </w:p>
    <w:p w:rsidR="00775804" w:rsidRPr="003B38C1" w:rsidRDefault="00775804" w:rsidP="003B38C1">
      <w:pPr>
        <w:spacing w:after="60"/>
        <w:rPr>
          <w:sz w:val="17"/>
        </w:rPr>
      </w:pPr>
      <w:r>
        <w:rPr>
          <w:sz w:val="17"/>
        </w:rPr>
        <w:t>[Endnote continued from previous page]</w:t>
      </w:r>
    </w:p>
  </w:endnote>
  <w:endnote w:type="continuationNotice" w:id="1">
    <w:p w:rsidR="00775804" w:rsidRPr="003B38C1" w:rsidRDefault="00775804"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roman"/>
    <w:notTrueType/>
    <w:pitch w:val="default"/>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5804" w:rsidRDefault="00775804">
      <w:r>
        <w:separator/>
      </w:r>
    </w:p>
  </w:footnote>
  <w:footnote w:type="continuationSeparator" w:id="0">
    <w:p w:rsidR="00775804" w:rsidRDefault="00775804" w:rsidP="008B60B2">
      <w:r>
        <w:separator/>
      </w:r>
    </w:p>
    <w:p w:rsidR="00775804" w:rsidRPr="00ED77FB" w:rsidRDefault="00775804" w:rsidP="008B60B2">
      <w:pPr>
        <w:spacing w:after="60"/>
        <w:rPr>
          <w:sz w:val="17"/>
          <w:szCs w:val="17"/>
        </w:rPr>
      </w:pPr>
      <w:r w:rsidRPr="00ED77FB">
        <w:rPr>
          <w:sz w:val="17"/>
          <w:szCs w:val="17"/>
        </w:rPr>
        <w:t>[Footnote continued from previous page]</w:t>
      </w:r>
    </w:p>
  </w:footnote>
  <w:footnote w:type="continuationNotice" w:id="1">
    <w:p w:rsidR="00775804" w:rsidRPr="00ED77FB" w:rsidRDefault="00775804" w:rsidP="008B60B2">
      <w:pPr>
        <w:spacing w:before="60"/>
        <w:jc w:val="right"/>
        <w:rPr>
          <w:sz w:val="17"/>
          <w:szCs w:val="17"/>
        </w:rPr>
      </w:pPr>
      <w:r w:rsidRPr="00ED77FB">
        <w:rPr>
          <w:sz w:val="17"/>
          <w:szCs w:val="17"/>
        </w:rPr>
        <w:t>[Footnote continued on next page]</w:t>
      </w:r>
    </w:p>
  </w:footnote>
  <w:footnote w:id="2">
    <w:p w:rsidR="002B41F1" w:rsidRPr="00BA6717" w:rsidRDefault="002B41F1" w:rsidP="002B41F1">
      <w:pPr>
        <w:pStyle w:val="FootnoteText"/>
        <w:ind w:left="567" w:hanging="567"/>
      </w:pPr>
      <w:r>
        <w:rPr>
          <w:rStyle w:val="FootnoteReference"/>
        </w:rPr>
        <w:footnoteRef/>
      </w:r>
      <w:r>
        <w:t xml:space="preserve"> </w:t>
      </w:r>
      <w:r>
        <w:tab/>
      </w:r>
      <w:r w:rsidRPr="00D55415">
        <w:t>S</w:t>
      </w:r>
      <w:r w:rsidRPr="00D55415">
        <w:rPr>
          <w:rFonts w:eastAsia="Times New Roman"/>
          <w:iCs/>
        </w:rPr>
        <w:t xml:space="preserve">tatus of Legislative Body recommendations is reported before updates as recommended in </w:t>
      </w:r>
      <w:r w:rsidR="00D55415">
        <w:rPr>
          <w:rFonts w:eastAsia="Times New Roman"/>
          <w:iCs/>
        </w:rPr>
        <w:t>the current</w:t>
      </w:r>
      <w:r w:rsidRPr="00D55415">
        <w:rPr>
          <w:rFonts w:eastAsia="Times New Roman"/>
          <w:iCs/>
        </w:rPr>
        <w:t xml:space="preserve"> progress report</w:t>
      </w:r>
      <w:r w:rsidR="002E166B">
        <w:rPr>
          <w:rFonts w:eastAsia="Times New Roman"/>
          <w:iCs/>
        </w:rPr>
        <w:t xml:space="preserve">. </w:t>
      </w:r>
      <w:r w:rsidRPr="00D55415">
        <w:rPr>
          <w:rFonts w:eastAsia="Times New Roman"/>
          <w:iCs/>
        </w:rPr>
        <w:t xml:space="preserve"> </w:t>
      </w:r>
      <w:r w:rsidR="002E166B">
        <w:rPr>
          <w:rFonts w:eastAsia="Times New Roman"/>
          <w:iCs/>
        </w:rPr>
        <w:t>These</w:t>
      </w:r>
      <w:r w:rsidRPr="00D55415">
        <w:rPr>
          <w:rFonts w:eastAsia="Times New Roman"/>
          <w:iCs/>
        </w:rPr>
        <w:t xml:space="preserve"> will appear as </w:t>
      </w:r>
      <w:r w:rsidR="002E166B">
        <w:rPr>
          <w:rFonts w:eastAsia="Times New Roman"/>
          <w:iCs/>
        </w:rPr>
        <w:t xml:space="preserve">part of the </w:t>
      </w:r>
      <w:r w:rsidRPr="00D55415">
        <w:rPr>
          <w:rFonts w:eastAsia="Times New Roman"/>
          <w:iCs/>
        </w:rPr>
        <w:t>2015 implementation, following endorsement by Member States</w:t>
      </w:r>
      <w:r>
        <w:rPr>
          <w:i/>
          <w:iCs/>
        </w:rPr>
        <w:t>.</w:t>
      </w:r>
    </w:p>
    <w:p w:rsidR="002B41F1" w:rsidRDefault="002B41F1" w:rsidP="002B41F1">
      <w:pPr>
        <w:pStyle w:val="FootnoteText"/>
      </w:pPr>
    </w:p>
    <w:p w:rsidR="005004D1" w:rsidRDefault="005004D1" w:rsidP="002B41F1">
      <w:pPr>
        <w:pStyle w:val="FootnoteText"/>
      </w:pPr>
    </w:p>
    <w:p w:rsidR="005004D1" w:rsidRDefault="005004D1" w:rsidP="002B41F1">
      <w:pPr>
        <w:pStyle w:val="FootnoteText"/>
      </w:pPr>
    </w:p>
    <w:p w:rsidR="005004D1" w:rsidRDefault="005004D1" w:rsidP="002B41F1">
      <w:pPr>
        <w:pStyle w:val="FootnoteText"/>
      </w:pPr>
    </w:p>
    <w:p w:rsidR="005004D1" w:rsidRDefault="005004D1" w:rsidP="002B41F1">
      <w:pPr>
        <w:pStyle w:val="FootnoteText"/>
      </w:pPr>
    </w:p>
    <w:p w:rsidR="005004D1" w:rsidRDefault="005004D1" w:rsidP="002B41F1">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40D9" w:rsidRDefault="00F240D9" w:rsidP="00F240D9">
    <w:pPr>
      <w:jc w:val="right"/>
    </w:pPr>
    <w:bookmarkStart w:id="5" w:name="Code2"/>
    <w:bookmarkEnd w:id="5"/>
    <w:r>
      <w:t>WO/PBC/24/7</w:t>
    </w:r>
  </w:p>
  <w:p w:rsidR="00F240D9" w:rsidRDefault="00F240D9" w:rsidP="00F240D9">
    <w:pPr>
      <w:jc w:val="right"/>
    </w:pPr>
    <w:proofErr w:type="gramStart"/>
    <w:r>
      <w:t>page</w:t>
    </w:r>
    <w:proofErr w:type="gramEnd"/>
    <w:r>
      <w:t xml:space="preserve"> </w:t>
    </w:r>
    <w:r>
      <w:fldChar w:fldCharType="begin"/>
    </w:r>
    <w:r>
      <w:instrText xml:space="preserve"> PAGE  \* MERGEFORMAT </w:instrText>
    </w:r>
    <w:r>
      <w:fldChar w:fldCharType="separate"/>
    </w:r>
    <w:r w:rsidR="00D944CD">
      <w:rPr>
        <w:noProof/>
      </w:rPr>
      <w:t>4</w:t>
    </w:r>
    <w:r>
      <w:fldChar w:fldCharType="end"/>
    </w:r>
  </w:p>
  <w:p w:rsidR="00EC4E49" w:rsidRDefault="00EC4E49"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17D2" w:rsidRDefault="003417D2" w:rsidP="00F240D9">
    <w:pPr>
      <w:jc w:val="right"/>
    </w:pPr>
    <w:r>
      <w:t>WO/PBC/24/7</w:t>
    </w:r>
  </w:p>
  <w:p w:rsidR="003417D2" w:rsidRDefault="003417D2" w:rsidP="003417D2">
    <w:pPr>
      <w:jc w:val="right"/>
    </w:pPr>
    <w:r>
      <w:t xml:space="preserve">Annex, page </w:t>
    </w:r>
    <w:r>
      <w:fldChar w:fldCharType="begin"/>
    </w:r>
    <w:r>
      <w:instrText xml:space="preserve"> PAGE  \* MERGEFORMAT </w:instrText>
    </w:r>
    <w:r>
      <w:fldChar w:fldCharType="separate"/>
    </w:r>
    <w:r w:rsidR="00D944CD">
      <w:rPr>
        <w:noProof/>
      </w:rPr>
      <w:t>7</w:t>
    </w:r>
    <w:r>
      <w:fldChar w:fldCharType="end"/>
    </w:r>
  </w:p>
  <w:p w:rsidR="003417D2" w:rsidRDefault="003417D2" w:rsidP="00477D6B">
    <w:pPr>
      <w:jc w:val="right"/>
    </w:pPr>
  </w:p>
  <w:p w:rsidR="003417D2" w:rsidRDefault="003417D2"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17D2" w:rsidRDefault="003417D2" w:rsidP="00F240D9">
    <w:pPr>
      <w:pStyle w:val="Header"/>
      <w:ind w:left="3240" w:firstLine="4500"/>
      <w:jc w:val="right"/>
    </w:pPr>
    <w:r>
      <w:t>WO/PBC/24/7</w:t>
    </w:r>
  </w:p>
  <w:p w:rsidR="003417D2" w:rsidRDefault="003417D2" w:rsidP="00F240D9">
    <w:pPr>
      <w:pStyle w:val="Header"/>
      <w:ind w:left="3240" w:firstLine="4500"/>
      <w:jc w:val="right"/>
    </w:pPr>
    <w:r>
      <w:t>ANNEX</w:t>
    </w:r>
  </w:p>
  <w:p w:rsidR="003417D2" w:rsidRDefault="003417D2" w:rsidP="00F240D9">
    <w:pPr>
      <w:pStyle w:val="Header"/>
      <w:ind w:left="3240" w:firstLine="4500"/>
      <w:jc w:val="right"/>
    </w:pPr>
  </w:p>
  <w:p w:rsidR="003417D2" w:rsidRDefault="003417D2" w:rsidP="00F240D9">
    <w:pPr>
      <w:pStyle w:val="Header"/>
      <w:ind w:left="3240" w:firstLine="450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D6924C0"/>
    <w:multiLevelType w:val="hybridMultilevel"/>
    <w:tmpl w:val="CFA45B64"/>
    <w:lvl w:ilvl="0" w:tplc="804EB4A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2E7833"/>
    <w:multiLevelType w:val="hybridMultilevel"/>
    <w:tmpl w:val="74881CDE"/>
    <w:lvl w:ilvl="0" w:tplc="33D4D0B4">
      <w:start w:val="1"/>
      <w:numFmt w:val="decimal"/>
      <w:lvlText w:val="%1."/>
      <w:lvlJc w:val="left"/>
      <w:pPr>
        <w:ind w:left="3406" w:hanging="570"/>
      </w:pPr>
      <w:rPr>
        <w:rFonts w:hint="default"/>
      </w:rPr>
    </w:lvl>
    <w:lvl w:ilvl="1" w:tplc="853A9EE0">
      <w:start w:val="1"/>
      <w:numFmt w:val="lowerLetter"/>
      <w:lvlText w:val="(%2)"/>
      <w:lvlJc w:val="left"/>
      <w:pPr>
        <w:ind w:left="3916" w:hanging="360"/>
      </w:pPr>
      <w:rPr>
        <w:rFonts w:hint="default"/>
      </w:rPr>
    </w:lvl>
    <w:lvl w:ilvl="2" w:tplc="0409001B" w:tentative="1">
      <w:start w:val="1"/>
      <w:numFmt w:val="lowerRoman"/>
      <w:lvlText w:val="%3."/>
      <w:lvlJc w:val="right"/>
      <w:pPr>
        <w:ind w:left="4636" w:hanging="180"/>
      </w:pPr>
    </w:lvl>
    <w:lvl w:ilvl="3" w:tplc="0409000F" w:tentative="1">
      <w:start w:val="1"/>
      <w:numFmt w:val="decimal"/>
      <w:lvlText w:val="%4."/>
      <w:lvlJc w:val="left"/>
      <w:pPr>
        <w:ind w:left="5356" w:hanging="360"/>
      </w:pPr>
    </w:lvl>
    <w:lvl w:ilvl="4" w:tplc="04090019" w:tentative="1">
      <w:start w:val="1"/>
      <w:numFmt w:val="lowerLetter"/>
      <w:lvlText w:val="%5."/>
      <w:lvlJc w:val="left"/>
      <w:pPr>
        <w:ind w:left="6076" w:hanging="360"/>
      </w:pPr>
    </w:lvl>
    <w:lvl w:ilvl="5" w:tplc="0409001B" w:tentative="1">
      <w:start w:val="1"/>
      <w:numFmt w:val="lowerRoman"/>
      <w:lvlText w:val="%6."/>
      <w:lvlJc w:val="right"/>
      <w:pPr>
        <w:ind w:left="6796" w:hanging="180"/>
      </w:pPr>
    </w:lvl>
    <w:lvl w:ilvl="6" w:tplc="0409000F" w:tentative="1">
      <w:start w:val="1"/>
      <w:numFmt w:val="decimal"/>
      <w:lvlText w:val="%7."/>
      <w:lvlJc w:val="left"/>
      <w:pPr>
        <w:ind w:left="7516" w:hanging="360"/>
      </w:pPr>
    </w:lvl>
    <w:lvl w:ilvl="7" w:tplc="04090019" w:tentative="1">
      <w:start w:val="1"/>
      <w:numFmt w:val="lowerLetter"/>
      <w:lvlText w:val="%8."/>
      <w:lvlJc w:val="left"/>
      <w:pPr>
        <w:ind w:left="8236" w:hanging="360"/>
      </w:pPr>
    </w:lvl>
    <w:lvl w:ilvl="8" w:tplc="0409001B" w:tentative="1">
      <w:start w:val="1"/>
      <w:numFmt w:val="lowerRoman"/>
      <w:lvlText w:val="%9."/>
      <w:lvlJc w:val="right"/>
      <w:pPr>
        <w:ind w:left="8956" w:hanging="180"/>
      </w:pPr>
    </w:lvl>
  </w:abstractNum>
  <w:abstractNum w:abstractNumId="4">
    <w:nsid w:val="177D5000"/>
    <w:multiLevelType w:val="singleLevel"/>
    <w:tmpl w:val="0409000F"/>
    <w:lvl w:ilvl="0">
      <w:start w:val="1"/>
      <w:numFmt w:val="decimal"/>
      <w:lvlText w:val="%1."/>
      <w:lvlJc w:val="left"/>
      <w:pPr>
        <w:tabs>
          <w:tab w:val="num" w:pos="360"/>
        </w:tabs>
        <w:ind w:left="360" w:hanging="360"/>
      </w:pPr>
    </w:lvl>
  </w:abstractNum>
  <w:abstractNum w:abstractNumId="5">
    <w:nsid w:val="18C210E1"/>
    <w:multiLevelType w:val="hybridMultilevel"/>
    <w:tmpl w:val="450C3E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nsid w:val="35A23E52"/>
    <w:multiLevelType w:val="hybridMultilevel"/>
    <w:tmpl w:val="1B341C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A092B69"/>
    <w:multiLevelType w:val="hybridMultilevel"/>
    <w:tmpl w:val="D0D4F71C"/>
    <w:lvl w:ilvl="0" w:tplc="EDD0E67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3F973D07"/>
    <w:multiLevelType w:val="hybridMultilevel"/>
    <w:tmpl w:val="52BC4D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479145BC"/>
    <w:multiLevelType w:val="hybridMultilevel"/>
    <w:tmpl w:val="4BD49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B7F7C12"/>
    <w:multiLevelType w:val="hybridMultilevel"/>
    <w:tmpl w:val="0472EF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5EF6899"/>
    <w:multiLevelType w:val="hybridMultilevel"/>
    <w:tmpl w:val="CFA45B64"/>
    <w:lvl w:ilvl="0" w:tplc="804EB4A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A123736"/>
    <w:multiLevelType w:val="hybridMultilevel"/>
    <w:tmpl w:val="638C5E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BBF7D12"/>
    <w:multiLevelType w:val="hybridMultilevel"/>
    <w:tmpl w:val="1C5430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BD000B5"/>
    <w:multiLevelType w:val="hybridMultilevel"/>
    <w:tmpl w:val="1C5430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59016EB"/>
    <w:multiLevelType w:val="hybridMultilevel"/>
    <w:tmpl w:val="D0D4F71C"/>
    <w:lvl w:ilvl="0" w:tplc="EDD0E67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673E0CBE"/>
    <w:multiLevelType w:val="hybridMultilevel"/>
    <w:tmpl w:val="E47AA1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38502B0"/>
    <w:multiLevelType w:val="hybridMultilevel"/>
    <w:tmpl w:val="1C5430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0"/>
  </w:num>
  <w:num w:numId="3">
    <w:abstractNumId w:val="0"/>
  </w:num>
  <w:num w:numId="4">
    <w:abstractNumId w:val="13"/>
  </w:num>
  <w:num w:numId="5">
    <w:abstractNumId w:val="1"/>
  </w:num>
  <w:num w:numId="6">
    <w:abstractNumId w:val="6"/>
  </w:num>
  <w:num w:numId="7">
    <w:abstractNumId w:val="3"/>
  </w:num>
  <w:num w:numId="8">
    <w:abstractNumId w:val="11"/>
  </w:num>
  <w:num w:numId="9">
    <w:abstractNumId w:val="9"/>
  </w:num>
  <w:num w:numId="10">
    <w:abstractNumId w:val="19"/>
  </w:num>
  <w:num w:numId="11">
    <w:abstractNumId w:val="7"/>
  </w:num>
  <w:num w:numId="12">
    <w:abstractNumId w:val="5"/>
  </w:num>
  <w:num w:numId="13">
    <w:abstractNumId w:val="15"/>
  </w:num>
  <w:num w:numId="14">
    <w:abstractNumId w:val="16"/>
  </w:num>
  <w:num w:numId="15">
    <w:abstractNumId w:val="20"/>
  </w:num>
  <w:num w:numId="16">
    <w:abstractNumId w:val="2"/>
  </w:num>
  <w:num w:numId="17">
    <w:abstractNumId w:val="14"/>
  </w:num>
  <w:num w:numId="18">
    <w:abstractNumId w:val="17"/>
  </w:num>
  <w:num w:numId="19">
    <w:abstractNumId w:val="12"/>
  </w:num>
  <w:num w:numId="20">
    <w:abstractNumId w:val="8"/>
  </w:num>
  <w:num w:numId="21">
    <w:abstractNumId w:val="18"/>
  </w:num>
  <w:num w:numId="22">
    <w:abstractNumId w:val="1"/>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0649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5804"/>
    <w:rsid w:val="000253E0"/>
    <w:rsid w:val="00032520"/>
    <w:rsid w:val="0004305C"/>
    <w:rsid w:val="000438FA"/>
    <w:rsid w:val="00043BAB"/>
    <w:rsid w:val="00043CAA"/>
    <w:rsid w:val="000534FC"/>
    <w:rsid w:val="00054A11"/>
    <w:rsid w:val="00075432"/>
    <w:rsid w:val="000946C5"/>
    <w:rsid w:val="000968ED"/>
    <w:rsid w:val="000A4867"/>
    <w:rsid w:val="000B425E"/>
    <w:rsid w:val="000C341D"/>
    <w:rsid w:val="000D1116"/>
    <w:rsid w:val="000E1C35"/>
    <w:rsid w:val="000F5E56"/>
    <w:rsid w:val="00116B07"/>
    <w:rsid w:val="001179D7"/>
    <w:rsid w:val="0012020B"/>
    <w:rsid w:val="001228E5"/>
    <w:rsid w:val="00126D4B"/>
    <w:rsid w:val="001362EE"/>
    <w:rsid w:val="00140F38"/>
    <w:rsid w:val="00143D18"/>
    <w:rsid w:val="00152F11"/>
    <w:rsid w:val="001832A6"/>
    <w:rsid w:val="001A7224"/>
    <w:rsid w:val="001B7412"/>
    <w:rsid w:val="001C1D77"/>
    <w:rsid w:val="001E1158"/>
    <w:rsid w:val="00201B52"/>
    <w:rsid w:val="0023070B"/>
    <w:rsid w:val="00256D65"/>
    <w:rsid w:val="002634C4"/>
    <w:rsid w:val="0028314B"/>
    <w:rsid w:val="00283E6C"/>
    <w:rsid w:val="002928D3"/>
    <w:rsid w:val="002967DD"/>
    <w:rsid w:val="002A1A95"/>
    <w:rsid w:val="002B41F1"/>
    <w:rsid w:val="002C0439"/>
    <w:rsid w:val="002E166B"/>
    <w:rsid w:val="002E658D"/>
    <w:rsid w:val="002F1FE6"/>
    <w:rsid w:val="002F4E68"/>
    <w:rsid w:val="002F5089"/>
    <w:rsid w:val="003021A5"/>
    <w:rsid w:val="00304383"/>
    <w:rsid w:val="00305BED"/>
    <w:rsid w:val="00312F7F"/>
    <w:rsid w:val="00321A0F"/>
    <w:rsid w:val="00321A82"/>
    <w:rsid w:val="00337266"/>
    <w:rsid w:val="0034016A"/>
    <w:rsid w:val="003417D2"/>
    <w:rsid w:val="003469AA"/>
    <w:rsid w:val="00361450"/>
    <w:rsid w:val="003673CF"/>
    <w:rsid w:val="003705FD"/>
    <w:rsid w:val="003810C3"/>
    <w:rsid w:val="003845C1"/>
    <w:rsid w:val="00397CC8"/>
    <w:rsid w:val="003A357C"/>
    <w:rsid w:val="003A6F89"/>
    <w:rsid w:val="003B2C6B"/>
    <w:rsid w:val="003B3226"/>
    <w:rsid w:val="003B38C1"/>
    <w:rsid w:val="003B74BF"/>
    <w:rsid w:val="003C2D3C"/>
    <w:rsid w:val="003D1EE2"/>
    <w:rsid w:val="003D300C"/>
    <w:rsid w:val="00423E3E"/>
    <w:rsid w:val="00427AF4"/>
    <w:rsid w:val="004457EE"/>
    <w:rsid w:val="00446002"/>
    <w:rsid w:val="004629FE"/>
    <w:rsid w:val="004647DA"/>
    <w:rsid w:val="00471618"/>
    <w:rsid w:val="00474062"/>
    <w:rsid w:val="004758E3"/>
    <w:rsid w:val="00477D6B"/>
    <w:rsid w:val="004A115E"/>
    <w:rsid w:val="004A5AF2"/>
    <w:rsid w:val="004B4888"/>
    <w:rsid w:val="004B7160"/>
    <w:rsid w:val="004C707A"/>
    <w:rsid w:val="004E138B"/>
    <w:rsid w:val="004E7301"/>
    <w:rsid w:val="004E75F8"/>
    <w:rsid w:val="005004D1"/>
    <w:rsid w:val="005019FF"/>
    <w:rsid w:val="00510129"/>
    <w:rsid w:val="00511922"/>
    <w:rsid w:val="00514B6B"/>
    <w:rsid w:val="005179AE"/>
    <w:rsid w:val="00530273"/>
    <w:rsid w:val="0053057A"/>
    <w:rsid w:val="00533D03"/>
    <w:rsid w:val="005423E4"/>
    <w:rsid w:val="0055469E"/>
    <w:rsid w:val="00560A29"/>
    <w:rsid w:val="00563C44"/>
    <w:rsid w:val="005643B4"/>
    <w:rsid w:val="00567E4C"/>
    <w:rsid w:val="00571309"/>
    <w:rsid w:val="005725F2"/>
    <w:rsid w:val="005846D1"/>
    <w:rsid w:val="005C6649"/>
    <w:rsid w:val="005D0D6C"/>
    <w:rsid w:val="005E1B1A"/>
    <w:rsid w:val="005E7826"/>
    <w:rsid w:val="005F7D29"/>
    <w:rsid w:val="00602A1B"/>
    <w:rsid w:val="00605827"/>
    <w:rsid w:val="00646050"/>
    <w:rsid w:val="00660FA5"/>
    <w:rsid w:val="006713CA"/>
    <w:rsid w:val="00676C5C"/>
    <w:rsid w:val="006777F2"/>
    <w:rsid w:val="006803B7"/>
    <w:rsid w:val="00681299"/>
    <w:rsid w:val="00695D20"/>
    <w:rsid w:val="006A4C18"/>
    <w:rsid w:val="006A63A8"/>
    <w:rsid w:val="006D4656"/>
    <w:rsid w:val="006E79A5"/>
    <w:rsid w:val="00701DB1"/>
    <w:rsid w:val="00724762"/>
    <w:rsid w:val="007632A4"/>
    <w:rsid w:val="00775804"/>
    <w:rsid w:val="0077582B"/>
    <w:rsid w:val="007A3F04"/>
    <w:rsid w:val="007A6135"/>
    <w:rsid w:val="007D1613"/>
    <w:rsid w:val="00810478"/>
    <w:rsid w:val="00811404"/>
    <w:rsid w:val="008174E9"/>
    <w:rsid w:val="00835D16"/>
    <w:rsid w:val="00836EA1"/>
    <w:rsid w:val="00860304"/>
    <w:rsid w:val="00874852"/>
    <w:rsid w:val="00881055"/>
    <w:rsid w:val="008B2CC1"/>
    <w:rsid w:val="008B3129"/>
    <w:rsid w:val="008B60B2"/>
    <w:rsid w:val="008C03D4"/>
    <w:rsid w:val="008F10BC"/>
    <w:rsid w:val="00901A6C"/>
    <w:rsid w:val="009034FB"/>
    <w:rsid w:val="0090524A"/>
    <w:rsid w:val="0090731E"/>
    <w:rsid w:val="0091516E"/>
    <w:rsid w:val="00916EE2"/>
    <w:rsid w:val="0092398F"/>
    <w:rsid w:val="009247F4"/>
    <w:rsid w:val="0092730B"/>
    <w:rsid w:val="009473BC"/>
    <w:rsid w:val="0096660C"/>
    <w:rsid w:val="00966A22"/>
    <w:rsid w:val="0096722F"/>
    <w:rsid w:val="00980843"/>
    <w:rsid w:val="00981545"/>
    <w:rsid w:val="009973E9"/>
    <w:rsid w:val="009C6823"/>
    <w:rsid w:val="009E2791"/>
    <w:rsid w:val="009E34A5"/>
    <w:rsid w:val="009E3F6F"/>
    <w:rsid w:val="009F1FD5"/>
    <w:rsid w:val="009F499F"/>
    <w:rsid w:val="009F79CC"/>
    <w:rsid w:val="00A2333A"/>
    <w:rsid w:val="00A23B4C"/>
    <w:rsid w:val="00A31824"/>
    <w:rsid w:val="00A42DAF"/>
    <w:rsid w:val="00A45BD8"/>
    <w:rsid w:val="00A52468"/>
    <w:rsid w:val="00A53C98"/>
    <w:rsid w:val="00A62E18"/>
    <w:rsid w:val="00A77461"/>
    <w:rsid w:val="00A80336"/>
    <w:rsid w:val="00A869B7"/>
    <w:rsid w:val="00A9053E"/>
    <w:rsid w:val="00AC205C"/>
    <w:rsid w:val="00AD7562"/>
    <w:rsid w:val="00AF0A6B"/>
    <w:rsid w:val="00AF2D54"/>
    <w:rsid w:val="00AF637D"/>
    <w:rsid w:val="00B05A69"/>
    <w:rsid w:val="00B1404D"/>
    <w:rsid w:val="00B3191A"/>
    <w:rsid w:val="00B3599C"/>
    <w:rsid w:val="00B366DC"/>
    <w:rsid w:val="00B61A56"/>
    <w:rsid w:val="00B731C5"/>
    <w:rsid w:val="00B87FBE"/>
    <w:rsid w:val="00B92C30"/>
    <w:rsid w:val="00B9734B"/>
    <w:rsid w:val="00BA51E6"/>
    <w:rsid w:val="00BB17D9"/>
    <w:rsid w:val="00BB37A1"/>
    <w:rsid w:val="00BD4394"/>
    <w:rsid w:val="00BE0B4A"/>
    <w:rsid w:val="00C0167A"/>
    <w:rsid w:val="00C11BFE"/>
    <w:rsid w:val="00C617A4"/>
    <w:rsid w:val="00C83AF4"/>
    <w:rsid w:val="00CB16E6"/>
    <w:rsid w:val="00CE37E6"/>
    <w:rsid w:val="00CF386F"/>
    <w:rsid w:val="00D07DF7"/>
    <w:rsid w:val="00D17DB1"/>
    <w:rsid w:val="00D31BF5"/>
    <w:rsid w:val="00D35B77"/>
    <w:rsid w:val="00D45252"/>
    <w:rsid w:val="00D454F1"/>
    <w:rsid w:val="00D55415"/>
    <w:rsid w:val="00D70001"/>
    <w:rsid w:val="00D71B4D"/>
    <w:rsid w:val="00D93D55"/>
    <w:rsid w:val="00D944CD"/>
    <w:rsid w:val="00DA1CA4"/>
    <w:rsid w:val="00DB04D7"/>
    <w:rsid w:val="00DC5EED"/>
    <w:rsid w:val="00DE0429"/>
    <w:rsid w:val="00E335FE"/>
    <w:rsid w:val="00E34169"/>
    <w:rsid w:val="00E37CB3"/>
    <w:rsid w:val="00EC3BA2"/>
    <w:rsid w:val="00EC4E49"/>
    <w:rsid w:val="00ED0EFC"/>
    <w:rsid w:val="00ED221C"/>
    <w:rsid w:val="00ED77FB"/>
    <w:rsid w:val="00EE35AC"/>
    <w:rsid w:val="00EE3A72"/>
    <w:rsid w:val="00EE45FA"/>
    <w:rsid w:val="00F0366F"/>
    <w:rsid w:val="00F10E0B"/>
    <w:rsid w:val="00F240D9"/>
    <w:rsid w:val="00F5285C"/>
    <w:rsid w:val="00F553D6"/>
    <w:rsid w:val="00F561E6"/>
    <w:rsid w:val="00F62D1D"/>
    <w:rsid w:val="00F66152"/>
    <w:rsid w:val="00F93A17"/>
    <w:rsid w:val="00FB38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4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A77461"/>
    <w:rPr>
      <w:rFonts w:ascii="Tahoma" w:hAnsi="Tahoma" w:cs="Tahoma"/>
      <w:sz w:val="16"/>
      <w:szCs w:val="16"/>
    </w:rPr>
  </w:style>
  <w:style w:type="character" w:customStyle="1" w:styleId="BalloonTextChar">
    <w:name w:val="Balloon Text Char"/>
    <w:basedOn w:val="DefaultParagraphFont"/>
    <w:link w:val="BalloonText"/>
    <w:rsid w:val="00A77461"/>
    <w:rPr>
      <w:rFonts w:ascii="Tahoma" w:eastAsia="SimSun" w:hAnsi="Tahoma" w:cs="Tahoma"/>
      <w:sz w:val="16"/>
      <w:szCs w:val="16"/>
    </w:rPr>
  </w:style>
  <w:style w:type="paragraph" w:styleId="ListParagraph">
    <w:name w:val="List Paragraph"/>
    <w:basedOn w:val="Normal"/>
    <w:uiPriority w:val="34"/>
    <w:qFormat/>
    <w:rsid w:val="00775804"/>
    <w:pPr>
      <w:ind w:left="720"/>
      <w:contextualSpacing/>
    </w:pPr>
  </w:style>
  <w:style w:type="character" w:customStyle="1" w:styleId="HeaderChar">
    <w:name w:val="Header Char"/>
    <w:basedOn w:val="DefaultParagraphFont"/>
    <w:link w:val="Header"/>
    <w:uiPriority w:val="99"/>
    <w:rsid w:val="00F240D9"/>
    <w:rPr>
      <w:rFonts w:ascii="Arial" w:eastAsia="SimSun" w:hAnsi="Arial" w:cs="Arial"/>
      <w:sz w:val="22"/>
    </w:rPr>
  </w:style>
  <w:style w:type="table" w:styleId="TableGrid">
    <w:name w:val="Table Grid"/>
    <w:basedOn w:val="TableNormal"/>
    <w:uiPriority w:val="59"/>
    <w:rsid w:val="00B731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632A4"/>
    <w:pPr>
      <w:autoSpaceDE w:val="0"/>
      <w:autoSpaceDN w:val="0"/>
      <w:adjustRightInd w:val="0"/>
    </w:pPr>
    <w:rPr>
      <w:rFonts w:eastAsiaTheme="minorHAnsi"/>
      <w:color w:val="000000"/>
      <w:sz w:val="24"/>
      <w:szCs w:val="24"/>
      <w:lang w:eastAsia="en-US"/>
    </w:rPr>
  </w:style>
  <w:style w:type="character" w:customStyle="1" w:styleId="ONUMEChar">
    <w:name w:val="ONUM E Char"/>
    <w:link w:val="ONUME"/>
    <w:rsid w:val="00BE0B4A"/>
    <w:rPr>
      <w:rFonts w:ascii="Arial" w:eastAsia="SimSun" w:hAnsi="Arial" w:cs="Arial"/>
      <w:sz w:val="22"/>
    </w:rPr>
  </w:style>
  <w:style w:type="character" w:styleId="FootnoteReference">
    <w:name w:val="footnote reference"/>
    <w:basedOn w:val="DefaultParagraphFont"/>
    <w:rsid w:val="000C341D"/>
    <w:rPr>
      <w:vertAlign w:val="superscript"/>
    </w:rPr>
  </w:style>
  <w:style w:type="paragraph" w:styleId="MacroText">
    <w:name w:val="macro"/>
    <w:link w:val="MacroTextChar"/>
    <w:rsid w:val="003B2C6B"/>
    <w:pPr>
      <w:tabs>
        <w:tab w:val="left" w:pos="480"/>
        <w:tab w:val="left" w:pos="960"/>
        <w:tab w:val="left" w:pos="1440"/>
        <w:tab w:val="left" w:pos="1920"/>
        <w:tab w:val="left" w:pos="2400"/>
        <w:tab w:val="left" w:pos="2880"/>
        <w:tab w:val="left" w:pos="3360"/>
        <w:tab w:val="left" w:pos="3840"/>
        <w:tab w:val="left" w:pos="4320"/>
      </w:tabs>
    </w:pPr>
    <w:rPr>
      <w:rFonts w:ascii="Consolas" w:eastAsia="SimSun" w:hAnsi="Consolas" w:cs="Arial"/>
    </w:rPr>
  </w:style>
  <w:style w:type="character" w:customStyle="1" w:styleId="MacroTextChar">
    <w:name w:val="Macro Text Char"/>
    <w:basedOn w:val="DefaultParagraphFont"/>
    <w:link w:val="MacroText"/>
    <w:rsid w:val="003B2C6B"/>
    <w:rPr>
      <w:rFonts w:ascii="Consolas" w:eastAsia="SimSun" w:hAnsi="Consolas"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A77461"/>
    <w:rPr>
      <w:rFonts w:ascii="Tahoma" w:hAnsi="Tahoma" w:cs="Tahoma"/>
      <w:sz w:val="16"/>
      <w:szCs w:val="16"/>
    </w:rPr>
  </w:style>
  <w:style w:type="character" w:customStyle="1" w:styleId="BalloonTextChar">
    <w:name w:val="Balloon Text Char"/>
    <w:basedOn w:val="DefaultParagraphFont"/>
    <w:link w:val="BalloonText"/>
    <w:rsid w:val="00A77461"/>
    <w:rPr>
      <w:rFonts w:ascii="Tahoma" w:eastAsia="SimSun" w:hAnsi="Tahoma" w:cs="Tahoma"/>
      <w:sz w:val="16"/>
      <w:szCs w:val="16"/>
    </w:rPr>
  </w:style>
  <w:style w:type="paragraph" w:styleId="ListParagraph">
    <w:name w:val="List Paragraph"/>
    <w:basedOn w:val="Normal"/>
    <w:uiPriority w:val="34"/>
    <w:qFormat/>
    <w:rsid w:val="00775804"/>
    <w:pPr>
      <w:ind w:left="720"/>
      <w:contextualSpacing/>
    </w:pPr>
  </w:style>
  <w:style w:type="character" w:customStyle="1" w:styleId="HeaderChar">
    <w:name w:val="Header Char"/>
    <w:basedOn w:val="DefaultParagraphFont"/>
    <w:link w:val="Header"/>
    <w:uiPriority w:val="99"/>
    <w:rsid w:val="00F240D9"/>
    <w:rPr>
      <w:rFonts w:ascii="Arial" w:eastAsia="SimSun" w:hAnsi="Arial" w:cs="Arial"/>
      <w:sz w:val="22"/>
    </w:rPr>
  </w:style>
  <w:style w:type="table" w:styleId="TableGrid">
    <w:name w:val="Table Grid"/>
    <w:basedOn w:val="TableNormal"/>
    <w:uiPriority w:val="59"/>
    <w:rsid w:val="00B731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632A4"/>
    <w:pPr>
      <w:autoSpaceDE w:val="0"/>
      <w:autoSpaceDN w:val="0"/>
      <w:adjustRightInd w:val="0"/>
    </w:pPr>
    <w:rPr>
      <w:rFonts w:eastAsiaTheme="minorHAnsi"/>
      <w:color w:val="000000"/>
      <w:sz w:val="24"/>
      <w:szCs w:val="24"/>
      <w:lang w:eastAsia="en-US"/>
    </w:rPr>
  </w:style>
  <w:style w:type="character" w:customStyle="1" w:styleId="ONUMEChar">
    <w:name w:val="ONUM E Char"/>
    <w:link w:val="ONUME"/>
    <w:rsid w:val="00BE0B4A"/>
    <w:rPr>
      <w:rFonts w:ascii="Arial" w:eastAsia="SimSun" w:hAnsi="Arial" w:cs="Arial"/>
      <w:sz w:val="22"/>
    </w:rPr>
  </w:style>
  <w:style w:type="character" w:styleId="FootnoteReference">
    <w:name w:val="footnote reference"/>
    <w:basedOn w:val="DefaultParagraphFont"/>
    <w:rsid w:val="000C341D"/>
    <w:rPr>
      <w:vertAlign w:val="superscript"/>
    </w:rPr>
  </w:style>
  <w:style w:type="paragraph" w:styleId="MacroText">
    <w:name w:val="macro"/>
    <w:link w:val="MacroTextChar"/>
    <w:rsid w:val="003B2C6B"/>
    <w:pPr>
      <w:tabs>
        <w:tab w:val="left" w:pos="480"/>
        <w:tab w:val="left" w:pos="960"/>
        <w:tab w:val="left" w:pos="1440"/>
        <w:tab w:val="left" w:pos="1920"/>
        <w:tab w:val="left" w:pos="2400"/>
        <w:tab w:val="left" w:pos="2880"/>
        <w:tab w:val="left" w:pos="3360"/>
        <w:tab w:val="left" w:pos="3840"/>
        <w:tab w:val="left" w:pos="4320"/>
      </w:tabs>
    </w:pPr>
    <w:rPr>
      <w:rFonts w:ascii="Consolas" w:eastAsia="SimSun" w:hAnsi="Consolas" w:cs="Arial"/>
    </w:rPr>
  </w:style>
  <w:style w:type="character" w:customStyle="1" w:styleId="MacroTextChar">
    <w:name w:val="Macro Text Char"/>
    <w:basedOn w:val="DefaultParagraphFont"/>
    <w:link w:val="MacroText"/>
    <w:rsid w:val="003B2C6B"/>
    <w:rPr>
      <w:rFonts w:ascii="Consolas" w:eastAsia="SimSun" w:hAnsi="Consola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452509">
      <w:bodyDiv w:val="1"/>
      <w:marLeft w:val="0"/>
      <w:marRight w:val="0"/>
      <w:marTop w:val="0"/>
      <w:marBottom w:val="0"/>
      <w:divBdr>
        <w:top w:val="none" w:sz="0" w:space="0" w:color="auto"/>
        <w:left w:val="none" w:sz="0" w:space="0" w:color="auto"/>
        <w:bottom w:val="none" w:sz="0" w:space="0" w:color="auto"/>
        <w:right w:val="none" w:sz="0" w:space="0" w:color="auto"/>
      </w:divBdr>
    </w:div>
    <w:div w:id="728193298">
      <w:bodyDiv w:val="1"/>
      <w:marLeft w:val="0"/>
      <w:marRight w:val="0"/>
      <w:marTop w:val="0"/>
      <w:marBottom w:val="0"/>
      <w:divBdr>
        <w:top w:val="none" w:sz="0" w:space="0" w:color="auto"/>
        <w:left w:val="none" w:sz="0" w:space="0" w:color="auto"/>
        <w:bottom w:val="none" w:sz="0" w:space="0" w:color="auto"/>
        <w:right w:val="none" w:sz="0" w:space="0" w:color="auto"/>
      </w:divBdr>
    </w:div>
    <w:div w:id="771977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4.xm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chart" Target="charts/chart3.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chart" Target="charts/chart1.xm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chart" Target="charts/chart5.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BUDGET\PBC%2024(E).dotm"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oleObject" Target="file:///\\Wipogvafs01\DAT1\ORGOIOP\2007\OC\JIU\Analysis%202010-2014\Copy%20of%202010-2014%20Analysi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Wipogvafs01\DAT1\ORGOIOP\2007\OC\JIU\Analysis%202010-2014\Copy%20of%202010-2014%20Analysi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Wipogvafs01\DAT1\ORGOIOP\2007\OC\JIU\Analysis%202010-2014\Copy%20of%202010-2014%20Analysis.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Wipogvafs01\DAT1\ORGOIOP\2007\OC\JIU\Analysis%202010-2014\Copy%20of%202010-2014%20Analysi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manualLayout>
          <c:layoutTarget val="inner"/>
          <c:xMode val="edge"/>
          <c:yMode val="edge"/>
          <c:x val="5.3889063867016626E-2"/>
          <c:y val="7.6738597520557783E-2"/>
          <c:w val="0.92166649168853898"/>
          <c:h val="0.78923925463256417"/>
        </c:manualLayout>
      </c:layout>
      <c:bar3DChart>
        <c:barDir val="col"/>
        <c:grouping val="clustered"/>
        <c:varyColors val="0"/>
        <c:ser>
          <c:idx val="0"/>
          <c:order val="0"/>
          <c:tx>
            <c:strRef>
              <c:f>charts!$A$10</c:f>
              <c:strCache>
                <c:ptCount val="1"/>
                <c:pt idx="0">
                  <c:v>All JIU reports, notes, management letters</c:v>
                </c:pt>
              </c:strCache>
            </c:strRef>
          </c:tx>
          <c:spPr>
            <a:solidFill>
              <a:schemeClr val="accent4">
                <a:lumMod val="60000"/>
                <a:lumOff val="40000"/>
              </a:schemeClr>
            </a:solidFill>
          </c:spPr>
          <c:invertIfNegative val="0"/>
          <c:dLbls>
            <c:txPr>
              <a:bodyPr/>
              <a:lstStyle/>
              <a:p>
                <a:pPr>
                  <a:defRPr sz="800" b="1" i="1"/>
                </a:pPr>
                <a:endParaRPr lang="en-US"/>
              </a:p>
            </c:txPr>
            <c:showLegendKey val="0"/>
            <c:showVal val="1"/>
            <c:showCatName val="0"/>
            <c:showSerName val="0"/>
            <c:showPercent val="0"/>
            <c:showBubbleSize val="0"/>
            <c:showLeaderLines val="0"/>
          </c:dLbls>
          <c:cat>
            <c:numRef>
              <c:f>charts!$B$9:$F$9</c:f>
              <c:numCache>
                <c:formatCode>General</c:formatCode>
                <c:ptCount val="5"/>
                <c:pt idx="0">
                  <c:v>2010</c:v>
                </c:pt>
                <c:pt idx="1">
                  <c:v>2011</c:v>
                </c:pt>
                <c:pt idx="2">
                  <c:v>2012</c:v>
                </c:pt>
                <c:pt idx="3">
                  <c:v>2013</c:v>
                </c:pt>
                <c:pt idx="4">
                  <c:v>2014</c:v>
                </c:pt>
              </c:numCache>
            </c:numRef>
          </c:cat>
          <c:val>
            <c:numRef>
              <c:f>charts!$B$10:$F$10</c:f>
              <c:numCache>
                <c:formatCode>General</c:formatCode>
                <c:ptCount val="5"/>
                <c:pt idx="0">
                  <c:v>11</c:v>
                </c:pt>
                <c:pt idx="1">
                  <c:v>12</c:v>
                </c:pt>
                <c:pt idx="2">
                  <c:v>17</c:v>
                </c:pt>
                <c:pt idx="3">
                  <c:v>7</c:v>
                </c:pt>
                <c:pt idx="4">
                  <c:v>10</c:v>
                </c:pt>
              </c:numCache>
            </c:numRef>
          </c:val>
        </c:ser>
        <c:ser>
          <c:idx val="1"/>
          <c:order val="1"/>
          <c:tx>
            <c:strRef>
              <c:f>charts!$A$11</c:f>
              <c:strCache>
                <c:ptCount val="1"/>
                <c:pt idx="0">
                  <c:v>Reports applicable to WIPO</c:v>
                </c:pt>
              </c:strCache>
            </c:strRef>
          </c:tx>
          <c:spPr>
            <a:solidFill>
              <a:schemeClr val="accent6">
                <a:lumMod val="40000"/>
                <a:lumOff val="60000"/>
              </a:schemeClr>
            </a:solidFill>
          </c:spPr>
          <c:invertIfNegative val="0"/>
          <c:dLbls>
            <c:txPr>
              <a:bodyPr/>
              <a:lstStyle/>
              <a:p>
                <a:pPr>
                  <a:defRPr sz="800" b="1" i="1"/>
                </a:pPr>
                <a:endParaRPr lang="en-US"/>
              </a:p>
            </c:txPr>
            <c:showLegendKey val="0"/>
            <c:showVal val="1"/>
            <c:showCatName val="0"/>
            <c:showSerName val="0"/>
            <c:showPercent val="0"/>
            <c:showBubbleSize val="0"/>
            <c:showLeaderLines val="0"/>
          </c:dLbls>
          <c:cat>
            <c:numRef>
              <c:f>charts!$B$9:$F$9</c:f>
              <c:numCache>
                <c:formatCode>General</c:formatCode>
                <c:ptCount val="5"/>
                <c:pt idx="0">
                  <c:v>2010</c:v>
                </c:pt>
                <c:pt idx="1">
                  <c:v>2011</c:v>
                </c:pt>
                <c:pt idx="2">
                  <c:v>2012</c:v>
                </c:pt>
                <c:pt idx="3">
                  <c:v>2013</c:v>
                </c:pt>
                <c:pt idx="4">
                  <c:v>2014</c:v>
                </c:pt>
              </c:numCache>
            </c:numRef>
          </c:cat>
          <c:val>
            <c:numRef>
              <c:f>charts!$B$11:$F$11</c:f>
              <c:numCache>
                <c:formatCode>General</c:formatCode>
                <c:ptCount val="5"/>
                <c:pt idx="0">
                  <c:v>8</c:v>
                </c:pt>
                <c:pt idx="1">
                  <c:v>7</c:v>
                </c:pt>
                <c:pt idx="2">
                  <c:v>7</c:v>
                </c:pt>
                <c:pt idx="3">
                  <c:v>1</c:v>
                </c:pt>
                <c:pt idx="4">
                  <c:v>7</c:v>
                </c:pt>
              </c:numCache>
            </c:numRef>
          </c:val>
        </c:ser>
        <c:dLbls>
          <c:showLegendKey val="0"/>
          <c:showVal val="0"/>
          <c:showCatName val="0"/>
          <c:showSerName val="0"/>
          <c:showPercent val="0"/>
          <c:showBubbleSize val="0"/>
        </c:dLbls>
        <c:gapWidth val="150"/>
        <c:shape val="box"/>
        <c:axId val="66858368"/>
        <c:axId val="108310528"/>
        <c:axId val="0"/>
      </c:bar3DChart>
      <c:catAx>
        <c:axId val="66858368"/>
        <c:scaling>
          <c:orientation val="minMax"/>
        </c:scaling>
        <c:delete val="0"/>
        <c:axPos val="b"/>
        <c:numFmt formatCode="General" sourceLinked="1"/>
        <c:majorTickMark val="out"/>
        <c:minorTickMark val="none"/>
        <c:tickLblPos val="nextTo"/>
        <c:crossAx val="108310528"/>
        <c:crosses val="autoZero"/>
        <c:auto val="1"/>
        <c:lblAlgn val="ctr"/>
        <c:lblOffset val="100"/>
        <c:noMultiLvlLbl val="0"/>
      </c:catAx>
      <c:valAx>
        <c:axId val="108310528"/>
        <c:scaling>
          <c:orientation val="minMax"/>
        </c:scaling>
        <c:delete val="0"/>
        <c:axPos val="l"/>
        <c:majorGridlines>
          <c:spPr>
            <a:ln>
              <a:noFill/>
            </a:ln>
          </c:spPr>
        </c:majorGridlines>
        <c:numFmt formatCode="General" sourceLinked="1"/>
        <c:majorTickMark val="out"/>
        <c:minorTickMark val="none"/>
        <c:tickLblPos val="nextTo"/>
        <c:crossAx val="66858368"/>
        <c:crosses val="autoZero"/>
        <c:crossBetween val="between"/>
      </c:valAx>
    </c:plotArea>
    <c:legend>
      <c:legendPos val="b"/>
      <c:layout>
        <c:manualLayout>
          <c:xMode val="edge"/>
          <c:yMode val="edge"/>
          <c:x val="0.05"/>
          <c:y val="0.93241182308041881"/>
          <c:w val="0.9"/>
          <c:h val="6.7556726057706948E-2"/>
        </c:manualLayout>
      </c:layout>
      <c:overlay val="0"/>
      <c:txPr>
        <a:bodyPr/>
        <a:lstStyle/>
        <a:p>
          <a:pPr>
            <a:defRPr sz="800"/>
          </a:pPr>
          <a:endParaRPr lang="en-US"/>
        </a:p>
      </c:txPr>
    </c:legend>
    <c:plotVisOnly val="1"/>
    <c:dispBlanksAs val="gap"/>
    <c:showDLblsOverMax val="0"/>
  </c:chart>
  <c:txPr>
    <a:bodyPr/>
    <a:lstStyle/>
    <a:p>
      <a:pPr>
        <a:defRPr sz="900" baseline="0">
          <a:latin typeface="Arial" panose="020B0604020202020204" pitchFamily="34"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manualLayout>
          <c:layoutTarget val="inner"/>
          <c:xMode val="edge"/>
          <c:yMode val="edge"/>
          <c:x val="0.11500317242953327"/>
          <c:y val="0.12681159420289856"/>
          <c:w val="0.85948958119365515"/>
          <c:h val="0.71402345087298869"/>
        </c:manualLayout>
      </c:layout>
      <c:bar3DChart>
        <c:barDir val="col"/>
        <c:grouping val="clustered"/>
        <c:varyColors val="0"/>
        <c:ser>
          <c:idx val="0"/>
          <c:order val="0"/>
          <c:tx>
            <c:strRef>
              <c:f>'annual progress'!$B$37</c:f>
              <c:strCache>
                <c:ptCount val="1"/>
                <c:pt idx="0">
                  <c:v>new</c:v>
                </c:pt>
              </c:strCache>
            </c:strRef>
          </c:tx>
          <c:spPr>
            <a:solidFill>
              <a:schemeClr val="accent6">
                <a:lumMod val="40000"/>
                <a:lumOff val="60000"/>
              </a:schemeClr>
            </a:solidFill>
          </c:spPr>
          <c:invertIfNegative val="0"/>
          <c:dLbls>
            <c:txPr>
              <a:bodyPr/>
              <a:lstStyle/>
              <a:p>
                <a:pPr>
                  <a:defRPr sz="800" b="1" i="1" baseline="0"/>
                </a:pPr>
                <a:endParaRPr lang="en-US"/>
              </a:p>
            </c:txPr>
            <c:showLegendKey val="0"/>
            <c:showVal val="1"/>
            <c:showCatName val="0"/>
            <c:showSerName val="0"/>
            <c:showPercent val="0"/>
            <c:showBubbleSize val="0"/>
            <c:showLeaderLines val="0"/>
          </c:dLbls>
          <c:cat>
            <c:numRef>
              <c:f>'annual progress'!$C$36:$G$36</c:f>
              <c:numCache>
                <c:formatCode>General</c:formatCode>
                <c:ptCount val="5"/>
                <c:pt idx="0">
                  <c:v>2010</c:v>
                </c:pt>
                <c:pt idx="1">
                  <c:v>2011</c:v>
                </c:pt>
                <c:pt idx="2">
                  <c:v>2012</c:v>
                </c:pt>
                <c:pt idx="3">
                  <c:v>2013</c:v>
                </c:pt>
                <c:pt idx="4">
                  <c:v>2014</c:v>
                </c:pt>
              </c:numCache>
            </c:numRef>
          </c:cat>
          <c:val>
            <c:numRef>
              <c:f>'annual progress'!$C$37:$G$37</c:f>
              <c:numCache>
                <c:formatCode>#,##0_);\(#,##0\);" "</c:formatCode>
                <c:ptCount val="5"/>
                <c:pt idx="0">
                  <c:v>65</c:v>
                </c:pt>
                <c:pt idx="1">
                  <c:v>46</c:v>
                </c:pt>
                <c:pt idx="2">
                  <c:v>41</c:v>
                </c:pt>
                <c:pt idx="3">
                  <c:v>5</c:v>
                </c:pt>
                <c:pt idx="4">
                  <c:v>43</c:v>
                </c:pt>
              </c:numCache>
            </c:numRef>
          </c:val>
        </c:ser>
        <c:ser>
          <c:idx val="1"/>
          <c:order val="1"/>
          <c:tx>
            <c:strRef>
              <c:f>'annual progress'!$B$38</c:f>
              <c:strCache>
                <c:ptCount val="1"/>
                <c:pt idx="0">
                  <c:v>closed</c:v>
                </c:pt>
              </c:strCache>
            </c:strRef>
          </c:tx>
          <c:spPr>
            <a:solidFill>
              <a:srgbClr val="92D050"/>
            </a:solidFill>
          </c:spPr>
          <c:invertIfNegative val="0"/>
          <c:dLbls>
            <c:dLbl>
              <c:idx val="2"/>
              <c:layout>
                <c:manualLayout>
                  <c:x val="6.956521739130435E-3"/>
                  <c:y val="-1.0869565217391304E-2"/>
                </c:manualLayout>
              </c:layout>
              <c:showLegendKey val="0"/>
              <c:showVal val="1"/>
              <c:showCatName val="0"/>
              <c:showSerName val="0"/>
              <c:showPercent val="0"/>
              <c:showBubbleSize val="0"/>
            </c:dLbl>
            <c:txPr>
              <a:bodyPr/>
              <a:lstStyle/>
              <a:p>
                <a:pPr>
                  <a:defRPr sz="800" b="1" i="1" baseline="0"/>
                </a:pPr>
                <a:endParaRPr lang="en-US"/>
              </a:p>
            </c:txPr>
            <c:showLegendKey val="0"/>
            <c:showVal val="1"/>
            <c:showCatName val="0"/>
            <c:showSerName val="0"/>
            <c:showPercent val="0"/>
            <c:showBubbleSize val="0"/>
            <c:showLeaderLines val="0"/>
          </c:dLbls>
          <c:cat>
            <c:numRef>
              <c:f>'annual progress'!$C$36:$G$36</c:f>
              <c:numCache>
                <c:formatCode>General</c:formatCode>
                <c:ptCount val="5"/>
                <c:pt idx="0">
                  <c:v>2010</c:v>
                </c:pt>
                <c:pt idx="1">
                  <c:v>2011</c:v>
                </c:pt>
                <c:pt idx="2">
                  <c:v>2012</c:v>
                </c:pt>
                <c:pt idx="3">
                  <c:v>2013</c:v>
                </c:pt>
                <c:pt idx="4">
                  <c:v>2014</c:v>
                </c:pt>
              </c:numCache>
            </c:numRef>
          </c:cat>
          <c:val>
            <c:numRef>
              <c:f>'annual progress'!$C$38:$G$38</c:f>
              <c:numCache>
                <c:formatCode>#,##0_);\(#,##0\);" "</c:formatCode>
                <c:ptCount val="5"/>
                <c:pt idx="0">
                  <c:v>0</c:v>
                </c:pt>
                <c:pt idx="1">
                  <c:v>0</c:v>
                </c:pt>
                <c:pt idx="2">
                  <c:v>37</c:v>
                </c:pt>
                <c:pt idx="3">
                  <c:v>20</c:v>
                </c:pt>
                <c:pt idx="4">
                  <c:v>66</c:v>
                </c:pt>
              </c:numCache>
            </c:numRef>
          </c:val>
        </c:ser>
        <c:ser>
          <c:idx val="2"/>
          <c:order val="2"/>
          <c:tx>
            <c:strRef>
              <c:f>'annual progress'!$B$39</c:f>
              <c:strCache>
                <c:ptCount val="1"/>
                <c:pt idx="0">
                  <c:v>total outstanding</c:v>
                </c:pt>
              </c:strCache>
            </c:strRef>
          </c:tx>
          <c:spPr>
            <a:solidFill>
              <a:srgbClr val="C00000"/>
            </a:solidFill>
          </c:spPr>
          <c:invertIfNegative val="0"/>
          <c:dLbls>
            <c:txPr>
              <a:bodyPr/>
              <a:lstStyle/>
              <a:p>
                <a:pPr>
                  <a:defRPr sz="800" b="1" i="1" baseline="0"/>
                </a:pPr>
                <a:endParaRPr lang="en-US"/>
              </a:p>
            </c:txPr>
            <c:showLegendKey val="0"/>
            <c:showVal val="1"/>
            <c:showCatName val="0"/>
            <c:showSerName val="0"/>
            <c:showPercent val="0"/>
            <c:showBubbleSize val="0"/>
            <c:showLeaderLines val="0"/>
          </c:dLbls>
          <c:cat>
            <c:numRef>
              <c:f>'annual progress'!$C$36:$G$36</c:f>
              <c:numCache>
                <c:formatCode>General</c:formatCode>
                <c:ptCount val="5"/>
                <c:pt idx="0">
                  <c:v>2010</c:v>
                </c:pt>
                <c:pt idx="1">
                  <c:v>2011</c:v>
                </c:pt>
                <c:pt idx="2">
                  <c:v>2012</c:v>
                </c:pt>
                <c:pt idx="3">
                  <c:v>2013</c:v>
                </c:pt>
                <c:pt idx="4">
                  <c:v>2014</c:v>
                </c:pt>
              </c:numCache>
            </c:numRef>
          </c:cat>
          <c:val>
            <c:numRef>
              <c:f>'annual progress'!$C$39:$G$39</c:f>
              <c:numCache>
                <c:formatCode>#,##0_);\(#,##0\);" "</c:formatCode>
                <c:ptCount val="5"/>
                <c:pt idx="0">
                  <c:v>65</c:v>
                </c:pt>
                <c:pt idx="1">
                  <c:v>111</c:v>
                </c:pt>
                <c:pt idx="2">
                  <c:v>115</c:v>
                </c:pt>
                <c:pt idx="3">
                  <c:v>100</c:v>
                </c:pt>
                <c:pt idx="4">
                  <c:v>77</c:v>
                </c:pt>
              </c:numCache>
            </c:numRef>
          </c:val>
        </c:ser>
        <c:dLbls>
          <c:showLegendKey val="0"/>
          <c:showVal val="0"/>
          <c:showCatName val="0"/>
          <c:showSerName val="0"/>
          <c:showPercent val="0"/>
          <c:showBubbleSize val="0"/>
        </c:dLbls>
        <c:gapWidth val="150"/>
        <c:shape val="box"/>
        <c:axId val="116642560"/>
        <c:axId val="116644480"/>
        <c:axId val="0"/>
      </c:bar3DChart>
      <c:catAx>
        <c:axId val="116642560"/>
        <c:scaling>
          <c:orientation val="minMax"/>
        </c:scaling>
        <c:delete val="0"/>
        <c:axPos val="b"/>
        <c:numFmt formatCode="General" sourceLinked="1"/>
        <c:majorTickMark val="out"/>
        <c:minorTickMark val="none"/>
        <c:tickLblPos val="nextTo"/>
        <c:crossAx val="116644480"/>
        <c:crosses val="autoZero"/>
        <c:auto val="1"/>
        <c:lblAlgn val="ctr"/>
        <c:lblOffset val="100"/>
        <c:noMultiLvlLbl val="0"/>
      </c:catAx>
      <c:valAx>
        <c:axId val="116644480"/>
        <c:scaling>
          <c:orientation val="minMax"/>
        </c:scaling>
        <c:delete val="0"/>
        <c:axPos val="l"/>
        <c:majorGridlines>
          <c:spPr>
            <a:ln>
              <a:noFill/>
            </a:ln>
          </c:spPr>
        </c:majorGridlines>
        <c:title>
          <c:tx>
            <c:rich>
              <a:bodyPr rot="-5400000" vert="horz"/>
              <a:lstStyle/>
              <a:p>
                <a:pPr>
                  <a:defRPr/>
                </a:pPr>
                <a:r>
                  <a:rPr lang="en-US"/>
                  <a:t>Nbr of recommendations</a:t>
                </a:r>
              </a:p>
            </c:rich>
          </c:tx>
          <c:layout/>
          <c:overlay val="0"/>
        </c:title>
        <c:numFmt formatCode="#,##0_);\(#,##0\);&quot; &quot;" sourceLinked="1"/>
        <c:majorTickMark val="out"/>
        <c:minorTickMark val="none"/>
        <c:tickLblPos val="nextTo"/>
        <c:crossAx val="116642560"/>
        <c:crosses val="autoZero"/>
        <c:crossBetween val="between"/>
      </c:valAx>
    </c:plotArea>
    <c:legend>
      <c:legendPos val="b"/>
      <c:layout>
        <c:manualLayout>
          <c:xMode val="edge"/>
          <c:yMode val="edge"/>
          <c:x val="0.22957198952366134"/>
          <c:y val="0.88302093763192502"/>
          <c:w val="0.5408557594364849"/>
          <c:h val="0.11697906236807495"/>
        </c:manualLayout>
      </c:layout>
      <c:overlay val="0"/>
    </c:legend>
    <c:plotVisOnly val="1"/>
    <c:dispBlanksAs val="gap"/>
    <c:showDLblsOverMax val="0"/>
  </c:chart>
  <c:txPr>
    <a:bodyPr/>
    <a:lstStyle/>
    <a:p>
      <a:pPr>
        <a:defRPr sz="900" baseline="0">
          <a:latin typeface="Arial" panose="020B0604020202020204" pitchFamily="34"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perspective val="30"/>
    </c:view3D>
    <c:floor>
      <c:thickness val="0"/>
    </c:floor>
    <c:sideWall>
      <c:thickness val="0"/>
    </c:sideWall>
    <c:backWall>
      <c:thickness val="0"/>
    </c:backWall>
    <c:plotArea>
      <c:layout>
        <c:manualLayout>
          <c:layoutTarget val="inner"/>
          <c:xMode val="edge"/>
          <c:yMode val="edge"/>
          <c:x val="0.2027099891202124"/>
          <c:y val="0.26743408120010104"/>
          <c:w val="0.75378799065598956"/>
          <c:h val="0.72704810310844237"/>
        </c:manualLayout>
      </c:layout>
      <c:pie3DChart>
        <c:varyColors val="1"/>
        <c:ser>
          <c:idx val="0"/>
          <c:order val="0"/>
          <c:explosion val="25"/>
          <c:dLbls>
            <c:dLbl>
              <c:idx val="0"/>
              <c:layout>
                <c:manualLayout>
                  <c:x val="2.7444248917176714E-2"/>
                  <c:y val="-2.4658730383272671E-2"/>
                </c:manualLayout>
              </c:layout>
              <c:dLblPos val="bestFit"/>
              <c:showLegendKey val="0"/>
              <c:showVal val="0"/>
              <c:showCatName val="1"/>
              <c:showSerName val="0"/>
              <c:showPercent val="1"/>
              <c:showBubbleSize val="0"/>
            </c:dLbl>
            <c:dLbl>
              <c:idx val="1"/>
              <c:layout>
                <c:manualLayout>
                  <c:x val="2.2870207430980595E-2"/>
                  <c:y val="2.8181406152311624E-2"/>
                </c:manualLayout>
              </c:layout>
              <c:dLblPos val="bestFit"/>
              <c:showLegendKey val="0"/>
              <c:showVal val="0"/>
              <c:showCatName val="1"/>
              <c:showSerName val="0"/>
              <c:showPercent val="1"/>
              <c:showBubbleSize val="0"/>
            </c:dLbl>
            <c:dLbl>
              <c:idx val="2"/>
              <c:layout>
                <c:manualLayout>
                  <c:x val="4.1166373375765092E-2"/>
                  <c:y val="9.8634921533090683E-2"/>
                </c:manualLayout>
              </c:layout>
              <c:dLblPos val="bestFit"/>
              <c:showLegendKey val="0"/>
              <c:showVal val="0"/>
              <c:showCatName val="1"/>
              <c:showSerName val="0"/>
              <c:showPercent val="1"/>
              <c:showBubbleSize val="0"/>
            </c:dLbl>
            <c:dLbl>
              <c:idx val="3"/>
              <c:layout>
                <c:manualLayout>
                  <c:x val="-2.0583186687882535E-2"/>
                  <c:y val="-1.0568027307116859E-2"/>
                </c:manualLayout>
              </c:layout>
              <c:dLblPos val="bestFit"/>
              <c:showLegendKey val="0"/>
              <c:showVal val="0"/>
              <c:showCatName val="1"/>
              <c:showSerName val="0"/>
              <c:showPercent val="1"/>
              <c:showBubbleSize val="0"/>
            </c:dLbl>
            <c:dLbl>
              <c:idx val="4"/>
              <c:layout>
                <c:manualLayout>
                  <c:x val="1.6009145201686416E-2"/>
                  <c:y val="-4.2272109228467435E-2"/>
                </c:manualLayout>
              </c:layout>
              <c:dLblPos val="bestFit"/>
              <c:showLegendKey val="0"/>
              <c:showVal val="0"/>
              <c:showCatName val="1"/>
              <c:showSerName val="0"/>
              <c:showPercent val="1"/>
              <c:showBubbleSize val="0"/>
            </c:dLbl>
            <c:txPr>
              <a:bodyPr/>
              <a:lstStyle/>
              <a:p>
                <a:pPr>
                  <a:defRPr sz="800" b="1" i="1" baseline="0"/>
                </a:pPr>
                <a:endParaRPr lang="en-US"/>
              </a:p>
            </c:txPr>
            <c:dLblPos val="outEnd"/>
            <c:showLegendKey val="0"/>
            <c:showVal val="0"/>
            <c:showCatName val="1"/>
            <c:showSerName val="0"/>
            <c:showPercent val="1"/>
            <c:showBubbleSize val="0"/>
            <c:showLeaderLines val="1"/>
          </c:dLbls>
          <c:cat>
            <c:strRef>
              <c:f>charts!$B$1:$F$1</c:f>
              <c:strCache>
                <c:ptCount val="5"/>
                <c:pt idx="0">
                  <c:v>Implemented</c:v>
                </c:pt>
                <c:pt idx="1">
                  <c:v>In Progress</c:v>
                </c:pt>
                <c:pt idx="2">
                  <c:v>Not relevant</c:v>
                </c:pt>
                <c:pt idx="3">
                  <c:v>Not accepted</c:v>
                </c:pt>
                <c:pt idx="4">
                  <c:v>Under consideration </c:v>
                </c:pt>
              </c:strCache>
            </c:strRef>
          </c:cat>
          <c:val>
            <c:numRef>
              <c:f>charts!$B$2:$F$2</c:f>
              <c:numCache>
                <c:formatCode>General</c:formatCode>
                <c:ptCount val="5"/>
                <c:pt idx="0">
                  <c:v>46</c:v>
                </c:pt>
                <c:pt idx="1">
                  <c:v>51</c:v>
                </c:pt>
                <c:pt idx="2">
                  <c:v>8</c:v>
                </c:pt>
                <c:pt idx="3">
                  <c:v>3</c:v>
                </c:pt>
                <c:pt idx="4">
                  <c:v>49</c:v>
                </c:pt>
              </c:numCache>
            </c:numRef>
          </c:val>
        </c:ser>
        <c:dLbls>
          <c:showLegendKey val="0"/>
          <c:showVal val="0"/>
          <c:showCatName val="0"/>
          <c:showSerName val="0"/>
          <c:showPercent val="0"/>
          <c:showBubbleSize val="0"/>
          <c:showLeaderLines val="1"/>
        </c:dLbls>
      </c:pie3DChart>
    </c:plotArea>
    <c:plotVisOnly val="1"/>
    <c:dispBlanksAs val="gap"/>
    <c:showDLblsOverMax val="0"/>
  </c:chart>
  <c:txPr>
    <a:bodyPr/>
    <a:lstStyle/>
    <a:p>
      <a:pPr>
        <a:defRPr b="1" i="0" baseline="0">
          <a:latin typeface="Arial" panose="020B0604020202020204" pitchFamily="34" charset="0"/>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perspective val="30"/>
    </c:view3D>
    <c:floor>
      <c:thickness val="0"/>
    </c:floor>
    <c:sideWall>
      <c:thickness val="0"/>
    </c:sideWall>
    <c:backWall>
      <c:thickness val="0"/>
    </c:backWall>
    <c:plotArea>
      <c:layout>
        <c:manualLayout>
          <c:layoutTarget val="inner"/>
          <c:xMode val="edge"/>
          <c:yMode val="edge"/>
          <c:x val="0.13864818024263431"/>
          <c:y val="0.1825503098451183"/>
          <c:w val="0.77585210860774123"/>
          <c:h val="0.75302016903307523"/>
        </c:manualLayout>
      </c:layout>
      <c:pie3DChart>
        <c:varyColors val="1"/>
        <c:ser>
          <c:idx val="0"/>
          <c:order val="0"/>
          <c:explosion val="25"/>
          <c:dLbls>
            <c:dLbl>
              <c:idx val="0"/>
              <c:layout>
                <c:manualLayout>
                  <c:x val="-2.0797227036395149E-2"/>
                  <c:y val="0.16465293880069209"/>
                </c:manualLayout>
              </c:layout>
              <c:dLblPos val="bestFit"/>
              <c:showLegendKey val="0"/>
              <c:showVal val="0"/>
              <c:showCatName val="1"/>
              <c:showSerName val="0"/>
              <c:showPercent val="1"/>
              <c:showBubbleSize val="0"/>
            </c:dLbl>
            <c:dLbl>
              <c:idx val="1"/>
              <c:layout>
                <c:manualLayout>
                  <c:x val="2.7729636048526851E-2"/>
                  <c:y val="8.590602816240861E-2"/>
                </c:manualLayout>
              </c:layout>
              <c:dLblPos val="bestFit"/>
              <c:showLegendKey val="0"/>
              <c:showVal val="0"/>
              <c:showCatName val="1"/>
              <c:showSerName val="0"/>
              <c:showPercent val="1"/>
              <c:showBubbleSize val="0"/>
            </c:dLbl>
            <c:dLbl>
              <c:idx val="2"/>
              <c:layout>
                <c:manualLayout>
                  <c:x val="-2.0797227036395145E-2"/>
                  <c:y val="6.4429521121806457E-2"/>
                </c:manualLayout>
              </c:layout>
              <c:dLblPos val="bestFit"/>
              <c:showLegendKey val="0"/>
              <c:showVal val="0"/>
              <c:showCatName val="1"/>
              <c:showSerName val="0"/>
              <c:showPercent val="1"/>
              <c:showBubbleSize val="0"/>
            </c:dLbl>
            <c:dLbl>
              <c:idx val="3"/>
              <c:layout>
                <c:manualLayout>
                  <c:x val="-1.6175621028307337E-2"/>
                  <c:y val="-5.0111849761405022E-2"/>
                </c:manualLayout>
              </c:layout>
              <c:dLblPos val="bestFit"/>
              <c:showLegendKey val="0"/>
              <c:showVal val="0"/>
              <c:showCatName val="1"/>
              <c:showSerName val="0"/>
              <c:showPercent val="1"/>
              <c:showBubbleSize val="0"/>
            </c:dLbl>
            <c:dLbl>
              <c:idx val="4"/>
              <c:layout>
                <c:manualLayout>
                  <c:x val="2.7729636048526841E-2"/>
                  <c:y val="-1.0738253520301076E-2"/>
                </c:manualLayout>
              </c:layout>
              <c:dLblPos val="bestFit"/>
              <c:showLegendKey val="0"/>
              <c:showVal val="0"/>
              <c:showCatName val="1"/>
              <c:showSerName val="0"/>
              <c:showPercent val="1"/>
              <c:showBubbleSize val="0"/>
            </c:dLbl>
            <c:txPr>
              <a:bodyPr/>
              <a:lstStyle/>
              <a:p>
                <a:pPr>
                  <a:defRPr sz="800" b="1" i="1" baseline="0">
                    <a:latin typeface="Arial" panose="020B0604020202020204" pitchFamily="34" charset="0"/>
                  </a:defRPr>
                </a:pPr>
                <a:endParaRPr lang="en-US"/>
              </a:p>
            </c:txPr>
            <c:dLblPos val="outEnd"/>
            <c:showLegendKey val="0"/>
            <c:showVal val="0"/>
            <c:showCatName val="1"/>
            <c:showSerName val="0"/>
            <c:showPercent val="1"/>
            <c:showBubbleSize val="0"/>
            <c:showLeaderLines val="1"/>
          </c:dLbls>
          <c:cat>
            <c:strRef>
              <c:f>charts!$B$3:$F$3</c:f>
              <c:strCache>
                <c:ptCount val="5"/>
                <c:pt idx="0">
                  <c:v>Implemented</c:v>
                </c:pt>
                <c:pt idx="1">
                  <c:v>In Progress</c:v>
                </c:pt>
                <c:pt idx="2">
                  <c:v>Not relevant</c:v>
                </c:pt>
                <c:pt idx="3">
                  <c:v>Not accepted</c:v>
                </c:pt>
                <c:pt idx="4">
                  <c:v>Under consideration </c:v>
                </c:pt>
              </c:strCache>
            </c:strRef>
          </c:cat>
          <c:val>
            <c:numRef>
              <c:f>charts!$B$4:$F$4</c:f>
              <c:numCache>
                <c:formatCode>General</c:formatCode>
                <c:ptCount val="5"/>
                <c:pt idx="0">
                  <c:v>110</c:v>
                </c:pt>
                <c:pt idx="1">
                  <c:v>20</c:v>
                </c:pt>
                <c:pt idx="2">
                  <c:v>10</c:v>
                </c:pt>
                <c:pt idx="3">
                  <c:v>3</c:v>
                </c:pt>
                <c:pt idx="4">
                  <c:v>57</c:v>
                </c:pt>
              </c:numCache>
            </c:numRef>
          </c:val>
        </c:ser>
        <c:dLbls>
          <c:showLegendKey val="0"/>
          <c:showVal val="0"/>
          <c:showCatName val="0"/>
          <c:showSerName val="0"/>
          <c:showPercent val="0"/>
          <c:showBubbleSize val="0"/>
          <c:showLeaderLines val="1"/>
        </c:dLbls>
      </c:pie3DChart>
    </c:plotArea>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'annual progress'!$I$43</c:f>
              <c:strCache>
                <c:ptCount val="1"/>
                <c:pt idx="0">
                  <c:v>new</c:v>
                </c:pt>
              </c:strCache>
            </c:strRef>
          </c:tx>
          <c:invertIfNegative val="0"/>
          <c:dLbls>
            <c:txPr>
              <a:bodyPr/>
              <a:lstStyle/>
              <a:p>
                <a:pPr>
                  <a:defRPr sz="800" b="1" i="1"/>
                </a:pPr>
                <a:endParaRPr lang="en-US"/>
              </a:p>
            </c:txPr>
            <c:showLegendKey val="0"/>
            <c:showVal val="1"/>
            <c:showCatName val="0"/>
            <c:showSerName val="0"/>
            <c:showPercent val="0"/>
            <c:showBubbleSize val="0"/>
            <c:showLeaderLines val="0"/>
          </c:dLbls>
          <c:cat>
            <c:numRef>
              <c:f>'annual progress'!$J$42:$N$42</c:f>
              <c:numCache>
                <c:formatCode>General</c:formatCode>
                <c:ptCount val="5"/>
                <c:pt idx="0">
                  <c:v>2010</c:v>
                </c:pt>
                <c:pt idx="1">
                  <c:v>2011</c:v>
                </c:pt>
                <c:pt idx="2">
                  <c:v>2012</c:v>
                </c:pt>
                <c:pt idx="3">
                  <c:v>2013</c:v>
                </c:pt>
                <c:pt idx="4">
                  <c:v>2014</c:v>
                </c:pt>
              </c:numCache>
            </c:numRef>
          </c:cat>
          <c:val>
            <c:numRef>
              <c:f>'annual progress'!$J$43:$N$43</c:f>
              <c:numCache>
                <c:formatCode>#,##0_);\(#,##0\);" "</c:formatCode>
                <c:ptCount val="5"/>
                <c:pt idx="0">
                  <c:v>26</c:v>
                </c:pt>
                <c:pt idx="1">
                  <c:v>12</c:v>
                </c:pt>
                <c:pt idx="2">
                  <c:v>11</c:v>
                </c:pt>
                <c:pt idx="3">
                  <c:v>1</c:v>
                </c:pt>
                <c:pt idx="4">
                  <c:v>10</c:v>
                </c:pt>
              </c:numCache>
            </c:numRef>
          </c:val>
        </c:ser>
        <c:ser>
          <c:idx val="1"/>
          <c:order val="1"/>
          <c:tx>
            <c:strRef>
              <c:f>'annual progress'!$I$44</c:f>
              <c:strCache>
                <c:ptCount val="1"/>
                <c:pt idx="0">
                  <c:v>closed</c:v>
                </c:pt>
              </c:strCache>
            </c:strRef>
          </c:tx>
          <c:spPr>
            <a:solidFill>
              <a:schemeClr val="accent6">
                <a:lumMod val="40000"/>
                <a:lumOff val="60000"/>
              </a:schemeClr>
            </a:solidFill>
          </c:spPr>
          <c:invertIfNegative val="0"/>
          <c:dLbls>
            <c:txPr>
              <a:bodyPr/>
              <a:lstStyle/>
              <a:p>
                <a:pPr>
                  <a:defRPr sz="800" b="1" i="1"/>
                </a:pPr>
                <a:endParaRPr lang="en-US"/>
              </a:p>
            </c:txPr>
            <c:showLegendKey val="0"/>
            <c:showVal val="1"/>
            <c:showCatName val="0"/>
            <c:showSerName val="0"/>
            <c:showPercent val="0"/>
            <c:showBubbleSize val="0"/>
            <c:showLeaderLines val="0"/>
          </c:dLbls>
          <c:cat>
            <c:numRef>
              <c:f>'annual progress'!$J$42:$N$42</c:f>
              <c:numCache>
                <c:formatCode>General</c:formatCode>
                <c:ptCount val="5"/>
                <c:pt idx="0">
                  <c:v>2010</c:v>
                </c:pt>
                <c:pt idx="1">
                  <c:v>2011</c:v>
                </c:pt>
                <c:pt idx="2">
                  <c:v>2012</c:v>
                </c:pt>
                <c:pt idx="3">
                  <c:v>2013</c:v>
                </c:pt>
                <c:pt idx="4">
                  <c:v>2014</c:v>
                </c:pt>
              </c:numCache>
            </c:numRef>
          </c:cat>
          <c:val>
            <c:numRef>
              <c:f>'annual progress'!$J$44:$N$44</c:f>
              <c:numCache>
                <c:formatCode>#,##0_);\(#,##0\);" "</c:formatCode>
                <c:ptCount val="5"/>
                <c:pt idx="0">
                  <c:v>0</c:v>
                </c:pt>
                <c:pt idx="1">
                  <c:v>0</c:v>
                </c:pt>
                <c:pt idx="2">
                  <c:v>13</c:v>
                </c:pt>
                <c:pt idx="3">
                  <c:v>13</c:v>
                </c:pt>
                <c:pt idx="4">
                  <c:v>12</c:v>
                </c:pt>
              </c:numCache>
            </c:numRef>
          </c:val>
        </c:ser>
        <c:ser>
          <c:idx val="2"/>
          <c:order val="2"/>
          <c:tx>
            <c:strRef>
              <c:f>'annual progress'!$I$45</c:f>
              <c:strCache>
                <c:ptCount val="1"/>
                <c:pt idx="0">
                  <c:v>Outstanding</c:v>
                </c:pt>
              </c:strCache>
            </c:strRef>
          </c:tx>
          <c:invertIfNegative val="0"/>
          <c:dLbls>
            <c:txPr>
              <a:bodyPr/>
              <a:lstStyle/>
              <a:p>
                <a:pPr>
                  <a:defRPr sz="800" b="1" i="1"/>
                </a:pPr>
                <a:endParaRPr lang="en-US"/>
              </a:p>
            </c:txPr>
            <c:showLegendKey val="0"/>
            <c:showVal val="1"/>
            <c:showCatName val="0"/>
            <c:showSerName val="0"/>
            <c:showPercent val="0"/>
            <c:showBubbleSize val="0"/>
            <c:showLeaderLines val="0"/>
          </c:dLbls>
          <c:cat>
            <c:numRef>
              <c:f>'annual progress'!$J$42:$N$42</c:f>
              <c:numCache>
                <c:formatCode>General</c:formatCode>
                <c:ptCount val="5"/>
                <c:pt idx="0">
                  <c:v>2010</c:v>
                </c:pt>
                <c:pt idx="1">
                  <c:v>2011</c:v>
                </c:pt>
                <c:pt idx="2">
                  <c:v>2012</c:v>
                </c:pt>
                <c:pt idx="3">
                  <c:v>2013</c:v>
                </c:pt>
                <c:pt idx="4">
                  <c:v>2014</c:v>
                </c:pt>
              </c:numCache>
            </c:numRef>
          </c:cat>
          <c:val>
            <c:numRef>
              <c:f>'annual progress'!$J$45:$N$45</c:f>
              <c:numCache>
                <c:formatCode>#,##0_);\(#,##0\);" "</c:formatCode>
                <c:ptCount val="5"/>
                <c:pt idx="0">
                  <c:v>26</c:v>
                </c:pt>
                <c:pt idx="1">
                  <c:v>38</c:v>
                </c:pt>
                <c:pt idx="2">
                  <c:v>36</c:v>
                </c:pt>
                <c:pt idx="3">
                  <c:v>24</c:v>
                </c:pt>
                <c:pt idx="4">
                  <c:v>22</c:v>
                </c:pt>
              </c:numCache>
            </c:numRef>
          </c:val>
        </c:ser>
        <c:dLbls>
          <c:showLegendKey val="0"/>
          <c:showVal val="0"/>
          <c:showCatName val="0"/>
          <c:showSerName val="0"/>
          <c:showPercent val="0"/>
          <c:showBubbleSize val="0"/>
        </c:dLbls>
        <c:gapWidth val="150"/>
        <c:shape val="box"/>
        <c:axId val="163881344"/>
        <c:axId val="66621824"/>
        <c:axId val="0"/>
      </c:bar3DChart>
      <c:catAx>
        <c:axId val="163881344"/>
        <c:scaling>
          <c:orientation val="minMax"/>
        </c:scaling>
        <c:delete val="0"/>
        <c:axPos val="b"/>
        <c:numFmt formatCode="General" sourceLinked="1"/>
        <c:majorTickMark val="out"/>
        <c:minorTickMark val="none"/>
        <c:tickLblPos val="nextTo"/>
        <c:crossAx val="66621824"/>
        <c:crosses val="autoZero"/>
        <c:auto val="1"/>
        <c:lblAlgn val="ctr"/>
        <c:lblOffset val="100"/>
        <c:noMultiLvlLbl val="0"/>
      </c:catAx>
      <c:valAx>
        <c:axId val="66621824"/>
        <c:scaling>
          <c:orientation val="minMax"/>
          <c:max val="50"/>
        </c:scaling>
        <c:delete val="0"/>
        <c:axPos val="l"/>
        <c:majorGridlines>
          <c:spPr>
            <a:ln>
              <a:noFill/>
            </a:ln>
          </c:spPr>
        </c:majorGridlines>
        <c:numFmt formatCode="#,##0_);\(#,##0\);&quot; &quot;" sourceLinked="1"/>
        <c:majorTickMark val="out"/>
        <c:minorTickMark val="none"/>
        <c:tickLblPos val="nextTo"/>
        <c:crossAx val="163881344"/>
        <c:crosses val="autoZero"/>
        <c:crossBetween val="between"/>
      </c:valAx>
    </c:plotArea>
    <c:legend>
      <c:legendPos val="b"/>
      <c:overlay val="0"/>
    </c:legend>
    <c:plotVisOnly val="1"/>
    <c:dispBlanksAs val="gap"/>
    <c:showDLblsOverMax val="0"/>
  </c:chart>
  <c:txPr>
    <a:bodyPr/>
    <a:lstStyle/>
    <a:p>
      <a:pPr>
        <a:defRPr sz="900">
          <a:latin typeface="Arial" panose="020B0604020202020204" pitchFamily="34" charset="0"/>
          <a:cs typeface="Arial" panose="020B0604020202020204" pitchFamily="34"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32C6E1-F49A-42CD-825C-8D976C2BF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PBC 24(E)</Template>
  <TotalTime>10</TotalTime>
  <Pages>15</Pages>
  <Words>3635</Words>
  <Characters>21792</Characters>
  <Application>Microsoft Office Word</Application>
  <DocSecurity>0</DocSecurity>
  <Lines>1146</Lines>
  <Paragraphs>282</Paragraphs>
  <ScaleCrop>false</ScaleCrop>
  <HeadingPairs>
    <vt:vector size="2" baseType="variant">
      <vt:variant>
        <vt:lpstr>Title</vt:lpstr>
      </vt:variant>
      <vt:variant>
        <vt:i4>1</vt:i4>
      </vt:variant>
    </vt:vector>
  </HeadingPairs>
  <TitlesOfParts>
    <vt:vector size="1" baseType="lpstr">
      <vt:lpstr>WO/PBC/24/</vt:lpstr>
    </vt:vector>
  </TitlesOfParts>
  <Company>WIPO</Company>
  <LinksUpToDate>false</LinksUpToDate>
  <CharactersWithSpaces>25145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WO/PBC/24/</dc:title>
  <dc:creator>DOYON Geneviève</dc:creator>
  <cp:lastModifiedBy>DOYON Geneviève</cp:lastModifiedBy>
  <cp:revision>5</cp:revision>
  <cp:lastPrinted>2015-07-31T09:54:00Z</cp:lastPrinted>
  <dcterms:created xsi:type="dcterms:W3CDTF">2015-07-31T09:57:00Z</dcterms:created>
  <dcterms:modified xsi:type="dcterms:W3CDTF">2015-08-05T08:54:00Z</dcterms:modified>
</cp:coreProperties>
</file>