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A45A3" w:rsidRPr="008B2CC1" w:rsidTr="00EA081D">
        <w:tc>
          <w:tcPr>
            <w:tcW w:w="4513" w:type="dxa"/>
            <w:tcBorders>
              <w:bottom w:val="single" w:sz="4" w:space="0" w:color="auto"/>
            </w:tcBorders>
            <w:tcMar>
              <w:bottom w:w="170" w:type="dxa"/>
            </w:tcMar>
          </w:tcPr>
          <w:p w:rsidR="00BA45A3" w:rsidRPr="008B2CC1" w:rsidRDefault="00BA45A3" w:rsidP="009A12FE">
            <w:bookmarkStart w:id="0" w:name="_GoBack"/>
            <w:bookmarkEnd w:id="0"/>
          </w:p>
        </w:tc>
        <w:tc>
          <w:tcPr>
            <w:tcW w:w="4337" w:type="dxa"/>
            <w:tcBorders>
              <w:bottom w:val="single" w:sz="4" w:space="0" w:color="auto"/>
            </w:tcBorders>
            <w:tcMar>
              <w:left w:w="0" w:type="dxa"/>
              <w:right w:w="0" w:type="dxa"/>
            </w:tcMar>
          </w:tcPr>
          <w:p w:rsidR="00BA45A3" w:rsidRPr="008B2CC1" w:rsidRDefault="00BA45A3" w:rsidP="009A12FE">
            <w:r>
              <w:rPr>
                <w:noProof/>
                <w:lang w:eastAsia="en-US"/>
              </w:rPr>
              <w:drawing>
                <wp:inline distT="0" distB="0" distL="0" distR="0" wp14:anchorId="7794AF31" wp14:editId="1E11D666">
                  <wp:extent cx="1857375" cy="1323975"/>
                  <wp:effectExtent l="0" t="0" r="9525" b="9525"/>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A45A3" w:rsidRPr="008B2CC1" w:rsidRDefault="00BA45A3" w:rsidP="009A12FE">
            <w:pPr>
              <w:jc w:val="right"/>
            </w:pPr>
            <w:r w:rsidRPr="00605827">
              <w:rPr>
                <w:b/>
                <w:sz w:val="40"/>
                <w:szCs w:val="40"/>
              </w:rPr>
              <w:t>E</w:t>
            </w:r>
          </w:p>
        </w:tc>
      </w:tr>
      <w:tr w:rsidR="00BA45A3" w:rsidRPr="00621AB2" w:rsidTr="009A12FE">
        <w:trPr>
          <w:trHeight w:hRule="exact" w:val="340"/>
        </w:trPr>
        <w:tc>
          <w:tcPr>
            <w:tcW w:w="9356" w:type="dxa"/>
            <w:gridSpan w:val="3"/>
            <w:tcBorders>
              <w:top w:val="single" w:sz="4" w:space="0" w:color="auto"/>
            </w:tcBorders>
            <w:tcMar>
              <w:top w:w="170" w:type="dxa"/>
              <w:left w:w="0" w:type="dxa"/>
              <w:right w:w="0" w:type="dxa"/>
            </w:tcMar>
            <w:vAlign w:val="bottom"/>
          </w:tcPr>
          <w:p w:rsidR="00BA45A3" w:rsidRPr="00621AB2" w:rsidRDefault="00BA45A3" w:rsidP="00621AB2">
            <w:pPr>
              <w:jc w:val="right"/>
              <w:rPr>
                <w:rFonts w:ascii="Arial Black" w:hAnsi="Arial Black"/>
                <w:caps/>
                <w:sz w:val="15"/>
              </w:rPr>
            </w:pPr>
            <w:r w:rsidRPr="00621AB2">
              <w:rPr>
                <w:rFonts w:ascii="Arial Black" w:hAnsi="Arial Black"/>
                <w:caps/>
                <w:sz w:val="15"/>
              </w:rPr>
              <w:t>wo/pbc/24/</w:t>
            </w:r>
            <w:r w:rsidR="00621AB2" w:rsidRPr="00621AB2">
              <w:rPr>
                <w:rFonts w:ascii="Arial Black" w:hAnsi="Arial Black"/>
                <w:caps/>
                <w:sz w:val="15"/>
              </w:rPr>
              <w:t>6</w:t>
            </w:r>
            <w:r w:rsidRPr="00621AB2">
              <w:rPr>
                <w:rFonts w:ascii="Arial Black" w:hAnsi="Arial Black"/>
                <w:caps/>
                <w:sz w:val="15"/>
              </w:rPr>
              <w:t xml:space="preserve">    </w:t>
            </w:r>
          </w:p>
        </w:tc>
      </w:tr>
      <w:tr w:rsidR="00BA45A3" w:rsidRPr="001832A6" w:rsidTr="009A12FE">
        <w:trPr>
          <w:trHeight w:hRule="exact" w:val="170"/>
        </w:trPr>
        <w:tc>
          <w:tcPr>
            <w:tcW w:w="9356" w:type="dxa"/>
            <w:gridSpan w:val="3"/>
            <w:noWrap/>
            <w:tcMar>
              <w:left w:w="0" w:type="dxa"/>
              <w:right w:w="0" w:type="dxa"/>
            </w:tcMar>
            <w:vAlign w:val="bottom"/>
          </w:tcPr>
          <w:p w:rsidR="00BA45A3" w:rsidRPr="0090731E" w:rsidRDefault="00BA45A3" w:rsidP="009A12FE">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BA45A3" w:rsidRPr="001832A6" w:rsidTr="009A12FE">
        <w:trPr>
          <w:trHeight w:hRule="exact" w:val="198"/>
        </w:trPr>
        <w:tc>
          <w:tcPr>
            <w:tcW w:w="9356" w:type="dxa"/>
            <w:gridSpan w:val="3"/>
            <w:tcMar>
              <w:left w:w="0" w:type="dxa"/>
              <w:right w:w="0" w:type="dxa"/>
            </w:tcMar>
            <w:vAlign w:val="bottom"/>
          </w:tcPr>
          <w:p w:rsidR="00BA45A3" w:rsidRPr="0090731E" w:rsidRDefault="00BA45A3" w:rsidP="000921A9">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sidR="00FF43B6">
              <w:rPr>
                <w:rFonts w:ascii="Arial Black" w:hAnsi="Arial Black"/>
                <w:caps/>
                <w:sz w:val="15"/>
              </w:rPr>
              <w:t>july 14</w:t>
            </w:r>
            <w:r>
              <w:rPr>
                <w:rFonts w:ascii="Arial Black" w:hAnsi="Arial Black"/>
                <w:caps/>
                <w:sz w:val="15"/>
              </w:rPr>
              <w:t>, 2015</w:t>
            </w:r>
          </w:p>
        </w:tc>
      </w:tr>
    </w:tbl>
    <w:p w:rsidR="00BA45A3" w:rsidRPr="008B2CC1" w:rsidRDefault="00BA45A3" w:rsidP="00BA45A3"/>
    <w:p w:rsidR="00BA45A3" w:rsidRPr="008B2CC1" w:rsidRDefault="00BA45A3" w:rsidP="00BA45A3"/>
    <w:p w:rsidR="00BA45A3" w:rsidRPr="008B2CC1" w:rsidRDefault="00BA45A3" w:rsidP="00BA45A3"/>
    <w:p w:rsidR="00BA45A3" w:rsidRPr="008B2CC1" w:rsidRDefault="00BA45A3" w:rsidP="00BA45A3"/>
    <w:p w:rsidR="00BA45A3" w:rsidRPr="008B2CC1" w:rsidRDefault="00BA45A3" w:rsidP="00BA45A3"/>
    <w:p w:rsidR="00BA45A3" w:rsidRPr="003845C1" w:rsidRDefault="00BA45A3" w:rsidP="00BA45A3">
      <w:pPr>
        <w:rPr>
          <w:b/>
          <w:sz w:val="28"/>
          <w:szCs w:val="28"/>
        </w:rPr>
      </w:pPr>
      <w:r w:rsidRPr="00A77461">
        <w:rPr>
          <w:b/>
          <w:sz w:val="28"/>
          <w:szCs w:val="28"/>
        </w:rPr>
        <w:t>Program and Budget Committee</w:t>
      </w:r>
    </w:p>
    <w:p w:rsidR="00BA45A3" w:rsidRDefault="00BA45A3" w:rsidP="00BA45A3"/>
    <w:p w:rsidR="00BA45A3" w:rsidRDefault="00BA45A3" w:rsidP="00BA45A3"/>
    <w:p w:rsidR="00BA45A3" w:rsidRPr="00A77461" w:rsidRDefault="00BA45A3" w:rsidP="00BA45A3">
      <w:pPr>
        <w:rPr>
          <w:b/>
          <w:sz w:val="24"/>
          <w:szCs w:val="24"/>
        </w:rPr>
      </w:pPr>
      <w:r w:rsidRPr="00A77461">
        <w:rPr>
          <w:b/>
          <w:sz w:val="24"/>
          <w:szCs w:val="24"/>
        </w:rPr>
        <w:t xml:space="preserve">Twenty-Fourth </w:t>
      </w:r>
      <w:proofErr w:type="gramStart"/>
      <w:r w:rsidRPr="00A77461">
        <w:rPr>
          <w:b/>
          <w:sz w:val="24"/>
          <w:szCs w:val="24"/>
        </w:rPr>
        <w:t>Session</w:t>
      </w:r>
      <w:proofErr w:type="gramEnd"/>
    </w:p>
    <w:p w:rsidR="00BA45A3" w:rsidRPr="008B2CC1" w:rsidRDefault="00BA45A3" w:rsidP="00BA45A3">
      <w:r w:rsidRPr="00A77461">
        <w:rPr>
          <w:b/>
          <w:sz w:val="24"/>
          <w:szCs w:val="24"/>
        </w:rPr>
        <w:t>Geneva, September 14 to 18, 2015</w:t>
      </w:r>
    </w:p>
    <w:p w:rsidR="00BA45A3" w:rsidRPr="008B2CC1" w:rsidRDefault="00BA45A3" w:rsidP="00BA45A3"/>
    <w:p w:rsidR="00BA45A3" w:rsidRPr="008B2CC1" w:rsidRDefault="00BA45A3" w:rsidP="00BA45A3"/>
    <w:p w:rsidR="00BA45A3" w:rsidRPr="003845C1" w:rsidRDefault="00BA45A3" w:rsidP="00BA45A3">
      <w:pPr>
        <w:rPr>
          <w:caps/>
          <w:sz w:val="24"/>
        </w:rPr>
      </w:pPr>
      <w:r>
        <w:rPr>
          <w:caps/>
          <w:sz w:val="24"/>
        </w:rPr>
        <w:t xml:space="preserve">ANNUAL REPORT BY THE DIRECTOR </w:t>
      </w:r>
      <w:r w:rsidR="00DA77DB">
        <w:rPr>
          <w:caps/>
          <w:sz w:val="24"/>
        </w:rPr>
        <w:t>of the INTERNAL OVERSIGHT DIVISION </w:t>
      </w:r>
      <w:r>
        <w:rPr>
          <w:caps/>
          <w:sz w:val="24"/>
        </w:rPr>
        <w:t>(IOD)</w:t>
      </w:r>
    </w:p>
    <w:p w:rsidR="00BA45A3" w:rsidRPr="008B2CC1" w:rsidRDefault="00BA45A3" w:rsidP="00BA45A3"/>
    <w:p w:rsidR="00BA45A3" w:rsidRPr="008B2CC1" w:rsidRDefault="000921A9" w:rsidP="00BA45A3">
      <w:pPr>
        <w:rPr>
          <w:i/>
        </w:rPr>
      </w:pPr>
      <w:proofErr w:type="gramStart"/>
      <w:r>
        <w:rPr>
          <w:i/>
        </w:rPr>
        <w:t>p</w:t>
      </w:r>
      <w:r w:rsidR="00BA45A3">
        <w:rPr>
          <w:i/>
        </w:rPr>
        <w:t>repared</w:t>
      </w:r>
      <w:proofErr w:type="gramEnd"/>
      <w:r w:rsidR="00BA45A3">
        <w:rPr>
          <w:i/>
        </w:rPr>
        <w:t xml:space="preserve"> by the Secretariat</w:t>
      </w:r>
    </w:p>
    <w:p w:rsidR="00BA45A3" w:rsidRDefault="00BA45A3" w:rsidP="00BA45A3"/>
    <w:p w:rsidR="004B6701" w:rsidRPr="00B929E3" w:rsidRDefault="004B6701" w:rsidP="004B6701"/>
    <w:p w:rsidR="004B6701" w:rsidRPr="00B929E3" w:rsidRDefault="004B6701" w:rsidP="004B6701"/>
    <w:p w:rsidR="004B6701" w:rsidRDefault="004B6701" w:rsidP="004B6701"/>
    <w:p w:rsidR="004B6701" w:rsidRPr="00C765F0" w:rsidRDefault="004B6701" w:rsidP="001118B4">
      <w:pPr>
        <w:pStyle w:val="ONUME"/>
        <w:numPr>
          <w:ilvl w:val="0"/>
          <w:numId w:val="43"/>
        </w:numPr>
      </w:pPr>
      <w:r w:rsidRPr="00C765F0">
        <w:t xml:space="preserve">In accordance with </w:t>
      </w:r>
      <w:r w:rsidRPr="000F04D4">
        <w:t xml:space="preserve">paragraph </w:t>
      </w:r>
      <w:r w:rsidR="00791391" w:rsidRPr="000F04D4">
        <w:t>38</w:t>
      </w:r>
      <w:r w:rsidRPr="00C765F0">
        <w:t xml:space="preserve"> of the Internal Oversight Charter</w:t>
      </w:r>
      <w:r w:rsidR="004D6A1C">
        <w:t xml:space="preserve"> (IOC)</w:t>
      </w:r>
      <w:r w:rsidRPr="00C765F0">
        <w:t xml:space="preserve">, the Director, Internal Oversight Division (IOD), shall present a status report in writing to the Program and Budget Committee (PBC).  The report </w:t>
      </w:r>
      <w:r w:rsidR="00791391" w:rsidRPr="009C37FB">
        <w:t>provides information on I</w:t>
      </w:r>
      <w:r w:rsidRPr="00A87220">
        <w:t xml:space="preserve">OD’s main activities between </w:t>
      </w:r>
      <w:r w:rsidRPr="000F04D4">
        <w:t xml:space="preserve">July 1, </w:t>
      </w:r>
      <w:r w:rsidR="00791391" w:rsidRPr="000F04D4">
        <w:t>2014</w:t>
      </w:r>
      <w:r w:rsidRPr="000F04D4">
        <w:t xml:space="preserve"> and June 30, 201</w:t>
      </w:r>
      <w:r w:rsidR="00791391" w:rsidRPr="000F04D4">
        <w:t>5</w:t>
      </w:r>
      <w:r w:rsidRPr="000F04D4">
        <w:t>.</w:t>
      </w:r>
    </w:p>
    <w:p w:rsidR="004B6701" w:rsidRPr="00136900" w:rsidRDefault="004B6701" w:rsidP="004B6701">
      <w:pPr>
        <w:pStyle w:val="ONUME"/>
        <w:rPr>
          <w:i/>
        </w:rPr>
      </w:pPr>
      <w:r>
        <w:t>The following decision paragraph is proposed.</w:t>
      </w:r>
    </w:p>
    <w:p w:rsidR="004B6701" w:rsidRPr="00B929E3" w:rsidRDefault="004B6701" w:rsidP="004B6701">
      <w:pPr>
        <w:spacing w:after="220"/>
        <w:ind w:left="5533"/>
        <w:rPr>
          <w:i/>
        </w:rPr>
      </w:pPr>
      <w:r>
        <w:rPr>
          <w:i/>
        </w:rPr>
        <w:t>3</w:t>
      </w:r>
      <w:r w:rsidRPr="00B929E3">
        <w:rPr>
          <w:i/>
        </w:rPr>
        <w:t>.</w:t>
      </w:r>
      <w:r w:rsidRPr="00B929E3">
        <w:rPr>
          <w:i/>
        </w:rPr>
        <w:tab/>
        <w:t xml:space="preserve">The Program and Budget Committee </w:t>
      </w:r>
      <w:r>
        <w:rPr>
          <w:i/>
        </w:rPr>
        <w:t>took</w:t>
      </w:r>
      <w:r w:rsidRPr="00B929E3">
        <w:rPr>
          <w:i/>
        </w:rPr>
        <w:t xml:space="preserve"> note of the </w:t>
      </w:r>
      <w:r w:rsidRPr="00136900">
        <w:rPr>
          <w:i/>
        </w:rPr>
        <w:t>Annual Report of the Director of the Internal Oversi</w:t>
      </w:r>
      <w:r w:rsidR="00791391">
        <w:rPr>
          <w:i/>
        </w:rPr>
        <w:t>ght Division (I</w:t>
      </w:r>
      <w:r w:rsidRPr="00136900">
        <w:rPr>
          <w:i/>
        </w:rPr>
        <w:t>OD) (document</w:t>
      </w:r>
      <w:r w:rsidR="000F14DE">
        <w:rPr>
          <w:i/>
        </w:rPr>
        <w:t> </w:t>
      </w:r>
      <w:r w:rsidRPr="00621AB2">
        <w:rPr>
          <w:i/>
        </w:rPr>
        <w:t>WO/PBC/2</w:t>
      </w:r>
      <w:r w:rsidR="00BA45A3" w:rsidRPr="00621AB2">
        <w:rPr>
          <w:i/>
        </w:rPr>
        <w:t>4</w:t>
      </w:r>
      <w:r w:rsidRPr="00621AB2">
        <w:rPr>
          <w:i/>
        </w:rPr>
        <w:t>/</w:t>
      </w:r>
      <w:r w:rsidR="00621AB2" w:rsidRPr="00621AB2">
        <w:rPr>
          <w:i/>
        </w:rPr>
        <w:t>6</w:t>
      </w:r>
      <w:r w:rsidRPr="00136900">
        <w:rPr>
          <w:i/>
        </w:rPr>
        <w:t>)</w:t>
      </w:r>
      <w:r>
        <w:rPr>
          <w:i/>
        </w:rPr>
        <w:t>.</w:t>
      </w:r>
    </w:p>
    <w:p w:rsidR="004B6701" w:rsidRPr="00B929E3" w:rsidRDefault="004B6701" w:rsidP="004B6701">
      <w:pPr>
        <w:spacing w:after="220"/>
        <w:rPr>
          <w:i/>
        </w:rPr>
      </w:pPr>
    </w:p>
    <w:p w:rsidR="004B6701" w:rsidRPr="00B929E3" w:rsidRDefault="004B6701" w:rsidP="004B6701">
      <w:pPr>
        <w:ind w:left="5534"/>
        <w:rPr>
          <w:sz w:val="20"/>
        </w:rPr>
      </w:pPr>
      <w:r w:rsidRPr="00B929E3">
        <w:t>[</w:t>
      </w:r>
      <w:r w:rsidR="00791391">
        <w:t>Annual Report by Director, I</w:t>
      </w:r>
      <w:r w:rsidRPr="00B929E3">
        <w:t>OD follows]</w:t>
      </w:r>
    </w:p>
    <w:p w:rsidR="004B6701" w:rsidRPr="00B929E3" w:rsidRDefault="004B6701" w:rsidP="004B6701">
      <w:pPr>
        <w:spacing w:after="220"/>
        <w:ind w:left="5533"/>
      </w:pPr>
    </w:p>
    <w:p w:rsidR="004B6701" w:rsidRPr="00B929E3" w:rsidRDefault="004B6701" w:rsidP="00621AB2">
      <w:pPr>
        <w:rPr>
          <w:rFonts w:eastAsia="Times New Roman" w:cs="Times New Roman"/>
          <w:i/>
          <w:lang w:eastAsia="en-US"/>
        </w:rPr>
      </w:pPr>
    </w:p>
    <w:p w:rsidR="000F14DE" w:rsidRDefault="000F14DE">
      <w:r>
        <w:br w:type="page"/>
      </w:r>
    </w:p>
    <w:p w:rsidR="004B6701" w:rsidRPr="00B929E3" w:rsidRDefault="004B6701" w:rsidP="004B6701">
      <w:pPr>
        <w:jc w:val="both"/>
      </w:pPr>
    </w:p>
    <w:p w:rsidR="004B6701" w:rsidRDefault="004B6701" w:rsidP="004B6701">
      <w:pPr>
        <w:spacing w:after="200" w:line="276" w:lineRule="auto"/>
        <w:rPr>
          <w:rFonts w:eastAsia="Times New Roman" w:cs="Times New Roman"/>
          <w:b/>
          <w:bCs/>
        </w:rPr>
      </w:pPr>
    </w:p>
    <w:p w:rsidR="004B6701" w:rsidRDefault="004B6701" w:rsidP="004B6701">
      <w:pPr>
        <w:keepLines/>
        <w:jc w:val="both"/>
      </w:pPr>
    </w:p>
    <w:p w:rsidR="004B6701" w:rsidRDefault="004B6701" w:rsidP="004B6701">
      <w:pPr>
        <w:sectPr w:rsidR="004B6701" w:rsidSect="00A77BA6">
          <w:headerReference w:type="default" r:id="rId10"/>
          <w:headerReference w:type="first" r:id="rId11"/>
          <w:endnotePr>
            <w:numFmt w:val="decimal"/>
          </w:endnotePr>
          <w:pgSz w:w="11907" w:h="16840" w:code="9"/>
          <w:pgMar w:top="340" w:right="1134" w:bottom="1418" w:left="1418" w:header="340" w:footer="1021" w:gutter="0"/>
          <w:cols w:space="720"/>
          <w:titlePg/>
          <w:docGrid w:linePitch="299"/>
        </w:sectPr>
      </w:pPr>
    </w:p>
    <w:p w:rsidR="004B6701" w:rsidRPr="00DA5DBB" w:rsidRDefault="004B6701" w:rsidP="006A0D3F">
      <w:pPr>
        <w:pStyle w:val="Heading1"/>
        <w:jc w:val="center"/>
      </w:pPr>
      <w:bookmarkStart w:id="1" w:name="_Toc392160658"/>
      <w:bookmarkStart w:id="2" w:name="_Toc392160685"/>
      <w:bookmarkStart w:id="3" w:name="_Toc392160701"/>
      <w:bookmarkStart w:id="4" w:name="_Toc392160738"/>
      <w:bookmarkStart w:id="5" w:name="_Toc420931135"/>
      <w:bookmarkStart w:id="6" w:name="_Toc423530307"/>
      <w:bookmarkStart w:id="7" w:name="_Toc423533363"/>
      <w:bookmarkStart w:id="8" w:name="_Toc423533507"/>
      <w:r w:rsidRPr="00DA5DBB">
        <w:lastRenderedPageBreak/>
        <w:t>TABLE OF CONTENT</w:t>
      </w:r>
      <w:bookmarkEnd w:id="1"/>
      <w:bookmarkEnd w:id="2"/>
      <w:bookmarkEnd w:id="3"/>
      <w:bookmarkEnd w:id="4"/>
      <w:bookmarkEnd w:id="5"/>
      <w:r w:rsidR="00A010A4">
        <w:t>S</w:t>
      </w:r>
      <w:bookmarkEnd w:id="6"/>
      <w:bookmarkEnd w:id="7"/>
      <w:bookmarkEnd w:id="8"/>
    </w:p>
    <w:p w:rsidR="004B6701" w:rsidRPr="00DA5DBB" w:rsidRDefault="004B6701" w:rsidP="004B6701">
      <w:pPr>
        <w:keepLines/>
      </w:pPr>
    </w:p>
    <w:p w:rsidR="004A0DF7" w:rsidRPr="004A0DF7" w:rsidRDefault="004B6701">
      <w:pPr>
        <w:pStyle w:val="TOC1"/>
        <w:rPr>
          <w:rFonts w:asciiTheme="minorHAnsi" w:eastAsiaTheme="minorEastAsia" w:hAnsiTheme="minorHAnsi" w:cstheme="minorBidi"/>
          <w:noProof/>
          <w:szCs w:val="22"/>
          <w:lang w:eastAsia="en-US"/>
        </w:rPr>
      </w:pPr>
      <w:r>
        <w:fldChar w:fldCharType="begin"/>
      </w:r>
      <w:r>
        <w:instrText xml:space="preserve"> TOC \o "1-1" \h \z \u </w:instrText>
      </w:r>
      <w:r>
        <w:fldChar w:fldCharType="separate"/>
      </w:r>
      <w:hyperlink w:anchor="_Toc423533508" w:history="1">
        <w:r w:rsidR="004A0DF7" w:rsidRPr="004A0DF7">
          <w:rPr>
            <w:rStyle w:val="Hyperlink"/>
            <w:noProof/>
          </w:rPr>
          <w:t>LIST OF ACRONYMS</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_Toc423533508 \h </w:instrText>
        </w:r>
        <w:r w:rsidR="004A0DF7" w:rsidRPr="004A0DF7">
          <w:rPr>
            <w:noProof/>
            <w:webHidden/>
          </w:rPr>
        </w:r>
        <w:r w:rsidR="004A0DF7" w:rsidRPr="004A0DF7">
          <w:rPr>
            <w:noProof/>
            <w:webHidden/>
          </w:rPr>
          <w:fldChar w:fldCharType="separate"/>
        </w:r>
        <w:r w:rsidR="007D1881">
          <w:rPr>
            <w:noProof/>
            <w:webHidden/>
          </w:rPr>
          <w:t>2</w:t>
        </w:r>
        <w:r w:rsidR="004A0DF7" w:rsidRPr="004A0DF7">
          <w:rPr>
            <w:noProof/>
            <w:webHidden/>
          </w:rPr>
          <w:fldChar w:fldCharType="end"/>
        </w:r>
      </w:hyperlink>
    </w:p>
    <w:p w:rsidR="004A0DF7" w:rsidRPr="004A0DF7" w:rsidRDefault="007D1881">
      <w:pPr>
        <w:pStyle w:val="TOC1"/>
        <w:rPr>
          <w:rFonts w:asciiTheme="minorHAnsi" w:eastAsiaTheme="minorEastAsia" w:hAnsiTheme="minorHAnsi" w:cstheme="minorBidi"/>
          <w:noProof/>
          <w:szCs w:val="22"/>
          <w:lang w:eastAsia="en-US"/>
        </w:rPr>
      </w:pPr>
      <w:hyperlink w:anchor="_Toc423533510" w:history="1">
        <w:r w:rsidR="004A0DF7" w:rsidRPr="004A0DF7">
          <w:rPr>
            <w:rStyle w:val="Hyperlink"/>
            <w:bCs/>
            <w:caps/>
            <w:noProof/>
            <w:kern w:val="32"/>
          </w:rPr>
          <w:t>BACKGROUND</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_Toc423533510 \h </w:instrText>
        </w:r>
        <w:r w:rsidR="004A0DF7" w:rsidRPr="004A0DF7">
          <w:rPr>
            <w:noProof/>
            <w:webHidden/>
          </w:rPr>
        </w:r>
        <w:r w:rsidR="004A0DF7" w:rsidRPr="004A0DF7">
          <w:rPr>
            <w:noProof/>
            <w:webHidden/>
          </w:rPr>
          <w:fldChar w:fldCharType="separate"/>
        </w:r>
        <w:r>
          <w:rPr>
            <w:noProof/>
            <w:webHidden/>
          </w:rPr>
          <w:t>3</w:t>
        </w:r>
        <w:r w:rsidR="004A0DF7" w:rsidRPr="004A0DF7">
          <w:rPr>
            <w:noProof/>
            <w:webHidden/>
          </w:rPr>
          <w:fldChar w:fldCharType="end"/>
        </w:r>
      </w:hyperlink>
    </w:p>
    <w:p w:rsidR="004A0DF7" w:rsidRPr="004A0DF7" w:rsidRDefault="007D1881">
      <w:pPr>
        <w:pStyle w:val="TOC1"/>
        <w:rPr>
          <w:rFonts w:asciiTheme="minorHAnsi" w:eastAsiaTheme="minorEastAsia" w:hAnsiTheme="minorHAnsi" w:cstheme="minorBidi"/>
          <w:noProof/>
          <w:szCs w:val="22"/>
          <w:lang w:eastAsia="en-US"/>
        </w:rPr>
      </w:pPr>
      <w:hyperlink w:anchor="_Toc423533511" w:history="1">
        <w:r w:rsidR="004A0DF7" w:rsidRPr="004A0DF7">
          <w:rPr>
            <w:rStyle w:val="Hyperlink"/>
            <w:bCs/>
            <w:caps/>
            <w:noProof/>
            <w:kern w:val="32"/>
          </w:rPr>
          <w:t>PLANNING principles</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_Toc423533511 \h </w:instrText>
        </w:r>
        <w:r w:rsidR="004A0DF7" w:rsidRPr="004A0DF7">
          <w:rPr>
            <w:noProof/>
            <w:webHidden/>
          </w:rPr>
        </w:r>
        <w:r w:rsidR="004A0DF7" w:rsidRPr="004A0DF7">
          <w:rPr>
            <w:noProof/>
            <w:webHidden/>
          </w:rPr>
          <w:fldChar w:fldCharType="separate"/>
        </w:r>
        <w:r>
          <w:rPr>
            <w:noProof/>
            <w:webHidden/>
          </w:rPr>
          <w:t>3</w:t>
        </w:r>
        <w:r w:rsidR="004A0DF7" w:rsidRPr="004A0DF7">
          <w:rPr>
            <w:noProof/>
            <w:webHidden/>
          </w:rPr>
          <w:fldChar w:fldCharType="end"/>
        </w:r>
      </w:hyperlink>
    </w:p>
    <w:p w:rsidR="004A0DF7" w:rsidRPr="004A0DF7" w:rsidRDefault="007D1881">
      <w:pPr>
        <w:pStyle w:val="TOC1"/>
        <w:rPr>
          <w:rFonts w:asciiTheme="minorHAnsi" w:eastAsiaTheme="minorEastAsia" w:hAnsiTheme="minorHAnsi" w:cstheme="minorBidi"/>
          <w:noProof/>
          <w:szCs w:val="22"/>
          <w:lang w:eastAsia="en-US"/>
        </w:rPr>
      </w:pPr>
      <w:hyperlink w:anchor="_Toc423533512" w:history="1">
        <w:r w:rsidR="004A0DF7" w:rsidRPr="004A0DF7">
          <w:rPr>
            <w:rStyle w:val="Hyperlink"/>
            <w:bCs/>
            <w:caps/>
            <w:noProof/>
            <w:kern w:val="32"/>
          </w:rPr>
          <w:t>PROFESSIONAL STANDARDS</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_Toc423533512 \h </w:instrText>
        </w:r>
        <w:r w:rsidR="004A0DF7" w:rsidRPr="004A0DF7">
          <w:rPr>
            <w:noProof/>
            <w:webHidden/>
          </w:rPr>
        </w:r>
        <w:r w:rsidR="004A0DF7" w:rsidRPr="004A0DF7">
          <w:rPr>
            <w:noProof/>
            <w:webHidden/>
          </w:rPr>
          <w:fldChar w:fldCharType="separate"/>
        </w:r>
        <w:r>
          <w:rPr>
            <w:noProof/>
            <w:webHidden/>
          </w:rPr>
          <w:t>4</w:t>
        </w:r>
        <w:r w:rsidR="004A0DF7" w:rsidRPr="004A0DF7">
          <w:rPr>
            <w:noProof/>
            <w:webHidden/>
          </w:rPr>
          <w:fldChar w:fldCharType="end"/>
        </w:r>
      </w:hyperlink>
    </w:p>
    <w:p w:rsidR="004A0DF7" w:rsidRPr="004A0DF7" w:rsidRDefault="007D1881">
      <w:pPr>
        <w:pStyle w:val="TOC1"/>
        <w:rPr>
          <w:rFonts w:asciiTheme="minorHAnsi" w:eastAsiaTheme="minorEastAsia" w:hAnsiTheme="minorHAnsi" w:cstheme="minorBidi"/>
          <w:noProof/>
          <w:szCs w:val="22"/>
          <w:lang w:eastAsia="en-US"/>
        </w:rPr>
      </w:pPr>
      <w:hyperlink w:anchor="_Toc423533513" w:history="1">
        <w:r w:rsidR="004A0DF7" w:rsidRPr="004A0DF7">
          <w:rPr>
            <w:rStyle w:val="Hyperlink"/>
            <w:bCs/>
            <w:caps/>
            <w:noProof/>
            <w:kern w:val="32"/>
          </w:rPr>
          <w:t>SIGNIFICANT INTERNAL OVERSIGHT FINDINGS AND RECOMMENDATIONS</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_Toc423533513 \h </w:instrText>
        </w:r>
        <w:r w:rsidR="004A0DF7" w:rsidRPr="004A0DF7">
          <w:rPr>
            <w:noProof/>
            <w:webHidden/>
          </w:rPr>
        </w:r>
        <w:r w:rsidR="004A0DF7" w:rsidRPr="004A0DF7">
          <w:rPr>
            <w:noProof/>
            <w:webHidden/>
          </w:rPr>
          <w:fldChar w:fldCharType="separate"/>
        </w:r>
        <w:r>
          <w:rPr>
            <w:noProof/>
            <w:webHidden/>
          </w:rPr>
          <w:t>4</w:t>
        </w:r>
        <w:r w:rsidR="004A0DF7" w:rsidRPr="004A0DF7">
          <w:rPr>
            <w:noProof/>
            <w:webHidden/>
          </w:rPr>
          <w:fldChar w:fldCharType="end"/>
        </w:r>
      </w:hyperlink>
    </w:p>
    <w:p w:rsidR="004A0DF7" w:rsidRPr="004A0DF7" w:rsidRDefault="007D1881">
      <w:pPr>
        <w:pStyle w:val="TOC1"/>
        <w:rPr>
          <w:rFonts w:asciiTheme="minorHAnsi" w:eastAsiaTheme="minorEastAsia" w:hAnsiTheme="minorHAnsi" w:cstheme="minorBidi"/>
          <w:noProof/>
          <w:szCs w:val="22"/>
          <w:lang w:eastAsia="en-US"/>
        </w:rPr>
      </w:pPr>
      <w:hyperlink w:anchor="_Toc423533514" w:history="1">
        <w:r w:rsidR="004A0DF7" w:rsidRPr="004A0DF7">
          <w:rPr>
            <w:rStyle w:val="Hyperlink"/>
            <w:noProof/>
          </w:rPr>
          <w:t>INVESTIGATIVE ACTIVITIES IN THE REPORTING PERIOD</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_Toc423533514 \h </w:instrText>
        </w:r>
        <w:r w:rsidR="004A0DF7" w:rsidRPr="004A0DF7">
          <w:rPr>
            <w:noProof/>
            <w:webHidden/>
          </w:rPr>
        </w:r>
        <w:r w:rsidR="004A0DF7" w:rsidRPr="004A0DF7">
          <w:rPr>
            <w:noProof/>
            <w:webHidden/>
          </w:rPr>
          <w:fldChar w:fldCharType="separate"/>
        </w:r>
        <w:r>
          <w:rPr>
            <w:noProof/>
            <w:webHidden/>
          </w:rPr>
          <w:t>8</w:t>
        </w:r>
        <w:r w:rsidR="004A0DF7" w:rsidRPr="004A0DF7">
          <w:rPr>
            <w:noProof/>
            <w:webHidden/>
          </w:rPr>
          <w:fldChar w:fldCharType="end"/>
        </w:r>
      </w:hyperlink>
    </w:p>
    <w:p w:rsidR="004A0DF7" w:rsidRPr="004A0DF7" w:rsidRDefault="007D1881">
      <w:pPr>
        <w:pStyle w:val="TOC1"/>
        <w:rPr>
          <w:rFonts w:asciiTheme="minorHAnsi" w:eastAsiaTheme="minorEastAsia" w:hAnsiTheme="minorHAnsi" w:cstheme="minorBidi"/>
          <w:noProof/>
          <w:szCs w:val="22"/>
          <w:lang w:eastAsia="en-US"/>
        </w:rPr>
      </w:pPr>
      <w:hyperlink w:anchor="_Toc423533515" w:history="1">
        <w:r w:rsidR="004A0DF7" w:rsidRPr="004A0DF7">
          <w:rPr>
            <w:rStyle w:val="Hyperlink"/>
            <w:noProof/>
          </w:rPr>
          <w:t>INSTANCES WHERE INFORMATION OR ASSISTANCE WAS REFUSED</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_Toc423533515 \h </w:instrText>
        </w:r>
        <w:r w:rsidR="004A0DF7" w:rsidRPr="004A0DF7">
          <w:rPr>
            <w:noProof/>
            <w:webHidden/>
          </w:rPr>
        </w:r>
        <w:r w:rsidR="004A0DF7" w:rsidRPr="004A0DF7">
          <w:rPr>
            <w:noProof/>
            <w:webHidden/>
          </w:rPr>
          <w:fldChar w:fldCharType="separate"/>
        </w:r>
        <w:r>
          <w:rPr>
            <w:noProof/>
            <w:webHidden/>
          </w:rPr>
          <w:t>11</w:t>
        </w:r>
        <w:r w:rsidR="004A0DF7" w:rsidRPr="004A0DF7">
          <w:rPr>
            <w:noProof/>
            <w:webHidden/>
          </w:rPr>
          <w:fldChar w:fldCharType="end"/>
        </w:r>
      </w:hyperlink>
    </w:p>
    <w:p w:rsidR="004A0DF7" w:rsidRPr="004A0DF7" w:rsidRDefault="007D1881">
      <w:pPr>
        <w:pStyle w:val="TOC1"/>
        <w:rPr>
          <w:rFonts w:asciiTheme="minorHAnsi" w:eastAsiaTheme="minorEastAsia" w:hAnsiTheme="minorHAnsi" w:cstheme="minorBidi"/>
          <w:noProof/>
          <w:szCs w:val="22"/>
          <w:lang w:eastAsia="en-US"/>
        </w:rPr>
      </w:pPr>
      <w:hyperlink w:anchor="_Toc423533516" w:history="1">
        <w:r w:rsidR="004A0DF7" w:rsidRPr="004A0DF7">
          <w:rPr>
            <w:rStyle w:val="Hyperlink"/>
            <w:noProof/>
          </w:rPr>
          <w:t>STATUS OF IMPLEMENTATION OF OVERSIGHT RECOMMENDATIONS</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_Toc423533516 \h </w:instrText>
        </w:r>
        <w:r w:rsidR="004A0DF7" w:rsidRPr="004A0DF7">
          <w:rPr>
            <w:noProof/>
            <w:webHidden/>
          </w:rPr>
        </w:r>
        <w:r w:rsidR="004A0DF7" w:rsidRPr="004A0DF7">
          <w:rPr>
            <w:noProof/>
            <w:webHidden/>
          </w:rPr>
          <w:fldChar w:fldCharType="separate"/>
        </w:r>
        <w:r>
          <w:rPr>
            <w:noProof/>
            <w:webHidden/>
          </w:rPr>
          <w:t>11</w:t>
        </w:r>
        <w:r w:rsidR="004A0DF7" w:rsidRPr="004A0DF7">
          <w:rPr>
            <w:noProof/>
            <w:webHidden/>
          </w:rPr>
          <w:fldChar w:fldCharType="end"/>
        </w:r>
      </w:hyperlink>
    </w:p>
    <w:p w:rsidR="004A0DF7" w:rsidRPr="004A0DF7" w:rsidRDefault="007D1881">
      <w:pPr>
        <w:pStyle w:val="TOC1"/>
        <w:rPr>
          <w:rFonts w:asciiTheme="minorHAnsi" w:eastAsiaTheme="minorEastAsia" w:hAnsiTheme="minorHAnsi" w:cstheme="minorBidi"/>
          <w:noProof/>
          <w:szCs w:val="22"/>
          <w:lang w:eastAsia="en-US"/>
        </w:rPr>
      </w:pPr>
      <w:hyperlink w:anchor="_Toc423533517" w:history="1">
        <w:r w:rsidR="004A0DF7" w:rsidRPr="004A0DF7">
          <w:rPr>
            <w:rStyle w:val="Hyperlink"/>
            <w:noProof/>
          </w:rPr>
          <w:t>EXTERNAL ASSESSMENT OF IOD’S WORK</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_Toc423533517 \h </w:instrText>
        </w:r>
        <w:r w:rsidR="004A0DF7" w:rsidRPr="004A0DF7">
          <w:rPr>
            <w:noProof/>
            <w:webHidden/>
          </w:rPr>
        </w:r>
        <w:r w:rsidR="004A0DF7" w:rsidRPr="004A0DF7">
          <w:rPr>
            <w:noProof/>
            <w:webHidden/>
          </w:rPr>
          <w:fldChar w:fldCharType="separate"/>
        </w:r>
        <w:r>
          <w:rPr>
            <w:noProof/>
            <w:webHidden/>
          </w:rPr>
          <w:t>14</w:t>
        </w:r>
        <w:r w:rsidR="004A0DF7" w:rsidRPr="004A0DF7">
          <w:rPr>
            <w:noProof/>
            <w:webHidden/>
          </w:rPr>
          <w:fldChar w:fldCharType="end"/>
        </w:r>
      </w:hyperlink>
    </w:p>
    <w:p w:rsidR="004A0DF7" w:rsidRPr="004A0DF7" w:rsidRDefault="007D1881">
      <w:pPr>
        <w:pStyle w:val="TOC1"/>
        <w:rPr>
          <w:rFonts w:asciiTheme="minorHAnsi" w:eastAsiaTheme="minorEastAsia" w:hAnsiTheme="minorHAnsi" w:cstheme="minorBidi"/>
          <w:noProof/>
          <w:szCs w:val="22"/>
          <w:lang w:eastAsia="en-US"/>
        </w:rPr>
      </w:pPr>
      <w:hyperlink w:anchor="_Toc423533518" w:history="1">
        <w:r w:rsidR="004A0DF7" w:rsidRPr="004A0DF7">
          <w:rPr>
            <w:rStyle w:val="Hyperlink"/>
            <w:noProof/>
          </w:rPr>
          <w:t>CONSULTATIVE AND ADVISORY OVERSIGHT WORK</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_Toc423533518 \h </w:instrText>
        </w:r>
        <w:r w:rsidR="004A0DF7" w:rsidRPr="004A0DF7">
          <w:rPr>
            <w:noProof/>
            <w:webHidden/>
          </w:rPr>
        </w:r>
        <w:r w:rsidR="004A0DF7" w:rsidRPr="004A0DF7">
          <w:rPr>
            <w:noProof/>
            <w:webHidden/>
          </w:rPr>
          <w:fldChar w:fldCharType="separate"/>
        </w:r>
        <w:r>
          <w:rPr>
            <w:noProof/>
            <w:webHidden/>
          </w:rPr>
          <w:t>14</w:t>
        </w:r>
        <w:r w:rsidR="004A0DF7" w:rsidRPr="004A0DF7">
          <w:rPr>
            <w:noProof/>
            <w:webHidden/>
          </w:rPr>
          <w:fldChar w:fldCharType="end"/>
        </w:r>
      </w:hyperlink>
    </w:p>
    <w:p w:rsidR="004A0DF7" w:rsidRPr="004A0DF7" w:rsidRDefault="007D1881">
      <w:pPr>
        <w:pStyle w:val="TOC1"/>
        <w:rPr>
          <w:rFonts w:asciiTheme="minorHAnsi" w:eastAsiaTheme="minorEastAsia" w:hAnsiTheme="minorHAnsi" w:cstheme="minorBidi"/>
          <w:noProof/>
          <w:szCs w:val="22"/>
          <w:lang w:eastAsia="en-US"/>
        </w:rPr>
      </w:pPr>
      <w:hyperlink w:anchor="_Toc423533519" w:history="1">
        <w:r w:rsidR="004A0DF7" w:rsidRPr="004A0DF7">
          <w:rPr>
            <w:rStyle w:val="Hyperlink"/>
            <w:noProof/>
          </w:rPr>
          <w:t>COOPERATION WITH EXTERNAL OVERSIGHT BODIES</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_Toc423533519 \h </w:instrText>
        </w:r>
        <w:r w:rsidR="004A0DF7" w:rsidRPr="004A0DF7">
          <w:rPr>
            <w:noProof/>
            <w:webHidden/>
          </w:rPr>
        </w:r>
        <w:r w:rsidR="004A0DF7" w:rsidRPr="004A0DF7">
          <w:rPr>
            <w:noProof/>
            <w:webHidden/>
          </w:rPr>
          <w:fldChar w:fldCharType="separate"/>
        </w:r>
        <w:r>
          <w:rPr>
            <w:noProof/>
            <w:webHidden/>
          </w:rPr>
          <w:t>14</w:t>
        </w:r>
        <w:r w:rsidR="004A0DF7" w:rsidRPr="004A0DF7">
          <w:rPr>
            <w:noProof/>
            <w:webHidden/>
          </w:rPr>
          <w:fldChar w:fldCharType="end"/>
        </w:r>
      </w:hyperlink>
    </w:p>
    <w:p w:rsidR="004A0DF7" w:rsidRPr="004A0DF7" w:rsidRDefault="007D1881">
      <w:pPr>
        <w:pStyle w:val="TOC1"/>
        <w:rPr>
          <w:rFonts w:asciiTheme="minorHAnsi" w:eastAsiaTheme="minorEastAsia" w:hAnsiTheme="minorHAnsi" w:cstheme="minorBidi"/>
          <w:noProof/>
          <w:szCs w:val="22"/>
          <w:lang w:eastAsia="en-US"/>
        </w:rPr>
      </w:pPr>
      <w:hyperlink w:anchor="_Toc423533520" w:history="1">
        <w:r w:rsidR="004A0DF7" w:rsidRPr="004A0DF7">
          <w:rPr>
            <w:rStyle w:val="Hyperlink"/>
            <w:noProof/>
          </w:rPr>
          <w:t>COOPERATION WITH THE OMBUDSMAN AND THE ETHICS OFFICE</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_Toc423533520 \h </w:instrText>
        </w:r>
        <w:r w:rsidR="004A0DF7" w:rsidRPr="004A0DF7">
          <w:rPr>
            <w:noProof/>
            <w:webHidden/>
          </w:rPr>
        </w:r>
        <w:r w:rsidR="004A0DF7" w:rsidRPr="004A0DF7">
          <w:rPr>
            <w:noProof/>
            <w:webHidden/>
          </w:rPr>
          <w:fldChar w:fldCharType="separate"/>
        </w:r>
        <w:r>
          <w:rPr>
            <w:noProof/>
            <w:webHidden/>
          </w:rPr>
          <w:t>15</w:t>
        </w:r>
        <w:r w:rsidR="004A0DF7" w:rsidRPr="004A0DF7">
          <w:rPr>
            <w:noProof/>
            <w:webHidden/>
          </w:rPr>
          <w:fldChar w:fldCharType="end"/>
        </w:r>
      </w:hyperlink>
    </w:p>
    <w:p w:rsidR="004A0DF7" w:rsidRPr="004A0DF7" w:rsidRDefault="007D1881">
      <w:pPr>
        <w:pStyle w:val="TOC1"/>
        <w:rPr>
          <w:rFonts w:asciiTheme="minorHAnsi" w:eastAsiaTheme="minorEastAsia" w:hAnsiTheme="minorHAnsi" w:cstheme="minorBidi"/>
          <w:noProof/>
          <w:szCs w:val="22"/>
          <w:lang w:eastAsia="en-US"/>
        </w:rPr>
      </w:pPr>
      <w:hyperlink w:anchor="_Toc423533521" w:history="1">
        <w:r w:rsidR="004A0DF7" w:rsidRPr="004A0DF7">
          <w:rPr>
            <w:rStyle w:val="Hyperlink"/>
            <w:noProof/>
          </w:rPr>
          <w:t>OVERSIGHT RESOURCES</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_Toc423533521 \h </w:instrText>
        </w:r>
        <w:r w:rsidR="004A0DF7" w:rsidRPr="004A0DF7">
          <w:rPr>
            <w:noProof/>
            <w:webHidden/>
          </w:rPr>
        </w:r>
        <w:r w:rsidR="004A0DF7" w:rsidRPr="004A0DF7">
          <w:rPr>
            <w:noProof/>
            <w:webHidden/>
          </w:rPr>
          <w:fldChar w:fldCharType="separate"/>
        </w:r>
        <w:r>
          <w:rPr>
            <w:noProof/>
            <w:webHidden/>
          </w:rPr>
          <w:t>16</w:t>
        </w:r>
        <w:r w:rsidR="004A0DF7" w:rsidRPr="004A0DF7">
          <w:rPr>
            <w:noProof/>
            <w:webHidden/>
          </w:rPr>
          <w:fldChar w:fldCharType="end"/>
        </w:r>
      </w:hyperlink>
    </w:p>
    <w:p w:rsidR="004B6701" w:rsidRDefault="004B6701" w:rsidP="004B6701">
      <w:pPr>
        <w:keepLines/>
        <w:tabs>
          <w:tab w:val="left" w:leader="dot" w:pos="8910"/>
        </w:tabs>
        <w:spacing w:before="240" w:after="120" w:line="360" w:lineRule="auto"/>
      </w:pPr>
      <w:r>
        <w:fldChar w:fldCharType="end"/>
      </w:r>
    </w:p>
    <w:p w:rsidR="004B6701" w:rsidRPr="00DA5DBB" w:rsidRDefault="004B6701" w:rsidP="004B6701">
      <w:pPr>
        <w:keepLines/>
        <w:tabs>
          <w:tab w:val="left" w:leader="dot" w:pos="8910"/>
        </w:tabs>
        <w:spacing w:before="240" w:after="120" w:line="360" w:lineRule="auto"/>
        <w:rPr>
          <w:b/>
          <w:noProof/>
        </w:rPr>
      </w:pPr>
      <w:r w:rsidRPr="00DA5DBB">
        <w:rPr>
          <w:b/>
          <w:noProof/>
        </w:rPr>
        <w:t>ANNEXES</w:t>
      </w:r>
    </w:p>
    <w:p w:rsidR="00A010A4" w:rsidRDefault="00A010A4" w:rsidP="00A010A4">
      <w:pPr>
        <w:keepLines/>
        <w:tabs>
          <w:tab w:val="left" w:pos="1134"/>
          <w:tab w:val="left" w:pos="1560"/>
        </w:tabs>
        <w:rPr>
          <w:noProof/>
        </w:rPr>
      </w:pPr>
      <w:r>
        <w:rPr>
          <w:noProof/>
        </w:rPr>
        <w:t>ANNEX I</w:t>
      </w:r>
      <w:r>
        <w:rPr>
          <w:noProof/>
        </w:rPr>
        <w:tab/>
      </w:r>
      <w:r w:rsidRPr="00DA5DBB">
        <w:rPr>
          <w:noProof/>
        </w:rPr>
        <w:t xml:space="preserve">– </w:t>
      </w:r>
      <w:r>
        <w:rPr>
          <w:noProof/>
        </w:rPr>
        <w:tab/>
        <w:t>Status of oversight assignments</w:t>
      </w:r>
    </w:p>
    <w:p w:rsidR="00A010A4" w:rsidRPr="00DA5DBB" w:rsidRDefault="00A010A4" w:rsidP="00A010A4">
      <w:pPr>
        <w:keepLines/>
        <w:tabs>
          <w:tab w:val="left" w:pos="1134"/>
          <w:tab w:val="left" w:pos="1560"/>
        </w:tabs>
        <w:rPr>
          <w:noProof/>
        </w:rPr>
      </w:pPr>
      <w:r w:rsidRPr="00DA5DBB">
        <w:rPr>
          <w:noProof/>
        </w:rPr>
        <w:t>ANNEX I</w:t>
      </w:r>
      <w:r>
        <w:rPr>
          <w:noProof/>
        </w:rPr>
        <w:t>I</w:t>
      </w:r>
      <w:r w:rsidRPr="00DA5DBB">
        <w:rPr>
          <w:noProof/>
        </w:rPr>
        <w:t xml:space="preserve"> </w:t>
      </w:r>
      <w:r>
        <w:rPr>
          <w:noProof/>
        </w:rPr>
        <w:tab/>
      </w:r>
      <w:r w:rsidRPr="00DA5DBB">
        <w:rPr>
          <w:noProof/>
        </w:rPr>
        <w:t xml:space="preserve">– </w:t>
      </w:r>
      <w:r>
        <w:rPr>
          <w:noProof/>
        </w:rPr>
        <w:tab/>
        <w:t>List of IOD r</w:t>
      </w:r>
      <w:r w:rsidRPr="00DA5DBB">
        <w:rPr>
          <w:noProof/>
        </w:rPr>
        <w:t>eports</w:t>
      </w:r>
    </w:p>
    <w:p w:rsidR="00A010A4" w:rsidRDefault="00A010A4" w:rsidP="00A010A4">
      <w:pPr>
        <w:keepLines/>
        <w:tabs>
          <w:tab w:val="left" w:pos="1134"/>
          <w:tab w:val="left" w:pos="1560"/>
        </w:tabs>
        <w:rPr>
          <w:noProof/>
        </w:rPr>
      </w:pPr>
      <w:r>
        <w:rPr>
          <w:noProof/>
        </w:rPr>
        <w:t>ANNEX III</w:t>
      </w:r>
      <w:r w:rsidRPr="00DA5DBB">
        <w:rPr>
          <w:noProof/>
        </w:rPr>
        <w:t xml:space="preserve"> </w:t>
      </w:r>
      <w:r>
        <w:rPr>
          <w:noProof/>
        </w:rPr>
        <w:tab/>
      </w:r>
      <w:r w:rsidRPr="00DA5DBB">
        <w:rPr>
          <w:noProof/>
        </w:rPr>
        <w:t xml:space="preserve">– </w:t>
      </w:r>
      <w:r>
        <w:rPr>
          <w:noProof/>
        </w:rPr>
        <w:tab/>
      </w:r>
      <w:r w:rsidRPr="00DA5DBB">
        <w:rPr>
          <w:noProof/>
        </w:rPr>
        <w:t xml:space="preserve">List of </w:t>
      </w:r>
      <w:r>
        <w:rPr>
          <w:noProof/>
        </w:rPr>
        <w:t>IOD</w:t>
      </w:r>
      <w:r w:rsidRPr="00DA5DBB">
        <w:rPr>
          <w:noProof/>
        </w:rPr>
        <w:t xml:space="preserve"> consulting and advisory activities</w:t>
      </w:r>
    </w:p>
    <w:p w:rsidR="004B6701" w:rsidRDefault="004B6701" w:rsidP="004B6701">
      <w:pPr>
        <w:keepLines/>
        <w:tabs>
          <w:tab w:val="left" w:pos="1134"/>
          <w:tab w:val="left" w:pos="1560"/>
        </w:tabs>
        <w:rPr>
          <w:noProof/>
        </w:rPr>
      </w:pPr>
    </w:p>
    <w:p w:rsidR="004B6701" w:rsidRDefault="004B6701" w:rsidP="004B6701">
      <w:pPr>
        <w:keepLines/>
        <w:tabs>
          <w:tab w:val="left" w:pos="1134"/>
          <w:tab w:val="left" w:pos="1560"/>
        </w:tabs>
        <w:rPr>
          <w:noProof/>
        </w:rPr>
        <w:sectPr w:rsidR="004B6701" w:rsidSect="004B6701">
          <w:headerReference w:type="first" r:id="rId12"/>
          <w:endnotePr>
            <w:numFmt w:val="decimal"/>
          </w:endnotePr>
          <w:pgSz w:w="11907" w:h="16840" w:code="9"/>
          <w:pgMar w:top="567" w:right="1134" w:bottom="1418" w:left="1418" w:header="510" w:footer="1021" w:gutter="0"/>
          <w:cols w:space="720"/>
          <w:titlePg/>
          <w:docGrid w:linePitch="299"/>
        </w:sectPr>
      </w:pPr>
    </w:p>
    <w:p w:rsidR="002928D3" w:rsidRDefault="006A0D3F" w:rsidP="00CE2815">
      <w:pPr>
        <w:pStyle w:val="Heading1"/>
      </w:pPr>
      <w:bookmarkStart w:id="9" w:name="_Toc423533508"/>
      <w:r>
        <w:lastRenderedPageBreak/>
        <w:t>LIST OF ACRONYMS</w:t>
      </w:r>
      <w:bookmarkEnd w:id="9"/>
    </w:p>
    <w:p w:rsidR="00CE2815" w:rsidRDefault="00CE2815" w:rsidP="004B6701"/>
    <w:tbl>
      <w:tblPr>
        <w:tblStyle w:val="TableGrid"/>
        <w:tblW w:w="0" w:type="auto"/>
        <w:tblInd w:w="0" w:type="dxa"/>
        <w:tblLook w:val="01E0" w:firstRow="1" w:lastRow="1" w:firstColumn="1" w:lastColumn="1" w:noHBand="0" w:noVBand="0"/>
      </w:tblPr>
      <w:tblGrid>
        <w:gridCol w:w="1384"/>
        <w:gridCol w:w="8079"/>
      </w:tblGrid>
      <w:tr w:rsidR="00871CAE" w:rsidRPr="004D6A1C" w:rsidTr="005D7F4E">
        <w:trPr>
          <w:trHeight w:val="340"/>
        </w:trPr>
        <w:tc>
          <w:tcPr>
            <w:tcW w:w="1384" w:type="dxa"/>
            <w:vAlign w:val="center"/>
          </w:tcPr>
          <w:p w:rsidR="00871CAE" w:rsidRPr="004D6A1C" w:rsidRDefault="00871CAE" w:rsidP="00871CAE">
            <w:pPr>
              <w:ind w:left="0"/>
              <w:rPr>
                <w:b/>
                <w:bCs/>
                <w:szCs w:val="22"/>
              </w:rPr>
            </w:pPr>
            <w:r w:rsidRPr="004D6A1C">
              <w:rPr>
                <w:b/>
                <w:bCs/>
                <w:szCs w:val="22"/>
              </w:rPr>
              <w:t>BCM</w:t>
            </w:r>
          </w:p>
        </w:tc>
        <w:tc>
          <w:tcPr>
            <w:tcW w:w="8079" w:type="dxa"/>
            <w:vAlign w:val="center"/>
          </w:tcPr>
          <w:p w:rsidR="00871CAE" w:rsidRPr="004D6A1C" w:rsidRDefault="00871CAE" w:rsidP="005D7F4E">
            <w:pPr>
              <w:tabs>
                <w:tab w:val="right" w:pos="6880"/>
              </w:tabs>
              <w:ind w:left="43"/>
            </w:pPr>
            <w:r w:rsidRPr="004D6A1C">
              <w:t>Business Continuity Management</w:t>
            </w:r>
          </w:p>
        </w:tc>
      </w:tr>
      <w:tr w:rsidR="00963387" w:rsidRPr="001164EA" w:rsidTr="005D7F4E">
        <w:trPr>
          <w:trHeight w:val="340"/>
        </w:trPr>
        <w:tc>
          <w:tcPr>
            <w:tcW w:w="1384" w:type="dxa"/>
            <w:vAlign w:val="center"/>
          </w:tcPr>
          <w:p w:rsidR="00963387" w:rsidRPr="004D6A1C" w:rsidRDefault="00963387" w:rsidP="00963387">
            <w:pPr>
              <w:ind w:left="0"/>
              <w:rPr>
                <w:b/>
                <w:bCs/>
                <w:szCs w:val="22"/>
              </w:rPr>
            </w:pPr>
            <w:r w:rsidRPr="004D6A1C">
              <w:rPr>
                <w:b/>
                <w:bCs/>
                <w:szCs w:val="22"/>
              </w:rPr>
              <w:t>CII</w:t>
            </w:r>
          </w:p>
        </w:tc>
        <w:tc>
          <w:tcPr>
            <w:tcW w:w="8079" w:type="dxa"/>
            <w:vAlign w:val="center"/>
          </w:tcPr>
          <w:p w:rsidR="00963387" w:rsidRDefault="00963387" w:rsidP="005D7F4E">
            <w:pPr>
              <w:tabs>
                <w:tab w:val="right" w:pos="6880"/>
              </w:tabs>
              <w:ind w:left="43"/>
            </w:pPr>
            <w:r w:rsidRPr="004D6A1C">
              <w:t>Conference of International Investigators</w:t>
            </w:r>
          </w:p>
        </w:tc>
      </w:tr>
      <w:tr w:rsidR="00871CAE" w:rsidRPr="001164EA" w:rsidTr="005D7F4E">
        <w:trPr>
          <w:trHeight w:val="340"/>
        </w:trPr>
        <w:tc>
          <w:tcPr>
            <w:tcW w:w="1384" w:type="dxa"/>
            <w:vAlign w:val="center"/>
          </w:tcPr>
          <w:p w:rsidR="00871CAE" w:rsidRPr="001329B3" w:rsidRDefault="00871CAE" w:rsidP="00871CAE">
            <w:pPr>
              <w:ind w:left="0"/>
              <w:rPr>
                <w:b/>
                <w:bCs/>
                <w:szCs w:val="22"/>
              </w:rPr>
            </w:pPr>
            <w:r>
              <w:rPr>
                <w:b/>
                <w:bCs/>
                <w:szCs w:val="22"/>
              </w:rPr>
              <w:t>CPE</w:t>
            </w:r>
          </w:p>
        </w:tc>
        <w:tc>
          <w:tcPr>
            <w:tcW w:w="8079" w:type="dxa"/>
            <w:vAlign w:val="center"/>
          </w:tcPr>
          <w:p w:rsidR="00871CAE" w:rsidRDefault="00871CAE" w:rsidP="005D7F4E">
            <w:pPr>
              <w:tabs>
                <w:tab w:val="right" w:pos="6880"/>
              </w:tabs>
              <w:ind w:left="43"/>
            </w:pPr>
            <w:r>
              <w:t>Country Portfolio Evaluation</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sidRPr="001329B3">
              <w:rPr>
                <w:b/>
                <w:bCs/>
                <w:szCs w:val="22"/>
              </w:rPr>
              <w:t>HR</w:t>
            </w:r>
          </w:p>
        </w:tc>
        <w:tc>
          <w:tcPr>
            <w:tcW w:w="8079" w:type="dxa"/>
            <w:vAlign w:val="center"/>
          </w:tcPr>
          <w:p w:rsidR="00CE2815" w:rsidRPr="001329B3" w:rsidRDefault="00CE2815" w:rsidP="005D7F4E">
            <w:pPr>
              <w:ind w:left="43"/>
            </w:pPr>
            <w:r w:rsidRPr="00DA5DBB">
              <w:t>Human Resources</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sidRPr="001329B3">
              <w:rPr>
                <w:b/>
                <w:bCs/>
                <w:szCs w:val="22"/>
              </w:rPr>
              <w:t>HRMD</w:t>
            </w:r>
          </w:p>
        </w:tc>
        <w:tc>
          <w:tcPr>
            <w:tcW w:w="8079" w:type="dxa"/>
            <w:vAlign w:val="center"/>
          </w:tcPr>
          <w:p w:rsidR="00CE2815" w:rsidRPr="001329B3" w:rsidRDefault="00CE2815" w:rsidP="005D7F4E">
            <w:pPr>
              <w:ind w:left="43"/>
            </w:pPr>
            <w:r w:rsidRPr="00DA5DBB">
              <w:t>Human Resources Management Department</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sidRPr="001329B3">
              <w:rPr>
                <w:b/>
                <w:bCs/>
                <w:szCs w:val="22"/>
              </w:rPr>
              <w:t>IAOC</w:t>
            </w:r>
          </w:p>
        </w:tc>
        <w:tc>
          <w:tcPr>
            <w:tcW w:w="8079" w:type="dxa"/>
            <w:vAlign w:val="center"/>
          </w:tcPr>
          <w:p w:rsidR="00CE2815" w:rsidRPr="001329B3" w:rsidRDefault="00CE2815" w:rsidP="005D7F4E">
            <w:pPr>
              <w:ind w:left="43"/>
            </w:pPr>
            <w:r w:rsidRPr="00DA5DBB">
              <w:t>Independent Advisory Oversight Committee</w:t>
            </w:r>
          </w:p>
        </w:tc>
      </w:tr>
      <w:tr w:rsidR="00CE2815" w:rsidRPr="001164EA" w:rsidTr="005D7F4E">
        <w:trPr>
          <w:trHeight w:val="340"/>
        </w:trPr>
        <w:tc>
          <w:tcPr>
            <w:tcW w:w="1384" w:type="dxa"/>
            <w:vAlign w:val="center"/>
          </w:tcPr>
          <w:p w:rsidR="00CE2815" w:rsidRPr="001164EA" w:rsidRDefault="004D6A1C" w:rsidP="005D7F4E">
            <w:pPr>
              <w:ind w:left="0"/>
              <w:rPr>
                <w:b/>
                <w:bCs/>
                <w:szCs w:val="22"/>
              </w:rPr>
            </w:pPr>
            <w:r>
              <w:rPr>
                <w:b/>
                <w:bCs/>
                <w:szCs w:val="22"/>
              </w:rPr>
              <w:t>I</w:t>
            </w:r>
            <w:r w:rsidR="00CE2815" w:rsidRPr="001329B3">
              <w:rPr>
                <w:b/>
                <w:bCs/>
                <w:szCs w:val="22"/>
              </w:rPr>
              <w:t>OD</w:t>
            </w:r>
          </w:p>
        </w:tc>
        <w:tc>
          <w:tcPr>
            <w:tcW w:w="8079" w:type="dxa"/>
            <w:vAlign w:val="center"/>
          </w:tcPr>
          <w:p w:rsidR="00CE2815" w:rsidRPr="001329B3" w:rsidRDefault="00CE2815" w:rsidP="004D6A1C">
            <w:pPr>
              <w:ind w:left="43"/>
            </w:pPr>
            <w:r w:rsidRPr="00DA5DBB">
              <w:t>Internal Oversight Division</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IIA</w:t>
            </w:r>
          </w:p>
        </w:tc>
        <w:tc>
          <w:tcPr>
            <w:tcW w:w="8079" w:type="dxa"/>
            <w:vAlign w:val="center"/>
          </w:tcPr>
          <w:p w:rsidR="00CE2815" w:rsidRPr="001329B3" w:rsidRDefault="00CE2815" w:rsidP="005D7F4E">
            <w:pPr>
              <w:ind w:left="43"/>
            </w:pPr>
            <w:r w:rsidRPr="00DA5DBB">
              <w:t>Institute of Internal Auditors</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IOC</w:t>
            </w:r>
          </w:p>
        </w:tc>
        <w:tc>
          <w:tcPr>
            <w:tcW w:w="8079" w:type="dxa"/>
            <w:vAlign w:val="center"/>
          </w:tcPr>
          <w:p w:rsidR="00CE2815" w:rsidRPr="001329B3" w:rsidRDefault="00CE2815" w:rsidP="005D7F4E">
            <w:pPr>
              <w:ind w:left="43"/>
            </w:pPr>
            <w:r w:rsidRPr="00DA5DBB">
              <w:t>Internal Oversight Charter</w:t>
            </w:r>
          </w:p>
        </w:tc>
      </w:tr>
      <w:tr w:rsidR="00871CAE" w:rsidRPr="001164EA" w:rsidTr="005D7F4E">
        <w:trPr>
          <w:trHeight w:val="340"/>
        </w:trPr>
        <w:tc>
          <w:tcPr>
            <w:tcW w:w="1384" w:type="dxa"/>
            <w:vAlign w:val="center"/>
          </w:tcPr>
          <w:p w:rsidR="00871CAE" w:rsidRDefault="00871CAE" w:rsidP="00871CAE">
            <w:pPr>
              <w:ind w:left="0"/>
              <w:rPr>
                <w:b/>
                <w:bCs/>
                <w:szCs w:val="22"/>
              </w:rPr>
            </w:pPr>
            <w:r>
              <w:rPr>
                <w:b/>
                <w:bCs/>
                <w:szCs w:val="22"/>
              </w:rPr>
              <w:t>IP</w:t>
            </w:r>
          </w:p>
        </w:tc>
        <w:tc>
          <w:tcPr>
            <w:tcW w:w="8079" w:type="dxa"/>
            <w:vAlign w:val="center"/>
          </w:tcPr>
          <w:p w:rsidR="00871CAE" w:rsidRDefault="00871CAE" w:rsidP="005D7F4E">
            <w:pPr>
              <w:ind w:left="43"/>
            </w:pPr>
            <w:r>
              <w:t>Intellectual Property</w:t>
            </w:r>
          </w:p>
        </w:tc>
      </w:tr>
      <w:tr w:rsidR="00F50E35" w:rsidRPr="001164EA" w:rsidTr="005D7F4E">
        <w:trPr>
          <w:trHeight w:val="340"/>
        </w:trPr>
        <w:tc>
          <w:tcPr>
            <w:tcW w:w="1384" w:type="dxa"/>
            <w:vAlign w:val="center"/>
          </w:tcPr>
          <w:p w:rsidR="00F50E35" w:rsidRDefault="00F50E35" w:rsidP="00F50E35">
            <w:pPr>
              <w:ind w:left="0"/>
              <w:rPr>
                <w:b/>
                <w:bCs/>
                <w:szCs w:val="22"/>
              </w:rPr>
            </w:pPr>
            <w:r>
              <w:rPr>
                <w:b/>
                <w:bCs/>
                <w:szCs w:val="22"/>
              </w:rPr>
              <w:t>IPPF</w:t>
            </w:r>
          </w:p>
        </w:tc>
        <w:tc>
          <w:tcPr>
            <w:tcW w:w="8079" w:type="dxa"/>
            <w:vAlign w:val="center"/>
          </w:tcPr>
          <w:p w:rsidR="00F50E35" w:rsidRDefault="00F50E35" w:rsidP="00F50E35">
            <w:pPr>
              <w:ind w:left="43"/>
            </w:pPr>
            <w:r w:rsidRPr="00E32ADE">
              <w:t>International P</w:t>
            </w:r>
            <w:r>
              <w:t>rofessional Practices Framework</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IT</w:t>
            </w:r>
          </w:p>
        </w:tc>
        <w:tc>
          <w:tcPr>
            <w:tcW w:w="8079" w:type="dxa"/>
            <w:vAlign w:val="center"/>
          </w:tcPr>
          <w:p w:rsidR="00CE2815" w:rsidRPr="001329B3" w:rsidRDefault="00CE2815" w:rsidP="005D7F4E">
            <w:pPr>
              <w:ind w:left="43"/>
            </w:pPr>
            <w:r>
              <w:t>Information Technology</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JGP</w:t>
            </w:r>
          </w:p>
        </w:tc>
        <w:tc>
          <w:tcPr>
            <w:tcW w:w="8079" w:type="dxa"/>
            <w:vAlign w:val="center"/>
          </w:tcPr>
          <w:p w:rsidR="00CE2815" w:rsidRPr="001329B3" w:rsidRDefault="00CE2815" w:rsidP="005D7F4E">
            <w:pPr>
              <w:ind w:left="43"/>
            </w:pPr>
            <w:r>
              <w:t>Joint Grievance Panel</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JIU</w:t>
            </w:r>
          </w:p>
        </w:tc>
        <w:tc>
          <w:tcPr>
            <w:tcW w:w="8079" w:type="dxa"/>
            <w:vAlign w:val="center"/>
          </w:tcPr>
          <w:p w:rsidR="00CE2815" w:rsidRPr="001329B3" w:rsidRDefault="00CE2815" w:rsidP="005D7F4E">
            <w:pPr>
              <w:ind w:left="43"/>
            </w:pPr>
            <w:r>
              <w:t>Joint Inspection Unit</w:t>
            </w:r>
          </w:p>
        </w:tc>
      </w:tr>
      <w:tr w:rsidR="00F812A1" w:rsidRPr="001164EA" w:rsidTr="005D7F4E">
        <w:trPr>
          <w:trHeight w:val="340"/>
        </w:trPr>
        <w:tc>
          <w:tcPr>
            <w:tcW w:w="1384" w:type="dxa"/>
            <w:vAlign w:val="center"/>
          </w:tcPr>
          <w:p w:rsidR="00F812A1" w:rsidRDefault="00F812A1" w:rsidP="00F812A1">
            <w:pPr>
              <w:ind w:left="0"/>
              <w:rPr>
                <w:b/>
                <w:bCs/>
                <w:szCs w:val="22"/>
              </w:rPr>
            </w:pPr>
            <w:r>
              <w:rPr>
                <w:b/>
                <w:bCs/>
                <w:szCs w:val="22"/>
              </w:rPr>
              <w:t>LDC</w:t>
            </w:r>
          </w:p>
        </w:tc>
        <w:tc>
          <w:tcPr>
            <w:tcW w:w="8079" w:type="dxa"/>
            <w:vAlign w:val="center"/>
          </w:tcPr>
          <w:p w:rsidR="00F812A1" w:rsidRDefault="00F812A1" w:rsidP="00E07818">
            <w:pPr>
              <w:ind w:left="43"/>
            </w:pPr>
            <w:r w:rsidRPr="00F812A1">
              <w:t>Least Developed Countries</w:t>
            </w:r>
          </w:p>
        </w:tc>
      </w:tr>
      <w:tr w:rsidR="00E07818" w:rsidRPr="001164EA" w:rsidTr="005D7F4E">
        <w:trPr>
          <w:trHeight w:val="340"/>
        </w:trPr>
        <w:tc>
          <w:tcPr>
            <w:tcW w:w="1384" w:type="dxa"/>
            <w:vAlign w:val="center"/>
          </w:tcPr>
          <w:p w:rsidR="00E07818" w:rsidRDefault="00E07818" w:rsidP="00E07818">
            <w:pPr>
              <w:ind w:left="0"/>
              <w:rPr>
                <w:b/>
                <w:bCs/>
                <w:szCs w:val="22"/>
              </w:rPr>
            </w:pPr>
            <w:r>
              <w:rPr>
                <w:b/>
                <w:bCs/>
                <w:szCs w:val="22"/>
              </w:rPr>
              <w:t>MIR</w:t>
            </w:r>
          </w:p>
        </w:tc>
        <w:tc>
          <w:tcPr>
            <w:tcW w:w="8079" w:type="dxa"/>
            <w:vAlign w:val="center"/>
          </w:tcPr>
          <w:p w:rsidR="00E07818" w:rsidRDefault="00E07818" w:rsidP="00E07818">
            <w:pPr>
              <w:ind w:left="43"/>
            </w:pPr>
            <w:r>
              <w:t>Management Implication Report</w:t>
            </w:r>
          </w:p>
        </w:tc>
      </w:tr>
      <w:tr w:rsidR="00871CAE" w:rsidRPr="001164EA" w:rsidTr="005D7F4E">
        <w:trPr>
          <w:trHeight w:val="340"/>
        </w:trPr>
        <w:tc>
          <w:tcPr>
            <w:tcW w:w="1384" w:type="dxa"/>
            <w:vAlign w:val="center"/>
          </w:tcPr>
          <w:p w:rsidR="00871CAE" w:rsidRDefault="00871CAE" w:rsidP="00871CAE">
            <w:pPr>
              <w:ind w:left="0"/>
              <w:rPr>
                <w:b/>
                <w:bCs/>
                <w:szCs w:val="22"/>
              </w:rPr>
            </w:pPr>
            <w:r>
              <w:rPr>
                <w:b/>
                <w:bCs/>
                <w:szCs w:val="22"/>
              </w:rPr>
              <w:t>PBC</w:t>
            </w:r>
          </w:p>
        </w:tc>
        <w:tc>
          <w:tcPr>
            <w:tcW w:w="8079" w:type="dxa"/>
            <w:vAlign w:val="center"/>
          </w:tcPr>
          <w:p w:rsidR="00871CAE" w:rsidRPr="00DA5DBB" w:rsidRDefault="00871CAE" w:rsidP="005D7F4E">
            <w:pPr>
              <w:ind w:left="43"/>
            </w:pPr>
            <w:r>
              <w:t>Program and Budget Committee</w:t>
            </w:r>
          </w:p>
        </w:tc>
      </w:tr>
      <w:tr w:rsidR="00871CAE" w:rsidRPr="001164EA" w:rsidTr="005D7F4E">
        <w:trPr>
          <w:trHeight w:val="340"/>
        </w:trPr>
        <w:tc>
          <w:tcPr>
            <w:tcW w:w="1384" w:type="dxa"/>
            <w:vAlign w:val="center"/>
          </w:tcPr>
          <w:p w:rsidR="00871CAE" w:rsidRDefault="00871CAE" w:rsidP="00871CAE">
            <w:pPr>
              <w:ind w:left="0"/>
              <w:rPr>
                <w:b/>
                <w:bCs/>
                <w:szCs w:val="22"/>
              </w:rPr>
            </w:pPr>
            <w:r>
              <w:rPr>
                <w:b/>
                <w:bCs/>
                <w:szCs w:val="22"/>
              </w:rPr>
              <w:t>PPR</w:t>
            </w:r>
          </w:p>
        </w:tc>
        <w:tc>
          <w:tcPr>
            <w:tcW w:w="8079" w:type="dxa"/>
            <w:vAlign w:val="center"/>
          </w:tcPr>
          <w:p w:rsidR="00871CAE" w:rsidRDefault="00871CAE" w:rsidP="005D7F4E">
            <w:pPr>
              <w:ind w:left="43"/>
            </w:pPr>
            <w:r>
              <w:t>Program Performance Report</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RBM</w:t>
            </w:r>
          </w:p>
        </w:tc>
        <w:tc>
          <w:tcPr>
            <w:tcW w:w="8079" w:type="dxa"/>
            <w:vAlign w:val="center"/>
          </w:tcPr>
          <w:p w:rsidR="00CE2815" w:rsidRPr="001329B3" w:rsidRDefault="00CE2815" w:rsidP="005D7F4E">
            <w:pPr>
              <w:ind w:left="43"/>
            </w:pPr>
            <w:r>
              <w:t>Results based management</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RIAS</w:t>
            </w:r>
          </w:p>
        </w:tc>
        <w:tc>
          <w:tcPr>
            <w:tcW w:w="8079" w:type="dxa"/>
            <w:vAlign w:val="center"/>
          </w:tcPr>
          <w:p w:rsidR="00CE2815" w:rsidRPr="001329B3" w:rsidRDefault="00CE2815" w:rsidP="005D7F4E">
            <w:pPr>
              <w:ind w:left="43"/>
            </w:pPr>
            <w:r w:rsidRPr="00DA5DBB">
              <w:t>Representatives of Internal Audit Services</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RRP</w:t>
            </w:r>
          </w:p>
        </w:tc>
        <w:tc>
          <w:tcPr>
            <w:tcW w:w="8079" w:type="dxa"/>
            <w:vAlign w:val="center"/>
          </w:tcPr>
          <w:p w:rsidR="00CE2815" w:rsidRPr="001329B3" w:rsidRDefault="00CE2815" w:rsidP="005D7F4E">
            <w:pPr>
              <w:ind w:left="43"/>
            </w:pPr>
            <w:r>
              <w:t>Rewards and Recognition Program</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SMT</w:t>
            </w:r>
          </w:p>
        </w:tc>
        <w:tc>
          <w:tcPr>
            <w:tcW w:w="8079" w:type="dxa"/>
            <w:vAlign w:val="center"/>
          </w:tcPr>
          <w:p w:rsidR="00CE2815" w:rsidRPr="001329B3" w:rsidRDefault="00CE2815" w:rsidP="005D7F4E">
            <w:pPr>
              <w:ind w:left="43"/>
            </w:pPr>
            <w:r w:rsidRPr="00DA5DBB">
              <w:t>Senior Management Team</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SRP</w:t>
            </w:r>
          </w:p>
        </w:tc>
        <w:tc>
          <w:tcPr>
            <w:tcW w:w="8079" w:type="dxa"/>
            <w:vAlign w:val="center"/>
          </w:tcPr>
          <w:p w:rsidR="00CE2815" w:rsidRPr="001329B3" w:rsidRDefault="00CE2815" w:rsidP="005D7F4E">
            <w:pPr>
              <w:ind w:left="43"/>
            </w:pPr>
            <w:r>
              <w:t>Strategic Realignment Program</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UN</w:t>
            </w:r>
          </w:p>
        </w:tc>
        <w:tc>
          <w:tcPr>
            <w:tcW w:w="8079" w:type="dxa"/>
            <w:vAlign w:val="center"/>
          </w:tcPr>
          <w:p w:rsidR="00CE2815" w:rsidRPr="001329B3" w:rsidRDefault="00CE2815" w:rsidP="005D7F4E">
            <w:pPr>
              <w:ind w:left="43"/>
            </w:pPr>
            <w:r w:rsidRPr="00DA5DBB">
              <w:t>United Nations</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UNEG</w:t>
            </w:r>
          </w:p>
        </w:tc>
        <w:tc>
          <w:tcPr>
            <w:tcW w:w="8079" w:type="dxa"/>
            <w:vAlign w:val="center"/>
          </w:tcPr>
          <w:p w:rsidR="00CE2815" w:rsidRPr="001329B3" w:rsidRDefault="001C1E16" w:rsidP="005D7F4E">
            <w:pPr>
              <w:ind w:left="43"/>
            </w:pPr>
            <w:r w:rsidRPr="00DA5DBB">
              <w:t xml:space="preserve">United Nations </w:t>
            </w:r>
            <w:r w:rsidR="00CE2815" w:rsidRPr="00DA5DBB">
              <w:t>Evaluation Group</w:t>
            </w:r>
          </w:p>
        </w:tc>
      </w:tr>
      <w:tr w:rsidR="00EA2EF2" w:rsidRPr="001164EA" w:rsidTr="00881C5C">
        <w:trPr>
          <w:trHeight w:val="340"/>
        </w:trPr>
        <w:tc>
          <w:tcPr>
            <w:tcW w:w="1384" w:type="dxa"/>
            <w:vAlign w:val="center"/>
          </w:tcPr>
          <w:p w:rsidR="00EA2EF2" w:rsidRDefault="00EA2EF2" w:rsidP="00881C5C">
            <w:pPr>
              <w:ind w:left="0"/>
              <w:rPr>
                <w:b/>
                <w:bCs/>
                <w:szCs w:val="22"/>
              </w:rPr>
            </w:pPr>
            <w:r>
              <w:rPr>
                <w:b/>
                <w:bCs/>
                <w:szCs w:val="22"/>
              </w:rPr>
              <w:t>UNICC</w:t>
            </w:r>
          </w:p>
        </w:tc>
        <w:tc>
          <w:tcPr>
            <w:tcW w:w="8079" w:type="dxa"/>
            <w:vAlign w:val="center"/>
          </w:tcPr>
          <w:p w:rsidR="00EA2EF2" w:rsidRDefault="001C1E16" w:rsidP="00881C5C">
            <w:pPr>
              <w:ind w:left="43"/>
            </w:pPr>
            <w:r w:rsidRPr="00DA5DBB">
              <w:t>United Nations</w:t>
            </w:r>
            <w:r w:rsidR="00EA2EF2">
              <w:t xml:space="preserve"> International Computing Centre</w:t>
            </w:r>
          </w:p>
        </w:tc>
      </w:tr>
      <w:tr w:rsidR="00CE2815" w:rsidRPr="001164EA" w:rsidTr="005D7F4E">
        <w:trPr>
          <w:trHeight w:val="340"/>
        </w:trPr>
        <w:tc>
          <w:tcPr>
            <w:tcW w:w="1384" w:type="dxa"/>
            <w:vAlign w:val="center"/>
          </w:tcPr>
          <w:p w:rsidR="00CE2815" w:rsidRDefault="00CE2815" w:rsidP="005D7F4E">
            <w:pPr>
              <w:ind w:left="0"/>
              <w:rPr>
                <w:b/>
                <w:bCs/>
                <w:szCs w:val="22"/>
              </w:rPr>
            </w:pPr>
            <w:r>
              <w:rPr>
                <w:b/>
                <w:bCs/>
                <w:szCs w:val="22"/>
              </w:rPr>
              <w:t>UNRIS</w:t>
            </w:r>
          </w:p>
        </w:tc>
        <w:tc>
          <w:tcPr>
            <w:tcW w:w="8079" w:type="dxa"/>
            <w:vAlign w:val="center"/>
          </w:tcPr>
          <w:p w:rsidR="00CE2815" w:rsidRPr="00DA5DBB" w:rsidRDefault="001C1E16" w:rsidP="005D7F4E">
            <w:pPr>
              <w:ind w:left="43"/>
            </w:pPr>
            <w:r w:rsidRPr="00DA5DBB">
              <w:t>United Nations</w:t>
            </w:r>
            <w:r w:rsidR="00CE2815" w:rsidRPr="00DA5DBB">
              <w:t xml:space="preserve"> </w:t>
            </w:r>
            <w:r w:rsidR="00CE2815">
              <w:t>Representatives of Investigation Services</w:t>
            </w:r>
          </w:p>
        </w:tc>
      </w:tr>
      <w:tr w:rsidR="00AE5ACD" w:rsidRPr="001164EA" w:rsidTr="005D7F4E">
        <w:trPr>
          <w:trHeight w:val="340"/>
        </w:trPr>
        <w:tc>
          <w:tcPr>
            <w:tcW w:w="1384" w:type="dxa"/>
            <w:vAlign w:val="center"/>
          </w:tcPr>
          <w:p w:rsidR="00AE5ACD" w:rsidRDefault="00AE5ACD" w:rsidP="00AE5ACD">
            <w:pPr>
              <w:ind w:left="0"/>
              <w:rPr>
                <w:b/>
                <w:bCs/>
                <w:szCs w:val="22"/>
              </w:rPr>
            </w:pPr>
            <w:r>
              <w:rPr>
                <w:b/>
                <w:bCs/>
                <w:szCs w:val="22"/>
              </w:rPr>
              <w:t>WAB</w:t>
            </w:r>
          </w:p>
        </w:tc>
        <w:tc>
          <w:tcPr>
            <w:tcW w:w="8079" w:type="dxa"/>
            <w:vAlign w:val="center"/>
          </w:tcPr>
          <w:p w:rsidR="00AE5ACD" w:rsidRDefault="00AE5ACD" w:rsidP="005D7F4E">
            <w:pPr>
              <w:ind w:left="43"/>
            </w:pPr>
            <w:r>
              <w:t>WIPO Appeals Board</w:t>
            </w:r>
          </w:p>
        </w:tc>
      </w:tr>
      <w:tr w:rsidR="001C1E16" w:rsidRPr="001164EA" w:rsidTr="005D7F4E">
        <w:trPr>
          <w:trHeight w:val="340"/>
        </w:trPr>
        <w:tc>
          <w:tcPr>
            <w:tcW w:w="1384" w:type="dxa"/>
            <w:vAlign w:val="center"/>
          </w:tcPr>
          <w:p w:rsidR="001C1E16" w:rsidRDefault="001C1E16" w:rsidP="001C1E16">
            <w:pPr>
              <w:ind w:left="0"/>
              <w:rPr>
                <w:b/>
                <w:bCs/>
                <w:szCs w:val="22"/>
              </w:rPr>
            </w:pPr>
            <w:r>
              <w:rPr>
                <w:b/>
                <w:bCs/>
                <w:szCs w:val="22"/>
              </w:rPr>
              <w:t>WIPO</w:t>
            </w:r>
          </w:p>
        </w:tc>
        <w:tc>
          <w:tcPr>
            <w:tcW w:w="8079" w:type="dxa"/>
            <w:vAlign w:val="center"/>
          </w:tcPr>
          <w:p w:rsidR="001C1E16" w:rsidRDefault="001C1E16" w:rsidP="005D7F4E">
            <w:pPr>
              <w:ind w:left="43"/>
            </w:pPr>
            <w:r>
              <w:t>World Intellectual Property Organization</w:t>
            </w:r>
          </w:p>
        </w:tc>
      </w:tr>
    </w:tbl>
    <w:p w:rsidR="00CE2815" w:rsidRDefault="00CE2815" w:rsidP="004B6701">
      <w:pPr>
        <w:sectPr w:rsidR="00CE2815" w:rsidSect="00CE2815">
          <w:headerReference w:type="first" r:id="rId13"/>
          <w:endnotePr>
            <w:numFmt w:val="decimal"/>
          </w:endnotePr>
          <w:pgSz w:w="11907" w:h="16840" w:code="9"/>
          <w:pgMar w:top="1305" w:right="1134" w:bottom="1418" w:left="1418" w:header="510" w:footer="1021" w:gutter="0"/>
          <w:pgNumType w:start="2"/>
          <w:cols w:space="720"/>
          <w:titlePg/>
          <w:docGrid w:linePitch="299"/>
        </w:sectPr>
      </w:pPr>
    </w:p>
    <w:p w:rsidR="00E365E6" w:rsidRPr="00DA5DBB" w:rsidRDefault="00E365E6" w:rsidP="00E365E6">
      <w:pPr>
        <w:pStyle w:val="Heading1"/>
        <w:keepLines/>
        <w:jc w:val="center"/>
      </w:pPr>
      <w:bookmarkStart w:id="10" w:name="_Toc392160703"/>
      <w:bookmarkStart w:id="11" w:name="_Toc392160740"/>
      <w:bookmarkStart w:id="12" w:name="_Toc423530309"/>
      <w:bookmarkStart w:id="13" w:name="_Toc423533365"/>
      <w:bookmarkStart w:id="14" w:name="_Toc423533509"/>
      <w:r w:rsidRPr="00DA5DBB">
        <w:lastRenderedPageBreak/>
        <w:t>ANNUAL REPORT OF THE DIRECTOR</w:t>
      </w:r>
      <w:r w:rsidR="005D7F4E">
        <w:t xml:space="preserve"> </w:t>
      </w:r>
      <w:r w:rsidR="004D6A1C">
        <w:t xml:space="preserve">OF </w:t>
      </w:r>
      <w:r>
        <w:rPr>
          <w:rStyle w:val="Heading2Char"/>
          <w:bCs/>
          <w:iCs w:val="0"/>
        </w:rPr>
        <w:t>I</w:t>
      </w:r>
      <w:bookmarkEnd w:id="10"/>
      <w:bookmarkEnd w:id="11"/>
      <w:r w:rsidR="00E218C9">
        <w:rPr>
          <w:rStyle w:val="Heading2Char"/>
          <w:bCs/>
          <w:iCs w:val="0"/>
        </w:rPr>
        <w:t>NTERNAL OVERSIGHT DIVISION</w:t>
      </w:r>
      <w:bookmarkEnd w:id="12"/>
      <w:bookmarkEnd w:id="13"/>
      <w:bookmarkEnd w:id="14"/>
    </w:p>
    <w:p w:rsidR="00E365E6" w:rsidRPr="00DA5DBB" w:rsidRDefault="00E365E6" w:rsidP="00E365E6">
      <w:pPr>
        <w:keepLines/>
      </w:pPr>
    </w:p>
    <w:p w:rsidR="00E365E6" w:rsidRPr="00DA5DBB" w:rsidRDefault="00E365E6" w:rsidP="00E365E6">
      <w:pPr>
        <w:keepLines/>
      </w:pPr>
      <w:r w:rsidRPr="00DA5DBB">
        <w:t>July 1, 201</w:t>
      </w:r>
      <w:r w:rsidR="00791391">
        <w:t>4</w:t>
      </w:r>
      <w:r w:rsidRPr="00DA5DBB">
        <w:t xml:space="preserve"> to June 30, 201</w:t>
      </w:r>
      <w:r w:rsidR="00791391">
        <w:t>5</w:t>
      </w:r>
    </w:p>
    <w:p w:rsidR="00CE2815" w:rsidRDefault="00CE2815" w:rsidP="004B6701"/>
    <w:p w:rsidR="00E32ADE" w:rsidRPr="00E32ADE" w:rsidRDefault="00E32ADE" w:rsidP="00E32ADE">
      <w:pPr>
        <w:keepNext/>
        <w:spacing w:before="360" w:after="360"/>
        <w:outlineLvl w:val="0"/>
        <w:rPr>
          <w:b/>
          <w:bCs/>
          <w:caps/>
          <w:kern w:val="32"/>
          <w:szCs w:val="32"/>
        </w:rPr>
      </w:pPr>
      <w:bookmarkStart w:id="15" w:name="_Toc420663565"/>
      <w:bookmarkStart w:id="16" w:name="_Toc423533510"/>
      <w:r w:rsidRPr="00E32ADE">
        <w:rPr>
          <w:b/>
          <w:bCs/>
          <w:caps/>
          <w:kern w:val="32"/>
          <w:szCs w:val="32"/>
        </w:rPr>
        <w:t>BACKGROUND</w:t>
      </w:r>
      <w:bookmarkEnd w:id="15"/>
      <w:bookmarkEnd w:id="16"/>
    </w:p>
    <w:p w:rsidR="00E32ADE" w:rsidRPr="00E32ADE" w:rsidRDefault="00E32ADE" w:rsidP="00F812A1">
      <w:pPr>
        <w:pStyle w:val="ONUME"/>
        <w:numPr>
          <w:ilvl w:val="0"/>
          <w:numId w:val="38"/>
        </w:numPr>
      </w:pPr>
      <w:r w:rsidRPr="00E32ADE">
        <w:t>The purpose of WIPO’s Internal Oversight Division (IOD) is to provide independent and effective internal oversight for WIPO, in accordance with the provisions set out in the Internal Oversight Charter (IOC).</w:t>
      </w:r>
    </w:p>
    <w:p w:rsidR="00F73A5E" w:rsidRPr="00F73A5E" w:rsidRDefault="00E32ADE" w:rsidP="00F812A1">
      <w:pPr>
        <w:pStyle w:val="ONUME"/>
        <w:rPr>
          <w:b/>
          <w:bCs/>
          <w:caps/>
          <w:kern w:val="32"/>
          <w:szCs w:val="32"/>
        </w:rPr>
      </w:pPr>
      <w:r w:rsidRPr="00E32ADE">
        <w:t>The IOC requires</w:t>
      </w:r>
      <w:r w:rsidR="001C0542">
        <w:rPr>
          <w:rStyle w:val="FootnoteReference"/>
        </w:rPr>
        <w:footnoteReference w:id="2"/>
      </w:r>
      <w:r w:rsidRPr="00E32ADE">
        <w:t xml:space="preserve"> the Director, IOD to present a</w:t>
      </w:r>
      <w:r w:rsidR="00164C2D">
        <w:t>n</w:t>
      </w:r>
      <w:r w:rsidRPr="00E32ADE">
        <w:t xml:space="preserve"> </w:t>
      </w:r>
      <w:r w:rsidR="00A26B19">
        <w:t>a</w:t>
      </w:r>
      <w:r w:rsidRPr="00E32ADE">
        <w:t xml:space="preserve">nnual </w:t>
      </w:r>
      <w:r w:rsidR="00A26B19">
        <w:t>r</w:t>
      </w:r>
      <w:r w:rsidRPr="00E32ADE">
        <w:t xml:space="preserve">eport to the </w:t>
      </w:r>
      <w:r w:rsidR="00164C2D">
        <w:t xml:space="preserve">WIPO General Assembly through the </w:t>
      </w:r>
      <w:r w:rsidR="005E6584">
        <w:t>PBC</w:t>
      </w:r>
      <w:r w:rsidR="00164C2D">
        <w:t xml:space="preserve"> (Annual Report) </w:t>
      </w:r>
      <w:r w:rsidRPr="00E32ADE">
        <w:t xml:space="preserve">with a copy to the Director General and the </w:t>
      </w:r>
      <w:r w:rsidR="00164C2D" w:rsidRPr="00E32ADE">
        <w:t>Independent Advisory Oversight Committee (IAOC)</w:t>
      </w:r>
      <w:r w:rsidRPr="00E32ADE">
        <w:t xml:space="preserve">, of activities undertaken, including orientation and scope of such activities, the schedule of work undertaken and the progress on the implementation of prioritized recommendations.  This Report enables major stakeholders and WIPO staff generally to be informed of IOD reports, activities, and the challenges faced by IOD in fulfilling its mandate.  </w:t>
      </w:r>
      <w:bookmarkStart w:id="17" w:name="_Toc420663566"/>
      <w:bookmarkStart w:id="18" w:name="_Toc328920434"/>
    </w:p>
    <w:p w:rsidR="00E32ADE" w:rsidRPr="00F73A5E" w:rsidRDefault="00E32ADE" w:rsidP="00F73A5E">
      <w:pPr>
        <w:keepNext/>
        <w:keepLines/>
        <w:spacing w:before="360" w:after="360"/>
        <w:outlineLvl w:val="0"/>
        <w:rPr>
          <w:b/>
          <w:bCs/>
          <w:caps/>
          <w:kern w:val="32"/>
          <w:szCs w:val="32"/>
        </w:rPr>
      </w:pPr>
      <w:bookmarkStart w:id="19" w:name="_Toc423533511"/>
      <w:r w:rsidRPr="00F73A5E">
        <w:rPr>
          <w:b/>
          <w:bCs/>
          <w:caps/>
          <w:kern w:val="32"/>
          <w:szCs w:val="32"/>
        </w:rPr>
        <w:t>PLANNING principles</w:t>
      </w:r>
      <w:bookmarkEnd w:id="17"/>
      <w:bookmarkEnd w:id="18"/>
      <w:bookmarkEnd w:id="19"/>
    </w:p>
    <w:p w:rsidR="00E32ADE" w:rsidRPr="00E32ADE" w:rsidRDefault="00411FE7" w:rsidP="00F812A1">
      <w:pPr>
        <w:pStyle w:val="ONUME"/>
      </w:pPr>
      <w:r>
        <w:t>I</w:t>
      </w:r>
      <w:r w:rsidR="00E32ADE" w:rsidRPr="00E32ADE">
        <w:t xml:space="preserve">n developing its </w:t>
      </w:r>
      <w:r w:rsidR="000F04D4">
        <w:t xml:space="preserve">work </w:t>
      </w:r>
      <w:r w:rsidR="00E32ADE" w:rsidRPr="00E32ADE">
        <w:t>plan, IOD considered the following factors:</w:t>
      </w:r>
      <w:r w:rsidR="00E204EC">
        <w:t xml:space="preserve"> </w:t>
      </w:r>
      <w:r w:rsidR="00E32ADE" w:rsidRPr="00E32ADE">
        <w:t xml:space="preserve"> risk assessment, relevance, country impact, </w:t>
      </w:r>
      <w:proofErr w:type="gramStart"/>
      <w:r w:rsidR="00E32ADE" w:rsidRPr="00E32ADE">
        <w:t>oversight</w:t>
      </w:r>
      <w:proofErr w:type="gramEnd"/>
      <w:r w:rsidR="00E32ADE" w:rsidRPr="00E32ADE">
        <w:t xml:space="preserve"> cycle, </w:t>
      </w:r>
      <w:r>
        <w:t>feedback received</w:t>
      </w:r>
      <w:r w:rsidR="00E32ADE" w:rsidRPr="00E32ADE">
        <w:t xml:space="preserve"> </w:t>
      </w:r>
      <w:r>
        <w:t>from</w:t>
      </w:r>
      <w:r w:rsidR="00E32ADE" w:rsidRPr="00E32ADE">
        <w:t xml:space="preserve"> WIPO management</w:t>
      </w:r>
      <w:r w:rsidR="00F73A5E">
        <w:t xml:space="preserve">, </w:t>
      </w:r>
      <w:r w:rsidR="00E32ADE" w:rsidRPr="00E32ADE">
        <w:t>Member States</w:t>
      </w:r>
      <w:r w:rsidR="00A26B19">
        <w:t>, and</w:t>
      </w:r>
      <w:r w:rsidR="00E32ADE" w:rsidRPr="00E32ADE">
        <w:t xml:space="preserve"> available resources.</w:t>
      </w:r>
      <w:r w:rsidRPr="00411FE7">
        <w:t xml:space="preserve"> </w:t>
      </w:r>
      <w:r w:rsidR="00E204EC">
        <w:t xml:space="preserve"> </w:t>
      </w:r>
      <w:r>
        <w:t xml:space="preserve">Prior to its finalization, the draft oversight plan was also submitted to the </w:t>
      </w:r>
      <w:r w:rsidRPr="00E32ADE">
        <w:t xml:space="preserve">IAOC, </w:t>
      </w:r>
      <w:r>
        <w:t>for its review and advice</w:t>
      </w:r>
      <w:r w:rsidRPr="00411FE7">
        <w:t xml:space="preserve"> </w:t>
      </w:r>
      <w:r>
        <w:t xml:space="preserve">as per </w:t>
      </w:r>
      <w:r w:rsidRPr="00E32ADE">
        <w:t>IOC</w:t>
      </w:r>
      <w:r>
        <w:t xml:space="preserve"> paragraph 24 (a)</w:t>
      </w:r>
      <w:r w:rsidRPr="00E32ADE">
        <w:t>.</w:t>
      </w:r>
    </w:p>
    <w:p w:rsidR="00E32ADE" w:rsidRPr="00E32ADE" w:rsidRDefault="00411FE7" w:rsidP="00F812A1">
      <w:pPr>
        <w:pStyle w:val="ONUME"/>
      </w:pPr>
      <w:r>
        <w:t xml:space="preserve">In order to </w:t>
      </w:r>
      <w:r w:rsidR="00F73A5E">
        <w:t>maximize the oversight coverage and use of its resources in the most efficient way</w:t>
      </w:r>
      <w:r>
        <w:t>,</w:t>
      </w:r>
      <w:r w:rsidR="00E32ADE" w:rsidRPr="00E32ADE">
        <w:t xml:space="preserve"> IOD also </w:t>
      </w:r>
      <w:r w:rsidR="00C9704E">
        <w:t>considered</w:t>
      </w:r>
      <w:r w:rsidR="00E32ADE" w:rsidRPr="00E32ADE">
        <w:t xml:space="preserve"> the work done by other oversight </w:t>
      </w:r>
      <w:r w:rsidR="00C9704E">
        <w:t>bodies</w:t>
      </w:r>
      <w:r w:rsidR="00C9704E" w:rsidRPr="00E32ADE">
        <w:t xml:space="preserve"> </w:t>
      </w:r>
      <w:r w:rsidR="00E32ADE" w:rsidRPr="00E32ADE">
        <w:t>such as the External Auditor</w:t>
      </w:r>
      <w:r w:rsidR="00C9704E">
        <w:t>,</w:t>
      </w:r>
      <w:r w:rsidR="00E32ADE" w:rsidRPr="00E32ADE">
        <w:t xml:space="preserve"> the Joint Inspection Unit (JIU) </w:t>
      </w:r>
      <w:r w:rsidR="00963387">
        <w:t>and</w:t>
      </w:r>
      <w:r w:rsidR="00963387" w:rsidRPr="00E32ADE">
        <w:t xml:space="preserve"> </w:t>
      </w:r>
      <w:r w:rsidR="00E32ADE" w:rsidRPr="00E32ADE">
        <w:t xml:space="preserve">evaluations commissioned by the Committee on Development and Intellectual Property (CDIP).  </w:t>
      </w:r>
      <w:r>
        <w:t>This helped avoid</w:t>
      </w:r>
      <w:r w:rsidR="00E32ADE" w:rsidRPr="00E32ADE">
        <w:t xml:space="preserve"> “oversight fatigue” in </w:t>
      </w:r>
      <w:r w:rsidR="00E763B9">
        <w:t xml:space="preserve">operational </w:t>
      </w:r>
      <w:r w:rsidR="00E32ADE" w:rsidRPr="00E32ADE">
        <w:t xml:space="preserve">areas </w:t>
      </w:r>
      <w:r w:rsidR="00E763B9">
        <w:t>subject to</w:t>
      </w:r>
      <w:r w:rsidR="00E763B9" w:rsidRPr="00E32ADE">
        <w:t xml:space="preserve"> </w:t>
      </w:r>
      <w:r w:rsidR="00E32ADE" w:rsidRPr="00E32ADE">
        <w:t>multiple oversight activities</w:t>
      </w:r>
      <w:r w:rsidR="00F73A5E">
        <w:t xml:space="preserve"> during the reporting period</w:t>
      </w:r>
      <w:r w:rsidR="00E32ADE" w:rsidRPr="00E32ADE">
        <w:t xml:space="preserve">. </w:t>
      </w:r>
    </w:p>
    <w:p w:rsidR="00E204EC" w:rsidRDefault="00E32ADE" w:rsidP="00F812A1">
      <w:pPr>
        <w:pStyle w:val="ONUME"/>
      </w:pPr>
      <w:r w:rsidRPr="00E32ADE">
        <w:t>Oversight plan for 2015 w</w:t>
      </w:r>
      <w:r w:rsidR="00544A7D">
        <w:t>as</w:t>
      </w:r>
      <w:r w:rsidRPr="00E32ADE">
        <w:t xml:space="preserve"> issued to </w:t>
      </w:r>
      <w:r w:rsidR="00246BD1">
        <w:t xml:space="preserve">all </w:t>
      </w:r>
      <w:r w:rsidRPr="00E32ADE">
        <w:t xml:space="preserve">Program Managers and shared with WIPO staff </w:t>
      </w:r>
      <w:r w:rsidR="00544A7D">
        <w:t xml:space="preserve">on </w:t>
      </w:r>
      <w:r w:rsidRPr="00E32ADE">
        <w:t xml:space="preserve">WIPO’s Intranet.  The plan for 2014 was completed on time and within budget.  The plan for 2015 is currently being implemented as described in Annex I.  </w:t>
      </w:r>
    </w:p>
    <w:p w:rsidR="00E204EC" w:rsidRDefault="00E204EC">
      <w:r>
        <w:br w:type="page"/>
      </w:r>
    </w:p>
    <w:p w:rsidR="00E32ADE" w:rsidRPr="00E32ADE" w:rsidRDefault="00E32ADE" w:rsidP="00E32ADE">
      <w:pPr>
        <w:keepNext/>
        <w:spacing w:before="360" w:after="360"/>
        <w:outlineLvl w:val="0"/>
        <w:rPr>
          <w:b/>
          <w:bCs/>
          <w:caps/>
          <w:kern w:val="32"/>
          <w:szCs w:val="32"/>
        </w:rPr>
      </w:pPr>
      <w:bookmarkStart w:id="20" w:name="_Toc420663567"/>
      <w:bookmarkStart w:id="21" w:name="_Toc423533512"/>
      <w:r w:rsidRPr="00E32ADE">
        <w:rPr>
          <w:b/>
          <w:bCs/>
          <w:caps/>
          <w:kern w:val="32"/>
          <w:szCs w:val="32"/>
        </w:rPr>
        <w:lastRenderedPageBreak/>
        <w:t>PROFESSIONAL STANDARDS</w:t>
      </w:r>
      <w:bookmarkEnd w:id="20"/>
      <w:bookmarkEnd w:id="21"/>
    </w:p>
    <w:p w:rsidR="00E32ADE" w:rsidRPr="00E32ADE" w:rsidRDefault="00E32ADE" w:rsidP="00F812A1">
      <w:pPr>
        <w:pStyle w:val="ONUME"/>
      </w:pPr>
      <w:r w:rsidRPr="00E32ADE">
        <w:t xml:space="preserve">For its audit activities, IOD adheres to the International Professional Practices Framework </w:t>
      </w:r>
      <w:r w:rsidR="00F73A5E">
        <w:t xml:space="preserve">(IPPF) </w:t>
      </w:r>
      <w:r w:rsidRPr="00E32ADE">
        <w:t xml:space="preserve">promulgated by the Institute of Internal Auditors (IIA).  Similarly, in conducting investigative work, IOD is guided by the Uniform Guidelines for Investigations endorsed by the Conference of International Investigators </w:t>
      </w:r>
      <w:r w:rsidR="00FD2537">
        <w:t>(CII)</w:t>
      </w:r>
      <w:r w:rsidRPr="00E32ADE">
        <w:t xml:space="preserve">.  </w:t>
      </w:r>
      <w:r w:rsidR="00F73A5E">
        <w:t>For evaluation activities, IOD</w:t>
      </w:r>
      <w:r w:rsidRPr="00E32ADE">
        <w:t xml:space="preserve"> follows international standards in evaluation practice as set out by the United Nations Evaluation Group (UNEG).</w:t>
      </w:r>
    </w:p>
    <w:p w:rsidR="00E32ADE" w:rsidRPr="00E32ADE" w:rsidRDefault="00E32ADE" w:rsidP="00E32ADE">
      <w:pPr>
        <w:keepNext/>
        <w:spacing w:before="360" w:after="360"/>
        <w:outlineLvl w:val="0"/>
        <w:rPr>
          <w:b/>
          <w:bCs/>
          <w:caps/>
          <w:kern w:val="32"/>
          <w:szCs w:val="32"/>
        </w:rPr>
      </w:pPr>
      <w:bookmarkStart w:id="22" w:name="_Toc420663568"/>
      <w:bookmarkStart w:id="23" w:name="_Toc423533513"/>
      <w:r w:rsidRPr="00E32ADE">
        <w:rPr>
          <w:b/>
          <w:bCs/>
          <w:caps/>
          <w:kern w:val="32"/>
          <w:szCs w:val="32"/>
        </w:rPr>
        <w:t>SIGNIFICANT INTERNAL OVERSIGHT FINDINGS AND RECOMMENDATIONS</w:t>
      </w:r>
      <w:bookmarkEnd w:id="22"/>
      <w:bookmarkEnd w:id="23"/>
    </w:p>
    <w:p w:rsidR="00E204EC" w:rsidRPr="00F812A1" w:rsidRDefault="00E32ADE" w:rsidP="00F812A1">
      <w:pPr>
        <w:pStyle w:val="ONUME"/>
      </w:pPr>
      <w:r w:rsidRPr="00F812A1">
        <w:t xml:space="preserve">This section </w:t>
      </w:r>
      <w:r w:rsidR="00AF4A4E" w:rsidRPr="00F812A1">
        <w:t>contains information on</w:t>
      </w:r>
      <w:r w:rsidRPr="00F812A1">
        <w:t xml:space="preserve"> </w:t>
      </w:r>
      <w:r w:rsidR="00AF4A4E" w:rsidRPr="00F812A1">
        <w:t>key</w:t>
      </w:r>
      <w:r w:rsidR="009F0C09" w:rsidRPr="00F812A1">
        <w:t xml:space="preserve"> findings and</w:t>
      </w:r>
      <w:r w:rsidRPr="00F812A1">
        <w:t xml:space="preserve"> recommendations</w:t>
      </w:r>
      <w:r w:rsidR="00AF4A4E" w:rsidRPr="00F812A1">
        <w:t>,</w:t>
      </w:r>
      <w:r w:rsidRPr="00F812A1">
        <w:t xml:space="preserve"> </w:t>
      </w:r>
      <w:r w:rsidR="009F0C09" w:rsidRPr="00F812A1">
        <w:t xml:space="preserve">addressing high </w:t>
      </w:r>
      <w:r w:rsidR="00F73A5E" w:rsidRPr="00F812A1">
        <w:t>priority</w:t>
      </w:r>
      <w:r w:rsidR="009F0C09" w:rsidRPr="00F812A1">
        <w:t xml:space="preserve"> risks, </w:t>
      </w:r>
      <w:r w:rsidR="00AF4A4E" w:rsidRPr="00F812A1">
        <w:t>included</w:t>
      </w:r>
      <w:r w:rsidRPr="00F812A1">
        <w:t xml:space="preserve"> in </w:t>
      </w:r>
      <w:r w:rsidR="009F0C09" w:rsidRPr="00F812A1">
        <w:t>internal oversight reports, (</w:t>
      </w:r>
      <w:r w:rsidRPr="00F812A1">
        <w:t>audi</w:t>
      </w:r>
      <w:r w:rsidR="009F0C09" w:rsidRPr="00F812A1">
        <w:t>ts, evaluations and management implication r</w:t>
      </w:r>
      <w:r w:rsidRPr="00F812A1">
        <w:t>eports</w:t>
      </w:r>
      <w:r w:rsidR="009F0C09" w:rsidRPr="00F812A1">
        <w:t xml:space="preserve">) </w:t>
      </w:r>
      <w:r w:rsidRPr="00F812A1">
        <w:t>issued during the reporting period.</w:t>
      </w:r>
    </w:p>
    <w:p w:rsidR="00E204EC" w:rsidRPr="00F812A1" w:rsidRDefault="00544A7D" w:rsidP="00F812A1">
      <w:pPr>
        <w:pStyle w:val="ONUME"/>
      </w:pPr>
      <w:r w:rsidRPr="00F812A1">
        <w:t xml:space="preserve">The </w:t>
      </w:r>
      <w:r w:rsidR="00AF4A4E" w:rsidRPr="00F812A1">
        <w:t>key</w:t>
      </w:r>
      <w:r w:rsidR="000D0188" w:rsidRPr="00F812A1">
        <w:t xml:space="preserve"> </w:t>
      </w:r>
      <w:r w:rsidR="009F0C09" w:rsidRPr="00F812A1">
        <w:t>findings</w:t>
      </w:r>
      <w:r w:rsidR="000D0188" w:rsidRPr="00F812A1">
        <w:t xml:space="preserve"> and recommendations </w:t>
      </w:r>
      <w:r w:rsidRPr="00F812A1">
        <w:t>are related to the following areas</w:t>
      </w:r>
      <w:r w:rsidR="000D0188" w:rsidRPr="00E04B15">
        <w:rPr>
          <w:rStyle w:val="FootnoteReference"/>
        </w:rPr>
        <w:footnoteReference w:id="3"/>
      </w:r>
      <w:r w:rsidR="00E204EC" w:rsidRPr="00E04B15">
        <w:rPr>
          <w:rStyle w:val="FootnoteReference"/>
        </w:rPr>
        <w:t>:</w:t>
      </w:r>
      <w:r w:rsidR="00E204EC" w:rsidRPr="00F812A1">
        <w:t xml:space="preserve"> </w:t>
      </w:r>
    </w:p>
    <w:p w:rsidR="00E204EC" w:rsidRPr="00F812A1" w:rsidRDefault="009F0C09" w:rsidP="00F812A1">
      <w:pPr>
        <w:pStyle w:val="ONUME"/>
        <w:numPr>
          <w:ilvl w:val="1"/>
          <w:numId w:val="7"/>
        </w:numPr>
      </w:pPr>
      <w:r w:rsidRPr="00F812A1">
        <w:t>International Cooperation on B</w:t>
      </w:r>
      <w:r w:rsidR="00544A7D" w:rsidRPr="00F812A1">
        <w:t>uilding</w:t>
      </w:r>
      <w:r w:rsidRPr="00F812A1">
        <w:t xml:space="preserve"> Respect for Intellectual P</w:t>
      </w:r>
      <w:r w:rsidR="001D59E5" w:rsidRPr="00F812A1">
        <w:t>roperty</w:t>
      </w:r>
      <w:r w:rsidR="004D6A1C" w:rsidRPr="00F812A1">
        <w:t xml:space="preserve"> (IP)</w:t>
      </w:r>
      <w:r w:rsidR="001D59E5" w:rsidRPr="00F812A1">
        <w:t>;</w:t>
      </w:r>
      <w:r w:rsidR="00544A7D" w:rsidRPr="00F812A1">
        <w:t xml:space="preserve"> </w:t>
      </w:r>
    </w:p>
    <w:p w:rsidR="00E204EC" w:rsidRPr="00F812A1" w:rsidRDefault="00544A7D" w:rsidP="00F812A1">
      <w:pPr>
        <w:pStyle w:val="ONUME"/>
        <w:numPr>
          <w:ilvl w:val="1"/>
          <w:numId w:val="7"/>
        </w:numPr>
      </w:pPr>
      <w:r w:rsidRPr="00F812A1">
        <w:t>Country Portfolio Evaluation</w:t>
      </w:r>
      <w:r w:rsidR="001D59E5" w:rsidRPr="00F812A1">
        <w:t xml:space="preserve"> (CPE)</w:t>
      </w:r>
      <w:r w:rsidR="005C2D6D" w:rsidRPr="00F812A1">
        <w:t xml:space="preserve"> Chile</w:t>
      </w:r>
      <w:r w:rsidR="001D59E5" w:rsidRPr="00F812A1">
        <w:t>;</w:t>
      </w:r>
      <w:r w:rsidRPr="00F812A1">
        <w:t xml:space="preserve"> </w:t>
      </w:r>
    </w:p>
    <w:p w:rsidR="00E204EC" w:rsidRPr="00F812A1" w:rsidRDefault="00605540" w:rsidP="00F812A1">
      <w:pPr>
        <w:pStyle w:val="ONUME"/>
        <w:numPr>
          <w:ilvl w:val="1"/>
          <w:numId w:val="7"/>
        </w:numPr>
      </w:pPr>
      <w:r w:rsidRPr="00F812A1">
        <w:t>Rewards and Recogn</w:t>
      </w:r>
      <w:r w:rsidR="001D59E5" w:rsidRPr="00F812A1">
        <w:t>ition Program;</w:t>
      </w:r>
      <w:r w:rsidRPr="00F812A1">
        <w:t xml:space="preserve"> </w:t>
      </w:r>
    </w:p>
    <w:p w:rsidR="00E204EC" w:rsidRPr="00F812A1" w:rsidRDefault="00605540" w:rsidP="00F812A1">
      <w:pPr>
        <w:pStyle w:val="ONUME"/>
        <w:numPr>
          <w:ilvl w:val="1"/>
          <w:numId w:val="7"/>
        </w:numPr>
      </w:pPr>
      <w:r w:rsidRPr="00F812A1">
        <w:t>Third Party Risk Management</w:t>
      </w:r>
      <w:r w:rsidR="001D59E5" w:rsidRPr="00F812A1">
        <w:t>;</w:t>
      </w:r>
      <w:r w:rsidR="000D0188" w:rsidRPr="00F812A1">
        <w:t xml:space="preserve">  </w:t>
      </w:r>
    </w:p>
    <w:p w:rsidR="00E204EC" w:rsidRPr="00F812A1" w:rsidRDefault="00544A7D" w:rsidP="00F812A1">
      <w:pPr>
        <w:pStyle w:val="ONUME"/>
        <w:numPr>
          <w:ilvl w:val="1"/>
          <w:numId w:val="7"/>
        </w:numPr>
      </w:pPr>
      <w:r w:rsidRPr="00F812A1">
        <w:t>Asset Management</w:t>
      </w:r>
      <w:r w:rsidR="001D59E5" w:rsidRPr="00F812A1">
        <w:t>;</w:t>
      </w:r>
      <w:r w:rsidR="000D0188" w:rsidRPr="00F812A1">
        <w:t xml:space="preserve"> </w:t>
      </w:r>
    </w:p>
    <w:p w:rsidR="00F812A1" w:rsidRPr="00F812A1" w:rsidRDefault="00605540" w:rsidP="00F812A1">
      <w:pPr>
        <w:pStyle w:val="ONUME"/>
        <w:numPr>
          <w:ilvl w:val="1"/>
          <w:numId w:val="7"/>
        </w:numPr>
      </w:pPr>
      <w:r w:rsidRPr="00F812A1">
        <w:t>WIPO Academy</w:t>
      </w:r>
      <w:r w:rsidR="001D59E5" w:rsidRPr="00F812A1">
        <w:t xml:space="preserve">; </w:t>
      </w:r>
      <w:r w:rsidR="009F0C09" w:rsidRPr="00F812A1">
        <w:t xml:space="preserve"> and </w:t>
      </w:r>
    </w:p>
    <w:p w:rsidR="00544A7D" w:rsidRPr="00F812A1" w:rsidRDefault="00544A7D" w:rsidP="00F812A1">
      <w:pPr>
        <w:pStyle w:val="ONUME"/>
        <w:numPr>
          <w:ilvl w:val="1"/>
          <w:numId w:val="7"/>
        </w:numPr>
      </w:pPr>
      <w:r w:rsidRPr="00F812A1">
        <w:t>S</w:t>
      </w:r>
      <w:r w:rsidR="000D0188" w:rsidRPr="00F812A1">
        <w:t xml:space="preserve">afety and </w:t>
      </w:r>
      <w:r w:rsidRPr="00F812A1">
        <w:t>S</w:t>
      </w:r>
      <w:r w:rsidR="000D0188" w:rsidRPr="00F812A1">
        <w:t>ecurity</w:t>
      </w:r>
      <w:r w:rsidR="00AC0825" w:rsidRPr="00F812A1">
        <w:t xml:space="preserve"> </w:t>
      </w:r>
      <w:r w:rsidRPr="00F812A1">
        <w:t>Services</w:t>
      </w:r>
      <w:r w:rsidR="00E204EC" w:rsidRPr="00F812A1">
        <w:t>.</w:t>
      </w:r>
    </w:p>
    <w:p w:rsidR="000D0188" w:rsidRPr="00F812A1" w:rsidRDefault="000D0188" w:rsidP="00F812A1">
      <w:pPr>
        <w:pStyle w:val="ONUME"/>
      </w:pPr>
      <w:r w:rsidRPr="00F812A1">
        <w:t xml:space="preserve">Management has already taken action </w:t>
      </w:r>
      <w:r w:rsidR="009F0C09" w:rsidRPr="00F812A1">
        <w:t xml:space="preserve">to implement </w:t>
      </w:r>
      <w:r w:rsidR="00AF4A4E" w:rsidRPr="00F812A1">
        <w:t xml:space="preserve">most of the </w:t>
      </w:r>
      <w:r w:rsidR="009F0C09" w:rsidRPr="00F812A1">
        <w:t xml:space="preserve">recommendations </w:t>
      </w:r>
      <w:r w:rsidRPr="00F812A1">
        <w:t>on the</w:t>
      </w:r>
      <w:r w:rsidR="009F0C09" w:rsidRPr="00F812A1">
        <w:t xml:space="preserve"> key</w:t>
      </w:r>
      <w:r w:rsidRPr="00F812A1">
        <w:t xml:space="preserve"> </w:t>
      </w:r>
      <w:r w:rsidR="009F0C09" w:rsidRPr="00F812A1">
        <w:t>findings</w:t>
      </w:r>
      <w:r w:rsidRPr="00F812A1">
        <w:t xml:space="preserve"> identified</w:t>
      </w:r>
      <w:r w:rsidR="00AF4A4E" w:rsidRPr="00F812A1">
        <w:t xml:space="preserve"> in the IOD reports</w:t>
      </w:r>
      <w:r w:rsidRPr="00F812A1">
        <w:t>.</w:t>
      </w:r>
      <w:r w:rsidR="009F0C09" w:rsidRPr="00F812A1">
        <w:t xml:space="preserve">  All recommendations </w:t>
      </w:r>
      <w:r w:rsidRPr="00F812A1">
        <w:t>are addressed by Management through a</w:t>
      </w:r>
      <w:r w:rsidR="00AF4A4E" w:rsidRPr="00F812A1">
        <w:t>n action</w:t>
      </w:r>
      <w:r w:rsidRPr="00F812A1">
        <w:t xml:space="preserve"> plan with suggested activities, responsible staff and a deadline</w:t>
      </w:r>
      <w:r w:rsidR="009F0C09" w:rsidRPr="00F812A1">
        <w:t xml:space="preserve"> for implementation</w:t>
      </w:r>
      <w:r w:rsidRPr="00F812A1">
        <w:t xml:space="preserve">.  </w:t>
      </w:r>
      <w:r w:rsidR="00F64205" w:rsidRPr="00F812A1">
        <w:t>O</w:t>
      </w:r>
      <w:r w:rsidRPr="00F812A1">
        <w:t>pen</w:t>
      </w:r>
      <w:r w:rsidR="009F0C09" w:rsidRPr="00F812A1">
        <w:t xml:space="preserve"> </w:t>
      </w:r>
      <w:r w:rsidRPr="00F812A1">
        <w:t xml:space="preserve">recommendations are managed in the </w:t>
      </w:r>
      <w:proofErr w:type="spellStart"/>
      <w:r w:rsidRPr="00F812A1">
        <w:t>TeamCentral</w:t>
      </w:r>
      <w:proofErr w:type="spellEnd"/>
      <w:r w:rsidR="00E04B15" w:rsidRPr="004B2173">
        <w:t>©</w:t>
      </w:r>
      <w:r w:rsidR="009F0C09" w:rsidRPr="00E04B15">
        <w:rPr>
          <w:rStyle w:val="FootnoteReference"/>
        </w:rPr>
        <w:footnoteReference w:id="4"/>
      </w:r>
      <w:r w:rsidRPr="00F812A1">
        <w:t xml:space="preserve"> system</w:t>
      </w:r>
      <w:r w:rsidR="009F0C09" w:rsidRPr="00F812A1">
        <w:t>,</w:t>
      </w:r>
      <w:r w:rsidRPr="00F812A1">
        <w:t xml:space="preserve"> accessible </w:t>
      </w:r>
      <w:r w:rsidR="009F0C09" w:rsidRPr="00F812A1">
        <w:t>by</w:t>
      </w:r>
      <w:r w:rsidRPr="00F812A1">
        <w:t xml:space="preserve"> IOD, WIPO Management and External Auditors.  IOD and Management meet regular</w:t>
      </w:r>
      <w:r w:rsidR="009F0C09" w:rsidRPr="00F812A1">
        <w:t>ly</w:t>
      </w:r>
      <w:r w:rsidRPr="00F812A1">
        <w:t xml:space="preserve"> to review </w:t>
      </w:r>
      <w:r w:rsidR="00AF4A4E" w:rsidRPr="00F812A1">
        <w:t xml:space="preserve">and update </w:t>
      </w:r>
      <w:r w:rsidRPr="00F812A1">
        <w:t xml:space="preserve">the status of implementation of </w:t>
      </w:r>
      <w:r w:rsidR="009F0C09" w:rsidRPr="00F812A1">
        <w:t>open</w:t>
      </w:r>
      <w:r w:rsidRPr="00F812A1">
        <w:t xml:space="preserve"> recommendations.</w:t>
      </w:r>
    </w:p>
    <w:p w:rsidR="00605540" w:rsidRPr="00246BD1" w:rsidRDefault="00605540" w:rsidP="00605540">
      <w:pPr>
        <w:pStyle w:val="Heading2"/>
      </w:pPr>
      <w:r w:rsidRPr="00246BD1">
        <w:t>EVALUATION OF Strategic Goal VI - International Cooperation on building respect for intellectual property</w:t>
      </w:r>
    </w:p>
    <w:p w:rsidR="00605540" w:rsidRPr="00246BD1" w:rsidRDefault="00E87B71" w:rsidP="00E204EC">
      <w:pPr>
        <w:pStyle w:val="ONUME"/>
        <w:numPr>
          <w:ilvl w:val="0"/>
          <w:numId w:val="37"/>
        </w:numPr>
      </w:pPr>
      <w:r>
        <w:t xml:space="preserve">This assignment was </w:t>
      </w:r>
      <w:r w:rsidR="009F0C09">
        <w:t>I</w:t>
      </w:r>
      <w:r w:rsidR="00605540" w:rsidRPr="00246BD1">
        <w:t>OD</w:t>
      </w:r>
      <w:r>
        <w:t>'s</w:t>
      </w:r>
      <w:r w:rsidR="00605540" w:rsidRPr="00246BD1">
        <w:t xml:space="preserve"> first evaluation of a strategic objective.</w:t>
      </w:r>
      <w:r w:rsidR="00E204EC">
        <w:t xml:space="preserve"> </w:t>
      </w:r>
      <w:r w:rsidR="00605540" w:rsidRPr="00246BD1">
        <w:t xml:space="preserve"> The results of this evaluation were positive and the following </w:t>
      </w:r>
      <w:r w:rsidR="00605540" w:rsidRPr="005B1EB4">
        <w:t>conclusions</w:t>
      </w:r>
      <w:r w:rsidR="00605540" w:rsidRPr="00246BD1">
        <w:t xml:space="preserve"> could be drawn: </w:t>
      </w:r>
    </w:p>
    <w:p w:rsidR="00605540" w:rsidRPr="005B1EB4" w:rsidRDefault="00605540" w:rsidP="005B1EB4">
      <w:pPr>
        <w:pStyle w:val="ONUME"/>
        <w:numPr>
          <w:ilvl w:val="1"/>
          <w:numId w:val="7"/>
        </w:numPr>
      </w:pPr>
      <w:r w:rsidRPr="005B1EB4">
        <w:t xml:space="preserve">WIPO’s support towards achieving the objectives of Strategic Goal VI was generally considered well managed, essentially through Program 17 (Building Respect for </w:t>
      </w:r>
      <w:r w:rsidR="004D6A1C" w:rsidRPr="005B1EB4">
        <w:t>IP</w:t>
      </w:r>
      <w:r w:rsidRPr="005B1EB4">
        <w:t>)</w:t>
      </w:r>
      <w:r w:rsidR="00037502" w:rsidRPr="005B1EB4">
        <w:t>;</w:t>
      </w:r>
      <w:r w:rsidRPr="005B1EB4">
        <w:t xml:space="preserve"> </w:t>
      </w:r>
    </w:p>
    <w:p w:rsidR="00605540" w:rsidRPr="005B1EB4" w:rsidRDefault="00605540" w:rsidP="00AF4A4E">
      <w:pPr>
        <w:pStyle w:val="ONUME"/>
        <w:numPr>
          <w:ilvl w:val="1"/>
          <w:numId w:val="7"/>
        </w:numPr>
      </w:pPr>
      <w:r w:rsidRPr="005B1EB4">
        <w:t xml:space="preserve">Despite some progress, </w:t>
      </w:r>
      <w:r w:rsidR="00AF4A4E">
        <w:t>implementation</w:t>
      </w:r>
      <w:r w:rsidRPr="005B1EB4">
        <w:t xml:space="preserve"> of Results Based Management (RBM) principles by WIPO both in designing and monitoring activities under Strategic Goal VI leaves room for further improvement</w:t>
      </w:r>
      <w:r w:rsidR="00037502" w:rsidRPr="005B1EB4">
        <w:t>;</w:t>
      </w:r>
      <w:r w:rsidRPr="005B1EB4">
        <w:t xml:space="preserve"> </w:t>
      </w:r>
    </w:p>
    <w:p w:rsidR="00605540" w:rsidRPr="005B1EB4" w:rsidRDefault="00605540" w:rsidP="005B1EB4">
      <w:pPr>
        <w:pStyle w:val="ONUME"/>
        <w:numPr>
          <w:ilvl w:val="1"/>
          <w:numId w:val="7"/>
        </w:numPr>
      </w:pPr>
      <w:r w:rsidRPr="005B1EB4">
        <w:lastRenderedPageBreak/>
        <w:t>The Secretariat provided the right type of high quality and relevant support towards the achievement of Strategic Goal VI</w:t>
      </w:r>
      <w:r w:rsidR="00AF4A4E">
        <w:t xml:space="preserve"> and planned objectives</w:t>
      </w:r>
      <w:r w:rsidR="00037502" w:rsidRPr="005B1EB4">
        <w:t>;</w:t>
      </w:r>
    </w:p>
    <w:p w:rsidR="00605540" w:rsidRPr="005B1EB4" w:rsidRDefault="00605540" w:rsidP="005B1EB4">
      <w:pPr>
        <w:pStyle w:val="ONUME"/>
        <w:numPr>
          <w:ilvl w:val="1"/>
          <w:numId w:val="7"/>
        </w:numPr>
      </w:pPr>
      <w:r w:rsidRPr="005B1EB4">
        <w:t>Technical assistance was generally delivered efficiently and incorporated the core principles of Development Agenda (DA) Recommendation 45</w:t>
      </w:r>
      <w:r w:rsidR="00037502" w:rsidRPr="005B1EB4">
        <w:t xml:space="preserve">; </w:t>
      </w:r>
      <w:r w:rsidR="00091C15">
        <w:t xml:space="preserve"> </w:t>
      </w:r>
      <w:r w:rsidR="00037502" w:rsidRPr="005B1EB4">
        <w:t>and</w:t>
      </w:r>
    </w:p>
    <w:p w:rsidR="00605540" w:rsidRPr="005B1EB4" w:rsidRDefault="00AF4A4E" w:rsidP="00AF4A4E">
      <w:pPr>
        <w:pStyle w:val="ONUME"/>
        <w:numPr>
          <w:ilvl w:val="1"/>
          <w:numId w:val="7"/>
        </w:numPr>
      </w:pPr>
      <w:r>
        <w:t>A</w:t>
      </w:r>
      <w:r w:rsidRPr="005B1EB4">
        <w:t>lthough not yet systematic</w:t>
      </w:r>
      <w:r>
        <w:t>,</w:t>
      </w:r>
      <w:r w:rsidRPr="005B1EB4">
        <w:t xml:space="preserve"> </w:t>
      </w:r>
      <w:r>
        <w:t>i</w:t>
      </w:r>
      <w:r w:rsidR="00F21A32" w:rsidRPr="005B1EB4">
        <w:t xml:space="preserve">nitial </w:t>
      </w:r>
      <w:r w:rsidR="00605540" w:rsidRPr="005B1EB4">
        <w:t xml:space="preserve">steps </w:t>
      </w:r>
      <w:r w:rsidRPr="005B1EB4">
        <w:t xml:space="preserve">were taken </w:t>
      </w:r>
      <w:r w:rsidR="00605540" w:rsidRPr="005B1EB4">
        <w:t>towards enhancing sustainability at the level of Member States.</w:t>
      </w:r>
    </w:p>
    <w:p w:rsidR="00F21A32" w:rsidRPr="00F812A1" w:rsidRDefault="00605540" w:rsidP="00F812A1">
      <w:pPr>
        <w:pStyle w:val="ONUME"/>
      </w:pPr>
      <w:bookmarkStart w:id="24" w:name="_Ref423503654"/>
      <w:r w:rsidRPr="00F812A1">
        <w:t>Overall, the work of the Secretariat under Strategic Goal VI was considered efficient, effective and relevant and the improvements made over the evaluation period (2010-2014) were addressing the few challenges identified.</w:t>
      </w:r>
      <w:bookmarkEnd w:id="24"/>
    </w:p>
    <w:p w:rsidR="00605540" w:rsidRPr="00F812A1" w:rsidRDefault="00605540" w:rsidP="00F812A1">
      <w:pPr>
        <w:pStyle w:val="ONUME"/>
      </w:pPr>
      <w:r w:rsidRPr="00F812A1">
        <w:t>Based on the above conclusions and observations, no recommendations were made to Program 17 or to other contributing programs.</w:t>
      </w:r>
    </w:p>
    <w:p w:rsidR="00605540" w:rsidRPr="00246BD1" w:rsidRDefault="00605540" w:rsidP="00605540">
      <w:pPr>
        <w:pStyle w:val="Heading2"/>
      </w:pPr>
      <w:r w:rsidRPr="00246BD1">
        <w:t xml:space="preserve">Country Portfolio Evaluation </w:t>
      </w:r>
      <w:r w:rsidR="00F50E35">
        <w:t xml:space="preserve">(CPE) </w:t>
      </w:r>
      <w:r w:rsidRPr="00246BD1">
        <w:t>chile</w:t>
      </w:r>
    </w:p>
    <w:p w:rsidR="00091C15" w:rsidRPr="00F812A1" w:rsidRDefault="00BB29B9" w:rsidP="00F812A1">
      <w:pPr>
        <w:pStyle w:val="ONUME"/>
      </w:pPr>
      <w:r w:rsidRPr="00F812A1">
        <w:t xml:space="preserve">IOD </w:t>
      </w:r>
      <w:r w:rsidR="00605540" w:rsidRPr="00F812A1">
        <w:t>conducted</w:t>
      </w:r>
      <w:r w:rsidR="00037502" w:rsidRPr="00F812A1">
        <w:t xml:space="preserve"> a third CPE</w:t>
      </w:r>
      <w:r w:rsidR="00F50E35">
        <w:t xml:space="preserve"> </w:t>
      </w:r>
      <w:r w:rsidR="00605540" w:rsidRPr="00F812A1">
        <w:t>in Chile in late 2014</w:t>
      </w:r>
      <w:r w:rsidRPr="00F812A1">
        <w:t>,</w:t>
      </w:r>
      <w:r w:rsidR="00605540" w:rsidRPr="00F812A1">
        <w:t xml:space="preserve"> </w:t>
      </w:r>
      <w:r w:rsidR="00037502" w:rsidRPr="00F812A1">
        <w:t>which yielded very</w:t>
      </w:r>
      <w:r w:rsidR="00605540" w:rsidRPr="00F812A1">
        <w:t xml:space="preserve"> positive </w:t>
      </w:r>
      <w:r w:rsidR="00037502" w:rsidRPr="00F812A1">
        <w:t>results:</w:t>
      </w:r>
      <w:r w:rsidR="00091C15" w:rsidRPr="00F812A1">
        <w:t xml:space="preserve"> </w:t>
      </w:r>
      <w:r w:rsidR="00037502" w:rsidRPr="00F812A1">
        <w:t xml:space="preserve"> </w:t>
      </w:r>
      <w:r w:rsidR="00605540" w:rsidRPr="00F812A1">
        <w:t>WIPO’s services have been relevant and effective</w:t>
      </w:r>
      <w:r w:rsidR="00037502" w:rsidRPr="00F812A1">
        <w:t xml:space="preserve">; </w:t>
      </w:r>
      <w:r w:rsidR="00091C15" w:rsidRPr="00F812A1">
        <w:t xml:space="preserve"> </w:t>
      </w:r>
      <w:r w:rsidR="00037502" w:rsidRPr="00F812A1">
        <w:t>activities</w:t>
      </w:r>
      <w:r w:rsidR="00605540" w:rsidRPr="00F812A1">
        <w:t xml:space="preserve"> implemented in Chile have partially contributed to the achievement of</w:t>
      </w:r>
      <w:r w:rsidR="00037502" w:rsidRPr="00F812A1">
        <w:t xml:space="preserve">: </w:t>
      </w:r>
      <w:r w:rsidR="00091C15" w:rsidRPr="00F812A1">
        <w:t xml:space="preserve"> </w:t>
      </w:r>
    </w:p>
    <w:p w:rsidR="00091C15" w:rsidRDefault="00091C15" w:rsidP="00091C15">
      <w:pPr>
        <w:pStyle w:val="ONUME"/>
        <w:keepLines/>
        <w:numPr>
          <w:ilvl w:val="1"/>
          <w:numId w:val="9"/>
        </w:numPr>
      </w:pPr>
      <w:r>
        <w:t>F</w:t>
      </w:r>
      <w:r w:rsidR="00605540" w:rsidRPr="00246BD1">
        <w:t>ive out of nine WIPO Strategic Goals</w:t>
      </w:r>
      <w:r w:rsidR="00037502">
        <w:t>;</w:t>
      </w:r>
      <w:r w:rsidR="00605540" w:rsidRPr="00246BD1">
        <w:t xml:space="preserve"> </w:t>
      </w:r>
      <w:r>
        <w:t xml:space="preserve"> </w:t>
      </w:r>
      <w:r w:rsidR="00605540" w:rsidRPr="00246BD1">
        <w:t xml:space="preserve">and </w:t>
      </w:r>
    </w:p>
    <w:p w:rsidR="00605540" w:rsidRPr="00246BD1" w:rsidRDefault="00091C15" w:rsidP="00091C15">
      <w:pPr>
        <w:pStyle w:val="ONUME"/>
        <w:keepLines/>
        <w:numPr>
          <w:ilvl w:val="1"/>
          <w:numId w:val="9"/>
        </w:numPr>
      </w:pPr>
      <w:r>
        <w:t>O</w:t>
      </w:r>
      <w:r w:rsidR="00605540" w:rsidRPr="00246BD1">
        <w:t>ne out of eight components of Chile’s National Innovation Policy.</w:t>
      </w:r>
    </w:p>
    <w:p w:rsidR="00091C15" w:rsidRDefault="00037502" w:rsidP="00F812A1">
      <w:pPr>
        <w:pStyle w:val="ONUME"/>
      </w:pPr>
      <w:r>
        <w:t>F</w:t>
      </w:r>
      <w:r w:rsidR="00605540" w:rsidRPr="00246BD1">
        <w:t>our recommendations were made for further improvements of effectiveness and relevance of the Secretariat’s support to Chile and other Member States</w:t>
      </w:r>
      <w:r>
        <w:t>:</w:t>
      </w:r>
    </w:p>
    <w:p w:rsidR="00091C15" w:rsidRDefault="00605540" w:rsidP="00F812A1">
      <w:pPr>
        <w:pStyle w:val="ONUME"/>
        <w:keepLines/>
        <w:numPr>
          <w:ilvl w:val="1"/>
          <w:numId w:val="39"/>
        </w:numPr>
      </w:pPr>
      <w:r w:rsidRPr="00246BD1">
        <w:t xml:space="preserve">Development of a </w:t>
      </w:r>
      <w:r w:rsidR="00847021">
        <w:t>WIPO</w:t>
      </w:r>
      <w:r w:rsidRPr="00246BD1">
        <w:t xml:space="preserve"> country plan in coordination with WIPO’s programs and the country’s coordination focal point before initiation of the planning cycle.</w:t>
      </w:r>
    </w:p>
    <w:p w:rsidR="00091C15" w:rsidRDefault="00605540" w:rsidP="00F812A1">
      <w:pPr>
        <w:pStyle w:val="ONUME"/>
        <w:keepLines/>
        <w:numPr>
          <w:ilvl w:val="1"/>
          <w:numId w:val="39"/>
        </w:numPr>
      </w:pPr>
      <w:r w:rsidRPr="00246BD1">
        <w:t>In accordance with W</w:t>
      </w:r>
      <w:r w:rsidR="00847021">
        <w:t xml:space="preserve">IPO’s Policy on Gender Equality, </w:t>
      </w:r>
      <w:r w:rsidRPr="00246BD1">
        <w:t xml:space="preserve">country plans </w:t>
      </w:r>
      <w:r w:rsidR="00847021">
        <w:t xml:space="preserve">should </w:t>
      </w:r>
      <w:r w:rsidRPr="00246BD1">
        <w:t xml:space="preserve">include </w:t>
      </w:r>
      <w:r w:rsidRPr="006A6EDF">
        <w:rPr>
          <w:i/>
        </w:rPr>
        <w:t>inter alia</w:t>
      </w:r>
      <w:r w:rsidRPr="00246BD1">
        <w:t xml:space="preserve"> activities contributing to facilitate equal access to the </w:t>
      </w:r>
      <w:r w:rsidR="004D6A1C">
        <w:t>IP</w:t>
      </w:r>
      <w:r w:rsidRPr="00246BD1">
        <w:t xml:space="preserve"> system for men and women.</w:t>
      </w:r>
    </w:p>
    <w:p w:rsidR="00091C15" w:rsidRDefault="00847021" w:rsidP="00F812A1">
      <w:pPr>
        <w:pStyle w:val="ONUME"/>
        <w:keepLines/>
        <w:numPr>
          <w:ilvl w:val="1"/>
          <w:numId w:val="39"/>
        </w:numPr>
      </w:pPr>
      <w:r>
        <w:t>F</w:t>
      </w:r>
      <w:r w:rsidR="00605540" w:rsidRPr="00246BD1">
        <w:t xml:space="preserve">uture country plans </w:t>
      </w:r>
      <w:r>
        <w:t>need to be</w:t>
      </w:r>
      <w:r w:rsidR="00605540" w:rsidRPr="00246BD1">
        <w:t xml:space="preserve"> developed </w:t>
      </w:r>
      <w:r>
        <w:t xml:space="preserve">with </w:t>
      </w:r>
      <w:r w:rsidRPr="00246BD1">
        <w:t xml:space="preserve">clearer linkages between activities, outputs and outcomes </w:t>
      </w:r>
      <w:r w:rsidR="00AF4A4E">
        <w:t>in line with WIPO’s Results-based F</w:t>
      </w:r>
      <w:r>
        <w:t>ramework</w:t>
      </w:r>
      <w:r w:rsidR="00605540" w:rsidRPr="00246BD1">
        <w:t>.</w:t>
      </w:r>
    </w:p>
    <w:p w:rsidR="00605540" w:rsidRPr="00246BD1" w:rsidRDefault="00605540" w:rsidP="00F812A1">
      <w:pPr>
        <w:pStyle w:val="ONUME"/>
        <w:keepLines/>
        <w:numPr>
          <w:ilvl w:val="1"/>
          <w:numId w:val="39"/>
        </w:numPr>
      </w:pPr>
      <w:r w:rsidRPr="00246BD1">
        <w:t xml:space="preserve">Service Level Agreements between WIPO and government institutions </w:t>
      </w:r>
      <w:r w:rsidR="00847021">
        <w:t xml:space="preserve">should </w:t>
      </w:r>
      <w:r w:rsidRPr="00246BD1">
        <w:t>include plans specifying the contribution of each partner and exit strategies.</w:t>
      </w:r>
    </w:p>
    <w:p w:rsidR="00605540" w:rsidRPr="00246BD1" w:rsidRDefault="00605540">
      <w:pPr>
        <w:pStyle w:val="Heading2"/>
      </w:pPr>
      <w:r w:rsidRPr="00246BD1">
        <w:t xml:space="preserve">rewards and recognition program </w:t>
      </w:r>
      <w:r w:rsidR="00847021">
        <w:t>(rrp)</w:t>
      </w:r>
    </w:p>
    <w:p w:rsidR="00605540" w:rsidRPr="00F812A1" w:rsidRDefault="00605540" w:rsidP="00F812A1">
      <w:pPr>
        <w:pStyle w:val="ONUME"/>
      </w:pPr>
      <w:r w:rsidRPr="00F812A1">
        <w:t xml:space="preserve">This evaluation was </w:t>
      </w:r>
      <w:r w:rsidR="00847021" w:rsidRPr="00F812A1">
        <w:t xml:space="preserve">conducted </w:t>
      </w:r>
      <w:r w:rsidR="005B1EB4" w:rsidRPr="00F812A1">
        <w:t xml:space="preserve">from </w:t>
      </w:r>
      <w:r w:rsidRPr="00F812A1">
        <w:t xml:space="preserve">September 2014 to January 2015. </w:t>
      </w:r>
      <w:r w:rsidR="006A6EDF" w:rsidRPr="00F812A1">
        <w:t xml:space="preserve"> </w:t>
      </w:r>
      <w:r w:rsidRPr="00F812A1">
        <w:t xml:space="preserve">It included an </w:t>
      </w:r>
      <w:r w:rsidR="006A6EDF" w:rsidRPr="00F812A1">
        <w:t xml:space="preserve">   </w:t>
      </w:r>
      <w:r w:rsidRPr="00F812A1">
        <w:t xml:space="preserve">in-depth desk review, benchmarking with other United Nations (UN) Organizations having implemented similar </w:t>
      </w:r>
      <w:r w:rsidR="00847021" w:rsidRPr="00F812A1">
        <w:t xml:space="preserve">programs, structured workshops, </w:t>
      </w:r>
      <w:r w:rsidRPr="00F812A1">
        <w:t>survey</w:t>
      </w:r>
      <w:r w:rsidR="00847021" w:rsidRPr="00F812A1">
        <w:t xml:space="preserve">s addressed to </w:t>
      </w:r>
      <w:r w:rsidRPr="00F812A1">
        <w:t xml:space="preserve">the 2008-2014 Senior Management Team (SMT) and to all WIPO staff. </w:t>
      </w:r>
      <w:r w:rsidR="006A6EDF" w:rsidRPr="00F812A1">
        <w:t xml:space="preserve"> </w:t>
      </w:r>
      <w:r w:rsidRPr="00F812A1">
        <w:t>Overall four hundred WIPO staff members were consulted.</w:t>
      </w:r>
    </w:p>
    <w:p w:rsidR="00BC209B" w:rsidRPr="005B1EB4" w:rsidRDefault="00605540" w:rsidP="005B1EB4">
      <w:pPr>
        <w:pStyle w:val="ONUME"/>
      </w:pPr>
      <w:r w:rsidRPr="005B1EB4">
        <w:t xml:space="preserve">The </w:t>
      </w:r>
      <w:r w:rsidR="00BC209B" w:rsidRPr="005B1EB4">
        <w:t xml:space="preserve">evaluation concluded that in-kind and intangible awards should be prioritized and management should: </w:t>
      </w:r>
    </w:p>
    <w:p w:rsidR="00BC209B" w:rsidRPr="005B1EB4" w:rsidRDefault="006A6EDF" w:rsidP="005B1EB4">
      <w:pPr>
        <w:pStyle w:val="ONUME"/>
        <w:numPr>
          <w:ilvl w:val="1"/>
          <w:numId w:val="7"/>
        </w:numPr>
      </w:pPr>
      <w:r>
        <w:t>S</w:t>
      </w:r>
      <w:r w:rsidR="00605540" w:rsidRPr="005B1EB4">
        <w:t xml:space="preserve">et up a more factual, transparent and to the extent possible documented </w:t>
      </w:r>
      <w:r w:rsidR="00847021" w:rsidRPr="005B1EB4">
        <w:t>nomination and selection system;</w:t>
      </w:r>
      <w:r w:rsidR="00605540" w:rsidRPr="005B1EB4">
        <w:t xml:space="preserve">  </w:t>
      </w:r>
    </w:p>
    <w:p w:rsidR="00BC209B" w:rsidRPr="005B1EB4" w:rsidRDefault="006A6EDF" w:rsidP="005B1EB4">
      <w:pPr>
        <w:pStyle w:val="ONUME"/>
        <w:numPr>
          <w:ilvl w:val="1"/>
          <w:numId w:val="7"/>
        </w:numPr>
      </w:pPr>
      <w:r>
        <w:t>E</w:t>
      </w:r>
      <w:r w:rsidR="00605540" w:rsidRPr="005B1EB4">
        <w:t>ngage staff in recog</w:t>
      </w:r>
      <w:r w:rsidR="00847021" w:rsidRPr="005B1EB4">
        <w:t>nizing and awarding performance;</w:t>
      </w:r>
      <w:r w:rsidR="00605540" w:rsidRPr="005B1EB4">
        <w:t xml:space="preserve"> </w:t>
      </w:r>
    </w:p>
    <w:p w:rsidR="00BC209B" w:rsidRPr="005B1EB4" w:rsidRDefault="006A6EDF" w:rsidP="005B1EB4">
      <w:pPr>
        <w:pStyle w:val="ONUME"/>
        <w:numPr>
          <w:ilvl w:val="1"/>
          <w:numId w:val="7"/>
        </w:numPr>
      </w:pPr>
      <w:r>
        <w:lastRenderedPageBreak/>
        <w:t>I</w:t>
      </w:r>
      <w:r w:rsidR="00605540" w:rsidRPr="005B1EB4">
        <w:t>nform proactivel</w:t>
      </w:r>
      <w:r w:rsidR="00847021" w:rsidRPr="005B1EB4">
        <w:t>y WIPO staff members on the RRP;</w:t>
      </w:r>
      <w:r w:rsidR="00605540" w:rsidRPr="005B1EB4">
        <w:t xml:space="preserve"> </w:t>
      </w:r>
    </w:p>
    <w:p w:rsidR="00BC209B" w:rsidRPr="005B1EB4" w:rsidRDefault="006A6EDF" w:rsidP="005B1EB4">
      <w:pPr>
        <w:pStyle w:val="ONUME"/>
        <w:numPr>
          <w:ilvl w:val="1"/>
          <w:numId w:val="7"/>
        </w:numPr>
      </w:pPr>
      <w:r>
        <w:t>I</w:t>
      </w:r>
      <w:r w:rsidR="00605540" w:rsidRPr="005B1EB4">
        <w:t>nclude clear definition of components, procedures, and reasons for the nomination</w:t>
      </w:r>
      <w:r w:rsidR="00847021" w:rsidRPr="005B1EB4">
        <w:t xml:space="preserve"> and selection of staff members;</w:t>
      </w:r>
      <w:r>
        <w:t xml:space="preserve"> </w:t>
      </w:r>
      <w:r w:rsidR="00605540" w:rsidRPr="005B1EB4">
        <w:t xml:space="preserve"> and </w:t>
      </w:r>
    </w:p>
    <w:p w:rsidR="00605540" w:rsidRPr="005B1EB4" w:rsidRDefault="006A6EDF" w:rsidP="005B1EB4">
      <w:pPr>
        <w:pStyle w:val="ONUME"/>
        <w:numPr>
          <w:ilvl w:val="1"/>
          <w:numId w:val="7"/>
        </w:numPr>
      </w:pPr>
      <w:r>
        <w:t>E</w:t>
      </w:r>
      <w:r w:rsidR="00605540" w:rsidRPr="005B1EB4">
        <w:t xml:space="preserve">nsure </w:t>
      </w:r>
      <w:r w:rsidR="00F50E35" w:rsidRPr="00DA5DBB">
        <w:t>Human Resources Management Department</w:t>
      </w:r>
      <w:r w:rsidR="00F50E35">
        <w:t>’s</w:t>
      </w:r>
      <w:r w:rsidR="00F50E35" w:rsidRPr="005B1EB4">
        <w:t xml:space="preserve"> </w:t>
      </w:r>
      <w:r w:rsidR="00F50E35">
        <w:t>(</w:t>
      </w:r>
      <w:r w:rsidR="00605540" w:rsidRPr="005B1EB4">
        <w:t>HRMD</w:t>
      </w:r>
      <w:r w:rsidR="00F50E35">
        <w:t>)</w:t>
      </w:r>
      <w:r w:rsidR="00605540" w:rsidRPr="005B1EB4">
        <w:t xml:space="preserve"> support of the RRP implementation, including a regular oversight of the program.</w:t>
      </w:r>
    </w:p>
    <w:p w:rsidR="00605540" w:rsidRPr="005B1EB4" w:rsidRDefault="00605540" w:rsidP="00042A50">
      <w:pPr>
        <w:pStyle w:val="ONUME"/>
      </w:pPr>
      <w:r w:rsidRPr="005B1EB4">
        <w:t xml:space="preserve">HRMD responded positively </w:t>
      </w:r>
      <w:r w:rsidR="000B0098" w:rsidRPr="005B1EB4">
        <w:t xml:space="preserve">and agreed to implement </w:t>
      </w:r>
      <w:r w:rsidRPr="005B1EB4">
        <w:t>these recommendations</w:t>
      </w:r>
      <w:r w:rsidR="000B0098" w:rsidRPr="005B1EB4">
        <w:t xml:space="preserve">. </w:t>
      </w:r>
      <w:r w:rsidR="00745A6E" w:rsidRPr="005B1EB4">
        <w:t xml:space="preserve"> </w:t>
      </w:r>
      <w:r w:rsidR="000B0098" w:rsidRPr="005B1EB4">
        <w:t>The proposed</w:t>
      </w:r>
      <w:r w:rsidRPr="005B1EB4">
        <w:t xml:space="preserve"> management action plan </w:t>
      </w:r>
      <w:r w:rsidR="000B0098" w:rsidRPr="005B1EB4">
        <w:t>includes</w:t>
      </w:r>
      <w:r w:rsidRPr="005B1EB4">
        <w:t xml:space="preserve"> revision of the RRP Policy, development of a PMSDS handbook on “Showing Recognition” and of an Intranet page on the RRP, as well as the launching of a management proficiency program.</w:t>
      </w:r>
    </w:p>
    <w:p w:rsidR="000D0188" w:rsidRPr="00246BD1" w:rsidRDefault="000D0188" w:rsidP="000D0188">
      <w:pPr>
        <w:pStyle w:val="Heading2"/>
      </w:pPr>
      <w:r w:rsidRPr="00246BD1">
        <w:t xml:space="preserve">third party risk </w:t>
      </w:r>
      <w:r w:rsidR="00605540" w:rsidRPr="00246BD1">
        <w:t>management</w:t>
      </w:r>
    </w:p>
    <w:p w:rsidR="000D0188" w:rsidRPr="00F812A1" w:rsidRDefault="00745A6E" w:rsidP="00F812A1">
      <w:pPr>
        <w:pStyle w:val="ONUME"/>
      </w:pPr>
      <w:r w:rsidRPr="00F812A1">
        <w:t>The main objectives of th</w:t>
      </w:r>
      <w:r w:rsidR="005B1EB4" w:rsidRPr="00F812A1">
        <w:t>is</w:t>
      </w:r>
      <w:r w:rsidRPr="00F812A1">
        <w:t xml:space="preserve"> audit were to assess </w:t>
      </w:r>
      <w:r w:rsidR="00042A50" w:rsidRPr="00F812A1">
        <w:t>whether WIPO has established mechanisms to identify, assess and effectively manage third party risks</w:t>
      </w:r>
      <w:r w:rsidRPr="00F812A1">
        <w:t xml:space="preserve"> </w:t>
      </w:r>
      <w:r w:rsidR="00042A50" w:rsidRPr="00F812A1">
        <w:t>to mitigate the related risks and maximize the expected benefit from</w:t>
      </w:r>
      <w:r w:rsidRPr="00F812A1">
        <w:t xml:space="preserve"> third party relationships.  The audit </w:t>
      </w:r>
      <w:r w:rsidR="00042A50" w:rsidRPr="00F812A1">
        <w:t>concluded that</w:t>
      </w:r>
      <w:r w:rsidRPr="00F812A1">
        <w:t xml:space="preserve"> t</w:t>
      </w:r>
      <w:r w:rsidR="000D0188" w:rsidRPr="00F812A1">
        <w:t>hird party risk</w:t>
      </w:r>
      <w:r w:rsidR="00042A50" w:rsidRPr="00F812A1">
        <w:t>s</w:t>
      </w:r>
      <w:r w:rsidR="000D0188" w:rsidRPr="00F812A1">
        <w:t xml:space="preserve"> </w:t>
      </w:r>
      <w:r w:rsidR="00042A50" w:rsidRPr="00F812A1">
        <w:t>need to be</w:t>
      </w:r>
      <w:r w:rsidR="000D0188" w:rsidRPr="00F812A1">
        <w:t xml:space="preserve"> managed </w:t>
      </w:r>
      <w:r w:rsidR="00042A50" w:rsidRPr="00F812A1">
        <w:t>in a more formal and systematic manner</w:t>
      </w:r>
      <w:r w:rsidR="006A6EDF" w:rsidRPr="00F812A1">
        <w:t>.</w:t>
      </w:r>
    </w:p>
    <w:p w:rsidR="000D0188" w:rsidRPr="00F812A1" w:rsidRDefault="00042A50" w:rsidP="00F812A1">
      <w:pPr>
        <w:pStyle w:val="ONUME"/>
      </w:pPr>
      <w:r w:rsidRPr="00F812A1">
        <w:t>T</w:t>
      </w:r>
      <w:r w:rsidR="006F517F" w:rsidRPr="00F812A1">
        <w:t xml:space="preserve">hird party risk management can </w:t>
      </w:r>
      <w:r w:rsidR="000D0188" w:rsidRPr="00F812A1">
        <w:t xml:space="preserve">be </w:t>
      </w:r>
      <w:r w:rsidR="006F517F" w:rsidRPr="00F812A1">
        <w:t xml:space="preserve">more effective </w:t>
      </w:r>
      <w:r w:rsidRPr="00F812A1">
        <w:t>if m</w:t>
      </w:r>
      <w:r w:rsidR="006F517F" w:rsidRPr="00F812A1">
        <w:t xml:space="preserve">anagement of service framework agreements </w:t>
      </w:r>
      <w:r w:rsidRPr="00F812A1">
        <w:t>is harmonized</w:t>
      </w:r>
      <w:r w:rsidR="006F517F" w:rsidRPr="00F812A1">
        <w:t xml:space="preserve"> across WIPO Programs;</w:t>
      </w:r>
      <w:r w:rsidR="000D0188" w:rsidRPr="00F812A1">
        <w:t xml:space="preserve"> appropriate due diligence </w:t>
      </w:r>
      <w:r w:rsidRPr="00F812A1">
        <w:t>is</w:t>
      </w:r>
      <w:r w:rsidR="000D0188" w:rsidRPr="00F812A1">
        <w:t xml:space="preserve"> carried out by </w:t>
      </w:r>
      <w:r w:rsidR="006F517F" w:rsidRPr="00F812A1">
        <w:t xml:space="preserve">external worker </w:t>
      </w:r>
      <w:r w:rsidR="000D0188" w:rsidRPr="00F812A1">
        <w:t xml:space="preserve">agencies </w:t>
      </w:r>
      <w:r w:rsidR="006F517F" w:rsidRPr="00F812A1">
        <w:t xml:space="preserve">when </w:t>
      </w:r>
      <w:r w:rsidR="000D0188" w:rsidRPr="00F812A1">
        <w:t xml:space="preserve"> hiring temporary personnel assigned to WIPO, including background and </w:t>
      </w:r>
      <w:r w:rsidRPr="00F812A1">
        <w:t xml:space="preserve">criminal records verifications </w:t>
      </w:r>
      <w:r w:rsidR="006A6EDF" w:rsidRPr="00F812A1">
        <w:t xml:space="preserve">and </w:t>
      </w:r>
      <w:r w:rsidR="000D0188" w:rsidRPr="00F812A1">
        <w:t>s</w:t>
      </w:r>
      <w:r w:rsidR="006F517F" w:rsidRPr="00F812A1">
        <w:t>ign a confidentiality statement as necessary.</w:t>
      </w:r>
      <w:r w:rsidR="006A6EDF" w:rsidRPr="00F812A1">
        <w:t xml:space="preserve"> </w:t>
      </w:r>
      <w:r w:rsidR="006F517F" w:rsidRPr="00F812A1">
        <w:t xml:space="preserve"> </w:t>
      </w:r>
      <w:r w:rsidRPr="00F812A1">
        <w:t>Also, r</w:t>
      </w:r>
      <w:r w:rsidR="006F517F" w:rsidRPr="00F812A1">
        <w:t xml:space="preserve">isks related to </w:t>
      </w:r>
      <w:r w:rsidRPr="00F812A1">
        <w:t>failure of critical suppliers</w:t>
      </w:r>
      <w:r w:rsidR="006F517F" w:rsidRPr="00F812A1">
        <w:t xml:space="preserve"> need to be formally integrated in the Organizatio</w:t>
      </w:r>
      <w:r w:rsidR="006A6EDF" w:rsidRPr="00F812A1">
        <w:t>n’s Business Continuity Plans.</w:t>
      </w:r>
    </w:p>
    <w:p w:rsidR="000D0188" w:rsidRPr="00F812A1" w:rsidRDefault="006F517F" w:rsidP="00F812A1">
      <w:pPr>
        <w:pStyle w:val="ONUME"/>
      </w:pPr>
      <w:r w:rsidRPr="00F812A1">
        <w:t xml:space="preserve">Management has started taking action on the recommendations. </w:t>
      </w:r>
      <w:r w:rsidR="006A6EDF" w:rsidRPr="00F812A1">
        <w:t xml:space="preserve"> </w:t>
      </w:r>
      <w:r w:rsidRPr="00F812A1">
        <w:t xml:space="preserve">In this regard, </w:t>
      </w:r>
      <w:r w:rsidR="000D0188" w:rsidRPr="00F812A1">
        <w:t>the Administrative and Management Sector</w:t>
      </w:r>
      <w:r w:rsidR="00CB3F81" w:rsidRPr="00F812A1">
        <w:t>,</w:t>
      </w:r>
      <w:r w:rsidR="000D0188" w:rsidRPr="00F812A1">
        <w:t xml:space="preserve"> in consultation with IOD and the Office of the Legal Counsel (OLC), has </w:t>
      </w:r>
      <w:r w:rsidRPr="00F812A1">
        <w:t>already</w:t>
      </w:r>
      <w:r w:rsidR="000D0188" w:rsidRPr="00F812A1">
        <w:t xml:space="preserve"> integrated an audit clause in WIPO’s General Conditions of Contract, and </w:t>
      </w:r>
      <w:r w:rsidRPr="00F812A1">
        <w:t>has taken</w:t>
      </w:r>
      <w:r w:rsidR="000D0188" w:rsidRPr="00F812A1">
        <w:t xml:space="preserve"> steps to establish a suppliers’ sanction regime for suppliers (commercial entities, professional firms, or NGOs) that are found to have engaged in specified forms of fraud and corruption.</w:t>
      </w:r>
    </w:p>
    <w:p w:rsidR="000D0188" w:rsidRPr="00246BD1" w:rsidRDefault="000D0188" w:rsidP="000D0188">
      <w:pPr>
        <w:pStyle w:val="Heading2"/>
      </w:pPr>
      <w:r w:rsidRPr="00246BD1">
        <w:t xml:space="preserve">asset management </w:t>
      </w:r>
    </w:p>
    <w:p w:rsidR="000D0188" w:rsidRPr="00F812A1" w:rsidRDefault="000D0188" w:rsidP="00F812A1">
      <w:pPr>
        <w:pStyle w:val="ONUME"/>
      </w:pPr>
      <w:r w:rsidRPr="00F812A1">
        <w:t xml:space="preserve">The audit </w:t>
      </w:r>
      <w:r w:rsidR="00795104" w:rsidRPr="00F812A1">
        <w:t>concluded</w:t>
      </w:r>
      <w:r w:rsidRPr="00F812A1">
        <w:t xml:space="preserve"> that the processes for the receipt, recording, safekeeping, maintenance and disposal of physical assets were robust although internal controls, around the tracking and physical verification of assets could be further improved.</w:t>
      </w:r>
    </w:p>
    <w:p w:rsidR="000D0188" w:rsidRPr="00F812A1" w:rsidRDefault="00745A6E" w:rsidP="00F812A1">
      <w:pPr>
        <w:pStyle w:val="ONUME"/>
      </w:pPr>
      <w:r w:rsidRPr="00F812A1">
        <w:t>Also, addressing</w:t>
      </w:r>
      <w:r w:rsidR="00795104" w:rsidRPr="00F812A1">
        <w:t xml:space="preserve"> the </w:t>
      </w:r>
      <w:r w:rsidR="00F9030B" w:rsidRPr="00F812A1">
        <w:t>incomplete information</w:t>
      </w:r>
      <w:r w:rsidR="00795104" w:rsidRPr="00F812A1">
        <w:t xml:space="preserve"> in t</w:t>
      </w:r>
      <w:r w:rsidR="000D0188" w:rsidRPr="00F812A1">
        <w:t xml:space="preserve">he asset database </w:t>
      </w:r>
      <w:r w:rsidR="00795104" w:rsidRPr="00F812A1">
        <w:t>with regard to</w:t>
      </w:r>
      <w:r w:rsidR="000D0188" w:rsidRPr="00F812A1">
        <w:t xml:space="preserve"> location </w:t>
      </w:r>
      <w:r w:rsidR="00F9030B" w:rsidRPr="00F812A1">
        <w:t>and</w:t>
      </w:r>
      <w:r w:rsidR="00480D6E" w:rsidRPr="00F812A1">
        <w:t xml:space="preserve"> custodians of assets would</w:t>
      </w:r>
      <w:r w:rsidR="00795104" w:rsidRPr="00F812A1">
        <w:t xml:space="preserve"> enhance data integrity</w:t>
      </w:r>
      <w:r w:rsidR="00480D6E" w:rsidRPr="00F812A1">
        <w:t xml:space="preserve"> in terms of completeness and accuracy</w:t>
      </w:r>
      <w:r w:rsidR="000D0188" w:rsidRPr="00F812A1">
        <w:t xml:space="preserve">.  </w:t>
      </w:r>
      <w:r w:rsidR="00480D6E" w:rsidRPr="00F812A1">
        <w:t>Utilizing</w:t>
      </w:r>
      <w:r w:rsidR="000D0188" w:rsidRPr="00F812A1">
        <w:t xml:space="preserve"> </w:t>
      </w:r>
      <w:r w:rsidR="00480D6E" w:rsidRPr="00F812A1">
        <w:t xml:space="preserve">tamper-proof </w:t>
      </w:r>
      <w:r w:rsidR="000D0188" w:rsidRPr="00F812A1">
        <w:t xml:space="preserve">asset tags </w:t>
      </w:r>
      <w:r w:rsidR="00480D6E" w:rsidRPr="00F812A1">
        <w:t>will reduce</w:t>
      </w:r>
      <w:r w:rsidR="000D0188" w:rsidRPr="00F812A1">
        <w:t xml:space="preserve"> the risk of transposing asset tags and error</w:t>
      </w:r>
      <w:r w:rsidR="00480D6E" w:rsidRPr="00F812A1">
        <w:t>s</w:t>
      </w:r>
      <w:r w:rsidR="000D0188" w:rsidRPr="00F812A1">
        <w:t xml:space="preserve"> in physical verification of fixed assets inventories.</w:t>
      </w:r>
    </w:p>
    <w:p w:rsidR="000D0188" w:rsidRPr="00F812A1" w:rsidRDefault="000D0188" w:rsidP="00F812A1">
      <w:pPr>
        <w:pStyle w:val="ONUME"/>
      </w:pPr>
      <w:r w:rsidRPr="00F812A1">
        <w:t xml:space="preserve">With regard to management of works of art, </w:t>
      </w:r>
      <w:r w:rsidR="00480D6E" w:rsidRPr="00F812A1">
        <w:t xml:space="preserve">developing a </w:t>
      </w:r>
      <w:r w:rsidR="006F0553" w:rsidRPr="00F812A1">
        <w:t xml:space="preserve">single </w:t>
      </w:r>
      <w:r w:rsidR="00480D6E" w:rsidRPr="00F812A1">
        <w:t xml:space="preserve">database </w:t>
      </w:r>
      <w:r w:rsidRPr="00F812A1">
        <w:t xml:space="preserve">for recording </w:t>
      </w:r>
      <w:r w:rsidR="00F9030B" w:rsidRPr="00F812A1">
        <w:t xml:space="preserve">of works of art </w:t>
      </w:r>
      <w:r w:rsidR="00480D6E" w:rsidRPr="00F812A1">
        <w:t>and reconciling the information contained currently in two separate systems would considerably enhance the relevant internal controls.</w:t>
      </w:r>
      <w:r w:rsidRPr="00F812A1">
        <w:t xml:space="preserve">  Management is aware of this issue and </w:t>
      </w:r>
      <w:r w:rsidR="00480D6E" w:rsidRPr="00F812A1">
        <w:t xml:space="preserve">has already </w:t>
      </w:r>
      <w:r w:rsidR="00F9030B" w:rsidRPr="00F812A1">
        <w:t>taken</w:t>
      </w:r>
      <w:r w:rsidR="00745A6E" w:rsidRPr="00F812A1">
        <w:t xml:space="preserve"> appropriate remedial steps.  </w:t>
      </w:r>
    </w:p>
    <w:p w:rsidR="000F3F26" w:rsidRPr="00F812A1" w:rsidRDefault="00F9030B" w:rsidP="00F812A1">
      <w:pPr>
        <w:pStyle w:val="ONUME"/>
      </w:pPr>
      <w:r w:rsidRPr="00F812A1">
        <w:t>Defining K</w:t>
      </w:r>
      <w:r w:rsidR="000F3F26" w:rsidRPr="00F812A1">
        <w:t xml:space="preserve">ey Performance Indicators (KPI) for asset management in the Program and Budget for the next biennium would, improve accountability and responsibility, and enhance current performance monitoring mechanisms to ensure </w:t>
      </w:r>
      <w:r w:rsidRPr="00F812A1">
        <w:t>effective and efficient</w:t>
      </w:r>
      <w:r w:rsidR="000F3F26" w:rsidRPr="00F812A1">
        <w:t xml:space="preserve"> manage</w:t>
      </w:r>
      <w:r w:rsidRPr="00F812A1">
        <w:t>ment of</w:t>
      </w:r>
      <w:r w:rsidR="000F3F26" w:rsidRPr="00F812A1">
        <w:t xml:space="preserve"> </w:t>
      </w:r>
      <w:r w:rsidRPr="00F812A1">
        <w:t xml:space="preserve">WIPO’s </w:t>
      </w:r>
      <w:r w:rsidR="000F3F26" w:rsidRPr="00F812A1">
        <w:t xml:space="preserve">assets. </w:t>
      </w:r>
    </w:p>
    <w:p w:rsidR="000D0188" w:rsidRPr="00246BD1" w:rsidRDefault="000D0188" w:rsidP="000D0188">
      <w:pPr>
        <w:pStyle w:val="Heading2"/>
      </w:pPr>
      <w:r w:rsidRPr="00246BD1">
        <w:lastRenderedPageBreak/>
        <w:t xml:space="preserve">WIPO academy </w:t>
      </w:r>
    </w:p>
    <w:p w:rsidR="000D0188" w:rsidRPr="00F812A1" w:rsidRDefault="000D0188" w:rsidP="00F812A1">
      <w:pPr>
        <w:pStyle w:val="ONUME"/>
      </w:pPr>
      <w:r w:rsidRPr="00F812A1">
        <w:t xml:space="preserve">The WIPO Academy, established in 1998, is a leading provider of training and teaching in IP for the benefit of developing countries, </w:t>
      </w:r>
      <w:r w:rsidR="00F812A1" w:rsidRPr="00F812A1">
        <w:t>Least Developed Countries (</w:t>
      </w:r>
      <w:r w:rsidRPr="00F812A1">
        <w:t>LDCs</w:t>
      </w:r>
      <w:r w:rsidR="00F812A1" w:rsidRPr="00F812A1">
        <w:t>)</w:t>
      </w:r>
      <w:r w:rsidRPr="00F812A1">
        <w:t xml:space="preserve"> and countries with economies in transition.  However, in recent years, several other WIPO Programs are increasingly providing development-oriented trainings an</w:t>
      </w:r>
      <w:r w:rsidR="00CF1A6B" w:rsidRPr="00F812A1">
        <w:t>d capacity building services without always coordinating their activities with the Academy.  This</w:t>
      </w:r>
      <w:r w:rsidRPr="00F812A1">
        <w:t xml:space="preserve"> has resulted in overlaps </w:t>
      </w:r>
      <w:r w:rsidR="00CF1A6B" w:rsidRPr="00F812A1">
        <w:t>in</w:t>
      </w:r>
      <w:r w:rsidRPr="00F812A1">
        <w:t xml:space="preserve"> training activities, impacting efficient use </w:t>
      </w:r>
      <w:r w:rsidR="00CF1A6B" w:rsidRPr="00F812A1">
        <w:t>of resources and WIPO’s image</w:t>
      </w:r>
      <w:r w:rsidRPr="00F812A1">
        <w:t>.</w:t>
      </w:r>
    </w:p>
    <w:p w:rsidR="000D0188" w:rsidRPr="00F812A1" w:rsidRDefault="00CF1A6B" w:rsidP="00F812A1">
      <w:pPr>
        <w:pStyle w:val="ONUME"/>
      </w:pPr>
      <w:r w:rsidRPr="00F812A1">
        <w:t>W</w:t>
      </w:r>
      <w:r w:rsidR="000D0188" w:rsidRPr="00F812A1">
        <w:t>hile a series of documentation</w:t>
      </w:r>
      <w:r w:rsidR="000D0188" w:rsidRPr="00E04B15">
        <w:rPr>
          <w:rStyle w:val="FootnoteReference"/>
        </w:rPr>
        <w:footnoteReference w:id="5"/>
      </w:r>
      <w:r w:rsidR="000D0188" w:rsidRPr="00F812A1">
        <w:t xml:space="preserve"> confirm the will of WIPO to reposition the Academy as the core entity for training and capacity-building activities for development, </w:t>
      </w:r>
      <w:r w:rsidRPr="00F812A1">
        <w:t>the mandate of the Academy has</w:t>
      </w:r>
      <w:r w:rsidR="000D0188" w:rsidRPr="00F812A1">
        <w:t xml:space="preserve"> yet to be formally </w:t>
      </w:r>
      <w:r w:rsidR="00F9030B" w:rsidRPr="00F812A1">
        <w:t>revised to reflect its new role</w:t>
      </w:r>
      <w:r w:rsidRPr="00F812A1">
        <w:t xml:space="preserve">. </w:t>
      </w:r>
      <w:r w:rsidR="000D0188" w:rsidRPr="00F812A1">
        <w:t xml:space="preserve"> </w:t>
      </w:r>
      <w:r w:rsidR="00F9030B" w:rsidRPr="00F812A1">
        <w:t xml:space="preserve">Once the new Mandate is formalized, </w:t>
      </w:r>
      <w:r w:rsidRPr="00F812A1">
        <w:t>the Academy</w:t>
      </w:r>
      <w:r w:rsidR="00F9030B" w:rsidRPr="00F812A1">
        <w:t xml:space="preserve"> needs also</w:t>
      </w:r>
      <w:r w:rsidRPr="00F812A1">
        <w:t xml:space="preserve"> </w:t>
      </w:r>
      <w:r w:rsidR="00F9030B" w:rsidRPr="00F812A1">
        <w:t xml:space="preserve">to </w:t>
      </w:r>
      <w:r w:rsidR="000D0188" w:rsidRPr="00F812A1">
        <w:t xml:space="preserve">develop a strategic business plan to fully address the </w:t>
      </w:r>
      <w:r w:rsidRPr="00F812A1">
        <w:t>requirements stemming from its repositioning</w:t>
      </w:r>
      <w:r w:rsidR="000D0188" w:rsidRPr="00F812A1">
        <w:t>.</w:t>
      </w:r>
    </w:p>
    <w:p w:rsidR="000D0188" w:rsidRPr="00F812A1" w:rsidRDefault="00CF1A6B" w:rsidP="00F812A1">
      <w:pPr>
        <w:pStyle w:val="ONUME"/>
      </w:pPr>
      <w:r w:rsidRPr="00F812A1">
        <w:t>In the meantime,</w:t>
      </w:r>
      <w:r w:rsidR="000D0188" w:rsidRPr="00F812A1">
        <w:t xml:space="preserve"> the Academy </w:t>
      </w:r>
      <w:r w:rsidRPr="00F812A1">
        <w:t xml:space="preserve">needs </w:t>
      </w:r>
      <w:r w:rsidR="000D0188" w:rsidRPr="00F812A1">
        <w:t xml:space="preserve">to address </w:t>
      </w:r>
      <w:r w:rsidR="00F9030B" w:rsidRPr="00F812A1">
        <w:t>the current</w:t>
      </w:r>
      <w:r w:rsidRPr="00F812A1">
        <w:t xml:space="preserve"> </w:t>
      </w:r>
      <w:r w:rsidR="00F9030B" w:rsidRPr="00F812A1">
        <w:t>operational issues.</w:t>
      </w:r>
      <w:r w:rsidR="00F812A1" w:rsidRPr="00F812A1">
        <w:t xml:space="preserve"> </w:t>
      </w:r>
      <w:r w:rsidR="00F9030B" w:rsidRPr="00F812A1">
        <w:t xml:space="preserve"> These include </w:t>
      </w:r>
      <w:r w:rsidR="000D0188" w:rsidRPr="00F812A1">
        <w:t xml:space="preserve">harmonizing internal processes and practices; </w:t>
      </w:r>
      <w:r w:rsidR="00F812A1" w:rsidRPr="00F812A1">
        <w:t xml:space="preserve"> </w:t>
      </w:r>
      <w:r w:rsidR="000D0188" w:rsidRPr="00F812A1">
        <w:t>reviewing its current human resource structure and skills set;</w:t>
      </w:r>
      <w:r w:rsidR="00F812A1" w:rsidRPr="00F812A1">
        <w:t xml:space="preserve"> </w:t>
      </w:r>
      <w:r w:rsidR="000D0188" w:rsidRPr="00F812A1">
        <w:t xml:space="preserve"> enhancing its systems to better support operations and program delivery; </w:t>
      </w:r>
      <w:r w:rsidR="00F812A1" w:rsidRPr="00F812A1">
        <w:t xml:space="preserve"> </w:t>
      </w:r>
      <w:r w:rsidR="000D0188" w:rsidRPr="00F812A1">
        <w:t xml:space="preserve">further developing tools to better measure impact of its activities; </w:t>
      </w:r>
      <w:r w:rsidR="00F812A1" w:rsidRPr="00F812A1">
        <w:t xml:space="preserve"> </w:t>
      </w:r>
      <w:r w:rsidR="00A01236" w:rsidRPr="00F812A1">
        <w:t xml:space="preserve">and </w:t>
      </w:r>
      <w:r w:rsidR="000D0188" w:rsidRPr="00F812A1">
        <w:t xml:space="preserve">improving its quality control framework to deliver </w:t>
      </w:r>
      <w:r w:rsidRPr="00F812A1">
        <w:t>effective and quality services.</w:t>
      </w:r>
    </w:p>
    <w:p w:rsidR="000D0188" w:rsidRPr="00246BD1" w:rsidRDefault="000D0188" w:rsidP="000D0188">
      <w:pPr>
        <w:pStyle w:val="Heading2"/>
      </w:pPr>
      <w:r w:rsidRPr="00246BD1">
        <w:t>SAFETY AND SECURITY</w:t>
      </w:r>
      <w:r w:rsidR="00605540" w:rsidRPr="00246BD1">
        <w:t xml:space="preserve"> services</w:t>
      </w:r>
    </w:p>
    <w:p w:rsidR="00F812A1" w:rsidRPr="00F812A1" w:rsidRDefault="000D0188" w:rsidP="00F812A1">
      <w:pPr>
        <w:pStyle w:val="ONUME"/>
      </w:pPr>
      <w:r w:rsidRPr="00F812A1">
        <w:t xml:space="preserve">The objective of the audit was to determine the adequacy, effectiveness and efficiency of the security measures in place </w:t>
      </w:r>
      <w:r w:rsidR="00F812A1" w:rsidRPr="00F812A1">
        <w:t>at WIPO and compliance with UN Minimum O</w:t>
      </w:r>
      <w:r w:rsidRPr="00F812A1">
        <w:t xml:space="preserve">perating </w:t>
      </w:r>
      <w:r w:rsidR="00F812A1" w:rsidRPr="00F812A1">
        <w:t>S</w:t>
      </w:r>
      <w:r w:rsidRPr="00F812A1">
        <w:t xml:space="preserve">ecurity </w:t>
      </w:r>
      <w:r w:rsidR="00F812A1" w:rsidRPr="00F812A1">
        <w:t>S</w:t>
      </w:r>
      <w:r w:rsidRPr="00F812A1">
        <w:t xml:space="preserve">tandards (MOSS).  This </w:t>
      </w:r>
      <w:r w:rsidR="00486BDE" w:rsidRPr="00F812A1">
        <w:t xml:space="preserve">was </w:t>
      </w:r>
      <w:r w:rsidRPr="00F812A1">
        <w:t>IOD’s first review of safety and security</w:t>
      </w:r>
      <w:r w:rsidR="00486BDE" w:rsidRPr="00F812A1">
        <w:t xml:space="preserve"> services</w:t>
      </w:r>
      <w:r w:rsidRPr="00F812A1">
        <w:t xml:space="preserve">, and the results highlighted the following key issues </w:t>
      </w:r>
      <w:r w:rsidR="00A01236" w:rsidRPr="00F812A1">
        <w:t xml:space="preserve">that need </w:t>
      </w:r>
      <w:r w:rsidRPr="00F812A1">
        <w:t xml:space="preserve">to be addressed: </w:t>
      </w:r>
    </w:p>
    <w:p w:rsidR="00F812A1" w:rsidRDefault="00A01236" w:rsidP="00F812A1">
      <w:pPr>
        <w:pStyle w:val="ONUME"/>
      </w:pPr>
      <w:r>
        <w:t>F</w:t>
      </w:r>
      <w:r w:rsidR="009071A9">
        <w:t>ormalizing and updating</w:t>
      </w:r>
      <w:r w:rsidR="00486BDE" w:rsidRPr="00246BD1">
        <w:t xml:space="preserve"> </w:t>
      </w:r>
      <w:r w:rsidR="00486BDE">
        <w:t>s</w:t>
      </w:r>
      <w:r w:rsidR="000D0188" w:rsidRPr="00246BD1">
        <w:t xml:space="preserve">ecurity and </w:t>
      </w:r>
      <w:r w:rsidR="00486BDE">
        <w:t>s</w:t>
      </w:r>
      <w:r w:rsidR="000D0188" w:rsidRPr="00246BD1">
        <w:t>afety policies and procedures;</w:t>
      </w:r>
    </w:p>
    <w:p w:rsidR="00F812A1" w:rsidRDefault="000D0188" w:rsidP="004B2173">
      <w:pPr>
        <w:pStyle w:val="ONUME"/>
        <w:keepLines/>
        <w:numPr>
          <w:ilvl w:val="1"/>
          <w:numId w:val="40"/>
        </w:numPr>
        <w:spacing w:before="240" w:after="0"/>
      </w:pPr>
      <w:r w:rsidRPr="00246BD1">
        <w:t>Timely complet</w:t>
      </w:r>
      <w:r w:rsidR="009071A9">
        <w:t>ion of</w:t>
      </w:r>
      <w:r w:rsidRPr="00246BD1">
        <w:t xml:space="preserve"> </w:t>
      </w:r>
      <w:r w:rsidR="00A01236">
        <w:t>the</w:t>
      </w:r>
      <w:r w:rsidR="009071A9">
        <w:t xml:space="preserve"> recruitment process of a new Head of Safety and Security Coordination S</w:t>
      </w:r>
      <w:r w:rsidRPr="00246BD1">
        <w:t>ervice;</w:t>
      </w:r>
    </w:p>
    <w:p w:rsidR="00F812A1" w:rsidRDefault="00A01236" w:rsidP="004B2173">
      <w:pPr>
        <w:pStyle w:val="ONUME"/>
        <w:keepLines/>
        <w:numPr>
          <w:ilvl w:val="1"/>
          <w:numId w:val="40"/>
        </w:numPr>
        <w:spacing w:before="240" w:after="0"/>
      </w:pPr>
      <w:r>
        <w:t>P</w:t>
      </w:r>
      <w:r w:rsidR="009071A9">
        <w:t>rovision of</w:t>
      </w:r>
      <w:r w:rsidR="000D0188" w:rsidRPr="00246BD1">
        <w:t xml:space="preserve"> adequate training to security staff on the administration of new security systems</w:t>
      </w:r>
      <w:r>
        <w:t>;</w:t>
      </w:r>
    </w:p>
    <w:p w:rsidR="00F812A1" w:rsidRDefault="00A01236" w:rsidP="004B2173">
      <w:pPr>
        <w:pStyle w:val="ONUME"/>
        <w:keepLines/>
        <w:numPr>
          <w:ilvl w:val="1"/>
          <w:numId w:val="40"/>
        </w:numPr>
        <w:spacing w:before="240" w:after="0"/>
      </w:pPr>
      <w:r>
        <w:t>P</w:t>
      </w:r>
      <w:r w:rsidR="000D0188" w:rsidRPr="00246BD1">
        <w:t>erform</w:t>
      </w:r>
      <w:r w:rsidR="009071A9">
        <w:t>ing</w:t>
      </w:r>
      <w:r w:rsidR="000D0188" w:rsidRPr="00246BD1">
        <w:t xml:space="preserve"> a security review of all </w:t>
      </w:r>
      <w:r w:rsidR="009071A9">
        <w:t>recently deployed</w:t>
      </w:r>
      <w:r w:rsidR="000D0188" w:rsidRPr="00246BD1">
        <w:t xml:space="preserve"> security systems;  and</w:t>
      </w:r>
    </w:p>
    <w:p w:rsidR="000D0188" w:rsidRPr="00246BD1" w:rsidRDefault="00A01236" w:rsidP="004B2173">
      <w:pPr>
        <w:pStyle w:val="ONUME"/>
        <w:keepLines/>
        <w:numPr>
          <w:ilvl w:val="1"/>
          <w:numId w:val="40"/>
        </w:numPr>
        <w:spacing w:before="240" w:after="0"/>
      </w:pPr>
      <w:r>
        <w:t>E</w:t>
      </w:r>
      <w:r w:rsidR="000D0188" w:rsidRPr="00246BD1">
        <w:t>ffective manag</w:t>
      </w:r>
      <w:r>
        <w:t>e</w:t>
      </w:r>
      <w:r w:rsidR="009071A9">
        <w:t>ment of</w:t>
      </w:r>
      <w:r w:rsidR="000D0188" w:rsidRPr="00246BD1">
        <w:t xml:space="preserve"> WIPO parking spaces.</w:t>
      </w:r>
    </w:p>
    <w:p w:rsidR="007C30B5" w:rsidRDefault="007C30B5" w:rsidP="00F73A5E">
      <w:pPr>
        <w:pStyle w:val="ONUME"/>
        <w:keepLines/>
        <w:numPr>
          <w:ilvl w:val="0"/>
          <w:numId w:val="33"/>
        </w:numPr>
        <w:spacing w:before="240" w:after="0"/>
        <w:sectPr w:rsidR="007C30B5" w:rsidSect="00E365E6">
          <w:headerReference w:type="default" r:id="rId14"/>
          <w:endnotePr>
            <w:numFmt w:val="decimal"/>
          </w:endnotePr>
          <w:pgSz w:w="11907" w:h="16840" w:code="9"/>
          <w:pgMar w:top="1305" w:right="1134" w:bottom="1418" w:left="1418" w:header="510" w:footer="1021" w:gutter="0"/>
          <w:cols w:space="720"/>
          <w:titlePg/>
          <w:docGrid w:linePitch="299"/>
        </w:sectPr>
      </w:pPr>
    </w:p>
    <w:p w:rsidR="00E365E6" w:rsidRPr="00DA5DBB" w:rsidRDefault="006A0D3F" w:rsidP="00E365E6">
      <w:pPr>
        <w:pStyle w:val="Heading1"/>
      </w:pPr>
      <w:bookmarkStart w:id="25" w:name="_Toc423533514"/>
      <w:r>
        <w:lastRenderedPageBreak/>
        <w:t>I</w:t>
      </w:r>
      <w:r w:rsidR="00E365E6" w:rsidRPr="00DA5DBB">
        <w:t>NVESTIGATIVE ACTIVITIES IN THE REPORTING PERIOD</w:t>
      </w:r>
      <w:bookmarkEnd w:id="25"/>
    </w:p>
    <w:p w:rsidR="00AE5ACD" w:rsidRDefault="00E71E89" w:rsidP="00AE5ACD">
      <w:pPr>
        <w:pStyle w:val="Heading2"/>
      </w:pPr>
      <w:r>
        <w:t>Caseload overview</w:t>
      </w:r>
    </w:p>
    <w:p w:rsidR="008414E9" w:rsidRDefault="00E2643D" w:rsidP="009071A9">
      <w:pPr>
        <w:pStyle w:val="ONUME"/>
      </w:pPr>
      <w:r w:rsidRPr="00E2643D">
        <w:t xml:space="preserve">During the reporting period, </w:t>
      </w:r>
      <w:r w:rsidR="00CE033F">
        <w:t>26</w:t>
      </w:r>
      <w:r w:rsidRPr="00E2643D">
        <w:t xml:space="preserve"> new </w:t>
      </w:r>
      <w:r w:rsidR="00176141">
        <w:t xml:space="preserve">inquiry </w:t>
      </w:r>
      <w:r w:rsidRPr="00E2643D">
        <w:t xml:space="preserve">cases were registered and </w:t>
      </w:r>
      <w:r w:rsidR="00CE033F">
        <w:t>20</w:t>
      </w:r>
      <w:r w:rsidRPr="00E2643D">
        <w:t xml:space="preserve"> were closed. </w:t>
      </w:r>
      <w:r w:rsidR="009071A9">
        <w:t xml:space="preserve"> </w:t>
      </w:r>
      <w:r w:rsidRPr="00E2643D">
        <w:t xml:space="preserve">As of June 30, 2015, </w:t>
      </w:r>
      <w:r w:rsidR="00CE033F">
        <w:t>18</w:t>
      </w:r>
      <w:r w:rsidRPr="00E2643D">
        <w:t xml:space="preserve"> cases </w:t>
      </w:r>
      <w:r w:rsidR="00862FFA">
        <w:t>are</w:t>
      </w:r>
      <w:r w:rsidRPr="00E2643D">
        <w:t xml:space="preserve"> pending, including </w:t>
      </w:r>
      <w:r w:rsidR="00CE033F">
        <w:t>14</w:t>
      </w:r>
      <w:r w:rsidRPr="00E2643D">
        <w:t xml:space="preserve"> at the preliminary evaluation stage and </w:t>
      </w:r>
      <w:r w:rsidR="00CE033F">
        <w:t>four</w:t>
      </w:r>
      <w:r w:rsidRPr="00E2643D">
        <w:t xml:space="preserve"> at the full investigation stage.</w:t>
      </w:r>
    </w:p>
    <w:p w:rsidR="00E2643D" w:rsidRPr="00E2643D" w:rsidRDefault="00E2643D" w:rsidP="00444503">
      <w:pPr>
        <w:pStyle w:val="ONUME"/>
        <w:numPr>
          <w:ilvl w:val="0"/>
          <w:numId w:val="0"/>
        </w:numPr>
        <w:jc w:val="center"/>
        <w:rPr>
          <w:b/>
          <w:sz w:val="18"/>
          <w:szCs w:val="18"/>
        </w:rPr>
      </w:pPr>
      <w:r w:rsidRPr="00E2643D">
        <w:rPr>
          <w:b/>
          <w:sz w:val="18"/>
          <w:szCs w:val="18"/>
        </w:rPr>
        <w:t xml:space="preserve">Chart </w:t>
      </w:r>
      <w:r w:rsidR="004B2173">
        <w:rPr>
          <w:b/>
          <w:sz w:val="18"/>
          <w:szCs w:val="18"/>
        </w:rPr>
        <w:t>1</w:t>
      </w:r>
      <w:r w:rsidRPr="00E2643D">
        <w:rPr>
          <w:b/>
          <w:sz w:val="18"/>
          <w:szCs w:val="18"/>
        </w:rPr>
        <w:t xml:space="preserve"> – </w:t>
      </w:r>
      <w:r w:rsidR="00444503">
        <w:rPr>
          <w:b/>
          <w:sz w:val="18"/>
          <w:szCs w:val="18"/>
        </w:rPr>
        <w:t xml:space="preserve">Comparative Analysis of </w:t>
      </w:r>
      <w:r w:rsidRPr="00E2643D">
        <w:rPr>
          <w:b/>
          <w:sz w:val="18"/>
          <w:szCs w:val="18"/>
        </w:rPr>
        <w:t>Investigative caseload June 30, 2011</w:t>
      </w:r>
      <w:r w:rsidR="00444503">
        <w:rPr>
          <w:b/>
          <w:sz w:val="18"/>
          <w:szCs w:val="18"/>
        </w:rPr>
        <w:t xml:space="preserve"> to June 30, 2015</w:t>
      </w:r>
    </w:p>
    <w:p w:rsidR="00E2643D" w:rsidRDefault="00CE033F" w:rsidP="00E2643D">
      <w:pPr>
        <w:pStyle w:val="ONUME"/>
        <w:numPr>
          <w:ilvl w:val="0"/>
          <w:numId w:val="0"/>
        </w:numPr>
        <w:jc w:val="center"/>
      </w:pPr>
      <w:r>
        <w:rPr>
          <w:noProof/>
          <w:lang w:eastAsia="en-US"/>
        </w:rPr>
        <w:drawing>
          <wp:inline distT="0" distB="0" distL="0" distR="0" wp14:anchorId="6145609D" wp14:editId="3D985195">
            <wp:extent cx="5962650" cy="4084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2650" cy="4084955"/>
                    </a:xfrm>
                    <a:prstGeom prst="rect">
                      <a:avLst/>
                    </a:prstGeom>
                    <a:noFill/>
                  </pic:spPr>
                </pic:pic>
              </a:graphicData>
            </a:graphic>
          </wp:inline>
        </w:drawing>
      </w:r>
    </w:p>
    <w:p w:rsidR="00273442" w:rsidRDefault="00862FFA" w:rsidP="009071A9">
      <w:pPr>
        <w:pStyle w:val="ONUME"/>
      </w:pPr>
      <w:r>
        <w:t xml:space="preserve">As of June 30, 2015, the average age of cases currently being investigated is </w:t>
      </w:r>
      <w:r w:rsidRPr="00CE033F">
        <w:t>5.</w:t>
      </w:r>
      <w:r w:rsidR="00CE033F" w:rsidRPr="00CE033F">
        <w:t>1</w:t>
      </w:r>
      <w:r>
        <w:t xml:space="preserve"> months.</w:t>
      </w:r>
    </w:p>
    <w:p w:rsidR="00E71E89" w:rsidRDefault="00E71E89" w:rsidP="00E71E89">
      <w:pPr>
        <w:pStyle w:val="Heading2"/>
      </w:pPr>
      <w:r>
        <w:t>Cases opened in the reporting period</w:t>
      </w:r>
    </w:p>
    <w:p w:rsidR="00920E74" w:rsidRDefault="009071A9" w:rsidP="00E2643D">
      <w:pPr>
        <w:pStyle w:val="ONUME"/>
      </w:pPr>
      <w:r>
        <w:t>C</w:t>
      </w:r>
      <w:r w:rsidR="00E71E89">
        <w:t>omplaints</w:t>
      </w:r>
      <w:r w:rsidR="00E2643D">
        <w:t xml:space="preserve"> of alleged harassment, discrimination or abuse of authority </w:t>
      </w:r>
      <w:r w:rsidR="00920E74">
        <w:t>constitute</w:t>
      </w:r>
      <w:r w:rsidR="00E71E89">
        <w:t>d</w:t>
      </w:r>
      <w:r w:rsidR="00920E74">
        <w:t xml:space="preserve"> a significant part of IOD's </w:t>
      </w:r>
      <w:r w:rsidR="00E71E89">
        <w:t>new cases</w:t>
      </w:r>
      <w:r w:rsidR="00E2643D">
        <w:t xml:space="preserve"> (</w:t>
      </w:r>
      <w:r w:rsidR="00CC11C5">
        <w:t>eight</w:t>
      </w:r>
      <w:r w:rsidR="00E2643D">
        <w:t xml:space="preserve"> </w:t>
      </w:r>
      <w:r w:rsidR="00920E74">
        <w:t>complaints received in the reporting period</w:t>
      </w:r>
      <w:r w:rsidR="00E2643D">
        <w:t>).</w:t>
      </w:r>
      <w:r w:rsidR="00920E74">
        <w:t xml:space="preserve"> </w:t>
      </w:r>
    </w:p>
    <w:p w:rsidR="004B2173" w:rsidRDefault="00E2643D" w:rsidP="00920E74">
      <w:pPr>
        <w:pStyle w:val="ONUME"/>
      </w:pPr>
      <w:r>
        <w:t xml:space="preserve">Five cases were opened in relation to alleged abuse of work time (mostly involving unauthorized absence and fraudulent use of the </w:t>
      </w:r>
      <w:proofErr w:type="spellStart"/>
      <w:r>
        <w:t>Flexitime</w:t>
      </w:r>
      <w:proofErr w:type="spellEnd"/>
      <w:r>
        <w:t xml:space="preserve"> clocking system) compared to </w:t>
      </w:r>
      <w:r w:rsidR="00CC11C5">
        <w:t xml:space="preserve">only </w:t>
      </w:r>
      <w:r>
        <w:t xml:space="preserve">one </w:t>
      </w:r>
      <w:r w:rsidR="00920E74">
        <w:t>case in the previous period</w:t>
      </w:r>
      <w:r w:rsidR="007830CB">
        <w:t>.</w:t>
      </w:r>
      <w:r w:rsidR="00FB11DF">
        <w:t xml:space="preserve"> </w:t>
      </w:r>
      <w:r w:rsidR="007830CB">
        <w:t xml:space="preserve"> O</w:t>
      </w:r>
      <w:r w:rsidR="00920E74">
        <w:t xml:space="preserve">f these five cases, three were opened based on reports from supervisors of the staff members concerned, possibly showing an increase in </w:t>
      </w:r>
      <w:r w:rsidR="007830CB">
        <w:t xml:space="preserve">WIPO managers' awareness of work time issues. </w:t>
      </w:r>
    </w:p>
    <w:p w:rsidR="004B2173" w:rsidRDefault="004B2173">
      <w:r>
        <w:br w:type="page"/>
      </w:r>
    </w:p>
    <w:p w:rsidR="009071A9" w:rsidRDefault="00E2643D" w:rsidP="009071A9">
      <w:pPr>
        <w:pStyle w:val="ONUME"/>
      </w:pPr>
      <w:r>
        <w:lastRenderedPageBreak/>
        <w:t xml:space="preserve">Four cases were opened in relation to alleged wrongdoings during a recruitment selection process (including use of unauthorized materials and plagiarism during written tests) whereas no such case </w:t>
      </w:r>
      <w:r w:rsidR="009071A9">
        <w:t xml:space="preserve">was recorded </w:t>
      </w:r>
      <w:r>
        <w:t xml:space="preserve">during the </w:t>
      </w:r>
      <w:r w:rsidR="009071A9">
        <w:t>previous period</w:t>
      </w:r>
      <w:r w:rsidR="007830CB">
        <w:t>.</w:t>
      </w:r>
      <w:r w:rsidR="009071A9" w:rsidRPr="009071A9">
        <w:t xml:space="preserve"> </w:t>
      </w:r>
      <w:r w:rsidR="00FB11DF">
        <w:t xml:space="preserve"> </w:t>
      </w:r>
      <w:r w:rsidR="009071A9">
        <w:t xml:space="preserve">Only two of the new cases were referred to IOD through the hotline for reporting misconduct. </w:t>
      </w:r>
      <w:r w:rsidR="00FB11DF">
        <w:t xml:space="preserve"> </w:t>
      </w:r>
      <w:r w:rsidR="009071A9">
        <w:t>All other cases were registered further to complaints or reports from WIPO staff members, either in their individual capacity or as Management representatives.</w:t>
      </w:r>
    </w:p>
    <w:p w:rsidR="00E2643D" w:rsidRDefault="009071A9" w:rsidP="009071A9">
      <w:pPr>
        <w:pStyle w:val="ONUME"/>
      </w:pPr>
      <w:r w:rsidRPr="00AE5ACD">
        <w:t xml:space="preserve">Among the new cases, </w:t>
      </w:r>
      <w:r>
        <w:t>four</w:t>
      </w:r>
      <w:r w:rsidRPr="00AE5ACD">
        <w:t xml:space="preserve"> were referred to the IAOC </w:t>
      </w:r>
      <w:r>
        <w:t xml:space="preserve">for its advice </w:t>
      </w:r>
      <w:r w:rsidRPr="00AE5ACD">
        <w:t>in accordance with paragraph</w:t>
      </w:r>
      <w:r>
        <w:t>s</w:t>
      </w:r>
      <w:r w:rsidRPr="00AE5ACD">
        <w:t xml:space="preserve"> </w:t>
      </w:r>
      <w:r>
        <w:t>18 to 21</w:t>
      </w:r>
      <w:r w:rsidRPr="00AE5ACD">
        <w:t xml:space="preserve"> of</w:t>
      </w:r>
      <w:r>
        <w:t xml:space="preserve"> the IOC</w:t>
      </w:r>
      <w:r w:rsidRPr="00AE5ACD">
        <w:t xml:space="preserve">.  </w:t>
      </w:r>
    </w:p>
    <w:p w:rsidR="00AE5ACD" w:rsidRDefault="00AE5ACD" w:rsidP="00AE5ACD">
      <w:pPr>
        <w:pStyle w:val="Heading2"/>
      </w:pPr>
      <w:r>
        <w:t>Ou</w:t>
      </w:r>
      <w:r w:rsidR="001C3690">
        <w:t>t</w:t>
      </w:r>
      <w:r>
        <w:t xml:space="preserve">come of </w:t>
      </w:r>
      <w:r w:rsidR="009910F7">
        <w:t>Investigative activities</w:t>
      </w:r>
    </w:p>
    <w:p w:rsidR="00274898" w:rsidRDefault="00274898" w:rsidP="00D741E5">
      <w:pPr>
        <w:pStyle w:val="ONUME"/>
      </w:pPr>
      <w:r>
        <w:t xml:space="preserve">Of </w:t>
      </w:r>
      <w:r w:rsidRPr="00D741E5">
        <w:t>the</w:t>
      </w:r>
      <w:r w:rsidR="001D28C2">
        <w:t xml:space="preserve"> 20</w:t>
      </w:r>
      <w:r>
        <w:t xml:space="preserve"> cases closed during the reporting period, </w:t>
      </w:r>
      <w:r w:rsidR="001D28C2">
        <w:t>eight</w:t>
      </w:r>
      <w:r>
        <w:t xml:space="preserve"> cases had led to the opening of a full investigation either further to a decision by the Director, IOD based on the outcome of a preliminary evaluation (</w:t>
      </w:r>
      <w:r w:rsidR="001D28C2">
        <w:t>seven</w:t>
      </w:r>
      <w:r>
        <w:t xml:space="preserve"> cases), or following a referral from the </w:t>
      </w:r>
      <w:r w:rsidR="005E6584">
        <w:t>Joint Grievance Panel (</w:t>
      </w:r>
      <w:r>
        <w:t>JGP</w:t>
      </w:r>
      <w:r w:rsidR="005E6584">
        <w:t>)</w:t>
      </w:r>
      <w:r>
        <w:t xml:space="preserve"> (one case). </w:t>
      </w:r>
      <w:r w:rsidR="005E6584">
        <w:t xml:space="preserve"> </w:t>
      </w:r>
      <w:r>
        <w:t xml:space="preserve">In </w:t>
      </w:r>
      <w:r w:rsidR="001D28C2">
        <w:t>five</w:t>
      </w:r>
      <w:r>
        <w:t xml:space="preserve"> of the cases investigated, IOD found that the allegations were substantiated.</w:t>
      </w:r>
      <w:r w:rsidR="004B2173">
        <w:t xml:space="preserve"> </w:t>
      </w:r>
      <w:r>
        <w:t xml:space="preserve"> Specifically:</w:t>
      </w:r>
    </w:p>
    <w:p w:rsidR="00274898" w:rsidRDefault="007C6C2E" w:rsidP="007C6C2E">
      <w:pPr>
        <w:pStyle w:val="ONUME"/>
        <w:numPr>
          <w:ilvl w:val="1"/>
          <w:numId w:val="7"/>
        </w:numPr>
      </w:pPr>
      <w:r>
        <w:t>In t</w:t>
      </w:r>
      <w:r w:rsidR="00274898">
        <w:t>hree cases</w:t>
      </w:r>
      <w:r w:rsidR="004B2173">
        <w:t>, t</w:t>
      </w:r>
      <w:r>
        <w:t>he Director General</w:t>
      </w:r>
      <w:r w:rsidR="00274898">
        <w:t xml:space="preserve"> referred </w:t>
      </w:r>
      <w:r w:rsidR="00176141">
        <w:t xml:space="preserve">the matter </w:t>
      </w:r>
      <w:r w:rsidR="00274898">
        <w:t>to HRMD for disciplinary action.</w:t>
      </w:r>
      <w:r w:rsidR="004B2173">
        <w:t xml:space="preserve"> </w:t>
      </w:r>
      <w:r w:rsidR="00274898">
        <w:t xml:space="preserve"> As a result, two disciplinary sanctions were imposed including one staff dismissal; in the third case, the subject </w:t>
      </w:r>
      <w:r w:rsidR="00F415B1">
        <w:t>left</w:t>
      </w:r>
      <w:r w:rsidR="00274898">
        <w:t xml:space="preserve"> WIPO </w:t>
      </w:r>
      <w:r w:rsidR="00F415B1">
        <w:t xml:space="preserve">employment </w:t>
      </w:r>
      <w:r w:rsidR="00274898">
        <w:t>before the process could be completed;</w:t>
      </w:r>
    </w:p>
    <w:p w:rsidR="00274898" w:rsidRDefault="00274898" w:rsidP="00274898">
      <w:pPr>
        <w:pStyle w:val="ONUME"/>
        <w:numPr>
          <w:ilvl w:val="1"/>
          <w:numId w:val="7"/>
        </w:numPr>
      </w:pPr>
      <w:r>
        <w:t xml:space="preserve">One case </w:t>
      </w:r>
      <w:r w:rsidR="00E14B47">
        <w:t>resulted in</w:t>
      </w:r>
      <w:r>
        <w:t xml:space="preserve"> the separation of an external agency worker</w:t>
      </w:r>
      <w:r w:rsidR="00E14B47">
        <w:t xml:space="preserve"> from WIPO,</w:t>
      </w:r>
      <w:r>
        <w:t xml:space="preserve"> as recommended by IOD; </w:t>
      </w:r>
      <w:r w:rsidR="004B2173">
        <w:t xml:space="preserve"> </w:t>
      </w:r>
      <w:r>
        <w:t>and</w:t>
      </w:r>
    </w:p>
    <w:p w:rsidR="00E2643D" w:rsidRDefault="00274898" w:rsidP="00274898">
      <w:pPr>
        <w:pStyle w:val="ONUME"/>
        <w:numPr>
          <w:ilvl w:val="1"/>
          <w:numId w:val="7"/>
        </w:numPr>
      </w:pPr>
      <w:r>
        <w:t xml:space="preserve">The remaining case </w:t>
      </w:r>
      <w:r w:rsidR="00E14B47">
        <w:t xml:space="preserve">pertained to a staff member who, at the time of the investigation report, </w:t>
      </w:r>
      <w:r>
        <w:t>had already left the Organization.</w:t>
      </w:r>
    </w:p>
    <w:p w:rsidR="004B2173" w:rsidRDefault="004A0CBF" w:rsidP="004B2173">
      <w:pPr>
        <w:pStyle w:val="ONUME"/>
      </w:pPr>
      <w:r>
        <w:t xml:space="preserve">In addition, the investigative activities conducted during the reporting period allowed IOD to draw some lessons. </w:t>
      </w:r>
      <w:r w:rsidR="004B2173">
        <w:t xml:space="preserve"> </w:t>
      </w:r>
      <w:r>
        <w:t xml:space="preserve">In particular, </w:t>
      </w:r>
      <w:proofErr w:type="gramStart"/>
      <w:r>
        <w:t>three Management Implication Reports (MIR)</w:t>
      </w:r>
      <w:proofErr w:type="gramEnd"/>
      <w:r>
        <w:t xml:space="preserve"> were issued providing five recommendations to improve existing internal controls, IT systems, policies and procedures. </w:t>
      </w:r>
      <w:r w:rsidR="004B2173">
        <w:t xml:space="preserve"> </w:t>
      </w:r>
      <w:r>
        <w:t>Issues brought to management attention related to topics such as work hours enforcement, relationship with external contractors, an</w:t>
      </w:r>
      <w:r w:rsidR="004B2173">
        <w:t xml:space="preserve">d information security. </w:t>
      </w:r>
    </w:p>
    <w:p w:rsidR="004B2173" w:rsidRDefault="004B2173">
      <w:r>
        <w:br w:type="page"/>
      </w:r>
    </w:p>
    <w:p w:rsidR="004B2173" w:rsidRDefault="004A0CBF" w:rsidP="004B2173">
      <w:pPr>
        <w:pStyle w:val="ONUME"/>
      </w:pPr>
      <w:r>
        <w:lastRenderedPageBreak/>
        <w:t xml:space="preserve">Comparative </w:t>
      </w:r>
      <w:proofErr w:type="gramStart"/>
      <w:r>
        <w:t>analysis of cases registered for the period July 1, 2011 to June 30, 2015 are</w:t>
      </w:r>
      <w:proofErr w:type="gramEnd"/>
      <w:r>
        <w:t xml:space="preserve"> depicted below.</w:t>
      </w:r>
    </w:p>
    <w:p w:rsidR="004A0CBF" w:rsidRDefault="004A0CBF" w:rsidP="004B2173">
      <w:pPr>
        <w:pStyle w:val="ONUME"/>
        <w:numPr>
          <w:ilvl w:val="0"/>
          <w:numId w:val="0"/>
        </w:numPr>
        <w:jc w:val="center"/>
        <w:rPr>
          <w:b/>
          <w:sz w:val="18"/>
          <w:szCs w:val="18"/>
        </w:rPr>
      </w:pPr>
      <w:r w:rsidRPr="004B2173">
        <w:rPr>
          <w:b/>
          <w:sz w:val="18"/>
          <w:szCs w:val="18"/>
        </w:rPr>
        <w:t xml:space="preserve">Table </w:t>
      </w:r>
      <w:r w:rsidR="004B2173">
        <w:rPr>
          <w:b/>
          <w:sz w:val="18"/>
          <w:szCs w:val="18"/>
        </w:rPr>
        <w:t>1</w:t>
      </w:r>
      <w:r w:rsidRPr="004B2173">
        <w:rPr>
          <w:b/>
          <w:sz w:val="18"/>
          <w:szCs w:val="18"/>
        </w:rPr>
        <w:t xml:space="preserve"> – Analysis of complaints received June 30, 2011 to June 2015</w:t>
      </w:r>
      <w:r w:rsidRPr="00CC11C5">
        <w:rPr>
          <w:noProof/>
          <w:lang w:eastAsia="en-US"/>
        </w:rPr>
        <w:drawing>
          <wp:inline distT="0" distB="0" distL="0" distR="0" wp14:anchorId="0BC25A5B" wp14:editId="3A110B9B">
            <wp:extent cx="5940425" cy="3077747"/>
            <wp:effectExtent l="0" t="0" r="317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3077747"/>
                    </a:xfrm>
                    <a:prstGeom prst="rect">
                      <a:avLst/>
                    </a:prstGeom>
                    <a:noFill/>
                    <a:ln>
                      <a:noFill/>
                    </a:ln>
                  </pic:spPr>
                </pic:pic>
              </a:graphicData>
            </a:graphic>
          </wp:inline>
        </w:drawing>
      </w:r>
    </w:p>
    <w:p w:rsidR="004B2173" w:rsidRDefault="004B2173" w:rsidP="004B2173">
      <w:pPr>
        <w:pStyle w:val="ONUME"/>
        <w:numPr>
          <w:ilvl w:val="0"/>
          <w:numId w:val="0"/>
        </w:numPr>
        <w:jc w:val="center"/>
      </w:pPr>
    </w:p>
    <w:p w:rsidR="00274898" w:rsidRDefault="00274898" w:rsidP="00BF10AA">
      <w:pPr>
        <w:pStyle w:val="ONUME"/>
        <w:keepNext/>
        <w:numPr>
          <w:ilvl w:val="0"/>
          <w:numId w:val="0"/>
        </w:numPr>
        <w:jc w:val="center"/>
        <w:rPr>
          <w:b/>
          <w:sz w:val="18"/>
          <w:szCs w:val="18"/>
        </w:rPr>
      </w:pPr>
      <w:r w:rsidRPr="00274898">
        <w:rPr>
          <w:b/>
          <w:sz w:val="18"/>
          <w:szCs w:val="18"/>
        </w:rPr>
        <w:t xml:space="preserve">Chart </w:t>
      </w:r>
      <w:r w:rsidR="004B2173">
        <w:rPr>
          <w:b/>
          <w:sz w:val="18"/>
          <w:szCs w:val="18"/>
        </w:rPr>
        <w:t>2</w:t>
      </w:r>
      <w:r w:rsidRPr="00274898">
        <w:rPr>
          <w:b/>
          <w:sz w:val="18"/>
          <w:szCs w:val="18"/>
        </w:rPr>
        <w:t xml:space="preserve"> – </w:t>
      </w:r>
      <w:r w:rsidR="00BF10AA">
        <w:rPr>
          <w:b/>
          <w:sz w:val="18"/>
          <w:szCs w:val="18"/>
        </w:rPr>
        <w:t xml:space="preserve">Analysis of </w:t>
      </w:r>
      <w:r w:rsidRPr="00274898">
        <w:rPr>
          <w:b/>
          <w:sz w:val="18"/>
          <w:szCs w:val="18"/>
        </w:rPr>
        <w:t xml:space="preserve">Cases </w:t>
      </w:r>
      <w:r w:rsidR="00BF10AA">
        <w:rPr>
          <w:b/>
          <w:sz w:val="18"/>
          <w:szCs w:val="18"/>
        </w:rPr>
        <w:t>C</w:t>
      </w:r>
      <w:r w:rsidRPr="00274898">
        <w:rPr>
          <w:b/>
          <w:sz w:val="18"/>
          <w:szCs w:val="18"/>
        </w:rPr>
        <w:t>losed June 30, 2011</w:t>
      </w:r>
      <w:r w:rsidR="0014516E">
        <w:rPr>
          <w:b/>
          <w:sz w:val="18"/>
          <w:szCs w:val="18"/>
        </w:rPr>
        <w:t xml:space="preserve"> to</w:t>
      </w:r>
      <w:r w:rsidR="00BF10AA">
        <w:rPr>
          <w:b/>
          <w:sz w:val="18"/>
          <w:szCs w:val="18"/>
        </w:rPr>
        <w:t xml:space="preserve"> June 30, 2015</w:t>
      </w:r>
    </w:p>
    <w:p w:rsidR="00274898" w:rsidRDefault="0014516E" w:rsidP="0087184D">
      <w:pPr>
        <w:spacing w:after="240"/>
        <w:jc w:val="center"/>
      </w:pPr>
      <w:r>
        <w:rPr>
          <w:noProof/>
          <w:lang w:eastAsia="en-US"/>
        </w:rPr>
        <w:drawing>
          <wp:inline distT="0" distB="0" distL="0" distR="0" wp14:anchorId="54EF5D31" wp14:editId="7DD700EE">
            <wp:extent cx="5011420" cy="38347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1420" cy="3834765"/>
                    </a:xfrm>
                    <a:prstGeom prst="rect">
                      <a:avLst/>
                    </a:prstGeom>
                    <a:noFill/>
                  </pic:spPr>
                </pic:pic>
              </a:graphicData>
            </a:graphic>
          </wp:inline>
        </w:drawing>
      </w:r>
    </w:p>
    <w:p w:rsidR="008414E9" w:rsidRPr="00DA5DBB" w:rsidRDefault="008414E9" w:rsidP="008414E9">
      <w:pPr>
        <w:pStyle w:val="Heading1"/>
      </w:pPr>
      <w:bookmarkStart w:id="26" w:name="_Toc423533515"/>
      <w:r w:rsidRPr="00DA5DBB">
        <w:lastRenderedPageBreak/>
        <w:t>INSTANCES WHERE INFORMATION OR ASSISTANCE WAS REFUSED</w:t>
      </w:r>
      <w:bookmarkEnd w:id="26"/>
    </w:p>
    <w:p w:rsidR="00FD2537" w:rsidRPr="004B2173" w:rsidRDefault="00E32ADE" w:rsidP="004B2173">
      <w:pPr>
        <w:pStyle w:val="ONUME"/>
      </w:pPr>
      <w:r w:rsidRPr="004B2173">
        <w:t>In accordance with paragraph 39</w:t>
      </w:r>
      <w:r w:rsidR="004B2173" w:rsidRPr="004B2173">
        <w:t xml:space="preserve"> </w:t>
      </w:r>
      <w:r w:rsidRPr="004B2173">
        <w:t xml:space="preserve">(g) of the IOC, the Director, IOD </w:t>
      </w:r>
      <w:r w:rsidR="00BF10AA" w:rsidRPr="004B2173">
        <w:t>should report on any instances where IOD’s access to records, personnel and premises was restricted</w:t>
      </w:r>
      <w:r w:rsidRPr="004B2173">
        <w:t xml:space="preserve"> du</w:t>
      </w:r>
      <w:r w:rsidR="004B2173" w:rsidRPr="004B2173">
        <w:t>ring the reporting period.</w:t>
      </w:r>
    </w:p>
    <w:p w:rsidR="00D575A5" w:rsidRPr="004B2173" w:rsidRDefault="00BF10AA" w:rsidP="004B2173">
      <w:pPr>
        <w:pStyle w:val="ONUME"/>
      </w:pPr>
      <w:r w:rsidRPr="004B2173">
        <w:t xml:space="preserve">Six </w:t>
      </w:r>
      <w:r w:rsidR="00E32ADE" w:rsidRPr="004B2173">
        <w:t>staff members</w:t>
      </w:r>
      <w:r w:rsidR="003F279E" w:rsidRPr="00E04B15">
        <w:rPr>
          <w:rStyle w:val="FootnoteReference"/>
        </w:rPr>
        <w:footnoteReference w:id="6"/>
      </w:r>
      <w:r w:rsidR="00E32ADE" w:rsidRPr="004B2173">
        <w:t xml:space="preserve"> </w:t>
      </w:r>
      <w:r w:rsidR="003F279E" w:rsidRPr="004B2173">
        <w:t xml:space="preserve">denied an interview request </w:t>
      </w:r>
      <w:r w:rsidR="00E32ADE" w:rsidRPr="004B2173">
        <w:t xml:space="preserve">by IOD on medical grounds – </w:t>
      </w:r>
      <w:r w:rsidR="002A3468" w:rsidRPr="004B2173">
        <w:t xml:space="preserve">either through certified sick leave or using </w:t>
      </w:r>
      <w:r w:rsidR="00E32ADE" w:rsidRPr="00E04B15">
        <w:rPr>
          <w:i/>
        </w:rPr>
        <w:t>ad hoc</w:t>
      </w:r>
      <w:r w:rsidR="00E32ADE" w:rsidRPr="004B2173">
        <w:t xml:space="preserve"> medical certificates.</w:t>
      </w:r>
      <w:r w:rsidR="008954E3" w:rsidRPr="004B2173">
        <w:t xml:space="preserve"> </w:t>
      </w:r>
      <w:r w:rsidR="00E04B15">
        <w:t xml:space="preserve"> </w:t>
      </w:r>
      <w:r w:rsidR="008954E3" w:rsidRPr="004B2173">
        <w:t xml:space="preserve">As a result, </w:t>
      </w:r>
      <w:r w:rsidR="00450E42" w:rsidRPr="004B2173">
        <w:t>eight</w:t>
      </w:r>
      <w:r w:rsidR="008954E3" w:rsidRPr="004B2173">
        <w:t xml:space="preserve"> inquiry cases (four at the preliminary evaluation stage and four at the full investigation stage) were delayed during the reporting period. </w:t>
      </w:r>
    </w:p>
    <w:p w:rsidR="008414E9" w:rsidRPr="003F279E" w:rsidRDefault="008414E9" w:rsidP="008414E9">
      <w:pPr>
        <w:pStyle w:val="Heading1"/>
      </w:pPr>
      <w:bookmarkStart w:id="27" w:name="_Toc328920437"/>
      <w:bookmarkStart w:id="28" w:name="_Toc423533516"/>
      <w:r w:rsidRPr="003F279E">
        <w:t xml:space="preserve">STATUS OF IMPLEMENTATION OF </w:t>
      </w:r>
      <w:r w:rsidR="00A010A4" w:rsidRPr="003F279E">
        <w:t xml:space="preserve">OVERSIGHT </w:t>
      </w:r>
      <w:r w:rsidRPr="003F279E">
        <w:t>RECOMMENDATIONS</w:t>
      </w:r>
      <w:bookmarkEnd w:id="27"/>
      <w:bookmarkEnd w:id="28"/>
    </w:p>
    <w:p w:rsidR="00D646CA" w:rsidRPr="004B2173" w:rsidRDefault="008414E9" w:rsidP="004B2173">
      <w:pPr>
        <w:pStyle w:val="ONUME"/>
      </w:pPr>
      <w:r w:rsidRPr="004B2173">
        <w:t>The Director General is responsible for ensuring that all recommendations made by the Director, IOD and other oversight entities are responded to promptly, indicating actions taken regarding specific report findings and recommendations</w:t>
      </w:r>
      <w:r w:rsidRPr="00E04B15">
        <w:rPr>
          <w:rStyle w:val="FootnoteReference"/>
        </w:rPr>
        <w:footnoteReference w:id="7"/>
      </w:r>
      <w:r w:rsidRPr="004B2173">
        <w:t>.  The Director General discharges this responsibility through Program Managers responsible for specific operational areas within the Organization</w:t>
      </w:r>
      <w:r w:rsidRPr="00E04B15">
        <w:rPr>
          <w:rStyle w:val="FootnoteReference"/>
        </w:rPr>
        <w:footnoteReference w:id="8"/>
      </w:r>
      <w:r w:rsidRPr="004B2173">
        <w:t>.  The implementation of all oversight recommendations by WIPO Program Managers is subject to regular follow-up by IOD</w:t>
      </w:r>
      <w:r w:rsidRPr="00E04B15">
        <w:rPr>
          <w:rStyle w:val="FootnoteReference"/>
        </w:rPr>
        <w:footnoteReference w:id="9"/>
      </w:r>
      <w:r w:rsidRPr="004B2173">
        <w:t>.</w:t>
      </w:r>
    </w:p>
    <w:p w:rsidR="00AC0825" w:rsidRPr="004B2173" w:rsidRDefault="00AC0825" w:rsidP="004B2173">
      <w:pPr>
        <w:pStyle w:val="ONUME"/>
      </w:pPr>
      <w:r w:rsidRPr="004B2173">
        <w:t xml:space="preserve">IOD continues to manage and report on recommendations using the </w:t>
      </w:r>
      <w:proofErr w:type="spellStart"/>
      <w:r w:rsidRPr="004B2173">
        <w:t>TeamCentral</w:t>
      </w:r>
      <w:proofErr w:type="spellEnd"/>
      <w:r w:rsidRPr="004B2173">
        <w:t xml:space="preserve">© system, which </w:t>
      </w:r>
      <w:r w:rsidR="0081363B" w:rsidRPr="004B2173">
        <w:t xml:space="preserve">enables </w:t>
      </w:r>
      <w:r w:rsidR="004A0CBF" w:rsidRPr="004B2173">
        <w:t>interactive dialogue</w:t>
      </w:r>
      <w:r w:rsidRPr="004B2173">
        <w:t xml:space="preserve"> with Program Managers and their delegates </w:t>
      </w:r>
      <w:r w:rsidR="0081363B" w:rsidRPr="004B2173">
        <w:t>for an effective follow</w:t>
      </w:r>
      <w:r w:rsidR="00176141" w:rsidRPr="004B2173">
        <w:t>-</w:t>
      </w:r>
      <w:r w:rsidR="0081363B" w:rsidRPr="004B2173">
        <w:t xml:space="preserve">up of </w:t>
      </w:r>
      <w:r w:rsidRPr="004B2173">
        <w:t xml:space="preserve">implementation of </w:t>
      </w:r>
      <w:r w:rsidR="0081363B" w:rsidRPr="004B2173">
        <w:t xml:space="preserve">open </w:t>
      </w:r>
      <w:r w:rsidRPr="004B2173">
        <w:t xml:space="preserve">recommendations. </w:t>
      </w:r>
    </w:p>
    <w:p w:rsidR="00BF0144" w:rsidRDefault="00BF0144" w:rsidP="004B2173">
      <w:pPr>
        <w:pStyle w:val="ONUME"/>
      </w:pPr>
      <w:r w:rsidRPr="004B2173">
        <w:t>At the date of the present report, there are 184 open recommendations including 119 that address high risks.</w:t>
      </w:r>
    </w:p>
    <w:p w:rsidR="00E04B15" w:rsidRPr="00E04B15" w:rsidRDefault="00E04B15" w:rsidP="00E04B15">
      <w:pPr>
        <w:pStyle w:val="ONUME"/>
        <w:keepNext/>
        <w:numPr>
          <w:ilvl w:val="0"/>
          <w:numId w:val="0"/>
        </w:numPr>
        <w:jc w:val="center"/>
        <w:rPr>
          <w:b/>
          <w:sz w:val="18"/>
          <w:szCs w:val="18"/>
        </w:rPr>
      </w:pPr>
      <w:r w:rsidRPr="00274898">
        <w:rPr>
          <w:b/>
          <w:sz w:val="18"/>
          <w:szCs w:val="18"/>
        </w:rPr>
        <w:t xml:space="preserve">Chart </w:t>
      </w:r>
      <w:r>
        <w:rPr>
          <w:b/>
          <w:sz w:val="18"/>
          <w:szCs w:val="18"/>
        </w:rPr>
        <w:t>3</w:t>
      </w:r>
      <w:r w:rsidRPr="00274898">
        <w:rPr>
          <w:b/>
          <w:sz w:val="18"/>
          <w:szCs w:val="18"/>
        </w:rPr>
        <w:t xml:space="preserve"> – </w:t>
      </w:r>
      <w:r>
        <w:rPr>
          <w:b/>
          <w:sz w:val="18"/>
          <w:szCs w:val="18"/>
        </w:rPr>
        <w:t>Recommendation by priority</w:t>
      </w:r>
    </w:p>
    <w:p w:rsidR="00BF0144" w:rsidRDefault="00BF0144" w:rsidP="004A0CBF">
      <w:r>
        <w:rPr>
          <w:noProof/>
          <w:lang w:eastAsia="en-US"/>
        </w:rPr>
        <w:drawing>
          <wp:inline distT="0" distB="0" distL="0" distR="0" wp14:anchorId="7BA51C22" wp14:editId="08354F0C">
            <wp:extent cx="5507666" cy="3072809"/>
            <wp:effectExtent l="0" t="0" r="17145"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04B15" w:rsidRPr="00E04B15" w:rsidRDefault="00E04B15" w:rsidP="00E04B15">
      <w:pPr>
        <w:pStyle w:val="ONUME"/>
        <w:keepNext/>
        <w:numPr>
          <w:ilvl w:val="0"/>
          <w:numId w:val="0"/>
        </w:numPr>
        <w:jc w:val="center"/>
        <w:rPr>
          <w:b/>
          <w:sz w:val="18"/>
          <w:szCs w:val="18"/>
        </w:rPr>
      </w:pPr>
      <w:r w:rsidRPr="00274898">
        <w:rPr>
          <w:b/>
          <w:sz w:val="18"/>
          <w:szCs w:val="18"/>
        </w:rPr>
        <w:lastRenderedPageBreak/>
        <w:t xml:space="preserve">Chart </w:t>
      </w:r>
      <w:r>
        <w:rPr>
          <w:b/>
          <w:sz w:val="18"/>
          <w:szCs w:val="18"/>
        </w:rPr>
        <w:t>4</w:t>
      </w:r>
      <w:r w:rsidRPr="00274898">
        <w:rPr>
          <w:b/>
          <w:sz w:val="18"/>
          <w:szCs w:val="18"/>
        </w:rPr>
        <w:t xml:space="preserve"> – </w:t>
      </w:r>
      <w:r>
        <w:rPr>
          <w:b/>
          <w:sz w:val="18"/>
          <w:szCs w:val="18"/>
        </w:rPr>
        <w:t>Aging of Oversight Recommendations by priority</w:t>
      </w:r>
    </w:p>
    <w:p w:rsidR="00BF0144" w:rsidRDefault="00E16E2A" w:rsidP="00BF0144">
      <w:pPr>
        <w:pStyle w:val="ONUME"/>
        <w:keepLines/>
        <w:numPr>
          <w:ilvl w:val="0"/>
          <w:numId w:val="0"/>
        </w:numPr>
        <w:spacing w:before="240"/>
      </w:pPr>
      <w:r>
        <w:rPr>
          <w:noProof/>
          <w:lang w:eastAsia="en-US"/>
        </w:rPr>
        <w:drawing>
          <wp:inline distT="0" distB="0" distL="0" distR="0" wp14:anchorId="00263B3B" wp14:editId="55BAFEEE">
            <wp:extent cx="5529532" cy="2725947"/>
            <wp:effectExtent l="0" t="0" r="14605" b="1778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04B15" w:rsidRDefault="00BF0144" w:rsidP="00E04B15">
      <w:pPr>
        <w:pStyle w:val="ONUME"/>
      </w:pPr>
      <w:r>
        <w:t xml:space="preserve">Two high </w:t>
      </w:r>
      <w:r w:rsidR="00EF17CB">
        <w:t xml:space="preserve">priority </w:t>
      </w:r>
      <w:r w:rsidRPr="003F279E">
        <w:t xml:space="preserve">recommendations have been open </w:t>
      </w:r>
      <w:r>
        <w:t xml:space="preserve">since 2011 and 2013 respectively, and 15 have been open since 2014.   </w:t>
      </w:r>
    </w:p>
    <w:p w:rsidR="00E04B15" w:rsidRDefault="00E04B15">
      <w:r>
        <w:br w:type="page"/>
      </w:r>
    </w:p>
    <w:p w:rsidR="00A029DD" w:rsidRPr="00E04B15" w:rsidRDefault="00A029DD" w:rsidP="00E04B15">
      <w:pPr>
        <w:pStyle w:val="ONUME"/>
        <w:rPr>
          <w:szCs w:val="22"/>
        </w:rPr>
      </w:pPr>
      <w:r>
        <w:lastRenderedPageBreak/>
        <w:t>As at June 30, 2015, the number of recommendation by WIPO Programs</w:t>
      </w:r>
      <w:r>
        <w:rPr>
          <w:rStyle w:val="FootnoteReference"/>
        </w:rPr>
        <w:footnoteReference w:id="10"/>
      </w:r>
      <w:r>
        <w:t xml:space="preserve">  and by priority are as follows:</w:t>
      </w:r>
      <w:r w:rsidR="00E04B15" w:rsidRPr="00E04B15">
        <w:rPr>
          <w:noProof/>
          <w:lang w:eastAsia="en-US"/>
        </w:rPr>
        <w:t xml:space="preserve"> </w:t>
      </w:r>
    </w:p>
    <w:p w:rsidR="00E04B15" w:rsidRPr="00E04B15" w:rsidRDefault="00E04B15" w:rsidP="00E04B15">
      <w:pPr>
        <w:pStyle w:val="ONUME"/>
        <w:keepNext/>
        <w:numPr>
          <w:ilvl w:val="0"/>
          <w:numId w:val="0"/>
        </w:numPr>
        <w:jc w:val="center"/>
        <w:rPr>
          <w:b/>
          <w:sz w:val="18"/>
          <w:szCs w:val="18"/>
        </w:rPr>
      </w:pPr>
      <w:r w:rsidRPr="00274898">
        <w:rPr>
          <w:b/>
          <w:sz w:val="18"/>
          <w:szCs w:val="18"/>
        </w:rPr>
        <w:t xml:space="preserve">Chart </w:t>
      </w:r>
      <w:r>
        <w:rPr>
          <w:b/>
          <w:sz w:val="18"/>
          <w:szCs w:val="18"/>
        </w:rPr>
        <w:t>5</w:t>
      </w:r>
      <w:r w:rsidRPr="00274898">
        <w:rPr>
          <w:b/>
          <w:sz w:val="18"/>
          <w:szCs w:val="18"/>
        </w:rPr>
        <w:t xml:space="preserve"> –</w:t>
      </w:r>
      <w:r>
        <w:rPr>
          <w:b/>
          <w:sz w:val="18"/>
          <w:szCs w:val="18"/>
        </w:rPr>
        <w:t>Recommendations by Program and priority</w:t>
      </w:r>
    </w:p>
    <w:p w:rsidR="00AC0825" w:rsidRPr="003F279E" w:rsidRDefault="00E04B15" w:rsidP="00AC0825">
      <w:pPr>
        <w:pStyle w:val="ONUME"/>
        <w:keepLines/>
        <w:numPr>
          <w:ilvl w:val="0"/>
          <w:numId w:val="0"/>
        </w:numPr>
      </w:pPr>
      <w:r>
        <w:rPr>
          <w:noProof/>
          <w:lang w:eastAsia="en-US"/>
        </w:rPr>
        <w:drawing>
          <wp:inline distT="0" distB="0" distL="0" distR="0" wp14:anchorId="3C2BCE4F" wp14:editId="779688A3">
            <wp:extent cx="5857336" cy="4244196"/>
            <wp:effectExtent l="0" t="0" r="10160" b="2349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F0144" w:rsidRDefault="004A0CBF" w:rsidP="00E04B15">
      <w:pPr>
        <w:pStyle w:val="ONUME"/>
      </w:pPr>
      <w:r>
        <w:t>F</w:t>
      </w:r>
      <w:r w:rsidR="00B23382" w:rsidRPr="003F279E">
        <w:t>ive</w:t>
      </w:r>
      <w:r w:rsidR="00BF0144">
        <w:t xml:space="preserve"> programs make up 67 per cent of the 119 high priority recommendations, and the highest number of recommendations</w:t>
      </w:r>
      <w:r w:rsidR="00B23382">
        <w:t xml:space="preserve"> is</w:t>
      </w:r>
      <w:r w:rsidR="00BF0144">
        <w:t xml:space="preserve"> addressed to Program and Resource Management</w:t>
      </w:r>
      <w:r w:rsidR="00B23382">
        <w:t xml:space="preserve"> (Program 22)</w:t>
      </w:r>
      <w:r w:rsidR="00BF0144">
        <w:t>.</w:t>
      </w:r>
    </w:p>
    <w:p w:rsidR="00A029DD" w:rsidRDefault="00A029DD">
      <w:r>
        <w:br w:type="page"/>
      </w:r>
    </w:p>
    <w:p w:rsidR="00E16E2A" w:rsidRDefault="00AC0825" w:rsidP="00E04B15">
      <w:pPr>
        <w:pStyle w:val="ONUME"/>
      </w:pPr>
      <w:r w:rsidRPr="003F279E">
        <w:lastRenderedPageBreak/>
        <w:t>As at June 30, 2015 the percentages of open re</w:t>
      </w:r>
      <w:r w:rsidR="00E16E2A">
        <w:t>comme</w:t>
      </w:r>
      <w:r w:rsidRPr="003F279E">
        <w:t>ndations by source are as follows:</w:t>
      </w:r>
    </w:p>
    <w:p w:rsidR="00E04B15" w:rsidRPr="00E04B15" w:rsidRDefault="00E04B15" w:rsidP="00E04B15">
      <w:pPr>
        <w:pStyle w:val="ONUME"/>
        <w:keepNext/>
        <w:numPr>
          <w:ilvl w:val="0"/>
          <w:numId w:val="0"/>
        </w:numPr>
        <w:jc w:val="center"/>
        <w:rPr>
          <w:b/>
          <w:sz w:val="18"/>
          <w:szCs w:val="18"/>
        </w:rPr>
      </w:pPr>
      <w:r w:rsidRPr="00274898">
        <w:rPr>
          <w:b/>
          <w:sz w:val="18"/>
          <w:szCs w:val="18"/>
        </w:rPr>
        <w:t xml:space="preserve">Chart </w:t>
      </w:r>
      <w:r>
        <w:rPr>
          <w:b/>
          <w:sz w:val="18"/>
          <w:szCs w:val="18"/>
        </w:rPr>
        <w:t>6</w:t>
      </w:r>
      <w:r w:rsidRPr="00274898">
        <w:rPr>
          <w:b/>
          <w:sz w:val="18"/>
          <w:szCs w:val="18"/>
        </w:rPr>
        <w:t xml:space="preserve"> –</w:t>
      </w:r>
      <w:r>
        <w:rPr>
          <w:b/>
          <w:sz w:val="18"/>
          <w:szCs w:val="18"/>
        </w:rPr>
        <w:t xml:space="preserve"> Oversight Recommendations by source</w:t>
      </w:r>
    </w:p>
    <w:p w:rsidR="00AC0825" w:rsidRPr="003F279E" w:rsidRDefault="00BF0144" w:rsidP="00AC0825">
      <w:pPr>
        <w:pStyle w:val="ONUME"/>
        <w:keepLines/>
        <w:numPr>
          <w:ilvl w:val="0"/>
          <w:numId w:val="0"/>
        </w:numPr>
      </w:pPr>
      <w:r>
        <w:rPr>
          <w:noProof/>
          <w:lang w:eastAsia="en-US"/>
        </w:rPr>
        <w:drawing>
          <wp:inline distT="0" distB="0" distL="0" distR="0" wp14:anchorId="5E289C84" wp14:editId="57096744">
            <wp:extent cx="5734050" cy="30480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C0825" w:rsidRPr="003F279E" w:rsidRDefault="00BF0144" w:rsidP="00E04B15">
      <w:pPr>
        <w:pStyle w:val="ONUME"/>
      </w:pPr>
      <w:r>
        <w:t xml:space="preserve">This represents a </w:t>
      </w:r>
      <w:r w:rsidR="00AC0825" w:rsidRPr="003F279E">
        <w:t>decrease in the number of recommendations from IOD (</w:t>
      </w:r>
      <w:r w:rsidR="00EF17CB">
        <w:t>73 per cent versus 83 per cent</w:t>
      </w:r>
      <w:r w:rsidR="00AC0825" w:rsidRPr="003F279E">
        <w:t xml:space="preserve"> in 2014) while the number of recommendations from External Audito</w:t>
      </w:r>
      <w:r>
        <w:t xml:space="preserve">rs have </w:t>
      </w:r>
      <w:r w:rsidR="00AC0825" w:rsidRPr="003F279E">
        <w:t>increased</w:t>
      </w:r>
      <w:r w:rsidR="00EF17CB">
        <w:t xml:space="preserve"> (27 per cent versus 17 percent in 2014)</w:t>
      </w:r>
      <w:r w:rsidR="00AC0825" w:rsidRPr="003F279E">
        <w:t>.</w:t>
      </w:r>
    </w:p>
    <w:p w:rsidR="00AC0825" w:rsidRPr="004A0CBF" w:rsidRDefault="005242EE" w:rsidP="00AC0825">
      <w:pPr>
        <w:pStyle w:val="Heading1"/>
        <w:rPr>
          <w:bCs w:val="0"/>
        </w:rPr>
      </w:pPr>
      <w:bookmarkStart w:id="29" w:name="_Toc423533517"/>
      <w:r w:rsidRPr="004A0CBF">
        <w:rPr>
          <w:bCs w:val="0"/>
          <w:caps w:val="0"/>
        </w:rPr>
        <w:t>EXTERNAL ASSESSMENT OF IOD’S WORK</w:t>
      </w:r>
      <w:bookmarkEnd w:id="29"/>
    </w:p>
    <w:p w:rsidR="00E32ADE" w:rsidRPr="00E32ADE" w:rsidRDefault="00AC0825" w:rsidP="00E04B15">
      <w:pPr>
        <w:pStyle w:val="ONUME"/>
      </w:pPr>
      <w:r w:rsidRPr="003F279E">
        <w:t xml:space="preserve">Last year, IOD reported on external quality assessments of the internal </w:t>
      </w:r>
      <w:r w:rsidR="00EF17CB">
        <w:t xml:space="preserve">audit and evaluation functions.  At the date of this report, all 11 </w:t>
      </w:r>
      <w:r w:rsidRPr="003F279E">
        <w:t xml:space="preserve">recommendations made </w:t>
      </w:r>
      <w:r w:rsidR="00C37A90">
        <w:t>to</w:t>
      </w:r>
      <w:r w:rsidR="004A0CBF">
        <w:t xml:space="preserve"> the Internal A</w:t>
      </w:r>
      <w:r w:rsidR="00EF17CB">
        <w:t xml:space="preserve">udit function </w:t>
      </w:r>
      <w:r w:rsidR="00494D02">
        <w:t>have been</w:t>
      </w:r>
      <w:r w:rsidRPr="003F279E">
        <w:t xml:space="preserve"> implemented, and all </w:t>
      </w:r>
      <w:r w:rsidRPr="003F279E">
        <w:rPr>
          <w:rFonts w:eastAsia="Times New Roman"/>
          <w:bCs/>
          <w:color w:val="000000"/>
          <w:szCs w:val="22"/>
          <w:lang w:eastAsia="en-US"/>
        </w:rPr>
        <w:t xml:space="preserve">pending recommendations </w:t>
      </w:r>
      <w:r w:rsidR="00EF17CB">
        <w:rPr>
          <w:rFonts w:eastAsia="Times New Roman"/>
          <w:bCs/>
          <w:color w:val="000000"/>
          <w:szCs w:val="22"/>
          <w:lang w:eastAsia="en-US"/>
        </w:rPr>
        <w:t>(13)</w:t>
      </w:r>
      <w:r w:rsidRPr="003F279E">
        <w:rPr>
          <w:rFonts w:eastAsia="Times New Roman"/>
          <w:bCs/>
          <w:color w:val="000000"/>
          <w:szCs w:val="22"/>
          <w:lang w:eastAsia="en-US"/>
        </w:rPr>
        <w:t xml:space="preserve"> from the exte</w:t>
      </w:r>
      <w:r w:rsidR="004A0CBF">
        <w:rPr>
          <w:rFonts w:eastAsia="Times New Roman"/>
          <w:bCs/>
          <w:color w:val="000000"/>
          <w:szCs w:val="22"/>
          <w:lang w:eastAsia="en-US"/>
        </w:rPr>
        <w:t>rnal quality assessment of the E</w:t>
      </w:r>
      <w:r w:rsidRPr="003F279E">
        <w:rPr>
          <w:rFonts w:eastAsia="Times New Roman"/>
          <w:bCs/>
          <w:color w:val="000000"/>
          <w:szCs w:val="22"/>
          <w:lang w:eastAsia="en-US"/>
        </w:rPr>
        <w:t>valuation function will be addressed through the revised Evaluation Policy</w:t>
      </w:r>
      <w:r w:rsidR="00494D02">
        <w:rPr>
          <w:rFonts w:eastAsia="Times New Roman"/>
          <w:bCs/>
          <w:color w:val="000000"/>
          <w:szCs w:val="22"/>
          <w:lang w:eastAsia="en-US"/>
        </w:rPr>
        <w:t>.</w:t>
      </w:r>
      <w:r w:rsidRPr="003F279E">
        <w:rPr>
          <w:rFonts w:eastAsia="Times New Roman"/>
          <w:bCs/>
          <w:color w:val="000000"/>
          <w:szCs w:val="22"/>
          <w:lang w:eastAsia="en-US"/>
        </w:rPr>
        <w:t xml:space="preserve"> </w:t>
      </w:r>
      <w:r w:rsidR="00EF17CB">
        <w:rPr>
          <w:rFonts w:eastAsia="Times New Roman"/>
          <w:bCs/>
          <w:color w:val="000000"/>
          <w:szCs w:val="22"/>
          <w:lang w:eastAsia="en-US"/>
        </w:rPr>
        <w:t xml:space="preserve"> </w:t>
      </w:r>
      <w:r w:rsidR="00494D02">
        <w:rPr>
          <w:rFonts w:eastAsia="Times New Roman"/>
          <w:bCs/>
          <w:color w:val="000000"/>
          <w:szCs w:val="22"/>
          <w:lang w:eastAsia="en-US"/>
        </w:rPr>
        <w:t xml:space="preserve">IOD has started its planning for an External Quality Assessment of the Investigation function </w:t>
      </w:r>
      <w:r w:rsidR="00987739">
        <w:rPr>
          <w:rFonts w:eastAsia="Times New Roman"/>
          <w:bCs/>
          <w:color w:val="000000"/>
          <w:szCs w:val="22"/>
          <w:lang w:eastAsia="en-US"/>
        </w:rPr>
        <w:t>which is expected to be completed</w:t>
      </w:r>
      <w:r w:rsidR="00494D02">
        <w:rPr>
          <w:rFonts w:eastAsia="Times New Roman"/>
          <w:bCs/>
          <w:color w:val="000000"/>
          <w:szCs w:val="22"/>
          <w:lang w:eastAsia="en-US"/>
        </w:rPr>
        <w:t xml:space="preserve"> before the year end.</w:t>
      </w:r>
    </w:p>
    <w:p w:rsidR="00E32ADE" w:rsidRPr="00E32ADE" w:rsidRDefault="00E32ADE" w:rsidP="003C1B55">
      <w:pPr>
        <w:pStyle w:val="Heading1"/>
      </w:pPr>
      <w:bookmarkStart w:id="30" w:name="_Toc423533518"/>
      <w:r w:rsidRPr="00E32ADE">
        <w:t>C</w:t>
      </w:r>
      <w:r w:rsidR="004A0DF7">
        <w:t>ONSULTATIVE AND ADVISORY</w:t>
      </w:r>
      <w:r w:rsidRPr="00E32ADE">
        <w:t xml:space="preserve"> </w:t>
      </w:r>
      <w:r w:rsidR="00AC0825" w:rsidRPr="00E32ADE">
        <w:t>OVERSIGHT WORK</w:t>
      </w:r>
      <w:bookmarkEnd w:id="30"/>
    </w:p>
    <w:p w:rsidR="00E32ADE" w:rsidRPr="00E32ADE" w:rsidRDefault="00E32ADE" w:rsidP="00E04B15">
      <w:pPr>
        <w:pStyle w:val="ONUME"/>
      </w:pPr>
      <w:r w:rsidRPr="00E32ADE">
        <w:t xml:space="preserve">In addition to its </w:t>
      </w:r>
      <w:r w:rsidR="007B0574">
        <w:t>planned</w:t>
      </w:r>
      <w:r w:rsidR="004A0CBF">
        <w:t xml:space="preserve"> oversight work</w:t>
      </w:r>
      <w:r w:rsidRPr="00E32ADE">
        <w:t xml:space="preserve">, IOD </w:t>
      </w:r>
      <w:r w:rsidR="007B0574">
        <w:t>continued to provide professional</w:t>
      </w:r>
      <w:r w:rsidRPr="00E32ADE">
        <w:t xml:space="preserve"> advice </w:t>
      </w:r>
      <w:r w:rsidR="007B0574">
        <w:t>on organizational policy and procedures, risks management and internal controls</w:t>
      </w:r>
      <w:r w:rsidRPr="00E32ADE">
        <w:t xml:space="preserve">.  </w:t>
      </w:r>
      <w:r w:rsidR="007B0574">
        <w:t>IOD attends</w:t>
      </w:r>
      <w:r w:rsidRPr="00E32ADE">
        <w:t xml:space="preserve"> </w:t>
      </w:r>
      <w:r w:rsidR="00C37A90">
        <w:t>the</w:t>
      </w:r>
      <w:r w:rsidRPr="00E32ADE">
        <w:t xml:space="preserve"> WIPO Investment Committee</w:t>
      </w:r>
      <w:r w:rsidR="004A0CBF">
        <w:t xml:space="preserve"> sessions as</w:t>
      </w:r>
      <w:r w:rsidR="00C37A90">
        <w:t xml:space="preserve"> observer,</w:t>
      </w:r>
      <w:r w:rsidR="00C640F7">
        <w:t xml:space="preserve"> and also participates</w:t>
      </w:r>
      <w:r w:rsidR="007B0574">
        <w:t xml:space="preserve"> </w:t>
      </w:r>
      <w:r w:rsidR="00C37A90">
        <w:t>in</w:t>
      </w:r>
      <w:r w:rsidR="007B0574">
        <w:t xml:space="preserve"> Risk Management Workshops organized by the Office of the Controller</w:t>
      </w:r>
      <w:r w:rsidRPr="00E32ADE">
        <w:t xml:space="preserve">.  </w:t>
      </w:r>
      <w:r w:rsidR="007B0574">
        <w:t xml:space="preserve">The list of </w:t>
      </w:r>
      <w:r w:rsidR="007B0574" w:rsidRPr="00E32ADE">
        <w:t xml:space="preserve">policy </w:t>
      </w:r>
      <w:r w:rsidR="007B0574">
        <w:t xml:space="preserve">and procedures for which IOD provided </w:t>
      </w:r>
      <w:r w:rsidRPr="00E32ADE">
        <w:t xml:space="preserve">advice </w:t>
      </w:r>
      <w:r w:rsidR="00C37A90">
        <w:t xml:space="preserve">is annexed to this report </w:t>
      </w:r>
      <w:r w:rsidR="00C37A90" w:rsidRPr="00CA196F">
        <w:t>(</w:t>
      </w:r>
      <w:r w:rsidR="00CA196F" w:rsidRPr="00CA196F">
        <w:t>Annex III</w:t>
      </w:r>
      <w:r w:rsidR="00C37A90">
        <w:t>)</w:t>
      </w:r>
      <w:r w:rsidRPr="00E32ADE">
        <w:t>.</w:t>
      </w:r>
    </w:p>
    <w:p w:rsidR="00E32ADE" w:rsidRPr="00E32ADE" w:rsidRDefault="00E32ADE" w:rsidP="00CA196F">
      <w:pPr>
        <w:pStyle w:val="Heading1"/>
      </w:pPr>
      <w:bookmarkStart w:id="31" w:name="_Toc423533519"/>
      <w:r w:rsidRPr="00E32ADE">
        <w:t>COOPERATION WITH EXTERNAL OVERSIGHT BODIES</w:t>
      </w:r>
      <w:bookmarkEnd w:id="31"/>
      <w:r w:rsidRPr="00E32ADE">
        <w:t xml:space="preserve"> </w:t>
      </w:r>
    </w:p>
    <w:p w:rsidR="00E32ADE" w:rsidRPr="00E32ADE" w:rsidRDefault="00E32ADE" w:rsidP="00CA196F">
      <w:pPr>
        <w:pStyle w:val="Heading2"/>
      </w:pPr>
      <w:r w:rsidRPr="00E32ADE">
        <w:t xml:space="preserve">The Independent Advisory Oversight Committee </w:t>
      </w:r>
    </w:p>
    <w:p w:rsidR="00E32ADE" w:rsidRPr="00E32ADE" w:rsidRDefault="00E32ADE" w:rsidP="003C1B55">
      <w:pPr>
        <w:pStyle w:val="ONUME"/>
      </w:pPr>
      <w:r w:rsidRPr="00E32ADE">
        <w:t>IOD has been regularly invited by the IAOC to attend its quarterly meetings in order to answer detailed questions concerning the work and fu</w:t>
      </w:r>
      <w:r w:rsidR="000921A9">
        <w:t>nctioning of the Division.  The </w:t>
      </w:r>
      <w:r w:rsidRPr="00E32ADE">
        <w:t>3</w:t>
      </w:r>
      <w:r w:rsidR="007B0574">
        <w:t>4</w:t>
      </w:r>
      <w:r w:rsidRPr="00E32ADE">
        <w:rPr>
          <w:vertAlign w:val="superscript"/>
        </w:rPr>
        <w:t>th</w:t>
      </w:r>
      <w:r w:rsidR="000921A9">
        <w:t> </w:t>
      </w:r>
      <w:r w:rsidRPr="00E32ADE">
        <w:t>through 3</w:t>
      </w:r>
      <w:r w:rsidR="007B0574">
        <w:t>7</w:t>
      </w:r>
      <w:r w:rsidRPr="00E32ADE">
        <w:rPr>
          <w:vertAlign w:val="superscript"/>
        </w:rPr>
        <w:t>rd</w:t>
      </w:r>
      <w:r w:rsidRPr="00E32ADE">
        <w:t xml:space="preserve"> meetings of the IAOC took place in the period covered by this report.</w:t>
      </w:r>
    </w:p>
    <w:p w:rsidR="00E32ADE" w:rsidRPr="00E32ADE" w:rsidRDefault="00E32ADE" w:rsidP="00CA196F">
      <w:pPr>
        <w:pStyle w:val="ONUME"/>
      </w:pPr>
      <w:r w:rsidRPr="00E32ADE">
        <w:lastRenderedPageBreak/>
        <w:t>IOD has benefitted from the advice and guidance from the IAOC as reflected in the latter’s reports</w:t>
      </w:r>
      <w:r w:rsidRPr="00E32ADE">
        <w:rPr>
          <w:rFonts w:cs="Times New Roman"/>
          <w:vertAlign w:val="superscript"/>
        </w:rPr>
        <w:footnoteReference w:id="11"/>
      </w:r>
      <w:r w:rsidRPr="00E32ADE">
        <w:t>.</w:t>
      </w:r>
    </w:p>
    <w:p w:rsidR="00E32ADE" w:rsidRPr="00E32ADE" w:rsidRDefault="00E32ADE" w:rsidP="00CA196F">
      <w:pPr>
        <w:pStyle w:val="Heading2"/>
      </w:pPr>
      <w:r w:rsidRPr="00E32ADE">
        <w:t>The External Auditor</w:t>
      </w:r>
    </w:p>
    <w:p w:rsidR="00E32ADE" w:rsidRPr="00E32ADE" w:rsidRDefault="008D26CB" w:rsidP="00CA196F">
      <w:pPr>
        <w:pStyle w:val="ONUME"/>
      </w:pPr>
      <w:r>
        <w:t xml:space="preserve">IOD maintained </w:t>
      </w:r>
      <w:r w:rsidR="0061246C">
        <w:t xml:space="preserve">an </w:t>
      </w:r>
      <w:r w:rsidR="00E32ADE" w:rsidRPr="00E32ADE">
        <w:t xml:space="preserve">excellent working </w:t>
      </w:r>
      <w:r w:rsidR="001A12DA">
        <w:t xml:space="preserve">relationship </w:t>
      </w:r>
      <w:r w:rsidR="00E32ADE" w:rsidRPr="00E32ADE">
        <w:t>with the External Auditor</w:t>
      </w:r>
      <w:r>
        <w:t xml:space="preserve"> by </w:t>
      </w:r>
      <w:r w:rsidR="00C37A90">
        <w:t xml:space="preserve">having </w:t>
      </w:r>
      <w:r w:rsidR="00C37A90" w:rsidRPr="00E32ADE">
        <w:t>regular</w:t>
      </w:r>
      <w:r w:rsidR="00E32ADE" w:rsidRPr="00E32ADE">
        <w:t xml:space="preserve"> meetings on audit, internal control and risk management issues.  The External Auditor and IOD shared strategies, annual plans and individual reports with a view to ensuring efficient oversight coverage </w:t>
      </w:r>
      <w:r w:rsidR="00C640F7">
        <w:t>while</w:t>
      </w:r>
      <w:r w:rsidR="00E32ADE" w:rsidRPr="00E32ADE">
        <w:t xml:space="preserve"> avoiding any potential duplication</w:t>
      </w:r>
      <w:r w:rsidR="00C640F7">
        <w:t xml:space="preserve"> and oversight fatigue</w:t>
      </w:r>
      <w:r w:rsidR="00E32ADE" w:rsidRPr="00E32ADE">
        <w:t>.</w:t>
      </w:r>
    </w:p>
    <w:p w:rsidR="004A0DF7" w:rsidRDefault="00E32ADE" w:rsidP="004A0DF7">
      <w:pPr>
        <w:pStyle w:val="Heading1"/>
      </w:pPr>
      <w:bookmarkStart w:id="32" w:name="_Toc423533520"/>
      <w:r w:rsidRPr="00E32ADE">
        <w:t xml:space="preserve">COOPERATION WITH </w:t>
      </w:r>
      <w:r w:rsidR="004A0DF7">
        <w:t>THE OMBUDSMAN AND THE ETHICS OFFICE</w:t>
      </w:r>
      <w:bookmarkEnd w:id="32"/>
    </w:p>
    <w:p w:rsidR="00E32ADE" w:rsidRPr="00E32ADE" w:rsidRDefault="00E32ADE" w:rsidP="004A0DF7">
      <w:pPr>
        <w:pStyle w:val="ONUME"/>
      </w:pPr>
      <w:r w:rsidRPr="00E32ADE">
        <w:t xml:space="preserve">During the reporting period, the Director, IOD met regularly with the Ombudsman and the Ethics Office, as required by the IOC, to ensure </w:t>
      </w:r>
      <w:r w:rsidR="008D26CB">
        <w:t>good coordination</w:t>
      </w:r>
      <w:r w:rsidRPr="00E32ADE">
        <w:t xml:space="preserve"> and avoid any unnecess</w:t>
      </w:r>
      <w:r w:rsidR="001A12DA">
        <w:t>ary duplication of activities</w:t>
      </w:r>
      <w:r w:rsidRPr="00E32ADE">
        <w:t>.</w:t>
      </w:r>
    </w:p>
    <w:p w:rsidR="00E32ADE" w:rsidRPr="00E32ADE" w:rsidRDefault="00E32ADE" w:rsidP="00E32ADE">
      <w:pPr>
        <w:keepNext/>
        <w:spacing w:before="240" w:after="240"/>
        <w:outlineLvl w:val="1"/>
        <w:rPr>
          <w:b/>
          <w:iCs/>
          <w:caps/>
          <w:szCs w:val="28"/>
        </w:rPr>
      </w:pPr>
      <w:r w:rsidRPr="00E32ADE">
        <w:rPr>
          <w:b/>
          <w:iCs/>
          <w:caps/>
          <w:szCs w:val="28"/>
        </w:rPr>
        <w:t>OTHER OVERSIGHT WORK</w:t>
      </w:r>
    </w:p>
    <w:p w:rsidR="00E32ADE" w:rsidRPr="00E32ADE" w:rsidRDefault="00E32ADE" w:rsidP="00CA196F">
      <w:pPr>
        <w:pStyle w:val="Heading2"/>
      </w:pPr>
      <w:r w:rsidRPr="00E32ADE">
        <w:t>Outreach activities in the organization</w:t>
      </w:r>
    </w:p>
    <w:p w:rsidR="00E32ADE" w:rsidRPr="00E32ADE" w:rsidRDefault="00C640F7" w:rsidP="00CA196F">
      <w:pPr>
        <w:pStyle w:val="ONUME"/>
      </w:pPr>
      <w:r>
        <w:t>As part of its ongoing effort t</w:t>
      </w:r>
      <w:r w:rsidR="00E32ADE" w:rsidRPr="00E32ADE">
        <w:t>o better explain and advocate for its work, IOD took several initiatives to continue to reach out to colleagues</w:t>
      </w:r>
      <w:r>
        <w:t xml:space="preserve"> within WIPO through participation to Induction Training for new staff, IOD Newsletter and Presentations to Director and Senior Mangers as and when required. </w:t>
      </w:r>
    </w:p>
    <w:p w:rsidR="00E32ADE" w:rsidRPr="001A12DA" w:rsidRDefault="00E32ADE" w:rsidP="00CA196F">
      <w:pPr>
        <w:pStyle w:val="Heading2"/>
      </w:pPr>
      <w:r w:rsidRPr="001A12DA">
        <w:t>Satisfaction Survey</w:t>
      </w:r>
    </w:p>
    <w:p w:rsidR="005242EE" w:rsidRPr="00C37A90" w:rsidRDefault="005242EE" w:rsidP="00CA196F">
      <w:pPr>
        <w:pStyle w:val="ONUME"/>
      </w:pPr>
      <w:r w:rsidRPr="00C37A90">
        <w:t xml:space="preserve">IOD continued the practice of client satisfaction survey after each assignment to better </w:t>
      </w:r>
      <w:r w:rsidR="001A12DA" w:rsidRPr="00C37A90">
        <w:t>capture</w:t>
      </w:r>
      <w:r w:rsidRPr="00C37A90">
        <w:t xml:space="preserve"> expectations from colleagues and get their feedback on oversight work.  </w:t>
      </w:r>
      <w:r w:rsidRPr="00F73A5E">
        <w:t>Four surveys</w:t>
      </w:r>
      <w:r w:rsidRPr="00C37A90">
        <w:t xml:space="preserve"> were recei</w:t>
      </w:r>
      <w:r w:rsidR="00C640F7">
        <w:t>ved during the reporting period</w:t>
      </w:r>
      <w:r w:rsidRPr="00C37A90">
        <w:t xml:space="preserve">.  </w:t>
      </w:r>
    </w:p>
    <w:p w:rsidR="005242EE" w:rsidRPr="00C37A90" w:rsidRDefault="005242EE" w:rsidP="00CA196F">
      <w:pPr>
        <w:pStyle w:val="ONUME"/>
      </w:pPr>
      <w:r w:rsidRPr="00C37A90">
        <w:t xml:space="preserve">The overall satisfaction rate has remained stable at </w:t>
      </w:r>
      <w:r w:rsidR="00174A63">
        <w:t>83</w:t>
      </w:r>
      <w:r w:rsidR="000921A9">
        <w:t xml:space="preserve"> per cent</w:t>
      </w:r>
      <w:r w:rsidR="00174A63">
        <w:t xml:space="preserve">. </w:t>
      </w:r>
      <w:r w:rsidR="00CA196F">
        <w:t xml:space="preserve"> </w:t>
      </w:r>
      <w:r w:rsidR="00174A63">
        <w:t xml:space="preserve">While survey respondents </w:t>
      </w:r>
      <w:r w:rsidR="004A0DF7">
        <w:t>considered</w:t>
      </w:r>
      <w:r w:rsidR="00174A63">
        <w:t xml:space="preserve"> that </w:t>
      </w:r>
      <w:r w:rsidR="00174A63" w:rsidRPr="00C37A90">
        <w:t>“the areas selected for audit/evaluation were important to the program/unit/project”</w:t>
      </w:r>
      <w:r w:rsidR="00174A63">
        <w:t xml:space="preserve"> (</w:t>
      </w:r>
      <w:r w:rsidRPr="00F73A5E">
        <w:t>93</w:t>
      </w:r>
      <w:r w:rsidR="000921A9">
        <w:t xml:space="preserve"> per cent</w:t>
      </w:r>
      <w:r w:rsidR="00174A63">
        <w:t>)</w:t>
      </w:r>
      <w:r w:rsidRPr="00F73A5E">
        <w:t xml:space="preserve">, </w:t>
      </w:r>
      <w:r w:rsidR="00174A63">
        <w:t xml:space="preserve">they felt that IOD did not </w:t>
      </w:r>
      <w:r w:rsidR="00174A63" w:rsidRPr="004A0DF7">
        <w:t xml:space="preserve">fully </w:t>
      </w:r>
      <w:r w:rsidR="004A0DF7" w:rsidRPr="004A0DF7">
        <w:t xml:space="preserve">take into account </w:t>
      </w:r>
      <w:r w:rsidR="00174A63" w:rsidRPr="004A0DF7">
        <w:t>their</w:t>
      </w:r>
      <w:r w:rsidR="00174A63">
        <w:t xml:space="preserve"> suggestions </w:t>
      </w:r>
      <w:r w:rsidR="00174A63" w:rsidRPr="00C37A90">
        <w:t>for areas of audit/evaluation</w:t>
      </w:r>
      <w:r w:rsidR="00174A63">
        <w:t>, (73</w:t>
      </w:r>
      <w:r w:rsidR="000921A9">
        <w:t xml:space="preserve"> per cent</w:t>
      </w:r>
      <w:r w:rsidR="00174A63">
        <w:t>)</w:t>
      </w:r>
      <w:r w:rsidRPr="00C37A90">
        <w:t xml:space="preserve">.  </w:t>
      </w:r>
    </w:p>
    <w:p w:rsidR="005242EE" w:rsidRPr="00C37A90" w:rsidRDefault="005242EE" w:rsidP="00CA196F">
      <w:pPr>
        <w:pStyle w:val="ONUME"/>
      </w:pPr>
      <w:r w:rsidRPr="00C37A90">
        <w:t>The results of surveys (six) conducted a year after assignments, used to measure the mid-term impact of oversight work, indicate</w:t>
      </w:r>
      <w:r w:rsidR="00CA196F">
        <w:t>d</w:t>
      </w:r>
      <w:r w:rsidRPr="00C37A90">
        <w:t xml:space="preserve"> that overall usefulness of the audit/evaluation after a year was rated at 64</w:t>
      </w:r>
      <w:r w:rsidR="000921A9">
        <w:t xml:space="preserve"> per cent</w:t>
      </w:r>
      <w:r w:rsidRPr="00C37A90">
        <w:t>, and the highest rate, 70</w:t>
      </w:r>
      <w:r w:rsidR="000921A9">
        <w:t xml:space="preserve"> per cent</w:t>
      </w:r>
      <w:r w:rsidRPr="00C37A90">
        <w:t>, was reached for the “relevance of the recommendations”; the lowest rate was 45</w:t>
      </w:r>
      <w:r w:rsidR="000921A9">
        <w:t xml:space="preserve"> per cent</w:t>
      </w:r>
      <w:r w:rsidRPr="00C37A90">
        <w:t>, corresponding to “the audit/evaluation assisted you in taking decisions”.</w:t>
      </w:r>
    </w:p>
    <w:p w:rsidR="00CA196F" w:rsidRDefault="005242EE" w:rsidP="00CA196F">
      <w:pPr>
        <w:pStyle w:val="ONUME"/>
      </w:pPr>
      <w:r w:rsidRPr="001A12DA">
        <w:t>The additional comments sent by the audited/evaluated units through the surveys help</w:t>
      </w:r>
      <w:r w:rsidR="006312EC">
        <w:t>ed</w:t>
      </w:r>
      <w:r w:rsidRPr="001A12DA">
        <w:t xml:space="preserve"> IOD identify shortcomings and work on corrective actions.  </w:t>
      </w:r>
    </w:p>
    <w:p w:rsidR="00CA196F" w:rsidRDefault="00CA196F">
      <w:r>
        <w:br w:type="page"/>
      </w:r>
    </w:p>
    <w:p w:rsidR="00E32ADE" w:rsidRPr="00E32ADE" w:rsidRDefault="00E32ADE" w:rsidP="00CA196F">
      <w:pPr>
        <w:pStyle w:val="Heading2"/>
      </w:pPr>
      <w:r w:rsidRPr="00E32ADE">
        <w:lastRenderedPageBreak/>
        <w:t>Networking with other oversight functions</w:t>
      </w:r>
    </w:p>
    <w:p w:rsidR="00E32ADE" w:rsidRPr="00E32ADE" w:rsidRDefault="00E32ADE" w:rsidP="00CA196F">
      <w:pPr>
        <w:pStyle w:val="ONUME"/>
      </w:pPr>
      <w:r w:rsidRPr="00E32ADE">
        <w:t xml:space="preserve">The IOC </w:t>
      </w:r>
      <w:r w:rsidR="008D26CB">
        <w:t>includes</w:t>
      </w:r>
      <w:r w:rsidR="008D26CB" w:rsidRPr="00E32ADE">
        <w:t xml:space="preserve"> </w:t>
      </w:r>
      <w:r w:rsidRPr="00E32ADE">
        <w:t>specific provisions</w:t>
      </w:r>
      <w:r w:rsidR="000E2FC8">
        <w:rPr>
          <w:rStyle w:val="FootnoteReference"/>
        </w:rPr>
        <w:footnoteReference w:id="12"/>
      </w:r>
      <w:r w:rsidRPr="00E32ADE">
        <w:t xml:space="preserve"> on participation in various formal networks of the UN for oversight functions.  IOD recognizes the value and importance of developing relationships with its peers.  During the period under review, IOD continued its active and useful collaboration and networking with other UN organizations and entities.  In particular IOD actively participated in:</w:t>
      </w:r>
    </w:p>
    <w:p w:rsidR="00E32ADE" w:rsidRPr="00E32ADE" w:rsidRDefault="001A12DA" w:rsidP="00CA196F">
      <w:pPr>
        <w:pStyle w:val="ONUME"/>
        <w:numPr>
          <w:ilvl w:val="1"/>
          <w:numId w:val="7"/>
        </w:numPr>
      </w:pPr>
      <w:r>
        <w:t>The 44</w:t>
      </w:r>
      <w:r w:rsidR="00E32ADE" w:rsidRPr="00E32ADE">
        <w:t xml:space="preserve">rd Annual Meeting of Representatives of Internal Audit Services (RIAS) of the UN, in </w:t>
      </w:r>
      <w:r>
        <w:t>Washington</w:t>
      </w:r>
      <w:r w:rsidR="00E32ADE" w:rsidRPr="00E32ADE">
        <w:t xml:space="preserve"> in September 201</w:t>
      </w:r>
      <w:r>
        <w:t>4</w:t>
      </w:r>
      <w:r w:rsidR="00E32ADE" w:rsidRPr="00E32ADE">
        <w:t xml:space="preserve">.  </w:t>
      </w:r>
    </w:p>
    <w:p w:rsidR="00E32ADE" w:rsidRPr="00E32ADE" w:rsidRDefault="00E32ADE" w:rsidP="00CA196F">
      <w:pPr>
        <w:pStyle w:val="ONUME"/>
        <w:numPr>
          <w:ilvl w:val="1"/>
          <w:numId w:val="7"/>
        </w:numPr>
      </w:pPr>
      <w:r w:rsidRPr="00E32ADE">
        <w:t>The a</w:t>
      </w:r>
      <w:r w:rsidR="001858C9">
        <w:t>nnual UNEG meeting in April 2015</w:t>
      </w:r>
      <w:r w:rsidRPr="00E32ADE">
        <w:t xml:space="preserve"> in </w:t>
      </w:r>
      <w:r w:rsidR="001858C9">
        <w:t>New York</w:t>
      </w:r>
      <w:r w:rsidRPr="00E32ADE">
        <w:t xml:space="preserve">.  During the reporting period, IOD was a member of the </w:t>
      </w:r>
      <w:r w:rsidR="008C3DED" w:rsidRPr="008C3DED">
        <w:t>UNEG “</w:t>
      </w:r>
      <w:r w:rsidR="008C3DED">
        <w:t xml:space="preserve">Strategic Objective </w:t>
      </w:r>
      <w:r w:rsidR="008C3DED" w:rsidRPr="008C3DED">
        <w:t>SO1: Norms and Standards sub-group”</w:t>
      </w:r>
      <w:r w:rsidRPr="00E32ADE">
        <w:t xml:space="preserve">;  </w:t>
      </w:r>
    </w:p>
    <w:p w:rsidR="001858C9" w:rsidRDefault="008D26CB" w:rsidP="00CA196F">
      <w:pPr>
        <w:pStyle w:val="ONUME"/>
        <w:numPr>
          <w:ilvl w:val="1"/>
          <w:numId w:val="7"/>
        </w:numPr>
      </w:pPr>
      <w:r>
        <w:t>The 15</w:t>
      </w:r>
      <w:r w:rsidRPr="00E32ADE">
        <w:t xml:space="preserve">th Conference of Internal Investigators </w:t>
      </w:r>
      <w:r>
        <w:t>and the 2</w:t>
      </w:r>
      <w:r w:rsidRPr="001858C9">
        <w:rPr>
          <w:vertAlign w:val="superscript"/>
        </w:rPr>
        <w:t>nd</w:t>
      </w:r>
      <w:r>
        <w:t xml:space="preserve"> meeting of </w:t>
      </w:r>
      <w:r w:rsidRPr="00E32ADE">
        <w:t>UN Representatives of Investigation Services (UNRIS)</w:t>
      </w:r>
      <w:r>
        <w:t xml:space="preserve">, both </w:t>
      </w:r>
      <w:r w:rsidRPr="00E32ADE">
        <w:t>held in</w:t>
      </w:r>
      <w:r w:rsidRPr="001858C9">
        <w:t xml:space="preserve"> </w:t>
      </w:r>
      <w:r>
        <w:t>in Riva del Garda, Italy</w:t>
      </w:r>
      <w:r w:rsidRPr="00E32ADE">
        <w:t xml:space="preserve"> in </w:t>
      </w:r>
      <w:r>
        <w:t>October</w:t>
      </w:r>
      <w:r w:rsidR="00C37A90">
        <w:t>; and</w:t>
      </w:r>
      <w:r w:rsidRPr="00E32ADE">
        <w:t xml:space="preserve"> </w:t>
      </w:r>
    </w:p>
    <w:p w:rsidR="001858C9" w:rsidRDefault="005525E8" w:rsidP="00CA196F">
      <w:pPr>
        <w:pStyle w:val="ONUME"/>
        <w:numPr>
          <w:ilvl w:val="1"/>
          <w:numId w:val="7"/>
        </w:numPr>
      </w:pPr>
      <w:r>
        <w:t>T</w:t>
      </w:r>
      <w:r w:rsidRPr="00E32ADE">
        <w:t>he Heads of Internal Audit in European-based International Organizations meeting</w:t>
      </w:r>
      <w:r>
        <w:t>,</w:t>
      </w:r>
      <w:r w:rsidRPr="00E32ADE">
        <w:t xml:space="preserve"> </w:t>
      </w:r>
      <w:r>
        <w:t>hosted by the European Patent Office, in Munich Germany,</w:t>
      </w:r>
      <w:r w:rsidRPr="00E32ADE">
        <w:t xml:space="preserve"> </w:t>
      </w:r>
      <w:r>
        <w:t>I</w:t>
      </w:r>
      <w:r w:rsidR="00E32ADE" w:rsidRPr="00E32ADE">
        <w:t xml:space="preserve">n April </w:t>
      </w:r>
      <w:r w:rsidR="004934E6" w:rsidRPr="00E32ADE">
        <w:t>201</w:t>
      </w:r>
      <w:r w:rsidR="004934E6">
        <w:t>5</w:t>
      </w:r>
      <w:r>
        <w:t>.</w:t>
      </w:r>
    </w:p>
    <w:p w:rsidR="00E32ADE" w:rsidRPr="00E32ADE" w:rsidRDefault="00E32ADE" w:rsidP="00CA196F">
      <w:pPr>
        <w:pStyle w:val="Heading1"/>
      </w:pPr>
      <w:bookmarkStart w:id="33" w:name="_Toc420663573"/>
      <w:bookmarkStart w:id="34" w:name="_Toc423533521"/>
      <w:r w:rsidRPr="00E32ADE">
        <w:t>OVERSIGHT RESOURCES</w:t>
      </w:r>
      <w:bookmarkEnd w:id="33"/>
      <w:bookmarkEnd w:id="34"/>
      <w:r w:rsidRPr="00E32ADE">
        <w:t xml:space="preserve"> </w:t>
      </w:r>
    </w:p>
    <w:p w:rsidR="00605540" w:rsidRPr="00E32ADE" w:rsidRDefault="00605540" w:rsidP="00CA196F">
      <w:pPr>
        <w:pStyle w:val="ONUME"/>
        <w:rPr>
          <w:b/>
          <w:bCs/>
          <w:caps/>
          <w:kern w:val="32"/>
          <w:szCs w:val="32"/>
        </w:rPr>
      </w:pPr>
      <w:r>
        <w:t>The</w:t>
      </w:r>
      <w:r w:rsidRPr="00E32ADE">
        <w:t xml:space="preserve"> IOC</w:t>
      </w:r>
      <w:r>
        <w:t xml:space="preserve"> </w:t>
      </w:r>
      <w:r w:rsidR="00E32ADE" w:rsidRPr="00E32ADE">
        <w:t>requires</w:t>
      </w:r>
      <w:r>
        <w:rPr>
          <w:rStyle w:val="FootnoteReference"/>
        </w:rPr>
        <w:footnoteReference w:id="13"/>
      </w:r>
      <w:r w:rsidR="00E32ADE" w:rsidRPr="00E32ADE">
        <w:t xml:space="preserve"> the Director, IOD to comment on the </w:t>
      </w:r>
      <w:r w:rsidR="004D2C55">
        <w:t xml:space="preserve">operational independence, </w:t>
      </w:r>
      <w:r>
        <w:t xml:space="preserve">the scope of activities and </w:t>
      </w:r>
      <w:r w:rsidR="00E32ADE" w:rsidRPr="00E32ADE">
        <w:t xml:space="preserve">adequacy of resources allocated to internal oversight </w:t>
      </w:r>
      <w:r w:rsidR="004D2C55">
        <w:t>function</w:t>
      </w:r>
      <w:r w:rsidR="00E32ADE" w:rsidRPr="00E32ADE">
        <w:t xml:space="preserve">.  </w:t>
      </w:r>
    </w:p>
    <w:p w:rsidR="00605540" w:rsidRDefault="004D2C55" w:rsidP="00CA196F">
      <w:pPr>
        <w:pStyle w:val="ONUME"/>
      </w:pPr>
      <w:r>
        <w:t>D</w:t>
      </w:r>
      <w:r w:rsidR="00605540" w:rsidRPr="00E32ADE">
        <w:t xml:space="preserve">uring the reporting period, no instance/activity occurred that would </w:t>
      </w:r>
      <w:r w:rsidR="000E2FC8">
        <w:t>be considered as</w:t>
      </w:r>
      <w:r>
        <w:t xml:space="preserve"> </w:t>
      </w:r>
      <w:r w:rsidR="000E2FC8">
        <w:t>jeopardizing</w:t>
      </w:r>
      <w:r w:rsidR="00605540" w:rsidRPr="00E32ADE">
        <w:t xml:space="preserve"> the operational independence of </w:t>
      </w:r>
      <w:r w:rsidR="004D6A1C">
        <w:t>IOD</w:t>
      </w:r>
      <w:r w:rsidR="00605540" w:rsidRPr="00E32ADE">
        <w:t>.</w:t>
      </w:r>
      <w:r>
        <w:t xml:space="preserve"> </w:t>
      </w:r>
      <w:r w:rsidR="004D6A1C">
        <w:t xml:space="preserve"> </w:t>
      </w:r>
      <w:r>
        <w:t>The scope of activities has been decided by</w:t>
      </w:r>
      <w:r w:rsidR="005525E8">
        <w:t xml:space="preserve"> the IOD itself receiving commen</w:t>
      </w:r>
      <w:r>
        <w:t>ts and feedback from WIPO Management, IAOC and Member States.</w:t>
      </w:r>
    </w:p>
    <w:p w:rsidR="00E32ADE" w:rsidRPr="00E32ADE" w:rsidRDefault="00E32ADE" w:rsidP="00CA196F">
      <w:pPr>
        <w:pStyle w:val="Heading2"/>
      </w:pPr>
      <w:r w:rsidRPr="00E32ADE">
        <w:t>Budget and Staff</w:t>
      </w:r>
    </w:p>
    <w:p w:rsidR="0061246C" w:rsidRDefault="00E32ADE" w:rsidP="00CA196F">
      <w:pPr>
        <w:pStyle w:val="ONUME"/>
      </w:pPr>
      <w:r w:rsidRPr="00E32ADE">
        <w:t xml:space="preserve">IOD work force </w:t>
      </w:r>
      <w:r w:rsidR="004D2C55">
        <w:t>which was</w:t>
      </w:r>
      <w:r w:rsidRPr="00E32ADE">
        <w:t xml:space="preserve"> an issue in the past has been </w:t>
      </w:r>
      <w:r w:rsidR="004D2C55">
        <w:t xml:space="preserve">improved </w:t>
      </w:r>
      <w:r w:rsidRPr="00E32ADE">
        <w:t>with 11 staff members</w:t>
      </w:r>
      <w:r w:rsidR="004D2C55">
        <w:rPr>
          <w:rStyle w:val="FootnoteReference"/>
        </w:rPr>
        <w:footnoteReference w:id="14"/>
      </w:r>
      <w:r w:rsidR="005525E8">
        <w:t xml:space="preserve"> on board</w:t>
      </w:r>
      <w:r w:rsidR="005525E8" w:rsidRPr="005525E8">
        <w:t xml:space="preserve"> </w:t>
      </w:r>
      <w:r w:rsidR="005525E8" w:rsidRPr="00E32ADE">
        <w:t>since 2012</w:t>
      </w:r>
      <w:r w:rsidRPr="00E32ADE">
        <w:t xml:space="preserve">.  </w:t>
      </w:r>
      <w:r w:rsidR="004D2C55">
        <w:t>For</w:t>
      </w:r>
      <w:r w:rsidRPr="00E32ADE">
        <w:t xml:space="preserve"> the 201</w:t>
      </w:r>
      <w:r w:rsidR="004D2C55">
        <w:t>4</w:t>
      </w:r>
      <w:r w:rsidRPr="00E32ADE">
        <w:t>/1</w:t>
      </w:r>
      <w:r w:rsidR="004D2C55">
        <w:t>5</w:t>
      </w:r>
      <w:r w:rsidRPr="00E32ADE">
        <w:t xml:space="preserve"> biennium, </w:t>
      </w:r>
      <w:r w:rsidR="004D2C55">
        <w:t xml:space="preserve">financial </w:t>
      </w:r>
      <w:r w:rsidRPr="00E32ADE">
        <w:t xml:space="preserve">resources </w:t>
      </w:r>
      <w:r w:rsidR="004D2C55">
        <w:t xml:space="preserve">allocated </w:t>
      </w:r>
      <w:r w:rsidRPr="00E32ADE">
        <w:t xml:space="preserve">for </w:t>
      </w:r>
      <w:r w:rsidR="004D2C55">
        <w:t>external</w:t>
      </w:r>
      <w:r w:rsidR="004D2C55" w:rsidRPr="00E32ADE">
        <w:t xml:space="preserve"> </w:t>
      </w:r>
      <w:r w:rsidRPr="00E32ADE">
        <w:t xml:space="preserve">expertise </w:t>
      </w:r>
      <w:r w:rsidR="005525E8" w:rsidRPr="00E32ADE">
        <w:t>ha</w:t>
      </w:r>
      <w:r w:rsidR="005525E8">
        <w:t xml:space="preserve">s </w:t>
      </w:r>
      <w:r w:rsidR="005525E8" w:rsidRPr="00E32ADE">
        <w:t>been</w:t>
      </w:r>
      <w:r w:rsidRPr="00E32ADE">
        <w:t xml:space="preserve"> </w:t>
      </w:r>
      <w:r w:rsidR="00E65EF4" w:rsidRPr="00E32ADE">
        <w:t>sufficient</w:t>
      </w:r>
      <w:r w:rsidR="00E65EF4">
        <w:t xml:space="preserve"> </w:t>
      </w:r>
      <w:r w:rsidR="00E65EF4" w:rsidRPr="00E32ADE">
        <w:t>to</w:t>
      </w:r>
      <w:r w:rsidRPr="00E32ADE">
        <w:t xml:space="preserve"> </w:t>
      </w:r>
      <w:r w:rsidR="00E65EF4">
        <w:t xml:space="preserve">engage third party service providers </w:t>
      </w:r>
      <w:r w:rsidRPr="00E32ADE">
        <w:t xml:space="preserve">to assist </w:t>
      </w:r>
      <w:r w:rsidR="00E65EF4">
        <w:t xml:space="preserve">IOD </w:t>
      </w:r>
      <w:r w:rsidRPr="00E32ADE">
        <w:t xml:space="preserve">in the </w:t>
      </w:r>
      <w:r w:rsidR="00E65EF4">
        <w:t xml:space="preserve">implementation of its </w:t>
      </w:r>
      <w:r w:rsidRPr="00E32ADE">
        <w:t xml:space="preserve">oversight </w:t>
      </w:r>
      <w:r w:rsidR="000E2FC8">
        <w:t>plans</w:t>
      </w:r>
      <w:r w:rsidRPr="00E32ADE">
        <w:t xml:space="preserve">.  </w:t>
      </w:r>
    </w:p>
    <w:p w:rsidR="00E32ADE" w:rsidRDefault="00E65EF4" w:rsidP="00CA196F">
      <w:pPr>
        <w:pStyle w:val="ONUME"/>
      </w:pPr>
      <w:r>
        <w:t>T</w:t>
      </w:r>
      <w:r w:rsidR="00E32ADE" w:rsidRPr="00E32ADE">
        <w:t xml:space="preserve">he post of Head, Investigation section </w:t>
      </w:r>
      <w:r>
        <w:t>has been</w:t>
      </w:r>
      <w:r w:rsidR="00E32ADE" w:rsidRPr="00E32ADE">
        <w:t xml:space="preserve"> filled as of July 1, 2014.</w:t>
      </w:r>
      <w:r>
        <w:t xml:space="preserve"> </w:t>
      </w:r>
      <w:r w:rsidR="00CA196F">
        <w:t xml:space="preserve"> </w:t>
      </w:r>
      <w:r>
        <w:t xml:space="preserve">Also, IOD recruited on temporary contracts, an Associate Evaluation Officer and a Secretary which helped maintain the same staffing level since </w:t>
      </w:r>
      <w:r w:rsidR="005525E8">
        <w:t>2012</w:t>
      </w:r>
      <w:r>
        <w:t>.</w:t>
      </w:r>
    </w:p>
    <w:p w:rsidR="0061246C" w:rsidRPr="00E32ADE" w:rsidRDefault="000E2FC8" w:rsidP="00CA196F">
      <w:pPr>
        <w:pStyle w:val="ONUME"/>
      </w:pPr>
      <w:r>
        <w:t xml:space="preserve">During the reporting period, </w:t>
      </w:r>
      <w:r w:rsidR="0061246C">
        <w:t>Director, IOD transferred to another UN agency effective May 1, 2015.</w:t>
      </w:r>
      <w:r w:rsidR="00CA196F">
        <w:t xml:space="preserve"> </w:t>
      </w:r>
      <w:r w:rsidR="0061246C">
        <w:t xml:space="preserve"> </w:t>
      </w:r>
      <w:r>
        <w:t>At the time of writing of this report, the r</w:t>
      </w:r>
      <w:r w:rsidR="0061246C">
        <w:t xml:space="preserve">ecruitment process </w:t>
      </w:r>
      <w:r>
        <w:t>to</w:t>
      </w:r>
      <w:r w:rsidR="0061246C">
        <w:t xml:space="preserve"> fill the vacant post is on-going. </w:t>
      </w:r>
      <w:r w:rsidR="00CA196F">
        <w:t xml:space="preserve"> </w:t>
      </w:r>
      <w:r w:rsidR="0061246C">
        <w:t xml:space="preserve">Meanwhile, the Head, Internal Audit Section, was appointed as Acting Director, IOD, </w:t>
      </w:r>
      <w:r>
        <w:t>effective</w:t>
      </w:r>
      <w:r w:rsidR="0061246C">
        <w:t xml:space="preserve"> May 8, 2015</w:t>
      </w:r>
      <w:r>
        <w:t xml:space="preserve"> until the new Director, IOD takes office</w:t>
      </w:r>
      <w:r w:rsidR="0061246C">
        <w:t>.</w:t>
      </w:r>
    </w:p>
    <w:p w:rsidR="00E32ADE" w:rsidRPr="00E32ADE" w:rsidRDefault="00E32ADE" w:rsidP="00CA196F">
      <w:pPr>
        <w:pStyle w:val="ONUME"/>
      </w:pPr>
      <w:r w:rsidRPr="00E32ADE">
        <w:t>To discharge its mandate, the current level of resources, 0.7</w:t>
      </w:r>
      <w:r w:rsidR="00E65EF4">
        <w:t>6</w:t>
      </w:r>
      <w:r w:rsidRPr="00E32ADE">
        <w:t xml:space="preserve"> per cent of WIPO’s </w:t>
      </w:r>
      <w:r w:rsidR="00293712">
        <w:t>total budget and 0.9</w:t>
      </w:r>
      <w:r w:rsidRPr="00E32ADE">
        <w:t>8 per cent of WIPO’s staff</w:t>
      </w:r>
      <w:r w:rsidR="00293712">
        <w:t xml:space="preserve"> costs</w:t>
      </w:r>
      <w:r w:rsidRPr="00E32ADE">
        <w:t xml:space="preserve">, </w:t>
      </w:r>
      <w:r w:rsidR="00CA196F">
        <w:t>could be considered</w:t>
      </w:r>
      <w:r w:rsidR="006C25ED" w:rsidRPr="00E32ADE">
        <w:t xml:space="preserve"> </w:t>
      </w:r>
      <w:r w:rsidRPr="00E32ADE">
        <w:t xml:space="preserve">low compared to some </w:t>
      </w:r>
      <w:r w:rsidRPr="00E32ADE">
        <w:lastRenderedPageBreak/>
        <w:t>standards such as those recommended by JIU reports on oversight functions</w:t>
      </w:r>
      <w:r w:rsidRPr="00DE390D">
        <w:rPr>
          <w:rFonts w:eastAsia="Times New Roman"/>
          <w:bCs/>
          <w:sz w:val="18"/>
          <w:szCs w:val="18"/>
          <w:vertAlign w:val="superscript"/>
          <w:lang w:eastAsia="en-US"/>
        </w:rPr>
        <w:footnoteReference w:id="15"/>
      </w:r>
      <w:r w:rsidRPr="00E32ADE">
        <w:t xml:space="preserve">.  </w:t>
      </w:r>
      <w:r w:rsidR="006C25ED">
        <w:t>However, t</w:t>
      </w:r>
      <w:r w:rsidRPr="00E32ADE">
        <w:t xml:space="preserve">he level of </w:t>
      </w:r>
      <w:r w:rsidR="00E65EF4">
        <w:t xml:space="preserve">current </w:t>
      </w:r>
      <w:r w:rsidR="000E2FC8">
        <w:t xml:space="preserve">human and financial </w:t>
      </w:r>
      <w:r w:rsidRPr="00E32ADE">
        <w:t xml:space="preserve">resources has </w:t>
      </w:r>
      <w:r w:rsidR="005525E8">
        <w:t xml:space="preserve">been adequate for </w:t>
      </w:r>
      <w:r w:rsidRPr="00E32ADE">
        <w:t xml:space="preserve">IOD to </w:t>
      </w:r>
      <w:r w:rsidR="00E65EF4">
        <w:t xml:space="preserve">effectively </w:t>
      </w:r>
      <w:r w:rsidRPr="00E32ADE">
        <w:t xml:space="preserve">cover the </w:t>
      </w:r>
      <w:r w:rsidR="00E65EF4">
        <w:t xml:space="preserve">high </w:t>
      </w:r>
      <w:r w:rsidR="006C25ED">
        <w:t>priority</w:t>
      </w:r>
      <w:r w:rsidR="00E65EF4">
        <w:t xml:space="preserve"> </w:t>
      </w:r>
      <w:r w:rsidRPr="00E32ADE">
        <w:t>areas</w:t>
      </w:r>
      <w:r w:rsidR="00E65EF4">
        <w:t xml:space="preserve"> as</w:t>
      </w:r>
      <w:r w:rsidRPr="00E32ADE">
        <w:t xml:space="preserve"> identified in its </w:t>
      </w:r>
      <w:r w:rsidR="00E65EF4" w:rsidRPr="00E32ADE">
        <w:t>work plans</w:t>
      </w:r>
      <w:r w:rsidRPr="00E32ADE">
        <w:t xml:space="preserve">. </w:t>
      </w:r>
      <w:r w:rsidR="00CA196F">
        <w:t xml:space="preserve"> </w:t>
      </w:r>
      <w:r w:rsidR="006C25ED">
        <w:t>This has been achieved through better coordination of oversight activities with th</w:t>
      </w:r>
      <w:r w:rsidR="005525E8">
        <w:t>e External Auditor and increased</w:t>
      </w:r>
      <w:r w:rsidR="006C25ED">
        <w:t xml:space="preserve"> use of I</w:t>
      </w:r>
      <w:r w:rsidR="005525E8">
        <w:t>nformation Technology</w:t>
      </w:r>
      <w:r w:rsidR="00F50E35">
        <w:t xml:space="preserve"> (IT)</w:t>
      </w:r>
      <w:r w:rsidR="006C25ED">
        <w:t xml:space="preserve"> tools that </w:t>
      </w:r>
      <w:r w:rsidR="005525E8">
        <w:t xml:space="preserve">led to more </w:t>
      </w:r>
      <w:r w:rsidR="006C25ED">
        <w:t xml:space="preserve">efficiency in conducting oversight activities. </w:t>
      </w:r>
      <w:r w:rsidR="00CA196F">
        <w:t xml:space="preserve"> </w:t>
      </w:r>
      <w:r w:rsidR="000E2FC8">
        <w:t>As</w:t>
      </w:r>
      <w:r w:rsidR="006C25ED">
        <w:t xml:space="preserve"> there was no significant change </w:t>
      </w:r>
      <w:r w:rsidR="000E2FC8">
        <w:t>in</w:t>
      </w:r>
      <w:r w:rsidR="00ED1AFE">
        <w:t xml:space="preserve"> </w:t>
      </w:r>
      <w:r w:rsidR="006C25ED">
        <w:t>WIPO’s</w:t>
      </w:r>
      <w:r w:rsidR="006C25ED" w:rsidRPr="00E32ADE">
        <w:t xml:space="preserve"> Strategic Objectives and </w:t>
      </w:r>
      <w:r w:rsidR="006C25ED">
        <w:t>the progress made in the implementation of an Organization-wide Ris</w:t>
      </w:r>
      <w:r w:rsidR="00CA196F">
        <w:t>k Management and Internal Control S</w:t>
      </w:r>
      <w:r w:rsidR="006C25ED">
        <w:t>ystem, t</w:t>
      </w:r>
      <w:r w:rsidRPr="00E32ADE">
        <w:t>he</w:t>
      </w:r>
      <w:r w:rsidR="00392212">
        <w:t xml:space="preserve"> current</w:t>
      </w:r>
      <w:r w:rsidRPr="00E32ADE">
        <w:t xml:space="preserve"> level of resources </w:t>
      </w:r>
      <w:r w:rsidR="00392212">
        <w:t>could</w:t>
      </w:r>
      <w:r w:rsidR="006C25ED">
        <w:t xml:space="preserve"> be considered adequate</w:t>
      </w:r>
      <w:r w:rsidRPr="00E32ADE">
        <w:t>.</w:t>
      </w:r>
      <w:r w:rsidR="00CA196F">
        <w:t xml:space="preserve"> </w:t>
      </w:r>
      <w:r w:rsidR="006C25ED">
        <w:t xml:space="preserve"> </w:t>
      </w:r>
      <w:r w:rsidR="00352817">
        <w:t>On the other hand, c</w:t>
      </w:r>
      <w:r w:rsidR="006C25ED">
        <w:t xml:space="preserve">onversion of temporary positions into fixed term posts </w:t>
      </w:r>
      <w:r w:rsidR="00352817">
        <w:t xml:space="preserve">in a phased manner </w:t>
      </w:r>
      <w:r w:rsidR="006C25ED">
        <w:t xml:space="preserve">would help </w:t>
      </w:r>
      <w:r w:rsidR="00392212">
        <w:t>foster staff motivation and minimize the impact of</w:t>
      </w:r>
      <w:r w:rsidR="006C25ED">
        <w:t xml:space="preserve"> </w:t>
      </w:r>
      <w:r w:rsidR="00352817">
        <w:t xml:space="preserve">institutional memory </w:t>
      </w:r>
      <w:r w:rsidR="00392212">
        <w:t>loss</w:t>
      </w:r>
      <w:r w:rsidR="00352817">
        <w:t xml:space="preserve"> due to departure of staff.</w:t>
      </w:r>
    </w:p>
    <w:p w:rsidR="001040AF" w:rsidRPr="00543FB7" w:rsidRDefault="00E32ADE" w:rsidP="001040AF">
      <w:pPr>
        <w:pStyle w:val="NormalWeb"/>
        <w:keepNext/>
        <w:keepLines/>
        <w:spacing w:before="0" w:beforeAutospacing="0" w:after="0" w:afterAutospacing="0"/>
        <w:jc w:val="center"/>
        <w:rPr>
          <w:i/>
          <w:iCs/>
          <w:color w:val="000000"/>
          <w:sz w:val="20"/>
          <w:szCs w:val="20"/>
        </w:rPr>
      </w:pPr>
      <w:r w:rsidRPr="00E32ADE">
        <w:rPr>
          <w:b/>
          <w:bCs/>
        </w:rPr>
        <w:t xml:space="preserve">Table </w:t>
      </w:r>
      <w:r w:rsidR="00CA196F">
        <w:rPr>
          <w:b/>
          <w:bCs/>
        </w:rPr>
        <w:t>2</w:t>
      </w:r>
      <w:r w:rsidR="003A18B5">
        <w:rPr>
          <w:b/>
          <w:bCs/>
        </w:rPr>
        <w:t xml:space="preserve">- </w:t>
      </w:r>
      <w:r w:rsidR="003A18B5" w:rsidRPr="00543FB7">
        <w:rPr>
          <w:b/>
          <w:bCs/>
        </w:rPr>
        <w:t>2014</w:t>
      </w:r>
      <w:r w:rsidRPr="00543FB7">
        <w:rPr>
          <w:b/>
          <w:bCs/>
        </w:rPr>
        <w:t xml:space="preserve"> IOD Budget and expenditures</w:t>
      </w:r>
      <w:r w:rsidRPr="00543FB7">
        <w:rPr>
          <w:bCs/>
          <w:vertAlign w:val="superscript"/>
        </w:rPr>
        <w:footnoteReference w:id="16"/>
      </w:r>
      <w:r w:rsidRPr="00543FB7">
        <w:rPr>
          <w:b/>
          <w:bCs/>
        </w:rPr>
        <w:t xml:space="preserve"> after transfers</w:t>
      </w:r>
    </w:p>
    <w:p w:rsidR="00E32ADE" w:rsidRPr="00543FB7" w:rsidRDefault="00E32ADE" w:rsidP="00E32ADE">
      <w:pPr>
        <w:spacing w:after="120"/>
        <w:jc w:val="center"/>
        <w:rPr>
          <w:b/>
          <w:bCs/>
          <w:sz w:val="18"/>
        </w:rPr>
      </w:pPr>
    </w:p>
    <w:tbl>
      <w:tblPr>
        <w:tblW w:w="0" w:type="auto"/>
        <w:tblLook w:val="04A0" w:firstRow="1" w:lastRow="0" w:firstColumn="1" w:lastColumn="0" w:noHBand="0" w:noVBand="1"/>
      </w:tblPr>
      <w:tblGrid>
        <w:gridCol w:w="2358"/>
        <w:gridCol w:w="1920"/>
        <w:gridCol w:w="2128"/>
        <w:gridCol w:w="1641"/>
        <w:gridCol w:w="1524"/>
      </w:tblGrid>
      <w:tr w:rsidR="00E32ADE" w:rsidRPr="00543FB7" w:rsidTr="00FD2537">
        <w:trPr>
          <w:cantSplit/>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32ADE" w:rsidRPr="00543FB7" w:rsidRDefault="00E32ADE" w:rsidP="00E32ADE">
            <w:pPr>
              <w:keepNext/>
              <w:rPr>
                <w:color w:val="000000"/>
                <w:sz w:val="18"/>
                <w:szCs w:val="18"/>
              </w:rPr>
            </w:pPr>
            <w:r w:rsidRPr="00543FB7">
              <w:rPr>
                <w:color w:val="000000"/>
                <w:sz w:val="18"/>
                <w:szCs w:val="18"/>
              </w:rPr>
              <w:t xml:space="preserve">       </w:t>
            </w:r>
          </w:p>
        </w:tc>
        <w:tc>
          <w:tcPr>
            <w:tcW w:w="0" w:type="auto"/>
            <w:tcBorders>
              <w:top w:val="single" w:sz="4" w:space="0" w:color="auto"/>
              <w:left w:val="nil"/>
              <w:bottom w:val="nil"/>
              <w:right w:val="single" w:sz="4" w:space="0" w:color="auto"/>
            </w:tcBorders>
            <w:shd w:val="clear" w:color="000000" w:fill="CCFFFF"/>
            <w:vAlign w:val="center"/>
            <w:hideMark/>
          </w:tcPr>
          <w:p w:rsidR="00E32ADE" w:rsidRPr="00543FB7" w:rsidRDefault="00E32ADE" w:rsidP="00E32ADE">
            <w:pPr>
              <w:keepNext/>
              <w:jc w:val="center"/>
              <w:rPr>
                <w:b/>
                <w:bCs/>
                <w:color w:val="000000"/>
                <w:sz w:val="18"/>
                <w:szCs w:val="18"/>
              </w:rPr>
            </w:pPr>
            <w:r w:rsidRPr="00543FB7">
              <w:rPr>
                <w:b/>
                <w:bCs/>
                <w:color w:val="000000"/>
                <w:sz w:val="18"/>
                <w:szCs w:val="18"/>
              </w:rPr>
              <w:t>Approved Budget 2014/15</w:t>
            </w:r>
          </w:p>
        </w:tc>
        <w:tc>
          <w:tcPr>
            <w:tcW w:w="0" w:type="auto"/>
            <w:tcBorders>
              <w:top w:val="single" w:sz="4" w:space="0" w:color="auto"/>
              <w:left w:val="nil"/>
              <w:bottom w:val="nil"/>
              <w:right w:val="single" w:sz="4" w:space="0" w:color="auto"/>
            </w:tcBorders>
            <w:shd w:val="clear" w:color="000000" w:fill="CCFFFF"/>
            <w:vAlign w:val="center"/>
            <w:hideMark/>
          </w:tcPr>
          <w:p w:rsidR="00E32ADE" w:rsidRPr="00543FB7" w:rsidRDefault="00E32ADE" w:rsidP="00E32ADE">
            <w:pPr>
              <w:keepNext/>
              <w:jc w:val="center"/>
              <w:rPr>
                <w:b/>
                <w:bCs/>
                <w:color w:val="000000"/>
                <w:sz w:val="18"/>
                <w:szCs w:val="18"/>
              </w:rPr>
            </w:pPr>
            <w:r w:rsidRPr="00543FB7">
              <w:rPr>
                <w:b/>
                <w:bCs/>
                <w:color w:val="000000"/>
                <w:sz w:val="18"/>
                <w:szCs w:val="18"/>
              </w:rPr>
              <w:t>Budget after transfers 2014/15</w:t>
            </w:r>
          </w:p>
        </w:tc>
        <w:tc>
          <w:tcPr>
            <w:tcW w:w="0" w:type="auto"/>
            <w:tcBorders>
              <w:top w:val="single" w:sz="4" w:space="0" w:color="auto"/>
              <w:left w:val="nil"/>
              <w:bottom w:val="nil"/>
              <w:right w:val="single" w:sz="4" w:space="0" w:color="auto"/>
            </w:tcBorders>
            <w:shd w:val="clear" w:color="000000" w:fill="CCFFFF"/>
            <w:vAlign w:val="center"/>
            <w:hideMark/>
          </w:tcPr>
          <w:p w:rsidR="00E32ADE" w:rsidRPr="00543FB7" w:rsidRDefault="00E32ADE" w:rsidP="00293712">
            <w:pPr>
              <w:keepNext/>
              <w:jc w:val="center"/>
              <w:rPr>
                <w:b/>
                <w:bCs/>
                <w:color w:val="000000"/>
                <w:sz w:val="18"/>
                <w:szCs w:val="18"/>
              </w:rPr>
            </w:pPr>
            <w:r w:rsidRPr="00543FB7">
              <w:rPr>
                <w:b/>
                <w:bCs/>
                <w:color w:val="000000"/>
                <w:sz w:val="18"/>
                <w:szCs w:val="18"/>
              </w:rPr>
              <w:t>Expenditures 2014</w:t>
            </w:r>
          </w:p>
        </w:tc>
        <w:tc>
          <w:tcPr>
            <w:tcW w:w="0" w:type="auto"/>
            <w:tcBorders>
              <w:top w:val="single" w:sz="4" w:space="0" w:color="auto"/>
              <w:left w:val="nil"/>
              <w:bottom w:val="nil"/>
              <w:right w:val="single" w:sz="4" w:space="0" w:color="auto"/>
            </w:tcBorders>
            <w:shd w:val="clear" w:color="000000" w:fill="CCFFFF"/>
            <w:vAlign w:val="center"/>
            <w:hideMark/>
          </w:tcPr>
          <w:p w:rsidR="00E32ADE" w:rsidRPr="00543FB7" w:rsidRDefault="00E32ADE" w:rsidP="00E32ADE">
            <w:pPr>
              <w:keepNext/>
              <w:jc w:val="center"/>
              <w:rPr>
                <w:b/>
                <w:bCs/>
                <w:color w:val="000000"/>
                <w:sz w:val="18"/>
                <w:szCs w:val="18"/>
              </w:rPr>
            </w:pPr>
            <w:r w:rsidRPr="00543FB7">
              <w:rPr>
                <w:b/>
                <w:bCs/>
                <w:color w:val="000000"/>
                <w:sz w:val="18"/>
                <w:szCs w:val="18"/>
              </w:rPr>
              <w:t>Utilization rate (%)</w:t>
            </w:r>
          </w:p>
        </w:tc>
      </w:tr>
      <w:tr w:rsidR="00E32ADE" w:rsidRPr="00543FB7" w:rsidTr="00FD2537">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DE" w:rsidRPr="00543FB7" w:rsidRDefault="00E32ADE" w:rsidP="00E32ADE">
            <w:pPr>
              <w:keepNext/>
              <w:rPr>
                <w:color w:val="000000"/>
                <w:sz w:val="18"/>
                <w:szCs w:val="18"/>
              </w:rPr>
            </w:pPr>
            <w:r w:rsidRPr="00543FB7">
              <w:rPr>
                <w:color w:val="000000"/>
                <w:sz w:val="18"/>
                <w:szCs w:val="18"/>
              </w:rPr>
              <w:t xml:space="preserve"> Personnel Resources  </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543FB7" w:rsidRDefault="001040AF" w:rsidP="00E32ADE">
            <w:pPr>
              <w:keepNext/>
              <w:jc w:val="center"/>
              <w:rPr>
                <w:color w:val="000000"/>
                <w:sz w:val="18"/>
                <w:szCs w:val="18"/>
              </w:rPr>
            </w:pPr>
            <w:r w:rsidRPr="00543FB7">
              <w:rPr>
                <w:color w:val="000000"/>
                <w:sz w:val="18"/>
                <w:szCs w:val="18"/>
              </w:rPr>
              <w:t>4,396</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543FB7" w:rsidRDefault="001040AF" w:rsidP="00714E72">
            <w:pPr>
              <w:keepNext/>
              <w:jc w:val="center"/>
              <w:rPr>
                <w:color w:val="000000"/>
                <w:sz w:val="18"/>
                <w:szCs w:val="18"/>
              </w:rPr>
            </w:pPr>
            <w:r w:rsidRPr="00543FB7">
              <w:rPr>
                <w:color w:val="000000"/>
                <w:sz w:val="18"/>
                <w:szCs w:val="18"/>
              </w:rPr>
              <w:t>4,3</w:t>
            </w:r>
            <w:r w:rsidR="00714E72">
              <w:rPr>
                <w:color w:val="000000"/>
                <w:sz w:val="18"/>
                <w:szCs w:val="18"/>
              </w:rPr>
              <w:t>58</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543FB7" w:rsidRDefault="00714E72" w:rsidP="0013256A">
            <w:pPr>
              <w:keepNext/>
              <w:jc w:val="center"/>
              <w:rPr>
                <w:color w:val="000000"/>
                <w:sz w:val="18"/>
                <w:szCs w:val="18"/>
              </w:rPr>
            </w:pPr>
            <w:r>
              <w:rPr>
                <w:color w:val="000000"/>
                <w:sz w:val="18"/>
                <w:szCs w:val="18"/>
              </w:rPr>
              <w:t>1,993</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543FB7" w:rsidRDefault="00714E72" w:rsidP="00E32ADE">
            <w:pPr>
              <w:keepNext/>
              <w:jc w:val="center"/>
              <w:rPr>
                <w:color w:val="000000"/>
                <w:sz w:val="18"/>
                <w:szCs w:val="18"/>
              </w:rPr>
            </w:pPr>
            <w:r>
              <w:rPr>
                <w:color w:val="000000"/>
                <w:sz w:val="18"/>
                <w:szCs w:val="18"/>
              </w:rPr>
              <w:t>46</w:t>
            </w:r>
          </w:p>
        </w:tc>
      </w:tr>
      <w:tr w:rsidR="00E32ADE" w:rsidRPr="00543FB7" w:rsidTr="00FD2537">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DE" w:rsidRPr="00543FB7" w:rsidRDefault="00E32ADE" w:rsidP="00E32ADE">
            <w:pPr>
              <w:keepNext/>
              <w:rPr>
                <w:color w:val="000000"/>
                <w:sz w:val="18"/>
                <w:szCs w:val="18"/>
              </w:rPr>
            </w:pPr>
            <w:r w:rsidRPr="00543FB7">
              <w:rPr>
                <w:color w:val="000000"/>
                <w:sz w:val="18"/>
                <w:szCs w:val="18"/>
              </w:rPr>
              <w:t xml:space="preserve"> Non-personnel Resources </w:t>
            </w:r>
          </w:p>
        </w:tc>
        <w:tc>
          <w:tcPr>
            <w:tcW w:w="0" w:type="auto"/>
            <w:tcBorders>
              <w:top w:val="nil"/>
              <w:left w:val="nil"/>
              <w:bottom w:val="single" w:sz="4" w:space="0" w:color="auto"/>
              <w:right w:val="single" w:sz="4" w:space="0" w:color="auto"/>
            </w:tcBorders>
            <w:shd w:val="clear" w:color="auto" w:fill="auto"/>
            <w:vAlign w:val="center"/>
          </w:tcPr>
          <w:p w:rsidR="00E32ADE" w:rsidRPr="00543FB7" w:rsidRDefault="001040AF" w:rsidP="00E32ADE">
            <w:pPr>
              <w:keepNext/>
              <w:jc w:val="center"/>
              <w:rPr>
                <w:color w:val="000000"/>
                <w:sz w:val="18"/>
                <w:szCs w:val="18"/>
              </w:rPr>
            </w:pPr>
            <w:r w:rsidRPr="00543FB7">
              <w:rPr>
                <w:color w:val="000000"/>
                <w:sz w:val="18"/>
                <w:szCs w:val="18"/>
              </w:rPr>
              <w:t>720</w:t>
            </w:r>
          </w:p>
        </w:tc>
        <w:tc>
          <w:tcPr>
            <w:tcW w:w="0" w:type="auto"/>
            <w:tcBorders>
              <w:top w:val="nil"/>
              <w:left w:val="nil"/>
              <w:bottom w:val="single" w:sz="4" w:space="0" w:color="auto"/>
              <w:right w:val="single" w:sz="4" w:space="0" w:color="auto"/>
            </w:tcBorders>
            <w:shd w:val="clear" w:color="auto" w:fill="auto"/>
            <w:vAlign w:val="center"/>
          </w:tcPr>
          <w:p w:rsidR="00E32ADE" w:rsidRPr="00543FB7" w:rsidRDefault="001040AF" w:rsidP="00E32ADE">
            <w:pPr>
              <w:keepNext/>
              <w:jc w:val="center"/>
              <w:rPr>
                <w:color w:val="000000"/>
                <w:sz w:val="18"/>
                <w:szCs w:val="18"/>
              </w:rPr>
            </w:pPr>
            <w:r w:rsidRPr="00543FB7">
              <w:rPr>
                <w:color w:val="000000"/>
                <w:sz w:val="18"/>
                <w:szCs w:val="18"/>
              </w:rPr>
              <w:t>704</w:t>
            </w:r>
          </w:p>
        </w:tc>
        <w:tc>
          <w:tcPr>
            <w:tcW w:w="0" w:type="auto"/>
            <w:tcBorders>
              <w:top w:val="nil"/>
              <w:left w:val="nil"/>
              <w:bottom w:val="single" w:sz="4" w:space="0" w:color="auto"/>
              <w:right w:val="single" w:sz="4" w:space="0" w:color="auto"/>
            </w:tcBorders>
            <w:shd w:val="clear" w:color="auto" w:fill="auto"/>
            <w:vAlign w:val="center"/>
          </w:tcPr>
          <w:p w:rsidR="00E32ADE" w:rsidRPr="00543FB7" w:rsidRDefault="00714E72" w:rsidP="0013256A">
            <w:pPr>
              <w:keepNext/>
              <w:jc w:val="center"/>
              <w:rPr>
                <w:color w:val="000000"/>
                <w:sz w:val="18"/>
                <w:szCs w:val="18"/>
              </w:rPr>
            </w:pPr>
            <w:r>
              <w:rPr>
                <w:color w:val="000000"/>
                <w:sz w:val="18"/>
                <w:szCs w:val="18"/>
              </w:rPr>
              <w:t>336</w:t>
            </w:r>
          </w:p>
        </w:tc>
        <w:tc>
          <w:tcPr>
            <w:tcW w:w="0" w:type="auto"/>
            <w:tcBorders>
              <w:top w:val="nil"/>
              <w:left w:val="nil"/>
              <w:bottom w:val="single" w:sz="4" w:space="0" w:color="auto"/>
              <w:right w:val="single" w:sz="4" w:space="0" w:color="auto"/>
            </w:tcBorders>
            <w:shd w:val="clear" w:color="auto" w:fill="auto"/>
            <w:vAlign w:val="center"/>
          </w:tcPr>
          <w:p w:rsidR="00E32ADE" w:rsidRPr="00543FB7" w:rsidRDefault="00714E72" w:rsidP="00E32ADE">
            <w:pPr>
              <w:keepNext/>
              <w:jc w:val="center"/>
              <w:rPr>
                <w:color w:val="000000"/>
                <w:sz w:val="18"/>
                <w:szCs w:val="18"/>
              </w:rPr>
            </w:pPr>
            <w:r>
              <w:rPr>
                <w:color w:val="000000"/>
                <w:sz w:val="18"/>
                <w:szCs w:val="18"/>
              </w:rPr>
              <w:t>48</w:t>
            </w:r>
          </w:p>
        </w:tc>
      </w:tr>
      <w:tr w:rsidR="001040AF" w:rsidRPr="00E32ADE" w:rsidTr="00FD2537">
        <w:trPr>
          <w:cantSplit/>
        </w:trPr>
        <w:tc>
          <w:tcPr>
            <w:tcW w:w="0" w:type="auto"/>
            <w:tcBorders>
              <w:top w:val="nil"/>
              <w:left w:val="single" w:sz="4" w:space="0" w:color="auto"/>
              <w:bottom w:val="single" w:sz="4" w:space="0" w:color="auto"/>
              <w:right w:val="single" w:sz="4" w:space="0" w:color="auto"/>
            </w:tcBorders>
            <w:shd w:val="clear" w:color="auto" w:fill="auto"/>
            <w:noWrap/>
            <w:vAlign w:val="center"/>
          </w:tcPr>
          <w:p w:rsidR="001040AF" w:rsidRPr="00543FB7" w:rsidRDefault="001040AF" w:rsidP="001040AF">
            <w:pPr>
              <w:keepNext/>
              <w:jc w:val="center"/>
              <w:rPr>
                <w:color w:val="000000"/>
                <w:sz w:val="18"/>
                <w:szCs w:val="18"/>
              </w:rPr>
            </w:pPr>
            <w:r w:rsidRPr="00543FB7">
              <w:rPr>
                <w:b/>
                <w:bCs/>
                <w:color w:val="000000"/>
                <w:sz w:val="18"/>
                <w:szCs w:val="18"/>
              </w:rPr>
              <w:t>TOTAL</w:t>
            </w:r>
          </w:p>
        </w:tc>
        <w:tc>
          <w:tcPr>
            <w:tcW w:w="0" w:type="auto"/>
            <w:tcBorders>
              <w:top w:val="nil"/>
              <w:left w:val="nil"/>
              <w:bottom w:val="single" w:sz="4" w:space="0" w:color="auto"/>
              <w:right w:val="single" w:sz="4" w:space="0" w:color="auto"/>
            </w:tcBorders>
            <w:shd w:val="clear" w:color="auto" w:fill="auto"/>
            <w:vAlign w:val="center"/>
          </w:tcPr>
          <w:p w:rsidR="001040AF" w:rsidRPr="00543FB7" w:rsidRDefault="001040AF" w:rsidP="00E32ADE">
            <w:pPr>
              <w:keepNext/>
              <w:jc w:val="center"/>
              <w:rPr>
                <w:color w:val="000000"/>
                <w:sz w:val="18"/>
                <w:szCs w:val="18"/>
              </w:rPr>
            </w:pPr>
            <w:r w:rsidRPr="00543FB7">
              <w:rPr>
                <w:color w:val="000000"/>
                <w:sz w:val="18"/>
                <w:szCs w:val="18"/>
              </w:rPr>
              <w:t>5,116</w:t>
            </w:r>
          </w:p>
        </w:tc>
        <w:tc>
          <w:tcPr>
            <w:tcW w:w="0" w:type="auto"/>
            <w:tcBorders>
              <w:top w:val="nil"/>
              <w:left w:val="nil"/>
              <w:bottom w:val="single" w:sz="4" w:space="0" w:color="auto"/>
              <w:right w:val="single" w:sz="4" w:space="0" w:color="auto"/>
            </w:tcBorders>
            <w:shd w:val="clear" w:color="auto" w:fill="auto"/>
            <w:vAlign w:val="center"/>
          </w:tcPr>
          <w:p w:rsidR="001040AF" w:rsidRPr="00543FB7" w:rsidRDefault="001040AF" w:rsidP="00714E72">
            <w:pPr>
              <w:keepNext/>
              <w:jc w:val="center"/>
              <w:rPr>
                <w:color w:val="000000"/>
                <w:sz w:val="18"/>
                <w:szCs w:val="18"/>
              </w:rPr>
            </w:pPr>
            <w:r w:rsidRPr="00543FB7">
              <w:rPr>
                <w:color w:val="000000"/>
                <w:sz w:val="18"/>
                <w:szCs w:val="18"/>
              </w:rPr>
              <w:t>5,</w:t>
            </w:r>
            <w:r w:rsidR="00714E72">
              <w:rPr>
                <w:color w:val="000000"/>
                <w:sz w:val="18"/>
                <w:szCs w:val="18"/>
              </w:rPr>
              <w:t>062</w:t>
            </w:r>
          </w:p>
        </w:tc>
        <w:tc>
          <w:tcPr>
            <w:tcW w:w="0" w:type="auto"/>
            <w:tcBorders>
              <w:top w:val="nil"/>
              <w:left w:val="nil"/>
              <w:bottom w:val="single" w:sz="4" w:space="0" w:color="auto"/>
              <w:right w:val="single" w:sz="4" w:space="0" w:color="auto"/>
            </w:tcBorders>
            <w:shd w:val="clear" w:color="auto" w:fill="auto"/>
            <w:vAlign w:val="center"/>
          </w:tcPr>
          <w:p w:rsidR="001040AF" w:rsidRPr="00543FB7" w:rsidRDefault="00714E72" w:rsidP="00E32ADE">
            <w:pPr>
              <w:keepNext/>
              <w:jc w:val="center"/>
              <w:rPr>
                <w:color w:val="000000"/>
                <w:sz w:val="18"/>
                <w:szCs w:val="18"/>
              </w:rPr>
            </w:pPr>
            <w:r>
              <w:rPr>
                <w:color w:val="000000"/>
                <w:sz w:val="18"/>
                <w:szCs w:val="18"/>
              </w:rPr>
              <w:t>2,329</w:t>
            </w:r>
          </w:p>
        </w:tc>
        <w:tc>
          <w:tcPr>
            <w:tcW w:w="0" w:type="auto"/>
            <w:tcBorders>
              <w:top w:val="nil"/>
              <w:left w:val="nil"/>
              <w:bottom w:val="single" w:sz="4" w:space="0" w:color="auto"/>
              <w:right w:val="single" w:sz="4" w:space="0" w:color="auto"/>
            </w:tcBorders>
            <w:shd w:val="clear" w:color="auto" w:fill="auto"/>
            <w:vAlign w:val="center"/>
          </w:tcPr>
          <w:p w:rsidR="001040AF" w:rsidRPr="00543FB7" w:rsidRDefault="00714E72" w:rsidP="00E32ADE">
            <w:pPr>
              <w:keepNext/>
              <w:jc w:val="center"/>
              <w:rPr>
                <w:color w:val="000000"/>
                <w:sz w:val="18"/>
                <w:szCs w:val="18"/>
              </w:rPr>
            </w:pPr>
            <w:r>
              <w:rPr>
                <w:color w:val="000000"/>
                <w:sz w:val="18"/>
                <w:szCs w:val="18"/>
              </w:rPr>
              <w:t>46</w:t>
            </w:r>
          </w:p>
        </w:tc>
      </w:tr>
    </w:tbl>
    <w:p w:rsidR="001040AF" w:rsidRPr="00CB5E15" w:rsidRDefault="00714E72" w:rsidP="00CB5E15">
      <w:pPr>
        <w:keepLines/>
        <w:spacing w:before="60" w:after="220"/>
        <w:rPr>
          <w:sz w:val="18"/>
          <w:szCs w:val="18"/>
        </w:rPr>
      </w:pPr>
      <w:r w:rsidRPr="00CB5E15">
        <w:rPr>
          <w:sz w:val="18"/>
          <w:szCs w:val="18"/>
        </w:rPr>
        <w:t>NOTE</w:t>
      </w:r>
      <w:r w:rsidR="00CB5E15" w:rsidRPr="00CB5E15">
        <w:rPr>
          <w:sz w:val="18"/>
          <w:szCs w:val="18"/>
        </w:rPr>
        <w:t>:  The 2014/15 Budget after transfers reflects transfers as of March 31, 2015 to address needs during the 2014/15 biennium in line with Financial Regulation 5.5.</w:t>
      </w:r>
    </w:p>
    <w:p w:rsidR="00E32ADE" w:rsidRPr="00E32ADE" w:rsidRDefault="00E32ADE" w:rsidP="00CA196F">
      <w:pPr>
        <w:pStyle w:val="ONUME"/>
      </w:pPr>
      <w:r w:rsidRPr="00E32ADE">
        <w:t>During the reporting period, use was made of contracted experts for various oversight activities.  This was particularly valuable for work related to evaluations and specialized audits and investigations.</w:t>
      </w:r>
    </w:p>
    <w:p w:rsidR="00E32ADE" w:rsidRPr="00E32ADE" w:rsidRDefault="00E32ADE" w:rsidP="00CA196F">
      <w:pPr>
        <w:pStyle w:val="Heading2"/>
      </w:pPr>
      <w:r w:rsidRPr="00E32ADE">
        <w:t>training</w:t>
      </w:r>
    </w:p>
    <w:p w:rsidR="00E32ADE" w:rsidRPr="00E32ADE" w:rsidRDefault="00E32ADE" w:rsidP="00CA196F">
      <w:pPr>
        <w:pStyle w:val="ONUME"/>
      </w:pPr>
      <w:r w:rsidRPr="00E32ADE">
        <w:t xml:space="preserve">Essential for continued professional development of its staff, and in accordance with WIPO training policy, IOD </w:t>
      </w:r>
      <w:r w:rsidR="003A4009">
        <w:t xml:space="preserve">staff attended planned training activities to acquire new knowledge, technical skills </w:t>
      </w:r>
      <w:r w:rsidRPr="00E32ADE">
        <w:t xml:space="preserve">and other competencies </w:t>
      </w:r>
      <w:r w:rsidR="003A4009">
        <w:t xml:space="preserve">to increase IOD’s operational effectiveness and efficiency in undertaking oversight assignments. </w:t>
      </w:r>
      <w:r w:rsidRPr="00E32ADE">
        <w:t xml:space="preserve"> </w:t>
      </w:r>
      <w:r w:rsidR="001E109C">
        <w:t xml:space="preserve">Training activities attended by </w:t>
      </w:r>
      <w:r w:rsidRPr="00E32ADE">
        <w:t xml:space="preserve">IOD staff members </w:t>
      </w:r>
      <w:r w:rsidR="001E109C">
        <w:t xml:space="preserve">included </w:t>
      </w:r>
      <w:r w:rsidR="003A4009">
        <w:t>management of audit function,</w:t>
      </w:r>
      <w:r w:rsidRPr="00E32ADE">
        <w:t xml:space="preserve"> fraud prevention and detection, </w:t>
      </w:r>
      <w:r w:rsidR="001E109C">
        <w:t xml:space="preserve">investigative research techniques, </w:t>
      </w:r>
      <w:r w:rsidRPr="00E32ADE">
        <w:t xml:space="preserve">development evaluation, </w:t>
      </w:r>
      <w:r w:rsidR="001E109C">
        <w:t xml:space="preserve">root-cause analysis, </w:t>
      </w:r>
      <w:r w:rsidRPr="00E32ADE">
        <w:t>report writing</w:t>
      </w:r>
      <w:r w:rsidR="001E109C">
        <w:t xml:space="preserve"> and risk management</w:t>
      </w:r>
      <w:r w:rsidR="001A56A8" w:rsidRPr="00E32ADE" w:rsidDel="001A56A8">
        <w:t xml:space="preserve"> </w:t>
      </w:r>
      <w:r w:rsidRPr="00E32ADE">
        <w:rPr>
          <w:vertAlign w:val="superscript"/>
        </w:rPr>
        <w:t>©</w:t>
      </w:r>
      <w:r w:rsidRPr="00E32ADE">
        <w:t>.</w:t>
      </w:r>
    </w:p>
    <w:p w:rsidR="00E32ADE" w:rsidRPr="00E32ADE" w:rsidRDefault="00E32ADE" w:rsidP="00E32ADE">
      <w:pPr>
        <w:keepLines/>
        <w:tabs>
          <w:tab w:val="left" w:pos="5529"/>
        </w:tabs>
        <w:ind w:firstLine="5529"/>
      </w:pPr>
      <w:r w:rsidRPr="00E32ADE">
        <w:t>[Annexes follow]</w:t>
      </w:r>
    </w:p>
    <w:p w:rsidR="00D8524D" w:rsidRDefault="00D8524D" w:rsidP="00846A49">
      <w:pPr>
        <w:keepLines/>
        <w:tabs>
          <w:tab w:val="left" w:pos="5529"/>
        </w:tabs>
        <w:ind w:firstLine="5529"/>
      </w:pPr>
    </w:p>
    <w:p w:rsidR="00C71859" w:rsidRDefault="00C71859" w:rsidP="00C71859">
      <w:pPr>
        <w:keepLines/>
        <w:tabs>
          <w:tab w:val="left" w:pos="5529"/>
        </w:tabs>
      </w:pPr>
    </w:p>
    <w:p w:rsidR="00D8524D" w:rsidRDefault="00D8524D" w:rsidP="00D8524D">
      <w:pPr>
        <w:pStyle w:val="ONUME"/>
        <w:keepLines/>
        <w:numPr>
          <w:ilvl w:val="0"/>
          <w:numId w:val="0"/>
        </w:numPr>
        <w:jc w:val="right"/>
        <w:sectPr w:rsidR="00D8524D" w:rsidSect="00E365E6">
          <w:endnotePr>
            <w:numFmt w:val="decimal"/>
          </w:endnotePr>
          <w:pgSz w:w="11907" w:h="16840" w:code="9"/>
          <w:pgMar w:top="1305" w:right="1134" w:bottom="1418" w:left="1418" w:header="510" w:footer="1021" w:gutter="0"/>
          <w:cols w:space="720"/>
          <w:titlePg/>
          <w:docGrid w:linePitch="299"/>
        </w:sectPr>
      </w:pPr>
    </w:p>
    <w:p w:rsidR="00E32ADE" w:rsidRDefault="00E32ADE" w:rsidP="00E32ADE">
      <w:pPr>
        <w:spacing w:after="120"/>
        <w:ind w:left="-142"/>
        <w:jc w:val="center"/>
        <w:rPr>
          <w:b/>
        </w:rPr>
      </w:pPr>
      <w:bookmarkStart w:id="35" w:name="OLE_LINK1"/>
      <w:bookmarkStart w:id="36" w:name="OLE_LINK2"/>
      <w:r>
        <w:rPr>
          <w:b/>
        </w:rPr>
        <w:lastRenderedPageBreak/>
        <w:t>Status of 2014 Oversight assignments</w:t>
      </w:r>
    </w:p>
    <w:p w:rsidR="00677F67" w:rsidRDefault="00677F67" w:rsidP="00E32ADE">
      <w:pPr>
        <w:spacing w:after="120"/>
        <w:ind w:left="-142"/>
        <w:jc w:val="center"/>
        <w:rPr>
          <w:b/>
        </w:rPr>
      </w:pPr>
    </w:p>
    <w:tbl>
      <w:tblPr>
        <w:tblW w:w="10348" w:type="dxa"/>
        <w:tblInd w:w="-601" w:type="dxa"/>
        <w:tblLayout w:type="fixed"/>
        <w:tblLook w:val="04A0" w:firstRow="1" w:lastRow="0" w:firstColumn="1" w:lastColumn="0" w:noHBand="0" w:noVBand="1"/>
      </w:tblPr>
      <w:tblGrid>
        <w:gridCol w:w="7797"/>
        <w:gridCol w:w="1559"/>
        <w:gridCol w:w="992"/>
      </w:tblGrid>
      <w:tr w:rsidR="00882C1D" w:rsidRPr="006201B6" w:rsidTr="00677F67">
        <w:trPr>
          <w:cantSplit/>
          <w:trHeight w:val="240"/>
          <w:tblHeader/>
        </w:trPr>
        <w:tc>
          <w:tcPr>
            <w:tcW w:w="77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82C1D" w:rsidRPr="006201B6" w:rsidRDefault="00882C1D" w:rsidP="00882C1D">
            <w:pPr>
              <w:jc w:val="center"/>
              <w:rPr>
                <w:rFonts w:eastAsia="Times New Roman"/>
                <w:b/>
                <w:sz w:val="18"/>
                <w:szCs w:val="18"/>
                <w:lang w:eastAsia="en-US"/>
              </w:rPr>
            </w:pPr>
            <w:r w:rsidRPr="006201B6">
              <w:rPr>
                <w:rFonts w:eastAsia="Times New Roman"/>
                <w:b/>
                <w:sz w:val="18"/>
                <w:szCs w:val="18"/>
                <w:lang w:eastAsia="en-US"/>
              </w:rPr>
              <w:t>Plan</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tcPr>
          <w:p w:rsidR="00882C1D" w:rsidRPr="006201B6" w:rsidRDefault="00882C1D" w:rsidP="00882C1D">
            <w:pPr>
              <w:jc w:val="center"/>
              <w:rPr>
                <w:rFonts w:eastAsia="Times New Roman"/>
                <w:b/>
                <w:sz w:val="18"/>
                <w:szCs w:val="18"/>
                <w:lang w:eastAsia="en-US"/>
              </w:rPr>
            </w:pPr>
            <w:r w:rsidRPr="006201B6">
              <w:rPr>
                <w:rFonts w:eastAsia="Times New Roman"/>
                <w:b/>
                <w:sz w:val="18"/>
                <w:szCs w:val="18"/>
                <w:lang w:eastAsia="en-US"/>
              </w:rPr>
              <w:t>Sector</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tcPr>
          <w:p w:rsidR="00882C1D" w:rsidRPr="006201B6" w:rsidRDefault="00882C1D" w:rsidP="00882C1D">
            <w:pPr>
              <w:jc w:val="center"/>
              <w:rPr>
                <w:rFonts w:eastAsia="Times New Roman"/>
                <w:b/>
                <w:sz w:val="18"/>
                <w:szCs w:val="18"/>
                <w:lang w:eastAsia="en-US"/>
              </w:rPr>
            </w:pPr>
            <w:r w:rsidRPr="006201B6">
              <w:rPr>
                <w:rFonts w:eastAsia="Times New Roman"/>
                <w:b/>
                <w:sz w:val="18"/>
                <w:szCs w:val="18"/>
                <w:lang w:eastAsia="en-US"/>
              </w:rPr>
              <w:t>Status</w:t>
            </w:r>
          </w:p>
        </w:tc>
      </w:tr>
      <w:tr w:rsidR="00882C1D" w:rsidRPr="004F5CE3" w:rsidTr="00677F67">
        <w:trPr>
          <w:cantSplit/>
          <w:trHeight w:val="511"/>
          <w:tblHeader/>
        </w:trPr>
        <w:tc>
          <w:tcPr>
            <w:tcW w:w="7797" w:type="dxa"/>
            <w:tcBorders>
              <w:top w:val="nil"/>
              <w:left w:val="single" w:sz="4" w:space="0" w:color="auto"/>
              <w:bottom w:val="single" w:sz="4" w:space="0" w:color="auto"/>
              <w:right w:val="single" w:sz="4" w:space="0" w:color="auto"/>
            </w:tcBorders>
            <w:shd w:val="clear" w:color="auto" w:fill="auto"/>
          </w:tcPr>
          <w:p w:rsidR="00882C1D" w:rsidRDefault="00882C1D" w:rsidP="00882C1D">
            <w:pPr>
              <w:rPr>
                <w:rFonts w:eastAsia="Times New Roman"/>
                <w:sz w:val="18"/>
                <w:szCs w:val="18"/>
                <w:lang w:eastAsia="en-US"/>
              </w:rPr>
            </w:pPr>
            <w:r>
              <w:rPr>
                <w:rFonts w:eastAsia="Times New Roman"/>
                <w:sz w:val="18"/>
                <w:szCs w:val="18"/>
                <w:lang w:eastAsia="en-US"/>
              </w:rPr>
              <w:t>EVAL 2014 – 01 Strategic Goal VI: International Cooperation on Building Respect for Intellectual Property</w:t>
            </w:r>
          </w:p>
        </w:tc>
        <w:tc>
          <w:tcPr>
            <w:tcW w:w="1559" w:type="dxa"/>
            <w:tcBorders>
              <w:top w:val="nil"/>
              <w:left w:val="nil"/>
              <w:bottom w:val="single" w:sz="4" w:space="0" w:color="auto"/>
              <w:right w:val="single" w:sz="4" w:space="0" w:color="auto"/>
            </w:tcBorders>
            <w:shd w:val="clear" w:color="auto" w:fill="auto"/>
          </w:tcPr>
          <w:p w:rsidR="00882C1D" w:rsidRPr="004F5CE3" w:rsidRDefault="00882C1D" w:rsidP="00882C1D">
            <w:pPr>
              <w:rPr>
                <w:rFonts w:eastAsia="Times New Roman"/>
                <w:sz w:val="18"/>
                <w:szCs w:val="18"/>
                <w:lang w:eastAsia="en-US"/>
              </w:rPr>
            </w:pPr>
            <w:r>
              <w:rPr>
                <w:rFonts w:eastAsia="Times New Roman"/>
                <w:sz w:val="18"/>
                <w:szCs w:val="18"/>
                <w:lang w:eastAsia="en-US"/>
              </w:rPr>
              <w:t>Global Issues</w:t>
            </w:r>
          </w:p>
        </w:tc>
        <w:tc>
          <w:tcPr>
            <w:tcW w:w="992" w:type="dxa"/>
            <w:tcBorders>
              <w:top w:val="nil"/>
              <w:left w:val="nil"/>
              <w:bottom w:val="single" w:sz="4" w:space="0" w:color="auto"/>
              <w:right w:val="single" w:sz="4" w:space="0" w:color="auto"/>
            </w:tcBorders>
            <w:shd w:val="clear" w:color="000000" w:fill="92D050"/>
          </w:tcPr>
          <w:p w:rsidR="00882C1D" w:rsidRPr="004F5CE3" w:rsidRDefault="00882C1D" w:rsidP="00882C1D">
            <w:pPr>
              <w:jc w:val="center"/>
              <w:rPr>
                <w:rFonts w:eastAsia="Times New Roman"/>
                <w:sz w:val="18"/>
                <w:szCs w:val="18"/>
                <w:lang w:eastAsia="en-US"/>
              </w:rPr>
            </w:pPr>
          </w:p>
        </w:tc>
      </w:tr>
      <w:tr w:rsidR="00882C1D" w:rsidRPr="004F5CE3" w:rsidTr="00677F67">
        <w:trPr>
          <w:cantSplit/>
          <w:trHeight w:val="406"/>
          <w:tblHeader/>
        </w:trPr>
        <w:tc>
          <w:tcPr>
            <w:tcW w:w="7797" w:type="dxa"/>
            <w:tcBorders>
              <w:top w:val="nil"/>
              <w:left w:val="single" w:sz="4" w:space="0" w:color="auto"/>
              <w:bottom w:val="single" w:sz="4" w:space="0" w:color="auto"/>
              <w:right w:val="single" w:sz="4" w:space="0" w:color="auto"/>
            </w:tcBorders>
            <w:shd w:val="clear" w:color="auto" w:fill="auto"/>
          </w:tcPr>
          <w:p w:rsidR="00882C1D" w:rsidRDefault="00882C1D" w:rsidP="00882C1D">
            <w:pPr>
              <w:rPr>
                <w:rFonts w:eastAsia="Times New Roman"/>
                <w:sz w:val="18"/>
                <w:szCs w:val="18"/>
                <w:lang w:eastAsia="en-US"/>
              </w:rPr>
            </w:pPr>
            <w:r>
              <w:rPr>
                <w:rFonts w:eastAsia="Times New Roman"/>
                <w:sz w:val="18"/>
                <w:szCs w:val="18"/>
                <w:lang w:eastAsia="en-US"/>
              </w:rPr>
              <w:t>EVAL 2014 – 02 Knowledge Sharing in WIPO</w:t>
            </w:r>
          </w:p>
        </w:tc>
        <w:tc>
          <w:tcPr>
            <w:tcW w:w="1559" w:type="dxa"/>
            <w:tcBorders>
              <w:top w:val="nil"/>
              <w:left w:val="nil"/>
              <w:bottom w:val="single" w:sz="4" w:space="0" w:color="auto"/>
              <w:right w:val="single" w:sz="4" w:space="0" w:color="auto"/>
            </w:tcBorders>
            <w:shd w:val="clear" w:color="auto" w:fill="auto"/>
          </w:tcPr>
          <w:p w:rsidR="00882C1D" w:rsidRPr="004F5CE3" w:rsidRDefault="00882C1D" w:rsidP="00882C1D">
            <w:pPr>
              <w:rPr>
                <w:rFonts w:eastAsia="Times New Roman"/>
                <w:sz w:val="18"/>
                <w:szCs w:val="18"/>
                <w:lang w:eastAsia="en-US"/>
              </w:rPr>
            </w:pPr>
            <w:r>
              <w:rPr>
                <w:rFonts w:eastAsia="Times New Roman"/>
                <w:sz w:val="18"/>
                <w:szCs w:val="18"/>
                <w:lang w:eastAsia="en-US"/>
              </w:rPr>
              <w:t>All</w:t>
            </w:r>
          </w:p>
        </w:tc>
        <w:tc>
          <w:tcPr>
            <w:tcW w:w="992" w:type="dxa"/>
            <w:tcBorders>
              <w:top w:val="nil"/>
              <w:left w:val="nil"/>
              <w:bottom w:val="single" w:sz="4" w:space="0" w:color="auto"/>
              <w:right w:val="single" w:sz="4" w:space="0" w:color="auto"/>
            </w:tcBorders>
            <w:shd w:val="clear" w:color="000000" w:fill="92D050"/>
          </w:tcPr>
          <w:p w:rsidR="00882C1D" w:rsidRPr="004F5CE3" w:rsidRDefault="00882C1D" w:rsidP="00882C1D">
            <w:pPr>
              <w:jc w:val="center"/>
              <w:rPr>
                <w:rFonts w:eastAsia="Times New Roman"/>
                <w:sz w:val="18"/>
                <w:szCs w:val="18"/>
                <w:lang w:eastAsia="en-US"/>
              </w:rPr>
            </w:pPr>
          </w:p>
        </w:tc>
      </w:tr>
      <w:tr w:rsidR="00882C1D" w:rsidRPr="004F5CE3" w:rsidTr="00677F67">
        <w:trPr>
          <w:cantSplit/>
          <w:trHeight w:val="554"/>
          <w:tblHeader/>
        </w:trPr>
        <w:tc>
          <w:tcPr>
            <w:tcW w:w="7797" w:type="dxa"/>
            <w:tcBorders>
              <w:top w:val="nil"/>
              <w:left w:val="single" w:sz="4" w:space="0" w:color="auto"/>
              <w:bottom w:val="single" w:sz="4" w:space="0" w:color="auto"/>
              <w:right w:val="single" w:sz="4" w:space="0" w:color="auto"/>
            </w:tcBorders>
            <w:shd w:val="clear" w:color="auto" w:fill="auto"/>
          </w:tcPr>
          <w:p w:rsidR="00882C1D" w:rsidRDefault="00882C1D" w:rsidP="00882C1D">
            <w:pPr>
              <w:rPr>
                <w:rFonts w:eastAsia="Times New Roman"/>
                <w:sz w:val="18"/>
                <w:szCs w:val="18"/>
                <w:lang w:eastAsia="en-US"/>
              </w:rPr>
            </w:pPr>
            <w:r>
              <w:rPr>
                <w:rFonts w:eastAsia="Times New Roman"/>
                <w:sz w:val="18"/>
                <w:szCs w:val="18"/>
                <w:lang w:eastAsia="en-US"/>
              </w:rPr>
              <w:t xml:space="preserve">EVAL 2014 – 04 Evaluation of </w:t>
            </w:r>
            <w:r w:rsidRPr="00EC08C9">
              <w:rPr>
                <w:rFonts w:eastAsia="Times New Roman"/>
                <w:sz w:val="18"/>
                <w:szCs w:val="18"/>
                <w:lang w:eastAsia="en-US"/>
              </w:rPr>
              <w:t>Program 30:</w:t>
            </w:r>
            <w:r>
              <w:rPr>
                <w:rFonts w:eastAsia="Times New Roman"/>
                <w:sz w:val="18"/>
                <w:szCs w:val="18"/>
                <w:lang w:eastAsia="en-US"/>
              </w:rPr>
              <w:t xml:space="preserve"> </w:t>
            </w:r>
            <w:r w:rsidRPr="00EC08C9">
              <w:rPr>
                <w:rFonts w:eastAsia="Times New Roman"/>
                <w:sz w:val="18"/>
                <w:szCs w:val="18"/>
                <w:lang w:eastAsia="en-US"/>
              </w:rPr>
              <w:t>Small and Medium-sized Enterprises and Innovation</w:t>
            </w:r>
          </w:p>
        </w:tc>
        <w:tc>
          <w:tcPr>
            <w:tcW w:w="1559" w:type="dxa"/>
            <w:tcBorders>
              <w:top w:val="nil"/>
              <w:left w:val="nil"/>
              <w:bottom w:val="single" w:sz="4" w:space="0" w:color="auto"/>
              <w:right w:val="single" w:sz="4" w:space="0" w:color="auto"/>
            </w:tcBorders>
            <w:shd w:val="clear" w:color="auto" w:fill="auto"/>
          </w:tcPr>
          <w:p w:rsidR="00882C1D" w:rsidRDefault="00882C1D" w:rsidP="00882C1D">
            <w:pPr>
              <w:rPr>
                <w:rFonts w:eastAsia="Times New Roman"/>
                <w:sz w:val="18"/>
                <w:szCs w:val="18"/>
                <w:lang w:eastAsia="en-US"/>
              </w:rPr>
            </w:pPr>
            <w:r>
              <w:rPr>
                <w:rFonts w:eastAsia="Times New Roman"/>
                <w:sz w:val="18"/>
                <w:szCs w:val="18"/>
                <w:lang w:eastAsia="en-US"/>
              </w:rPr>
              <w:t>ODG</w:t>
            </w:r>
          </w:p>
        </w:tc>
        <w:tc>
          <w:tcPr>
            <w:tcW w:w="992" w:type="dxa"/>
            <w:tcBorders>
              <w:top w:val="single" w:sz="4" w:space="0" w:color="auto"/>
              <w:left w:val="nil"/>
              <w:bottom w:val="single" w:sz="4" w:space="0" w:color="auto"/>
              <w:right w:val="single" w:sz="4" w:space="0" w:color="auto"/>
            </w:tcBorders>
            <w:shd w:val="clear" w:color="000000" w:fill="FFFF00"/>
          </w:tcPr>
          <w:p w:rsidR="00882C1D" w:rsidRPr="004F5CE3" w:rsidRDefault="00882C1D" w:rsidP="00882C1D">
            <w:pPr>
              <w:jc w:val="center"/>
              <w:rPr>
                <w:rFonts w:eastAsia="Times New Roman"/>
                <w:sz w:val="18"/>
                <w:szCs w:val="18"/>
                <w:lang w:eastAsia="en-US"/>
              </w:rPr>
            </w:pPr>
          </w:p>
        </w:tc>
      </w:tr>
      <w:tr w:rsidR="00882C1D" w:rsidRPr="004F5CE3" w:rsidTr="00677F67">
        <w:trPr>
          <w:cantSplit/>
          <w:trHeight w:val="291"/>
          <w:tblHeader/>
        </w:trPr>
        <w:tc>
          <w:tcPr>
            <w:tcW w:w="7797" w:type="dxa"/>
            <w:tcBorders>
              <w:top w:val="nil"/>
              <w:left w:val="single" w:sz="4" w:space="0" w:color="auto"/>
              <w:bottom w:val="single" w:sz="4" w:space="0" w:color="auto"/>
              <w:right w:val="single" w:sz="4" w:space="0" w:color="auto"/>
            </w:tcBorders>
            <w:shd w:val="clear" w:color="auto" w:fill="auto"/>
          </w:tcPr>
          <w:p w:rsidR="00882C1D" w:rsidRDefault="00882C1D" w:rsidP="00882C1D">
            <w:pPr>
              <w:rPr>
                <w:rFonts w:eastAsia="Times New Roman"/>
                <w:sz w:val="18"/>
                <w:szCs w:val="18"/>
                <w:lang w:eastAsia="en-US"/>
              </w:rPr>
            </w:pPr>
            <w:r>
              <w:rPr>
                <w:rFonts w:eastAsia="Times New Roman"/>
                <w:sz w:val="18"/>
                <w:szCs w:val="18"/>
                <w:lang w:eastAsia="en-US"/>
              </w:rPr>
              <w:t xml:space="preserve">EVAL 2014 – 05 Chile Country Portfolio Evaluation </w:t>
            </w:r>
          </w:p>
        </w:tc>
        <w:tc>
          <w:tcPr>
            <w:tcW w:w="1559" w:type="dxa"/>
            <w:tcBorders>
              <w:top w:val="nil"/>
              <w:left w:val="nil"/>
              <w:bottom w:val="single" w:sz="4" w:space="0" w:color="auto"/>
              <w:right w:val="single" w:sz="4" w:space="0" w:color="auto"/>
            </w:tcBorders>
            <w:shd w:val="clear" w:color="auto" w:fill="auto"/>
          </w:tcPr>
          <w:p w:rsidR="00882C1D" w:rsidRPr="004F5CE3" w:rsidRDefault="00882C1D" w:rsidP="00882C1D">
            <w:pPr>
              <w:rPr>
                <w:rFonts w:eastAsia="Times New Roman"/>
                <w:sz w:val="18"/>
                <w:szCs w:val="18"/>
                <w:lang w:eastAsia="en-US"/>
              </w:rPr>
            </w:pPr>
            <w:r>
              <w:rPr>
                <w:rFonts w:eastAsia="Times New Roman"/>
                <w:sz w:val="18"/>
                <w:szCs w:val="18"/>
                <w:lang w:eastAsia="en-US"/>
              </w:rPr>
              <w:t>All</w:t>
            </w:r>
          </w:p>
        </w:tc>
        <w:tc>
          <w:tcPr>
            <w:tcW w:w="992" w:type="dxa"/>
            <w:tcBorders>
              <w:top w:val="nil"/>
              <w:left w:val="nil"/>
              <w:bottom w:val="single" w:sz="4" w:space="0" w:color="auto"/>
              <w:right w:val="single" w:sz="4" w:space="0" w:color="auto"/>
            </w:tcBorders>
            <w:shd w:val="clear" w:color="000000" w:fill="92D050"/>
          </w:tcPr>
          <w:p w:rsidR="00882C1D" w:rsidRPr="004F5CE3" w:rsidRDefault="00882C1D" w:rsidP="00882C1D">
            <w:pPr>
              <w:jc w:val="center"/>
              <w:rPr>
                <w:rFonts w:eastAsia="Times New Roman"/>
                <w:sz w:val="18"/>
                <w:szCs w:val="18"/>
                <w:lang w:eastAsia="en-US"/>
              </w:rPr>
            </w:pPr>
          </w:p>
        </w:tc>
      </w:tr>
      <w:tr w:rsidR="00882C1D" w:rsidRPr="004F5CE3" w:rsidTr="00677F67">
        <w:trPr>
          <w:cantSplit/>
          <w:trHeight w:val="267"/>
          <w:tblHeader/>
        </w:trPr>
        <w:tc>
          <w:tcPr>
            <w:tcW w:w="7797" w:type="dxa"/>
            <w:tcBorders>
              <w:top w:val="nil"/>
              <w:left w:val="single" w:sz="4" w:space="0" w:color="auto"/>
              <w:bottom w:val="single" w:sz="4" w:space="0" w:color="auto"/>
              <w:right w:val="single" w:sz="4" w:space="0" w:color="auto"/>
            </w:tcBorders>
            <w:shd w:val="clear" w:color="auto" w:fill="auto"/>
          </w:tcPr>
          <w:p w:rsidR="00882C1D" w:rsidRDefault="00882C1D" w:rsidP="00882C1D">
            <w:pPr>
              <w:rPr>
                <w:rFonts w:eastAsia="Times New Roman"/>
                <w:sz w:val="18"/>
                <w:szCs w:val="18"/>
                <w:lang w:eastAsia="en-US"/>
              </w:rPr>
            </w:pPr>
            <w:r>
              <w:rPr>
                <w:rFonts w:eastAsia="Times New Roman"/>
                <w:sz w:val="18"/>
                <w:szCs w:val="18"/>
                <w:lang w:eastAsia="en-US"/>
              </w:rPr>
              <w:t>EVAL 2014 – 06 Rewards and Recognition Pilot Program</w:t>
            </w:r>
          </w:p>
        </w:tc>
        <w:tc>
          <w:tcPr>
            <w:tcW w:w="1559" w:type="dxa"/>
            <w:tcBorders>
              <w:top w:val="nil"/>
              <w:left w:val="nil"/>
              <w:bottom w:val="single" w:sz="4" w:space="0" w:color="auto"/>
              <w:right w:val="single" w:sz="4" w:space="0" w:color="auto"/>
            </w:tcBorders>
            <w:shd w:val="clear" w:color="auto" w:fill="auto"/>
          </w:tcPr>
          <w:p w:rsidR="00882C1D" w:rsidRPr="004F5CE3" w:rsidRDefault="00882C1D" w:rsidP="00882C1D">
            <w:pPr>
              <w:rPr>
                <w:rFonts w:eastAsia="Times New Roman"/>
                <w:sz w:val="18"/>
                <w:szCs w:val="18"/>
                <w:lang w:eastAsia="en-US"/>
              </w:rPr>
            </w:pPr>
            <w:r>
              <w:rPr>
                <w:rFonts w:eastAsia="Times New Roman"/>
                <w:sz w:val="18"/>
                <w:szCs w:val="18"/>
                <w:lang w:eastAsia="en-US"/>
              </w:rPr>
              <w:t>HRMD</w:t>
            </w:r>
          </w:p>
        </w:tc>
        <w:tc>
          <w:tcPr>
            <w:tcW w:w="992" w:type="dxa"/>
            <w:tcBorders>
              <w:top w:val="nil"/>
              <w:left w:val="nil"/>
              <w:bottom w:val="single" w:sz="4" w:space="0" w:color="auto"/>
              <w:right w:val="single" w:sz="4" w:space="0" w:color="auto"/>
            </w:tcBorders>
            <w:shd w:val="clear" w:color="000000" w:fill="92D050"/>
          </w:tcPr>
          <w:p w:rsidR="00882C1D" w:rsidRPr="004F5CE3" w:rsidRDefault="00882C1D" w:rsidP="00882C1D">
            <w:pPr>
              <w:jc w:val="center"/>
              <w:rPr>
                <w:rFonts w:eastAsia="Times New Roman"/>
                <w:sz w:val="18"/>
                <w:szCs w:val="18"/>
                <w:lang w:eastAsia="en-US"/>
              </w:rPr>
            </w:pPr>
          </w:p>
        </w:tc>
      </w:tr>
      <w:tr w:rsidR="00882C1D" w:rsidRPr="004F5CE3" w:rsidTr="00677F67">
        <w:trPr>
          <w:cantSplit/>
          <w:trHeight w:val="272"/>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2014-01 - Abuse of work time</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509"/>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2014-02 - Statements, pronouncements and activities incompatible with the obligations of an international civil servant</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240"/>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2014-03 - Irregular HR practices</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268"/>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2014-04 - Unauthorized communication of information</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46"/>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2014-05 - Other fraudulent, corrupt or abusive practices</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295"/>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2014-06 - Harassment/Discrimination/Abuse of Authority</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292"/>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2014-07 - Unauthorized communication of information</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81"/>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2014-08 - Other fraudulent, corrupt or abusive practices</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FFFF0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588"/>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2014-09 - Statements, pronouncements and activities incompatible with the obligations of an international civil servant</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521"/>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2014-10 - Statements, pronouncements and activities incompatible with the obligations of an international civil servant</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86"/>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2014-11 - Misuse of ICT resources</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417"/>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2014-12 - Harassment/Discrimination/Abuse of Authority</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FFFF0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32"/>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2014-13 - Harassment/Discrimination/Abuse of Authority</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553"/>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2014-14 - Statements, pronouncements and activities incompatible with the obligations of an international civil servant</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42"/>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2014-15 - Harassment/Discrimination/Abuse of Authority</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FFFF0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09"/>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2014-16 - Abuse of work time</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42"/>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2014-17 - Wrongdoing by candidate during recruitment selection process</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22"/>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2014-18 - Harassment/Discrimination/Abuse of Authority</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FFFF0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65"/>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2014-19 - Harassment/Discrimination/Abuse of Authority</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56"/>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2014-20 - Other fraudulent, corrupt or abusive practices</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FFFF0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2014-21 - Unauthorized communication of information</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FFFF0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bookmarkEnd w:id="35"/>
      <w:bookmarkEnd w:id="36"/>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F73A5E" w:rsidRDefault="007D2421" w:rsidP="00882C1D">
            <w:pPr>
              <w:rPr>
                <w:rFonts w:eastAsia="Times New Roman"/>
                <w:color w:val="000000"/>
                <w:sz w:val="18"/>
                <w:szCs w:val="18"/>
                <w:lang w:eastAsia="en-US"/>
              </w:rPr>
            </w:pPr>
            <w:r w:rsidRPr="00F73A5E">
              <w:rPr>
                <w:rFonts w:eastAsia="Times New Roman"/>
                <w:color w:val="000000"/>
                <w:sz w:val="18"/>
                <w:szCs w:val="18"/>
                <w:lang w:eastAsia="en-US"/>
              </w:rPr>
              <w:t xml:space="preserve">VALID 2014-01 </w:t>
            </w:r>
            <w:r w:rsidR="00882C1D" w:rsidRPr="00F73A5E">
              <w:rPr>
                <w:rFonts w:eastAsia="Times New Roman"/>
                <w:color w:val="000000"/>
                <w:sz w:val="18"/>
                <w:szCs w:val="18"/>
                <w:lang w:eastAsia="en-US"/>
              </w:rPr>
              <w:t>Validation of the 2012-2013 Program performance Report (PPR)</w:t>
            </w:r>
          </w:p>
        </w:tc>
        <w:tc>
          <w:tcPr>
            <w:tcW w:w="1559" w:type="dxa"/>
            <w:tcBorders>
              <w:top w:val="nil"/>
              <w:left w:val="nil"/>
              <w:bottom w:val="single" w:sz="4" w:space="0" w:color="auto"/>
              <w:right w:val="single" w:sz="4" w:space="0" w:color="auto"/>
            </w:tcBorders>
            <w:shd w:val="clear" w:color="auto" w:fill="auto"/>
            <w:vAlign w:val="center"/>
          </w:tcPr>
          <w:p w:rsidR="00882C1D" w:rsidRPr="00F73A5E" w:rsidRDefault="00882C1D" w:rsidP="00882C1D">
            <w:pPr>
              <w:rPr>
                <w:rFonts w:eastAsia="Times New Roman"/>
                <w:color w:val="000000"/>
                <w:sz w:val="18"/>
                <w:szCs w:val="18"/>
                <w:lang w:eastAsia="en-US"/>
              </w:rPr>
            </w:pPr>
            <w:r w:rsidRPr="00F73A5E">
              <w:rPr>
                <w:rFonts w:eastAsia="Times New Roman"/>
                <w:color w:val="000000"/>
                <w:sz w:val="18"/>
                <w:szCs w:val="18"/>
                <w:lang w:eastAsia="en-US"/>
              </w:rPr>
              <w:t>WIPO all</w:t>
            </w:r>
          </w:p>
        </w:tc>
        <w:tc>
          <w:tcPr>
            <w:tcW w:w="992" w:type="dxa"/>
            <w:tcBorders>
              <w:top w:val="single" w:sz="4" w:space="0" w:color="auto"/>
              <w:left w:val="nil"/>
              <w:bottom w:val="single" w:sz="4" w:space="0" w:color="auto"/>
              <w:right w:val="single" w:sz="4" w:space="0" w:color="auto"/>
            </w:tcBorders>
            <w:shd w:val="clear" w:color="000000" w:fill="92D05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F73A5E" w:rsidRDefault="007D2421" w:rsidP="00882C1D">
            <w:pPr>
              <w:rPr>
                <w:rFonts w:eastAsia="Times New Roman"/>
                <w:color w:val="000000"/>
                <w:sz w:val="18"/>
                <w:szCs w:val="18"/>
                <w:lang w:eastAsia="en-US"/>
              </w:rPr>
            </w:pPr>
            <w:r w:rsidRPr="00F73A5E">
              <w:rPr>
                <w:rFonts w:eastAsia="Times New Roman"/>
                <w:color w:val="000000"/>
                <w:sz w:val="18"/>
                <w:szCs w:val="18"/>
                <w:lang w:eastAsia="en-US"/>
              </w:rPr>
              <w:t xml:space="preserve">IA 2014-01 </w:t>
            </w:r>
            <w:r w:rsidR="00882C1D" w:rsidRPr="00F73A5E">
              <w:rPr>
                <w:rFonts w:eastAsia="Times New Roman"/>
                <w:color w:val="000000"/>
                <w:sz w:val="18"/>
                <w:szCs w:val="18"/>
                <w:lang w:eastAsia="en-US"/>
              </w:rPr>
              <w:t>Staff benefits and entitlements</w:t>
            </w:r>
          </w:p>
        </w:tc>
        <w:tc>
          <w:tcPr>
            <w:tcW w:w="1559" w:type="dxa"/>
            <w:tcBorders>
              <w:top w:val="nil"/>
              <w:left w:val="nil"/>
              <w:bottom w:val="single" w:sz="4" w:space="0" w:color="auto"/>
              <w:right w:val="single" w:sz="4" w:space="0" w:color="auto"/>
            </w:tcBorders>
            <w:shd w:val="clear" w:color="auto" w:fill="auto"/>
            <w:vAlign w:val="center"/>
          </w:tcPr>
          <w:p w:rsidR="00882C1D" w:rsidRPr="00F73A5E" w:rsidRDefault="00882C1D" w:rsidP="00882C1D">
            <w:pPr>
              <w:rPr>
                <w:rFonts w:eastAsia="Times New Roman"/>
                <w:color w:val="000000"/>
                <w:sz w:val="18"/>
                <w:szCs w:val="18"/>
                <w:lang w:eastAsia="en-US"/>
              </w:rPr>
            </w:pPr>
            <w:r w:rsidRPr="00F73A5E">
              <w:rPr>
                <w:rFonts w:eastAsia="Times New Roman"/>
                <w:color w:val="000000"/>
                <w:sz w:val="18"/>
                <w:szCs w:val="18"/>
                <w:lang w:eastAsia="en-US"/>
              </w:rPr>
              <w:t>HRMD</w:t>
            </w:r>
          </w:p>
        </w:tc>
        <w:tc>
          <w:tcPr>
            <w:tcW w:w="992" w:type="dxa"/>
            <w:tcBorders>
              <w:top w:val="single" w:sz="4" w:space="0" w:color="auto"/>
              <w:left w:val="nil"/>
              <w:bottom w:val="single" w:sz="4" w:space="0" w:color="auto"/>
              <w:right w:val="single" w:sz="4" w:space="0" w:color="auto"/>
            </w:tcBorders>
            <w:shd w:val="clear" w:color="000000" w:fill="92D05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F73A5E" w:rsidRDefault="007D2421" w:rsidP="00882C1D">
            <w:pPr>
              <w:rPr>
                <w:rFonts w:eastAsia="Times New Roman"/>
                <w:color w:val="000000"/>
                <w:sz w:val="18"/>
                <w:szCs w:val="18"/>
                <w:lang w:eastAsia="en-US"/>
              </w:rPr>
            </w:pPr>
            <w:r w:rsidRPr="00F73A5E">
              <w:rPr>
                <w:rFonts w:eastAsia="Times New Roman"/>
                <w:color w:val="000000"/>
                <w:sz w:val="18"/>
                <w:szCs w:val="18"/>
                <w:lang w:eastAsia="en-US"/>
              </w:rPr>
              <w:t xml:space="preserve">IA 2014-02 </w:t>
            </w:r>
            <w:r w:rsidR="00882C1D" w:rsidRPr="00F73A5E">
              <w:rPr>
                <w:rFonts w:eastAsia="Times New Roman"/>
                <w:color w:val="000000"/>
                <w:sz w:val="18"/>
                <w:szCs w:val="18"/>
                <w:lang w:eastAsia="en-US"/>
              </w:rPr>
              <w:t>Events Management</w:t>
            </w:r>
          </w:p>
        </w:tc>
        <w:tc>
          <w:tcPr>
            <w:tcW w:w="1559" w:type="dxa"/>
            <w:tcBorders>
              <w:top w:val="nil"/>
              <w:left w:val="nil"/>
              <w:bottom w:val="single" w:sz="4" w:space="0" w:color="auto"/>
              <w:right w:val="single" w:sz="4" w:space="0" w:color="auto"/>
            </w:tcBorders>
            <w:shd w:val="clear" w:color="auto" w:fill="auto"/>
            <w:vAlign w:val="center"/>
          </w:tcPr>
          <w:p w:rsidR="00882C1D" w:rsidRPr="00F73A5E" w:rsidRDefault="00882C1D" w:rsidP="00882C1D">
            <w:pPr>
              <w:rPr>
                <w:rFonts w:eastAsia="Times New Roman"/>
                <w:color w:val="000000"/>
                <w:sz w:val="18"/>
                <w:szCs w:val="18"/>
                <w:lang w:eastAsia="en-US"/>
              </w:rPr>
            </w:pPr>
            <w:r w:rsidRPr="00F73A5E">
              <w:rPr>
                <w:rFonts w:eastAsia="Times New Roman"/>
                <w:color w:val="000000"/>
                <w:sz w:val="18"/>
                <w:szCs w:val="18"/>
                <w:lang w:eastAsia="en-US"/>
              </w:rPr>
              <w:t>WIPO all</w:t>
            </w:r>
          </w:p>
        </w:tc>
        <w:tc>
          <w:tcPr>
            <w:tcW w:w="992" w:type="dxa"/>
            <w:tcBorders>
              <w:top w:val="single" w:sz="4" w:space="0" w:color="auto"/>
              <w:left w:val="nil"/>
              <w:bottom w:val="single" w:sz="4" w:space="0" w:color="auto"/>
              <w:right w:val="single" w:sz="4" w:space="0" w:color="auto"/>
            </w:tcBorders>
            <w:shd w:val="clear" w:color="000000" w:fill="92D05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F73A5E" w:rsidRDefault="007D2421" w:rsidP="00882C1D">
            <w:pPr>
              <w:rPr>
                <w:rFonts w:eastAsia="Times New Roman"/>
                <w:color w:val="000000"/>
                <w:sz w:val="18"/>
                <w:szCs w:val="18"/>
                <w:lang w:eastAsia="en-US"/>
              </w:rPr>
            </w:pPr>
            <w:r w:rsidRPr="00F73A5E">
              <w:rPr>
                <w:rFonts w:eastAsia="Times New Roman"/>
                <w:color w:val="000000"/>
                <w:sz w:val="18"/>
                <w:szCs w:val="18"/>
                <w:lang w:eastAsia="en-US"/>
              </w:rPr>
              <w:t xml:space="preserve">IA 2014-03 </w:t>
            </w:r>
            <w:r w:rsidR="00882C1D" w:rsidRPr="00F73A5E">
              <w:rPr>
                <w:rFonts w:eastAsia="Times New Roman"/>
                <w:color w:val="000000"/>
                <w:sz w:val="18"/>
                <w:szCs w:val="18"/>
                <w:lang w:eastAsia="en-US"/>
              </w:rPr>
              <w:t>External Assessment of IAOD’s internal audit function</w:t>
            </w:r>
            <w:r w:rsidR="00882C1D" w:rsidRPr="00F73A5E">
              <w:rPr>
                <w:rStyle w:val="FootnoteReference"/>
                <w:rFonts w:eastAsia="Times New Roman"/>
                <w:color w:val="000000"/>
                <w:sz w:val="18"/>
                <w:szCs w:val="18"/>
                <w:lang w:eastAsia="en-US"/>
              </w:rPr>
              <w:footnoteReference w:id="17"/>
            </w:r>
          </w:p>
        </w:tc>
        <w:tc>
          <w:tcPr>
            <w:tcW w:w="1559" w:type="dxa"/>
            <w:tcBorders>
              <w:top w:val="nil"/>
              <w:left w:val="nil"/>
              <w:bottom w:val="single" w:sz="4" w:space="0" w:color="auto"/>
              <w:right w:val="single" w:sz="4" w:space="0" w:color="auto"/>
            </w:tcBorders>
            <w:shd w:val="clear" w:color="auto" w:fill="auto"/>
            <w:vAlign w:val="center"/>
          </w:tcPr>
          <w:p w:rsidR="00882C1D" w:rsidRPr="00F73A5E" w:rsidRDefault="00882C1D" w:rsidP="00882C1D">
            <w:pPr>
              <w:rPr>
                <w:rFonts w:eastAsia="Times New Roman"/>
                <w:color w:val="000000"/>
                <w:sz w:val="18"/>
                <w:szCs w:val="18"/>
                <w:lang w:eastAsia="en-US"/>
              </w:rPr>
            </w:pPr>
            <w:r w:rsidRPr="00F73A5E">
              <w:rPr>
                <w:rFonts w:eastAsia="Times New Roman"/>
                <w:color w:val="000000"/>
                <w:sz w:val="18"/>
                <w:szCs w:val="18"/>
                <w:lang w:eastAsia="en-US"/>
              </w:rPr>
              <w:t>IOD</w:t>
            </w:r>
          </w:p>
        </w:tc>
        <w:tc>
          <w:tcPr>
            <w:tcW w:w="992" w:type="dxa"/>
            <w:tcBorders>
              <w:top w:val="single" w:sz="4" w:space="0" w:color="auto"/>
              <w:left w:val="nil"/>
              <w:bottom w:val="single" w:sz="4" w:space="0" w:color="auto"/>
              <w:right w:val="single" w:sz="4" w:space="0" w:color="auto"/>
            </w:tcBorders>
            <w:shd w:val="clear" w:color="000000" w:fill="92D05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F73A5E" w:rsidRDefault="007D2421" w:rsidP="00882C1D">
            <w:pPr>
              <w:rPr>
                <w:rFonts w:eastAsia="Times New Roman"/>
                <w:color w:val="000000"/>
                <w:sz w:val="18"/>
                <w:szCs w:val="18"/>
                <w:lang w:eastAsia="en-US"/>
              </w:rPr>
            </w:pPr>
            <w:r w:rsidRPr="00F73A5E">
              <w:rPr>
                <w:rFonts w:eastAsia="Times New Roman"/>
                <w:color w:val="000000"/>
                <w:sz w:val="18"/>
                <w:szCs w:val="18"/>
                <w:lang w:eastAsia="en-US"/>
              </w:rPr>
              <w:t xml:space="preserve">IA 2014-05 </w:t>
            </w:r>
            <w:r w:rsidR="00882C1D" w:rsidRPr="00F73A5E">
              <w:rPr>
                <w:rFonts w:eastAsia="Times New Roman"/>
                <w:color w:val="000000"/>
                <w:sz w:val="18"/>
                <w:szCs w:val="18"/>
                <w:lang w:eastAsia="en-US"/>
              </w:rPr>
              <w:t>Assets Management</w:t>
            </w:r>
          </w:p>
        </w:tc>
        <w:tc>
          <w:tcPr>
            <w:tcW w:w="1559" w:type="dxa"/>
            <w:tcBorders>
              <w:top w:val="nil"/>
              <w:left w:val="nil"/>
              <w:bottom w:val="single" w:sz="4" w:space="0" w:color="auto"/>
              <w:right w:val="single" w:sz="4" w:space="0" w:color="auto"/>
            </w:tcBorders>
            <w:shd w:val="clear" w:color="auto" w:fill="auto"/>
            <w:vAlign w:val="center"/>
          </w:tcPr>
          <w:p w:rsidR="00882C1D" w:rsidRPr="00F73A5E" w:rsidRDefault="00882C1D" w:rsidP="00882C1D">
            <w:pPr>
              <w:rPr>
                <w:rFonts w:eastAsia="Times New Roman"/>
                <w:color w:val="000000"/>
                <w:sz w:val="18"/>
                <w:szCs w:val="18"/>
                <w:lang w:eastAsia="en-US"/>
              </w:rPr>
            </w:pPr>
            <w:r w:rsidRPr="00F73A5E">
              <w:rPr>
                <w:rFonts w:eastAsia="Times New Roman"/>
                <w:color w:val="000000"/>
                <w:sz w:val="18"/>
                <w:szCs w:val="18"/>
                <w:lang w:eastAsia="en-US"/>
              </w:rPr>
              <w:t>WIPO all</w:t>
            </w:r>
          </w:p>
        </w:tc>
        <w:tc>
          <w:tcPr>
            <w:tcW w:w="992" w:type="dxa"/>
            <w:tcBorders>
              <w:top w:val="single" w:sz="4" w:space="0" w:color="auto"/>
              <w:left w:val="nil"/>
              <w:bottom w:val="single" w:sz="4" w:space="0" w:color="auto"/>
              <w:right w:val="single" w:sz="4" w:space="0" w:color="auto"/>
            </w:tcBorders>
            <w:shd w:val="clear" w:color="000000" w:fill="92D050"/>
            <w:vAlign w:val="center"/>
          </w:tcPr>
          <w:p w:rsidR="00882C1D" w:rsidRPr="005242EE" w:rsidRDefault="00882C1D" w:rsidP="00882C1D">
            <w:pPr>
              <w:jc w:val="center"/>
              <w:rPr>
                <w:rFonts w:eastAsia="Times New Roman"/>
                <w:color w:val="000000"/>
                <w:sz w:val="18"/>
                <w:szCs w:val="18"/>
                <w:lang w:eastAsia="en-US"/>
              </w:rPr>
            </w:pPr>
          </w:p>
        </w:tc>
      </w:tr>
    </w:tbl>
    <w:p w:rsidR="00677F67" w:rsidRDefault="00677F67">
      <w:pPr>
        <w:sectPr w:rsidR="00677F67" w:rsidSect="001E2D32">
          <w:headerReference w:type="default" r:id="rId22"/>
          <w:footnotePr>
            <w:numRestart w:val="eachSect"/>
          </w:footnotePr>
          <w:endnotePr>
            <w:numFmt w:val="decimal"/>
          </w:endnotePr>
          <w:pgSz w:w="11907" w:h="16840" w:code="9"/>
          <w:pgMar w:top="567" w:right="1134" w:bottom="1418" w:left="1418" w:header="510" w:footer="1021" w:gutter="0"/>
          <w:cols w:space="720"/>
          <w:docGrid w:linePitch="299"/>
        </w:sectPr>
      </w:pPr>
    </w:p>
    <w:p w:rsidR="00677F67" w:rsidRDefault="00677F67"/>
    <w:tbl>
      <w:tblPr>
        <w:tblW w:w="10348" w:type="dxa"/>
        <w:tblInd w:w="-601" w:type="dxa"/>
        <w:tblLayout w:type="fixed"/>
        <w:tblLook w:val="04A0" w:firstRow="1" w:lastRow="0" w:firstColumn="1" w:lastColumn="0" w:noHBand="0" w:noVBand="1"/>
      </w:tblPr>
      <w:tblGrid>
        <w:gridCol w:w="7797"/>
        <w:gridCol w:w="1559"/>
        <w:gridCol w:w="992"/>
      </w:tblGrid>
      <w:tr w:rsidR="00677F67" w:rsidRPr="006201B6" w:rsidTr="001118B4">
        <w:trPr>
          <w:cantSplit/>
          <w:trHeight w:val="240"/>
          <w:tblHeader/>
        </w:trPr>
        <w:tc>
          <w:tcPr>
            <w:tcW w:w="77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77F67" w:rsidRPr="006201B6" w:rsidRDefault="00677F67" w:rsidP="001118B4">
            <w:pPr>
              <w:jc w:val="center"/>
              <w:rPr>
                <w:rFonts w:eastAsia="Times New Roman"/>
                <w:b/>
                <w:sz w:val="18"/>
                <w:szCs w:val="18"/>
                <w:lang w:eastAsia="en-US"/>
              </w:rPr>
            </w:pPr>
            <w:r w:rsidRPr="006201B6">
              <w:rPr>
                <w:rFonts w:eastAsia="Times New Roman"/>
                <w:b/>
                <w:sz w:val="18"/>
                <w:szCs w:val="18"/>
                <w:lang w:eastAsia="en-US"/>
              </w:rPr>
              <w:t>Plan</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tcPr>
          <w:p w:rsidR="00677F67" w:rsidRPr="006201B6" w:rsidRDefault="00677F67" w:rsidP="001118B4">
            <w:pPr>
              <w:jc w:val="center"/>
              <w:rPr>
                <w:rFonts w:eastAsia="Times New Roman"/>
                <w:b/>
                <w:sz w:val="18"/>
                <w:szCs w:val="18"/>
                <w:lang w:eastAsia="en-US"/>
              </w:rPr>
            </w:pPr>
            <w:r w:rsidRPr="006201B6">
              <w:rPr>
                <w:rFonts w:eastAsia="Times New Roman"/>
                <w:b/>
                <w:sz w:val="18"/>
                <w:szCs w:val="18"/>
                <w:lang w:eastAsia="en-US"/>
              </w:rPr>
              <w:t>Sector</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tcPr>
          <w:p w:rsidR="00677F67" w:rsidRPr="006201B6" w:rsidRDefault="00677F67" w:rsidP="001118B4">
            <w:pPr>
              <w:jc w:val="center"/>
              <w:rPr>
                <w:rFonts w:eastAsia="Times New Roman"/>
                <w:b/>
                <w:sz w:val="18"/>
                <w:szCs w:val="18"/>
                <w:lang w:eastAsia="en-US"/>
              </w:rPr>
            </w:pPr>
            <w:r w:rsidRPr="006201B6">
              <w:rPr>
                <w:rFonts w:eastAsia="Times New Roman"/>
                <w:b/>
                <w:sz w:val="18"/>
                <w:szCs w:val="18"/>
                <w:lang w:eastAsia="en-US"/>
              </w:rPr>
              <w:t>Status</w:t>
            </w:r>
          </w:p>
        </w:tc>
      </w:tr>
      <w:tr w:rsidR="00677F67" w:rsidRPr="004F5CE3" w:rsidTr="001118B4">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677F67" w:rsidRPr="00F73A5E" w:rsidRDefault="00677F67" w:rsidP="001118B4">
            <w:pPr>
              <w:rPr>
                <w:rFonts w:eastAsia="Times New Roman"/>
                <w:color w:val="000000"/>
                <w:sz w:val="18"/>
                <w:szCs w:val="18"/>
                <w:lang w:eastAsia="en-US"/>
              </w:rPr>
            </w:pPr>
            <w:r>
              <w:rPr>
                <w:rFonts w:eastAsia="Times New Roman"/>
                <w:color w:val="000000"/>
                <w:sz w:val="18"/>
                <w:szCs w:val="18"/>
                <w:lang w:eastAsia="en-US"/>
              </w:rPr>
              <w:t xml:space="preserve">IA 2014-07 </w:t>
            </w:r>
            <w:r w:rsidRPr="00F73A5E">
              <w:rPr>
                <w:rFonts w:eastAsia="Times New Roman"/>
                <w:color w:val="000000"/>
                <w:sz w:val="18"/>
                <w:szCs w:val="18"/>
                <w:lang w:eastAsia="en-US"/>
              </w:rPr>
              <w:t>Third Party Risk</w:t>
            </w:r>
          </w:p>
        </w:tc>
        <w:tc>
          <w:tcPr>
            <w:tcW w:w="1559" w:type="dxa"/>
            <w:tcBorders>
              <w:top w:val="nil"/>
              <w:left w:val="nil"/>
              <w:bottom w:val="single" w:sz="4" w:space="0" w:color="auto"/>
              <w:right w:val="single" w:sz="4" w:space="0" w:color="auto"/>
            </w:tcBorders>
            <w:shd w:val="clear" w:color="auto" w:fill="auto"/>
            <w:vAlign w:val="center"/>
          </w:tcPr>
          <w:p w:rsidR="00677F67" w:rsidRPr="00F73A5E" w:rsidRDefault="00677F67" w:rsidP="001118B4">
            <w:pPr>
              <w:rPr>
                <w:rFonts w:eastAsia="Times New Roman"/>
                <w:color w:val="000000"/>
                <w:sz w:val="18"/>
                <w:szCs w:val="18"/>
                <w:lang w:eastAsia="en-US"/>
              </w:rPr>
            </w:pPr>
            <w:r w:rsidRPr="00F73A5E">
              <w:rPr>
                <w:rFonts w:eastAsia="Times New Roman"/>
                <w:color w:val="000000"/>
                <w:sz w:val="18"/>
                <w:szCs w:val="18"/>
                <w:lang w:eastAsia="en-US"/>
              </w:rPr>
              <w:t>Cross-cutting</w:t>
            </w:r>
          </w:p>
        </w:tc>
        <w:tc>
          <w:tcPr>
            <w:tcW w:w="992" w:type="dxa"/>
            <w:tcBorders>
              <w:top w:val="single" w:sz="4" w:space="0" w:color="auto"/>
              <w:left w:val="nil"/>
              <w:bottom w:val="single" w:sz="4" w:space="0" w:color="auto"/>
              <w:right w:val="single" w:sz="4" w:space="0" w:color="auto"/>
            </w:tcBorders>
            <w:shd w:val="clear" w:color="000000" w:fill="92D050"/>
            <w:vAlign w:val="center"/>
          </w:tcPr>
          <w:p w:rsidR="00677F67" w:rsidRPr="005242EE" w:rsidRDefault="00677F67" w:rsidP="001118B4">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F73A5E" w:rsidRDefault="007D2421" w:rsidP="00882C1D">
            <w:pPr>
              <w:rPr>
                <w:rFonts w:eastAsia="Times New Roman"/>
                <w:color w:val="000000"/>
                <w:sz w:val="18"/>
                <w:szCs w:val="18"/>
                <w:lang w:eastAsia="en-US"/>
              </w:rPr>
            </w:pPr>
            <w:r w:rsidRPr="00F73A5E">
              <w:rPr>
                <w:rFonts w:eastAsia="Times New Roman"/>
                <w:color w:val="000000"/>
                <w:sz w:val="18"/>
                <w:szCs w:val="18"/>
                <w:lang w:eastAsia="en-US"/>
              </w:rPr>
              <w:t>IA 2013-01</w:t>
            </w:r>
            <w:r>
              <w:rPr>
                <w:rFonts w:eastAsia="Times New Roman"/>
                <w:color w:val="000000"/>
                <w:sz w:val="18"/>
                <w:szCs w:val="18"/>
                <w:lang w:eastAsia="en-US"/>
              </w:rPr>
              <w:t xml:space="preserve"> </w:t>
            </w:r>
            <w:r w:rsidR="00882C1D" w:rsidRPr="00F73A5E">
              <w:rPr>
                <w:rFonts w:eastAsia="Times New Roman"/>
                <w:color w:val="000000"/>
                <w:sz w:val="18"/>
                <w:szCs w:val="18"/>
                <w:lang w:eastAsia="en-US"/>
              </w:rPr>
              <w:t>Information Security</w:t>
            </w:r>
          </w:p>
        </w:tc>
        <w:tc>
          <w:tcPr>
            <w:tcW w:w="1559" w:type="dxa"/>
            <w:tcBorders>
              <w:top w:val="nil"/>
              <w:left w:val="nil"/>
              <w:bottom w:val="single" w:sz="4" w:space="0" w:color="auto"/>
              <w:right w:val="single" w:sz="4" w:space="0" w:color="auto"/>
            </w:tcBorders>
            <w:shd w:val="clear" w:color="auto" w:fill="auto"/>
            <w:vAlign w:val="center"/>
          </w:tcPr>
          <w:p w:rsidR="00882C1D" w:rsidRPr="00F73A5E" w:rsidRDefault="00882C1D" w:rsidP="00882C1D">
            <w:pPr>
              <w:rPr>
                <w:rFonts w:eastAsia="Times New Roman"/>
                <w:color w:val="000000"/>
                <w:sz w:val="18"/>
                <w:szCs w:val="18"/>
                <w:lang w:eastAsia="en-US"/>
              </w:rPr>
            </w:pPr>
            <w:r w:rsidRPr="00F73A5E">
              <w:rPr>
                <w:rFonts w:eastAsia="Times New Roman"/>
                <w:color w:val="000000"/>
                <w:sz w:val="18"/>
                <w:szCs w:val="18"/>
                <w:lang w:eastAsia="en-US"/>
              </w:rPr>
              <w:t>Administration and Management</w:t>
            </w:r>
          </w:p>
        </w:tc>
        <w:tc>
          <w:tcPr>
            <w:tcW w:w="992" w:type="dxa"/>
            <w:tcBorders>
              <w:top w:val="single" w:sz="4" w:space="0" w:color="auto"/>
              <w:left w:val="nil"/>
              <w:bottom w:val="single" w:sz="4" w:space="0" w:color="auto"/>
              <w:right w:val="single" w:sz="4" w:space="0" w:color="auto"/>
            </w:tcBorders>
            <w:shd w:val="clear" w:color="000000" w:fill="92D05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F73A5E" w:rsidRDefault="007D2421" w:rsidP="00882C1D">
            <w:pPr>
              <w:rPr>
                <w:rFonts w:eastAsia="Times New Roman"/>
                <w:color w:val="000000"/>
                <w:sz w:val="18"/>
                <w:szCs w:val="18"/>
                <w:lang w:eastAsia="en-US"/>
              </w:rPr>
            </w:pPr>
            <w:r w:rsidRPr="00F73A5E">
              <w:rPr>
                <w:rFonts w:eastAsia="Times New Roman"/>
                <w:color w:val="000000"/>
                <w:sz w:val="18"/>
                <w:szCs w:val="18"/>
                <w:lang w:eastAsia="en-US"/>
              </w:rPr>
              <w:t xml:space="preserve">IA 2013-03 </w:t>
            </w:r>
            <w:r w:rsidR="00882C1D" w:rsidRPr="00F73A5E">
              <w:rPr>
                <w:rFonts w:eastAsia="Times New Roman"/>
                <w:color w:val="000000"/>
                <w:sz w:val="18"/>
                <w:szCs w:val="18"/>
                <w:lang w:eastAsia="en-US"/>
              </w:rPr>
              <w:t>Review of Management of Staff Separation from Service</w:t>
            </w:r>
          </w:p>
        </w:tc>
        <w:tc>
          <w:tcPr>
            <w:tcW w:w="1559" w:type="dxa"/>
            <w:tcBorders>
              <w:top w:val="nil"/>
              <w:left w:val="nil"/>
              <w:bottom w:val="single" w:sz="4" w:space="0" w:color="auto"/>
              <w:right w:val="single" w:sz="4" w:space="0" w:color="auto"/>
            </w:tcBorders>
            <w:shd w:val="clear" w:color="auto" w:fill="auto"/>
            <w:vAlign w:val="center"/>
          </w:tcPr>
          <w:p w:rsidR="00882C1D" w:rsidRPr="00F73A5E" w:rsidRDefault="00882C1D" w:rsidP="00882C1D">
            <w:pPr>
              <w:rPr>
                <w:rFonts w:eastAsia="Times New Roman"/>
                <w:color w:val="000000"/>
                <w:sz w:val="18"/>
                <w:szCs w:val="18"/>
                <w:lang w:eastAsia="en-US"/>
              </w:rPr>
            </w:pPr>
            <w:r w:rsidRPr="00F73A5E">
              <w:rPr>
                <w:rFonts w:eastAsia="Times New Roman"/>
                <w:color w:val="000000"/>
                <w:sz w:val="18"/>
                <w:szCs w:val="18"/>
                <w:lang w:eastAsia="en-US"/>
              </w:rPr>
              <w:t>Human Resources</w:t>
            </w:r>
          </w:p>
        </w:tc>
        <w:tc>
          <w:tcPr>
            <w:tcW w:w="992" w:type="dxa"/>
            <w:tcBorders>
              <w:top w:val="single" w:sz="4" w:space="0" w:color="auto"/>
              <w:left w:val="nil"/>
              <w:bottom w:val="single" w:sz="4" w:space="0" w:color="auto"/>
              <w:right w:val="single" w:sz="4" w:space="0" w:color="auto"/>
            </w:tcBorders>
            <w:shd w:val="clear" w:color="000000" w:fill="92D05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7D2421" w:rsidRDefault="007D2421" w:rsidP="00882C1D">
            <w:pPr>
              <w:rPr>
                <w:rFonts w:eastAsia="Times New Roman"/>
                <w:color w:val="000000"/>
                <w:sz w:val="18"/>
                <w:szCs w:val="18"/>
                <w:lang w:eastAsia="en-US"/>
              </w:rPr>
            </w:pPr>
            <w:r w:rsidRPr="007D2421">
              <w:rPr>
                <w:rFonts w:eastAsia="Times New Roman"/>
                <w:color w:val="000000"/>
                <w:sz w:val="18"/>
                <w:szCs w:val="18"/>
                <w:lang w:eastAsia="en-US"/>
              </w:rPr>
              <w:t xml:space="preserve">IA 2013-05 </w:t>
            </w:r>
            <w:r w:rsidR="00882C1D" w:rsidRPr="007D2421">
              <w:rPr>
                <w:rFonts w:eastAsia="Times New Roman"/>
                <w:color w:val="000000"/>
                <w:sz w:val="18"/>
                <w:szCs w:val="18"/>
                <w:lang w:eastAsia="en-US"/>
              </w:rPr>
              <w:t>Review of an SRP initiative: Strengthen</w:t>
            </w:r>
            <w:r w:rsidR="00882C1D" w:rsidRPr="007D2421">
              <w:rPr>
                <w:rFonts w:eastAsia="Times New Roman"/>
                <w:color w:val="000000"/>
                <w:sz w:val="18"/>
                <w:szCs w:val="18"/>
                <w:lang w:eastAsia="en-US"/>
              </w:rPr>
              <w:br w:type="page"/>
            </w:r>
            <w:r w:rsidR="00A36E63" w:rsidRPr="007D2421">
              <w:rPr>
                <w:rFonts w:eastAsia="Times New Roman"/>
                <w:color w:val="000000"/>
                <w:sz w:val="18"/>
                <w:szCs w:val="18"/>
                <w:lang w:eastAsia="en-US"/>
              </w:rPr>
              <w:t xml:space="preserve"> </w:t>
            </w:r>
            <w:r w:rsidR="00882C1D" w:rsidRPr="007D2421">
              <w:rPr>
                <w:rFonts w:eastAsia="Times New Roman"/>
                <w:color w:val="000000"/>
                <w:sz w:val="18"/>
                <w:szCs w:val="18"/>
                <w:lang w:eastAsia="en-US"/>
              </w:rPr>
              <w:t>Results-Based Management</w:t>
            </w:r>
          </w:p>
        </w:tc>
        <w:tc>
          <w:tcPr>
            <w:tcW w:w="1559" w:type="dxa"/>
            <w:tcBorders>
              <w:top w:val="nil"/>
              <w:left w:val="nil"/>
              <w:bottom w:val="single" w:sz="4" w:space="0" w:color="auto"/>
              <w:right w:val="single" w:sz="4" w:space="0" w:color="auto"/>
            </w:tcBorders>
            <w:shd w:val="clear" w:color="auto" w:fill="auto"/>
            <w:vAlign w:val="center"/>
          </w:tcPr>
          <w:p w:rsidR="00882C1D" w:rsidRPr="007D2421" w:rsidRDefault="00882C1D" w:rsidP="00882C1D">
            <w:pPr>
              <w:rPr>
                <w:rFonts w:eastAsia="Times New Roman"/>
                <w:color w:val="000000"/>
                <w:sz w:val="18"/>
                <w:szCs w:val="18"/>
                <w:lang w:eastAsia="en-US"/>
              </w:rPr>
            </w:pPr>
            <w:r w:rsidRPr="007D2421">
              <w:rPr>
                <w:rFonts w:eastAsia="Times New Roman"/>
                <w:color w:val="000000"/>
                <w:sz w:val="18"/>
                <w:szCs w:val="18"/>
                <w:lang w:eastAsia="en-US"/>
              </w:rPr>
              <w:t>Cross-cutting</w:t>
            </w:r>
          </w:p>
        </w:tc>
        <w:tc>
          <w:tcPr>
            <w:tcW w:w="992" w:type="dxa"/>
            <w:tcBorders>
              <w:top w:val="single" w:sz="4" w:space="0" w:color="auto"/>
              <w:left w:val="nil"/>
              <w:bottom w:val="single" w:sz="4" w:space="0" w:color="auto"/>
              <w:right w:val="single" w:sz="4" w:space="0" w:color="auto"/>
            </w:tcBorders>
            <w:shd w:val="clear" w:color="000000" w:fill="92D05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Advisory and consulting engagements</w:t>
            </w:r>
          </w:p>
        </w:tc>
        <w:tc>
          <w:tcPr>
            <w:tcW w:w="1559" w:type="dxa"/>
            <w:tcBorders>
              <w:top w:val="nil"/>
              <w:left w:val="nil"/>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Cross-cutting</w:t>
            </w:r>
          </w:p>
        </w:tc>
        <w:tc>
          <w:tcPr>
            <w:tcW w:w="992" w:type="dxa"/>
            <w:tcBorders>
              <w:top w:val="nil"/>
              <w:left w:val="nil"/>
              <w:bottom w:val="single" w:sz="4" w:space="0" w:color="auto"/>
              <w:right w:val="single" w:sz="4" w:space="0" w:color="auto"/>
            </w:tcBorders>
            <w:shd w:val="clear" w:color="000000" w:fill="FFFF0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Networking with Other Agencies</w:t>
            </w:r>
          </w:p>
        </w:tc>
        <w:tc>
          <w:tcPr>
            <w:tcW w:w="1559" w:type="dxa"/>
            <w:tcBorders>
              <w:top w:val="nil"/>
              <w:left w:val="nil"/>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IOD</w:t>
            </w:r>
          </w:p>
        </w:tc>
        <w:tc>
          <w:tcPr>
            <w:tcW w:w="992" w:type="dxa"/>
            <w:tcBorders>
              <w:top w:val="nil"/>
              <w:left w:val="nil"/>
              <w:bottom w:val="single" w:sz="4" w:space="0" w:color="auto"/>
              <w:right w:val="single" w:sz="4" w:space="0" w:color="auto"/>
            </w:tcBorders>
            <w:shd w:val="clear" w:color="000000" w:fill="FFFF0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Independent Advisory Oversight Committee</w:t>
            </w:r>
          </w:p>
        </w:tc>
        <w:tc>
          <w:tcPr>
            <w:tcW w:w="1559" w:type="dxa"/>
            <w:tcBorders>
              <w:top w:val="nil"/>
              <w:left w:val="nil"/>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IOD</w:t>
            </w:r>
          </w:p>
        </w:tc>
        <w:tc>
          <w:tcPr>
            <w:tcW w:w="992" w:type="dxa"/>
            <w:tcBorders>
              <w:top w:val="nil"/>
              <w:left w:val="nil"/>
              <w:bottom w:val="single" w:sz="4" w:space="0" w:color="auto"/>
              <w:right w:val="single" w:sz="4" w:space="0" w:color="auto"/>
            </w:tcBorders>
            <w:shd w:val="clear" w:color="000000" w:fill="FFFF0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Other indirect activities</w:t>
            </w:r>
          </w:p>
        </w:tc>
        <w:tc>
          <w:tcPr>
            <w:tcW w:w="1559" w:type="dxa"/>
            <w:tcBorders>
              <w:top w:val="nil"/>
              <w:left w:val="nil"/>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IOD</w:t>
            </w:r>
          </w:p>
        </w:tc>
        <w:tc>
          <w:tcPr>
            <w:tcW w:w="992" w:type="dxa"/>
            <w:tcBorders>
              <w:top w:val="nil"/>
              <w:left w:val="nil"/>
              <w:bottom w:val="single" w:sz="4" w:space="0" w:color="auto"/>
              <w:right w:val="single" w:sz="4" w:space="0" w:color="auto"/>
            </w:tcBorders>
            <w:shd w:val="clear" w:color="000000" w:fill="FFFF0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Follow-up of open recommendations</w:t>
            </w:r>
          </w:p>
        </w:tc>
        <w:tc>
          <w:tcPr>
            <w:tcW w:w="1559" w:type="dxa"/>
            <w:tcBorders>
              <w:top w:val="nil"/>
              <w:left w:val="nil"/>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All</w:t>
            </w:r>
          </w:p>
        </w:tc>
        <w:tc>
          <w:tcPr>
            <w:tcW w:w="992" w:type="dxa"/>
            <w:tcBorders>
              <w:top w:val="nil"/>
              <w:left w:val="nil"/>
              <w:bottom w:val="single" w:sz="4" w:space="0" w:color="auto"/>
              <w:right w:val="single" w:sz="4" w:space="0" w:color="auto"/>
            </w:tcBorders>
            <w:shd w:val="clear" w:color="000000" w:fill="FFFF0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Training</w:t>
            </w:r>
          </w:p>
        </w:tc>
        <w:tc>
          <w:tcPr>
            <w:tcW w:w="1559" w:type="dxa"/>
            <w:tcBorders>
              <w:top w:val="nil"/>
              <w:left w:val="nil"/>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IOD</w:t>
            </w:r>
          </w:p>
        </w:tc>
        <w:tc>
          <w:tcPr>
            <w:tcW w:w="992" w:type="dxa"/>
            <w:tcBorders>
              <w:top w:val="nil"/>
              <w:left w:val="nil"/>
              <w:bottom w:val="single" w:sz="4" w:space="0" w:color="auto"/>
              <w:right w:val="single" w:sz="4" w:space="0" w:color="auto"/>
            </w:tcBorders>
            <w:shd w:val="clear" w:color="000000" w:fill="FFFF00"/>
            <w:vAlign w:val="center"/>
          </w:tcPr>
          <w:p w:rsidR="00882C1D" w:rsidRPr="005242EE" w:rsidRDefault="00882C1D" w:rsidP="00882C1D">
            <w:pPr>
              <w:jc w:val="center"/>
              <w:rPr>
                <w:rFonts w:eastAsia="Times New Roman"/>
                <w:color w:val="000000"/>
                <w:sz w:val="18"/>
                <w:szCs w:val="18"/>
                <w:lang w:eastAsia="en-US"/>
              </w:rPr>
            </w:pPr>
          </w:p>
        </w:tc>
      </w:tr>
    </w:tbl>
    <w:p w:rsidR="00E32ADE" w:rsidRDefault="00E32ADE" w:rsidP="00E32ADE">
      <w:pPr>
        <w:spacing w:before="60" w:after="60"/>
      </w:pPr>
      <w:r>
        <w:t xml:space="preserve">Code: </w:t>
      </w:r>
    </w:p>
    <w:tbl>
      <w:tblPr>
        <w:tblStyle w:val="TableGrid"/>
        <w:tblW w:w="0" w:type="auto"/>
        <w:tblLook w:val="04A0" w:firstRow="1" w:lastRow="0" w:firstColumn="1" w:lastColumn="0" w:noHBand="0" w:noVBand="1"/>
      </w:tblPr>
      <w:tblGrid>
        <w:gridCol w:w="1843"/>
        <w:gridCol w:w="2552"/>
      </w:tblGrid>
      <w:tr w:rsidR="00E32ADE" w:rsidTr="00FD2537">
        <w:tc>
          <w:tcPr>
            <w:tcW w:w="1843" w:type="dxa"/>
            <w:shd w:val="clear" w:color="auto" w:fill="FFFF00"/>
          </w:tcPr>
          <w:p w:rsidR="00E32ADE" w:rsidRDefault="00E32ADE" w:rsidP="00FD2537"/>
        </w:tc>
        <w:tc>
          <w:tcPr>
            <w:tcW w:w="2552" w:type="dxa"/>
          </w:tcPr>
          <w:p w:rsidR="00E32ADE" w:rsidRDefault="00E32ADE" w:rsidP="00FD2537">
            <w:pPr>
              <w:ind w:left="34"/>
            </w:pPr>
            <w:r>
              <w:t>In progress or on-going</w:t>
            </w:r>
          </w:p>
        </w:tc>
      </w:tr>
      <w:tr w:rsidR="00E32ADE" w:rsidTr="00FD2537">
        <w:tc>
          <w:tcPr>
            <w:tcW w:w="1843" w:type="dxa"/>
            <w:shd w:val="clear" w:color="auto" w:fill="92D050"/>
          </w:tcPr>
          <w:p w:rsidR="00E32ADE" w:rsidRDefault="00E32ADE" w:rsidP="00FD2537"/>
        </w:tc>
        <w:tc>
          <w:tcPr>
            <w:tcW w:w="2552" w:type="dxa"/>
          </w:tcPr>
          <w:p w:rsidR="00E32ADE" w:rsidRDefault="00E32ADE" w:rsidP="00FD2537">
            <w:pPr>
              <w:ind w:left="34"/>
            </w:pPr>
            <w:r>
              <w:t>Completed</w:t>
            </w:r>
          </w:p>
        </w:tc>
      </w:tr>
      <w:tr w:rsidR="00E32ADE" w:rsidTr="00FD2537">
        <w:tc>
          <w:tcPr>
            <w:tcW w:w="1843" w:type="dxa"/>
          </w:tcPr>
          <w:p w:rsidR="00E32ADE" w:rsidRDefault="00E32ADE" w:rsidP="00FD2537"/>
        </w:tc>
        <w:tc>
          <w:tcPr>
            <w:tcW w:w="2552" w:type="dxa"/>
          </w:tcPr>
          <w:p w:rsidR="00E32ADE" w:rsidRDefault="00E32ADE" w:rsidP="00FD2537">
            <w:pPr>
              <w:ind w:left="34"/>
            </w:pPr>
            <w:r>
              <w:t>Not started</w:t>
            </w:r>
          </w:p>
        </w:tc>
      </w:tr>
    </w:tbl>
    <w:p w:rsidR="00E32ADE" w:rsidRDefault="00E32ADE" w:rsidP="00E32ADE">
      <w:pPr>
        <w:spacing w:after="200" w:line="276" w:lineRule="auto"/>
        <w:sectPr w:rsidR="00E32ADE" w:rsidSect="001E2D32">
          <w:headerReference w:type="default" r:id="rId23"/>
          <w:footnotePr>
            <w:numRestart w:val="eachSect"/>
          </w:footnotePr>
          <w:endnotePr>
            <w:numFmt w:val="decimal"/>
          </w:endnotePr>
          <w:pgSz w:w="11907" w:h="16840" w:code="9"/>
          <w:pgMar w:top="567" w:right="1134" w:bottom="1418" w:left="1418" w:header="510" w:footer="1021" w:gutter="0"/>
          <w:cols w:space="720"/>
          <w:docGrid w:linePitch="299"/>
        </w:sectPr>
      </w:pPr>
    </w:p>
    <w:p w:rsidR="00E32ADE" w:rsidRDefault="00E32ADE" w:rsidP="00E32ADE">
      <w:pPr>
        <w:spacing w:after="120"/>
        <w:jc w:val="center"/>
        <w:rPr>
          <w:b/>
        </w:rPr>
      </w:pPr>
      <w:r>
        <w:rPr>
          <w:b/>
        </w:rPr>
        <w:lastRenderedPageBreak/>
        <w:t xml:space="preserve">Status of Oversight assignments as of June 30 2015 </w:t>
      </w:r>
    </w:p>
    <w:p w:rsidR="00677F67" w:rsidRDefault="00677F67" w:rsidP="00E32ADE">
      <w:pPr>
        <w:spacing w:after="120"/>
        <w:jc w:val="center"/>
        <w:rPr>
          <w:b/>
        </w:rPr>
      </w:pPr>
    </w:p>
    <w:tbl>
      <w:tblPr>
        <w:tblW w:w="9807" w:type="dxa"/>
        <w:tblLook w:val="0000" w:firstRow="0" w:lastRow="0" w:firstColumn="0" w:lastColumn="0" w:noHBand="0" w:noVBand="0"/>
      </w:tblPr>
      <w:tblGrid>
        <w:gridCol w:w="5493"/>
        <w:gridCol w:w="2979"/>
        <w:gridCol w:w="1335"/>
      </w:tblGrid>
      <w:tr w:rsidR="00E32ADE" w:rsidRPr="00152A5B" w:rsidTr="00FD2537">
        <w:trPr>
          <w:trHeight w:val="340"/>
          <w:tblHeader/>
        </w:trPr>
        <w:tc>
          <w:tcPr>
            <w:tcW w:w="5493" w:type="dxa"/>
            <w:tcBorders>
              <w:top w:val="single" w:sz="4" w:space="0" w:color="auto"/>
              <w:left w:val="single" w:sz="4" w:space="0" w:color="auto"/>
              <w:bottom w:val="single" w:sz="4" w:space="0" w:color="auto"/>
              <w:right w:val="single" w:sz="4" w:space="0" w:color="auto"/>
            </w:tcBorders>
            <w:shd w:val="clear" w:color="auto" w:fill="C0C0C0"/>
            <w:vAlign w:val="center"/>
          </w:tcPr>
          <w:p w:rsidR="00E32ADE" w:rsidRPr="00152A5B" w:rsidRDefault="00E32ADE" w:rsidP="00FD2537">
            <w:pPr>
              <w:keepLines/>
              <w:jc w:val="center"/>
              <w:rPr>
                <w:rFonts w:eastAsia="Times New Roman"/>
                <w:b/>
                <w:bCs/>
                <w:color w:val="000000"/>
                <w:sz w:val="18"/>
                <w:szCs w:val="18"/>
                <w:lang w:eastAsia="en-US"/>
              </w:rPr>
            </w:pPr>
            <w:r w:rsidRPr="00152A5B">
              <w:rPr>
                <w:rFonts w:eastAsia="Times New Roman"/>
                <w:b/>
                <w:bCs/>
                <w:color w:val="000000"/>
                <w:sz w:val="18"/>
                <w:szCs w:val="18"/>
                <w:lang w:eastAsia="en-US"/>
              </w:rPr>
              <w:t>Plan</w:t>
            </w:r>
          </w:p>
        </w:tc>
        <w:tc>
          <w:tcPr>
            <w:tcW w:w="2979" w:type="dxa"/>
            <w:tcBorders>
              <w:top w:val="single" w:sz="4" w:space="0" w:color="auto"/>
              <w:left w:val="nil"/>
              <w:bottom w:val="single" w:sz="4" w:space="0" w:color="auto"/>
              <w:right w:val="single" w:sz="4" w:space="0" w:color="auto"/>
            </w:tcBorders>
            <w:shd w:val="clear" w:color="auto" w:fill="C0C0C0"/>
            <w:vAlign w:val="center"/>
          </w:tcPr>
          <w:p w:rsidR="00E32ADE" w:rsidRPr="00152A5B" w:rsidRDefault="00E32ADE" w:rsidP="00FD2537">
            <w:pPr>
              <w:keepLines/>
              <w:jc w:val="center"/>
              <w:rPr>
                <w:rFonts w:eastAsia="Times New Roman"/>
                <w:b/>
                <w:bCs/>
                <w:color w:val="000000"/>
                <w:sz w:val="18"/>
                <w:szCs w:val="18"/>
                <w:lang w:eastAsia="en-US"/>
              </w:rPr>
            </w:pPr>
            <w:r w:rsidRPr="00152A5B">
              <w:rPr>
                <w:rFonts w:eastAsia="Times New Roman"/>
                <w:b/>
                <w:bCs/>
                <w:color w:val="000000"/>
                <w:sz w:val="18"/>
                <w:szCs w:val="18"/>
                <w:lang w:eastAsia="en-US"/>
              </w:rPr>
              <w:t>Sector</w:t>
            </w:r>
          </w:p>
        </w:tc>
        <w:tc>
          <w:tcPr>
            <w:tcW w:w="1335" w:type="dxa"/>
            <w:tcBorders>
              <w:top w:val="single" w:sz="4" w:space="0" w:color="auto"/>
              <w:left w:val="nil"/>
              <w:bottom w:val="single" w:sz="4" w:space="0" w:color="auto"/>
              <w:right w:val="single" w:sz="4" w:space="0" w:color="auto"/>
            </w:tcBorders>
            <w:shd w:val="clear" w:color="auto" w:fill="C0C0C0"/>
            <w:vAlign w:val="center"/>
          </w:tcPr>
          <w:p w:rsidR="00E32ADE" w:rsidRPr="00152A5B" w:rsidRDefault="00E32ADE" w:rsidP="00FD2537">
            <w:pPr>
              <w:keepLines/>
              <w:jc w:val="center"/>
              <w:rPr>
                <w:rFonts w:eastAsia="Times New Roman"/>
                <w:b/>
                <w:bCs/>
                <w:color w:val="000000"/>
                <w:sz w:val="18"/>
                <w:szCs w:val="18"/>
                <w:lang w:eastAsia="en-US"/>
              </w:rPr>
            </w:pPr>
            <w:r w:rsidRPr="00152A5B">
              <w:rPr>
                <w:rFonts w:eastAsia="Times New Roman"/>
                <w:b/>
                <w:bCs/>
                <w:color w:val="000000"/>
                <w:sz w:val="18"/>
                <w:szCs w:val="18"/>
                <w:lang w:eastAsia="en-US"/>
              </w:rPr>
              <w:t>Status</w:t>
            </w:r>
          </w:p>
        </w:tc>
      </w:tr>
      <w:tr w:rsidR="00E32ADE" w:rsidRPr="00152A5B" w:rsidTr="0034511F">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32ADE" w:rsidRPr="00152A5B" w:rsidRDefault="002539F1" w:rsidP="00FD2537">
            <w:pPr>
              <w:keepLines/>
              <w:rPr>
                <w:rFonts w:eastAsia="Times New Roman"/>
                <w:color w:val="000000"/>
                <w:sz w:val="18"/>
                <w:szCs w:val="18"/>
                <w:lang w:eastAsia="en-US"/>
              </w:rPr>
            </w:pPr>
            <w:r w:rsidRPr="002539F1">
              <w:rPr>
                <w:rFonts w:eastAsia="Times New Roman"/>
                <w:color w:val="000000"/>
                <w:sz w:val="18"/>
                <w:szCs w:val="18"/>
                <w:lang w:eastAsia="en-US"/>
              </w:rPr>
              <w:t>EVAL 2015-01 – Program 3: Copyright and Related Rights</w:t>
            </w:r>
          </w:p>
        </w:tc>
        <w:tc>
          <w:tcPr>
            <w:tcW w:w="2979" w:type="dxa"/>
            <w:tcBorders>
              <w:top w:val="nil"/>
              <w:left w:val="nil"/>
              <w:bottom w:val="single" w:sz="4" w:space="0" w:color="auto"/>
              <w:right w:val="single" w:sz="4" w:space="0" w:color="auto"/>
            </w:tcBorders>
            <w:shd w:val="clear" w:color="auto" w:fill="auto"/>
            <w:vAlign w:val="center"/>
          </w:tcPr>
          <w:p w:rsidR="00E32ADE" w:rsidRPr="00152A5B" w:rsidRDefault="002539F1" w:rsidP="00FD2537">
            <w:pPr>
              <w:keepLines/>
              <w:jc w:val="center"/>
              <w:rPr>
                <w:rFonts w:eastAsia="Times New Roman"/>
                <w:color w:val="000000"/>
                <w:sz w:val="18"/>
                <w:szCs w:val="18"/>
                <w:lang w:eastAsia="en-US"/>
              </w:rPr>
            </w:pPr>
            <w:r>
              <w:rPr>
                <w:rFonts w:eastAsia="Times New Roman"/>
                <w:sz w:val="18"/>
                <w:szCs w:val="18"/>
                <w:lang w:eastAsia="en-US"/>
              </w:rPr>
              <w:t>Creative Industries</w:t>
            </w:r>
          </w:p>
        </w:tc>
        <w:tc>
          <w:tcPr>
            <w:tcW w:w="1335" w:type="dxa"/>
            <w:tcBorders>
              <w:top w:val="nil"/>
              <w:left w:val="nil"/>
              <w:bottom w:val="single" w:sz="4" w:space="0" w:color="auto"/>
              <w:right w:val="single" w:sz="4" w:space="0" w:color="auto"/>
            </w:tcBorders>
            <w:shd w:val="clear" w:color="auto" w:fill="FFFF00"/>
            <w:vAlign w:val="center"/>
          </w:tcPr>
          <w:p w:rsidR="00E32ADE" w:rsidRPr="00152A5B" w:rsidRDefault="00E32ADE" w:rsidP="00FD2537">
            <w:pPr>
              <w:keepLines/>
              <w:jc w:val="center"/>
              <w:rPr>
                <w:color w:val="000000"/>
                <w:sz w:val="18"/>
                <w:szCs w:val="18"/>
              </w:rPr>
            </w:pPr>
          </w:p>
        </w:tc>
      </w:tr>
      <w:tr w:rsidR="00F76F40" w:rsidRPr="008D5D49" w:rsidTr="0034511F">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F76F40" w:rsidRPr="007D2421" w:rsidRDefault="00F76F40" w:rsidP="00920E74">
            <w:pPr>
              <w:keepLines/>
              <w:rPr>
                <w:rFonts w:eastAsia="Times New Roman"/>
                <w:color w:val="000000"/>
                <w:sz w:val="18"/>
                <w:szCs w:val="18"/>
                <w:lang w:eastAsia="en-US"/>
              </w:rPr>
            </w:pPr>
            <w:r w:rsidRPr="007D2421">
              <w:rPr>
                <w:rFonts w:eastAsia="Times New Roman"/>
                <w:color w:val="000000"/>
                <w:sz w:val="18"/>
                <w:szCs w:val="18"/>
                <w:lang w:eastAsia="en-US"/>
              </w:rPr>
              <w:t xml:space="preserve">EVAL 2015-02 - </w:t>
            </w:r>
            <w:r w:rsidRPr="00F76F40">
              <w:rPr>
                <w:rFonts w:eastAsia="Times New Roman"/>
                <w:color w:val="000000"/>
                <w:sz w:val="18"/>
                <w:szCs w:val="18"/>
                <w:lang w:eastAsia="en-US"/>
              </w:rPr>
              <w:t>Evaluation of WIPO’s assistance to Least Developed Countries (LDC)</w:t>
            </w:r>
          </w:p>
        </w:tc>
        <w:tc>
          <w:tcPr>
            <w:tcW w:w="2979" w:type="dxa"/>
            <w:tcBorders>
              <w:top w:val="nil"/>
              <w:left w:val="nil"/>
              <w:bottom w:val="single" w:sz="4" w:space="0" w:color="auto"/>
              <w:right w:val="single" w:sz="4" w:space="0" w:color="auto"/>
            </w:tcBorders>
            <w:shd w:val="clear" w:color="auto" w:fill="auto"/>
            <w:vAlign w:val="center"/>
          </w:tcPr>
          <w:p w:rsidR="00F76F40" w:rsidRPr="007D2421" w:rsidRDefault="00F76F40" w:rsidP="00920E74">
            <w:pPr>
              <w:keepLines/>
              <w:jc w:val="center"/>
              <w:rPr>
                <w:rFonts w:eastAsia="Times New Roman"/>
                <w:color w:val="000000"/>
                <w:sz w:val="18"/>
                <w:szCs w:val="18"/>
                <w:lang w:eastAsia="en-US"/>
              </w:rPr>
            </w:pPr>
            <w:r w:rsidRPr="007D2421">
              <w:rPr>
                <w:rFonts w:eastAsia="Times New Roman"/>
                <w:color w:val="000000"/>
                <w:sz w:val="18"/>
                <w:szCs w:val="18"/>
                <w:lang w:eastAsia="en-US"/>
              </w:rPr>
              <w:t>Development</w:t>
            </w:r>
          </w:p>
        </w:tc>
        <w:tc>
          <w:tcPr>
            <w:tcW w:w="1335" w:type="dxa"/>
            <w:tcBorders>
              <w:top w:val="single" w:sz="4" w:space="0" w:color="auto"/>
              <w:left w:val="nil"/>
              <w:bottom w:val="single" w:sz="4" w:space="0" w:color="auto"/>
              <w:right w:val="single" w:sz="4" w:space="0" w:color="auto"/>
            </w:tcBorders>
            <w:shd w:val="clear" w:color="auto" w:fill="auto"/>
            <w:vAlign w:val="center"/>
          </w:tcPr>
          <w:p w:rsidR="00F76F40" w:rsidRPr="007D2421" w:rsidRDefault="00F76F40" w:rsidP="00920E74">
            <w:pPr>
              <w:keepLines/>
              <w:jc w:val="center"/>
              <w:rPr>
                <w:color w:val="000000"/>
                <w:sz w:val="18"/>
                <w:szCs w:val="18"/>
              </w:rPr>
            </w:pPr>
          </w:p>
        </w:tc>
      </w:tr>
      <w:tr w:rsidR="005242EE" w:rsidRPr="008D5D49" w:rsidTr="0034511F">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5242EE" w:rsidRPr="007D2421" w:rsidRDefault="00C37A90" w:rsidP="00920E74">
            <w:pPr>
              <w:keepLines/>
              <w:rPr>
                <w:rFonts w:eastAsia="Times New Roman"/>
                <w:color w:val="000000"/>
                <w:sz w:val="18"/>
                <w:szCs w:val="18"/>
                <w:lang w:eastAsia="en-US"/>
              </w:rPr>
            </w:pPr>
            <w:r w:rsidRPr="007D2421">
              <w:rPr>
                <w:rFonts w:eastAsia="Times New Roman"/>
                <w:color w:val="000000"/>
                <w:sz w:val="18"/>
                <w:szCs w:val="18"/>
                <w:lang w:eastAsia="en-US"/>
              </w:rPr>
              <w:t xml:space="preserve">IA 2015-01 </w:t>
            </w:r>
            <w:r w:rsidR="005242EE" w:rsidRPr="007D2421">
              <w:rPr>
                <w:rFonts w:eastAsia="Times New Roman"/>
                <w:color w:val="000000"/>
                <w:sz w:val="18"/>
                <w:szCs w:val="18"/>
                <w:lang w:eastAsia="en-US"/>
              </w:rPr>
              <w:t>Review of Business Continuity Management (BCM)</w:t>
            </w:r>
          </w:p>
        </w:tc>
        <w:tc>
          <w:tcPr>
            <w:tcW w:w="2979" w:type="dxa"/>
            <w:tcBorders>
              <w:top w:val="nil"/>
              <w:left w:val="nil"/>
              <w:bottom w:val="single" w:sz="4" w:space="0" w:color="auto"/>
              <w:right w:val="single" w:sz="4" w:space="0" w:color="auto"/>
            </w:tcBorders>
            <w:shd w:val="clear" w:color="auto" w:fill="auto"/>
            <w:vAlign w:val="center"/>
          </w:tcPr>
          <w:p w:rsidR="005242EE" w:rsidRPr="007D2421" w:rsidRDefault="005242EE" w:rsidP="00920E74">
            <w:pPr>
              <w:keepLines/>
              <w:jc w:val="center"/>
              <w:rPr>
                <w:rFonts w:eastAsia="Times New Roman"/>
                <w:color w:val="000000"/>
                <w:sz w:val="18"/>
                <w:szCs w:val="18"/>
                <w:lang w:eastAsia="en-US"/>
              </w:rPr>
            </w:pPr>
            <w:r w:rsidRPr="007D2421">
              <w:rPr>
                <w:rFonts w:eastAsia="Times New Roman"/>
                <w:color w:val="000000"/>
                <w:sz w:val="18"/>
                <w:szCs w:val="18"/>
                <w:lang w:eastAsia="en-US"/>
              </w:rPr>
              <w:t>Cross-cutting</w:t>
            </w:r>
          </w:p>
        </w:tc>
        <w:tc>
          <w:tcPr>
            <w:tcW w:w="1335" w:type="dxa"/>
            <w:tcBorders>
              <w:top w:val="single" w:sz="4" w:space="0" w:color="auto"/>
              <w:left w:val="nil"/>
              <w:bottom w:val="single" w:sz="4" w:space="0" w:color="auto"/>
              <w:right w:val="single" w:sz="4" w:space="0" w:color="auto"/>
            </w:tcBorders>
            <w:shd w:val="clear" w:color="auto" w:fill="FFFF00"/>
            <w:vAlign w:val="center"/>
          </w:tcPr>
          <w:p w:rsidR="005242EE" w:rsidRPr="008D5D49" w:rsidRDefault="005242EE" w:rsidP="00920E74">
            <w:pPr>
              <w:keepLines/>
              <w:jc w:val="center"/>
              <w:rPr>
                <w:color w:val="000000"/>
                <w:sz w:val="18"/>
                <w:szCs w:val="18"/>
                <w:highlight w:val="yellow"/>
              </w:rPr>
            </w:pPr>
          </w:p>
        </w:tc>
      </w:tr>
      <w:tr w:rsidR="005242EE" w:rsidRPr="008D5D49" w:rsidTr="00920E74">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5242EE" w:rsidRPr="007D2421" w:rsidRDefault="00C37A90" w:rsidP="00920E74">
            <w:pPr>
              <w:keepLines/>
              <w:rPr>
                <w:rFonts w:eastAsia="Times New Roman"/>
                <w:color w:val="000000"/>
                <w:sz w:val="18"/>
                <w:szCs w:val="18"/>
                <w:lang w:eastAsia="en-US"/>
              </w:rPr>
            </w:pPr>
            <w:r w:rsidRPr="007D2421">
              <w:rPr>
                <w:rFonts w:eastAsia="Times New Roman"/>
                <w:color w:val="000000"/>
                <w:sz w:val="18"/>
                <w:szCs w:val="18"/>
                <w:lang w:eastAsia="en-US"/>
              </w:rPr>
              <w:t xml:space="preserve">IA 2015-02 </w:t>
            </w:r>
            <w:r w:rsidR="006312EC" w:rsidRPr="007D2421">
              <w:rPr>
                <w:rFonts w:eastAsia="Times New Roman"/>
                <w:color w:val="000000"/>
                <w:sz w:val="18"/>
                <w:szCs w:val="18"/>
                <w:lang w:eastAsia="en-US"/>
              </w:rPr>
              <w:t xml:space="preserve">Audit of </w:t>
            </w:r>
            <w:r w:rsidR="005242EE" w:rsidRPr="007D2421">
              <w:rPr>
                <w:rFonts w:eastAsia="Times New Roman"/>
                <w:color w:val="000000"/>
                <w:sz w:val="18"/>
                <w:szCs w:val="18"/>
                <w:lang w:eastAsia="en-US"/>
              </w:rPr>
              <w:t>WIPO Academy</w:t>
            </w:r>
          </w:p>
        </w:tc>
        <w:tc>
          <w:tcPr>
            <w:tcW w:w="2979" w:type="dxa"/>
            <w:tcBorders>
              <w:top w:val="nil"/>
              <w:left w:val="nil"/>
              <w:bottom w:val="single" w:sz="4" w:space="0" w:color="auto"/>
              <w:right w:val="single" w:sz="4" w:space="0" w:color="auto"/>
            </w:tcBorders>
            <w:shd w:val="clear" w:color="auto" w:fill="auto"/>
            <w:vAlign w:val="center"/>
          </w:tcPr>
          <w:p w:rsidR="005242EE" w:rsidRPr="007D2421" w:rsidRDefault="005242EE" w:rsidP="00920E74">
            <w:pPr>
              <w:keepLines/>
              <w:jc w:val="center"/>
              <w:rPr>
                <w:rFonts w:eastAsia="Times New Roman"/>
                <w:color w:val="000000"/>
                <w:sz w:val="18"/>
                <w:szCs w:val="18"/>
                <w:lang w:eastAsia="en-US"/>
              </w:rPr>
            </w:pPr>
            <w:r w:rsidRPr="007D2421">
              <w:rPr>
                <w:rFonts w:eastAsia="Times New Roman"/>
                <w:color w:val="000000"/>
                <w:sz w:val="18"/>
                <w:szCs w:val="18"/>
                <w:lang w:eastAsia="en-US"/>
              </w:rPr>
              <w:t>Development</w:t>
            </w:r>
          </w:p>
        </w:tc>
        <w:tc>
          <w:tcPr>
            <w:tcW w:w="1335" w:type="dxa"/>
            <w:tcBorders>
              <w:top w:val="single" w:sz="4" w:space="0" w:color="auto"/>
              <w:left w:val="nil"/>
              <w:bottom w:val="single" w:sz="4" w:space="0" w:color="auto"/>
              <w:right w:val="single" w:sz="4" w:space="0" w:color="auto"/>
            </w:tcBorders>
            <w:shd w:val="clear" w:color="auto" w:fill="92D050"/>
            <w:vAlign w:val="center"/>
          </w:tcPr>
          <w:p w:rsidR="005242EE" w:rsidRPr="008D5D49" w:rsidRDefault="005242EE" w:rsidP="00920E74">
            <w:pPr>
              <w:keepLines/>
              <w:jc w:val="center"/>
              <w:rPr>
                <w:color w:val="000000"/>
                <w:sz w:val="18"/>
                <w:szCs w:val="18"/>
                <w:highlight w:val="yellow"/>
              </w:rPr>
            </w:pPr>
          </w:p>
        </w:tc>
      </w:tr>
      <w:tr w:rsidR="005242EE" w:rsidRPr="008D5D49" w:rsidTr="00920E74">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5242EE" w:rsidRPr="00F73A5E" w:rsidRDefault="00C37A90" w:rsidP="00920E74">
            <w:pPr>
              <w:keepLines/>
              <w:rPr>
                <w:rFonts w:eastAsia="Times New Roman"/>
                <w:color w:val="000000"/>
                <w:sz w:val="18"/>
                <w:szCs w:val="18"/>
                <w:lang w:eastAsia="en-US"/>
              </w:rPr>
            </w:pPr>
            <w:r w:rsidRPr="00F73A5E">
              <w:rPr>
                <w:rFonts w:eastAsia="Times New Roman"/>
                <w:color w:val="000000"/>
                <w:sz w:val="18"/>
                <w:szCs w:val="18"/>
                <w:lang w:eastAsia="en-US"/>
              </w:rPr>
              <w:t>IA 2015-</w:t>
            </w:r>
            <w:r w:rsidR="007D2421" w:rsidRPr="00F73A5E">
              <w:rPr>
                <w:rFonts w:eastAsia="Times New Roman"/>
                <w:color w:val="000000"/>
                <w:sz w:val="18"/>
                <w:szCs w:val="18"/>
                <w:lang w:eastAsia="en-US"/>
              </w:rPr>
              <w:t xml:space="preserve">03 </w:t>
            </w:r>
            <w:r w:rsidR="005242EE" w:rsidRPr="00F73A5E">
              <w:rPr>
                <w:rFonts w:eastAsia="Times New Roman"/>
                <w:color w:val="000000"/>
                <w:sz w:val="18"/>
                <w:szCs w:val="18"/>
                <w:lang w:eastAsia="en-US"/>
              </w:rPr>
              <w:t>Audit of WIPO’s Ethical Framework</w:t>
            </w:r>
            <w:r w:rsidR="005242EE" w:rsidRPr="00F73A5E">
              <w:rPr>
                <w:rStyle w:val="FootnoteReference"/>
                <w:rFonts w:eastAsia="Times New Roman"/>
                <w:color w:val="000000"/>
                <w:sz w:val="18"/>
                <w:szCs w:val="18"/>
                <w:lang w:eastAsia="en-US"/>
              </w:rPr>
              <w:footnoteReference w:id="18"/>
            </w:r>
          </w:p>
        </w:tc>
        <w:tc>
          <w:tcPr>
            <w:tcW w:w="2979" w:type="dxa"/>
            <w:tcBorders>
              <w:top w:val="nil"/>
              <w:left w:val="nil"/>
              <w:bottom w:val="single" w:sz="4" w:space="0" w:color="auto"/>
              <w:right w:val="single" w:sz="4" w:space="0" w:color="auto"/>
            </w:tcBorders>
            <w:shd w:val="clear" w:color="auto" w:fill="auto"/>
            <w:vAlign w:val="center"/>
          </w:tcPr>
          <w:p w:rsidR="005242EE" w:rsidRPr="00F73A5E" w:rsidRDefault="005242EE" w:rsidP="00920E74">
            <w:pPr>
              <w:keepLines/>
              <w:jc w:val="center"/>
              <w:rPr>
                <w:rFonts w:eastAsia="Times New Roman"/>
                <w:color w:val="000000"/>
                <w:sz w:val="18"/>
                <w:szCs w:val="18"/>
                <w:lang w:eastAsia="en-US"/>
              </w:rPr>
            </w:pPr>
            <w:r w:rsidRPr="00F73A5E">
              <w:rPr>
                <w:rFonts w:eastAsia="Times New Roman"/>
                <w:color w:val="000000"/>
                <w:sz w:val="18"/>
                <w:szCs w:val="18"/>
                <w:lang w:eastAsia="en-US"/>
              </w:rPr>
              <w:t>Cross-cutting</w:t>
            </w:r>
          </w:p>
        </w:tc>
        <w:tc>
          <w:tcPr>
            <w:tcW w:w="1335" w:type="dxa"/>
            <w:tcBorders>
              <w:top w:val="single" w:sz="4" w:space="0" w:color="auto"/>
              <w:left w:val="nil"/>
              <w:bottom w:val="single" w:sz="4" w:space="0" w:color="auto"/>
              <w:right w:val="single" w:sz="4" w:space="0" w:color="auto"/>
            </w:tcBorders>
            <w:shd w:val="clear" w:color="auto" w:fill="auto"/>
            <w:vAlign w:val="center"/>
          </w:tcPr>
          <w:p w:rsidR="005242EE" w:rsidRPr="008D5D49" w:rsidRDefault="005242EE" w:rsidP="00920E74">
            <w:pPr>
              <w:keepLines/>
              <w:jc w:val="center"/>
              <w:rPr>
                <w:color w:val="000000"/>
                <w:sz w:val="18"/>
                <w:szCs w:val="18"/>
                <w:highlight w:val="yellow"/>
              </w:rPr>
            </w:pPr>
          </w:p>
        </w:tc>
      </w:tr>
      <w:tr w:rsidR="005242EE" w:rsidRPr="008D5D49" w:rsidTr="00920E74">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5242EE" w:rsidRPr="00F73A5E" w:rsidRDefault="007D2421" w:rsidP="00920E74">
            <w:pPr>
              <w:keepLines/>
              <w:rPr>
                <w:rFonts w:eastAsia="Times New Roman"/>
                <w:color w:val="000000"/>
                <w:sz w:val="18"/>
                <w:szCs w:val="18"/>
                <w:lang w:eastAsia="en-US"/>
              </w:rPr>
            </w:pPr>
            <w:r w:rsidRPr="00F73A5E">
              <w:rPr>
                <w:rFonts w:eastAsia="Times New Roman"/>
                <w:color w:val="000000"/>
                <w:sz w:val="18"/>
                <w:szCs w:val="18"/>
                <w:lang w:eastAsia="en-US"/>
              </w:rPr>
              <w:t xml:space="preserve">IA 2015-04 </w:t>
            </w:r>
            <w:r w:rsidR="005242EE" w:rsidRPr="00F73A5E">
              <w:rPr>
                <w:rFonts w:eastAsia="Times New Roman"/>
                <w:color w:val="000000"/>
                <w:sz w:val="18"/>
                <w:szCs w:val="18"/>
                <w:lang w:eastAsia="en-US"/>
              </w:rPr>
              <w:t>Audit of Staff Performance Management</w:t>
            </w:r>
          </w:p>
        </w:tc>
        <w:tc>
          <w:tcPr>
            <w:tcW w:w="2979" w:type="dxa"/>
            <w:tcBorders>
              <w:top w:val="nil"/>
              <w:left w:val="nil"/>
              <w:bottom w:val="single" w:sz="4" w:space="0" w:color="auto"/>
              <w:right w:val="single" w:sz="4" w:space="0" w:color="auto"/>
            </w:tcBorders>
            <w:shd w:val="clear" w:color="auto" w:fill="auto"/>
            <w:vAlign w:val="center"/>
          </w:tcPr>
          <w:p w:rsidR="005242EE" w:rsidRPr="00F73A5E" w:rsidRDefault="005242EE" w:rsidP="00920E74">
            <w:pPr>
              <w:keepLines/>
              <w:jc w:val="center"/>
              <w:rPr>
                <w:rFonts w:eastAsia="Times New Roman"/>
                <w:color w:val="000000"/>
                <w:sz w:val="18"/>
                <w:szCs w:val="18"/>
                <w:lang w:eastAsia="en-US"/>
              </w:rPr>
            </w:pPr>
            <w:r w:rsidRPr="00F73A5E">
              <w:rPr>
                <w:rFonts w:eastAsia="Times New Roman"/>
                <w:color w:val="000000"/>
                <w:sz w:val="18"/>
                <w:szCs w:val="18"/>
                <w:lang w:eastAsia="en-US"/>
              </w:rPr>
              <w:t>Human Resources</w:t>
            </w:r>
          </w:p>
        </w:tc>
        <w:tc>
          <w:tcPr>
            <w:tcW w:w="1335" w:type="dxa"/>
            <w:tcBorders>
              <w:top w:val="single" w:sz="4" w:space="0" w:color="auto"/>
              <w:left w:val="nil"/>
              <w:bottom w:val="single" w:sz="4" w:space="0" w:color="auto"/>
              <w:right w:val="single" w:sz="4" w:space="0" w:color="auto"/>
            </w:tcBorders>
            <w:shd w:val="clear" w:color="auto" w:fill="auto"/>
            <w:vAlign w:val="center"/>
          </w:tcPr>
          <w:p w:rsidR="005242EE" w:rsidRPr="008D5D49" w:rsidRDefault="005242EE" w:rsidP="00920E74">
            <w:pPr>
              <w:keepLines/>
              <w:jc w:val="center"/>
              <w:rPr>
                <w:color w:val="000000"/>
                <w:sz w:val="18"/>
                <w:szCs w:val="18"/>
                <w:highlight w:val="yellow"/>
              </w:rPr>
            </w:pPr>
          </w:p>
        </w:tc>
      </w:tr>
      <w:tr w:rsidR="005242EE" w:rsidRPr="008D5D49" w:rsidTr="00920E74">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5242EE" w:rsidRPr="00F73A5E" w:rsidRDefault="007D2421" w:rsidP="00920E74">
            <w:pPr>
              <w:keepLines/>
              <w:rPr>
                <w:rFonts w:eastAsia="Times New Roman"/>
                <w:color w:val="000000"/>
                <w:sz w:val="18"/>
                <w:szCs w:val="18"/>
                <w:lang w:eastAsia="en-US"/>
              </w:rPr>
            </w:pPr>
            <w:r w:rsidRPr="00F73A5E">
              <w:rPr>
                <w:rFonts w:eastAsia="Times New Roman"/>
                <w:color w:val="000000"/>
                <w:sz w:val="18"/>
                <w:szCs w:val="18"/>
                <w:lang w:eastAsia="en-US"/>
              </w:rPr>
              <w:t xml:space="preserve">IA 2015-05 </w:t>
            </w:r>
            <w:r w:rsidR="005242EE" w:rsidRPr="00F73A5E">
              <w:rPr>
                <w:rFonts w:eastAsia="Times New Roman"/>
                <w:color w:val="000000"/>
                <w:sz w:val="18"/>
                <w:szCs w:val="18"/>
                <w:lang w:eastAsia="en-US"/>
              </w:rPr>
              <w:t>Audit of Safety and Security Services</w:t>
            </w:r>
          </w:p>
        </w:tc>
        <w:tc>
          <w:tcPr>
            <w:tcW w:w="2979" w:type="dxa"/>
            <w:tcBorders>
              <w:top w:val="nil"/>
              <w:left w:val="nil"/>
              <w:bottom w:val="single" w:sz="4" w:space="0" w:color="auto"/>
              <w:right w:val="single" w:sz="4" w:space="0" w:color="auto"/>
            </w:tcBorders>
            <w:shd w:val="clear" w:color="auto" w:fill="auto"/>
            <w:vAlign w:val="center"/>
          </w:tcPr>
          <w:p w:rsidR="005242EE" w:rsidRPr="00F73A5E" w:rsidRDefault="005242EE" w:rsidP="00920E74">
            <w:pPr>
              <w:keepLines/>
              <w:jc w:val="center"/>
              <w:rPr>
                <w:rFonts w:eastAsia="Times New Roman"/>
                <w:color w:val="000000"/>
                <w:sz w:val="18"/>
                <w:szCs w:val="18"/>
                <w:lang w:eastAsia="en-US"/>
              </w:rPr>
            </w:pPr>
            <w:r w:rsidRPr="00F73A5E">
              <w:rPr>
                <w:rFonts w:eastAsia="Times New Roman"/>
                <w:color w:val="000000"/>
                <w:sz w:val="18"/>
                <w:szCs w:val="18"/>
                <w:lang w:eastAsia="en-US"/>
              </w:rPr>
              <w:t>Safety and Security</w:t>
            </w:r>
          </w:p>
        </w:tc>
        <w:tc>
          <w:tcPr>
            <w:tcW w:w="1335" w:type="dxa"/>
            <w:tcBorders>
              <w:top w:val="nil"/>
              <w:left w:val="nil"/>
              <w:bottom w:val="single" w:sz="4" w:space="0" w:color="auto"/>
              <w:right w:val="single" w:sz="4" w:space="0" w:color="auto"/>
            </w:tcBorders>
            <w:shd w:val="clear" w:color="auto" w:fill="92D050"/>
            <w:vAlign w:val="center"/>
          </w:tcPr>
          <w:p w:rsidR="005242EE" w:rsidRPr="008D5D49" w:rsidRDefault="005242EE" w:rsidP="00920E74">
            <w:pPr>
              <w:keepLines/>
              <w:jc w:val="center"/>
              <w:rPr>
                <w:color w:val="000000"/>
                <w:sz w:val="18"/>
                <w:szCs w:val="18"/>
                <w:highlight w:val="yellow"/>
              </w:rPr>
            </w:pPr>
          </w:p>
        </w:tc>
      </w:tr>
      <w:tr w:rsidR="005242EE" w:rsidRPr="008D5D49" w:rsidTr="00920E74">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5242EE" w:rsidRPr="00F73A5E" w:rsidRDefault="007D2421" w:rsidP="00920E74">
            <w:pPr>
              <w:keepLines/>
              <w:rPr>
                <w:rFonts w:eastAsia="Times New Roman"/>
                <w:color w:val="000000"/>
                <w:sz w:val="18"/>
                <w:szCs w:val="18"/>
                <w:lang w:eastAsia="en-US"/>
              </w:rPr>
            </w:pPr>
            <w:r w:rsidRPr="00F73A5E">
              <w:rPr>
                <w:rFonts w:eastAsia="Times New Roman"/>
                <w:color w:val="000000"/>
                <w:sz w:val="18"/>
                <w:szCs w:val="18"/>
                <w:lang w:eastAsia="en-US"/>
              </w:rPr>
              <w:t xml:space="preserve">IA 2015-06 </w:t>
            </w:r>
            <w:r w:rsidR="005242EE" w:rsidRPr="00F73A5E">
              <w:rPr>
                <w:rFonts w:eastAsia="Times New Roman"/>
                <w:color w:val="000000"/>
                <w:sz w:val="18"/>
                <w:szCs w:val="18"/>
                <w:lang w:eastAsia="en-US"/>
              </w:rPr>
              <w:t>Audit of Individual Contractual Services (ICS) Management</w:t>
            </w:r>
          </w:p>
        </w:tc>
        <w:tc>
          <w:tcPr>
            <w:tcW w:w="2979" w:type="dxa"/>
            <w:tcBorders>
              <w:top w:val="nil"/>
              <w:left w:val="nil"/>
              <w:bottom w:val="single" w:sz="4" w:space="0" w:color="auto"/>
              <w:right w:val="single" w:sz="4" w:space="0" w:color="auto"/>
            </w:tcBorders>
            <w:shd w:val="clear" w:color="auto" w:fill="auto"/>
            <w:vAlign w:val="center"/>
          </w:tcPr>
          <w:p w:rsidR="005242EE" w:rsidRPr="00F73A5E" w:rsidRDefault="005242EE" w:rsidP="00920E74">
            <w:pPr>
              <w:keepLines/>
              <w:jc w:val="center"/>
              <w:rPr>
                <w:rFonts w:eastAsia="Times New Roman"/>
                <w:color w:val="000000"/>
                <w:sz w:val="18"/>
                <w:szCs w:val="18"/>
                <w:lang w:eastAsia="en-US"/>
              </w:rPr>
            </w:pPr>
            <w:r w:rsidRPr="00F73A5E">
              <w:rPr>
                <w:rFonts w:eastAsia="Times New Roman"/>
                <w:color w:val="000000"/>
                <w:sz w:val="18"/>
                <w:szCs w:val="18"/>
                <w:lang w:eastAsia="en-US"/>
              </w:rPr>
              <w:t>Cross-cutting</w:t>
            </w:r>
          </w:p>
        </w:tc>
        <w:tc>
          <w:tcPr>
            <w:tcW w:w="1335" w:type="dxa"/>
            <w:tcBorders>
              <w:top w:val="single" w:sz="4" w:space="0" w:color="auto"/>
              <w:left w:val="nil"/>
              <w:bottom w:val="single" w:sz="4" w:space="0" w:color="auto"/>
              <w:right w:val="single" w:sz="4" w:space="0" w:color="auto"/>
            </w:tcBorders>
            <w:shd w:val="clear" w:color="auto" w:fill="auto"/>
            <w:vAlign w:val="center"/>
          </w:tcPr>
          <w:p w:rsidR="005242EE" w:rsidRPr="008D5D49" w:rsidRDefault="005242EE" w:rsidP="00920E74">
            <w:pPr>
              <w:keepLines/>
              <w:jc w:val="center"/>
              <w:rPr>
                <w:color w:val="000000"/>
                <w:sz w:val="18"/>
                <w:szCs w:val="18"/>
                <w:highlight w:val="yellow"/>
              </w:rPr>
            </w:pPr>
          </w:p>
        </w:tc>
      </w:tr>
      <w:tr w:rsidR="005242EE" w:rsidRPr="00152A5B" w:rsidTr="002539F1">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5242EE" w:rsidRPr="00F73A5E" w:rsidRDefault="007D2421" w:rsidP="00920E74">
            <w:pPr>
              <w:keepLines/>
              <w:rPr>
                <w:rFonts w:eastAsia="Times New Roman"/>
                <w:color w:val="000000"/>
                <w:sz w:val="18"/>
                <w:szCs w:val="18"/>
                <w:lang w:eastAsia="en-US"/>
              </w:rPr>
            </w:pPr>
            <w:r w:rsidRPr="00F73A5E">
              <w:rPr>
                <w:rFonts w:eastAsia="Times New Roman"/>
                <w:color w:val="000000"/>
                <w:sz w:val="18"/>
                <w:szCs w:val="18"/>
                <w:lang w:eastAsia="en-US"/>
              </w:rPr>
              <w:t xml:space="preserve">IA 2015-07 </w:t>
            </w:r>
            <w:r w:rsidR="005242EE" w:rsidRPr="00F73A5E">
              <w:rPr>
                <w:rFonts w:eastAsia="Times New Roman"/>
                <w:color w:val="000000"/>
                <w:sz w:val="18"/>
                <w:szCs w:val="18"/>
                <w:lang w:eastAsia="en-US"/>
              </w:rPr>
              <w:t>Audit of Management of  Customer Services</w:t>
            </w:r>
          </w:p>
        </w:tc>
        <w:tc>
          <w:tcPr>
            <w:tcW w:w="2979" w:type="dxa"/>
            <w:tcBorders>
              <w:top w:val="nil"/>
              <w:left w:val="nil"/>
              <w:bottom w:val="single" w:sz="4" w:space="0" w:color="auto"/>
              <w:right w:val="single" w:sz="4" w:space="0" w:color="auto"/>
            </w:tcBorders>
            <w:shd w:val="clear" w:color="auto" w:fill="auto"/>
            <w:vAlign w:val="center"/>
          </w:tcPr>
          <w:p w:rsidR="005242EE" w:rsidRPr="007D2421" w:rsidRDefault="005242EE" w:rsidP="00920E74">
            <w:pPr>
              <w:keepLines/>
              <w:jc w:val="center"/>
              <w:rPr>
                <w:rFonts w:eastAsia="Times New Roman"/>
                <w:color w:val="000000"/>
                <w:sz w:val="18"/>
                <w:szCs w:val="18"/>
                <w:lang w:eastAsia="en-US"/>
              </w:rPr>
            </w:pPr>
            <w:r w:rsidRPr="00F73A5E">
              <w:rPr>
                <w:rFonts w:eastAsia="Times New Roman"/>
                <w:color w:val="000000"/>
                <w:sz w:val="18"/>
                <w:szCs w:val="18"/>
                <w:lang w:eastAsia="en-US"/>
              </w:rPr>
              <w:t>Cross-cutting</w:t>
            </w:r>
          </w:p>
        </w:tc>
        <w:tc>
          <w:tcPr>
            <w:tcW w:w="1335" w:type="dxa"/>
            <w:tcBorders>
              <w:top w:val="single" w:sz="4" w:space="0" w:color="auto"/>
              <w:left w:val="nil"/>
              <w:bottom w:val="single" w:sz="4" w:space="0" w:color="auto"/>
              <w:right w:val="single" w:sz="4" w:space="0" w:color="auto"/>
            </w:tcBorders>
            <w:shd w:val="clear" w:color="auto" w:fill="FFFF00"/>
            <w:vAlign w:val="center"/>
          </w:tcPr>
          <w:p w:rsidR="005242EE" w:rsidRPr="00152A5B" w:rsidRDefault="005242EE" w:rsidP="00920E74">
            <w:pPr>
              <w:keepLines/>
              <w:jc w:val="center"/>
              <w:rPr>
                <w:color w:val="000000"/>
                <w:sz w:val="18"/>
                <w:szCs w:val="18"/>
              </w:rPr>
            </w:pPr>
          </w:p>
        </w:tc>
      </w:tr>
      <w:tr w:rsidR="002539F1" w:rsidRPr="00152A5B" w:rsidTr="002539F1">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2015-01 - Wrongdoing by candidate during recruitment selection process</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sz w:val="18"/>
                <w:szCs w:val="18"/>
              </w:rPr>
            </w:pPr>
            <w:r w:rsidRPr="00152A5B">
              <w:rPr>
                <w:rFonts w:eastAsia="Times New Roman"/>
                <w:color w:val="000000"/>
                <w:sz w:val="18"/>
                <w:szCs w:val="18"/>
                <w:lang w:eastAsia="en-US"/>
              </w:rPr>
              <w:t>Not relevant</w:t>
            </w:r>
          </w:p>
        </w:tc>
        <w:tc>
          <w:tcPr>
            <w:tcW w:w="1335" w:type="dxa"/>
            <w:tcBorders>
              <w:top w:val="single" w:sz="4" w:space="0" w:color="auto"/>
              <w:left w:val="nil"/>
              <w:bottom w:val="single" w:sz="4" w:space="0" w:color="auto"/>
              <w:right w:val="single" w:sz="4" w:space="0" w:color="auto"/>
            </w:tcBorders>
            <w:shd w:val="clear" w:color="auto" w:fill="92D050"/>
            <w:vAlign w:val="center"/>
          </w:tcPr>
          <w:p w:rsidR="002539F1" w:rsidRPr="00152A5B" w:rsidRDefault="002539F1" w:rsidP="00FD2537">
            <w:pPr>
              <w:keepLines/>
              <w:jc w:val="center"/>
              <w:rPr>
                <w:color w:val="000000"/>
                <w:sz w:val="18"/>
                <w:szCs w:val="18"/>
              </w:rPr>
            </w:pPr>
          </w:p>
        </w:tc>
      </w:tr>
      <w:tr w:rsidR="002539F1" w:rsidRPr="00152A5B" w:rsidTr="002539F1">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2015-02 (for WFP) - Misuse of ICT resources</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sz w:val="18"/>
                <w:szCs w:val="18"/>
              </w:rPr>
            </w:pPr>
            <w:r w:rsidRPr="00152A5B">
              <w:rPr>
                <w:rFonts w:eastAsia="Times New Roman"/>
                <w:color w:val="000000"/>
                <w:sz w:val="18"/>
                <w:szCs w:val="18"/>
                <w:lang w:eastAsia="en-US"/>
              </w:rPr>
              <w:t>Not relevant</w:t>
            </w:r>
          </w:p>
        </w:tc>
        <w:tc>
          <w:tcPr>
            <w:tcW w:w="1335" w:type="dxa"/>
            <w:tcBorders>
              <w:top w:val="single" w:sz="4" w:space="0" w:color="auto"/>
              <w:left w:val="nil"/>
              <w:bottom w:val="single" w:sz="4" w:space="0" w:color="auto"/>
              <w:right w:val="single" w:sz="4" w:space="0" w:color="auto"/>
            </w:tcBorders>
            <w:shd w:val="clear" w:color="auto" w:fill="92D050"/>
            <w:vAlign w:val="center"/>
          </w:tcPr>
          <w:p w:rsidR="002539F1" w:rsidRPr="00152A5B" w:rsidRDefault="002539F1" w:rsidP="00FD2537">
            <w:pPr>
              <w:keepLines/>
              <w:jc w:val="center"/>
              <w:rPr>
                <w:color w:val="000000"/>
                <w:sz w:val="18"/>
                <w:szCs w:val="18"/>
              </w:rPr>
            </w:pPr>
          </w:p>
        </w:tc>
      </w:tr>
      <w:tr w:rsidR="002539F1" w:rsidRPr="00152A5B" w:rsidTr="002539F1">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2015-03 - Abuse of work time</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2539F1">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2015-04 - Other fraudulent, corrupt or abusive practices</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sz w:val="18"/>
                <w:szCs w:val="18"/>
              </w:rPr>
            </w:pPr>
            <w:r w:rsidRPr="00152A5B">
              <w:rPr>
                <w:rFonts w:eastAsia="Times New Roman"/>
                <w:color w:val="000000"/>
                <w:sz w:val="18"/>
                <w:szCs w:val="18"/>
                <w:lang w:eastAsia="en-US"/>
              </w:rPr>
              <w:t>Not relevant</w:t>
            </w:r>
          </w:p>
        </w:tc>
        <w:tc>
          <w:tcPr>
            <w:tcW w:w="1335" w:type="dxa"/>
            <w:tcBorders>
              <w:top w:val="single" w:sz="4" w:space="0" w:color="auto"/>
              <w:left w:val="nil"/>
              <w:bottom w:val="single" w:sz="4" w:space="0" w:color="auto"/>
              <w:right w:val="single" w:sz="4" w:space="0" w:color="auto"/>
            </w:tcBorders>
            <w:shd w:val="clear" w:color="auto" w:fill="92D05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2015-05 - Abuse of work time</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13256A">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2015-06 - Harassment/Discrimination/Abuse of Authority</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13256A">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2539F1">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2015-07 - Benefits and Entitlements Fraud</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13256A">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92D05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2015-08 - Harassment/Discrimination/Abuse of Authority</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13256A">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2539F1">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2015-09 - Benefits and Entitlements Fraud</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13256A">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92D050"/>
            <w:vAlign w:val="center"/>
          </w:tcPr>
          <w:p w:rsidR="002539F1" w:rsidRPr="00152A5B" w:rsidRDefault="002539F1" w:rsidP="00FD2537">
            <w:pPr>
              <w:keepLines/>
              <w:jc w:val="center"/>
              <w:rPr>
                <w:color w:val="000000"/>
                <w:sz w:val="18"/>
                <w:szCs w:val="18"/>
              </w:rPr>
            </w:pPr>
          </w:p>
        </w:tc>
      </w:tr>
      <w:tr w:rsidR="002539F1" w:rsidRPr="00152A5B" w:rsidTr="007874B0">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2015-10 - Statements, pronouncements and activities incompatible with the obligations of an international civil servant</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13256A">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92D05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2015-11 - Harassment/Discrimination/Abuse of Authority</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13256A">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7874B0">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2015-12 - Other fraudulent, corrupt or abusive practices</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13256A">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92D05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2015-13 - Abuse of work time</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13256A">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2015-14 - Wrongdoing by candidate during recruitment selection process</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13256A">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2015-15 - Wrongdoing by candidate during recruitment selection process</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rFonts w:eastAsia="Times New Roman"/>
                <w:color w:val="000000"/>
                <w:sz w:val="18"/>
                <w:szCs w:val="18"/>
                <w:lang w:eastAsia="en-US"/>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2015-16 - Abuse of work time</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rFonts w:eastAsia="Times New Roman"/>
                <w:color w:val="000000"/>
                <w:sz w:val="18"/>
                <w:szCs w:val="18"/>
                <w:lang w:eastAsia="en-US"/>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2015-17 - Harassment/Discrimination/Abuse of Authority</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rFonts w:eastAsia="Times New Roman"/>
                <w:color w:val="000000"/>
                <w:sz w:val="18"/>
                <w:szCs w:val="18"/>
                <w:lang w:eastAsia="en-US"/>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7874B0" w:rsidRPr="00152A5B" w:rsidTr="007874B0">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7874B0" w:rsidRPr="002539F1" w:rsidRDefault="007874B0" w:rsidP="00FD2537">
            <w:pPr>
              <w:keepLines/>
              <w:rPr>
                <w:rFonts w:eastAsia="Times New Roman"/>
                <w:color w:val="000000"/>
                <w:sz w:val="18"/>
                <w:szCs w:val="18"/>
                <w:highlight w:val="yellow"/>
                <w:lang w:eastAsia="en-US"/>
              </w:rPr>
            </w:pPr>
            <w:r>
              <w:rPr>
                <w:rFonts w:eastAsia="Times New Roman"/>
                <w:sz w:val="18"/>
                <w:szCs w:val="18"/>
                <w:lang w:eastAsia="en-US"/>
              </w:rPr>
              <w:t>INV 2015-18</w:t>
            </w:r>
            <w:r w:rsidRPr="004F5CE3">
              <w:rPr>
                <w:rFonts w:eastAsia="Times New Roman"/>
                <w:sz w:val="18"/>
                <w:szCs w:val="18"/>
                <w:lang w:eastAsia="en-US"/>
              </w:rPr>
              <w:t xml:space="preserve"> - </w:t>
            </w:r>
            <w:r w:rsidRPr="007874B0">
              <w:rPr>
                <w:rFonts w:eastAsia="Times New Roman"/>
                <w:sz w:val="18"/>
                <w:szCs w:val="18"/>
                <w:lang w:eastAsia="en-US"/>
              </w:rPr>
              <w:t>Other fraudulent, corrupt or abusive practices</w:t>
            </w:r>
          </w:p>
        </w:tc>
        <w:tc>
          <w:tcPr>
            <w:tcW w:w="2979" w:type="dxa"/>
            <w:tcBorders>
              <w:top w:val="nil"/>
              <w:left w:val="nil"/>
              <w:bottom w:val="single" w:sz="4" w:space="0" w:color="auto"/>
              <w:right w:val="single" w:sz="4" w:space="0" w:color="auto"/>
            </w:tcBorders>
            <w:shd w:val="clear" w:color="auto" w:fill="auto"/>
            <w:vAlign w:val="center"/>
          </w:tcPr>
          <w:p w:rsidR="007874B0" w:rsidRPr="00152A5B" w:rsidRDefault="007874B0" w:rsidP="00FD2537">
            <w:pPr>
              <w:keepLines/>
              <w:jc w:val="center"/>
              <w:rPr>
                <w:rFonts w:eastAsia="Times New Roman"/>
                <w:color w:val="000000"/>
                <w:sz w:val="18"/>
                <w:szCs w:val="18"/>
                <w:lang w:eastAsia="en-US"/>
              </w:rPr>
            </w:pPr>
            <w:r>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7874B0" w:rsidRPr="007874B0" w:rsidRDefault="007874B0" w:rsidP="00BF0144">
            <w:pPr>
              <w:keepLines/>
              <w:jc w:val="center"/>
              <w:rPr>
                <w:color w:val="000000"/>
                <w:sz w:val="18"/>
                <w:szCs w:val="18"/>
                <w:highlight w:val="yellow"/>
              </w:rPr>
            </w:pPr>
          </w:p>
        </w:tc>
      </w:tr>
      <w:tr w:rsidR="002539F1" w:rsidRPr="00152A5B" w:rsidTr="007874B0">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2539F1" w:rsidRPr="002539F1" w:rsidRDefault="007874B0" w:rsidP="00FD2537">
            <w:pPr>
              <w:keepLines/>
              <w:rPr>
                <w:rFonts w:eastAsia="Times New Roman"/>
                <w:color w:val="000000"/>
                <w:sz w:val="18"/>
                <w:szCs w:val="18"/>
                <w:highlight w:val="yellow"/>
                <w:lang w:eastAsia="en-US"/>
              </w:rPr>
            </w:pPr>
            <w:r>
              <w:rPr>
                <w:rFonts w:eastAsia="Times New Roman"/>
                <w:sz w:val="18"/>
                <w:szCs w:val="18"/>
                <w:lang w:eastAsia="en-US"/>
              </w:rPr>
              <w:t>INV 2015-19</w:t>
            </w:r>
            <w:r w:rsidRPr="004F5CE3">
              <w:rPr>
                <w:rFonts w:eastAsia="Times New Roman"/>
                <w:sz w:val="18"/>
                <w:szCs w:val="18"/>
                <w:lang w:eastAsia="en-US"/>
              </w:rPr>
              <w:t xml:space="preserve"> - Harassment/Discrimination/Abuse of Authority</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7874B0" w:rsidP="00FD2537">
            <w:pPr>
              <w:keepLines/>
              <w:jc w:val="center"/>
              <w:rPr>
                <w:rFonts w:eastAsia="Times New Roman"/>
                <w:color w:val="000000"/>
                <w:sz w:val="18"/>
                <w:szCs w:val="18"/>
                <w:lang w:eastAsia="en-US"/>
              </w:rPr>
            </w:pPr>
            <w:r>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7874B0" w:rsidRPr="00152A5B" w:rsidTr="00BF0144">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7874B0" w:rsidRPr="00F73A5E" w:rsidRDefault="007874B0" w:rsidP="00BF0144">
            <w:pPr>
              <w:keepLines/>
              <w:rPr>
                <w:rFonts w:eastAsia="Times New Roman"/>
                <w:color w:val="000000"/>
                <w:sz w:val="18"/>
                <w:szCs w:val="18"/>
                <w:lang w:eastAsia="en-US"/>
              </w:rPr>
            </w:pPr>
            <w:r w:rsidRPr="00F73A5E">
              <w:rPr>
                <w:rFonts w:eastAsia="Times New Roman"/>
                <w:color w:val="000000"/>
                <w:sz w:val="18"/>
                <w:szCs w:val="18"/>
                <w:lang w:eastAsia="en-US"/>
              </w:rPr>
              <w:t>Fraud Risk assessment</w:t>
            </w:r>
          </w:p>
        </w:tc>
        <w:tc>
          <w:tcPr>
            <w:tcW w:w="2979" w:type="dxa"/>
            <w:tcBorders>
              <w:top w:val="nil"/>
              <w:left w:val="nil"/>
              <w:bottom w:val="single" w:sz="4" w:space="0" w:color="auto"/>
              <w:right w:val="single" w:sz="4" w:space="0" w:color="auto"/>
            </w:tcBorders>
            <w:shd w:val="clear" w:color="auto" w:fill="auto"/>
            <w:vAlign w:val="center"/>
          </w:tcPr>
          <w:p w:rsidR="007874B0" w:rsidRPr="00152A5B" w:rsidRDefault="007874B0" w:rsidP="00BF0144">
            <w:pPr>
              <w:keepLines/>
              <w:jc w:val="center"/>
              <w:rPr>
                <w:rFonts w:eastAsia="Times New Roman"/>
                <w:color w:val="000000"/>
                <w:sz w:val="18"/>
                <w:szCs w:val="18"/>
                <w:lang w:eastAsia="en-US"/>
              </w:rPr>
            </w:pPr>
            <w:r w:rsidRPr="00152A5B">
              <w:rPr>
                <w:rFonts w:eastAsia="Times New Roman"/>
                <w:color w:val="000000"/>
                <w:sz w:val="18"/>
                <w:szCs w:val="18"/>
                <w:lang w:eastAsia="en-US"/>
              </w:rPr>
              <w:t>Cross-cutting</w:t>
            </w:r>
          </w:p>
        </w:tc>
        <w:tc>
          <w:tcPr>
            <w:tcW w:w="1335" w:type="dxa"/>
            <w:tcBorders>
              <w:top w:val="nil"/>
              <w:left w:val="nil"/>
              <w:bottom w:val="single" w:sz="4" w:space="0" w:color="auto"/>
              <w:right w:val="single" w:sz="4" w:space="0" w:color="auto"/>
            </w:tcBorders>
            <w:shd w:val="clear" w:color="auto" w:fill="92D050"/>
            <w:vAlign w:val="center"/>
          </w:tcPr>
          <w:p w:rsidR="007874B0" w:rsidRPr="00152A5B" w:rsidRDefault="007874B0" w:rsidP="00BF0144">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2539F1" w:rsidRPr="00F73A5E" w:rsidRDefault="002539F1" w:rsidP="00FD2537">
            <w:pPr>
              <w:keepLines/>
              <w:rPr>
                <w:rFonts w:eastAsia="Times New Roman"/>
                <w:color w:val="000000"/>
                <w:sz w:val="18"/>
                <w:szCs w:val="18"/>
                <w:lang w:eastAsia="en-US"/>
              </w:rPr>
            </w:pPr>
            <w:r w:rsidRPr="00F73A5E">
              <w:rPr>
                <w:rFonts w:eastAsia="Times New Roman"/>
                <w:color w:val="000000"/>
                <w:sz w:val="18"/>
                <w:szCs w:val="18"/>
                <w:lang w:eastAsia="en-US"/>
              </w:rPr>
              <w:t>Advisory and consulting engagements</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rFonts w:eastAsia="Times New Roman"/>
                <w:color w:val="000000"/>
                <w:sz w:val="18"/>
                <w:szCs w:val="18"/>
                <w:lang w:eastAsia="en-US"/>
              </w:rPr>
            </w:pPr>
            <w:r w:rsidRPr="00152A5B">
              <w:rPr>
                <w:rFonts w:eastAsia="Times New Roman"/>
                <w:color w:val="000000"/>
                <w:sz w:val="18"/>
                <w:szCs w:val="18"/>
                <w:lang w:eastAsia="en-US"/>
              </w:rPr>
              <w:t>Cross-cutting</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2539F1" w:rsidRPr="00F73A5E" w:rsidRDefault="002539F1" w:rsidP="00FD2537">
            <w:pPr>
              <w:keepLines/>
              <w:rPr>
                <w:rFonts w:eastAsia="Times New Roman"/>
                <w:color w:val="000000"/>
                <w:sz w:val="18"/>
                <w:szCs w:val="18"/>
                <w:lang w:eastAsia="en-US"/>
              </w:rPr>
            </w:pPr>
            <w:r w:rsidRPr="00F73A5E">
              <w:rPr>
                <w:rFonts w:eastAsia="Times New Roman"/>
                <w:color w:val="000000"/>
                <w:sz w:val="18"/>
                <w:szCs w:val="18"/>
                <w:lang w:eastAsia="en-US"/>
              </w:rPr>
              <w:t>Networking with Other Agencies</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rFonts w:eastAsia="Times New Roman"/>
                <w:color w:val="000000"/>
                <w:sz w:val="18"/>
                <w:szCs w:val="18"/>
                <w:lang w:eastAsia="en-US"/>
              </w:rPr>
            </w:pPr>
            <w:r>
              <w:rPr>
                <w:rFonts w:eastAsia="Times New Roman"/>
                <w:color w:val="000000"/>
                <w:sz w:val="18"/>
                <w:szCs w:val="18"/>
                <w:lang w:eastAsia="en-US"/>
              </w:rPr>
              <w:t>IOD</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bl>
    <w:p w:rsidR="00677F67" w:rsidRDefault="00677F67" w:rsidP="00FD2537">
      <w:pPr>
        <w:keepLines/>
        <w:rPr>
          <w:rFonts w:eastAsia="Times New Roman"/>
          <w:color w:val="000000"/>
          <w:sz w:val="18"/>
          <w:szCs w:val="18"/>
          <w:lang w:eastAsia="en-US"/>
        </w:rPr>
        <w:sectPr w:rsidR="00677F67" w:rsidSect="001E2D32">
          <w:headerReference w:type="default" r:id="rId24"/>
          <w:footnotePr>
            <w:numRestart w:val="eachSect"/>
          </w:footnotePr>
          <w:endnotePr>
            <w:numFmt w:val="decimal"/>
          </w:endnotePr>
          <w:pgSz w:w="11907" w:h="16840" w:code="9"/>
          <w:pgMar w:top="567" w:right="1134" w:bottom="1418" w:left="1418" w:header="510" w:footer="1021" w:gutter="0"/>
          <w:cols w:space="720"/>
          <w:docGrid w:linePitch="299"/>
        </w:sectPr>
      </w:pPr>
    </w:p>
    <w:tbl>
      <w:tblPr>
        <w:tblW w:w="9807" w:type="dxa"/>
        <w:tblLook w:val="0000" w:firstRow="0" w:lastRow="0" w:firstColumn="0" w:lastColumn="0" w:noHBand="0" w:noVBand="0"/>
      </w:tblPr>
      <w:tblGrid>
        <w:gridCol w:w="5493"/>
        <w:gridCol w:w="2979"/>
        <w:gridCol w:w="1335"/>
      </w:tblGrid>
      <w:tr w:rsidR="00677F67" w:rsidRPr="00152A5B" w:rsidTr="001118B4">
        <w:trPr>
          <w:trHeight w:val="340"/>
          <w:tblHeader/>
        </w:trPr>
        <w:tc>
          <w:tcPr>
            <w:tcW w:w="5493" w:type="dxa"/>
            <w:tcBorders>
              <w:top w:val="single" w:sz="4" w:space="0" w:color="auto"/>
              <w:left w:val="single" w:sz="4" w:space="0" w:color="auto"/>
              <w:bottom w:val="single" w:sz="4" w:space="0" w:color="auto"/>
              <w:right w:val="single" w:sz="4" w:space="0" w:color="auto"/>
            </w:tcBorders>
            <w:shd w:val="clear" w:color="auto" w:fill="C0C0C0"/>
            <w:vAlign w:val="center"/>
          </w:tcPr>
          <w:p w:rsidR="00677F67" w:rsidRPr="00152A5B" w:rsidRDefault="00677F67" w:rsidP="001118B4">
            <w:pPr>
              <w:keepLines/>
              <w:jc w:val="center"/>
              <w:rPr>
                <w:rFonts w:eastAsia="Times New Roman"/>
                <w:b/>
                <w:bCs/>
                <w:color w:val="000000"/>
                <w:sz w:val="18"/>
                <w:szCs w:val="18"/>
                <w:lang w:eastAsia="en-US"/>
              </w:rPr>
            </w:pPr>
            <w:r w:rsidRPr="00152A5B">
              <w:rPr>
                <w:rFonts w:eastAsia="Times New Roman"/>
                <w:b/>
                <w:bCs/>
                <w:color w:val="000000"/>
                <w:sz w:val="18"/>
                <w:szCs w:val="18"/>
                <w:lang w:eastAsia="en-US"/>
              </w:rPr>
              <w:lastRenderedPageBreak/>
              <w:t>Plan</w:t>
            </w:r>
          </w:p>
        </w:tc>
        <w:tc>
          <w:tcPr>
            <w:tcW w:w="2979" w:type="dxa"/>
            <w:tcBorders>
              <w:top w:val="single" w:sz="4" w:space="0" w:color="auto"/>
              <w:left w:val="nil"/>
              <w:bottom w:val="single" w:sz="4" w:space="0" w:color="auto"/>
              <w:right w:val="single" w:sz="4" w:space="0" w:color="auto"/>
            </w:tcBorders>
            <w:shd w:val="clear" w:color="auto" w:fill="C0C0C0"/>
            <w:vAlign w:val="center"/>
          </w:tcPr>
          <w:p w:rsidR="00677F67" w:rsidRPr="00152A5B" w:rsidRDefault="00677F67" w:rsidP="001118B4">
            <w:pPr>
              <w:keepLines/>
              <w:jc w:val="center"/>
              <w:rPr>
                <w:rFonts w:eastAsia="Times New Roman"/>
                <w:b/>
                <w:bCs/>
                <w:color w:val="000000"/>
                <w:sz w:val="18"/>
                <w:szCs w:val="18"/>
                <w:lang w:eastAsia="en-US"/>
              </w:rPr>
            </w:pPr>
            <w:r w:rsidRPr="00152A5B">
              <w:rPr>
                <w:rFonts w:eastAsia="Times New Roman"/>
                <w:b/>
                <w:bCs/>
                <w:color w:val="000000"/>
                <w:sz w:val="18"/>
                <w:szCs w:val="18"/>
                <w:lang w:eastAsia="en-US"/>
              </w:rPr>
              <w:t>Sector</w:t>
            </w:r>
          </w:p>
        </w:tc>
        <w:tc>
          <w:tcPr>
            <w:tcW w:w="1335" w:type="dxa"/>
            <w:tcBorders>
              <w:top w:val="single" w:sz="4" w:space="0" w:color="auto"/>
              <w:left w:val="nil"/>
              <w:bottom w:val="single" w:sz="4" w:space="0" w:color="auto"/>
              <w:right w:val="single" w:sz="4" w:space="0" w:color="auto"/>
            </w:tcBorders>
            <w:shd w:val="clear" w:color="auto" w:fill="C0C0C0"/>
            <w:vAlign w:val="center"/>
          </w:tcPr>
          <w:p w:rsidR="00677F67" w:rsidRPr="00152A5B" w:rsidRDefault="00677F67" w:rsidP="001118B4">
            <w:pPr>
              <w:keepLines/>
              <w:jc w:val="center"/>
              <w:rPr>
                <w:rFonts w:eastAsia="Times New Roman"/>
                <w:b/>
                <w:bCs/>
                <w:color w:val="000000"/>
                <w:sz w:val="18"/>
                <w:szCs w:val="18"/>
                <w:lang w:eastAsia="en-US"/>
              </w:rPr>
            </w:pPr>
            <w:r w:rsidRPr="00152A5B">
              <w:rPr>
                <w:rFonts w:eastAsia="Times New Roman"/>
                <w:b/>
                <w:bCs/>
                <w:color w:val="000000"/>
                <w:sz w:val="18"/>
                <w:szCs w:val="18"/>
                <w:lang w:eastAsia="en-US"/>
              </w:rPr>
              <w:t>Status</w:t>
            </w:r>
          </w:p>
        </w:tc>
      </w:tr>
      <w:tr w:rsidR="00677F67" w:rsidRPr="00152A5B" w:rsidTr="001118B4">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677F67" w:rsidRPr="00F73A5E" w:rsidRDefault="00677F67" w:rsidP="001118B4">
            <w:pPr>
              <w:keepLines/>
              <w:rPr>
                <w:rFonts w:eastAsia="Times New Roman"/>
                <w:color w:val="000000"/>
                <w:sz w:val="18"/>
                <w:szCs w:val="18"/>
                <w:lang w:eastAsia="en-US"/>
              </w:rPr>
            </w:pPr>
            <w:r w:rsidRPr="00F73A5E">
              <w:rPr>
                <w:rFonts w:eastAsia="Times New Roman"/>
                <w:color w:val="000000"/>
                <w:sz w:val="18"/>
                <w:szCs w:val="18"/>
                <w:lang w:eastAsia="en-US"/>
              </w:rPr>
              <w:t>Independent Advisory Oversight Committee</w:t>
            </w:r>
          </w:p>
        </w:tc>
        <w:tc>
          <w:tcPr>
            <w:tcW w:w="2979" w:type="dxa"/>
            <w:tcBorders>
              <w:top w:val="nil"/>
              <w:left w:val="nil"/>
              <w:bottom w:val="single" w:sz="4" w:space="0" w:color="auto"/>
              <w:right w:val="single" w:sz="4" w:space="0" w:color="auto"/>
            </w:tcBorders>
            <w:shd w:val="clear" w:color="auto" w:fill="auto"/>
            <w:vAlign w:val="center"/>
          </w:tcPr>
          <w:p w:rsidR="00677F67" w:rsidRPr="00152A5B" w:rsidRDefault="00677F67" w:rsidP="001118B4">
            <w:pPr>
              <w:keepLines/>
              <w:jc w:val="center"/>
              <w:rPr>
                <w:rFonts w:eastAsia="Times New Roman"/>
                <w:color w:val="000000"/>
                <w:sz w:val="18"/>
                <w:szCs w:val="18"/>
                <w:lang w:eastAsia="en-US"/>
              </w:rPr>
            </w:pPr>
            <w:r>
              <w:rPr>
                <w:rFonts w:eastAsia="Times New Roman"/>
                <w:color w:val="000000"/>
                <w:sz w:val="18"/>
                <w:szCs w:val="18"/>
                <w:lang w:eastAsia="en-US"/>
              </w:rPr>
              <w:t>IOD</w:t>
            </w:r>
          </w:p>
        </w:tc>
        <w:tc>
          <w:tcPr>
            <w:tcW w:w="1335" w:type="dxa"/>
            <w:tcBorders>
              <w:top w:val="nil"/>
              <w:left w:val="nil"/>
              <w:bottom w:val="single" w:sz="4" w:space="0" w:color="auto"/>
              <w:right w:val="single" w:sz="4" w:space="0" w:color="auto"/>
            </w:tcBorders>
            <w:shd w:val="clear" w:color="auto" w:fill="FFFF00"/>
            <w:vAlign w:val="center"/>
          </w:tcPr>
          <w:p w:rsidR="00677F67" w:rsidRPr="00152A5B" w:rsidRDefault="00677F67" w:rsidP="001118B4">
            <w:pPr>
              <w:keepLines/>
              <w:jc w:val="center"/>
              <w:rPr>
                <w:color w:val="000000"/>
                <w:sz w:val="18"/>
                <w:szCs w:val="18"/>
              </w:rPr>
            </w:pPr>
          </w:p>
        </w:tc>
      </w:tr>
      <w:tr w:rsidR="00677F67" w:rsidRPr="00152A5B" w:rsidTr="001118B4">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677F67" w:rsidRPr="00F73A5E" w:rsidRDefault="00677F67" w:rsidP="001118B4">
            <w:pPr>
              <w:keepLines/>
              <w:rPr>
                <w:rFonts w:eastAsia="Times New Roman"/>
                <w:color w:val="000000"/>
                <w:sz w:val="18"/>
                <w:szCs w:val="18"/>
                <w:lang w:eastAsia="en-US"/>
              </w:rPr>
            </w:pPr>
            <w:r w:rsidRPr="00F73A5E">
              <w:rPr>
                <w:rFonts w:eastAsia="Times New Roman"/>
                <w:color w:val="000000"/>
                <w:sz w:val="18"/>
                <w:szCs w:val="18"/>
                <w:lang w:eastAsia="en-US"/>
              </w:rPr>
              <w:t>Other indirect activities</w:t>
            </w:r>
          </w:p>
        </w:tc>
        <w:tc>
          <w:tcPr>
            <w:tcW w:w="2979" w:type="dxa"/>
            <w:tcBorders>
              <w:top w:val="nil"/>
              <w:left w:val="nil"/>
              <w:bottom w:val="single" w:sz="4" w:space="0" w:color="auto"/>
              <w:right w:val="single" w:sz="4" w:space="0" w:color="auto"/>
            </w:tcBorders>
            <w:shd w:val="clear" w:color="auto" w:fill="auto"/>
            <w:vAlign w:val="center"/>
          </w:tcPr>
          <w:p w:rsidR="00677F67" w:rsidRPr="00152A5B" w:rsidRDefault="00677F67" w:rsidP="001118B4">
            <w:pPr>
              <w:keepLines/>
              <w:jc w:val="center"/>
              <w:rPr>
                <w:rFonts w:eastAsia="Times New Roman"/>
                <w:color w:val="000000"/>
                <w:sz w:val="18"/>
                <w:szCs w:val="18"/>
                <w:lang w:eastAsia="en-US"/>
              </w:rPr>
            </w:pPr>
            <w:r>
              <w:rPr>
                <w:rFonts w:eastAsia="Times New Roman"/>
                <w:color w:val="000000"/>
                <w:sz w:val="18"/>
                <w:szCs w:val="18"/>
                <w:lang w:eastAsia="en-US"/>
              </w:rPr>
              <w:t>IOD</w:t>
            </w:r>
          </w:p>
        </w:tc>
        <w:tc>
          <w:tcPr>
            <w:tcW w:w="1335" w:type="dxa"/>
            <w:tcBorders>
              <w:top w:val="nil"/>
              <w:left w:val="nil"/>
              <w:bottom w:val="single" w:sz="4" w:space="0" w:color="auto"/>
              <w:right w:val="single" w:sz="4" w:space="0" w:color="auto"/>
            </w:tcBorders>
            <w:shd w:val="clear" w:color="auto" w:fill="FFFF00"/>
            <w:vAlign w:val="center"/>
          </w:tcPr>
          <w:p w:rsidR="00677F67" w:rsidRPr="00152A5B" w:rsidRDefault="00677F67" w:rsidP="001118B4">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2539F1" w:rsidRPr="00F73A5E" w:rsidRDefault="002539F1" w:rsidP="00FD2537">
            <w:pPr>
              <w:keepLines/>
              <w:rPr>
                <w:rFonts w:eastAsia="Times New Roman"/>
                <w:color w:val="000000"/>
                <w:sz w:val="18"/>
                <w:szCs w:val="18"/>
                <w:lang w:eastAsia="en-US"/>
              </w:rPr>
            </w:pPr>
            <w:r w:rsidRPr="00F73A5E">
              <w:rPr>
                <w:rFonts w:eastAsia="Times New Roman"/>
                <w:color w:val="000000"/>
                <w:sz w:val="18"/>
                <w:szCs w:val="18"/>
                <w:lang w:eastAsia="en-US"/>
              </w:rPr>
              <w:t>Follow-up of open recommendations</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rFonts w:eastAsia="Times New Roman"/>
                <w:color w:val="000000"/>
                <w:sz w:val="18"/>
                <w:szCs w:val="18"/>
                <w:lang w:eastAsia="en-US"/>
              </w:rPr>
            </w:pPr>
            <w:r w:rsidRPr="00152A5B">
              <w:rPr>
                <w:rFonts w:eastAsia="Times New Roman"/>
                <w:color w:val="000000"/>
                <w:sz w:val="18"/>
                <w:szCs w:val="18"/>
                <w:lang w:eastAsia="en-US"/>
              </w:rPr>
              <w:t>All</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2539F1" w:rsidRPr="00F73A5E" w:rsidRDefault="002539F1" w:rsidP="00FD2537">
            <w:pPr>
              <w:keepLines/>
              <w:rPr>
                <w:rFonts w:eastAsia="Times New Roman"/>
                <w:color w:val="000000"/>
                <w:sz w:val="18"/>
                <w:szCs w:val="18"/>
                <w:lang w:eastAsia="en-US"/>
              </w:rPr>
            </w:pPr>
            <w:r w:rsidRPr="00F73A5E">
              <w:rPr>
                <w:rFonts w:eastAsia="Times New Roman"/>
                <w:color w:val="000000"/>
                <w:sz w:val="18"/>
                <w:szCs w:val="18"/>
                <w:lang w:eastAsia="en-US"/>
              </w:rPr>
              <w:t>Training</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rFonts w:eastAsia="Times New Roman"/>
                <w:color w:val="000000"/>
                <w:sz w:val="18"/>
                <w:szCs w:val="18"/>
                <w:lang w:eastAsia="en-US"/>
              </w:rPr>
            </w:pPr>
            <w:r>
              <w:rPr>
                <w:rFonts w:eastAsia="Times New Roman"/>
                <w:color w:val="000000"/>
                <w:sz w:val="18"/>
                <w:szCs w:val="18"/>
                <w:lang w:eastAsia="en-US"/>
              </w:rPr>
              <w:t>IOD</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bl>
    <w:p w:rsidR="00E32ADE" w:rsidRDefault="00E32ADE" w:rsidP="00E32ADE">
      <w:pPr>
        <w:spacing w:before="60" w:after="60"/>
      </w:pPr>
      <w:r>
        <w:t>Code:</w:t>
      </w:r>
    </w:p>
    <w:tbl>
      <w:tblPr>
        <w:tblStyle w:val="TableGrid"/>
        <w:tblW w:w="0" w:type="auto"/>
        <w:tblLook w:val="04A0" w:firstRow="1" w:lastRow="0" w:firstColumn="1" w:lastColumn="0" w:noHBand="0" w:noVBand="1"/>
      </w:tblPr>
      <w:tblGrid>
        <w:gridCol w:w="1843"/>
        <w:gridCol w:w="2552"/>
      </w:tblGrid>
      <w:tr w:rsidR="00E32ADE" w:rsidRPr="003F2B38" w:rsidTr="00FD2537">
        <w:trPr>
          <w:trHeight w:val="193"/>
        </w:trPr>
        <w:tc>
          <w:tcPr>
            <w:tcW w:w="1843" w:type="dxa"/>
            <w:shd w:val="clear" w:color="auto" w:fill="FFFF00"/>
          </w:tcPr>
          <w:p w:rsidR="00E32ADE" w:rsidRPr="003F2B38" w:rsidRDefault="00E32ADE" w:rsidP="00FD2537">
            <w:pPr>
              <w:rPr>
                <w:sz w:val="18"/>
                <w:szCs w:val="18"/>
              </w:rPr>
            </w:pPr>
          </w:p>
        </w:tc>
        <w:tc>
          <w:tcPr>
            <w:tcW w:w="2552" w:type="dxa"/>
          </w:tcPr>
          <w:p w:rsidR="00E32ADE" w:rsidRPr="003F2B38" w:rsidRDefault="00E32ADE" w:rsidP="00FD2537">
            <w:pPr>
              <w:ind w:left="34"/>
              <w:rPr>
                <w:sz w:val="18"/>
                <w:szCs w:val="18"/>
              </w:rPr>
            </w:pPr>
            <w:r w:rsidRPr="003F2B38">
              <w:rPr>
                <w:sz w:val="18"/>
                <w:szCs w:val="18"/>
              </w:rPr>
              <w:t>In progress or on-going</w:t>
            </w:r>
          </w:p>
        </w:tc>
      </w:tr>
      <w:tr w:rsidR="00E32ADE" w:rsidRPr="003F2B38" w:rsidTr="00FD2537">
        <w:tc>
          <w:tcPr>
            <w:tcW w:w="1843" w:type="dxa"/>
            <w:shd w:val="clear" w:color="auto" w:fill="92D050"/>
          </w:tcPr>
          <w:p w:rsidR="00E32ADE" w:rsidRPr="003F2B38" w:rsidRDefault="00E32ADE" w:rsidP="00FD2537">
            <w:pPr>
              <w:rPr>
                <w:sz w:val="18"/>
                <w:szCs w:val="18"/>
              </w:rPr>
            </w:pPr>
          </w:p>
        </w:tc>
        <w:tc>
          <w:tcPr>
            <w:tcW w:w="2552" w:type="dxa"/>
          </w:tcPr>
          <w:p w:rsidR="00E32ADE" w:rsidRPr="003F2B38" w:rsidRDefault="00E32ADE" w:rsidP="00FD2537">
            <w:pPr>
              <w:ind w:left="34"/>
              <w:rPr>
                <w:sz w:val="18"/>
                <w:szCs w:val="18"/>
              </w:rPr>
            </w:pPr>
            <w:r w:rsidRPr="003F2B38">
              <w:rPr>
                <w:sz w:val="18"/>
                <w:szCs w:val="18"/>
              </w:rPr>
              <w:t>Completed</w:t>
            </w:r>
          </w:p>
        </w:tc>
      </w:tr>
      <w:tr w:rsidR="00E32ADE" w:rsidRPr="003F2B38" w:rsidTr="00FD2537">
        <w:tc>
          <w:tcPr>
            <w:tcW w:w="1843" w:type="dxa"/>
          </w:tcPr>
          <w:p w:rsidR="00E32ADE" w:rsidRPr="003F2B38" w:rsidRDefault="00E32ADE" w:rsidP="00FD2537">
            <w:pPr>
              <w:rPr>
                <w:sz w:val="18"/>
                <w:szCs w:val="18"/>
              </w:rPr>
            </w:pPr>
          </w:p>
        </w:tc>
        <w:tc>
          <w:tcPr>
            <w:tcW w:w="2552" w:type="dxa"/>
          </w:tcPr>
          <w:p w:rsidR="00E32ADE" w:rsidRPr="003F2B38" w:rsidRDefault="00392212" w:rsidP="00FD2537">
            <w:pPr>
              <w:ind w:left="34"/>
              <w:rPr>
                <w:sz w:val="18"/>
                <w:szCs w:val="18"/>
              </w:rPr>
            </w:pPr>
            <w:r>
              <w:rPr>
                <w:sz w:val="18"/>
                <w:szCs w:val="18"/>
              </w:rPr>
              <w:t>Planned but 0</w:t>
            </w:r>
            <w:r w:rsidR="00E32ADE" w:rsidRPr="003F2B38">
              <w:rPr>
                <w:sz w:val="18"/>
                <w:szCs w:val="18"/>
              </w:rPr>
              <w:t>Not started</w:t>
            </w:r>
          </w:p>
        </w:tc>
      </w:tr>
    </w:tbl>
    <w:p w:rsidR="000921A9" w:rsidRDefault="000921A9" w:rsidP="00E32ADE">
      <w:pPr>
        <w:keepLines/>
        <w:ind w:left="5533"/>
      </w:pPr>
    </w:p>
    <w:p w:rsidR="000921A9" w:rsidRDefault="000921A9" w:rsidP="00E32ADE">
      <w:pPr>
        <w:keepLines/>
        <w:ind w:left="5533"/>
      </w:pPr>
    </w:p>
    <w:p w:rsidR="00E32ADE" w:rsidRPr="00DA5DBB" w:rsidRDefault="00E32ADE" w:rsidP="00E32ADE">
      <w:pPr>
        <w:keepLines/>
        <w:ind w:left="5533"/>
        <w:sectPr w:rsidR="00E32ADE" w:rsidRPr="00DA5DBB" w:rsidSect="001E2D32">
          <w:headerReference w:type="default" r:id="rId25"/>
          <w:footnotePr>
            <w:numRestart w:val="eachSect"/>
          </w:footnotePr>
          <w:endnotePr>
            <w:numFmt w:val="decimal"/>
          </w:endnotePr>
          <w:pgSz w:w="11907" w:h="16840" w:code="9"/>
          <w:pgMar w:top="567" w:right="1134" w:bottom="1418" w:left="1418" w:header="510" w:footer="1021" w:gutter="0"/>
          <w:cols w:space="720"/>
          <w:docGrid w:linePitch="299"/>
        </w:sectPr>
      </w:pPr>
      <w:r w:rsidRPr="00DA5DBB">
        <w:t xml:space="preserve">[Annex </w:t>
      </w:r>
      <w:r>
        <w:t>I</w:t>
      </w:r>
      <w:r w:rsidRPr="00DA5DBB">
        <w:t>I follows]</w:t>
      </w:r>
    </w:p>
    <w:p w:rsidR="00E32ADE" w:rsidRDefault="00E32ADE" w:rsidP="00E32ADE">
      <w:pPr>
        <w:keepLines/>
        <w:jc w:val="center"/>
        <w:rPr>
          <w:b/>
          <w:bCs/>
        </w:rPr>
      </w:pPr>
      <w:r w:rsidRPr="00DA5DBB">
        <w:rPr>
          <w:b/>
          <w:bCs/>
        </w:rPr>
        <w:lastRenderedPageBreak/>
        <w:t xml:space="preserve">List of </w:t>
      </w:r>
      <w:r>
        <w:rPr>
          <w:b/>
          <w:bCs/>
        </w:rPr>
        <w:t>IOD</w:t>
      </w:r>
      <w:r w:rsidRPr="00DA5DBB">
        <w:rPr>
          <w:b/>
          <w:bCs/>
        </w:rPr>
        <w:t xml:space="preserve"> Reports</w:t>
      </w:r>
      <w:r w:rsidRPr="00DA5DBB">
        <w:rPr>
          <w:b/>
          <w:bCs/>
        </w:rPr>
        <w:br/>
        <w:t>July 1, 201</w:t>
      </w:r>
      <w:r>
        <w:rPr>
          <w:b/>
          <w:bCs/>
        </w:rPr>
        <w:t>4</w:t>
      </w:r>
      <w:r w:rsidRPr="00DA5DBB">
        <w:rPr>
          <w:b/>
          <w:bCs/>
        </w:rPr>
        <w:t xml:space="preserve"> to June 30, 201</w:t>
      </w:r>
      <w:r>
        <w:rPr>
          <w:b/>
          <w:bCs/>
        </w:rPr>
        <w:t>5</w:t>
      </w:r>
    </w:p>
    <w:p w:rsidR="00E32ADE" w:rsidRPr="00DA5DBB" w:rsidRDefault="00E32ADE" w:rsidP="00E32ADE">
      <w:pPr>
        <w:keepLines/>
        <w:jc w:val="center"/>
        <w:rPr>
          <w:b/>
          <w:bCs/>
        </w:rPr>
      </w:pPr>
    </w:p>
    <w:tbl>
      <w:tblPr>
        <w:tblStyle w:val="TableGrid"/>
        <w:tblW w:w="0" w:type="auto"/>
        <w:tblLook w:val="04A0" w:firstRow="1" w:lastRow="0" w:firstColumn="1" w:lastColumn="0" w:noHBand="0" w:noVBand="1"/>
      </w:tblPr>
      <w:tblGrid>
        <w:gridCol w:w="7371"/>
        <w:gridCol w:w="2092"/>
      </w:tblGrid>
      <w:tr w:rsidR="006E5C22" w:rsidRPr="008D5D49" w:rsidTr="00920E74">
        <w:trPr>
          <w:trHeight w:val="340"/>
        </w:trPr>
        <w:tc>
          <w:tcPr>
            <w:tcW w:w="7371" w:type="dxa"/>
            <w:vAlign w:val="center"/>
          </w:tcPr>
          <w:p w:rsidR="006E5C22" w:rsidRPr="00F73A5E" w:rsidRDefault="006E5C22" w:rsidP="00920E74">
            <w:pPr>
              <w:keepLines/>
              <w:ind w:left="34"/>
            </w:pPr>
            <w:r w:rsidRPr="00F73A5E">
              <w:t>Audit of Events management</w:t>
            </w:r>
            <w:r w:rsidRPr="00F73A5E">
              <w:rPr>
                <w:rStyle w:val="FootnoteReference"/>
              </w:rPr>
              <w:footnoteReference w:id="19"/>
            </w:r>
          </w:p>
        </w:tc>
        <w:tc>
          <w:tcPr>
            <w:tcW w:w="2092" w:type="dxa"/>
            <w:vAlign w:val="center"/>
          </w:tcPr>
          <w:p w:rsidR="006E5C22" w:rsidRPr="00F73A5E" w:rsidRDefault="006E5C22" w:rsidP="00920E74">
            <w:pPr>
              <w:keepLines/>
              <w:ind w:left="0" w:hanging="41"/>
            </w:pPr>
            <w:r w:rsidRPr="00F73A5E">
              <w:t>IA 2014-02</w:t>
            </w:r>
          </w:p>
        </w:tc>
      </w:tr>
      <w:tr w:rsidR="006E5C22" w:rsidRPr="008D5D49" w:rsidTr="00920E74">
        <w:trPr>
          <w:trHeight w:val="340"/>
        </w:trPr>
        <w:tc>
          <w:tcPr>
            <w:tcW w:w="7371" w:type="dxa"/>
            <w:vAlign w:val="center"/>
          </w:tcPr>
          <w:p w:rsidR="006E5C22" w:rsidRPr="00F73A5E" w:rsidRDefault="006E5C22" w:rsidP="00920E74">
            <w:pPr>
              <w:keepLines/>
              <w:ind w:left="34"/>
            </w:pPr>
            <w:r w:rsidRPr="00F73A5E">
              <w:t xml:space="preserve">Audit of Asset Management </w:t>
            </w:r>
          </w:p>
        </w:tc>
        <w:tc>
          <w:tcPr>
            <w:tcW w:w="2092" w:type="dxa"/>
            <w:vAlign w:val="center"/>
          </w:tcPr>
          <w:p w:rsidR="006E5C22" w:rsidRPr="00F73A5E" w:rsidRDefault="006E5C22" w:rsidP="00920E74">
            <w:pPr>
              <w:keepLines/>
              <w:ind w:left="0" w:hanging="41"/>
            </w:pPr>
            <w:r w:rsidRPr="00F73A5E">
              <w:t>IA 2014-05</w:t>
            </w:r>
          </w:p>
        </w:tc>
      </w:tr>
      <w:tr w:rsidR="006E5C22" w:rsidRPr="008D5D49" w:rsidTr="00920E74">
        <w:trPr>
          <w:trHeight w:val="340"/>
        </w:trPr>
        <w:tc>
          <w:tcPr>
            <w:tcW w:w="7371" w:type="dxa"/>
            <w:vAlign w:val="center"/>
          </w:tcPr>
          <w:p w:rsidR="006E5C22" w:rsidRPr="00F73A5E" w:rsidRDefault="006E5C22" w:rsidP="00920E74">
            <w:pPr>
              <w:keepLines/>
              <w:ind w:left="34"/>
            </w:pPr>
            <w:r w:rsidRPr="00F73A5E">
              <w:t>Audit of Third Party Risk</w:t>
            </w:r>
          </w:p>
        </w:tc>
        <w:tc>
          <w:tcPr>
            <w:tcW w:w="2092" w:type="dxa"/>
            <w:vAlign w:val="center"/>
          </w:tcPr>
          <w:p w:rsidR="006E5C22" w:rsidRPr="00F73A5E" w:rsidRDefault="006E5C22" w:rsidP="00920E74">
            <w:pPr>
              <w:keepLines/>
              <w:ind w:left="0" w:hanging="41"/>
            </w:pPr>
            <w:r w:rsidRPr="00F73A5E">
              <w:t>IA 2014-07</w:t>
            </w:r>
          </w:p>
        </w:tc>
      </w:tr>
      <w:tr w:rsidR="006E5C22" w:rsidRPr="008D5D49" w:rsidTr="00920E74">
        <w:trPr>
          <w:trHeight w:val="340"/>
        </w:trPr>
        <w:tc>
          <w:tcPr>
            <w:tcW w:w="7371" w:type="dxa"/>
            <w:vAlign w:val="center"/>
          </w:tcPr>
          <w:p w:rsidR="006E5C22" w:rsidRPr="00F73A5E" w:rsidRDefault="006E5C22" w:rsidP="00920E74">
            <w:pPr>
              <w:keepLines/>
              <w:ind w:left="34"/>
            </w:pPr>
            <w:r w:rsidRPr="00F73A5E">
              <w:t>Audit of Business Continuity Management</w:t>
            </w:r>
            <w:r w:rsidRPr="00F73A5E">
              <w:rPr>
                <w:rStyle w:val="FootnoteReference"/>
              </w:rPr>
              <w:footnoteReference w:id="20"/>
            </w:r>
          </w:p>
        </w:tc>
        <w:tc>
          <w:tcPr>
            <w:tcW w:w="2092" w:type="dxa"/>
            <w:vAlign w:val="center"/>
          </w:tcPr>
          <w:p w:rsidR="006E5C22" w:rsidRPr="00F73A5E" w:rsidRDefault="006E5C22" w:rsidP="00920E74">
            <w:pPr>
              <w:keepLines/>
              <w:ind w:left="0" w:hanging="41"/>
            </w:pPr>
            <w:r w:rsidRPr="00F73A5E">
              <w:t>IA 2015-01</w:t>
            </w:r>
          </w:p>
        </w:tc>
      </w:tr>
      <w:tr w:rsidR="006E5C22" w:rsidRPr="008D5D49" w:rsidTr="00920E74">
        <w:trPr>
          <w:trHeight w:val="340"/>
        </w:trPr>
        <w:tc>
          <w:tcPr>
            <w:tcW w:w="7371" w:type="dxa"/>
            <w:vAlign w:val="center"/>
          </w:tcPr>
          <w:p w:rsidR="006E5C22" w:rsidRPr="00F73A5E" w:rsidRDefault="006E5C22" w:rsidP="00920E74">
            <w:pPr>
              <w:keepLines/>
              <w:ind w:left="34"/>
            </w:pPr>
            <w:r w:rsidRPr="00F73A5E">
              <w:t>Audit of the WIPO Academy</w:t>
            </w:r>
          </w:p>
        </w:tc>
        <w:tc>
          <w:tcPr>
            <w:tcW w:w="2092" w:type="dxa"/>
            <w:vAlign w:val="center"/>
          </w:tcPr>
          <w:p w:rsidR="006E5C22" w:rsidRPr="00F73A5E" w:rsidRDefault="006E5C22" w:rsidP="00920E74">
            <w:pPr>
              <w:keepLines/>
              <w:ind w:left="0" w:hanging="41"/>
            </w:pPr>
            <w:r w:rsidRPr="00F73A5E">
              <w:t>IA 2015-02</w:t>
            </w:r>
          </w:p>
        </w:tc>
      </w:tr>
      <w:tr w:rsidR="006E5C22" w:rsidRPr="008D5D49" w:rsidTr="00920E74">
        <w:trPr>
          <w:trHeight w:val="340"/>
        </w:trPr>
        <w:tc>
          <w:tcPr>
            <w:tcW w:w="7371" w:type="dxa"/>
            <w:vAlign w:val="center"/>
          </w:tcPr>
          <w:p w:rsidR="006E5C22" w:rsidRPr="00F73A5E" w:rsidRDefault="006E5C22" w:rsidP="00920E74">
            <w:pPr>
              <w:keepLines/>
              <w:ind w:left="34"/>
            </w:pPr>
            <w:r w:rsidRPr="00F73A5E">
              <w:t>Audit of Safety and Security Services</w:t>
            </w:r>
            <w:r w:rsidRPr="00F73A5E">
              <w:rPr>
                <w:rStyle w:val="FootnoteReference"/>
              </w:rPr>
              <w:footnoteReference w:id="21"/>
            </w:r>
          </w:p>
        </w:tc>
        <w:tc>
          <w:tcPr>
            <w:tcW w:w="2092" w:type="dxa"/>
            <w:vAlign w:val="center"/>
          </w:tcPr>
          <w:p w:rsidR="006E5C22" w:rsidRPr="00F73A5E" w:rsidRDefault="006E5C22" w:rsidP="00920E74">
            <w:pPr>
              <w:keepLines/>
              <w:ind w:left="0" w:hanging="41"/>
            </w:pPr>
            <w:r w:rsidRPr="00F73A5E">
              <w:t>IA 2015-05</w:t>
            </w:r>
          </w:p>
        </w:tc>
      </w:tr>
      <w:tr w:rsidR="002539F1" w:rsidRPr="008D5D49" w:rsidTr="0013256A">
        <w:trPr>
          <w:trHeight w:val="340"/>
        </w:trPr>
        <w:tc>
          <w:tcPr>
            <w:tcW w:w="7371" w:type="dxa"/>
          </w:tcPr>
          <w:p w:rsidR="002539F1" w:rsidRPr="00381AB7" w:rsidRDefault="002539F1" w:rsidP="0013256A">
            <w:pPr>
              <w:ind w:left="34"/>
            </w:pPr>
            <w:r w:rsidRPr="00381AB7">
              <w:t>Strategic Goal VI: International Cooperation on Building Respect for Intellectual Property</w:t>
            </w:r>
          </w:p>
        </w:tc>
        <w:tc>
          <w:tcPr>
            <w:tcW w:w="2092" w:type="dxa"/>
            <w:vAlign w:val="center"/>
          </w:tcPr>
          <w:p w:rsidR="002539F1" w:rsidRPr="008D5D49" w:rsidRDefault="002539F1" w:rsidP="0013256A">
            <w:pPr>
              <w:keepLines/>
              <w:ind w:left="0" w:hanging="41"/>
              <w:rPr>
                <w:highlight w:val="yellow"/>
              </w:rPr>
            </w:pPr>
            <w:r w:rsidRPr="00381AB7">
              <w:t>EVAL 2014 – 01</w:t>
            </w:r>
          </w:p>
        </w:tc>
      </w:tr>
      <w:tr w:rsidR="002539F1" w:rsidRPr="008D5D49" w:rsidTr="0013256A">
        <w:trPr>
          <w:trHeight w:val="340"/>
        </w:trPr>
        <w:tc>
          <w:tcPr>
            <w:tcW w:w="7371" w:type="dxa"/>
          </w:tcPr>
          <w:p w:rsidR="002539F1" w:rsidRDefault="002539F1" w:rsidP="0013256A">
            <w:pPr>
              <w:ind w:left="34"/>
            </w:pPr>
            <w:r w:rsidRPr="00381AB7">
              <w:t>Knowledge Sharing in WIPO</w:t>
            </w:r>
          </w:p>
        </w:tc>
        <w:tc>
          <w:tcPr>
            <w:tcW w:w="2092" w:type="dxa"/>
            <w:vAlign w:val="center"/>
          </w:tcPr>
          <w:p w:rsidR="002539F1" w:rsidRPr="008D5D49" w:rsidRDefault="002539F1" w:rsidP="0013256A">
            <w:pPr>
              <w:keepLines/>
              <w:ind w:left="0" w:hanging="41"/>
              <w:rPr>
                <w:highlight w:val="yellow"/>
              </w:rPr>
            </w:pPr>
            <w:r w:rsidRPr="00381AB7">
              <w:t>EVAL 2014 – 02</w:t>
            </w:r>
          </w:p>
        </w:tc>
      </w:tr>
      <w:tr w:rsidR="002539F1" w:rsidRPr="008D5D49" w:rsidTr="0013256A">
        <w:trPr>
          <w:trHeight w:val="340"/>
        </w:trPr>
        <w:tc>
          <w:tcPr>
            <w:tcW w:w="7371" w:type="dxa"/>
          </w:tcPr>
          <w:p w:rsidR="002539F1" w:rsidRPr="00FC57A9" w:rsidRDefault="002539F1" w:rsidP="0013256A">
            <w:pPr>
              <w:ind w:left="34"/>
            </w:pPr>
            <w:r w:rsidRPr="00FC57A9">
              <w:t xml:space="preserve">Chile Country Portfolio Evaluation </w:t>
            </w:r>
          </w:p>
        </w:tc>
        <w:tc>
          <w:tcPr>
            <w:tcW w:w="2092" w:type="dxa"/>
            <w:vAlign w:val="center"/>
          </w:tcPr>
          <w:p w:rsidR="002539F1" w:rsidRPr="008D5D49" w:rsidRDefault="002539F1" w:rsidP="0013256A">
            <w:pPr>
              <w:keepLines/>
              <w:ind w:left="0" w:hanging="41"/>
              <w:rPr>
                <w:highlight w:val="yellow"/>
              </w:rPr>
            </w:pPr>
            <w:r w:rsidRPr="00FC57A9">
              <w:t>EVAL 2014 – 05</w:t>
            </w:r>
          </w:p>
        </w:tc>
      </w:tr>
      <w:tr w:rsidR="002539F1" w:rsidRPr="008D5D49" w:rsidTr="0013256A">
        <w:trPr>
          <w:trHeight w:val="340"/>
        </w:trPr>
        <w:tc>
          <w:tcPr>
            <w:tcW w:w="7371" w:type="dxa"/>
          </w:tcPr>
          <w:p w:rsidR="002539F1" w:rsidRDefault="002539F1" w:rsidP="0013256A">
            <w:pPr>
              <w:ind w:left="34"/>
            </w:pPr>
            <w:r w:rsidRPr="00FC57A9">
              <w:t>Rewards and Recognition Pilot Program</w:t>
            </w:r>
          </w:p>
        </w:tc>
        <w:tc>
          <w:tcPr>
            <w:tcW w:w="2092" w:type="dxa"/>
            <w:vAlign w:val="center"/>
          </w:tcPr>
          <w:p w:rsidR="002539F1" w:rsidRPr="008D5D49" w:rsidRDefault="002539F1" w:rsidP="0013256A">
            <w:pPr>
              <w:keepLines/>
              <w:ind w:left="0" w:hanging="41"/>
              <w:rPr>
                <w:highlight w:val="yellow"/>
              </w:rPr>
            </w:pPr>
            <w:r w:rsidRPr="00FC57A9">
              <w:t>EVAL 2014 – 06</w:t>
            </w:r>
          </w:p>
        </w:tc>
      </w:tr>
      <w:tr w:rsidR="002539F1" w:rsidRPr="008D5D49" w:rsidTr="00674A65">
        <w:trPr>
          <w:trHeight w:val="340"/>
        </w:trPr>
        <w:tc>
          <w:tcPr>
            <w:tcW w:w="9463" w:type="dxa"/>
            <w:gridSpan w:val="2"/>
            <w:shd w:val="clear" w:color="auto" w:fill="auto"/>
            <w:vAlign w:val="center"/>
          </w:tcPr>
          <w:p w:rsidR="002539F1" w:rsidRPr="000F04D4" w:rsidRDefault="00674A65" w:rsidP="0013256A">
            <w:pPr>
              <w:keepLines/>
              <w:ind w:left="34"/>
            </w:pPr>
            <w:r>
              <w:t xml:space="preserve">24 </w:t>
            </w:r>
            <w:r w:rsidR="002539F1" w:rsidRPr="000F04D4">
              <w:t>investigation cases registered.</w:t>
            </w:r>
          </w:p>
        </w:tc>
      </w:tr>
      <w:tr w:rsidR="002539F1" w:rsidTr="00674A65">
        <w:trPr>
          <w:trHeight w:val="340"/>
        </w:trPr>
        <w:tc>
          <w:tcPr>
            <w:tcW w:w="9463" w:type="dxa"/>
            <w:gridSpan w:val="2"/>
            <w:shd w:val="clear" w:color="auto" w:fill="auto"/>
            <w:vAlign w:val="center"/>
          </w:tcPr>
          <w:p w:rsidR="002539F1" w:rsidRPr="006E5C22" w:rsidRDefault="00674A65" w:rsidP="0013256A">
            <w:pPr>
              <w:keepLines/>
              <w:ind w:left="34"/>
            </w:pPr>
            <w:r>
              <w:t xml:space="preserve">18 </w:t>
            </w:r>
            <w:r w:rsidR="002539F1" w:rsidRPr="000F04D4">
              <w:t>investigation cases closed, representin</w:t>
            </w:r>
            <w:r>
              <w:t>g during the reporting period</w:t>
            </w:r>
            <w:r w:rsidR="002539F1" w:rsidRPr="000F04D4">
              <w:t xml:space="preserve"> </w:t>
            </w:r>
            <w:r>
              <w:t>10 preliminary evaluation reports,</w:t>
            </w:r>
            <w:r w:rsidR="002539F1" w:rsidRPr="000F04D4">
              <w:t xml:space="preserve"> </w:t>
            </w:r>
            <w:r>
              <w:t xml:space="preserve">eight </w:t>
            </w:r>
            <w:r w:rsidR="002539F1" w:rsidRPr="000F04D4">
              <w:t xml:space="preserve">investigation reports, </w:t>
            </w:r>
            <w:r>
              <w:t>and</w:t>
            </w:r>
            <w:r w:rsidR="002539F1">
              <w:t xml:space="preserve"> </w:t>
            </w:r>
            <w:r>
              <w:t xml:space="preserve">two </w:t>
            </w:r>
            <w:r w:rsidR="002539F1">
              <w:t>MIRs</w:t>
            </w:r>
            <w:r w:rsidR="002539F1" w:rsidRPr="000F04D4">
              <w:t>.</w:t>
            </w:r>
          </w:p>
        </w:tc>
      </w:tr>
    </w:tbl>
    <w:p w:rsidR="00E32ADE" w:rsidRDefault="00E32ADE" w:rsidP="00E32ADE">
      <w:pPr>
        <w:keepLines/>
        <w:ind w:left="5533"/>
        <w:jc w:val="right"/>
      </w:pPr>
    </w:p>
    <w:p w:rsidR="000921A9" w:rsidRDefault="000921A9" w:rsidP="00E32ADE">
      <w:pPr>
        <w:keepLines/>
        <w:ind w:left="5533"/>
      </w:pPr>
    </w:p>
    <w:p w:rsidR="00E32ADE" w:rsidRDefault="00E32ADE" w:rsidP="00E32ADE">
      <w:pPr>
        <w:keepLines/>
        <w:ind w:left="5533"/>
      </w:pPr>
      <w:r w:rsidRPr="00DA5DBB">
        <w:t>[Annex I</w:t>
      </w:r>
      <w:r>
        <w:t>I</w:t>
      </w:r>
      <w:r w:rsidRPr="00DA5DBB">
        <w:t>I follows]</w:t>
      </w:r>
    </w:p>
    <w:p w:rsidR="00E32ADE" w:rsidRDefault="00E32ADE" w:rsidP="00E32ADE">
      <w:pPr>
        <w:keepLines/>
        <w:spacing w:before="180"/>
        <w:jc w:val="both"/>
        <w:sectPr w:rsidR="00E32ADE" w:rsidSect="00E365E6">
          <w:headerReference w:type="first" r:id="rId26"/>
          <w:footnotePr>
            <w:numRestart w:val="eachPage"/>
          </w:footnotePr>
          <w:endnotePr>
            <w:numFmt w:val="decimal"/>
          </w:endnotePr>
          <w:pgSz w:w="11907" w:h="16840" w:code="9"/>
          <w:pgMar w:top="1305" w:right="1134" w:bottom="1418" w:left="1418" w:header="510" w:footer="1021" w:gutter="0"/>
          <w:cols w:space="720"/>
          <w:titlePg/>
          <w:docGrid w:linePitch="299"/>
        </w:sectPr>
      </w:pPr>
    </w:p>
    <w:p w:rsidR="00E32ADE" w:rsidRPr="00DA5DBB" w:rsidRDefault="00E32ADE" w:rsidP="00E32ADE">
      <w:pPr>
        <w:keepLines/>
        <w:jc w:val="center"/>
        <w:rPr>
          <w:b/>
          <w:bCs/>
        </w:rPr>
      </w:pPr>
      <w:r w:rsidRPr="00DA5DBB">
        <w:rPr>
          <w:b/>
          <w:bCs/>
        </w:rPr>
        <w:lastRenderedPageBreak/>
        <w:t xml:space="preserve">LIST OF </w:t>
      </w:r>
      <w:r>
        <w:rPr>
          <w:b/>
          <w:bCs/>
        </w:rPr>
        <w:t>IOD</w:t>
      </w:r>
      <w:r w:rsidRPr="00DA5DBB">
        <w:rPr>
          <w:b/>
          <w:bCs/>
        </w:rPr>
        <w:t xml:space="preserve"> CONSULTING AND ADVISORY ACTIVITIES</w:t>
      </w:r>
    </w:p>
    <w:p w:rsidR="00E32ADE" w:rsidRPr="00DA5DBB" w:rsidRDefault="00E32ADE" w:rsidP="00E32ADE">
      <w:pPr>
        <w:keepLines/>
        <w:jc w:val="center"/>
        <w:rPr>
          <w:b/>
          <w:bCs/>
        </w:rPr>
      </w:pPr>
    </w:p>
    <w:p w:rsidR="00E32ADE" w:rsidRDefault="00E32ADE" w:rsidP="00E32ADE">
      <w:pPr>
        <w:keepLines/>
        <w:tabs>
          <w:tab w:val="left" w:pos="1134"/>
        </w:tabs>
        <w:spacing w:line="360" w:lineRule="auto"/>
      </w:pPr>
    </w:p>
    <w:p w:rsidR="002539F1" w:rsidRDefault="002539F1" w:rsidP="002539F1">
      <w:pPr>
        <w:keepLines/>
        <w:numPr>
          <w:ilvl w:val="0"/>
          <w:numId w:val="12"/>
        </w:numPr>
        <w:tabs>
          <w:tab w:val="left" w:pos="1134"/>
        </w:tabs>
        <w:spacing w:line="360" w:lineRule="auto"/>
      </w:pPr>
      <w:r>
        <w:t>Financial Regulations</w:t>
      </w:r>
    </w:p>
    <w:p w:rsidR="002539F1" w:rsidRDefault="002539F1" w:rsidP="002539F1">
      <w:pPr>
        <w:keepLines/>
        <w:numPr>
          <w:ilvl w:val="0"/>
          <w:numId w:val="12"/>
        </w:numPr>
        <w:tabs>
          <w:tab w:val="left" w:pos="1134"/>
        </w:tabs>
        <w:spacing w:line="360" w:lineRule="auto"/>
      </w:pPr>
      <w:r>
        <w:t>Audit Clause in WIPO contracts</w:t>
      </w:r>
    </w:p>
    <w:p w:rsidR="002539F1" w:rsidRDefault="002539F1" w:rsidP="002539F1">
      <w:pPr>
        <w:keepLines/>
        <w:numPr>
          <w:ilvl w:val="0"/>
          <w:numId w:val="12"/>
        </w:numPr>
        <w:tabs>
          <w:tab w:val="left" w:pos="1134"/>
        </w:tabs>
        <w:spacing w:line="360" w:lineRule="auto"/>
      </w:pPr>
      <w:r>
        <w:t>Property Survey Board (PSB)</w:t>
      </w:r>
    </w:p>
    <w:p w:rsidR="002539F1" w:rsidRPr="00DA5DBB" w:rsidRDefault="002539F1" w:rsidP="002539F1">
      <w:pPr>
        <w:keepLines/>
        <w:numPr>
          <w:ilvl w:val="0"/>
          <w:numId w:val="12"/>
        </w:numPr>
        <w:tabs>
          <w:tab w:val="left" w:pos="1134"/>
        </w:tabs>
        <w:spacing w:line="360" w:lineRule="auto"/>
      </w:pPr>
      <w:r>
        <w:t>Training provider on Risk Management</w:t>
      </w:r>
    </w:p>
    <w:p w:rsidR="002539F1" w:rsidRDefault="002539F1" w:rsidP="002539F1">
      <w:pPr>
        <w:keepLines/>
        <w:numPr>
          <w:ilvl w:val="0"/>
          <w:numId w:val="12"/>
        </w:numPr>
        <w:tabs>
          <w:tab w:val="left" w:pos="1134"/>
        </w:tabs>
        <w:spacing w:line="360" w:lineRule="auto"/>
      </w:pPr>
      <w:r>
        <w:t>Risk management and Internal Controls Manual</w:t>
      </w:r>
    </w:p>
    <w:p w:rsidR="002539F1" w:rsidRDefault="002539F1" w:rsidP="002539F1">
      <w:pPr>
        <w:keepLines/>
        <w:numPr>
          <w:ilvl w:val="0"/>
          <w:numId w:val="12"/>
        </w:numPr>
        <w:tabs>
          <w:tab w:val="left" w:pos="1134"/>
        </w:tabs>
        <w:spacing w:line="360" w:lineRule="auto"/>
      </w:pPr>
      <w:r>
        <w:t>Email archiving policy</w:t>
      </w:r>
    </w:p>
    <w:p w:rsidR="002539F1" w:rsidRDefault="002539F1" w:rsidP="002539F1">
      <w:pPr>
        <w:keepLines/>
        <w:numPr>
          <w:ilvl w:val="0"/>
          <w:numId w:val="12"/>
        </w:numPr>
        <w:tabs>
          <w:tab w:val="left" w:pos="1134"/>
        </w:tabs>
        <w:spacing w:line="360" w:lineRule="auto"/>
      </w:pPr>
      <w:r>
        <w:t>Management of Exceptions</w:t>
      </w:r>
    </w:p>
    <w:p w:rsidR="002539F1" w:rsidRDefault="002539F1" w:rsidP="002539F1">
      <w:pPr>
        <w:keepLines/>
        <w:numPr>
          <w:ilvl w:val="0"/>
          <w:numId w:val="12"/>
        </w:numPr>
        <w:tabs>
          <w:tab w:val="left" w:pos="1134"/>
        </w:tabs>
        <w:spacing w:line="360" w:lineRule="auto"/>
      </w:pPr>
      <w:r>
        <w:t>Electronic voting survey</w:t>
      </w:r>
    </w:p>
    <w:p w:rsidR="002539F1" w:rsidRDefault="002539F1" w:rsidP="002539F1">
      <w:pPr>
        <w:keepLines/>
        <w:numPr>
          <w:ilvl w:val="0"/>
          <w:numId w:val="12"/>
        </w:numPr>
        <w:tabs>
          <w:tab w:val="left" w:pos="1134"/>
        </w:tabs>
        <w:spacing w:line="360" w:lineRule="auto"/>
      </w:pPr>
      <w:r>
        <w:t>Policy on email accounts and files after the departure of staff</w:t>
      </w:r>
    </w:p>
    <w:p w:rsidR="002539F1" w:rsidRDefault="002539F1" w:rsidP="002539F1">
      <w:pPr>
        <w:keepLines/>
        <w:numPr>
          <w:ilvl w:val="0"/>
          <w:numId w:val="12"/>
        </w:numPr>
        <w:tabs>
          <w:tab w:val="left" w:pos="1134"/>
        </w:tabs>
        <w:spacing w:line="360" w:lineRule="auto"/>
      </w:pPr>
      <w:r>
        <w:t>Cash guidelines for external offices</w:t>
      </w:r>
    </w:p>
    <w:p w:rsidR="002539F1" w:rsidRDefault="002539F1" w:rsidP="002539F1">
      <w:pPr>
        <w:keepLines/>
        <w:numPr>
          <w:ilvl w:val="0"/>
          <w:numId w:val="12"/>
        </w:numPr>
        <w:tabs>
          <w:tab w:val="left" w:pos="1134"/>
        </w:tabs>
        <w:spacing w:line="360" w:lineRule="auto"/>
      </w:pPr>
      <w:r>
        <w:t>ESD performance framework</w:t>
      </w:r>
    </w:p>
    <w:p w:rsidR="002539F1" w:rsidRDefault="002539F1" w:rsidP="002539F1">
      <w:pPr>
        <w:keepLines/>
        <w:numPr>
          <w:ilvl w:val="0"/>
          <w:numId w:val="12"/>
        </w:numPr>
        <w:tabs>
          <w:tab w:val="left" w:pos="1134"/>
        </w:tabs>
        <w:spacing w:line="360" w:lineRule="auto"/>
      </w:pPr>
      <w:r w:rsidRPr="00FB0EC1">
        <w:t>Cooperation between IOD and S</w:t>
      </w:r>
      <w:r>
        <w:t>afety and Security Coordination Service (</w:t>
      </w:r>
      <w:r w:rsidRPr="00FB0EC1">
        <w:t>SSCS</w:t>
      </w:r>
      <w:r>
        <w:t>)</w:t>
      </w:r>
    </w:p>
    <w:p w:rsidR="002539F1" w:rsidRDefault="002539F1" w:rsidP="002539F1">
      <w:pPr>
        <w:keepLines/>
        <w:numPr>
          <w:ilvl w:val="0"/>
          <w:numId w:val="12"/>
        </w:numPr>
        <w:tabs>
          <w:tab w:val="left" w:pos="1134"/>
        </w:tabs>
        <w:spacing w:line="360" w:lineRule="auto"/>
      </w:pPr>
      <w:r>
        <w:t>Code of conduct managing vendor / supplier relationships</w:t>
      </w:r>
    </w:p>
    <w:p w:rsidR="002539F1" w:rsidRDefault="002539F1" w:rsidP="002539F1">
      <w:pPr>
        <w:keepLines/>
        <w:numPr>
          <w:ilvl w:val="0"/>
          <w:numId w:val="12"/>
        </w:numPr>
        <w:tabs>
          <w:tab w:val="left" w:pos="1134"/>
        </w:tabs>
        <w:spacing w:line="360" w:lineRule="auto"/>
      </w:pPr>
      <w:r>
        <w:t>WIPO’s vendors sanction regime</w:t>
      </w:r>
    </w:p>
    <w:p w:rsidR="002539F1" w:rsidRDefault="002539F1" w:rsidP="002539F1">
      <w:pPr>
        <w:keepLines/>
        <w:numPr>
          <w:ilvl w:val="0"/>
          <w:numId w:val="12"/>
        </w:numPr>
        <w:tabs>
          <w:tab w:val="left" w:pos="1134"/>
        </w:tabs>
        <w:spacing w:line="360" w:lineRule="auto"/>
      </w:pPr>
      <w:r>
        <w:t>Evaluation of Appropriate Technology (AT) project (FIT/</w:t>
      </w:r>
      <w:proofErr w:type="spellStart"/>
      <w:r>
        <w:t>RoK</w:t>
      </w:r>
      <w:proofErr w:type="spellEnd"/>
      <w:r>
        <w:t>)</w:t>
      </w:r>
    </w:p>
    <w:p w:rsidR="002539F1" w:rsidRDefault="002539F1" w:rsidP="002539F1">
      <w:pPr>
        <w:keepLines/>
        <w:numPr>
          <w:ilvl w:val="0"/>
          <w:numId w:val="12"/>
        </w:numPr>
        <w:tabs>
          <w:tab w:val="left" w:pos="1134"/>
        </w:tabs>
        <w:spacing w:line="360" w:lineRule="auto"/>
      </w:pPr>
      <w:r>
        <w:t xml:space="preserve">Assistance for </w:t>
      </w:r>
      <w:r w:rsidRPr="004B64C8">
        <w:t xml:space="preserve">Department of Program Planning and Finance </w:t>
      </w:r>
      <w:r>
        <w:t>(DPPF) KPIs</w:t>
      </w:r>
    </w:p>
    <w:p w:rsidR="002539F1" w:rsidRDefault="002539F1" w:rsidP="002539F1">
      <w:pPr>
        <w:keepLines/>
        <w:numPr>
          <w:ilvl w:val="0"/>
          <w:numId w:val="12"/>
        </w:numPr>
        <w:tabs>
          <w:tab w:val="left" w:pos="1134"/>
        </w:tabs>
        <w:spacing w:line="360" w:lineRule="auto"/>
      </w:pPr>
      <w:r>
        <w:t>Investment Committee</w:t>
      </w:r>
    </w:p>
    <w:p w:rsidR="002539F1" w:rsidRDefault="002539F1" w:rsidP="002539F1">
      <w:pPr>
        <w:keepLines/>
        <w:numPr>
          <w:ilvl w:val="0"/>
          <w:numId w:val="12"/>
        </w:numPr>
        <w:tabs>
          <w:tab w:val="left" w:pos="1134"/>
        </w:tabs>
        <w:spacing w:line="360" w:lineRule="auto"/>
      </w:pPr>
      <w:r>
        <w:t>United Nations Transparency and Accountability Initiative</w:t>
      </w:r>
    </w:p>
    <w:p w:rsidR="00E32ADE" w:rsidRDefault="00E32ADE" w:rsidP="00E32ADE">
      <w:pPr>
        <w:keepLines/>
        <w:tabs>
          <w:tab w:val="left" w:pos="1134"/>
        </w:tabs>
        <w:spacing w:line="360" w:lineRule="auto"/>
      </w:pPr>
    </w:p>
    <w:p w:rsidR="000921A9" w:rsidRDefault="000921A9" w:rsidP="00E32ADE">
      <w:pPr>
        <w:keepLines/>
        <w:tabs>
          <w:tab w:val="left" w:pos="1134"/>
        </w:tabs>
        <w:spacing w:line="360" w:lineRule="auto"/>
      </w:pPr>
    </w:p>
    <w:p w:rsidR="00E32ADE" w:rsidRPr="000B6226" w:rsidRDefault="00E32ADE" w:rsidP="00E32ADE">
      <w:pPr>
        <w:keepLines/>
        <w:ind w:left="5533"/>
      </w:pPr>
      <w:r>
        <w:t>[End of Annex</w:t>
      </w:r>
      <w:r w:rsidR="007E687F">
        <w:t xml:space="preserve"> III</w:t>
      </w:r>
      <w:r w:rsidRPr="00DA5DBB">
        <w:t xml:space="preserve"> and of document]</w:t>
      </w:r>
    </w:p>
    <w:p w:rsidR="00E412BD" w:rsidRDefault="00E412BD" w:rsidP="00E412BD">
      <w:pPr>
        <w:keepLines/>
        <w:spacing w:before="240"/>
        <w:ind w:left="2832" w:firstLine="708"/>
        <w:jc w:val="right"/>
        <w:rPr>
          <w:szCs w:val="22"/>
        </w:rPr>
      </w:pPr>
    </w:p>
    <w:sectPr w:rsidR="00E412BD" w:rsidSect="001E2D32">
      <w:headerReference w:type="first" r:id="rId27"/>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D58591" w15:done="0"/>
  <w15:commentEx w15:paraId="1925C2AF" w15:done="0"/>
  <w15:commentEx w15:paraId="4E0A76A3" w15:done="0"/>
  <w15:commentEx w15:paraId="301CD981" w15:done="0"/>
  <w15:commentEx w15:paraId="601446A5" w15:done="0"/>
  <w15:commentEx w15:paraId="268FB05B" w15:done="0"/>
  <w15:commentEx w15:paraId="3C81A3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E72" w:rsidRDefault="00714E72">
      <w:r>
        <w:separator/>
      </w:r>
    </w:p>
  </w:endnote>
  <w:endnote w:type="continuationSeparator" w:id="0">
    <w:p w:rsidR="00714E72" w:rsidRDefault="00714E72" w:rsidP="003B38C1">
      <w:r>
        <w:separator/>
      </w:r>
    </w:p>
    <w:p w:rsidR="00714E72" w:rsidRPr="003B38C1" w:rsidRDefault="00714E72" w:rsidP="003B38C1">
      <w:pPr>
        <w:spacing w:after="60"/>
        <w:rPr>
          <w:sz w:val="17"/>
        </w:rPr>
      </w:pPr>
      <w:r>
        <w:rPr>
          <w:sz w:val="17"/>
        </w:rPr>
        <w:t>[Endnote continued from previous page]</w:t>
      </w:r>
    </w:p>
  </w:endnote>
  <w:endnote w:type="continuationNotice" w:id="1">
    <w:p w:rsidR="00714E72" w:rsidRPr="003B38C1" w:rsidRDefault="00714E7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E72" w:rsidRDefault="00714E72">
      <w:r>
        <w:separator/>
      </w:r>
    </w:p>
  </w:footnote>
  <w:footnote w:type="continuationSeparator" w:id="0">
    <w:p w:rsidR="00714E72" w:rsidRDefault="00714E72" w:rsidP="008B60B2">
      <w:r>
        <w:separator/>
      </w:r>
    </w:p>
    <w:p w:rsidR="00714E72" w:rsidRPr="00ED77FB" w:rsidRDefault="00714E72" w:rsidP="008B60B2">
      <w:pPr>
        <w:spacing w:after="60"/>
        <w:rPr>
          <w:sz w:val="17"/>
          <w:szCs w:val="17"/>
        </w:rPr>
      </w:pPr>
      <w:r w:rsidRPr="00ED77FB">
        <w:rPr>
          <w:sz w:val="17"/>
          <w:szCs w:val="17"/>
        </w:rPr>
        <w:t>[Footnote continued from previous page]</w:t>
      </w:r>
    </w:p>
  </w:footnote>
  <w:footnote w:type="continuationNotice" w:id="1">
    <w:p w:rsidR="00714E72" w:rsidRPr="00ED77FB" w:rsidRDefault="00714E72" w:rsidP="008B60B2">
      <w:pPr>
        <w:spacing w:before="60"/>
        <w:jc w:val="right"/>
        <w:rPr>
          <w:sz w:val="17"/>
          <w:szCs w:val="17"/>
        </w:rPr>
      </w:pPr>
      <w:r w:rsidRPr="00ED77FB">
        <w:rPr>
          <w:sz w:val="17"/>
          <w:szCs w:val="17"/>
        </w:rPr>
        <w:t>[Footnote continued on next page]</w:t>
      </w:r>
    </w:p>
  </w:footnote>
  <w:footnote w:id="2">
    <w:p w:rsidR="00714E72" w:rsidRPr="001C0542" w:rsidRDefault="00714E72">
      <w:pPr>
        <w:pStyle w:val="FootnoteText"/>
      </w:pPr>
      <w:r>
        <w:rPr>
          <w:rStyle w:val="FootnoteReference"/>
        </w:rPr>
        <w:footnoteRef/>
      </w:r>
      <w:r>
        <w:t xml:space="preserve">  Refer to IOC paragraphs 38 and 39</w:t>
      </w:r>
    </w:p>
  </w:footnote>
  <w:footnote w:id="3">
    <w:p w:rsidR="00714E72" w:rsidRDefault="00714E72" w:rsidP="000D0188">
      <w:pPr>
        <w:pStyle w:val="FootnoteText"/>
      </w:pPr>
      <w:r>
        <w:rPr>
          <w:rStyle w:val="FootnoteReference"/>
        </w:rPr>
        <w:footnoteRef/>
      </w:r>
      <w:r>
        <w:t xml:space="preserve">  The list of reports features in Annex II.</w:t>
      </w:r>
    </w:p>
  </w:footnote>
  <w:footnote w:id="4">
    <w:p w:rsidR="00714E72" w:rsidRDefault="00714E72">
      <w:pPr>
        <w:pStyle w:val="FootnoteText"/>
      </w:pPr>
      <w:r>
        <w:rPr>
          <w:rStyle w:val="FootnoteReference"/>
        </w:rPr>
        <w:footnoteRef/>
      </w:r>
      <w:r>
        <w:t xml:space="preserve">  </w:t>
      </w:r>
      <w:proofErr w:type="spellStart"/>
      <w:r>
        <w:t>TeamCentral</w:t>
      </w:r>
      <w:proofErr w:type="spellEnd"/>
      <w:r w:rsidRPr="004B2173">
        <w:t>©</w:t>
      </w:r>
      <w:r>
        <w:t xml:space="preserve"> is a module of </w:t>
      </w:r>
      <w:proofErr w:type="spellStart"/>
      <w:r>
        <w:t>TeamMate</w:t>
      </w:r>
      <w:proofErr w:type="spellEnd"/>
      <w:r>
        <w:t xml:space="preserve"> which is specialized software for audit assignments which includes various modules such as electronic working papers;  follow up of recommendations, risk assessment and time scheduling.</w:t>
      </w:r>
    </w:p>
  </w:footnote>
  <w:footnote w:id="5">
    <w:p w:rsidR="00714E72" w:rsidRDefault="00714E72" w:rsidP="000D0188">
      <w:pPr>
        <w:pStyle w:val="FootnoteText"/>
      </w:pPr>
      <w:r>
        <w:rPr>
          <w:rStyle w:val="FootnoteReference"/>
        </w:rPr>
        <w:footnoteRef/>
      </w:r>
      <w:r>
        <w:t xml:space="preserve">  T</w:t>
      </w:r>
      <w:r w:rsidRPr="00D646CA">
        <w:t>he Program and Budget (P&amp;B) document for 2014/15, the Draft P&amp;B for 2016/17, a memorandum on the reform of the Academy, sent by the former Executive Director of the Academy, to the Director General in 2013, and the Office Instruction for the appointment of the new Executive Director of the Academy(OI/8/2015)</w:t>
      </w:r>
    </w:p>
  </w:footnote>
  <w:footnote w:id="6">
    <w:p w:rsidR="00714E72" w:rsidRDefault="00714E72">
      <w:pPr>
        <w:pStyle w:val="FootnoteText"/>
      </w:pPr>
      <w:r>
        <w:rPr>
          <w:rStyle w:val="FootnoteReference"/>
        </w:rPr>
        <w:footnoteRef/>
      </w:r>
      <w:r>
        <w:t xml:space="preserve">  One staff member is involved in three out of eight cases</w:t>
      </w:r>
    </w:p>
  </w:footnote>
  <w:footnote w:id="7">
    <w:p w:rsidR="00714E72" w:rsidRPr="00273442" w:rsidRDefault="00714E72" w:rsidP="0081363B">
      <w:pPr>
        <w:pStyle w:val="FootnoteText"/>
        <w:spacing w:after="20"/>
        <w:rPr>
          <w:lang w:val="fr-FR"/>
        </w:rPr>
      </w:pPr>
      <w:r w:rsidRPr="00AE32CE">
        <w:rPr>
          <w:rStyle w:val="FootnoteReference"/>
          <w:szCs w:val="18"/>
        </w:rPr>
        <w:footnoteRef/>
      </w:r>
      <w:r>
        <w:rPr>
          <w:szCs w:val="18"/>
          <w:lang w:val="fr-FR"/>
        </w:rPr>
        <w:t xml:space="preserve">  </w:t>
      </w:r>
      <w:r w:rsidRPr="00C84422">
        <w:rPr>
          <w:szCs w:val="18"/>
          <w:lang w:val="fr-FR"/>
        </w:rPr>
        <w:t>IOC</w:t>
      </w:r>
      <w:r w:rsidRPr="00524915">
        <w:rPr>
          <w:szCs w:val="18"/>
          <w:lang w:val="fr-FR"/>
        </w:rPr>
        <w:t xml:space="preserve"> </w:t>
      </w:r>
      <w:proofErr w:type="spellStart"/>
      <w:r w:rsidRPr="00273442">
        <w:rPr>
          <w:szCs w:val="18"/>
          <w:lang w:val="fr-FR"/>
        </w:rPr>
        <w:t>paragraph</w:t>
      </w:r>
      <w:proofErr w:type="spellEnd"/>
      <w:r w:rsidRPr="00273442">
        <w:rPr>
          <w:szCs w:val="18"/>
          <w:lang w:val="fr-FR"/>
        </w:rPr>
        <w:t xml:space="preserve"> 36.</w:t>
      </w:r>
    </w:p>
  </w:footnote>
  <w:footnote w:id="8">
    <w:p w:rsidR="00714E72" w:rsidRPr="00273442" w:rsidRDefault="00714E72" w:rsidP="008414E9">
      <w:pPr>
        <w:pStyle w:val="FootnoteText"/>
        <w:spacing w:after="20"/>
        <w:rPr>
          <w:lang w:val="fr-FR"/>
        </w:rPr>
      </w:pPr>
      <w:r w:rsidRPr="003F279E">
        <w:rPr>
          <w:rStyle w:val="FootnoteReference"/>
          <w:szCs w:val="18"/>
        </w:rPr>
        <w:footnoteRef/>
      </w:r>
      <w:r w:rsidRPr="00273442">
        <w:rPr>
          <w:szCs w:val="18"/>
          <w:lang w:val="fr-FR"/>
        </w:rPr>
        <w:t xml:space="preserve">  Office Instruction (OI) 16/2010, </w:t>
      </w:r>
      <w:proofErr w:type="spellStart"/>
      <w:r w:rsidRPr="00273442">
        <w:rPr>
          <w:szCs w:val="18"/>
          <w:lang w:val="fr-FR"/>
        </w:rPr>
        <w:t>paragraph</w:t>
      </w:r>
      <w:proofErr w:type="spellEnd"/>
      <w:r w:rsidRPr="00273442">
        <w:rPr>
          <w:szCs w:val="18"/>
          <w:lang w:val="fr-FR"/>
        </w:rPr>
        <w:t xml:space="preserve"> 7.</w:t>
      </w:r>
    </w:p>
  </w:footnote>
  <w:footnote w:id="9">
    <w:p w:rsidR="00714E72" w:rsidRPr="003F279E" w:rsidRDefault="00714E72" w:rsidP="0081363B">
      <w:pPr>
        <w:spacing w:after="20"/>
      </w:pPr>
      <w:r w:rsidRPr="003F279E">
        <w:rPr>
          <w:rStyle w:val="FootnoteReference"/>
          <w:sz w:val="18"/>
          <w:szCs w:val="18"/>
        </w:rPr>
        <w:footnoteRef/>
      </w:r>
      <w:r w:rsidRPr="003F279E">
        <w:rPr>
          <w:sz w:val="18"/>
          <w:szCs w:val="18"/>
        </w:rPr>
        <w:t xml:space="preserve">  OI 16/2010 paragraph 8.</w:t>
      </w:r>
    </w:p>
  </w:footnote>
  <w:footnote w:id="10">
    <w:p w:rsidR="00714E72" w:rsidRPr="00C70269" w:rsidRDefault="00714E72" w:rsidP="00A029DD">
      <w:pPr>
        <w:pStyle w:val="FootnoteText"/>
      </w:pPr>
      <w:r>
        <w:rPr>
          <w:rStyle w:val="FootnoteReference"/>
        </w:rPr>
        <w:footnoteRef/>
      </w:r>
      <w:r>
        <w:t xml:space="preserve"> Program 1 Patent Law, Program 4 Traditional Knowledge, Traditional Cultural Expressions and Genetic Resources ,Program 5 The PCT System ,Program 6 Madrid and Lisbon Systems ,Program 8 Development Agenda Coordination ,Program 9 Africa, Arab, Asia and the Pacific, Latin America and the Caribbean Countries, ,Least Developed Countries ,Program 11 The WIPO Academy ,Program 14 Services for Access to Information and Knowledge ,Program 19 Communications ,Program 20 External Relations, Partnerships and External Offices ,Program 21 Executive Management ,Program 22 Program and Resource Management ,Program 23 Human Resources Management and Development ,Program 24 General Support Services ,Program 25 Information and Communication Technology ,Program 26 Internal Oversight ,Program 27 Conference and Language Services ,Program 28 Safety and Security, Program 29 New Conference Hall, Program 31 The Hague System</w:t>
      </w:r>
    </w:p>
  </w:footnote>
  <w:footnote w:id="11">
    <w:p w:rsidR="00714E72" w:rsidRDefault="00714E72" w:rsidP="00E32ADE">
      <w:pPr>
        <w:pStyle w:val="FootnoteText"/>
      </w:pPr>
      <w:r>
        <w:rPr>
          <w:rStyle w:val="FootnoteReference"/>
        </w:rPr>
        <w:footnoteRef/>
      </w:r>
      <w:r>
        <w:t xml:space="preserve">  </w:t>
      </w:r>
      <w:r w:rsidRPr="004F303B">
        <w:t>WO/IAOC/</w:t>
      </w:r>
      <w:r>
        <w:t>30</w:t>
      </w:r>
      <w:r w:rsidRPr="004F303B">
        <w:t>/2</w:t>
      </w:r>
      <w:r>
        <w:t xml:space="preserve">, </w:t>
      </w:r>
      <w:r w:rsidRPr="004F303B">
        <w:t>WO/IAOC/</w:t>
      </w:r>
      <w:r>
        <w:t>31</w:t>
      </w:r>
      <w:r w:rsidRPr="004F303B">
        <w:t>/2</w:t>
      </w:r>
      <w:r>
        <w:t xml:space="preserve">, </w:t>
      </w:r>
      <w:r w:rsidRPr="004F303B">
        <w:t>WO/IAOC/</w:t>
      </w:r>
      <w:r>
        <w:t>32</w:t>
      </w:r>
      <w:r w:rsidRPr="004F303B">
        <w:t>/2</w:t>
      </w:r>
      <w:r>
        <w:t xml:space="preserve"> and WO/IAOC/33/2</w:t>
      </w:r>
      <w:r w:rsidRPr="004F303B">
        <w:t xml:space="preserve"> </w:t>
      </w:r>
    </w:p>
  </w:footnote>
  <w:footnote w:id="12">
    <w:p w:rsidR="00714E72" w:rsidRDefault="00714E72">
      <w:pPr>
        <w:pStyle w:val="FootnoteText"/>
      </w:pPr>
      <w:r>
        <w:rPr>
          <w:rStyle w:val="FootnoteReference"/>
        </w:rPr>
        <w:footnoteRef/>
      </w:r>
      <w:r>
        <w:t xml:space="preserve">  IOC paragraph 24 (g)</w:t>
      </w:r>
    </w:p>
  </w:footnote>
  <w:footnote w:id="13">
    <w:p w:rsidR="00714E72" w:rsidRDefault="00714E72">
      <w:pPr>
        <w:pStyle w:val="FootnoteText"/>
      </w:pPr>
      <w:r>
        <w:rPr>
          <w:rStyle w:val="FootnoteReference"/>
        </w:rPr>
        <w:footnoteRef/>
      </w:r>
      <w:r>
        <w:t xml:space="preserve">  The IOC paragraph 39 (</w:t>
      </w:r>
      <w:proofErr w:type="spellStart"/>
      <w:r>
        <w:t>i</w:t>
      </w:r>
      <w:proofErr w:type="spellEnd"/>
      <w:r>
        <w:t>)</w:t>
      </w:r>
    </w:p>
  </w:footnote>
  <w:footnote w:id="14">
    <w:p w:rsidR="00714E72" w:rsidRDefault="00714E72">
      <w:pPr>
        <w:pStyle w:val="FootnoteText"/>
      </w:pPr>
      <w:r>
        <w:rPr>
          <w:rStyle w:val="FootnoteReference"/>
        </w:rPr>
        <w:footnoteRef/>
      </w:r>
      <w:r>
        <w:t xml:space="preserve">  </w:t>
      </w:r>
      <w:r w:rsidR="00293712">
        <w:t>Eight</w:t>
      </w:r>
      <w:r>
        <w:t xml:space="preserve"> approved posts and </w:t>
      </w:r>
      <w:r w:rsidR="00293712">
        <w:t>three</w:t>
      </w:r>
      <w:r>
        <w:t xml:space="preserve"> temporary positions compose the current IOD workforce.</w:t>
      </w:r>
    </w:p>
  </w:footnote>
  <w:footnote w:id="15">
    <w:p w:rsidR="00714E72" w:rsidRPr="002C1F13" w:rsidRDefault="00714E72" w:rsidP="00E32ADE">
      <w:pPr>
        <w:pStyle w:val="FootnoteText"/>
        <w:rPr>
          <w:szCs w:val="18"/>
        </w:rPr>
      </w:pPr>
      <w:r>
        <w:rPr>
          <w:rStyle w:val="FootnoteReference"/>
        </w:rPr>
        <w:footnoteRef/>
      </w:r>
      <w:r>
        <w:t xml:space="preserve">  -</w:t>
      </w:r>
      <w:r>
        <w:rPr>
          <w:szCs w:val="18"/>
        </w:rPr>
        <w:t>JIU/REP/2006/2 on oversight lacunae in the UN S</w:t>
      </w:r>
      <w:r w:rsidRPr="002C1F13">
        <w:rPr>
          <w:szCs w:val="18"/>
        </w:rPr>
        <w:t>ystem which recommen</w:t>
      </w:r>
      <w:r>
        <w:rPr>
          <w:szCs w:val="18"/>
        </w:rPr>
        <w:t>ds that for organizations with t</w:t>
      </w:r>
      <w:r w:rsidRPr="002C1F13">
        <w:rPr>
          <w:szCs w:val="18"/>
        </w:rPr>
        <w:t>otal resources of US$ 250 million to US$ 800 million – 0.60 to 0.90 per cent to be spent on internal oversight</w:t>
      </w:r>
      <w:r>
        <w:rPr>
          <w:szCs w:val="18"/>
        </w:rPr>
        <w:t>;</w:t>
      </w:r>
      <w:r w:rsidRPr="002C1F13">
        <w:rPr>
          <w:szCs w:val="18"/>
        </w:rPr>
        <w:br/>
        <w:t>-JIU/REP/2010/5</w:t>
      </w:r>
      <w:r>
        <w:rPr>
          <w:szCs w:val="18"/>
        </w:rPr>
        <w:t xml:space="preserve">  the audit function in the UN S</w:t>
      </w:r>
      <w:r w:rsidRPr="002C1F13">
        <w:rPr>
          <w:szCs w:val="18"/>
        </w:rPr>
        <w:t>ystem which recommends 6  to 10 auditors (not even counting investigators or evaluators) for WIPO;</w:t>
      </w:r>
      <w:r>
        <w:rPr>
          <w:szCs w:val="18"/>
        </w:rPr>
        <w:t xml:space="preserve">  and</w:t>
      </w:r>
      <w:r w:rsidRPr="002C1F13">
        <w:rPr>
          <w:szCs w:val="18"/>
        </w:rPr>
        <w:br/>
        <w:t>-JIU/REP/2011/7 Strengthening the in</w:t>
      </w:r>
      <w:r>
        <w:rPr>
          <w:szCs w:val="18"/>
        </w:rPr>
        <w:t>vestigation function in the UN S</w:t>
      </w:r>
      <w:r w:rsidRPr="002C1F13">
        <w:rPr>
          <w:szCs w:val="18"/>
        </w:rPr>
        <w:t>ystem</w:t>
      </w:r>
    </w:p>
  </w:footnote>
  <w:footnote w:id="16">
    <w:p w:rsidR="00714E72" w:rsidRDefault="00714E72" w:rsidP="00E32ADE">
      <w:pPr>
        <w:spacing w:after="40"/>
      </w:pPr>
      <w:r w:rsidRPr="002C6407">
        <w:rPr>
          <w:rStyle w:val="FootnoteReference"/>
          <w:sz w:val="16"/>
          <w:szCs w:val="16"/>
        </w:rPr>
        <w:footnoteRef/>
      </w:r>
      <w:r>
        <w:rPr>
          <w:sz w:val="18"/>
          <w:szCs w:val="18"/>
        </w:rPr>
        <w:t xml:space="preserve">  </w:t>
      </w:r>
      <w:r w:rsidRPr="00543FB7">
        <w:rPr>
          <w:sz w:val="18"/>
          <w:szCs w:val="18"/>
        </w:rPr>
        <w:t xml:space="preserve">Source:  </w:t>
      </w:r>
      <w:r>
        <w:rPr>
          <w:sz w:val="18"/>
          <w:szCs w:val="18"/>
        </w:rPr>
        <w:t>Expenditure figures as per the PPR 2014</w:t>
      </w:r>
      <w:r w:rsidRPr="00543FB7">
        <w:rPr>
          <w:sz w:val="18"/>
          <w:szCs w:val="18"/>
        </w:rPr>
        <w:t xml:space="preserve">.  </w:t>
      </w:r>
      <w:proofErr w:type="gramStart"/>
      <w:r w:rsidRPr="00543FB7">
        <w:rPr>
          <w:sz w:val="18"/>
          <w:szCs w:val="18"/>
        </w:rPr>
        <w:t>Figures in thousands of Swiss francs.</w:t>
      </w:r>
      <w:proofErr w:type="gramEnd"/>
    </w:p>
  </w:footnote>
  <w:footnote w:id="17">
    <w:p w:rsidR="00714E72" w:rsidRDefault="00714E72">
      <w:pPr>
        <w:pStyle w:val="FootnoteText"/>
      </w:pPr>
      <w:r>
        <w:rPr>
          <w:rStyle w:val="FootnoteReference"/>
        </w:rPr>
        <w:footnoteRef/>
      </w:r>
      <w:r>
        <w:t xml:space="preserve"> Work conducted by external consultants, IOD being the subject of the external assessment.</w:t>
      </w:r>
    </w:p>
  </w:footnote>
  <w:footnote w:id="18">
    <w:p w:rsidR="00714E72" w:rsidRPr="006A7698" w:rsidRDefault="00714E72" w:rsidP="00677F67">
      <w:pPr>
        <w:pStyle w:val="FootnoteText"/>
      </w:pPr>
      <w:r>
        <w:rPr>
          <w:rStyle w:val="FootnoteReference"/>
        </w:rPr>
        <w:footnoteRef/>
      </w:r>
      <w:r>
        <w:t xml:space="preserve"> </w:t>
      </w:r>
      <w:r w:rsidRPr="006A7698">
        <w:t xml:space="preserve">Request for proposal for seeking external assistance to perform an </w:t>
      </w:r>
      <w:r w:rsidRPr="006A7698">
        <w:rPr>
          <w:bCs/>
        </w:rPr>
        <w:t xml:space="preserve">Audit of WIPO’s Ethical Framework did not yield positive results and </w:t>
      </w:r>
      <w:r w:rsidRPr="006A7698">
        <w:t>IOD has decided to review the scope of the assignment and re-launch the tender process once the currently vacant Chief Ethics Officer position is filled.</w:t>
      </w:r>
    </w:p>
    <w:p w:rsidR="00714E72" w:rsidRDefault="00714E72" w:rsidP="005242EE">
      <w:pPr>
        <w:pStyle w:val="FootnoteText"/>
      </w:pPr>
    </w:p>
  </w:footnote>
  <w:footnote w:id="19">
    <w:p w:rsidR="00714E72" w:rsidRDefault="00714E72" w:rsidP="006E5C22">
      <w:pPr>
        <w:pStyle w:val="FootnoteText"/>
      </w:pPr>
      <w:r>
        <w:rPr>
          <w:rStyle w:val="FootnoteReference"/>
        </w:rPr>
        <w:footnoteRef/>
      </w:r>
      <w:r>
        <w:t xml:space="preserve">  Reported in the Summary Annual Report as at June 30, 2014</w:t>
      </w:r>
    </w:p>
  </w:footnote>
  <w:footnote w:id="20">
    <w:p w:rsidR="00714E72" w:rsidRDefault="00714E72" w:rsidP="006E5C22">
      <w:pPr>
        <w:pStyle w:val="FootnoteText"/>
      </w:pPr>
      <w:r>
        <w:rPr>
          <w:rStyle w:val="FootnoteReference"/>
        </w:rPr>
        <w:footnoteRef/>
      </w:r>
      <w:r>
        <w:t xml:space="preserve">  At Draft report stage at the time of the issuance of this report</w:t>
      </w:r>
    </w:p>
  </w:footnote>
  <w:footnote w:id="21">
    <w:p w:rsidR="00714E72" w:rsidRDefault="00714E72" w:rsidP="006E5C22">
      <w:pPr>
        <w:pStyle w:val="FootnoteText"/>
      </w:pPr>
      <w:r>
        <w:rPr>
          <w:rStyle w:val="FootnoteReference"/>
        </w:rPr>
        <w:footnoteRef/>
      </w:r>
      <w:r>
        <w:t xml:space="preserve">  Draft Audit Report issued at the time of the preparation of this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E365E6" w:rsidRDefault="00714E72" w:rsidP="00E365E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F87303" w:rsidRDefault="00714E72" w:rsidP="004B6701">
    <w:pPr>
      <w:jc w:val="right"/>
    </w:pPr>
    <w:r>
      <w:t>WO/PBC/24/6</w:t>
    </w:r>
  </w:p>
  <w:p w:rsidR="00714E72" w:rsidRDefault="00714E72" w:rsidP="004B6701">
    <w:pPr>
      <w:pStyle w:val="Header"/>
      <w:jc w:val="right"/>
    </w:pPr>
    <w:r>
      <w:t>ANNEX II</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524915" w:rsidRDefault="00714E72" w:rsidP="001E2D32">
    <w:pPr>
      <w:jc w:val="right"/>
      <w:rPr>
        <w:lang w:val="fr-FR"/>
      </w:rPr>
    </w:pPr>
    <w:r w:rsidRPr="00CA196F">
      <w:rPr>
        <w:lang w:val="fr-FR"/>
      </w:rPr>
      <w:t>WO/PBC/24/6</w:t>
    </w:r>
  </w:p>
  <w:p w:rsidR="00714E72" w:rsidRPr="00524915" w:rsidRDefault="00714E72" w:rsidP="001E2D32">
    <w:pPr>
      <w:pStyle w:val="Header"/>
      <w:jc w:val="right"/>
      <w:rPr>
        <w:lang w:val="fr-FR"/>
      </w:rPr>
    </w:pPr>
    <w:r>
      <w:rPr>
        <w:lang w:val="fr-FR"/>
      </w:rPr>
      <w:t>ANNEX III</w:t>
    </w:r>
  </w:p>
  <w:p w:rsidR="00714E72" w:rsidRPr="00524915" w:rsidRDefault="00714E72" w:rsidP="001E2D32">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A77BA6" w:rsidRDefault="00714E72" w:rsidP="00A77B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0F14DE" w:rsidRDefault="00714E72" w:rsidP="000F14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F87303" w:rsidRDefault="00714E72" w:rsidP="004B6701">
    <w:pPr>
      <w:jc w:val="right"/>
    </w:pPr>
    <w:r w:rsidRPr="00E204EC">
      <w:t>WO/PBC/24/6</w:t>
    </w:r>
  </w:p>
  <w:p w:rsidR="00714E72" w:rsidRDefault="00714E72" w:rsidP="004B6701">
    <w:pPr>
      <w:pStyle w:val="Header"/>
      <w:jc w:val="right"/>
    </w:pPr>
    <w:proofErr w:type="gramStart"/>
    <w:r>
      <w:t>page</w:t>
    </w:r>
    <w:proofErr w:type="gramEnd"/>
    <w:r>
      <w:t xml:space="preserve"> </w:t>
    </w:r>
    <w:r>
      <w:fldChar w:fldCharType="begin"/>
    </w:r>
    <w:r>
      <w:instrText xml:space="preserve"> PAGE   \* MERGEFORMAT </w:instrText>
    </w:r>
    <w:r>
      <w:fldChar w:fldCharType="separate"/>
    </w:r>
    <w:r w:rsidR="007D1881">
      <w:rPr>
        <w:noProof/>
      </w:rPr>
      <w:t>8</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F87303" w:rsidRDefault="00714E72" w:rsidP="00E365E6">
    <w:pPr>
      <w:jc w:val="right"/>
    </w:pPr>
    <w:r w:rsidRPr="00E204EC">
      <w:t>WO/PBC/24/6</w:t>
    </w:r>
  </w:p>
  <w:p w:rsidR="00714E72" w:rsidRPr="00E365E6" w:rsidRDefault="00714E72" w:rsidP="001B5644">
    <w:pPr>
      <w:pStyle w:val="Header"/>
      <w:jc w:val="right"/>
    </w:pPr>
    <w:proofErr w:type="gramStart"/>
    <w:r>
      <w:t>page</w:t>
    </w:r>
    <w:proofErr w:type="gramEnd"/>
    <w:r>
      <w:t xml:space="preserve"> </w:t>
    </w:r>
    <w:r>
      <w:fldChar w:fldCharType="begin"/>
    </w:r>
    <w:r>
      <w:instrText xml:space="preserve"> PAGE   \* MERGEFORMAT </w:instrText>
    </w:r>
    <w:r>
      <w:fldChar w:fldCharType="separate"/>
    </w:r>
    <w:r w:rsidR="007D1881">
      <w:rPr>
        <w:noProof/>
      </w:rPr>
      <w:t>17</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677F67" w:rsidRDefault="00714E72" w:rsidP="001E2D32">
    <w:pPr>
      <w:jc w:val="right"/>
    </w:pPr>
    <w:r w:rsidRPr="00677F67">
      <w:t>WO/PBC/24/6</w:t>
    </w:r>
  </w:p>
  <w:p w:rsidR="00714E72" w:rsidRPr="00677F67" w:rsidRDefault="00714E72" w:rsidP="001E2D32">
    <w:pPr>
      <w:jc w:val="right"/>
    </w:pPr>
    <w:r w:rsidRPr="00677F67">
      <w:t>ANNEX I</w:t>
    </w:r>
  </w:p>
  <w:p w:rsidR="00714E72" w:rsidRPr="00677F67" w:rsidRDefault="00714E72" w:rsidP="001E2D3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677F67" w:rsidRDefault="00714E72" w:rsidP="001E2D32">
    <w:pPr>
      <w:jc w:val="right"/>
    </w:pPr>
    <w:r w:rsidRPr="00677F67">
      <w:t>WO/PBC/24/6</w:t>
    </w:r>
  </w:p>
  <w:p w:rsidR="00714E72" w:rsidRPr="00677F67" w:rsidRDefault="00714E72" w:rsidP="001E2D32">
    <w:pPr>
      <w:jc w:val="right"/>
    </w:pPr>
    <w:r>
      <w:t>Annex</w:t>
    </w:r>
    <w:r w:rsidRPr="00677F67">
      <w:t xml:space="preserve"> I</w:t>
    </w:r>
    <w:r>
      <w:t>, page 2</w:t>
    </w:r>
  </w:p>
  <w:p w:rsidR="00714E72" w:rsidRPr="00677F67" w:rsidRDefault="00714E72" w:rsidP="001E2D3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030490" w:rsidRDefault="00714E72" w:rsidP="001E2D32">
    <w:pPr>
      <w:jc w:val="right"/>
    </w:pPr>
    <w:r>
      <w:t>WO/PBC/24</w:t>
    </w:r>
    <w:r w:rsidRPr="00030490">
      <w:t>/</w:t>
    </w:r>
    <w:r>
      <w:t>6</w:t>
    </w:r>
  </w:p>
  <w:p w:rsidR="00714E72" w:rsidRDefault="00714E72" w:rsidP="00677F67">
    <w:pPr>
      <w:jc w:val="right"/>
    </w:pPr>
    <w:r>
      <w:t>Annex I, page 3</w:t>
    </w:r>
  </w:p>
  <w:p w:rsidR="00714E72" w:rsidRPr="00030490" w:rsidRDefault="00714E72" w:rsidP="00677F67">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030490" w:rsidRDefault="00714E72" w:rsidP="001E2D32">
    <w:pPr>
      <w:jc w:val="right"/>
    </w:pPr>
    <w:r>
      <w:t>WO/PBC/24</w:t>
    </w:r>
    <w:r w:rsidRPr="00030490">
      <w:t>/</w:t>
    </w:r>
    <w:r>
      <w:t>6</w:t>
    </w:r>
  </w:p>
  <w:p w:rsidR="00714E72" w:rsidRDefault="00714E72" w:rsidP="00677F67">
    <w:pPr>
      <w:jc w:val="right"/>
    </w:pPr>
    <w:r>
      <w:t>Annex I, page 4</w:t>
    </w:r>
  </w:p>
  <w:p w:rsidR="00714E72" w:rsidRPr="00030490" w:rsidRDefault="00714E72" w:rsidP="00677F67">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990D98"/>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06732831"/>
    <w:multiLevelType w:val="multilevel"/>
    <w:tmpl w:val="AFEA3530"/>
    <w:lvl w:ilvl="0">
      <w:start w:val="1"/>
      <w:numFmt w:val="bullet"/>
      <w:lvlText w:val=""/>
      <w:lvlJc w:val="left"/>
      <w:pPr>
        <w:tabs>
          <w:tab w:val="num" w:pos="1134"/>
        </w:tabs>
      </w:pPr>
      <w:rPr>
        <w:rFonts w:ascii="Symbol" w:hAnsi="Symbol" w:hint="default"/>
        <w:b w:val="0"/>
        <w:i w:val="0"/>
        <w:sz w:val="22"/>
        <w:szCs w:val="22"/>
      </w:rPr>
    </w:lvl>
    <w:lvl w:ilvl="1">
      <w:start w:val="1"/>
      <w:numFmt w:val="lowerLetter"/>
      <w:lvlText w:val="(%2)"/>
      <w:lvlJc w:val="left"/>
      <w:pPr>
        <w:tabs>
          <w:tab w:val="num" w:pos="1701"/>
        </w:tabs>
        <w:ind w:left="1134"/>
      </w:pPr>
      <w:rPr>
        <w:rFonts w:ascii="Arial" w:hAnsi="Arial" w:cs="Times New Roman" w:hint="default"/>
        <w:b w:val="0"/>
        <w:i w:val="0"/>
        <w:sz w:val="22"/>
        <w:szCs w:val="22"/>
      </w:rPr>
    </w:lvl>
    <w:lvl w:ilvl="2">
      <w:start w:val="1"/>
      <w:numFmt w:val="lowerRoman"/>
      <w:lvlText w:val="(%3)"/>
      <w:lvlJc w:val="left"/>
      <w:pPr>
        <w:tabs>
          <w:tab w:val="num" w:pos="2268"/>
        </w:tabs>
        <w:ind w:left="1701"/>
      </w:pPr>
      <w:rPr>
        <w:rFonts w:ascii="Arial" w:hAnsi="Arial" w:cs="Times New Roman" w:hint="default"/>
        <w:b w:val="0"/>
        <w:i w:val="0"/>
        <w:sz w:val="22"/>
        <w:szCs w:val="22"/>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3">
    <w:nsid w:val="06CD29E3"/>
    <w:multiLevelType w:val="multilevel"/>
    <w:tmpl w:val="8E50177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C2202D7"/>
    <w:multiLevelType w:val="multilevel"/>
    <w:tmpl w:val="AFEA3530"/>
    <w:lvl w:ilvl="0">
      <w:start w:val="1"/>
      <w:numFmt w:val="bullet"/>
      <w:lvlText w:val=""/>
      <w:lvlJc w:val="left"/>
      <w:pPr>
        <w:tabs>
          <w:tab w:val="num" w:pos="1134"/>
        </w:tabs>
      </w:pPr>
      <w:rPr>
        <w:rFonts w:ascii="Symbol" w:hAnsi="Symbol" w:hint="default"/>
        <w:b w:val="0"/>
        <w:i w:val="0"/>
        <w:sz w:val="22"/>
        <w:szCs w:val="22"/>
      </w:rPr>
    </w:lvl>
    <w:lvl w:ilvl="1">
      <w:start w:val="1"/>
      <w:numFmt w:val="lowerLetter"/>
      <w:lvlText w:val="(%2)"/>
      <w:lvlJc w:val="left"/>
      <w:pPr>
        <w:tabs>
          <w:tab w:val="num" w:pos="1701"/>
        </w:tabs>
        <w:ind w:left="1134"/>
      </w:pPr>
      <w:rPr>
        <w:rFonts w:ascii="Arial" w:hAnsi="Arial" w:cs="Times New Roman" w:hint="default"/>
        <w:b w:val="0"/>
        <w:i w:val="0"/>
        <w:sz w:val="22"/>
        <w:szCs w:val="22"/>
      </w:rPr>
    </w:lvl>
    <w:lvl w:ilvl="2">
      <w:start w:val="1"/>
      <w:numFmt w:val="lowerRoman"/>
      <w:lvlText w:val="(%3)"/>
      <w:lvlJc w:val="left"/>
      <w:pPr>
        <w:tabs>
          <w:tab w:val="num" w:pos="2268"/>
        </w:tabs>
        <w:ind w:left="1701"/>
      </w:pPr>
      <w:rPr>
        <w:rFonts w:ascii="Arial" w:hAnsi="Arial" w:cs="Times New Roman" w:hint="default"/>
        <w:b w:val="0"/>
        <w:i w:val="0"/>
        <w:sz w:val="22"/>
        <w:szCs w:val="22"/>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54E5232"/>
    <w:multiLevelType w:val="hybridMultilevel"/>
    <w:tmpl w:val="39000BFC"/>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2614C2"/>
    <w:multiLevelType w:val="hybridMultilevel"/>
    <w:tmpl w:val="2070C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AD83B38"/>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0">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B877FC"/>
    <w:multiLevelType w:val="hybridMultilevel"/>
    <w:tmpl w:val="7E223C66"/>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2C5937"/>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4">
    <w:nsid w:val="4A444C5F"/>
    <w:multiLevelType w:val="hybridMultilevel"/>
    <w:tmpl w:val="39000BFC"/>
    <w:lvl w:ilvl="0" w:tplc="04090017">
      <w:start w:val="1"/>
      <w:numFmt w:val="lowerLetter"/>
      <w:lvlText w:val="%1)"/>
      <w:lvlJc w:val="left"/>
      <w:pPr>
        <w:ind w:left="927" w:hanging="360"/>
      </w:pPr>
      <w:rPr>
        <w:rFont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BB5CC7"/>
    <w:multiLevelType w:val="hybridMultilevel"/>
    <w:tmpl w:val="1B18A8CE"/>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2064D36"/>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8">
    <w:nsid w:val="62D53F46"/>
    <w:multiLevelType w:val="hybridMultilevel"/>
    <w:tmpl w:val="7E223C66"/>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4A4309A"/>
    <w:multiLevelType w:val="hybridMultilevel"/>
    <w:tmpl w:val="DEB8BFC0"/>
    <w:lvl w:ilvl="0" w:tplc="23027F74">
      <w:start w:val="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7212CC7"/>
    <w:multiLevelType w:val="multilevel"/>
    <w:tmpl w:val="AFEA3530"/>
    <w:lvl w:ilvl="0">
      <w:start w:val="1"/>
      <w:numFmt w:val="bullet"/>
      <w:lvlText w:val=""/>
      <w:lvlJc w:val="left"/>
      <w:pPr>
        <w:tabs>
          <w:tab w:val="num" w:pos="1134"/>
        </w:tabs>
      </w:pPr>
      <w:rPr>
        <w:rFonts w:ascii="Symbol" w:hAnsi="Symbol" w:hint="default"/>
        <w:b w:val="0"/>
        <w:i w:val="0"/>
        <w:sz w:val="22"/>
        <w:szCs w:val="22"/>
      </w:rPr>
    </w:lvl>
    <w:lvl w:ilvl="1">
      <w:start w:val="1"/>
      <w:numFmt w:val="lowerLetter"/>
      <w:lvlText w:val="(%2)"/>
      <w:lvlJc w:val="left"/>
      <w:pPr>
        <w:tabs>
          <w:tab w:val="num" w:pos="1701"/>
        </w:tabs>
        <w:ind w:left="1134"/>
      </w:pPr>
      <w:rPr>
        <w:rFonts w:ascii="Arial" w:hAnsi="Arial" w:cs="Times New Roman" w:hint="default"/>
        <w:b w:val="0"/>
        <w:i w:val="0"/>
        <w:sz w:val="22"/>
        <w:szCs w:val="22"/>
      </w:rPr>
    </w:lvl>
    <w:lvl w:ilvl="2">
      <w:start w:val="1"/>
      <w:numFmt w:val="lowerRoman"/>
      <w:lvlText w:val="(%3)"/>
      <w:lvlJc w:val="left"/>
      <w:pPr>
        <w:tabs>
          <w:tab w:val="num" w:pos="2268"/>
        </w:tabs>
        <w:ind w:left="1701"/>
      </w:pPr>
      <w:rPr>
        <w:rFonts w:ascii="Arial" w:hAnsi="Arial" w:cs="Times New Roman" w:hint="default"/>
        <w:b w:val="0"/>
        <w:i w:val="0"/>
        <w:sz w:val="22"/>
        <w:szCs w:val="22"/>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21">
    <w:nsid w:val="67DB0FF2"/>
    <w:multiLevelType w:val="multilevel"/>
    <w:tmpl w:val="6512EA06"/>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6CD156F6"/>
    <w:multiLevelType w:val="multilevel"/>
    <w:tmpl w:val="AFEA3530"/>
    <w:lvl w:ilvl="0">
      <w:start w:val="1"/>
      <w:numFmt w:val="bullet"/>
      <w:lvlText w:val=""/>
      <w:lvlJc w:val="left"/>
      <w:pPr>
        <w:tabs>
          <w:tab w:val="num" w:pos="1134"/>
        </w:tabs>
      </w:pPr>
      <w:rPr>
        <w:rFonts w:ascii="Symbol" w:hAnsi="Symbol" w:hint="default"/>
        <w:b w:val="0"/>
        <w:i w:val="0"/>
        <w:sz w:val="22"/>
        <w:szCs w:val="22"/>
      </w:rPr>
    </w:lvl>
    <w:lvl w:ilvl="1">
      <w:start w:val="1"/>
      <w:numFmt w:val="lowerLetter"/>
      <w:lvlText w:val="(%2)"/>
      <w:lvlJc w:val="left"/>
      <w:pPr>
        <w:tabs>
          <w:tab w:val="num" w:pos="1701"/>
        </w:tabs>
        <w:ind w:left="1134"/>
      </w:pPr>
      <w:rPr>
        <w:rFonts w:ascii="Arial" w:hAnsi="Arial" w:cs="Times New Roman" w:hint="default"/>
        <w:b w:val="0"/>
        <w:i w:val="0"/>
        <w:sz w:val="22"/>
        <w:szCs w:val="22"/>
      </w:rPr>
    </w:lvl>
    <w:lvl w:ilvl="2">
      <w:start w:val="1"/>
      <w:numFmt w:val="lowerRoman"/>
      <w:lvlText w:val="(%3)"/>
      <w:lvlJc w:val="left"/>
      <w:pPr>
        <w:tabs>
          <w:tab w:val="num" w:pos="2268"/>
        </w:tabs>
        <w:ind w:left="1701"/>
      </w:pPr>
      <w:rPr>
        <w:rFonts w:ascii="Arial" w:hAnsi="Arial" w:cs="Times New Roman" w:hint="default"/>
        <w:b w:val="0"/>
        <w:i w:val="0"/>
        <w:sz w:val="22"/>
        <w:szCs w:val="22"/>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23">
    <w:nsid w:val="77640CCF"/>
    <w:multiLevelType w:val="multilevel"/>
    <w:tmpl w:val="65341604"/>
    <w:lvl w:ilvl="0">
      <w:start w:val="1"/>
      <w:numFmt w:val="decimal"/>
      <w:lvlRestart w:val="0"/>
      <w:lvlText w:val="%1."/>
      <w:lvlJc w:val="left"/>
      <w:pPr>
        <w:tabs>
          <w:tab w:val="num" w:pos="567"/>
        </w:tabs>
      </w:pPr>
      <w:rPr>
        <w:rFonts w:cs="Times New Roman" w:hint="default"/>
        <w:b/>
        <w:i w:val="0"/>
      </w:rPr>
    </w:lvl>
    <w:lvl w:ilvl="1">
      <w:start w:val="1"/>
      <w:numFmt w:val="upperLetter"/>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4">
    <w:nsid w:val="7BE4206F"/>
    <w:multiLevelType w:val="hybridMultilevel"/>
    <w:tmpl w:val="0DD40274"/>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E32119A"/>
    <w:multiLevelType w:val="multilevel"/>
    <w:tmpl w:val="4F9C689E"/>
    <w:lvl w:ilvl="0">
      <w:start w:val="80"/>
      <w:numFmt w:val="decimal"/>
      <w:lvlRestart w:val="0"/>
      <w:lvlText w:val="%1."/>
      <w:lvlJc w:val="left"/>
      <w:pPr>
        <w:tabs>
          <w:tab w:val="num" w:pos="567"/>
        </w:tabs>
        <w:ind w:left="0" w:firstLine="0"/>
      </w:pPr>
      <w:rPr>
        <w:rFonts w:ascii="Arial" w:hAnsi="Arial" w:cs="Times New Roman" w:hint="default"/>
        <w:b w:val="0"/>
        <w:i w:val="0"/>
        <w:sz w:val="22"/>
        <w:szCs w:val="22"/>
      </w:rPr>
    </w:lvl>
    <w:lvl w:ilvl="1">
      <w:start w:val="1"/>
      <w:numFmt w:val="lowerLetter"/>
      <w:lvlText w:val="(%2)"/>
      <w:lvlJc w:val="left"/>
      <w:pPr>
        <w:tabs>
          <w:tab w:val="num" w:pos="1134"/>
        </w:tabs>
        <w:ind w:left="567" w:firstLine="0"/>
      </w:pPr>
      <w:rPr>
        <w:rFonts w:ascii="Arial" w:hAnsi="Arial" w:cs="Times New Roman" w:hint="default"/>
        <w:b w:val="0"/>
        <w:i w:val="0"/>
        <w:sz w:val="22"/>
        <w:szCs w:val="22"/>
      </w:rPr>
    </w:lvl>
    <w:lvl w:ilvl="2">
      <w:start w:val="1"/>
      <w:numFmt w:val="lowerRoman"/>
      <w:lvlText w:val="(%3)"/>
      <w:lvlJc w:val="left"/>
      <w:pPr>
        <w:tabs>
          <w:tab w:val="num" w:pos="1701"/>
        </w:tabs>
        <w:ind w:left="1134" w:firstLine="0"/>
      </w:pPr>
      <w:rPr>
        <w:rFonts w:ascii="Arial" w:hAnsi="Arial" w:cs="Times New Roman" w:hint="default"/>
        <w:b w:val="0"/>
        <w:i w:val="0"/>
        <w:sz w:val="22"/>
        <w:szCs w:val="22"/>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2"/>
  </w:num>
  <w:num w:numId="3">
    <w:abstractNumId w:val="0"/>
  </w:num>
  <w:num w:numId="4">
    <w:abstractNumId w:val="15"/>
  </w:num>
  <w:num w:numId="5">
    <w:abstractNumId w:val="3"/>
  </w:num>
  <w:num w:numId="6">
    <w:abstractNumId w:val="6"/>
  </w:num>
  <w:num w:numId="7">
    <w:abstractNumId w:val="21"/>
  </w:num>
  <w:num w:numId="8">
    <w:abstractNumId w:val="23"/>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0"/>
  </w:num>
  <w:num w:numId="13">
    <w:abstractNumId w:val="3"/>
  </w:num>
  <w:num w:numId="14">
    <w:abstractNumId w:val="3"/>
  </w:num>
  <w:num w:numId="15">
    <w:abstractNumId w:val="21"/>
    <w:lvlOverride w:ilvl="0">
      <w:startOverride w:val="7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5"/>
  </w:num>
  <w:num w:numId="18">
    <w:abstractNumId w:val="21"/>
  </w:num>
  <w:num w:numId="19">
    <w:abstractNumId w:val="8"/>
  </w:num>
  <w:num w:numId="20">
    <w:abstractNumId w:val="21"/>
  </w:num>
  <w:num w:numId="21">
    <w:abstractNumId w:val="22"/>
  </w:num>
  <w:num w:numId="22">
    <w:abstractNumId w:val="21"/>
  </w:num>
  <w:num w:numId="23">
    <w:abstractNumId w:val="21"/>
  </w:num>
  <w:num w:numId="24">
    <w:abstractNumId w:val="2"/>
  </w:num>
  <w:num w:numId="25">
    <w:abstractNumId w:val="21"/>
  </w:num>
  <w:num w:numId="26">
    <w:abstractNumId w:val="20"/>
  </w:num>
  <w:num w:numId="27">
    <w:abstractNumId w:val="21"/>
  </w:num>
  <w:num w:numId="28">
    <w:abstractNumId w:val="11"/>
  </w:num>
  <w:num w:numId="29">
    <w:abstractNumId w:val="16"/>
  </w:num>
  <w:num w:numId="30">
    <w:abstractNumId w:val="7"/>
  </w:num>
  <w:num w:numId="31">
    <w:abstractNumId w:val="24"/>
  </w:num>
  <w:num w:numId="32">
    <w:abstractNumId w:val="21"/>
  </w:num>
  <w:num w:numId="33">
    <w:abstractNumId w:val="18"/>
  </w:num>
  <w:num w:numId="34">
    <w:abstractNumId w:val="21"/>
  </w:num>
  <w:num w:numId="35">
    <w:abstractNumId w:val="14"/>
  </w:num>
  <w:num w:numId="36">
    <w:abstractNumId w:val="21"/>
  </w:num>
  <w:num w:numId="37">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
  </w:num>
  <w:num w:numId="41">
    <w:abstractNumId w:val="21"/>
  </w:num>
  <w:num w:numId="42">
    <w:abstractNumId w:val="9"/>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e Sam">
    <w15:presenceInfo w15:providerId="Windows Live" w15:userId="09a8aa99673470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01"/>
    <w:rsid w:val="000003AE"/>
    <w:rsid w:val="00037502"/>
    <w:rsid w:val="00042A50"/>
    <w:rsid w:val="00043795"/>
    <w:rsid w:val="00043CAA"/>
    <w:rsid w:val="000526EA"/>
    <w:rsid w:val="00075432"/>
    <w:rsid w:val="00091C15"/>
    <w:rsid w:val="000921A9"/>
    <w:rsid w:val="00096403"/>
    <w:rsid w:val="0009671F"/>
    <w:rsid w:val="000968ED"/>
    <w:rsid w:val="000B0098"/>
    <w:rsid w:val="000D0188"/>
    <w:rsid w:val="000E2FC8"/>
    <w:rsid w:val="000E787F"/>
    <w:rsid w:val="000F04D4"/>
    <w:rsid w:val="000F14DE"/>
    <w:rsid w:val="000F3F26"/>
    <w:rsid w:val="000F5E56"/>
    <w:rsid w:val="001040AF"/>
    <w:rsid w:val="0011018F"/>
    <w:rsid w:val="001118B4"/>
    <w:rsid w:val="00113834"/>
    <w:rsid w:val="00126C5A"/>
    <w:rsid w:val="0013256A"/>
    <w:rsid w:val="0013389F"/>
    <w:rsid w:val="001362EE"/>
    <w:rsid w:val="00140A13"/>
    <w:rsid w:val="0014516E"/>
    <w:rsid w:val="001625B3"/>
    <w:rsid w:val="00164C2D"/>
    <w:rsid w:val="00173108"/>
    <w:rsid w:val="00174A63"/>
    <w:rsid w:val="00176141"/>
    <w:rsid w:val="001811CF"/>
    <w:rsid w:val="001832A6"/>
    <w:rsid w:val="001858C9"/>
    <w:rsid w:val="001A12DA"/>
    <w:rsid w:val="001A56A8"/>
    <w:rsid w:val="001B5644"/>
    <w:rsid w:val="001B7B59"/>
    <w:rsid w:val="001C0542"/>
    <w:rsid w:val="001C1E16"/>
    <w:rsid w:val="001C3690"/>
    <w:rsid w:val="001C3C72"/>
    <w:rsid w:val="001D28C2"/>
    <w:rsid w:val="001D59E5"/>
    <w:rsid w:val="001E109C"/>
    <w:rsid w:val="001E2D32"/>
    <w:rsid w:val="001E429A"/>
    <w:rsid w:val="00214569"/>
    <w:rsid w:val="002172DD"/>
    <w:rsid w:val="0022315B"/>
    <w:rsid w:val="00240678"/>
    <w:rsid w:val="00246BD1"/>
    <w:rsid w:val="002539F1"/>
    <w:rsid w:val="00263055"/>
    <w:rsid w:val="002634C4"/>
    <w:rsid w:val="00273442"/>
    <w:rsid w:val="00274898"/>
    <w:rsid w:val="00280C9A"/>
    <w:rsid w:val="00283187"/>
    <w:rsid w:val="002861F4"/>
    <w:rsid w:val="00287160"/>
    <w:rsid w:val="002918FE"/>
    <w:rsid w:val="002928D3"/>
    <w:rsid w:val="00293712"/>
    <w:rsid w:val="00294DD2"/>
    <w:rsid w:val="00294F58"/>
    <w:rsid w:val="002A3468"/>
    <w:rsid w:val="002B05D3"/>
    <w:rsid w:val="002B1D11"/>
    <w:rsid w:val="002C3F11"/>
    <w:rsid w:val="002F1FE6"/>
    <w:rsid w:val="002F4E68"/>
    <w:rsid w:val="00303667"/>
    <w:rsid w:val="00312F7F"/>
    <w:rsid w:val="003228B7"/>
    <w:rsid w:val="0034349C"/>
    <w:rsid w:val="0034511F"/>
    <w:rsid w:val="00352817"/>
    <w:rsid w:val="0036105F"/>
    <w:rsid w:val="003673CF"/>
    <w:rsid w:val="003845C1"/>
    <w:rsid w:val="00390583"/>
    <w:rsid w:val="00392212"/>
    <w:rsid w:val="003A18B5"/>
    <w:rsid w:val="003A4009"/>
    <w:rsid w:val="003A6F89"/>
    <w:rsid w:val="003B38C1"/>
    <w:rsid w:val="003B75C2"/>
    <w:rsid w:val="003C1B55"/>
    <w:rsid w:val="003E2852"/>
    <w:rsid w:val="003F279E"/>
    <w:rsid w:val="003F2B38"/>
    <w:rsid w:val="00411FE7"/>
    <w:rsid w:val="00423E3E"/>
    <w:rsid w:val="00427AF4"/>
    <w:rsid w:val="004400E2"/>
    <w:rsid w:val="00441F01"/>
    <w:rsid w:val="00444503"/>
    <w:rsid w:val="00447F00"/>
    <w:rsid w:val="00450E42"/>
    <w:rsid w:val="00451660"/>
    <w:rsid w:val="004647DA"/>
    <w:rsid w:val="00464E49"/>
    <w:rsid w:val="00474062"/>
    <w:rsid w:val="004744AC"/>
    <w:rsid w:val="00477D6B"/>
    <w:rsid w:val="00480D6E"/>
    <w:rsid w:val="004826DB"/>
    <w:rsid w:val="00486BDE"/>
    <w:rsid w:val="004934E6"/>
    <w:rsid w:val="00494D02"/>
    <w:rsid w:val="004A0CBF"/>
    <w:rsid w:val="004A0DF7"/>
    <w:rsid w:val="004B2173"/>
    <w:rsid w:val="004B5ABF"/>
    <w:rsid w:val="004B6701"/>
    <w:rsid w:val="004C21B1"/>
    <w:rsid w:val="004D2C55"/>
    <w:rsid w:val="004D66A2"/>
    <w:rsid w:val="004D6A1C"/>
    <w:rsid w:val="004E146D"/>
    <w:rsid w:val="005242EE"/>
    <w:rsid w:val="0053057A"/>
    <w:rsid w:val="00537B8D"/>
    <w:rsid w:val="00543F36"/>
    <w:rsid w:val="00543FB7"/>
    <w:rsid w:val="00544A7D"/>
    <w:rsid w:val="005455F1"/>
    <w:rsid w:val="005525E8"/>
    <w:rsid w:val="00560A29"/>
    <w:rsid w:val="0057775C"/>
    <w:rsid w:val="00580EE4"/>
    <w:rsid w:val="0058548F"/>
    <w:rsid w:val="005B1EB4"/>
    <w:rsid w:val="005B5683"/>
    <w:rsid w:val="005C2D6D"/>
    <w:rsid w:val="005D7088"/>
    <w:rsid w:val="005D7F4E"/>
    <w:rsid w:val="005E6584"/>
    <w:rsid w:val="00605540"/>
    <w:rsid w:val="00605827"/>
    <w:rsid w:val="0061246C"/>
    <w:rsid w:val="00614513"/>
    <w:rsid w:val="00621AB2"/>
    <w:rsid w:val="006312EC"/>
    <w:rsid w:val="0064277F"/>
    <w:rsid w:val="00646050"/>
    <w:rsid w:val="006713CA"/>
    <w:rsid w:val="00674A65"/>
    <w:rsid w:val="00676C5C"/>
    <w:rsid w:val="00677F67"/>
    <w:rsid w:val="006923C8"/>
    <w:rsid w:val="00697E35"/>
    <w:rsid w:val="006A0D3F"/>
    <w:rsid w:val="006A6EDF"/>
    <w:rsid w:val="006B2AFA"/>
    <w:rsid w:val="006C25ED"/>
    <w:rsid w:val="006E5C22"/>
    <w:rsid w:val="006E6DAD"/>
    <w:rsid w:val="006E7669"/>
    <w:rsid w:val="006F0553"/>
    <w:rsid w:val="006F517F"/>
    <w:rsid w:val="007058FB"/>
    <w:rsid w:val="00714E72"/>
    <w:rsid w:val="007168AC"/>
    <w:rsid w:val="00745A6E"/>
    <w:rsid w:val="007830CB"/>
    <w:rsid w:val="007874B0"/>
    <w:rsid w:val="007875E8"/>
    <w:rsid w:val="00787E03"/>
    <w:rsid w:val="00791391"/>
    <w:rsid w:val="00795104"/>
    <w:rsid w:val="007B0574"/>
    <w:rsid w:val="007B38D4"/>
    <w:rsid w:val="007B6A58"/>
    <w:rsid w:val="007C234D"/>
    <w:rsid w:val="007C30B5"/>
    <w:rsid w:val="007C6C2E"/>
    <w:rsid w:val="007D1613"/>
    <w:rsid w:val="007D1881"/>
    <w:rsid w:val="007D2421"/>
    <w:rsid w:val="007E687F"/>
    <w:rsid w:val="007E70D8"/>
    <w:rsid w:val="00800194"/>
    <w:rsid w:val="008052E6"/>
    <w:rsid w:val="0081363B"/>
    <w:rsid w:val="008400D1"/>
    <w:rsid w:val="008404B7"/>
    <w:rsid w:val="00840A87"/>
    <w:rsid w:val="008414E9"/>
    <w:rsid w:val="00846A49"/>
    <w:rsid w:val="00847021"/>
    <w:rsid w:val="00862FFA"/>
    <w:rsid w:val="0087184D"/>
    <w:rsid w:val="00871CAE"/>
    <w:rsid w:val="00881C5C"/>
    <w:rsid w:val="00882C1D"/>
    <w:rsid w:val="008954E3"/>
    <w:rsid w:val="008A7961"/>
    <w:rsid w:val="008B2CC1"/>
    <w:rsid w:val="008B60B2"/>
    <w:rsid w:val="008C3DED"/>
    <w:rsid w:val="008C7722"/>
    <w:rsid w:val="008D26CB"/>
    <w:rsid w:val="008F3B49"/>
    <w:rsid w:val="009071A9"/>
    <w:rsid w:val="0090731E"/>
    <w:rsid w:val="00907F8E"/>
    <w:rsid w:val="00914A26"/>
    <w:rsid w:val="00916A9B"/>
    <w:rsid w:val="00916EE2"/>
    <w:rsid w:val="00920E74"/>
    <w:rsid w:val="00923496"/>
    <w:rsid w:val="00924E1D"/>
    <w:rsid w:val="00935C1C"/>
    <w:rsid w:val="00962758"/>
    <w:rsid w:val="00963387"/>
    <w:rsid w:val="00966A22"/>
    <w:rsid w:val="0096722F"/>
    <w:rsid w:val="00980843"/>
    <w:rsid w:val="009819BE"/>
    <w:rsid w:val="00981D2A"/>
    <w:rsid w:val="00987739"/>
    <w:rsid w:val="009910F7"/>
    <w:rsid w:val="009A12FE"/>
    <w:rsid w:val="009C37FB"/>
    <w:rsid w:val="009C3BD4"/>
    <w:rsid w:val="009C6F7D"/>
    <w:rsid w:val="009D59E5"/>
    <w:rsid w:val="009E2791"/>
    <w:rsid w:val="009E3F6F"/>
    <w:rsid w:val="009F0C09"/>
    <w:rsid w:val="009F499F"/>
    <w:rsid w:val="00A010A4"/>
    <w:rsid w:val="00A01236"/>
    <w:rsid w:val="00A029DD"/>
    <w:rsid w:val="00A10659"/>
    <w:rsid w:val="00A12BF4"/>
    <w:rsid w:val="00A2657B"/>
    <w:rsid w:val="00A26B19"/>
    <w:rsid w:val="00A36E63"/>
    <w:rsid w:val="00A41DD8"/>
    <w:rsid w:val="00A42DAF"/>
    <w:rsid w:val="00A45BD8"/>
    <w:rsid w:val="00A50EE0"/>
    <w:rsid w:val="00A52D34"/>
    <w:rsid w:val="00A61FE3"/>
    <w:rsid w:val="00A74323"/>
    <w:rsid w:val="00A75E8D"/>
    <w:rsid w:val="00A77BA6"/>
    <w:rsid w:val="00A85B8E"/>
    <w:rsid w:val="00A87220"/>
    <w:rsid w:val="00AA228C"/>
    <w:rsid w:val="00AA321B"/>
    <w:rsid w:val="00AB3585"/>
    <w:rsid w:val="00AC0825"/>
    <w:rsid w:val="00AC205C"/>
    <w:rsid w:val="00AC5DA6"/>
    <w:rsid w:val="00AD3A61"/>
    <w:rsid w:val="00AE00DB"/>
    <w:rsid w:val="00AE5ACD"/>
    <w:rsid w:val="00AE7BE4"/>
    <w:rsid w:val="00AF4A4E"/>
    <w:rsid w:val="00B05A69"/>
    <w:rsid w:val="00B14DE4"/>
    <w:rsid w:val="00B2126A"/>
    <w:rsid w:val="00B21ACA"/>
    <w:rsid w:val="00B23382"/>
    <w:rsid w:val="00B277A4"/>
    <w:rsid w:val="00B34E17"/>
    <w:rsid w:val="00B532CB"/>
    <w:rsid w:val="00B56438"/>
    <w:rsid w:val="00B570D2"/>
    <w:rsid w:val="00B66F63"/>
    <w:rsid w:val="00B74E9E"/>
    <w:rsid w:val="00B77ADE"/>
    <w:rsid w:val="00B93272"/>
    <w:rsid w:val="00B95ADC"/>
    <w:rsid w:val="00B9734B"/>
    <w:rsid w:val="00BA45A3"/>
    <w:rsid w:val="00BB22C4"/>
    <w:rsid w:val="00BB29B9"/>
    <w:rsid w:val="00BB6D15"/>
    <w:rsid w:val="00BC209B"/>
    <w:rsid w:val="00BC5DBD"/>
    <w:rsid w:val="00BE4D05"/>
    <w:rsid w:val="00BE6712"/>
    <w:rsid w:val="00BF0144"/>
    <w:rsid w:val="00BF10AA"/>
    <w:rsid w:val="00C11BFE"/>
    <w:rsid w:val="00C15F00"/>
    <w:rsid w:val="00C17856"/>
    <w:rsid w:val="00C3270B"/>
    <w:rsid w:val="00C37A90"/>
    <w:rsid w:val="00C5679F"/>
    <w:rsid w:val="00C640F7"/>
    <w:rsid w:val="00C71859"/>
    <w:rsid w:val="00C765F0"/>
    <w:rsid w:val="00C77961"/>
    <w:rsid w:val="00C94629"/>
    <w:rsid w:val="00C9704E"/>
    <w:rsid w:val="00CA196F"/>
    <w:rsid w:val="00CB3F81"/>
    <w:rsid w:val="00CB5E15"/>
    <w:rsid w:val="00CB7310"/>
    <w:rsid w:val="00CC11C5"/>
    <w:rsid w:val="00CE033F"/>
    <w:rsid w:val="00CE0AF5"/>
    <w:rsid w:val="00CE2815"/>
    <w:rsid w:val="00CF1A6B"/>
    <w:rsid w:val="00CF286F"/>
    <w:rsid w:val="00CF3B66"/>
    <w:rsid w:val="00D067C8"/>
    <w:rsid w:val="00D12A8F"/>
    <w:rsid w:val="00D27037"/>
    <w:rsid w:val="00D45252"/>
    <w:rsid w:val="00D516E7"/>
    <w:rsid w:val="00D575A5"/>
    <w:rsid w:val="00D646CA"/>
    <w:rsid w:val="00D71B4D"/>
    <w:rsid w:val="00D741E5"/>
    <w:rsid w:val="00D830F1"/>
    <w:rsid w:val="00D8524D"/>
    <w:rsid w:val="00D93D55"/>
    <w:rsid w:val="00DA6ADF"/>
    <w:rsid w:val="00DA77DB"/>
    <w:rsid w:val="00DB0525"/>
    <w:rsid w:val="00DC48E2"/>
    <w:rsid w:val="00DE390D"/>
    <w:rsid w:val="00DF7C4C"/>
    <w:rsid w:val="00E03902"/>
    <w:rsid w:val="00E04B15"/>
    <w:rsid w:val="00E07818"/>
    <w:rsid w:val="00E14B47"/>
    <w:rsid w:val="00E16E2A"/>
    <w:rsid w:val="00E204EC"/>
    <w:rsid w:val="00E218C9"/>
    <w:rsid w:val="00E2643D"/>
    <w:rsid w:val="00E32ADE"/>
    <w:rsid w:val="00E32C97"/>
    <w:rsid w:val="00E335FE"/>
    <w:rsid w:val="00E365E6"/>
    <w:rsid w:val="00E412BD"/>
    <w:rsid w:val="00E5021F"/>
    <w:rsid w:val="00E65EF4"/>
    <w:rsid w:val="00E71E89"/>
    <w:rsid w:val="00E763B9"/>
    <w:rsid w:val="00E87B71"/>
    <w:rsid w:val="00EA081D"/>
    <w:rsid w:val="00EA2EF2"/>
    <w:rsid w:val="00EC0EAE"/>
    <w:rsid w:val="00EC4E49"/>
    <w:rsid w:val="00ED1829"/>
    <w:rsid w:val="00ED1AFE"/>
    <w:rsid w:val="00ED25C9"/>
    <w:rsid w:val="00ED77FB"/>
    <w:rsid w:val="00EE7BCE"/>
    <w:rsid w:val="00EF17CB"/>
    <w:rsid w:val="00F021A6"/>
    <w:rsid w:val="00F21A32"/>
    <w:rsid w:val="00F415B1"/>
    <w:rsid w:val="00F45986"/>
    <w:rsid w:val="00F50E35"/>
    <w:rsid w:val="00F64205"/>
    <w:rsid w:val="00F66152"/>
    <w:rsid w:val="00F73A5E"/>
    <w:rsid w:val="00F76F40"/>
    <w:rsid w:val="00F812A1"/>
    <w:rsid w:val="00F9030B"/>
    <w:rsid w:val="00FB11DF"/>
    <w:rsid w:val="00FB238F"/>
    <w:rsid w:val="00FB70C5"/>
    <w:rsid w:val="00FD2537"/>
    <w:rsid w:val="00FD5B85"/>
    <w:rsid w:val="00FE2EAA"/>
    <w:rsid w:val="00FF43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B66F63"/>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7"/>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qFormat/>
    <w:rsid w:val="004B6701"/>
    <w:pPr>
      <w:tabs>
        <w:tab w:val="left" w:pos="440"/>
        <w:tab w:val="right" w:leader="dot" w:pos="9345"/>
      </w:tabs>
      <w:spacing w:before="240" w:after="240"/>
    </w:pPr>
  </w:style>
  <w:style w:type="character" w:customStyle="1" w:styleId="ONUMEChar">
    <w:name w:val="ONUM E Char"/>
    <w:link w:val="ONUME"/>
    <w:uiPriority w:val="99"/>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B66F63"/>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TOC3">
    <w:name w:val="toc 3"/>
    <w:basedOn w:val="Normal"/>
    <w:next w:val="Normal"/>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B66F63"/>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7"/>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qFormat/>
    <w:rsid w:val="004B6701"/>
    <w:pPr>
      <w:tabs>
        <w:tab w:val="left" w:pos="440"/>
        <w:tab w:val="right" w:leader="dot" w:pos="9345"/>
      </w:tabs>
      <w:spacing w:before="240" w:after="240"/>
    </w:pPr>
  </w:style>
  <w:style w:type="character" w:customStyle="1" w:styleId="ONUMEChar">
    <w:name w:val="ONUM E Char"/>
    <w:link w:val="ONUME"/>
    <w:uiPriority w:val="99"/>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B66F63"/>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TOC3">
    <w:name w:val="toc 3"/>
    <w:basedOn w:val="Normal"/>
    <w:next w:val="Normal"/>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chart" Target="charts/chart1.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chart" Target="charts/chart4.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9.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chart" Target="charts/chart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6.xml"/><Relationship Id="rId27" Type="http://schemas.openxmlformats.org/officeDocument/2006/relationships/header" Target="header11.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garba\Desktop\TeamCentral%20report%2030.6.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s\garba\Desktop\TeamCentral%20report%2030.6.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ers\garba\Desktop\TeamCentral%20report%2030.6.20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sers\garba\Desktop\TeamCentral%20report%2030.6.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[TeamCentral report 30.6.2015.xlsx]priority!PivotTable5</c:name>
    <c:fmtId val="-1"/>
  </c:pivotSource>
  <c:chart>
    <c:autoTitleDeleted val="1"/>
    <c:pivotFmts>
      <c:pivotFmt>
        <c:idx val="0"/>
        <c:marker>
          <c:symbol val="none"/>
        </c:marker>
        <c:dLbl>
          <c:idx val="0"/>
          <c:spPr/>
          <c:txPr>
            <a:bodyPr/>
            <a:lstStyle/>
            <a:p>
              <a:pPr>
                <a:defRPr/>
              </a:pPr>
              <a:endParaRPr lang="en-US"/>
            </a:p>
          </c:txPr>
          <c:showLegendKey val="0"/>
          <c:showVal val="1"/>
          <c:showCatName val="1"/>
          <c:showSerName val="0"/>
          <c:showPercent val="0"/>
          <c:showBubbleSize val="0"/>
        </c:dLbl>
      </c:pivotFmt>
      <c:pivotFmt>
        <c:idx val="1"/>
        <c:marker>
          <c:symbol val="none"/>
        </c:marker>
        <c:dLbl>
          <c:idx val="0"/>
          <c:spPr/>
          <c:txPr>
            <a:bodyPr/>
            <a:lstStyle/>
            <a:p>
              <a:pPr>
                <a:defRPr/>
              </a:pPr>
              <a:endParaRPr lang="en-US"/>
            </a:p>
          </c:txPr>
          <c:showLegendKey val="0"/>
          <c:showVal val="1"/>
          <c:showCatName val="1"/>
          <c:showSerName val="0"/>
          <c:showPercent val="0"/>
          <c:showBubbleSize val="0"/>
        </c:dLbl>
      </c:pivotFmt>
      <c:pivotFmt>
        <c:idx val="2"/>
        <c:marker>
          <c:symbol val="none"/>
        </c:marker>
        <c:dLbl>
          <c:idx val="0"/>
          <c:spPr/>
          <c:txPr>
            <a:bodyPr/>
            <a:lstStyle/>
            <a:p>
              <a:pPr>
                <a:defRPr/>
              </a:pPr>
              <a:endParaRPr lang="en-US"/>
            </a:p>
          </c:txPr>
          <c:showLegendKey val="0"/>
          <c:showVal val="1"/>
          <c:showCatName val="1"/>
          <c:showSerName val="0"/>
          <c:showPercent val="0"/>
          <c:showBubbleSize val="0"/>
        </c:dLbl>
      </c:pivotFmt>
      <c:pivotFmt>
        <c:idx val="3"/>
        <c:marker>
          <c:symbol val="none"/>
        </c:marker>
        <c:dLbl>
          <c:idx val="0"/>
          <c:spPr/>
          <c:txPr>
            <a:bodyPr/>
            <a:lstStyle/>
            <a:p>
              <a:pPr>
                <a:defRPr/>
              </a:pPr>
              <a:endParaRPr lang="en-US"/>
            </a:p>
          </c:txPr>
          <c:showLegendKey val="0"/>
          <c:showVal val="1"/>
          <c:showCatName val="1"/>
          <c:showSerName val="0"/>
          <c:showPercent val="0"/>
          <c:showBubbleSize val="0"/>
        </c:dLbl>
      </c:pivotFmt>
      <c:pivotFmt>
        <c:idx val="4"/>
        <c:marker>
          <c:symbol val="none"/>
        </c:marker>
        <c:dLbl>
          <c:idx val="0"/>
          <c:spPr/>
          <c:txPr>
            <a:bodyPr/>
            <a:lstStyle/>
            <a:p>
              <a:pPr>
                <a:defRPr/>
              </a:pPr>
              <a:endParaRPr lang="en-US"/>
            </a:p>
          </c:txPr>
          <c:showLegendKey val="0"/>
          <c:showVal val="1"/>
          <c:showCatName val="0"/>
          <c:showSerName val="0"/>
          <c:showPercent val="0"/>
          <c:showBubbleSize val="0"/>
        </c:dLbl>
      </c:pivotFmt>
      <c:pivotFmt>
        <c:idx val="5"/>
        <c:spPr>
          <a:solidFill>
            <a:schemeClr val="accent2"/>
          </a:solidFill>
        </c:spPr>
      </c:pivotFmt>
      <c:pivotFmt>
        <c:idx val="6"/>
        <c:marker>
          <c:symbol val="none"/>
        </c:marker>
        <c:dLbl>
          <c:idx val="0"/>
          <c:spPr/>
          <c:txPr>
            <a:bodyPr/>
            <a:lstStyle/>
            <a:p>
              <a:pPr>
                <a:defRPr/>
              </a:pPr>
              <a:endParaRPr lang="en-US"/>
            </a:p>
          </c:txPr>
          <c:showLegendKey val="0"/>
          <c:showVal val="1"/>
          <c:showCatName val="0"/>
          <c:showSerName val="0"/>
          <c:showPercent val="0"/>
          <c:showBubbleSize val="0"/>
        </c:dLbl>
      </c:pivotFmt>
      <c:pivotFmt>
        <c:idx val="7"/>
        <c:spPr>
          <a:solidFill>
            <a:schemeClr val="accent2"/>
          </a:solidFill>
        </c:spPr>
      </c:pivotFmt>
      <c:pivotFmt>
        <c:idx val="8"/>
        <c:marker>
          <c:symbol val="none"/>
        </c:marker>
        <c:dLbl>
          <c:idx val="0"/>
          <c:spPr/>
          <c:txPr>
            <a:bodyPr/>
            <a:lstStyle/>
            <a:p>
              <a:pPr>
                <a:defRPr/>
              </a:pPr>
              <a:endParaRPr lang="en-US"/>
            </a:p>
          </c:txPr>
          <c:showLegendKey val="0"/>
          <c:showVal val="1"/>
          <c:showCatName val="0"/>
          <c:showSerName val="0"/>
          <c:showPercent val="0"/>
          <c:showBubbleSize val="0"/>
        </c:dLbl>
      </c:pivotFmt>
      <c:pivotFmt>
        <c:idx val="9"/>
        <c:spPr>
          <a:solidFill>
            <a:schemeClr val="accent2"/>
          </a:solidFill>
        </c:spPr>
      </c:pivotFmt>
    </c:pivotFmts>
    <c:plotArea>
      <c:layout/>
      <c:barChart>
        <c:barDir val="col"/>
        <c:grouping val="clustered"/>
        <c:varyColors val="0"/>
        <c:ser>
          <c:idx val="0"/>
          <c:order val="0"/>
          <c:tx>
            <c:strRef>
              <c:f>priority!$B$3</c:f>
              <c:strCache>
                <c:ptCount val="1"/>
                <c:pt idx="0">
                  <c:v>Total</c:v>
                </c:pt>
              </c:strCache>
            </c:strRef>
          </c:tx>
          <c:invertIfNegative val="0"/>
          <c:dPt>
            <c:idx val="0"/>
            <c:invertIfNegative val="0"/>
            <c:bubble3D val="0"/>
            <c:spPr>
              <a:solidFill>
                <a:schemeClr val="accent2"/>
              </a:solidFill>
            </c:spPr>
          </c:dPt>
          <c:cat>
            <c:strRef>
              <c:f>priority!$A$4:$A$6</c:f>
              <c:strCache>
                <c:ptCount val="2"/>
                <c:pt idx="0">
                  <c:v>High</c:v>
                </c:pt>
                <c:pt idx="1">
                  <c:v>Medium</c:v>
                </c:pt>
              </c:strCache>
            </c:strRef>
          </c:cat>
          <c:val>
            <c:numRef>
              <c:f>priority!$B$4:$B$6</c:f>
              <c:numCache>
                <c:formatCode>General</c:formatCode>
                <c:ptCount val="2"/>
                <c:pt idx="0">
                  <c:v>119</c:v>
                </c:pt>
                <c:pt idx="1">
                  <c:v>65</c:v>
                </c:pt>
              </c:numCache>
            </c:numRef>
          </c:val>
        </c:ser>
        <c:dLbls>
          <c:showLegendKey val="0"/>
          <c:showVal val="1"/>
          <c:showCatName val="0"/>
          <c:showSerName val="0"/>
          <c:showPercent val="0"/>
          <c:showBubbleSize val="0"/>
        </c:dLbls>
        <c:gapWidth val="75"/>
        <c:axId val="154364928"/>
        <c:axId val="153492096"/>
      </c:barChart>
      <c:valAx>
        <c:axId val="153492096"/>
        <c:scaling>
          <c:orientation val="minMax"/>
        </c:scaling>
        <c:delete val="0"/>
        <c:axPos val="l"/>
        <c:majorGridlines/>
        <c:numFmt formatCode="General" sourceLinked="1"/>
        <c:majorTickMark val="none"/>
        <c:minorTickMark val="none"/>
        <c:tickLblPos val="nextTo"/>
        <c:crossAx val="154364928"/>
        <c:crosses val="autoZero"/>
        <c:crossBetween val="between"/>
      </c:valAx>
      <c:catAx>
        <c:axId val="154364928"/>
        <c:scaling>
          <c:orientation val="minMax"/>
        </c:scaling>
        <c:delete val="0"/>
        <c:axPos val="b"/>
        <c:majorTickMark val="none"/>
        <c:minorTickMark val="none"/>
        <c:tickLblPos val="nextTo"/>
        <c:crossAx val="153492096"/>
        <c:crosses val="autoZero"/>
        <c:auto val="1"/>
        <c:lblAlgn val="ctr"/>
        <c:lblOffset val="100"/>
        <c:noMultiLvlLbl val="0"/>
      </c:catAx>
    </c:plotArea>
    <c:legend>
      <c:legendPos val="b"/>
      <c:layout/>
      <c:overlay val="0"/>
    </c:legend>
    <c:plotVisOnly val="1"/>
    <c:dispBlanksAs val="zero"/>
    <c:showDLblsOverMax val="0"/>
  </c:chart>
  <c:externalData r:id="rId1">
    <c:autoUpdate val="0"/>
  </c:externalData>
  <c:extLst>
    <c:ext xmlns:c14="http://schemas.microsoft.com/office/drawing/2007/8/2/chart" uri="{781A3756-C4B2-4CAC-9D66-4F8BD8637D16}">
      <c14:pivotOptions>
        <c14:dropZoneFilter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1"/>
          <c:order val="0"/>
          <c:tx>
            <c:strRef>
              <c:f>'ageing med and high'!$B$18</c:f>
              <c:strCache>
                <c:ptCount val="1"/>
                <c:pt idx="0">
                  <c:v>High </c:v>
                </c:pt>
              </c:strCache>
            </c:strRef>
          </c:tx>
          <c:invertIfNegative val="0"/>
          <c:cat>
            <c:numRef>
              <c:f>'ageing med and high'!$A$19:$A$22</c:f>
              <c:numCache>
                <c:formatCode>General</c:formatCode>
                <c:ptCount val="4"/>
                <c:pt idx="0">
                  <c:v>2011</c:v>
                </c:pt>
                <c:pt idx="1">
                  <c:v>2013</c:v>
                </c:pt>
                <c:pt idx="2">
                  <c:v>2014</c:v>
                </c:pt>
                <c:pt idx="3">
                  <c:v>2015</c:v>
                </c:pt>
              </c:numCache>
            </c:numRef>
          </c:cat>
          <c:val>
            <c:numRef>
              <c:f>'ageing med and high'!$B$19:$B$22</c:f>
              <c:numCache>
                <c:formatCode>General</c:formatCode>
                <c:ptCount val="4"/>
                <c:pt idx="0">
                  <c:v>1</c:v>
                </c:pt>
                <c:pt idx="1">
                  <c:v>1</c:v>
                </c:pt>
                <c:pt idx="2">
                  <c:v>15</c:v>
                </c:pt>
                <c:pt idx="3">
                  <c:v>102</c:v>
                </c:pt>
              </c:numCache>
            </c:numRef>
          </c:val>
        </c:ser>
        <c:ser>
          <c:idx val="2"/>
          <c:order val="1"/>
          <c:tx>
            <c:strRef>
              <c:f>'ageing med and high'!$C$18</c:f>
              <c:strCache>
                <c:ptCount val="1"/>
                <c:pt idx="0">
                  <c:v>Medium </c:v>
                </c:pt>
              </c:strCache>
            </c:strRef>
          </c:tx>
          <c:spPr>
            <a:solidFill>
              <a:schemeClr val="accent1"/>
            </a:solidFill>
          </c:spPr>
          <c:invertIfNegative val="0"/>
          <c:cat>
            <c:numRef>
              <c:f>'ageing med and high'!$A$19:$A$22</c:f>
              <c:numCache>
                <c:formatCode>General</c:formatCode>
                <c:ptCount val="4"/>
                <c:pt idx="0">
                  <c:v>2011</c:v>
                </c:pt>
                <c:pt idx="1">
                  <c:v>2013</c:v>
                </c:pt>
                <c:pt idx="2">
                  <c:v>2014</c:v>
                </c:pt>
                <c:pt idx="3">
                  <c:v>2015</c:v>
                </c:pt>
              </c:numCache>
            </c:numRef>
          </c:cat>
          <c:val>
            <c:numRef>
              <c:f>'ageing med and high'!$C$19:$C$22</c:f>
              <c:numCache>
                <c:formatCode>General</c:formatCode>
                <c:ptCount val="4"/>
                <c:pt idx="0">
                  <c:v>0</c:v>
                </c:pt>
                <c:pt idx="1">
                  <c:v>3</c:v>
                </c:pt>
                <c:pt idx="2">
                  <c:v>7</c:v>
                </c:pt>
                <c:pt idx="3">
                  <c:v>55</c:v>
                </c:pt>
              </c:numCache>
            </c:numRef>
          </c:val>
        </c:ser>
        <c:dLbls>
          <c:showLegendKey val="0"/>
          <c:showVal val="1"/>
          <c:showCatName val="0"/>
          <c:showSerName val="0"/>
          <c:showPercent val="0"/>
          <c:showBubbleSize val="0"/>
        </c:dLbls>
        <c:gapWidth val="150"/>
        <c:shape val="box"/>
        <c:axId val="171189760"/>
        <c:axId val="171191680"/>
        <c:axId val="0"/>
      </c:bar3DChart>
      <c:catAx>
        <c:axId val="171189760"/>
        <c:scaling>
          <c:orientation val="minMax"/>
        </c:scaling>
        <c:delete val="0"/>
        <c:axPos val="b"/>
        <c:numFmt formatCode="General" sourceLinked="1"/>
        <c:majorTickMark val="none"/>
        <c:minorTickMark val="none"/>
        <c:tickLblPos val="nextTo"/>
        <c:crossAx val="171191680"/>
        <c:crosses val="autoZero"/>
        <c:auto val="1"/>
        <c:lblAlgn val="ctr"/>
        <c:lblOffset val="100"/>
        <c:noMultiLvlLbl val="0"/>
      </c:catAx>
      <c:valAx>
        <c:axId val="171191680"/>
        <c:scaling>
          <c:orientation val="minMax"/>
        </c:scaling>
        <c:delete val="1"/>
        <c:axPos val="l"/>
        <c:majorGridlines/>
        <c:numFmt formatCode="General" sourceLinked="1"/>
        <c:majorTickMark val="none"/>
        <c:minorTickMark val="none"/>
        <c:tickLblPos val="nextTo"/>
        <c:crossAx val="171189760"/>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[TeamCentral report 30.6.2015.xlsx]by Program!PivotTable5</c:name>
    <c:fmtId val="-1"/>
  </c:pivotSource>
  <c:chart>
    <c:autoTitleDeleted val="1"/>
    <c:pivotFmts>
      <c:pivotFmt>
        <c:idx val="0"/>
        <c:dLbl>
          <c:idx val="0"/>
          <c:showLegendKey val="0"/>
          <c:showVal val="1"/>
          <c:showCatName val="1"/>
          <c:showSerName val="0"/>
          <c:showPercent val="0"/>
          <c:showBubbleSize val="0"/>
        </c:dLbl>
      </c:pivotFmt>
      <c:pivotFmt>
        <c:idx val="1"/>
        <c:dLbl>
          <c:idx val="0"/>
          <c:showLegendKey val="0"/>
          <c:showVal val="1"/>
          <c:showCatName val="1"/>
          <c:showSerName val="0"/>
          <c:showPercent val="0"/>
          <c:showBubbleSize val="0"/>
        </c:dLbl>
      </c:pivotFmt>
      <c:pivotFmt>
        <c:idx val="2"/>
        <c:dLbl>
          <c:idx val="0"/>
          <c:showLegendKey val="0"/>
          <c:showVal val="1"/>
          <c:showCatName val="1"/>
          <c:showSerName val="0"/>
          <c:showPercent val="0"/>
          <c:showBubbleSize val="0"/>
        </c:dLbl>
      </c:pivotFmt>
      <c:pivotFmt>
        <c:idx val="3"/>
        <c:dLbl>
          <c:idx val="0"/>
          <c:showLegendKey val="0"/>
          <c:showVal val="1"/>
          <c:showCatName val="1"/>
          <c:showSerName val="0"/>
          <c:showPercent val="0"/>
          <c:showBubbleSize val="0"/>
        </c:dLbl>
      </c:pivotFmt>
      <c:pivotFmt>
        <c:idx val="4"/>
        <c:dLbl>
          <c:idx val="0"/>
          <c:showLegendKey val="0"/>
          <c:showVal val="1"/>
          <c:showCatName val="0"/>
          <c:showSerName val="0"/>
          <c:showPercent val="0"/>
          <c:showBubbleSize val="0"/>
        </c:dLbl>
      </c:pivotFmt>
      <c:pivotFmt>
        <c:idx val="5"/>
      </c:pivotFmt>
      <c:pivotFmt>
        <c:idx val="6"/>
        <c:dLbl>
          <c:idx val="0"/>
          <c:showLegendKey val="0"/>
          <c:showVal val="0"/>
          <c:showCatName val="1"/>
          <c:showSerName val="0"/>
          <c:showPercent val="1"/>
          <c:showBubbleSize val="0"/>
        </c:dLbl>
      </c:pivotFmt>
      <c:pivotFmt>
        <c:idx val="7"/>
      </c:pivotFmt>
      <c:pivotFmt>
        <c:idx val="8"/>
        <c:dLbl>
          <c:idx val="0"/>
          <c:dLblPos val="inEnd"/>
          <c:showLegendKey val="0"/>
          <c:showVal val="1"/>
          <c:showCatName val="0"/>
          <c:showSerName val="0"/>
          <c:showPercent val="0"/>
          <c:showBubbleSize val="0"/>
        </c:dLbl>
      </c:pivotFmt>
      <c:pivotFmt>
        <c:idx val="9"/>
        <c:dLbl>
          <c:idx val="0"/>
          <c:dLblPos val="inEnd"/>
          <c:showLegendKey val="0"/>
          <c:showVal val="1"/>
          <c:showCatName val="0"/>
          <c:showSerName val="0"/>
          <c:showPercent val="0"/>
          <c:showBubbleSize val="0"/>
        </c:dLbl>
      </c:pivotFmt>
      <c:pivotFmt>
        <c:idx val="10"/>
      </c:pivotFmt>
      <c:pivotFmt>
        <c:idx val="11"/>
      </c:pivotFmt>
      <c:pivotFmt>
        <c:idx val="12"/>
        <c:dLbl>
          <c:idx val="0"/>
          <c:dLblPos val="inEnd"/>
          <c:showLegendKey val="0"/>
          <c:showVal val="1"/>
          <c:showCatName val="0"/>
          <c:showSerName val="0"/>
          <c:showPercent val="0"/>
          <c:showBubbleSize val="0"/>
        </c:dLbl>
      </c:pivotFmt>
      <c:pivotFmt>
        <c:idx val="13"/>
        <c:dLbl>
          <c:idx val="0"/>
          <c:dLblPos val="inEnd"/>
          <c:showLegendKey val="0"/>
          <c:showVal val="1"/>
          <c:showCatName val="0"/>
          <c:showSerName val="0"/>
          <c:showPercent val="0"/>
          <c:showBubbleSize val="0"/>
        </c:dLbl>
      </c:pivotFmt>
      <c:pivotFmt>
        <c:idx val="14"/>
        <c:dLbl>
          <c:idx val="0"/>
          <c:spPr/>
          <c:txPr>
            <a:bodyPr/>
            <a:lstStyle/>
            <a:p>
              <a:pPr>
                <a:defRPr/>
              </a:pPr>
              <a:endParaRPr lang="en-US"/>
            </a:p>
          </c:txPr>
          <c:showLegendKey val="0"/>
          <c:showVal val="0"/>
          <c:showCatName val="1"/>
          <c:showSerName val="0"/>
          <c:showPercent val="1"/>
          <c:showBubbleSize val="0"/>
        </c:dLbl>
      </c:pivotFmt>
      <c:pivotFmt>
        <c:idx val="15"/>
        <c:marker>
          <c:symbol val="none"/>
        </c:marker>
        <c:dLbl>
          <c:idx val="0"/>
          <c:spPr/>
          <c:txPr>
            <a:bodyPr/>
            <a:lstStyle/>
            <a:p>
              <a:pPr>
                <a:defRPr/>
              </a:pPr>
              <a:endParaRPr lang="en-US"/>
            </a:p>
          </c:txPr>
          <c:showLegendKey val="0"/>
          <c:showVal val="1"/>
          <c:showCatName val="0"/>
          <c:showSerName val="0"/>
          <c:showPercent val="0"/>
          <c:showBubbleSize val="0"/>
        </c:dLbl>
      </c:pivotFmt>
      <c:pivotFmt>
        <c:idx val="16"/>
        <c:spPr>
          <a:solidFill>
            <a:schemeClr val="accent2"/>
          </a:solidFill>
        </c:spPr>
      </c:pivotFmt>
      <c:pivotFmt>
        <c:idx val="17"/>
        <c:spPr>
          <a:solidFill>
            <a:schemeClr val="accent1"/>
          </a:solidFill>
        </c:spPr>
      </c:pivotFmt>
      <c:pivotFmt>
        <c:idx val="18"/>
        <c:spPr>
          <a:solidFill>
            <a:schemeClr val="accent2"/>
          </a:solidFill>
        </c:spPr>
        <c:marker>
          <c:symbol val="none"/>
        </c:marker>
        <c:dLbl>
          <c:idx val="0"/>
          <c:spPr/>
          <c:txPr>
            <a:bodyPr/>
            <a:lstStyle/>
            <a:p>
              <a:pPr>
                <a:defRPr/>
              </a:pPr>
              <a:endParaRPr lang="en-US"/>
            </a:p>
          </c:txPr>
          <c:showLegendKey val="0"/>
          <c:showVal val="1"/>
          <c:showCatName val="0"/>
          <c:showSerName val="0"/>
          <c:showPercent val="0"/>
          <c:showBubbleSize val="0"/>
        </c:dLbl>
      </c:pivotFmt>
      <c:pivotFmt>
        <c:idx val="19"/>
        <c:spPr>
          <a:solidFill>
            <a:schemeClr val="accent1"/>
          </a:solidFill>
        </c:spPr>
        <c:marker>
          <c:symbol val="none"/>
        </c:marker>
        <c:dLbl>
          <c:idx val="0"/>
          <c:spPr/>
          <c:txPr>
            <a:bodyPr/>
            <a:lstStyle/>
            <a:p>
              <a:pPr>
                <a:defRPr/>
              </a:pPr>
              <a:endParaRPr lang="en-US"/>
            </a:p>
          </c:txPr>
          <c:showLegendKey val="0"/>
          <c:showVal val="1"/>
          <c:showCatName val="0"/>
          <c:showSerName val="0"/>
          <c:showPercent val="0"/>
          <c:showBubbleSize val="0"/>
        </c:dLbl>
      </c:pivotFmt>
      <c:pivotFmt>
        <c:idx val="20"/>
        <c:spPr>
          <a:solidFill>
            <a:schemeClr val="accent2"/>
          </a:solidFill>
        </c:spPr>
        <c:marker>
          <c:symbol val="none"/>
        </c:marker>
        <c:dLbl>
          <c:idx val="0"/>
          <c:spPr/>
          <c:txPr>
            <a:bodyPr/>
            <a:lstStyle/>
            <a:p>
              <a:pPr>
                <a:defRPr/>
              </a:pPr>
              <a:endParaRPr lang="en-US"/>
            </a:p>
          </c:txPr>
          <c:showLegendKey val="0"/>
          <c:showVal val="1"/>
          <c:showCatName val="0"/>
          <c:showSerName val="0"/>
          <c:showPercent val="0"/>
          <c:showBubbleSize val="0"/>
        </c:dLbl>
      </c:pivotFmt>
      <c:pivotFmt>
        <c:idx val="21"/>
        <c:spPr>
          <a:solidFill>
            <a:schemeClr val="accent1"/>
          </a:solidFill>
        </c:spPr>
        <c:marker>
          <c:symbol val="none"/>
        </c:marker>
        <c:dLbl>
          <c:idx val="0"/>
          <c:spPr/>
          <c:txPr>
            <a:bodyPr/>
            <a:lstStyle/>
            <a:p>
              <a:pPr>
                <a:defRPr/>
              </a:pPr>
              <a:endParaRPr lang="en-US"/>
            </a:p>
          </c:txPr>
          <c:showLegendKey val="0"/>
          <c:showVal val="1"/>
          <c:showCatName val="0"/>
          <c:showSerName val="0"/>
          <c:showPercent val="0"/>
          <c:showBubbleSize val="0"/>
        </c:dLbl>
      </c:pivotFmt>
    </c:pivotFmts>
    <c:plotArea>
      <c:layout>
        <c:manualLayout>
          <c:layoutTarget val="inner"/>
          <c:xMode val="edge"/>
          <c:yMode val="edge"/>
          <c:x val="5.7575039289576475E-2"/>
          <c:y val="1.9322616198826361E-3"/>
          <c:w val="0.9078995081311757"/>
          <c:h val="0.59981084489281211"/>
        </c:manualLayout>
      </c:layout>
      <c:barChart>
        <c:barDir val="col"/>
        <c:grouping val="clustered"/>
        <c:varyColors val="0"/>
        <c:ser>
          <c:idx val="0"/>
          <c:order val="0"/>
          <c:tx>
            <c:strRef>
              <c:f>'by Program'!$B$3:$B$4</c:f>
              <c:strCache>
                <c:ptCount val="1"/>
                <c:pt idx="0">
                  <c:v>High</c:v>
                </c:pt>
              </c:strCache>
            </c:strRef>
          </c:tx>
          <c:spPr>
            <a:solidFill>
              <a:schemeClr val="accent2"/>
            </a:solidFill>
          </c:spPr>
          <c:invertIfNegative val="0"/>
          <c:dPt>
            <c:idx val="0"/>
            <c:invertIfNegative val="0"/>
            <c:bubble3D val="0"/>
          </c:dPt>
          <c:cat>
            <c:strRef>
              <c:f>'by Program'!$A$5:$A$24</c:f>
              <c:strCache>
                <c:ptCount val="19"/>
                <c:pt idx="0">
                  <c:v>Program 1</c:v>
                </c:pt>
                <c:pt idx="1">
                  <c:v>Program 11</c:v>
                </c:pt>
                <c:pt idx="2">
                  <c:v>Program 19</c:v>
                </c:pt>
                <c:pt idx="3">
                  <c:v>Program 20</c:v>
                </c:pt>
                <c:pt idx="4">
                  <c:v>Program 21</c:v>
                </c:pt>
                <c:pt idx="5">
                  <c:v>Program 22</c:v>
                </c:pt>
                <c:pt idx="6">
                  <c:v>Program 23</c:v>
                </c:pt>
                <c:pt idx="7">
                  <c:v>Program 24</c:v>
                </c:pt>
                <c:pt idx="8">
                  <c:v>Program 25</c:v>
                </c:pt>
                <c:pt idx="9">
                  <c:v>Program 26</c:v>
                </c:pt>
                <c:pt idx="10">
                  <c:v>Program 27</c:v>
                </c:pt>
                <c:pt idx="11">
                  <c:v>Program 28</c:v>
                </c:pt>
                <c:pt idx="12">
                  <c:v>Program 29</c:v>
                </c:pt>
                <c:pt idx="13">
                  <c:v>Program 31</c:v>
                </c:pt>
                <c:pt idx="14">
                  <c:v>Program 4</c:v>
                </c:pt>
                <c:pt idx="15">
                  <c:v>Program 5</c:v>
                </c:pt>
                <c:pt idx="16">
                  <c:v>Program 6&amp;31</c:v>
                </c:pt>
                <c:pt idx="17">
                  <c:v>Program 8</c:v>
                </c:pt>
                <c:pt idx="18">
                  <c:v>Program 9</c:v>
                </c:pt>
              </c:strCache>
            </c:strRef>
          </c:cat>
          <c:val>
            <c:numRef>
              <c:f>'by Program'!$B$5:$B$24</c:f>
              <c:numCache>
                <c:formatCode>General</c:formatCode>
                <c:ptCount val="19"/>
                <c:pt idx="0">
                  <c:v>2</c:v>
                </c:pt>
                <c:pt idx="1">
                  <c:v>6</c:v>
                </c:pt>
                <c:pt idx="3">
                  <c:v>1</c:v>
                </c:pt>
                <c:pt idx="4">
                  <c:v>3</c:v>
                </c:pt>
                <c:pt idx="5">
                  <c:v>22</c:v>
                </c:pt>
                <c:pt idx="6">
                  <c:v>4</c:v>
                </c:pt>
                <c:pt idx="7">
                  <c:v>7</c:v>
                </c:pt>
                <c:pt idx="8">
                  <c:v>4</c:v>
                </c:pt>
                <c:pt idx="9">
                  <c:v>11</c:v>
                </c:pt>
                <c:pt idx="10">
                  <c:v>1</c:v>
                </c:pt>
                <c:pt idx="11">
                  <c:v>6</c:v>
                </c:pt>
                <c:pt idx="12">
                  <c:v>8</c:v>
                </c:pt>
                <c:pt idx="13">
                  <c:v>1</c:v>
                </c:pt>
                <c:pt idx="15">
                  <c:v>18</c:v>
                </c:pt>
                <c:pt idx="16">
                  <c:v>4</c:v>
                </c:pt>
                <c:pt idx="18">
                  <c:v>21</c:v>
                </c:pt>
              </c:numCache>
            </c:numRef>
          </c:val>
        </c:ser>
        <c:ser>
          <c:idx val="1"/>
          <c:order val="1"/>
          <c:tx>
            <c:strRef>
              <c:f>'by Program'!$C$3:$C$4</c:f>
              <c:strCache>
                <c:ptCount val="1"/>
                <c:pt idx="0">
                  <c:v>Medium</c:v>
                </c:pt>
              </c:strCache>
            </c:strRef>
          </c:tx>
          <c:spPr>
            <a:solidFill>
              <a:schemeClr val="accent1"/>
            </a:solidFill>
          </c:spPr>
          <c:invertIfNegative val="0"/>
          <c:cat>
            <c:strRef>
              <c:f>'by Program'!$A$5:$A$24</c:f>
              <c:strCache>
                <c:ptCount val="19"/>
                <c:pt idx="0">
                  <c:v>Program 1</c:v>
                </c:pt>
                <c:pt idx="1">
                  <c:v>Program 11</c:v>
                </c:pt>
                <c:pt idx="2">
                  <c:v>Program 19</c:v>
                </c:pt>
                <c:pt idx="3">
                  <c:v>Program 20</c:v>
                </c:pt>
                <c:pt idx="4">
                  <c:v>Program 21</c:v>
                </c:pt>
                <c:pt idx="5">
                  <c:v>Program 22</c:v>
                </c:pt>
                <c:pt idx="6">
                  <c:v>Program 23</c:v>
                </c:pt>
                <c:pt idx="7">
                  <c:v>Program 24</c:v>
                </c:pt>
                <c:pt idx="8">
                  <c:v>Program 25</c:v>
                </c:pt>
                <c:pt idx="9">
                  <c:v>Program 26</c:v>
                </c:pt>
                <c:pt idx="10">
                  <c:v>Program 27</c:v>
                </c:pt>
                <c:pt idx="11">
                  <c:v>Program 28</c:v>
                </c:pt>
                <c:pt idx="12">
                  <c:v>Program 29</c:v>
                </c:pt>
                <c:pt idx="13">
                  <c:v>Program 31</c:v>
                </c:pt>
                <c:pt idx="14">
                  <c:v>Program 4</c:v>
                </c:pt>
                <c:pt idx="15">
                  <c:v>Program 5</c:v>
                </c:pt>
                <c:pt idx="16">
                  <c:v>Program 6&amp;31</c:v>
                </c:pt>
                <c:pt idx="17">
                  <c:v>Program 8</c:v>
                </c:pt>
                <c:pt idx="18">
                  <c:v>Program 9</c:v>
                </c:pt>
              </c:strCache>
            </c:strRef>
          </c:cat>
          <c:val>
            <c:numRef>
              <c:f>'by Program'!$C$5:$C$24</c:f>
              <c:numCache>
                <c:formatCode>General</c:formatCode>
                <c:ptCount val="19"/>
                <c:pt idx="0">
                  <c:v>1</c:v>
                </c:pt>
                <c:pt idx="1">
                  <c:v>8</c:v>
                </c:pt>
                <c:pt idx="2">
                  <c:v>1</c:v>
                </c:pt>
                <c:pt idx="5">
                  <c:v>15</c:v>
                </c:pt>
                <c:pt idx="6">
                  <c:v>7</c:v>
                </c:pt>
                <c:pt idx="7">
                  <c:v>5</c:v>
                </c:pt>
                <c:pt idx="8">
                  <c:v>2</c:v>
                </c:pt>
                <c:pt idx="9">
                  <c:v>3</c:v>
                </c:pt>
                <c:pt idx="10">
                  <c:v>1</c:v>
                </c:pt>
                <c:pt idx="11">
                  <c:v>9</c:v>
                </c:pt>
                <c:pt idx="13">
                  <c:v>1</c:v>
                </c:pt>
                <c:pt idx="14">
                  <c:v>5</c:v>
                </c:pt>
                <c:pt idx="16">
                  <c:v>4</c:v>
                </c:pt>
                <c:pt idx="17">
                  <c:v>1</c:v>
                </c:pt>
                <c:pt idx="18">
                  <c:v>2</c:v>
                </c:pt>
              </c:numCache>
            </c:numRef>
          </c:val>
        </c:ser>
        <c:dLbls>
          <c:showLegendKey val="0"/>
          <c:showVal val="1"/>
          <c:showCatName val="0"/>
          <c:showSerName val="0"/>
          <c:showPercent val="0"/>
          <c:showBubbleSize val="0"/>
        </c:dLbls>
        <c:gapWidth val="150"/>
        <c:overlap val="-25"/>
        <c:axId val="26580096"/>
        <c:axId val="26581632"/>
      </c:barChart>
      <c:catAx>
        <c:axId val="26580096"/>
        <c:scaling>
          <c:orientation val="minMax"/>
        </c:scaling>
        <c:delete val="0"/>
        <c:axPos val="b"/>
        <c:majorTickMark val="none"/>
        <c:minorTickMark val="none"/>
        <c:tickLblPos val="nextTo"/>
        <c:crossAx val="26581632"/>
        <c:crosses val="autoZero"/>
        <c:auto val="1"/>
        <c:lblAlgn val="ctr"/>
        <c:lblOffset val="100"/>
        <c:noMultiLvlLbl val="0"/>
      </c:catAx>
      <c:valAx>
        <c:axId val="26581632"/>
        <c:scaling>
          <c:orientation val="minMax"/>
        </c:scaling>
        <c:delete val="1"/>
        <c:axPos val="l"/>
        <c:numFmt formatCode="General" sourceLinked="1"/>
        <c:majorTickMark val="none"/>
        <c:minorTickMark val="none"/>
        <c:tickLblPos val="nextTo"/>
        <c:crossAx val="26580096"/>
        <c:crosses val="autoZero"/>
        <c:crossBetween val="between"/>
      </c:valAx>
    </c:plotArea>
    <c:legend>
      <c:legendPos val="t"/>
      <c:layout/>
      <c:overlay val="0"/>
    </c:legend>
    <c:plotVisOnly val="1"/>
    <c:dispBlanksAs val="zero"/>
    <c:showDLblsOverMax val="0"/>
  </c:chart>
  <c:externalData r:id="rId1">
    <c:autoUpdate val="0"/>
  </c:externalData>
  <c:extLst>
    <c:ext xmlns:c14="http://schemas.microsoft.com/office/drawing/2007/8/2/chart" uri="{781A3756-C4B2-4CAC-9D66-4F8BD8637D16}">
      <c14:pivotOptions>
        <c14:dropZoneFilter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[TeamCentral report 30.6.2015.xlsx]SOURCE (2)!PivotTable5</c:name>
    <c:fmtId val="-1"/>
  </c:pivotSource>
  <c:chart>
    <c:autoTitleDeleted val="1"/>
    <c:pivotFmts>
      <c:pivotFmt>
        <c:idx val="0"/>
        <c:dLbl>
          <c:idx val="0"/>
          <c:showLegendKey val="0"/>
          <c:showVal val="1"/>
          <c:showCatName val="1"/>
          <c:showSerName val="0"/>
          <c:showPercent val="0"/>
          <c:showBubbleSize val="0"/>
        </c:dLbl>
      </c:pivotFmt>
      <c:pivotFmt>
        <c:idx val="1"/>
        <c:dLbl>
          <c:idx val="0"/>
          <c:showLegendKey val="0"/>
          <c:showVal val="1"/>
          <c:showCatName val="1"/>
          <c:showSerName val="0"/>
          <c:showPercent val="0"/>
          <c:showBubbleSize val="0"/>
        </c:dLbl>
      </c:pivotFmt>
      <c:pivotFmt>
        <c:idx val="2"/>
        <c:dLbl>
          <c:idx val="0"/>
          <c:showLegendKey val="0"/>
          <c:showVal val="1"/>
          <c:showCatName val="1"/>
          <c:showSerName val="0"/>
          <c:showPercent val="0"/>
          <c:showBubbleSize val="0"/>
        </c:dLbl>
      </c:pivotFmt>
      <c:pivotFmt>
        <c:idx val="3"/>
        <c:dLbl>
          <c:idx val="0"/>
          <c:showLegendKey val="0"/>
          <c:showVal val="1"/>
          <c:showCatName val="1"/>
          <c:showSerName val="0"/>
          <c:showPercent val="0"/>
          <c:showBubbleSize val="0"/>
        </c:dLbl>
      </c:pivotFmt>
      <c:pivotFmt>
        <c:idx val="4"/>
        <c:dLbl>
          <c:idx val="0"/>
          <c:showLegendKey val="0"/>
          <c:showVal val="1"/>
          <c:showCatName val="0"/>
          <c:showSerName val="0"/>
          <c:showPercent val="0"/>
          <c:showBubbleSize val="0"/>
        </c:dLbl>
      </c:pivotFmt>
      <c:pivotFmt>
        <c:idx val="5"/>
      </c:pivotFmt>
      <c:pivotFmt>
        <c:idx val="6"/>
        <c:dLbl>
          <c:idx val="0"/>
          <c:showLegendKey val="0"/>
          <c:showVal val="0"/>
          <c:showCatName val="1"/>
          <c:showSerName val="0"/>
          <c:showPercent val="1"/>
          <c:showBubbleSize val="0"/>
        </c:dLbl>
      </c:pivotFmt>
      <c:pivotFmt>
        <c:idx val="7"/>
      </c:pivotFmt>
      <c:pivotFmt>
        <c:idx val="8"/>
        <c:dLbl>
          <c:idx val="0"/>
          <c:dLblPos val="inEnd"/>
          <c:showLegendKey val="0"/>
          <c:showVal val="1"/>
          <c:showCatName val="0"/>
          <c:showSerName val="0"/>
          <c:showPercent val="0"/>
          <c:showBubbleSize val="0"/>
        </c:dLbl>
      </c:pivotFmt>
      <c:pivotFmt>
        <c:idx val="9"/>
        <c:dLbl>
          <c:idx val="0"/>
          <c:dLblPos val="inEnd"/>
          <c:showLegendKey val="0"/>
          <c:showVal val="1"/>
          <c:showCatName val="0"/>
          <c:showSerName val="0"/>
          <c:showPercent val="0"/>
          <c:showBubbleSize val="0"/>
        </c:dLbl>
      </c:pivotFmt>
      <c:pivotFmt>
        <c:idx val="10"/>
      </c:pivotFmt>
      <c:pivotFmt>
        <c:idx val="11"/>
      </c:pivotFmt>
      <c:pivotFmt>
        <c:idx val="12"/>
        <c:dLbl>
          <c:idx val="0"/>
          <c:dLblPos val="inEnd"/>
          <c:showLegendKey val="0"/>
          <c:showVal val="1"/>
          <c:showCatName val="0"/>
          <c:showSerName val="0"/>
          <c:showPercent val="0"/>
          <c:showBubbleSize val="0"/>
        </c:dLbl>
      </c:pivotFmt>
      <c:pivotFmt>
        <c:idx val="13"/>
        <c:dLbl>
          <c:idx val="0"/>
          <c:dLblPos val="inEnd"/>
          <c:showLegendKey val="0"/>
          <c:showVal val="1"/>
          <c:showCatName val="0"/>
          <c:showSerName val="0"/>
          <c:showPercent val="0"/>
          <c:showBubbleSize val="0"/>
        </c:dLbl>
      </c:pivotFmt>
      <c:pivotFmt>
        <c:idx val="14"/>
        <c:dLbl>
          <c:idx val="0"/>
          <c:spPr/>
          <c:txPr>
            <a:bodyPr/>
            <a:lstStyle/>
            <a:p>
              <a:pPr>
                <a:defRPr/>
              </a:pPr>
              <a:endParaRPr lang="en-US"/>
            </a:p>
          </c:txPr>
          <c:showLegendKey val="0"/>
          <c:showVal val="0"/>
          <c:showCatName val="1"/>
          <c:showSerName val="0"/>
          <c:showPercent val="1"/>
          <c:showBubbleSize val="0"/>
        </c:dLbl>
      </c:pivotFmt>
      <c:pivotFmt>
        <c:idx val="15"/>
        <c:marker>
          <c:symbol val="none"/>
        </c:marker>
        <c:dLbl>
          <c:idx val="0"/>
          <c:spPr/>
          <c:txPr>
            <a:bodyPr/>
            <a:lstStyle/>
            <a:p>
              <a:pPr>
                <a:defRPr/>
              </a:pPr>
              <a:endParaRPr lang="en-US"/>
            </a:p>
          </c:txPr>
          <c:showLegendKey val="0"/>
          <c:showVal val="0"/>
          <c:showCatName val="1"/>
          <c:showSerName val="0"/>
          <c:showPercent val="1"/>
          <c:showBubbleSize val="0"/>
        </c:dLbl>
      </c:pivotFmt>
      <c:pivotFmt>
        <c:idx val="16"/>
        <c:marker>
          <c:symbol val="none"/>
        </c:marker>
        <c:dLbl>
          <c:idx val="0"/>
          <c:spPr/>
          <c:txPr>
            <a:bodyPr/>
            <a:lstStyle/>
            <a:p>
              <a:pPr>
                <a:defRPr/>
              </a:pPr>
              <a:endParaRPr lang="en-US"/>
            </a:p>
          </c:txPr>
          <c:showLegendKey val="0"/>
          <c:showVal val="0"/>
          <c:showCatName val="1"/>
          <c:showSerName val="0"/>
          <c:showPercent val="1"/>
          <c:showBubbleSize val="0"/>
        </c:dLbl>
      </c:pivotFmt>
    </c:pivotFmts>
    <c:view3D>
      <c:rotX val="75"/>
      <c:rotY val="0"/>
      <c:rAngAx val="0"/>
      <c:perspective val="30"/>
    </c:view3D>
    <c:floor>
      <c:thickness val="0"/>
    </c:floor>
    <c:sideWall>
      <c:thickness val="0"/>
    </c:sideWall>
    <c:backWall>
      <c:thickness val="0"/>
    </c:backWall>
    <c:plotArea>
      <c:layout/>
      <c:pie3DChart>
        <c:varyColors val="1"/>
        <c:ser>
          <c:idx val="0"/>
          <c:order val="0"/>
          <c:tx>
            <c:strRef>
              <c:f>'SOURCE (2)'!$B$3</c:f>
              <c:strCache>
                <c:ptCount val="1"/>
                <c:pt idx="0">
                  <c:v>Total</c:v>
                </c:pt>
              </c:strCache>
            </c:strRef>
          </c:tx>
          <c:explosion val="25"/>
          <c:dPt>
            <c:idx val="0"/>
            <c:bubble3D val="0"/>
            <c:spPr>
              <a:solidFill>
                <a:schemeClr val="accent6">
                  <a:lumMod val="60000"/>
                  <a:lumOff val="40000"/>
                </a:schemeClr>
              </a:solidFill>
            </c:spPr>
          </c:dPt>
          <c:dPt>
            <c:idx val="1"/>
            <c:bubble3D val="0"/>
            <c:spPr>
              <a:solidFill>
                <a:schemeClr val="accent3">
                  <a:lumMod val="60000"/>
                  <a:lumOff val="40000"/>
                </a:schemeClr>
              </a:solidFill>
            </c:spPr>
          </c:dPt>
          <c:dLbls>
            <c:txPr>
              <a:bodyPr/>
              <a:lstStyle/>
              <a:p>
                <a:pPr>
                  <a:defRPr/>
                </a:pPr>
                <a:endParaRPr lang="en-US"/>
              </a:p>
            </c:txPr>
            <c:showLegendKey val="0"/>
            <c:showVal val="0"/>
            <c:showCatName val="1"/>
            <c:showSerName val="0"/>
            <c:showPercent val="1"/>
            <c:showBubbleSize val="0"/>
            <c:showLeaderLines val="1"/>
          </c:dLbls>
          <c:cat>
            <c:strRef>
              <c:f>'SOURCE (2)'!$A$4:$A$6</c:f>
              <c:strCache>
                <c:ptCount val="2"/>
                <c:pt idx="0">
                  <c:v>Ext. Audit</c:v>
                </c:pt>
                <c:pt idx="1">
                  <c:v>IOD</c:v>
                </c:pt>
              </c:strCache>
            </c:strRef>
          </c:cat>
          <c:val>
            <c:numRef>
              <c:f>'SOURCE (2)'!$B$4:$B$6</c:f>
              <c:numCache>
                <c:formatCode>General</c:formatCode>
                <c:ptCount val="2"/>
                <c:pt idx="0">
                  <c:v>49</c:v>
                </c:pt>
                <c:pt idx="1">
                  <c:v>135</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extLst>
    <c:ext xmlns:c14="http://schemas.microsoft.com/office/drawing/2007/8/2/chart" uri="{781A3756-C4B2-4CAC-9D66-4F8BD8637D16}">
      <c14:pivotOptions>
        <c14:dropZoneFilter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BC338-7518-49E5-8A9B-97F9DB6E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5281</Words>
  <Characters>31439</Characters>
  <Application>Microsoft Office Word</Application>
  <DocSecurity>0</DocSecurity>
  <Lines>7859</Lines>
  <Paragraphs>2447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WO/GA/46/</vt:lpstr>
      <vt:lpstr>WO/GA/46/</vt:lpstr>
    </vt:vector>
  </TitlesOfParts>
  <Company>WIPO</Company>
  <LinksUpToDate>false</LinksUpToDate>
  <CharactersWithSpaces>34273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SCHWOB Lise</dc:creator>
  <cp:lastModifiedBy>NETTER Iza</cp:lastModifiedBy>
  <cp:revision>3</cp:revision>
  <cp:lastPrinted>2015-07-28T11:11:00Z</cp:lastPrinted>
  <dcterms:created xsi:type="dcterms:W3CDTF">2015-07-28T11:11:00Z</dcterms:created>
  <dcterms:modified xsi:type="dcterms:W3CDTF">2015-07-28T11:11:00Z</dcterms:modified>
</cp:coreProperties>
</file>