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725F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179AE" w:rsidP="00916EE2">
            <w:pPr>
              <w:jc w:val="right"/>
              <w:rPr>
                <w:rFonts w:ascii="Arial Black" w:hAnsi="Arial Black"/>
                <w:caps/>
                <w:sz w:val="15"/>
              </w:rPr>
            </w:pPr>
            <w:r>
              <w:rPr>
                <w:rFonts w:ascii="Arial Black" w:hAnsi="Arial Black"/>
                <w:caps/>
                <w:sz w:val="15"/>
              </w:rPr>
              <w:t>wo/</w:t>
            </w:r>
            <w:r w:rsidR="00A77461">
              <w:rPr>
                <w:rFonts w:ascii="Arial Black" w:hAnsi="Arial Black"/>
                <w:caps/>
                <w:sz w:val="15"/>
              </w:rPr>
              <w:t>pbc/24/</w:t>
            </w:r>
            <w:bookmarkStart w:id="0" w:name="Code"/>
            <w:bookmarkEnd w:id="0"/>
            <w:r w:rsidR="00490611">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9061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E709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90611">
              <w:rPr>
                <w:rFonts w:ascii="Arial Black" w:hAnsi="Arial Black"/>
                <w:caps/>
                <w:sz w:val="15"/>
              </w:rPr>
              <w:t xml:space="preserve">AUGUST </w:t>
            </w:r>
            <w:r w:rsidR="003E7090">
              <w:rPr>
                <w:rFonts w:ascii="Arial Black" w:hAnsi="Arial Black"/>
                <w:caps/>
                <w:sz w:val="15"/>
              </w:rPr>
              <w:t>31</w:t>
            </w:r>
            <w:r w:rsidR="00490611">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77461" w:rsidP="008B2CC1">
      <w:pPr>
        <w:rPr>
          <w:b/>
          <w:sz w:val="28"/>
          <w:szCs w:val="28"/>
        </w:rPr>
      </w:pPr>
      <w:r w:rsidRPr="00A77461">
        <w:rPr>
          <w:b/>
          <w:sz w:val="28"/>
          <w:szCs w:val="28"/>
        </w:rPr>
        <w:t>Program and Budget Committee</w:t>
      </w:r>
    </w:p>
    <w:p w:rsidR="003845C1" w:rsidRDefault="003845C1" w:rsidP="003845C1"/>
    <w:p w:rsidR="003845C1" w:rsidRDefault="003845C1" w:rsidP="003845C1"/>
    <w:p w:rsidR="00A77461" w:rsidRPr="00A77461" w:rsidRDefault="00A77461" w:rsidP="00A77461">
      <w:pPr>
        <w:rPr>
          <w:b/>
          <w:sz w:val="24"/>
          <w:szCs w:val="24"/>
        </w:rPr>
      </w:pPr>
      <w:r w:rsidRPr="00A77461">
        <w:rPr>
          <w:b/>
          <w:sz w:val="24"/>
          <w:szCs w:val="24"/>
        </w:rPr>
        <w:t>Twenty-Fourth Session</w:t>
      </w:r>
    </w:p>
    <w:p w:rsidR="008B2CC1" w:rsidRPr="008B2CC1" w:rsidRDefault="00A77461" w:rsidP="00A77461">
      <w:r w:rsidRPr="00A77461">
        <w:rPr>
          <w:b/>
          <w:sz w:val="24"/>
          <w:szCs w:val="24"/>
        </w:rPr>
        <w:t>Geneva, September 14 to 18, 2015</w:t>
      </w:r>
    </w:p>
    <w:p w:rsidR="008B2CC1" w:rsidRPr="008B2CC1" w:rsidRDefault="008B2CC1" w:rsidP="008B2CC1"/>
    <w:p w:rsidR="008B2CC1" w:rsidRPr="008B2CC1" w:rsidRDefault="008B2CC1" w:rsidP="008B2CC1"/>
    <w:p w:rsidR="008B2CC1" w:rsidRPr="003845C1" w:rsidRDefault="00490611" w:rsidP="008B2CC1">
      <w:pPr>
        <w:rPr>
          <w:caps/>
          <w:sz w:val="24"/>
        </w:rPr>
      </w:pPr>
      <w:bookmarkStart w:id="3" w:name="TitleOfDoc"/>
      <w:bookmarkEnd w:id="3"/>
      <w:r>
        <w:rPr>
          <w:caps/>
          <w:sz w:val="24"/>
        </w:rPr>
        <w:t>REVISED POLICY ON INVESTMENTS</w:t>
      </w:r>
    </w:p>
    <w:p w:rsidR="008B2CC1" w:rsidRPr="008B2CC1" w:rsidRDefault="008B2CC1" w:rsidP="008B2CC1"/>
    <w:p w:rsidR="008B2CC1" w:rsidRPr="008B2CC1" w:rsidRDefault="00490611" w:rsidP="008B2CC1">
      <w:pPr>
        <w:rPr>
          <w:i/>
        </w:rPr>
      </w:pPr>
      <w:bookmarkStart w:id="4" w:name="Prepared"/>
      <w:bookmarkEnd w:id="4"/>
      <w:r>
        <w:rPr>
          <w:i/>
        </w:rPr>
        <w:t>prepared by the Secretariat</w:t>
      </w:r>
    </w:p>
    <w:p w:rsidR="00AC205C" w:rsidRDefault="00AC205C"/>
    <w:p w:rsidR="000F5E56" w:rsidRDefault="000F5E56"/>
    <w:p w:rsidR="002928D3" w:rsidRDefault="002928D3"/>
    <w:p w:rsidR="002928D3" w:rsidRDefault="002928D3" w:rsidP="0053057A"/>
    <w:p w:rsidR="00490611" w:rsidRPr="009F4302" w:rsidRDefault="00490611" w:rsidP="00EB5DA5">
      <w:pPr>
        <w:rPr>
          <w:b/>
        </w:rPr>
      </w:pPr>
      <w:r w:rsidRPr="009F4302">
        <w:rPr>
          <w:b/>
        </w:rPr>
        <w:t>BACKGROUND</w:t>
      </w:r>
    </w:p>
    <w:p w:rsidR="00490611" w:rsidRDefault="00490611" w:rsidP="00EB5DA5"/>
    <w:p w:rsidR="00490611" w:rsidRPr="00B33789" w:rsidRDefault="00490611" w:rsidP="00A57E3F">
      <w:pPr>
        <w:pStyle w:val="Style2"/>
        <w:numPr>
          <w:ilvl w:val="0"/>
          <w:numId w:val="35"/>
        </w:numPr>
        <w:tabs>
          <w:tab w:val="left" w:pos="567"/>
          <w:tab w:val="left" w:pos="6521"/>
        </w:tabs>
        <w:spacing w:after="220"/>
        <w:ind w:left="0" w:firstLine="0"/>
        <w:rPr>
          <w:szCs w:val="22"/>
        </w:rPr>
      </w:pPr>
      <w:r>
        <w:t xml:space="preserve">Following the discussion of documents WO/PBC/23/6 </w:t>
      </w:r>
      <w:r w:rsidR="00720936">
        <w:t>and WO/PBC/23/7 during the July </w:t>
      </w:r>
      <w:r>
        <w:t>2015 session of the Program and Budget Committee (PBC), the Committee, recognizing the need</w:t>
      </w:r>
      <w:r w:rsidRPr="00B33789">
        <w:rPr>
          <w:i/>
          <w:szCs w:val="22"/>
        </w:rPr>
        <w:t xml:space="preserve"> </w:t>
      </w:r>
      <w:r w:rsidRPr="00B33789">
        <w:rPr>
          <w:szCs w:val="22"/>
        </w:rPr>
        <w:t>for two investment policies (one covering operating and core cash and a second one covering strategic cash), recommended that two such policies should be prepared for approval at its next session and that the two policies should include the following:</w:t>
      </w:r>
    </w:p>
    <w:p w:rsidR="00490611" w:rsidRPr="00B33789" w:rsidRDefault="00490611" w:rsidP="00EB5DA5">
      <w:pPr>
        <w:pStyle w:val="Style2"/>
        <w:numPr>
          <w:ilvl w:val="0"/>
          <w:numId w:val="7"/>
        </w:numPr>
        <w:tabs>
          <w:tab w:val="left" w:pos="567"/>
          <w:tab w:val="left" w:pos="1134"/>
          <w:tab w:val="left" w:pos="6521"/>
        </w:tabs>
        <w:spacing w:after="220"/>
        <w:ind w:left="567" w:firstLine="0"/>
        <w:rPr>
          <w:szCs w:val="22"/>
        </w:rPr>
      </w:pPr>
      <w:r w:rsidRPr="00B33789">
        <w:rPr>
          <w:szCs w:val="22"/>
        </w:rPr>
        <w:t>the definition of short-term investments as those maturing within one year;</w:t>
      </w:r>
    </w:p>
    <w:p w:rsidR="00490611" w:rsidRPr="00B33789" w:rsidRDefault="00490611" w:rsidP="00EB5DA5">
      <w:pPr>
        <w:pStyle w:val="Style2"/>
        <w:numPr>
          <w:ilvl w:val="0"/>
          <w:numId w:val="7"/>
        </w:numPr>
        <w:tabs>
          <w:tab w:val="left" w:pos="567"/>
          <w:tab w:val="left" w:pos="1134"/>
          <w:tab w:val="left" w:pos="6521"/>
        </w:tabs>
        <w:spacing w:after="220"/>
        <w:ind w:left="567" w:firstLine="0"/>
        <w:rPr>
          <w:szCs w:val="22"/>
        </w:rPr>
      </w:pPr>
      <w:r w:rsidRPr="00B33789">
        <w:rPr>
          <w:szCs w:val="22"/>
        </w:rPr>
        <w:t xml:space="preserve">minimum credit ratings for short-term investments to be </w:t>
      </w:r>
      <w:r w:rsidRPr="00B33789">
        <w:rPr>
          <w:szCs w:val="22"/>
        </w:rPr>
        <w:br/>
        <w:t>A-2/P-2 for banks and government bonds, A3-P3 for corporate bonds;</w:t>
      </w:r>
    </w:p>
    <w:p w:rsidR="00490611" w:rsidRPr="00B33789" w:rsidRDefault="00490611" w:rsidP="00EB5DA5">
      <w:pPr>
        <w:pStyle w:val="Style2"/>
        <w:numPr>
          <w:ilvl w:val="0"/>
          <w:numId w:val="7"/>
        </w:numPr>
        <w:tabs>
          <w:tab w:val="left" w:pos="567"/>
          <w:tab w:val="left" w:pos="1134"/>
          <w:tab w:val="left" w:pos="6521"/>
        </w:tabs>
        <w:spacing w:after="220"/>
        <w:ind w:left="567" w:firstLine="0"/>
        <w:rPr>
          <w:szCs w:val="22"/>
        </w:rPr>
      </w:pPr>
      <w:r w:rsidRPr="00B33789">
        <w:rPr>
          <w:szCs w:val="22"/>
        </w:rPr>
        <w:t>revised minimum credit ratings for medium and long-term investments to be A-/A3 for banks and government bonds, BBB-/Baa3 for corporate bonds;</w:t>
      </w:r>
    </w:p>
    <w:p w:rsidR="00490611" w:rsidRPr="005F0919" w:rsidRDefault="00490611" w:rsidP="00EB5DA5">
      <w:pPr>
        <w:pStyle w:val="Style2"/>
        <w:numPr>
          <w:ilvl w:val="0"/>
          <w:numId w:val="7"/>
        </w:numPr>
        <w:tabs>
          <w:tab w:val="left" w:pos="567"/>
          <w:tab w:val="left" w:pos="1134"/>
          <w:tab w:val="left" w:pos="6521"/>
        </w:tabs>
        <w:spacing w:after="220"/>
        <w:ind w:left="567" w:firstLine="0"/>
        <w:rPr>
          <w:szCs w:val="22"/>
        </w:rPr>
      </w:pPr>
      <w:r w:rsidRPr="00B33789">
        <w:rPr>
          <w:szCs w:val="22"/>
        </w:rPr>
        <w:t xml:space="preserve">a reduction in the minimum number of financial institutions </w:t>
      </w:r>
      <w:r w:rsidRPr="005F0919">
        <w:rPr>
          <w:szCs w:val="22"/>
        </w:rPr>
        <w:t>(from the ten stipulated in the current Investment Policy), amongst which operating cash can be held, to four institutions, with no more than 30 per cent of the investment monies to be held with any one institution;</w:t>
      </w:r>
    </w:p>
    <w:p w:rsidR="00490611" w:rsidRPr="00B33789" w:rsidRDefault="00490611" w:rsidP="00EB5DA5">
      <w:pPr>
        <w:pStyle w:val="Style2"/>
        <w:numPr>
          <w:ilvl w:val="0"/>
          <w:numId w:val="7"/>
        </w:numPr>
        <w:tabs>
          <w:tab w:val="left" w:pos="567"/>
          <w:tab w:val="left" w:pos="1134"/>
          <w:tab w:val="left" w:pos="6521"/>
        </w:tabs>
        <w:spacing w:after="220"/>
        <w:ind w:left="567" w:firstLine="0"/>
        <w:rPr>
          <w:szCs w:val="22"/>
        </w:rPr>
      </w:pPr>
      <w:r w:rsidRPr="00B33789">
        <w:rPr>
          <w:szCs w:val="22"/>
        </w:rPr>
        <w:t>the use of external fund managers to manage core and strategic cash;</w:t>
      </w:r>
    </w:p>
    <w:p w:rsidR="00490611" w:rsidRPr="00B33789" w:rsidRDefault="00490611" w:rsidP="00EB5DA5">
      <w:pPr>
        <w:pStyle w:val="Style2"/>
        <w:numPr>
          <w:ilvl w:val="0"/>
          <w:numId w:val="7"/>
        </w:numPr>
        <w:tabs>
          <w:tab w:val="left" w:pos="567"/>
          <w:tab w:val="left" w:pos="1134"/>
          <w:tab w:val="left" w:pos="6521"/>
        </w:tabs>
        <w:spacing w:after="220"/>
        <w:ind w:left="567" w:firstLine="0"/>
        <w:rPr>
          <w:szCs w:val="22"/>
        </w:rPr>
      </w:pPr>
      <w:r w:rsidRPr="00B33789">
        <w:rPr>
          <w:szCs w:val="22"/>
        </w:rPr>
        <w:t>the payment of both of the scheduled loan repayments related to the New Building which are due in November 2015 and January 2016;</w:t>
      </w:r>
    </w:p>
    <w:p w:rsidR="00490611" w:rsidRPr="00B33789" w:rsidRDefault="00490611" w:rsidP="00EB5DA5">
      <w:pPr>
        <w:pStyle w:val="Style2"/>
        <w:numPr>
          <w:ilvl w:val="0"/>
          <w:numId w:val="7"/>
        </w:numPr>
        <w:tabs>
          <w:tab w:val="left" w:pos="567"/>
          <w:tab w:val="left" w:pos="1134"/>
          <w:tab w:val="left" w:pos="6521"/>
        </w:tabs>
        <w:spacing w:after="220"/>
        <w:ind w:left="567" w:firstLine="0"/>
        <w:rPr>
          <w:szCs w:val="22"/>
        </w:rPr>
      </w:pPr>
      <w:r w:rsidRPr="00B33789">
        <w:rPr>
          <w:szCs w:val="22"/>
        </w:rPr>
        <w:t>a revised list of acceptable asset classes as follows:</w:t>
      </w:r>
    </w:p>
    <w:p w:rsidR="00490611" w:rsidRPr="00B33789" w:rsidRDefault="00490611" w:rsidP="00EB5DA5">
      <w:pPr>
        <w:pStyle w:val="ONUME"/>
        <w:numPr>
          <w:ilvl w:val="0"/>
          <w:numId w:val="8"/>
        </w:numPr>
        <w:tabs>
          <w:tab w:val="left" w:pos="1710"/>
          <w:tab w:val="left" w:pos="6379"/>
        </w:tabs>
        <w:ind w:left="1170" w:firstLine="0"/>
        <w:rPr>
          <w:szCs w:val="22"/>
          <w:u w:val="single"/>
        </w:rPr>
      </w:pPr>
      <w:r w:rsidRPr="00B33789">
        <w:rPr>
          <w:szCs w:val="22"/>
          <w:u w:val="single"/>
        </w:rPr>
        <w:lastRenderedPageBreak/>
        <w:t>Within the investment policy applicable to operating and core cash:</w:t>
      </w:r>
    </w:p>
    <w:p w:rsidR="00490611" w:rsidRPr="00B33789" w:rsidRDefault="00490611" w:rsidP="00EB5DA5">
      <w:pPr>
        <w:tabs>
          <w:tab w:val="left" w:pos="2700"/>
          <w:tab w:val="left" w:pos="6946"/>
        </w:tabs>
        <w:spacing w:after="220"/>
        <w:ind w:left="2880" w:hanging="720"/>
        <w:rPr>
          <w:szCs w:val="22"/>
        </w:rPr>
      </w:pPr>
      <w:r w:rsidRPr="00B33789">
        <w:rPr>
          <w:szCs w:val="22"/>
        </w:rPr>
        <w:t>I.</w:t>
      </w:r>
      <w:r w:rsidRPr="00B33789">
        <w:rPr>
          <w:szCs w:val="22"/>
        </w:rPr>
        <w:tab/>
        <w:t>Cash or equivalent:</w:t>
      </w:r>
    </w:p>
    <w:p w:rsidR="00490611" w:rsidRPr="00B33789" w:rsidRDefault="00490611" w:rsidP="00EB5DA5">
      <w:pPr>
        <w:spacing w:after="220"/>
        <w:ind w:left="2700"/>
        <w:rPr>
          <w:szCs w:val="22"/>
        </w:rPr>
      </w:pPr>
      <w:r w:rsidRPr="00B33789">
        <w:rPr>
          <w:szCs w:val="22"/>
        </w:rPr>
        <w:t>(a)</w:t>
      </w:r>
      <w:r w:rsidRPr="00B33789">
        <w:rPr>
          <w:szCs w:val="22"/>
        </w:rPr>
        <w:tab/>
        <w:t>Call, savings or deposit accounts</w:t>
      </w:r>
    </w:p>
    <w:p w:rsidR="00490611" w:rsidRPr="00B33789" w:rsidRDefault="00490611" w:rsidP="00EB5DA5">
      <w:pPr>
        <w:spacing w:after="220"/>
        <w:ind w:left="2700"/>
        <w:rPr>
          <w:szCs w:val="22"/>
        </w:rPr>
      </w:pPr>
      <w:r w:rsidRPr="00B33789">
        <w:rPr>
          <w:szCs w:val="22"/>
        </w:rPr>
        <w:t>(b)</w:t>
      </w:r>
      <w:r w:rsidRPr="00B33789">
        <w:rPr>
          <w:szCs w:val="22"/>
        </w:rPr>
        <w:tab/>
        <w:t>Certificates of deposit/time deposits</w:t>
      </w:r>
    </w:p>
    <w:p w:rsidR="00490611" w:rsidRPr="00B33789" w:rsidRDefault="00490611" w:rsidP="00EB5DA5">
      <w:pPr>
        <w:spacing w:after="220"/>
        <w:ind w:left="2700"/>
        <w:rPr>
          <w:szCs w:val="22"/>
        </w:rPr>
      </w:pPr>
      <w:r w:rsidRPr="00B33789">
        <w:rPr>
          <w:szCs w:val="22"/>
        </w:rPr>
        <w:t>(c)</w:t>
      </w:r>
      <w:r w:rsidRPr="00B33789">
        <w:rPr>
          <w:szCs w:val="22"/>
        </w:rPr>
        <w:tab/>
        <w:t>Structured deposits</w:t>
      </w:r>
    </w:p>
    <w:p w:rsidR="00490611" w:rsidRPr="00B33789" w:rsidRDefault="00490611" w:rsidP="00EB5DA5">
      <w:pPr>
        <w:spacing w:after="220"/>
        <w:ind w:left="2700"/>
        <w:rPr>
          <w:szCs w:val="22"/>
        </w:rPr>
      </w:pPr>
      <w:r w:rsidRPr="00B33789">
        <w:rPr>
          <w:szCs w:val="22"/>
        </w:rPr>
        <w:t>(d)</w:t>
      </w:r>
      <w:r w:rsidRPr="00B33789">
        <w:rPr>
          <w:szCs w:val="22"/>
        </w:rPr>
        <w:tab/>
        <w:t>Cross-currency deposits</w:t>
      </w:r>
    </w:p>
    <w:p w:rsidR="00490611" w:rsidRPr="00B33789" w:rsidRDefault="00490611" w:rsidP="00EB5DA5">
      <w:pPr>
        <w:tabs>
          <w:tab w:val="left" w:pos="2700"/>
          <w:tab w:val="left" w:pos="6946"/>
        </w:tabs>
        <w:spacing w:after="220"/>
        <w:ind w:left="2880" w:hanging="720"/>
        <w:rPr>
          <w:szCs w:val="22"/>
        </w:rPr>
      </w:pPr>
      <w:r w:rsidRPr="00B33789">
        <w:rPr>
          <w:szCs w:val="22"/>
        </w:rPr>
        <w:t>II.</w:t>
      </w:r>
      <w:r w:rsidRPr="00B33789">
        <w:rPr>
          <w:szCs w:val="22"/>
        </w:rPr>
        <w:tab/>
        <w:t>Money market investments:</w:t>
      </w:r>
    </w:p>
    <w:p w:rsidR="00490611" w:rsidRPr="00B33789" w:rsidRDefault="00490611" w:rsidP="00EB5DA5">
      <w:pPr>
        <w:spacing w:after="220"/>
        <w:ind w:left="2700"/>
        <w:rPr>
          <w:szCs w:val="22"/>
        </w:rPr>
      </w:pPr>
      <w:r w:rsidRPr="00B33789">
        <w:rPr>
          <w:szCs w:val="22"/>
        </w:rPr>
        <w:t>(a)</w:t>
      </w:r>
      <w:r w:rsidRPr="00B33789">
        <w:rPr>
          <w:szCs w:val="22"/>
        </w:rPr>
        <w:tab/>
        <w:t>Commercial paper</w:t>
      </w:r>
    </w:p>
    <w:p w:rsidR="00490611" w:rsidRPr="00B33789" w:rsidRDefault="00490611" w:rsidP="00EB5DA5">
      <w:pPr>
        <w:spacing w:after="220"/>
        <w:ind w:left="2700"/>
        <w:rPr>
          <w:szCs w:val="22"/>
        </w:rPr>
      </w:pPr>
      <w:r w:rsidRPr="00B33789">
        <w:rPr>
          <w:szCs w:val="22"/>
        </w:rPr>
        <w:t>(b)</w:t>
      </w:r>
      <w:r w:rsidRPr="00B33789">
        <w:rPr>
          <w:szCs w:val="22"/>
        </w:rPr>
        <w:tab/>
        <w:t>Repurchase/reverse repurchase agreements</w:t>
      </w:r>
    </w:p>
    <w:p w:rsidR="00490611" w:rsidRPr="00B33789" w:rsidRDefault="00490611" w:rsidP="00EB5DA5">
      <w:pPr>
        <w:spacing w:after="220"/>
        <w:ind w:left="2700"/>
        <w:rPr>
          <w:szCs w:val="22"/>
        </w:rPr>
      </w:pPr>
      <w:r w:rsidRPr="00B33789">
        <w:rPr>
          <w:szCs w:val="22"/>
        </w:rPr>
        <w:t>(c)</w:t>
      </w:r>
      <w:r w:rsidRPr="00B33789">
        <w:rPr>
          <w:szCs w:val="22"/>
        </w:rPr>
        <w:tab/>
        <w:t>Banker’s acceptance</w:t>
      </w:r>
    </w:p>
    <w:p w:rsidR="00490611" w:rsidRPr="00B33789" w:rsidRDefault="00490611" w:rsidP="00EB5DA5">
      <w:pPr>
        <w:tabs>
          <w:tab w:val="left" w:pos="2700"/>
          <w:tab w:val="left" w:pos="6946"/>
        </w:tabs>
        <w:spacing w:after="220"/>
        <w:ind w:left="2700" w:hanging="540"/>
        <w:rPr>
          <w:szCs w:val="22"/>
        </w:rPr>
      </w:pPr>
      <w:r w:rsidRPr="00B33789">
        <w:rPr>
          <w:szCs w:val="22"/>
        </w:rPr>
        <w:t>III.</w:t>
      </w:r>
      <w:r w:rsidRPr="00B33789">
        <w:rPr>
          <w:szCs w:val="22"/>
        </w:rPr>
        <w:tab/>
        <w:t>Bonds, notes or other obligations (short, medium or long-term) and other fixed income products:</w:t>
      </w:r>
    </w:p>
    <w:p w:rsidR="00490611" w:rsidRPr="00B33789" w:rsidRDefault="00490611" w:rsidP="00EB5DA5">
      <w:pPr>
        <w:spacing w:after="220"/>
        <w:ind w:left="2700"/>
        <w:rPr>
          <w:szCs w:val="22"/>
        </w:rPr>
      </w:pPr>
      <w:r w:rsidRPr="00B33789">
        <w:rPr>
          <w:szCs w:val="22"/>
        </w:rPr>
        <w:t>(a)</w:t>
      </w:r>
      <w:r w:rsidRPr="00B33789">
        <w:rPr>
          <w:szCs w:val="22"/>
        </w:rPr>
        <w:tab/>
        <w:t>Government bonds</w:t>
      </w:r>
    </w:p>
    <w:p w:rsidR="00490611" w:rsidRPr="00B33789" w:rsidRDefault="00490611" w:rsidP="00EB5DA5">
      <w:pPr>
        <w:spacing w:after="220"/>
        <w:ind w:left="2700"/>
        <w:rPr>
          <w:szCs w:val="22"/>
        </w:rPr>
      </w:pPr>
      <w:r w:rsidRPr="00B33789">
        <w:rPr>
          <w:szCs w:val="22"/>
        </w:rPr>
        <w:t>(b)</w:t>
      </w:r>
      <w:r w:rsidRPr="00B33789">
        <w:rPr>
          <w:szCs w:val="22"/>
        </w:rPr>
        <w:tab/>
        <w:t>Sub-sovereign bonds – provincial, municipal or territorial bonds for example</w:t>
      </w:r>
    </w:p>
    <w:p w:rsidR="00490611" w:rsidRPr="00B33789" w:rsidRDefault="00490611" w:rsidP="00EB5DA5">
      <w:pPr>
        <w:spacing w:after="220"/>
        <w:ind w:left="2700"/>
        <w:rPr>
          <w:szCs w:val="22"/>
        </w:rPr>
      </w:pPr>
      <w:r w:rsidRPr="00B33789">
        <w:rPr>
          <w:szCs w:val="22"/>
        </w:rPr>
        <w:t>(c)</w:t>
      </w:r>
      <w:r w:rsidRPr="00B33789">
        <w:rPr>
          <w:szCs w:val="22"/>
        </w:rPr>
        <w:tab/>
        <w:t>Supranational bonds</w:t>
      </w:r>
    </w:p>
    <w:p w:rsidR="00490611" w:rsidRPr="00B33789" w:rsidRDefault="00490611" w:rsidP="00EB5DA5">
      <w:pPr>
        <w:spacing w:after="220"/>
        <w:ind w:left="2700"/>
        <w:rPr>
          <w:szCs w:val="22"/>
        </w:rPr>
      </w:pPr>
      <w:r w:rsidRPr="00B33789">
        <w:rPr>
          <w:szCs w:val="22"/>
        </w:rPr>
        <w:t>(d)</w:t>
      </w:r>
      <w:r w:rsidRPr="00B33789">
        <w:rPr>
          <w:szCs w:val="22"/>
        </w:rPr>
        <w:tab/>
        <w:t>Corporate bonds</w:t>
      </w:r>
    </w:p>
    <w:p w:rsidR="00490611" w:rsidRPr="00B33789" w:rsidRDefault="00490611" w:rsidP="00EB5DA5">
      <w:pPr>
        <w:spacing w:after="220"/>
        <w:ind w:left="2700"/>
        <w:rPr>
          <w:szCs w:val="22"/>
        </w:rPr>
      </w:pPr>
      <w:r w:rsidRPr="00B33789">
        <w:rPr>
          <w:szCs w:val="22"/>
        </w:rPr>
        <w:t>(e)</w:t>
      </w:r>
      <w:r w:rsidRPr="00B33789">
        <w:rPr>
          <w:szCs w:val="22"/>
        </w:rPr>
        <w:tab/>
        <w:t>Private placements</w:t>
      </w:r>
    </w:p>
    <w:p w:rsidR="00490611" w:rsidRPr="00B33789" w:rsidRDefault="00490611" w:rsidP="00EB5DA5">
      <w:pPr>
        <w:tabs>
          <w:tab w:val="left" w:pos="2700"/>
          <w:tab w:val="left" w:pos="6946"/>
        </w:tabs>
        <w:spacing w:after="220"/>
        <w:ind w:left="2700" w:hanging="540"/>
        <w:rPr>
          <w:szCs w:val="22"/>
        </w:rPr>
      </w:pPr>
      <w:r w:rsidRPr="00B33789">
        <w:rPr>
          <w:szCs w:val="22"/>
        </w:rPr>
        <w:t>IV.</w:t>
      </w:r>
      <w:r w:rsidRPr="00B33789">
        <w:rPr>
          <w:szCs w:val="22"/>
        </w:rPr>
        <w:tab/>
        <w:t>Real Estate Investment Trusts (REITs)</w:t>
      </w:r>
    </w:p>
    <w:p w:rsidR="00490611" w:rsidRPr="00B33789" w:rsidRDefault="00490611" w:rsidP="00EB5DA5">
      <w:pPr>
        <w:pStyle w:val="ONUME"/>
        <w:numPr>
          <w:ilvl w:val="0"/>
          <w:numId w:val="8"/>
        </w:numPr>
        <w:tabs>
          <w:tab w:val="left" w:pos="1710"/>
          <w:tab w:val="left" w:pos="6379"/>
        </w:tabs>
        <w:ind w:left="1170" w:firstLine="0"/>
        <w:rPr>
          <w:szCs w:val="22"/>
          <w:u w:val="single"/>
        </w:rPr>
      </w:pPr>
      <w:r w:rsidRPr="00B33789">
        <w:rPr>
          <w:szCs w:val="22"/>
          <w:u w:val="single"/>
        </w:rPr>
        <w:t>Within the investment policy applicable to strategic cash:</w:t>
      </w:r>
    </w:p>
    <w:p w:rsidR="00490611" w:rsidRPr="00B33789" w:rsidRDefault="00490611" w:rsidP="00EB5DA5">
      <w:pPr>
        <w:numPr>
          <w:ilvl w:val="0"/>
          <w:numId w:val="9"/>
        </w:numPr>
        <w:tabs>
          <w:tab w:val="left" w:pos="4536"/>
          <w:tab w:val="left" w:pos="5103"/>
          <w:tab w:val="left" w:pos="6946"/>
        </w:tabs>
        <w:spacing w:after="220"/>
        <w:ind w:left="3420" w:hanging="720"/>
        <w:rPr>
          <w:szCs w:val="22"/>
        </w:rPr>
      </w:pPr>
      <w:r w:rsidRPr="00B33789">
        <w:rPr>
          <w:szCs w:val="22"/>
        </w:rPr>
        <w:t>All asset classes stipulated for use with operating and core cash;</w:t>
      </w:r>
    </w:p>
    <w:p w:rsidR="00490611" w:rsidRPr="00B33789" w:rsidRDefault="00490611" w:rsidP="00EB5DA5">
      <w:pPr>
        <w:numPr>
          <w:ilvl w:val="0"/>
          <w:numId w:val="9"/>
        </w:numPr>
        <w:tabs>
          <w:tab w:val="left" w:pos="4536"/>
          <w:tab w:val="left" w:pos="5103"/>
          <w:tab w:val="left" w:pos="6946"/>
        </w:tabs>
        <w:spacing w:after="220"/>
        <w:ind w:left="3420" w:hanging="720"/>
        <w:rPr>
          <w:szCs w:val="22"/>
        </w:rPr>
      </w:pPr>
      <w:r w:rsidRPr="00B33789">
        <w:rPr>
          <w:szCs w:val="22"/>
        </w:rPr>
        <w:t>Direct real estate holdings;</w:t>
      </w:r>
    </w:p>
    <w:p w:rsidR="00490611" w:rsidRPr="00B33789" w:rsidRDefault="00490611" w:rsidP="00EB5DA5">
      <w:pPr>
        <w:numPr>
          <w:ilvl w:val="0"/>
          <w:numId w:val="9"/>
        </w:numPr>
        <w:tabs>
          <w:tab w:val="left" w:pos="4536"/>
          <w:tab w:val="left" w:pos="5103"/>
          <w:tab w:val="left" w:pos="6946"/>
        </w:tabs>
        <w:spacing w:after="220"/>
        <w:ind w:left="3420" w:hanging="720"/>
        <w:rPr>
          <w:szCs w:val="22"/>
        </w:rPr>
      </w:pPr>
      <w:r w:rsidRPr="00B33789">
        <w:rPr>
          <w:szCs w:val="22"/>
        </w:rPr>
        <w:t>Equities and equity funds;</w:t>
      </w:r>
    </w:p>
    <w:p w:rsidR="00490611" w:rsidRPr="00B33789" w:rsidRDefault="00490611" w:rsidP="00EB5DA5">
      <w:pPr>
        <w:numPr>
          <w:ilvl w:val="0"/>
          <w:numId w:val="9"/>
        </w:numPr>
        <w:tabs>
          <w:tab w:val="left" w:pos="4536"/>
          <w:tab w:val="left" w:pos="5103"/>
          <w:tab w:val="left" w:pos="6946"/>
        </w:tabs>
        <w:spacing w:after="220"/>
        <w:ind w:left="3420" w:hanging="720"/>
      </w:pPr>
      <w:r w:rsidRPr="00B33789">
        <w:rPr>
          <w:szCs w:val="22"/>
        </w:rPr>
        <w:t>Hedge funds.</w:t>
      </w:r>
    </w:p>
    <w:p w:rsidR="00490611" w:rsidRDefault="00490611" w:rsidP="00A57E3F">
      <w:pPr>
        <w:pStyle w:val="Style2"/>
        <w:numPr>
          <w:ilvl w:val="0"/>
          <w:numId w:val="35"/>
        </w:numPr>
        <w:tabs>
          <w:tab w:val="left" w:pos="567"/>
          <w:tab w:val="left" w:pos="6521"/>
        </w:tabs>
        <w:spacing w:after="220"/>
        <w:ind w:left="0" w:firstLine="0"/>
      </w:pPr>
      <w:r>
        <w:t>The resulting investment policies are attached as Annex I (</w:t>
      </w:r>
      <w:r w:rsidR="00310996">
        <w:t>Operating and Core Cash</w:t>
      </w:r>
      <w:r>
        <w:t>) and Annex II (</w:t>
      </w:r>
      <w:r w:rsidR="00310996">
        <w:t>Strategic Cash</w:t>
      </w:r>
      <w:r>
        <w:t xml:space="preserve">).  The two policies, in draft form, have been reviewed by the independent external treasury consultant firm, Zanders with which the Organization worked earlier this year when preparing the proposals contained in documents WO/PBC/23/6 and WO/PBC/23/7.  Many of the suggestions made by Zanders have been incorporated into the two policies presented and several others will be acted upon when investment guidelines are prepared by the Advisory Committee on Investments (ACI) for individual external </w:t>
      </w:r>
      <w:r w:rsidR="00831436">
        <w:t>fund managers</w:t>
      </w:r>
      <w:r>
        <w:t xml:space="preserve"> (the policies contain additional information on investment guidelines).</w:t>
      </w:r>
    </w:p>
    <w:p w:rsidR="00490611" w:rsidRDefault="00490611" w:rsidP="00A57E3F">
      <w:pPr>
        <w:pStyle w:val="Style2"/>
        <w:numPr>
          <w:ilvl w:val="0"/>
          <w:numId w:val="35"/>
        </w:numPr>
        <w:tabs>
          <w:tab w:val="left" w:pos="567"/>
          <w:tab w:val="left" w:pos="6521"/>
        </w:tabs>
        <w:spacing w:after="220"/>
        <w:ind w:left="0" w:firstLine="0"/>
      </w:pPr>
      <w:r>
        <w:t xml:space="preserve">The two policies aim to follow the template contained in Annex IV of document WO/PBC/23/7 which is based on information received from Zanders.  Investment policy </w:t>
      </w:r>
      <w:r>
        <w:lastRenderedPageBreak/>
        <w:t>documents from many other UN agencies have also been reviewed and where considered useful, certain elements from these documents have been reflected in the Organization’s policies.  Investment activity in accordance with the policies will obviously be subject to audit.</w:t>
      </w:r>
    </w:p>
    <w:p w:rsidR="00490611" w:rsidRDefault="00490611" w:rsidP="00A57E3F">
      <w:pPr>
        <w:pStyle w:val="Style2"/>
        <w:numPr>
          <w:ilvl w:val="0"/>
          <w:numId w:val="35"/>
        </w:numPr>
        <w:tabs>
          <w:tab w:val="left" w:pos="567"/>
          <w:tab w:val="left" w:pos="6521"/>
        </w:tabs>
        <w:spacing w:after="220"/>
        <w:ind w:left="0" w:firstLine="0"/>
      </w:pPr>
      <w:r>
        <w:t>At the time of preparing this document, the Assets and Liability Management study (ALM) for strategic cash had not yet been completed.  The policy for strategic cash (Annex II) contains several references to this study and will require a certain amount of updating once the results of the study are known.  This w</w:t>
      </w:r>
      <w:bookmarkStart w:id="5" w:name="_GoBack"/>
      <w:r>
        <w:t>i</w:t>
      </w:r>
      <w:bookmarkEnd w:id="5"/>
      <w:r>
        <w:t>ll include the preparation of Annex II to the policy which will cover the limits for asset class holdings.</w:t>
      </w:r>
    </w:p>
    <w:p w:rsidR="00490611" w:rsidRPr="00B77511" w:rsidRDefault="00490611" w:rsidP="00A57E3F">
      <w:pPr>
        <w:pStyle w:val="Style2"/>
        <w:numPr>
          <w:ilvl w:val="0"/>
          <w:numId w:val="35"/>
        </w:numPr>
        <w:tabs>
          <w:tab w:val="left" w:pos="567"/>
          <w:tab w:val="left" w:pos="6521"/>
        </w:tabs>
        <w:spacing w:after="220"/>
        <w:ind w:left="0" w:firstLine="0"/>
      </w:pPr>
      <w:r>
        <w:t>The following decision paragraph is proposed.</w:t>
      </w:r>
    </w:p>
    <w:p w:rsidR="00490611" w:rsidRPr="00301C7C" w:rsidRDefault="000A0343" w:rsidP="00310996">
      <w:pPr>
        <w:pStyle w:val="ONUME"/>
        <w:tabs>
          <w:tab w:val="left" w:pos="6096"/>
        </w:tabs>
        <w:spacing w:after="0"/>
        <w:ind w:left="5533"/>
        <w:rPr>
          <w:i/>
          <w:lang w:val="en-IN" w:bidi="hi-IN"/>
        </w:rPr>
      </w:pPr>
      <w:r>
        <w:rPr>
          <w:i/>
          <w:lang w:val="en-IN" w:bidi="hi-IN"/>
        </w:rPr>
        <w:t>6.</w:t>
      </w:r>
      <w:r>
        <w:rPr>
          <w:i/>
          <w:lang w:val="en-IN" w:bidi="hi-IN"/>
        </w:rPr>
        <w:tab/>
      </w:r>
      <w:r w:rsidR="00490611" w:rsidRPr="00301C7C">
        <w:rPr>
          <w:i/>
          <w:lang w:val="en-IN" w:bidi="hi-IN"/>
        </w:rPr>
        <w:t>The Program and Budget Committee (PBC) recommended to the Assemblies of the Member States of WIPO and of the Unions, each as far as it is concerned, to approve the two investment policies (</w:t>
      </w:r>
      <w:r w:rsidR="00C75E47">
        <w:rPr>
          <w:i/>
          <w:lang w:val="en-IN" w:bidi="hi-IN"/>
        </w:rPr>
        <w:t>Operating and Core Cash and Strategic Cash) (</w:t>
      </w:r>
      <w:r w:rsidR="00490611" w:rsidRPr="00301C7C">
        <w:rPr>
          <w:i/>
          <w:lang w:val="en-IN" w:bidi="hi-IN"/>
        </w:rPr>
        <w:t>document WO/PBC/24/10).</w:t>
      </w:r>
    </w:p>
    <w:p w:rsidR="00490611" w:rsidRPr="00B77511" w:rsidRDefault="00490611" w:rsidP="00490611">
      <w:pPr>
        <w:tabs>
          <w:tab w:val="left" w:pos="5390"/>
        </w:tabs>
        <w:spacing w:after="220"/>
        <w:ind w:left="6915"/>
        <w:contextualSpacing/>
        <w:rPr>
          <w:rFonts w:eastAsia="Calibri"/>
          <w:lang w:eastAsia="en-US" w:bidi="hi-IN"/>
        </w:rPr>
      </w:pPr>
    </w:p>
    <w:p w:rsidR="00490611" w:rsidRPr="00B77511" w:rsidRDefault="00490611" w:rsidP="00490611">
      <w:pPr>
        <w:tabs>
          <w:tab w:val="left" w:pos="5390"/>
        </w:tabs>
        <w:spacing w:after="220"/>
        <w:ind w:left="6915"/>
        <w:contextualSpacing/>
        <w:rPr>
          <w:rFonts w:eastAsia="Calibri"/>
          <w:lang w:eastAsia="en-US" w:bidi="hi-IN"/>
        </w:rPr>
      </w:pPr>
    </w:p>
    <w:p w:rsidR="00490611" w:rsidRDefault="00490611" w:rsidP="00490611">
      <w:pPr>
        <w:ind w:left="5533"/>
      </w:pPr>
      <w:r w:rsidRPr="00B77511">
        <w:t>[</w:t>
      </w:r>
      <w:r>
        <w:t>Annexes follow</w:t>
      </w:r>
      <w:r w:rsidRPr="00B77511">
        <w:t>]</w:t>
      </w:r>
    </w:p>
    <w:p w:rsidR="00490611" w:rsidRDefault="00490611" w:rsidP="00490611"/>
    <w:p w:rsidR="00490611" w:rsidRDefault="00490611" w:rsidP="00490611"/>
    <w:p w:rsidR="00490611" w:rsidRDefault="00490611" w:rsidP="00490611">
      <w:pPr>
        <w:sectPr w:rsidR="00490611" w:rsidSect="001E451E">
          <w:headerReference w:type="default" r:id="rId10"/>
          <w:endnotePr>
            <w:numFmt w:val="decimal"/>
          </w:endnotePr>
          <w:pgSz w:w="11907" w:h="16840" w:code="9"/>
          <w:pgMar w:top="562" w:right="1138" w:bottom="1411" w:left="1411" w:header="504" w:footer="1022" w:gutter="0"/>
          <w:pgNumType w:start="1"/>
          <w:cols w:space="720"/>
          <w:titlePg/>
          <w:docGrid w:linePitch="299"/>
        </w:sectPr>
      </w:pPr>
    </w:p>
    <w:p w:rsidR="00490611" w:rsidRPr="008F7615" w:rsidRDefault="00490611" w:rsidP="00490611">
      <w:pPr>
        <w:rPr>
          <w:rFonts w:eastAsia="Times New Roman"/>
          <w:b/>
          <w:lang w:eastAsia="en-US"/>
        </w:rPr>
      </w:pPr>
      <w:r w:rsidRPr="008F7615">
        <w:rPr>
          <w:rFonts w:eastAsia="Times New Roman"/>
          <w:b/>
          <w:lang w:eastAsia="en-US"/>
        </w:rPr>
        <w:lastRenderedPageBreak/>
        <w:t>POLICY ON INVESTMENTS</w:t>
      </w:r>
      <w:r w:rsidR="00831436">
        <w:rPr>
          <w:rFonts w:eastAsia="Times New Roman"/>
          <w:b/>
          <w:lang w:eastAsia="en-US"/>
        </w:rPr>
        <w:t xml:space="preserve"> – OPERATING AND CORE CASH</w:t>
      </w:r>
    </w:p>
    <w:p w:rsidR="00490611" w:rsidRDefault="00490611" w:rsidP="00490611">
      <w:pPr>
        <w:rPr>
          <w:rFonts w:eastAsia="Times New Roman"/>
          <w:lang w:eastAsia="en-US"/>
        </w:rPr>
      </w:pPr>
    </w:p>
    <w:p w:rsidR="00340449" w:rsidRDefault="00340449" w:rsidP="00490611">
      <w:pPr>
        <w:rPr>
          <w:rFonts w:eastAsia="Times New Roman"/>
          <w:lang w:eastAsia="en-US"/>
        </w:rPr>
      </w:pPr>
    </w:p>
    <w:p w:rsidR="00490611" w:rsidRPr="008F7615" w:rsidRDefault="004D0E0D" w:rsidP="00490611">
      <w:pPr>
        <w:rPr>
          <w:rFonts w:eastAsia="Times New Roman"/>
          <w:lang w:eastAsia="en-US"/>
        </w:rPr>
      </w:pPr>
      <w:r>
        <w:rPr>
          <w:rFonts w:eastAsia="Times New Roman"/>
          <w:lang w:eastAsia="en-US"/>
        </w:rPr>
        <w:t>A.</w:t>
      </w:r>
      <w:r>
        <w:rPr>
          <w:rFonts w:eastAsia="Times New Roman"/>
          <w:lang w:eastAsia="en-US"/>
        </w:rPr>
        <w:tab/>
      </w:r>
      <w:r w:rsidR="00844E51">
        <w:rPr>
          <w:rFonts w:eastAsia="Times New Roman"/>
          <w:lang w:eastAsia="en-US"/>
        </w:rPr>
        <w:t>SCOPE AND PURPOSE</w:t>
      </w:r>
    </w:p>
    <w:p w:rsidR="00490611" w:rsidRPr="008F7615" w:rsidRDefault="00490611" w:rsidP="00B00C2A">
      <w:pPr>
        <w:spacing w:before="120" w:after="120"/>
        <w:rPr>
          <w:rFonts w:eastAsia="Times New Roman"/>
          <w:u w:val="single"/>
          <w:lang w:eastAsia="en-US"/>
        </w:rPr>
      </w:pPr>
      <w:r w:rsidRPr="008F7615">
        <w:rPr>
          <w:rFonts w:eastAsia="Times New Roman"/>
          <w:u w:val="single"/>
          <w:lang w:eastAsia="en-US"/>
        </w:rPr>
        <w:t>Description of investor</w:t>
      </w:r>
    </w:p>
    <w:p w:rsidR="00490611" w:rsidRPr="00D54922" w:rsidRDefault="00490611" w:rsidP="0091787F">
      <w:pPr>
        <w:pStyle w:val="ONUME"/>
        <w:numPr>
          <w:ilvl w:val="0"/>
          <w:numId w:val="18"/>
        </w:numPr>
        <w:ind w:left="0" w:firstLine="0"/>
        <w:rPr>
          <w:rFonts w:eastAsia="Times New Roman"/>
          <w:lang w:eastAsia="en-US"/>
        </w:rPr>
      </w:pPr>
      <w:r w:rsidRPr="008F7615">
        <w:rPr>
          <w:rFonts w:eastAsia="Times New Roman"/>
          <w:lang w:eastAsia="en-US"/>
        </w:rPr>
        <w:t xml:space="preserve">The World Intellectual Property Organization (WIPO) was established </w:t>
      </w:r>
      <w:r w:rsidR="006362BF">
        <w:rPr>
          <w:rFonts w:eastAsia="Times New Roman"/>
          <w:lang w:eastAsia="en-US"/>
        </w:rPr>
        <w:t xml:space="preserve">pursuant to the Convention Establishing the World Intellectual Property Organization which was concluded </w:t>
      </w:r>
      <w:r w:rsidRPr="008F7615">
        <w:rPr>
          <w:rFonts w:eastAsia="Times New Roman"/>
          <w:lang w:eastAsia="en-US"/>
        </w:rPr>
        <w:t>in</w:t>
      </w:r>
      <w:r w:rsidR="006362BF">
        <w:rPr>
          <w:rFonts w:eastAsia="Times New Roman"/>
          <w:lang w:eastAsia="en-US"/>
        </w:rPr>
        <w:t> </w:t>
      </w:r>
      <w:r w:rsidRPr="008F7615">
        <w:rPr>
          <w:rFonts w:eastAsia="Times New Roman"/>
          <w:lang w:eastAsia="en-US"/>
        </w:rPr>
        <w:t>1967</w:t>
      </w:r>
      <w:r w:rsidR="006362BF">
        <w:rPr>
          <w:rFonts w:eastAsia="Times New Roman"/>
          <w:lang w:eastAsia="en-US"/>
        </w:rPr>
        <w:t xml:space="preserve"> and entered into force in 1970</w:t>
      </w:r>
      <w:r w:rsidRPr="008F7615">
        <w:rPr>
          <w:rFonts w:eastAsia="Times New Roman"/>
          <w:lang w:eastAsia="en-US"/>
        </w:rPr>
        <w:t>, replacing the Bureau for the Protection of Intellectual Property (BIRPI) which had been established in 1893 (BIRPI in its French ac</w:t>
      </w:r>
      <w:r w:rsidRPr="00D54922">
        <w:rPr>
          <w:rFonts w:eastAsia="Times New Roman"/>
          <w:lang w:eastAsia="en-US"/>
        </w:rPr>
        <w:t xml:space="preserve">ronym, meaning </w:t>
      </w:r>
      <w:r w:rsidRPr="00D54922">
        <w:rPr>
          <w:rFonts w:eastAsia="Times New Roman"/>
          <w:i/>
          <w:lang w:eastAsia="en-US"/>
        </w:rPr>
        <w:t>Bureaux Internationaux Réunis pour la Protection de la Propriété Intellectuelle</w:t>
      </w:r>
      <w:r w:rsidRPr="00D54922">
        <w:rPr>
          <w:rFonts w:eastAsia="Times New Roman"/>
          <w:lang w:eastAsia="en-US"/>
        </w:rPr>
        <w:t>) to administer the Paris Convention for the Protection of Industrial Property (1883) and the Berne Convention for the Protection of Literary and Artistic Works (1866).  In 1974, WIPO was recognized as a specialized agency of the United Nations.</w:t>
      </w:r>
    </w:p>
    <w:p w:rsidR="00490611" w:rsidRPr="00D54922" w:rsidRDefault="00490611" w:rsidP="00AA26AC">
      <w:pPr>
        <w:pStyle w:val="ONUME"/>
        <w:numPr>
          <w:ilvl w:val="0"/>
          <w:numId w:val="18"/>
        </w:numPr>
        <w:spacing w:after="240"/>
        <w:ind w:left="0" w:firstLine="0"/>
        <w:rPr>
          <w:rFonts w:eastAsia="Times New Roman"/>
          <w:lang w:eastAsia="en-US"/>
        </w:rPr>
      </w:pPr>
      <w:r w:rsidRPr="00D54922">
        <w:rPr>
          <w:rFonts w:eastAsia="Times New Roman"/>
          <w:lang w:eastAsia="en-US"/>
        </w:rPr>
        <w:t>WIPO carries out a wide variety of tasks related to the protection of IP rights including:  assisting governments and organizations to develop the policies, structures and skills needed to harness the potential of IP for economic development;  working with Member States to develop international IP law;  administering treaties;  managing global registration systems for trademarks, industrial designs and appellations of origin and a filing system for patents;  providing dispute resolution services;  and acting as a forum for informed debate and for the exchange of expertise.</w:t>
      </w:r>
    </w:p>
    <w:p w:rsidR="00490611" w:rsidRPr="00D54922" w:rsidRDefault="00490611" w:rsidP="00AA26AC">
      <w:pPr>
        <w:spacing w:before="120" w:after="120"/>
        <w:rPr>
          <w:rFonts w:eastAsia="Times New Roman"/>
          <w:u w:val="single"/>
          <w:lang w:eastAsia="en-US"/>
        </w:rPr>
      </w:pPr>
      <w:r w:rsidRPr="00D54922">
        <w:rPr>
          <w:rFonts w:eastAsia="Times New Roman"/>
          <w:u w:val="single"/>
          <w:lang w:eastAsia="en-US"/>
        </w:rPr>
        <w:t xml:space="preserve">Authority </w:t>
      </w:r>
    </w:p>
    <w:p w:rsidR="00490611" w:rsidRPr="00D54922" w:rsidRDefault="00490611" w:rsidP="0091787F">
      <w:pPr>
        <w:pStyle w:val="ONUME"/>
        <w:numPr>
          <w:ilvl w:val="0"/>
          <w:numId w:val="18"/>
        </w:numPr>
        <w:ind w:left="0" w:firstLine="0"/>
        <w:rPr>
          <w:rFonts w:eastAsia="Times New Roman"/>
          <w:lang w:eastAsia="en-US"/>
        </w:rPr>
      </w:pPr>
      <w:r w:rsidRPr="00D54922">
        <w:rPr>
          <w:rFonts w:eastAsia="Times New Roman"/>
          <w:lang w:eastAsia="en-US"/>
        </w:rPr>
        <w:t>This investment policy is developed pursuant to Financial Regulation 4.10 that provides authority of the Director General to make short-term investments of money not needed for immediate requirements in accordance with the Organization’s investment policy as approved by the Member States, and Financial Regulation 4.11 that provides authority for the Director General to make long-term investments of monies standing to the credit of the Organization in accordance with the Organization’s investment policy as approved by the Member States.  The policy applies to investments held for WIPO and for Funds in Trust (FITs) and covers two categories of cash:  operating and core.  Operating cash is the cash required by the Organization to meet daily payment requirements and to ensure that an amount equivalent to the target reserve is available in liquid assets.  Core cash is the balance of cash remaining once operating cash and strategic cash (covered by a separate investment policy) have been deducted.  Core cash is not expected to be used over a short</w:t>
      </w:r>
      <w:r w:rsidRPr="00D54922">
        <w:rPr>
          <w:rFonts w:eastAsia="Times New Roman"/>
          <w:lang w:eastAsia="en-US"/>
        </w:rPr>
        <w:noBreakHyphen/>
        <w:t>term period (period of less than one year).</w:t>
      </w:r>
    </w:p>
    <w:p w:rsidR="00490611" w:rsidRPr="00D54922" w:rsidRDefault="00490611" w:rsidP="00472B6F">
      <w:pPr>
        <w:pStyle w:val="ONUME"/>
        <w:numPr>
          <w:ilvl w:val="0"/>
          <w:numId w:val="18"/>
        </w:numPr>
        <w:spacing w:after="0"/>
        <w:ind w:left="0" w:firstLine="0"/>
        <w:rPr>
          <w:rFonts w:eastAsia="Times New Roman"/>
          <w:lang w:eastAsia="en-US"/>
        </w:rPr>
      </w:pPr>
      <w:r w:rsidRPr="00D54922">
        <w:rPr>
          <w:rFonts w:eastAsia="Times New Roman"/>
          <w:lang w:eastAsia="en-US"/>
        </w:rPr>
        <w:t>This policy provides the overarching principles for the Organization’s investments and thus applies to the investment guidelines issued to external fund managers</w:t>
      </w:r>
      <w:r w:rsidR="00795641" w:rsidRPr="00D54922">
        <w:rPr>
          <w:rFonts w:eastAsia="Times New Roman"/>
          <w:lang w:eastAsia="en-US"/>
        </w:rPr>
        <w:t xml:space="preserve"> (defined under paragraph 16)</w:t>
      </w:r>
      <w:r w:rsidRPr="00D54922">
        <w:rPr>
          <w:rFonts w:eastAsia="Times New Roman"/>
          <w:lang w:eastAsia="en-US"/>
        </w:rPr>
        <w:t>.</w:t>
      </w:r>
    </w:p>
    <w:p w:rsidR="00490611" w:rsidRPr="00D54922" w:rsidRDefault="00490611" w:rsidP="00490611">
      <w:pPr>
        <w:rPr>
          <w:rFonts w:eastAsia="Times New Roman"/>
          <w:lang w:eastAsia="en-US"/>
        </w:rPr>
      </w:pPr>
    </w:p>
    <w:p w:rsidR="00490611" w:rsidRPr="00D54922" w:rsidRDefault="00490611" w:rsidP="00490611">
      <w:pPr>
        <w:rPr>
          <w:rFonts w:eastAsia="Times New Roman"/>
          <w:lang w:eastAsia="en-US"/>
        </w:rPr>
      </w:pPr>
    </w:p>
    <w:p w:rsidR="00490611" w:rsidRPr="00D54922" w:rsidRDefault="00795641" w:rsidP="00490611">
      <w:pPr>
        <w:keepNext/>
        <w:outlineLvl w:val="0"/>
        <w:rPr>
          <w:bCs/>
          <w:caps/>
          <w:kern w:val="32"/>
          <w:szCs w:val="32"/>
          <w:lang w:eastAsia="en-US"/>
        </w:rPr>
      </w:pPr>
      <w:r w:rsidRPr="00D54922">
        <w:rPr>
          <w:bCs/>
          <w:caps/>
          <w:kern w:val="32"/>
          <w:szCs w:val="32"/>
          <w:lang w:eastAsia="en-US"/>
        </w:rPr>
        <w:t>B</w:t>
      </w:r>
      <w:r w:rsidR="005B2D04" w:rsidRPr="00D54922">
        <w:rPr>
          <w:bCs/>
          <w:caps/>
          <w:kern w:val="32"/>
          <w:szCs w:val="32"/>
          <w:lang w:eastAsia="en-US"/>
        </w:rPr>
        <w:t>.</w:t>
      </w:r>
      <w:r w:rsidR="005B2D04" w:rsidRPr="00D54922">
        <w:rPr>
          <w:bCs/>
          <w:caps/>
          <w:kern w:val="32"/>
          <w:szCs w:val="32"/>
          <w:lang w:eastAsia="en-US"/>
        </w:rPr>
        <w:tab/>
      </w:r>
      <w:r w:rsidR="00490611" w:rsidRPr="00D54922">
        <w:rPr>
          <w:bCs/>
          <w:caps/>
          <w:kern w:val="32"/>
          <w:szCs w:val="32"/>
          <w:lang w:eastAsia="en-US"/>
        </w:rPr>
        <w:t>Stakeholders, roles and responsibilities</w:t>
      </w:r>
    </w:p>
    <w:p w:rsidR="00490611" w:rsidRPr="00D54922" w:rsidRDefault="00490611" w:rsidP="0047106D">
      <w:pPr>
        <w:spacing w:before="120" w:after="120"/>
        <w:rPr>
          <w:rFonts w:eastAsia="Times New Roman"/>
          <w:u w:val="single"/>
          <w:lang w:eastAsia="en-US"/>
        </w:rPr>
      </w:pPr>
      <w:r w:rsidRPr="00D54922">
        <w:rPr>
          <w:rFonts w:eastAsia="Times New Roman"/>
          <w:u w:val="single"/>
          <w:lang w:eastAsia="en-US"/>
        </w:rPr>
        <w:t>Director General</w:t>
      </w:r>
    </w:p>
    <w:p w:rsidR="00490611" w:rsidRPr="00D54922" w:rsidRDefault="00490611" w:rsidP="00472B6F">
      <w:pPr>
        <w:pStyle w:val="ONUME"/>
        <w:numPr>
          <w:ilvl w:val="0"/>
          <w:numId w:val="18"/>
        </w:numPr>
        <w:ind w:left="0" w:firstLine="0"/>
        <w:rPr>
          <w:rFonts w:eastAsia="Times New Roman"/>
          <w:lang w:eastAsia="en-US"/>
        </w:rPr>
      </w:pPr>
      <w:r w:rsidRPr="00D54922">
        <w:rPr>
          <w:rFonts w:eastAsia="Times New Roman"/>
          <w:lang w:eastAsia="en-US"/>
        </w:rPr>
        <w:t>The Director General will review and give final approval to reports, proposals and recommendations submitted by the Advisory Committee on Investments (ACI).</w:t>
      </w:r>
    </w:p>
    <w:p w:rsidR="00490611" w:rsidRPr="00D54922" w:rsidRDefault="00490611" w:rsidP="004D0E0D">
      <w:pPr>
        <w:pStyle w:val="ONUME"/>
        <w:numPr>
          <w:ilvl w:val="0"/>
          <w:numId w:val="18"/>
        </w:numPr>
        <w:spacing w:after="240"/>
        <w:ind w:left="0" w:firstLine="0"/>
        <w:rPr>
          <w:rFonts w:eastAsia="Times New Roman"/>
          <w:lang w:eastAsia="en-US"/>
        </w:rPr>
      </w:pPr>
      <w:r w:rsidRPr="00D54922">
        <w:rPr>
          <w:rFonts w:eastAsia="Times New Roman"/>
          <w:lang w:eastAsia="en-US"/>
        </w:rPr>
        <w:t>In accordance with Financial Regulations 4.10 and 4.11, the Program and Budget Committee (PBC) shall be informed regularly by the Director General about short-term and long-term investments.</w:t>
      </w:r>
    </w:p>
    <w:p w:rsidR="00795641" w:rsidRPr="00D54922" w:rsidRDefault="00795641" w:rsidP="00795641">
      <w:pPr>
        <w:pStyle w:val="ONUME"/>
        <w:spacing w:after="240"/>
        <w:rPr>
          <w:rFonts w:eastAsia="Times New Roman"/>
          <w:lang w:eastAsia="en-US"/>
        </w:rPr>
      </w:pPr>
    </w:p>
    <w:p w:rsidR="00490611" w:rsidRPr="00D54922" w:rsidRDefault="00490611" w:rsidP="00490611">
      <w:pPr>
        <w:rPr>
          <w:rFonts w:eastAsia="Times New Roman"/>
          <w:u w:val="single"/>
          <w:lang w:eastAsia="en-US"/>
        </w:rPr>
      </w:pPr>
      <w:r w:rsidRPr="00D54922">
        <w:rPr>
          <w:rFonts w:eastAsia="Times New Roman"/>
          <w:u w:val="single"/>
          <w:lang w:eastAsia="en-US"/>
        </w:rPr>
        <w:lastRenderedPageBreak/>
        <w:t>Advisory Committee on Investments</w:t>
      </w:r>
    </w:p>
    <w:p w:rsidR="00490611" w:rsidRPr="00D54922" w:rsidRDefault="00490611" w:rsidP="00490611">
      <w:pPr>
        <w:rPr>
          <w:rFonts w:eastAsia="Times New Roman"/>
          <w:u w:val="single"/>
          <w:lang w:eastAsia="en-US"/>
        </w:rPr>
      </w:pPr>
    </w:p>
    <w:p w:rsidR="00490611" w:rsidRPr="00D54922" w:rsidRDefault="00490611" w:rsidP="00472B6F">
      <w:pPr>
        <w:pStyle w:val="ONUME"/>
        <w:numPr>
          <w:ilvl w:val="0"/>
          <w:numId w:val="18"/>
        </w:numPr>
        <w:spacing w:after="0"/>
        <w:ind w:left="0" w:firstLine="0"/>
        <w:rPr>
          <w:rFonts w:eastAsia="Times New Roman"/>
          <w:lang w:eastAsia="en-US"/>
        </w:rPr>
      </w:pPr>
      <w:r w:rsidRPr="00D54922">
        <w:rPr>
          <w:rFonts w:eastAsia="Times New Roman"/>
          <w:lang w:eastAsia="en-US"/>
        </w:rPr>
        <w:t>Th</w:t>
      </w:r>
      <w:r w:rsidR="00677FD1">
        <w:rPr>
          <w:rFonts w:eastAsia="Times New Roman"/>
          <w:lang w:eastAsia="en-US"/>
        </w:rPr>
        <w:t>e</w:t>
      </w:r>
      <w:r w:rsidRPr="00D54922">
        <w:rPr>
          <w:rFonts w:eastAsia="Times New Roman"/>
          <w:lang w:eastAsia="en-US"/>
        </w:rPr>
        <w:t xml:space="preserve"> Committee </w:t>
      </w:r>
      <w:r w:rsidR="00BE11BC">
        <w:rPr>
          <w:rFonts w:eastAsia="Times New Roman"/>
          <w:lang w:eastAsia="en-US"/>
        </w:rPr>
        <w:t>will be</w:t>
      </w:r>
      <w:r w:rsidR="00BE11BC" w:rsidRPr="00D54922">
        <w:rPr>
          <w:rFonts w:eastAsia="Times New Roman"/>
          <w:lang w:eastAsia="en-US"/>
        </w:rPr>
        <w:t xml:space="preserve"> composed of members appointed by the Director General</w:t>
      </w:r>
      <w:r w:rsidR="00BE11BC">
        <w:rPr>
          <w:rFonts w:eastAsia="Times New Roman"/>
          <w:lang w:eastAsia="en-US"/>
        </w:rPr>
        <w:t>.  An Office Instruction establishing the Committee will be issued by the Director General</w:t>
      </w:r>
      <w:r w:rsidR="003B0FBE" w:rsidRPr="00D54922">
        <w:rPr>
          <w:rFonts w:eastAsia="Times New Roman"/>
          <w:lang w:eastAsia="en-US"/>
        </w:rPr>
        <w:t>.</w:t>
      </w:r>
    </w:p>
    <w:p w:rsidR="00490611" w:rsidRPr="00D54922" w:rsidRDefault="00490611" w:rsidP="00490611">
      <w:pPr>
        <w:rPr>
          <w:rFonts w:eastAsia="Times New Roman"/>
          <w:lang w:eastAsia="en-US"/>
        </w:rPr>
      </w:pPr>
    </w:p>
    <w:p w:rsidR="00490611" w:rsidRPr="00D54922" w:rsidRDefault="00F93192" w:rsidP="00AA26AC">
      <w:pPr>
        <w:pStyle w:val="ONUME"/>
        <w:numPr>
          <w:ilvl w:val="0"/>
          <w:numId w:val="18"/>
        </w:numPr>
        <w:spacing w:after="240"/>
        <w:ind w:left="0" w:firstLine="0"/>
        <w:rPr>
          <w:rFonts w:eastAsia="Times New Roman"/>
          <w:lang w:eastAsia="en-US"/>
        </w:rPr>
      </w:pPr>
      <w:r>
        <w:rPr>
          <w:rFonts w:eastAsia="Times New Roman"/>
          <w:lang w:eastAsia="en-US"/>
        </w:rPr>
        <w:t>T</w:t>
      </w:r>
      <w:r w:rsidR="00490611" w:rsidRPr="00D54922">
        <w:rPr>
          <w:rFonts w:eastAsia="Times New Roman"/>
          <w:lang w:eastAsia="en-US"/>
        </w:rPr>
        <w:t>his Committee provides advice to the Director General in respect of the investment of the Organization’s funds pursuant to Chapter 4, Section C of the Financial Regulations and Rules.  This advice covers such matters as contents of the investment policy, strategy, asset allocation, appropriate performance benchmarks and investment guidelines.  Specific responsibilities are as follows:</w:t>
      </w:r>
    </w:p>
    <w:p w:rsidR="00490611" w:rsidRPr="00D54922" w:rsidRDefault="00490611" w:rsidP="00A379C0">
      <w:pPr>
        <w:pStyle w:val="ListParagraph"/>
        <w:numPr>
          <w:ilvl w:val="0"/>
          <w:numId w:val="37"/>
        </w:numPr>
        <w:spacing w:before="120" w:after="120"/>
        <w:ind w:left="1170" w:hanging="630"/>
        <w:rPr>
          <w:bCs/>
          <w:szCs w:val="28"/>
          <w:lang w:eastAsia="en-US"/>
        </w:rPr>
      </w:pPr>
      <w:r w:rsidRPr="00D54922">
        <w:rPr>
          <w:bCs/>
          <w:szCs w:val="28"/>
          <w:u w:val="single"/>
          <w:lang w:eastAsia="en-US"/>
        </w:rPr>
        <w:t>Execution and monitoring of the investment policy</w:t>
      </w:r>
    </w:p>
    <w:p w:rsidR="00490611" w:rsidRPr="00D54922" w:rsidRDefault="00490611" w:rsidP="000B0BEC">
      <w:pPr>
        <w:pStyle w:val="ONUME"/>
        <w:spacing w:after="240"/>
        <w:ind w:left="1170"/>
        <w:rPr>
          <w:rFonts w:eastAsia="Times New Roman"/>
          <w:lang w:eastAsia="en-US"/>
        </w:rPr>
      </w:pPr>
      <w:r w:rsidRPr="00D54922">
        <w:rPr>
          <w:rFonts w:eastAsia="Times New Roman"/>
          <w:lang w:eastAsia="en-US"/>
        </w:rPr>
        <w:t xml:space="preserve">The ACI will </w:t>
      </w:r>
      <w:r w:rsidR="00CC10EE" w:rsidRPr="00D54922">
        <w:rPr>
          <w:rFonts w:eastAsia="Times New Roman"/>
          <w:lang w:eastAsia="en-US"/>
        </w:rPr>
        <w:t>oversee</w:t>
      </w:r>
      <w:r w:rsidRPr="00D54922">
        <w:rPr>
          <w:rFonts w:eastAsia="Times New Roman"/>
          <w:lang w:eastAsia="en-US"/>
        </w:rPr>
        <w:t xml:space="preserve"> the implementation and monitor</w:t>
      </w:r>
      <w:r w:rsidR="00CC10EE" w:rsidRPr="00D54922">
        <w:rPr>
          <w:rFonts w:eastAsia="Times New Roman"/>
          <w:lang w:eastAsia="en-US"/>
        </w:rPr>
        <w:t xml:space="preserve"> </w:t>
      </w:r>
      <w:r w:rsidRPr="00D54922">
        <w:rPr>
          <w:rFonts w:eastAsia="Times New Roman"/>
          <w:lang w:eastAsia="en-US"/>
        </w:rPr>
        <w:t>all aspects of the investment policy.  The work will be undertaken on the basis of proposals and reporting from and research carried out by the Treasurer, and will culminate in recommendations from the ACI to the Director General.</w:t>
      </w:r>
    </w:p>
    <w:p w:rsidR="00490611" w:rsidRPr="00D54922" w:rsidRDefault="00490611" w:rsidP="00A379C0">
      <w:pPr>
        <w:pStyle w:val="ListParagraph"/>
        <w:numPr>
          <w:ilvl w:val="0"/>
          <w:numId w:val="37"/>
        </w:numPr>
        <w:spacing w:before="120" w:after="120"/>
        <w:ind w:left="1170" w:hanging="630"/>
        <w:rPr>
          <w:bCs/>
          <w:szCs w:val="28"/>
          <w:u w:val="single"/>
          <w:lang w:eastAsia="en-US"/>
        </w:rPr>
      </w:pPr>
      <w:r w:rsidRPr="00D54922">
        <w:rPr>
          <w:bCs/>
          <w:szCs w:val="28"/>
          <w:u w:val="single"/>
          <w:lang w:eastAsia="en-US"/>
        </w:rPr>
        <w:t>Review and update of the investment policy</w:t>
      </w:r>
    </w:p>
    <w:p w:rsidR="00490611" w:rsidRPr="00D54922" w:rsidRDefault="00490611" w:rsidP="000B0BEC">
      <w:pPr>
        <w:pStyle w:val="ONUME"/>
        <w:tabs>
          <w:tab w:val="left" w:pos="1170"/>
        </w:tabs>
        <w:spacing w:after="240"/>
        <w:ind w:left="1170"/>
        <w:rPr>
          <w:rFonts w:eastAsia="Times New Roman"/>
          <w:lang w:eastAsia="en-US"/>
        </w:rPr>
      </w:pPr>
      <w:r w:rsidRPr="00D54922">
        <w:rPr>
          <w:rFonts w:eastAsia="Times New Roman"/>
          <w:lang w:eastAsia="en-US"/>
        </w:rPr>
        <w:t xml:space="preserve">The investment policy will be reviewed annually by the ACI on the basis of recommendations for amendments and/or updates received from the Controller.  Following such review, the ACI’s recommendations will be submitted to the Director General and ultimately to the Member States for approval.  Ad-hoc reviews of the policy </w:t>
      </w:r>
      <w:r w:rsidR="00CC10EE" w:rsidRPr="00D54922">
        <w:rPr>
          <w:rFonts w:eastAsia="Times New Roman"/>
          <w:lang w:eastAsia="en-US"/>
        </w:rPr>
        <w:t>may</w:t>
      </w:r>
      <w:r w:rsidRPr="00D54922">
        <w:rPr>
          <w:rFonts w:eastAsia="Times New Roman"/>
          <w:lang w:eastAsia="en-US"/>
        </w:rPr>
        <w:t xml:space="preserve"> be undertaken as the result of certain market circumstances or other factors.</w:t>
      </w:r>
    </w:p>
    <w:p w:rsidR="00490611" w:rsidRPr="00D54922" w:rsidRDefault="00490611" w:rsidP="00A379C0">
      <w:pPr>
        <w:pStyle w:val="ListParagraph"/>
        <w:numPr>
          <w:ilvl w:val="0"/>
          <w:numId w:val="37"/>
        </w:numPr>
        <w:spacing w:before="120" w:after="120"/>
        <w:ind w:left="1170" w:hanging="630"/>
        <w:rPr>
          <w:bCs/>
          <w:szCs w:val="28"/>
          <w:u w:val="single"/>
          <w:lang w:eastAsia="en-US"/>
        </w:rPr>
      </w:pPr>
      <w:r w:rsidRPr="00D54922">
        <w:rPr>
          <w:bCs/>
          <w:szCs w:val="28"/>
          <w:u w:val="single"/>
          <w:lang w:eastAsia="en-US"/>
        </w:rPr>
        <w:t xml:space="preserve">Engagement and discharge of external </w:t>
      </w:r>
      <w:r w:rsidR="00831436" w:rsidRPr="00D54922">
        <w:rPr>
          <w:bCs/>
          <w:szCs w:val="28"/>
          <w:u w:val="single"/>
          <w:lang w:eastAsia="en-US"/>
        </w:rPr>
        <w:t>fund managers</w:t>
      </w:r>
      <w:r w:rsidRPr="00D54922">
        <w:rPr>
          <w:bCs/>
          <w:szCs w:val="28"/>
          <w:u w:val="single"/>
          <w:lang w:eastAsia="en-US"/>
        </w:rPr>
        <w:t xml:space="preserve"> and the </w:t>
      </w:r>
      <w:r w:rsidR="0005643A" w:rsidRPr="00D54922">
        <w:rPr>
          <w:bCs/>
          <w:szCs w:val="28"/>
          <w:u w:val="single"/>
          <w:lang w:eastAsia="en-US"/>
        </w:rPr>
        <w:t>custodian</w:t>
      </w:r>
    </w:p>
    <w:p w:rsidR="00490611" w:rsidRPr="00D54922" w:rsidRDefault="00490611" w:rsidP="000B0BEC">
      <w:pPr>
        <w:pStyle w:val="ONUME"/>
        <w:spacing w:after="0"/>
        <w:ind w:left="1170"/>
        <w:rPr>
          <w:rFonts w:eastAsia="Times New Roman"/>
          <w:lang w:eastAsia="en-US"/>
        </w:rPr>
      </w:pPr>
      <w:r w:rsidRPr="00D54922">
        <w:rPr>
          <w:rFonts w:eastAsia="Times New Roman"/>
          <w:lang w:eastAsia="en-US"/>
        </w:rPr>
        <w:t xml:space="preserve">The ACI, following the approval of the Director General, is responsible for the </w:t>
      </w:r>
      <w:r w:rsidR="00CC10EE" w:rsidRPr="00D54922">
        <w:rPr>
          <w:rFonts w:eastAsia="Times New Roman"/>
          <w:lang w:eastAsia="en-US"/>
        </w:rPr>
        <w:t>engagement</w:t>
      </w:r>
      <w:r w:rsidRPr="00D54922">
        <w:rPr>
          <w:rFonts w:eastAsia="Times New Roman"/>
          <w:lang w:eastAsia="en-US"/>
        </w:rPr>
        <w:t xml:space="preserve"> and dis</w:t>
      </w:r>
      <w:r w:rsidR="00CC10EE" w:rsidRPr="00D54922">
        <w:rPr>
          <w:rFonts w:eastAsia="Times New Roman"/>
          <w:lang w:eastAsia="en-US"/>
        </w:rPr>
        <w:t>charge</w:t>
      </w:r>
      <w:r w:rsidRPr="00D54922">
        <w:rPr>
          <w:rFonts w:eastAsia="Times New Roman"/>
          <w:lang w:eastAsia="en-US"/>
        </w:rPr>
        <w:t xml:space="preserve"> of external </w:t>
      </w:r>
      <w:r w:rsidR="00831436" w:rsidRPr="00D54922">
        <w:rPr>
          <w:rFonts w:eastAsia="Times New Roman"/>
          <w:lang w:eastAsia="en-US"/>
        </w:rPr>
        <w:t>fund managers</w:t>
      </w:r>
      <w:r w:rsidRPr="00D54922">
        <w:rPr>
          <w:rFonts w:eastAsia="Times New Roman"/>
          <w:lang w:eastAsia="en-US"/>
        </w:rPr>
        <w:t xml:space="preserve"> and the </w:t>
      </w:r>
      <w:r w:rsidR="0005643A" w:rsidRPr="00D54922">
        <w:rPr>
          <w:rFonts w:eastAsia="Times New Roman"/>
          <w:lang w:eastAsia="en-US"/>
        </w:rPr>
        <w:t>custodian</w:t>
      </w:r>
      <w:r w:rsidR="00795641" w:rsidRPr="00D54922">
        <w:rPr>
          <w:rFonts w:eastAsia="Times New Roman"/>
          <w:lang w:eastAsia="en-US"/>
        </w:rPr>
        <w:t xml:space="preserve"> (defined under paragraph 17)</w:t>
      </w:r>
      <w:r w:rsidRPr="00D54922">
        <w:rPr>
          <w:rFonts w:eastAsia="Times New Roman"/>
          <w:lang w:eastAsia="en-US"/>
        </w:rPr>
        <w:t>.</w:t>
      </w:r>
    </w:p>
    <w:p w:rsidR="00490611" w:rsidRPr="00D54922" w:rsidRDefault="00490611" w:rsidP="00A379C0">
      <w:pPr>
        <w:ind w:left="1170" w:hanging="630"/>
        <w:contextualSpacing/>
        <w:rPr>
          <w:rFonts w:eastAsia="Times New Roman"/>
          <w:lang w:eastAsia="en-US"/>
        </w:rPr>
      </w:pPr>
    </w:p>
    <w:p w:rsidR="00490611" w:rsidRPr="00D54922" w:rsidRDefault="00490611" w:rsidP="000B0BEC">
      <w:pPr>
        <w:pStyle w:val="ONUME"/>
        <w:spacing w:after="0"/>
        <w:ind w:left="1170"/>
        <w:rPr>
          <w:rFonts w:eastAsia="Times New Roman"/>
          <w:lang w:eastAsia="en-US"/>
        </w:rPr>
      </w:pPr>
      <w:r w:rsidRPr="00D54922">
        <w:rPr>
          <w:rFonts w:eastAsia="Times New Roman"/>
          <w:lang w:eastAsia="en-US"/>
        </w:rPr>
        <w:t xml:space="preserve">For the selection of external </w:t>
      </w:r>
      <w:r w:rsidR="00831436" w:rsidRPr="00D54922">
        <w:rPr>
          <w:rFonts w:eastAsia="Times New Roman"/>
          <w:lang w:eastAsia="en-US"/>
        </w:rPr>
        <w:t>fund managers</w:t>
      </w:r>
      <w:r w:rsidRPr="00D54922">
        <w:rPr>
          <w:rFonts w:eastAsia="Times New Roman"/>
          <w:lang w:eastAsia="en-US"/>
        </w:rPr>
        <w:t xml:space="preserve"> and the </w:t>
      </w:r>
      <w:r w:rsidR="0005643A" w:rsidRPr="00D54922">
        <w:rPr>
          <w:rFonts w:eastAsia="Times New Roman"/>
          <w:lang w:eastAsia="en-US"/>
        </w:rPr>
        <w:t>custodian</w:t>
      </w:r>
      <w:r w:rsidRPr="00D54922">
        <w:rPr>
          <w:rFonts w:eastAsia="Times New Roman"/>
          <w:lang w:eastAsia="en-US"/>
        </w:rPr>
        <w:t>, a Request for Proposals (RFP) exercise will be conducted in accordance with the Organization’s procurement framework.  The evaluation of proposals received, together with accompanying recommendations, will be submitted to the ACI for final review.</w:t>
      </w:r>
    </w:p>
    <w:p w:rsidR="00490611" w:rsidRPr="00D54922" w:rsidRDefault="00490611" w:rsidP="00A379C0">
      <w:pPr>
        <w:ind w:left="1170" w:hanging="630"/>
        <w:contextualSpacing/>
        <w:rPr>
          <w:rFonts w:eastAsia="Times New Roman"/>
          <w:lang w:eastAsia="en-US"/>
        </w:rPr>
      </w:pPr>
    </w:p>
    <w:p w:rsidR="00490611" w:rsidRPr="00D54922" w:rsidRDefault="00490611" w:rsidP="000B0BEC">
      <w:pPr>
        <w:pStyle w:val="ONUME"/>
        <w:spacing w:after="0"/>
        <w:ind w:left="1170"/>
        <w:rPr>
          <w:rFonts w:eastAsia="Times New Roman"/>
          <w:lang w:eastAsia="en-US"/>
        </w:rPr>
      </w:pPr>
      <w:r w:rsidRPr="00D54922">
        <w:rPr>
          <w:rFonts w:eastAsia="Times New Roman"/>
          <w:lang w:eastAsia="en-US"/>
        </w:rPr>
        <w:t xml:space="preserve">External </w:t>
      </w:r>
      <w:r w:rsidR="00831436" w:rsidRPr="00D54922">
        <w:rPr>
          <w:rFonts w:eastAsia="Times New Roman"/>
          <w:lang w:eastAsia="en-US"/>
        </w:rPr>
        <w:t>fund managers</w:t>
      </w:r>
      <w:r w:rsidRPr="00D54922">
        <w:rPr>
          <w:rFonts w:eastAsia="Times New Roman"/>
          <w:lang w:eastAsia="en-US"/>
        </w:rPr>
        <w:t xml:space="preserve"> must fulfill the following initial requirements in order to be considered for the selection process:</w:t>
      </w:r>
    </w:p>
    <w:p w:rsidR="00490611" w:rsidRPr="00D54922" w:rsidRDefault="00490611" w:rsidP="000E7080">
      <w:pPr>
        <w:ind w:left="720"/>
        <w:rPr>
          <w:rFonts w:eastAsia="Times New Roman"/>
          <w:lang w:eastAsia="en-US"/>
        </w:rPr>
      </w:pPr>
    </w:p>
    <w:p w:rsidR="00490611" w:rsidRPr="00D54922" w:rsidRDefault="00490611" w:rsidP="00A379C0">
      <w:pPr>
        <w:pStyle w:val="ONUME"/>
        <w:numPr>
          <w:ilvl w:val="0"/>
          <w:numId w:val="10"/>
        </w:numPr>
        <w:tabs>
          <w:tab w:val="left" w:pos="1980"/>
        </w:tabs>
        <w:spacing w:after="0"/>
        <w:ind w:left="1710" w:hanging="540"/>
        <w:rPr>
          <w:rFonts w:eastAsia="Times New Roman"/>
          <w:lang w:eastAsia="en-US"/>
        </w:rPr>
      </w:pPr>
      <w:r w:rsidRPr="00D54922">
        <w:rPr>
          <w:rFonts w:eastAsia="Times New Roman"/>
          <w:lang w:eastAsia="en-US"/>
        </w:rPr>
        <w:t>The manager must adhere to the governing legislation and regulation in the relevant country concerning financial services, including the authority of the competent regulatory body;</w:t>
      </w:r>
    </w:p>
    <w:p w:rsidR="00490611" w:rsidRPr="00D54922" w:rsidRDefault="00490611" w:rsidP="00A379C0">
      <w:pPr>
        <w:tabs>
          <w:tab w:val="left" w:pos="1980"/>
        </w:tabs>
        <w:ind w:left="1710" w:hanging="540"/>
        <w:rPr>
          <w:rFonts w:eastAsia="Times New Roman"/>
          <w:lang w:eastAsia="en-US"/>
        </w:rPr>
      </w:pPr>
    </w:p>
    <w:p w:rsidR="00490611" w:rsidRPr="00D54922" w:rsidRDefault="0047106D" w:rsidP="00A379C0">
      <w:pPr>
        <w:pStyle w:val="ONUME"/>
        <w:numPr>
          <w:ilvl w:val="0"/>
          <w:numId w:val="10"/>
        </w:numPr>
        <w:tabs>
          <w:tab w:val="left" w:pos="1980"/>
        </w:tabs>
        <w:spacing w:after="0"/>
        <w:ind w:left="1710" w:hanging="540"/>
        <w:rPr>
          <w:rFonts w:eastAsia="Times New Roman"/>
          <w:lang w:eastAsia="en-US"/>
        </w:rPr>
      </w:pPr>
      <w:r w:rsidRPr="00D54922">
        <w:rPr>
          <w:rFonts w:eastAsia="Times New Roman"/>
          <w:lang w:eastAsia="en-US"/>
        </w:rPr>
        <w:t>The manager should endeavo</w:t>
      </w:r>
      <w:r w:rsidR="00490611" w:rsidRPr="00D54922">
        <w:rPr>
          <w:rFonts w:eastAsia="Times New Roman"/>
          <w:lang w:eastAsia="en-US"/>
        </w:rPr>
        <w:t>r to comply with the Global Investment Performance Standards (GIPS)</w:t>
      </w:r>
      <w:r w:rsidR="00490611" w:rsidRPr="00D54922">
        <w:rPr>
          <w:rFonts w:eastAsia="Times New Roman"/>
          <w:vertAlign w:val="superscript"/>
          <w:lang w:eastAsia="en-US"/>
        </w:rPr>
        <w:t xml:space="preserve"> </w:t>
      </w:r>
      <w:r w:rsidR="00490611" w:rsidRPr="00D54922">
        <w:rPr>
          <w:rFonts w:eastAsia="Times New Roman"/>
          <w:vertAlign w:val="superscript"/>
          <w:lang w:eastAsia="en-US"/>
        </w:rPr>
        <w:footnoteReference w:id="2"/>
      </w:r>
      <w:r w:rsidR="00490611" w:rsidRPr="00D54922">
        <w:rPr>
          <w:rFonts w:eastAsia="Times New Roman"/>
          <w:lang w:eastAsia="en-US"/>
        </w:rPr>
        <w:t xml:space="preserve">  and to provide at least historical quarterly performance data, reported net and gross of fees;</w:t>
      </w:r>
    </w:p>
    <w:p w:rsidR="00490611" w:rsidRPr="00D54922" w:rsidRDefault="00490611" w:rsidP="00A379C0">
      <w:pPr>
        <w:tabs>
          <w:tab w:val="left" w:pos="1980"/>
        </w:tabs>
        <w:ind w:left="1710" w:hanging="540"/>
        <w:contextualSpacing/>
        <w:rPr>
          <w:rFonts w:eastAsia="Times New Roman"/>
          <w:lang w:eastAsia="en-US"/>
        </w:rPr>
      </w:pPr>
    </w:p>
    <w:p w:rsidR="00490611" w:rsidRPr="00D54922" w:rsidRDefault="00490611" w:rsidP="00A379C0">
      <w:pPr>
        <w:pStyle w:val="ONUME"/>
        <w:numPr>
          <w:ilvl w:val="0"/>
          <w:numId w:val="10"/>
        </w:numPr>
        <w:tabs>
          <w:tab w:val="left" w:pos="1980"/>
        </w:tabs>
        <w:spacing w:after="0"/>
        <w:ind w:left="1710" w:hanging="540"/>
        <w:rPr>
          <w:rFonts w:eastAsia="Times New Roman"/>
          <w:lang w:eastAsia="en-US"/>
        </w:rPr>
      </w:pPr>
      <w:r w:rsidRPr="00D54922">
        <w:rPr>
          <w:rFonts w:eastAsia="Times New Roman"/>
          <w:lang w:eastAsia="en-US"/>
        </w:rPr>
        <w:t>The manager must provide detailed information on the history of the firm, key personnel, key clients, fee schedule and support personnel;</w:t>
      </w:r>
    </w:p>
    <w:p w:rsidR="00490611" w:rsidRPr="00D54922" w:rsidRDefault="00490611" w:rsidP="00A379C0">
      <w:pPr>
        <w:tabs>
          <w:tab w:val="left" w:pos="1980"/>
        </w:tabs>
        <w:ind w:left="1710" w:hanging="540"/>
        <w:contextualSpacing/>
        <w:rPr>
          <w:rFonts w:eastAsia="Times New Roman"/>
          <w:lang w:eastAsia="en-US"/>
        </w:rPr>
      </w:pPr>
    </w:p>
    <w:p w:rsidR="00490611" w:rsidRPr="00D54922" w:rsidRDefault="00490611" w:rsidP="00A379C0">
      <w:pPr>
        <w:pStyle w:val="ONUME"/>
        <w:numPr>
          <w:ilvl w:val="0"/>
          <w:numId w:val="10"/>
        </w:numPr>
        <w:tabs>
          <w:tab w:val="left" w:pos="1134"/>
          <w:tab w:val="left" w:pos="1980"/>
        </w:tabs>
        <w:spacing w:after="0"/>
        <w:ind w:left="1710" w:hanging="540"/>
        <w:rPr>
          <w:rFonts w:eastAsia="Times New Roman"/>
          <w:lang w:eastAsia="en-US"/>
        </w:rPr>
      </w:pPr>
      <w:r w:rsidRPr="00D54922">
        <w:rPr>
          <w:rFonts w:eastAsia="Times New Roman"/>
          <w:lang w:eastAsia="en-US"/>
        </w:rPr>
        <w:lastRenderedPageBreak/>
        <w:t>The manager must clearly articulate the investment strategy that will be followed and document that the strategy has been adhered to over time.</w:t>
      </w:r>
    </w:p>
    <w:p w:rsidR="00490611" w:rsidRPr="00D54922" w:rsidRDefault="00490611" w:rsidP="000E7080">
      <w:pPr>
        <w:ind w:left="720"/>
        <w:rPr>
          <w:rFonts w:eastAsia="Times New Roman"/>
          <w:lang w:eastAsia="en-US"/>
        </w:rPr>
      </w:pPr>
    </w:p>
    <w:p w:rsidR="00490611" w:rsidRPr="00D54922" w:rsidRDefault="00490611" w:rsidP="000B0BEC">
      <w:pPr>
        <w:pStyle w:val="ONUME"/>
        <w:spacing w:after="0"/>
        <w:ind w:left="1170"/>
        <w:rPr>
          <w:rFonts w:eastAsia="Times New Roman"/>
          <w:lang w:eastAsia="en-US"/>
        </w:rPr>
      </w:pPr>
      <w:r w:rsidRPr="00D54922">
        <w:rPr>
          <w:rFonts w:eastAsia="Times New Roman"/>
          <w:lang w:eastAsia="en-US"/>
        </w:rPr>
        <w:t xml:space="preserve">Selected external </w:t>
      </w:r>
      <w:r w:rsidR="00831436" w:rsidRPr="00D54922">
        <w:rPr>
          <w:rFonts w:eastAsia="Times New Roman"/>
          <w:lang w:eastAsia="en-US"/>
        </w:rPr>
        <w:t>fund managers</w:t>
      </w:r>
      <w:r w:rsidRPr="00D54922">
        <w:rPr>
          <w:rFonts w:eastAsia="Times New Roman"/>
          <w:lang w:eastAsia="en-US"/>
        </w:rPr>
        <w:t xml:space="preserve"> are formally </w:t>
      </w:r>
      <w:r w:rsidR="00F10F13" w:rsidRPr="00D54922">
        <w:rPr>
          <w:rFonts w:eastAsia="Times New Roman"/>
          <w:lang w:eastAsia="en-US"/>
        </w:rPr>
        <w:t>engaged</w:t>
      </w:r>
      <w:r w:rsidRPr="00D54922">
        <w:rPr>
          <w:rFonts w:eastAsia="Times New Roman"/>
          <w:lang w:eastAsia="en-US"/>
        </w:rPr>
        <w:t xml:space="preserve"> on the signing of their investment management </w:t>
      </w:r>
      <w:r w:rsidR="00F10F13" w:rsidRPr="00D54922">
        <w:rPr>
          <w:rFonts w:eastAsia="Times New Roman"/>
          <w:lang w:eastAsia="en-US"/>
        </w:rPr>
        <w:t>contracts</w:t>
      </w:r>
      <w:r w:rsidRPr="00D54922">
        <w:rPr>
          <w:rFonts w:eastAsia="Times New Roman"/>
          <w:lang w:eastAsia="en-US"/>
        </w:rPr>
        <w:t xml:space="preserve">.  The </w:t>
      </w:r>
      <w:r w:rsidR="00F10F13" w:rsidRPr="00D54922">
        <w:rPr>
          <w:rFonts w:eastAsia="Times New Roman"/>
          <w:lang w:eastAsia="en-US"/>
        </w:rPr>
        <w:t>contracts</w:t>
      </w:r>
      <w:r w:rsidRPr="00D54922">
        <w:rPr>
          <w:rFonts w:eastAsia="Times New Roman"/>
          <w:lang w:eastAsia="en-US"/>
        </w:rPr>
        <w:t xml:space="preserve"> outline in detail the responsibilities of the </w:t>
      </w:r>
      <w:r w:rsidR="00831436" w:rsidRPr="00D54922">
        <w:rPr>
          <w:rFonts w:eastAsia="Times New Roman"/>
          <w:lang w:eastAsia="en-US"/>
        </w:rPr>
        <w:t>fund managers</w:t>
      </w:r>
      <w:r w:rsidRPr="00D54922">
        <w:rPr>
          <w:rFonts w:eastAsia="Times New Roman"/>
          <w:vertAlign w:val="superscript"/>
          <w:lang w:eastAsia="en-US"/>
        </w:rPr>
        <w:footnoteReference w:id="3"/>
      </w:r>
      <w:r w:rsidRPr="00D54922">
        <w:rPr>
          <w:rFonts w:eastAsia="Times New Roman"/>
          <w:lang w:eastAsia="en-US"/>
        </w:rPr>
        <w:t xml:space="preserve">.  Such </w:t>
      </w:r>
      <w:r w:rsidR="00F10F13" w:rsidRPr="00D54922">
        <w:rPr>
          <w:rFonts w:eastAsia="Times New Roman"/>
          <w:lang w:eastAsia="en-US"/>
        </w:rPr>
        <w:t>contracts</w:t>
      </w:r>
      <w:r w:rsidRPr="00D54922">
        <w:rPr>
          <w:rFonts w:eastAsia="Times New Roman"/>
          <w:lang w:eastAsia="en-US"/>
        </w:rPr>
        <w:t>, based upon the recommendation of the ACI, will be signed on behalf of WIPO in accordance with its procurement framework.</w:t>
      </w:r>
    </w:p>
    <w:p w:rsidR="00A379C0" w:rsidRPr="00D54922" w:rsidRDefault="00A379C0" w:rsidP="00A379C0">
      <w:pPr>
        <w:pStyle w:val="ONUME"/>
        <w:spacing w:after="0"/>
        <w:ind w:left="1170"/>
        <w:rPr>
          <w:rFonts w:eastAsia="Times New Roman"/>
          <w:lang w:eastAsia="en-US"/>
        </w:rPr>
      </w:pPr>
    </w:p>
    <w:p w:rsidR="00490611" w:rsidRPr="00D54922" w:rsidRDefault="00490611" w:rsidP="00A379C0">
      <w:pPr>
        <w:pStyle w:val="ONUME"/>
        <w:numPr>
          <w:ilvl w:val="0"/>
          <w:numId w:val="37"/>
        </w:numPr>
        <w:spacing w:after="0"/>
        <w:ind w:left="1170" w:hanging="630"/>
        <w:rPr>
          <w:bCs/>
          <w:szCs w:val="28"/>
          <w:u w:val="single"/>
          <w:lang w:eastAsia="en-US"/>
        </w:rPr>
      </w:pPr>
      <w:r w:rsidRPr="00D54922">
        <w:rPr>
          <w:bCs/>
          <w:szCs w:val="28"/>
          <w:u w:val="single"/>
          <w:lang w:eastAsia="en-US"/>
        </w:rPr>
        <w:t xml:space="preserve">Monitoring external </w:t>
      </w:r>
      <w:r w:rsidR="00831436" w:rsidRPr="00D54922">
        <w:rPr>
          <w:bCs/>
          <w:szCs w:val="28"/>
          <w:u w:val="single"/>
          <w:lang w:eastAsia="en-US"/>
        </w:rPr>
        <w:t>fund managers</w:t>
      </w:r>
      <w:r w:rsidRPr="00D54922">
        <w:rPr>
          <w:bCs/>
          <w:szCs w:val="28"/>
          <w:u w:val="single"/>
          <w:lang w:eastAsia="en-US"/>
        </w:rPr>
        <w:t xml:space="preserve"> and the </w:t>
      </w:r>
      <w:r w:rsidR="0005643A" w:rsidRPr="00D54922">
        <w:rPr>
          <w:bCs/>
          <w:szCs w:val="28"/>
          <w:u w:val="single"/>
          <w:lang w:eastAsia="en-US"/>
        </w:rPr>
        <w:t>custodian</w:t>
      </w:r>
    </w:p>
    <w:p w:rsidR="00A379C0" w:rsidRPr="00D54922" w:rsidRDefault="00A379C0" w:rsidP="00A379C0">
      <w:pPr>
        <w:pStyle w:val="ONUME"/>
        <w:spacing w:after="0"/>
        <w:ind w:left="1170" w:hanging="36"/>
        <w:rPr>
          <w:rFonts w:eastAsia="Times New Roman"/>
          <w:lang w:eastAsia="en-US"/>
        </w:rPr>
      </w:pPr>
    </w:p>
    <w:p w:rsidR="00490611" w:rsidRPr="00D54922" w:rsidRDefault="00490611" w:rsidP="00A379C0">
      <w:pPr>
        <w:pStyle w:val="ONUME"/>
        <w:spacing w:after="0"/>
        <w:ind w:left="1170" w:hanging="36"/>
        <w:rPr>
          <w:rFonts w:eastAsia="Times New Roman"/>
          <w:lang w:eastAsia="en-US"/>
        </w:rPr>
      </w:pPr>
      <w:r w:rsidRPr="00D54922">
        <w:rPr>
          <w:rFonts w:eastAsia="Times New Roman"/>
          <w:lang w:eastAsia="en-US"/>
        </w:rPr>
        <w:t xml:space="preserve">The ACI, reporting to the Director General, will ensure that appointed </w:t>
      </w:r>
      <w:r w:rsidR="00831436" w:rsidRPr="00D54922">
        <w:rPr>
          <w:rFonts w:eastAsia="Times New Roman"/>
          <w:lang w:eastAsia="en-US"/>
        </w:rPr>
        <w:t>fund managers</w:t>
      </w:r>
      <w:r w:rsidRPr="00D54922">
        <w:rPr>
          <w:rFonts w:eastAsia="Times New Roman"/>
          <w:lang w:eastAsia="en-US"/>
        </w:rPr>
        <w:t xml:space="preserve"> fulfill their mandates within the contractual obligations outlined in the relevant investment management </w:t>
      </w:r>
      <w:r w:rsidR="00F10F13" w:rsidRPr="00D54922">
        <w:rPr>
          <w:rFonts w:eastAsia="Times New Roman"/>
          <w:lang w:eastAsia="en-US"/>
        </w:rPr>
        <w:t>contract</w:t>
      </w:r>
      <w:r w:rsidRPr="00D54922">
        <w:rPr>
          <w:rFonts w:eastAsia="Times New Roman"/>
          <w:lang w:eastAsia="en-US"/>
        </w:rPr>
        <w:t xml:space="preserve">, including the investment guidelines incorporated into each </w:t>
      </w:r>
      <w:r w:rsidR="00F10F13" w:rsidRPr="00D54922">
        <w:rPr>
          <w:rFonts w:eastAsia="Times New Roman"/>
          <w:lang w:eastAsia="en-US"/>
        </w:rPr>
        <w:t>contract</w:t>
      </w:r>
      <w:r w:rsidRPr="00D54922">
        <w:rPr>
          <w:rFonts w:eastAsia="Times New Roman"/>
          <w:lang w:eastAsia="en-US"/>
        </w:rPr>
        <w:t xml:space="preserve">.  This work will be done on the basis of quarterly reports received from the Treasurer regarding the performance of external </w:t>
      </w:r>
      <w:r w:rsidR="00831436" w:rsidRPr="00D54922">
        <w:rPr>
          <w:rFonts w:eastAsia="Times New Roman"/>
          <w:lang w:eastAsia="en-US"/>
        </w:rPr>
        <w:t>fund managers</w:t>
      </w:r>
      <w:r w:rsidRPr="00D54922">
        <w:rPr>
          <w:rFonts w:eastAsia="Times New Roman"/>
          <w:lang w:eastAsia="en-US"/>
        </w:rPr>
        <w:t xml:space="preserve"> relative to benchmarks and other key performance indicators and the performance and risk statistics provided by the </w:t>
      </w:r>
      <w:r w:rsidR="0005643A" w:rsidRPr="00D54922">
        <w:rPr>
          <w:rFonts w:eastAsia="Times New Roman"/>
          <w:lang w:eastAsia="en-US"/>
        </w:rPr>
        <w:t>custodian</w:t>
      </w:r>
      <w:r w:rsidRPr="00D54922">
        <w:rPr>
          <w:rFonts w:eastAsia="Times New Roman"/>
          <w:lang w:eastAsia="en-US"/>
        </w:rPr>
        <w:t>.  The ACI will undertake a quarterly review of inve</w:t>
      </w:r>
      <w:r w:rsidR="00ED46FA" w:rsidRPr="00D54922">
        <w:rPr>
          <w:rFonts w:eastAsia="Times New Roman"/>
          <w:lang w:eastAsia="en-US"/>
        </w:rPr>
        <w:t>stment strategies (or, on an ad</w:t>
      </w:r>
      <w:r w:rsidR="00ED46FA" w:rsidRPr="00D54922">
        <w:rPr>
          <w:rFonts w:eastAsia="Times New Roman"/>
          <w:lang w:eastAsia="en-US"/>
        </w:rPr>
        <w:noBreakHyphen/>
      </w:r>
      <w:r w:rsidRPr="00D54922">
        <w:rPr>
          <w:rFonts w:eastAsia="Times New Roman"/>
          <w:lang w:eastAsia="en-US"/>
        </w:rPr>
        <w:t xml:space="preserve">hoc basis, as required) and will hold regular review meetings with external </w:t>
      </w:r>
      <w:r w:rsidR="00831436" w:rsidRPr="00D54922">
        <w:rPr>
          <w:rFonts w:eastAsia="Times New Roman"/>
          <w:lang w:eastAsia="en-US"/>
        </w:rPr>
        <w:t>fund managers</w:t>
      </w:r>
      <w:r w:rsidRPr="00D54922">
        <w:rPr>
          <w:rFonts w:eastAsia="Times New Roman"/>
          <w:lang w:eastAsia="en-US"/>
        </w:rPr>
        <w:t xml:space="preserve"> and other service providers.</w:t>
      </w:r>
    </w:p>
    <w:p w:rsidR="00490611" w:rsidRPr="00D54922" w:rsidRDefault="00490611" w:rsidP="00A379C0">
      <w:pPr>
        <w:ind w:left="1170" w:hanging="630"/>
        <w:contextualSpacing/>
        <w:rPr>
          <w:rFonts w:eastAsia="Times New Roman"/>
          <w:lang w:eastAsia="en-US"/>
        </w:rPr>
      </w:pPr>
    </w:p>
    <w:p w:rsidR="00490611" w:rsidRPr="00D54922" w:rsidRDefault="00490611" w:rsidP="000B0BEC">
      <w:pPr>
        <w:pStyle w:val="ONUME"/>
        <w:spacing w:after="0"/>
        <w:ind w:left="1170"/>
        <w:rPr>
          <w:rFonts w:eastAsia="Times New Roman"/>
          <w:lang w:eastAsia="en-US"/>
        </w:rPr>
      </w:pPr>
      <w:r w:rsidRPr="00D54922">
        <w:rPr>
          <w:rFonts w:eastAsia="Times New Roman"/>
          <w:lang w:eastAsia="en-US"/>
        </w:rPr>
        <w:t xml:space="preserve">With regard to the </w:t>
      </w:r>
      <w:r w:rsidR="0005643A" w:rsidRPr="00D54922">
        <w:rPr>
          <w:rFonts w:eastAsia="Times New Roman"/>
          <w:lang w:eastAsia="en-US"/>
        </w:rPr>
        <w:t>custodian</w:t>
      </w:r>
      <w:r w:rsidRPr="00D54922">
        <w:rPr>
          <w:rFonts w:eastAsia="Times New Roman"/>
          <w:lang w:eastAsia="en-US"/>
        </w:rPr>
        <w:t>, the ACI, on the basis of reports received from the Treasurer and reporting to the Director General, will ensure the following:</w:t>
      </w:r>
    </w:p>
    <w:p w:rsidR="00490611" w:rsidRPr="00D54922" w:rsidRDefault="00490611" w:rsidP="000B0BEC">
      <w:pPr>
        <w:ind w:left="1170"/>
        <w:rPr>
          <w:rFonts w:eastAsia="Times New Roman"/>
          <w:lang w:eastAsia="en-US"/>
        </w:rPr>
      </w:pPr>
    </w:p>
    <w:p w:rsidR="00490611" w:rsidRPr="00D54922" w:rsidRDefault="00490611" w:rsidP="00CB3E90">
      <w:pPr>
        <w:pStyle w:val="ONUME"/>
        <w:numPr>
          <w:ilvl w:val="0"/>
          <w:numId w:val="44"/>
        </w:numPr>
        <w:spacing w:after="0"/>
        <w:ind w:left="1710" w:hanging="540"/>
        <w:rPr>
          <w:rFonts w:eastAsia="Times New Roman"/>
          <w:lang w:eastAsia="en-US"/>
        </w:rPr>
      </w:pPr>
      <w:r w:rsidRPr="00D54922">
        <w:rPr>
          <w:rFonts w:eastAsia="Times New Roman"/>
          <w:lang w:eastAsia="en-US"/>
        </w:rPr>
        <w:t>Adherence to the master custody agreement</w:t>
      </w:r>
      <w:r w:rsidR="008D3E23">
        <w:rPr>
          <w:rStyle w:val="FootnoteReference"/>
          <w:rFonts w:eastAsia="Times New Roman"/>
          <w:lang w:eastAsia="en-US"/>
        </w:rPr>
        <w:footnoteReference w:id="4"/>
      </w:r>
      <w:r w:rsidRPr="00D54922">
        <w:rPr>
          <w:rFonts w:eastAsia="Times New Roman"/>
          <w:lang w:eastAsia="en-US"/>
        </w:rPr>
        <w:t>;</w:t>
      </w:r>
    </w:p>
    <w:p w:rsidR="00490611" w:rsidRPr="00D54922" w:rsidRDefault="00490611" w:rsidP="00CB3E90">
      <w:pPr>
        <w:ind w:left="1710" w:hanging="540"/>
        <w:rPr>
          <w:rFonts w:eastAsia="Times New Roman"/>
          <w:lang w:eastAsia="en-US"/>
        </w:rPr>
      </w:pPr>
    </w:p>
    <w:p w:rsidR="00490611" w:rsidRPr="00D54922" w:rsidRDefault="00490611" w:rsidP="00CB3E90">
      <w:pPr>
        <w:pStyle w:val="ONUME"/>
        <w:numPr>
          <w:ilvl w:val="0"/>
          <w:numId w:val="44"/>
        </w:numPr>
        <w:spacing w:after="0"/>
        <w:ind w:left="1710" w:hanging="540"/>
        <w:rPr>
          <w:rFonts w:eastAsia="Times New Roman"/>
          <w:lang w:eastAsia="en-US"/>
        </w:rPr>
      </w:pPr>
      <w:r w:rsidRPr="00D54922">
        <w:rPr>
          <w:rFonts w:eastAsia="Times New Roman"/>
          <w:lang w:eastAsia="en-US"/>
        </w:rPr>
        <w:t>Adherence to the service-level agreement and key performance indicators that form part of the master custody agreement;  and</w:t>
      </w:r>
    </w:p>
    <w:p w:rsidR="00490611" w:rsidRPr="00D54922" w:rsidRDefault="00490611" w:rsidP="00CB3E90">
      <w:pPr>
        <w:ind w:left="1710" w:hanging="540"/>
        <w:contextualSpacing/>
        <w:rPr>
          <w:rFonts w:eastAsia="Times New Roman"/>
          <w:lang w:eastAsia="en-US"/>
        </w:rPr>
      </w:pPr>
    </w:p>
    <w:p w:rsidR="00490611" w:rsidRPr="00D54922" w:rsidRDefault="00490611" w:rsidP="00CB3E90">
      <w:pPr>
        <w:pStyle w:val="ONUME"/>
        <w:numPr>
          <w:ilvl w:val="0"/>
          <w:numId w:val="44"/>
        </w:numPr>
        <w:spacing w:after="240"/>
        <w:ind w:left="1710" w:hanging="540"/>
        <w:rPr>
          <w:rFonts w:eastAsia="Times New Roman"/>
          <w:lang w:eastAsia="en-US"/>
        </w:rPr>
      </w:pPr>
      <w:r w:rsidRPr="00D54922">
        <w:rPr>
          <w:rFonts w:eastAsia="Times New Roman"/>
          <w:lang w:eastAsia="en-US"/>
        </w:rPr>
        <w:t>Regular service review meetings.</w:t>
      </w:r>
    </w:p>
    <w:p w:rsidR="001A3CA6" w:rsidRPr="00D54922" w:rsidRDefault="001A3CA6" w:rsidP="00A379C0">
      <w:pPr>
        <w:pStyle w:val="ONUME"/>
        <w:numPr>
          <w:ilvl w:val="0"/>
          <w:numId w:val="37"/>
        </w:numPr>
        <w:spacing w:after="0"/>
        <w:ind w:left="1170" w:hanging="630"/>
        <w:rPr>
          <w:rFonts w:eastAsia="Times New Roman"/>
          <w:lang w:eastAsia="en-US"/>
        </w:rPr>
      </w:pPr>
      <w:r w:rsidRPr="00D54922">
        <w:rPr>
          <w:bCs/>
          <w:szCs w:val="28"/>
          <w:u w:val="single"/>
          <w:lang w:eastAsia="en-US"/>
        </w:rPr>
        <w:t>Asset allocation</w:t>
      </w:r>
    </w:p>
    <w:p w:rsidR="00A379C0" w:rsidRPr="00D54922" w:rsidRDefault="00A379C0" w:rsidP="00A379C0">
      <w:pPr>
        <w:pStyle w:val="ONUME"/>
        <w:spacing w:after="0"/>
        <w:ind w:left="1170" w:hanging="630"/>
        <w:rPr>
          <w:rFonts w:eastAsia="Times New Roman"/>
          <w:lang w:eastAsia="en-US"/>
        </w:rPr>
      </w:pPr>
    </w:p>
    <w:p w:rsidR="00490611" w:rsidRPr="00D54922" w:rsidRDefault="00490611" w:rsidP="00A379C0">
      <w:pPr>
        <w:pStyle w:val="ONUME"/>
        <w:spacing w:after="0"/>
        <w:ind w:left="1170" w:hanging="36"/>
        <w:rPr>
          <w:rFonts w:eastAsia="Times New Roman"/>
          <w:lang w:eastAsia="en-US"/>
        </w:rPr>
      </w:pPr>
      <w:r w:rsidRPr="00D54922">
        <w:rPr>
          <w:rFonts w:eastAsia="Times New Roman"/>
          <w:lang w:eastAsia="en-US"/>
        </w:rPr>
        <w:t>The asset allocation for operating and core cash shall be determined by the ACI.  The ACI’s recommendations will be submitted to the Director General for approval.</w:t>
      </w:r>
    </w:p>
    <w:p w:rsidR="00490611" w:rsidRPr="00D54922" w:rsidRDefault="00490611" w:rsidP="00490611">
      <w:pPr>
        <w:rPr>
          <w:rFonts w:eastAsia="Times New Roman"/>
          <w:lang w:eastAsia="en-US"/>
        </w:rPr>
      </w:pPr>
    </w:p>
    <w:p w:rsidR="00490611" w:rsidRPr="00D54922" w:rsidRDefault="00490611" w:rsidP="00AA26AC">
      <w:pPr>
        <w:pStyle w:val="ONUME"/>
        <w:numPr>
          <w:ilvl w:val="0"/>
          <w:numId w:val="18"/>
        </w:numPr>
        <w:spacing w:after="240"/>
        <w:ind w:left="0" w:firstLine="0"/>
        <w:rPr>
          <w:rFonts w:eastAsia="Times New Roman"/>
          <w:lang w:eastAsia="en-US"/>
        </w:rPr>
      </w:pPr>
      <w:r w:rsidRPr="00D54922">
        <w:rPr>
          <w:rFonts w:eastAsia="Times New Roman"/>
          <w:lang w:eastAsia="en-US"/>
        </w:rPr>
        <w:t>In order to carry out the</w:t>
      </w:r>
      <w:r w:rsidR="00B4081C" w:rsidRPr="00D54922">
        <w:rPr>
          <w:rFonts w:eastAsia="Times New Roman"/>
          <w:lang w:eastAsia="en-US"/>
        </w:rPr>
        <w:t xml:space="preserve"> responsibilities described </w:t>
      </w:r>
      <w:r w:rsidR="00062329" w:rsidRPr="00D54922">
        <w:rPr>
          <w:rFonts w:eastAsia="Times New Roman"/>
          <w:lang w:eastAsia="en-US"/>
        </w:rPr>
        <w:t>under paragraph 8</w:t>
      </w:r>
      <w:r w:rsidR="00B4081C" w:rsidRPr="00D54922">
        <w:rPr>
          <w:rFonts w:eastAsia="Times New Roman"/>
          <w:lang w:eastAsia="en-US"/>
        </w:rPr>
        <w:t xml:space="preserve"> above</w:t>
      </w:r>
      <w:r w:rsidRPr="00D54922">
        <w:rPr>
          <w:rFonts w:eastAsia="Times New Roman"/>
          <w:lang w:eastAsia="en-US"/>
        </w:rPr>
        <w:t>, the Committee may retain the services of experts outside the Organization having substantial experience in the financial sector.  The ACI will meet at least quarterly.</w:t>
      </w:r>
    </w:p>
    <w:p w:rsidR="00490611" w:rsidRPr="00D54922" w:rsidRDefault="00490611" w:rsidP="0047106D">
      <w:pPr>
        <w:spacing w:before="120" w:after="120"/>
        <w:rPr>
          <w:rFonts w:eastAsia="Times New Roman"/>
          <w:u w:val="single"/>
          <w:lang w:eastAsia="en-US"/>
        </w:rPr>
      </w:pPr>
      <w:r w:rsidRPr="00D54922">
        <w:rPr>
          <w:rFonts w:eastAsia="Times New Roman"/>
          <w:u w:val="single"/>
          <w:lang w:eastAsia="en-US"/>
        </w:rPr>
        <w:t>Controller</w:t>
      </w:r>
    </w:p>
    <w:p w:rsidR="00490611" w:rsidRPr="00D54922" w:rsidRDefault="00490611" w:rsidP="004556A9">
      <w:pPr>
        <w:pStyle w:val="ONUME"/>
        <w:numPr>
          <w:ilvl w:val="0"/>
          <w:numId w:val="18"/>
        </w:numPr>
        <w:spacing w:after="0"/>
        <w:ind w:left="0" w:firstLine="0"/>
        <w:rPr>
          <w:rFonts w:eastAsia="Times New Roman"/>
          <w:lang w:eastAsia="en-US"/>
        </w:rPr>
      </w:pPr>
      <w:r w:rsidRPr="00D54922">
        <w:rPr>
          <w:rFonts w:eastAsia="Times New Roman"/>
          <w:lang w:eastAsia="en-US"/>
        </w:rPr>
        <w:t>In accordance with Rule 104.10 the authority to make and prudently manage investments in accordance with the investment policy approved by Member States under Regulations 4.10 and 4.11, is delegated to the Controller.</w:t>
      </w:r>
    </w:p>
    <w:p w:rsidR="00490611" w:rsidRPr="00D54922" w:rsidRDefault="00490611" w:rsidP="00490611">
      <w:pPr>
        <w:rPr>
          <w:rFonts w:eastAsia="Times New Roman"/>
          <w:lang w:eastAsia="en-US"/>
        </w:rPr>
      </w:pPr>
    </w:p>
    <w:p w:rsidR="00490611" w:rsidRPr="00D54922" w:rsidRDefault="00490611" w:rsidP="00AA26AC">
      <w:pPr>
        <w:pStyle w:val="ONUME"/>
        <w:numPr>
          <w:ilvl w:val="0"/>
          <w:numId w:val="18"/>
        </w:numPr>
        <w:spacing w:after="240"/>
        <w:ind w:left="0" w:firstLine="0"/>
        <w:rPr>
          <w:rFonts w:eastAsia="Times New Roman"/>
          <w:lang w:eastAsia="en-US"/>
        </w:rPr>
      </w:pPr>
      <w:r w:rsidRPr="00D54922">
        <w:rPr>
          <w:rFonts w:eastAsia="Times New Roman"/>
          <w:lang w:eastAsia="en-US"/>
        </w:rPr>
        <w:lastRenderedPageBreak/>
        <w:t>The Controller ensures, by establishing appropriate guidelines</w:t>
      </w:r>
      <w:r w:rsidRPr="00D54922">
        <w:rPr>
          <w:rFonts w:eastAsia="Times New Roman"/>
          <w:vertAlign w:val="superscript"/>
          <w:lang w:eastAsia="en-US"/>
        </w:rPr>
        <w:footnoteReference w:id="5"/>
      </w:r>
      <w:r w:rsidRPr="00D54922">
        <w:rPr>
          <w:rFonts w:eastAsia="Times New Roman"/>
          <w:lang w:eastAsia="en-US"/>
        </w:rPr>
        <w:t>, that funds are held in such currencies and such asset classes as to place primary emphasis on minimizing the risk to principal funds while ensuring the liquidity necessary to meet the Organization’s cashflow requirements.  In addition, investments as well as the currencies in which they are held</w:t>
      </w:r>
      <w:r w:rsidR="00BB3ED2" w:rsidRPr="00D54922">
        <w:rPr>
          <w:rFonts w:eastAsia="Times New Roman"/>
          <w:lang w:eastAsia="en-US"/>
        </w:rPr>
        <w:t>,</w:t>
      </w:r>
      <w:r w:rsidRPr="00D54922">
        <w:rPr>
          <w:rFonts w:eastAsia="Times New Roman"/>
          <w:lang w:eastAsia="en-US"/>
        </w:rPr>
        <w:t xml:space="preserve"> shall be selected by the Controller, on the basis of this investment policy</w:t>
      </w:r>
      <w:r w:rsidR="00BB3ED2" w:rsidRPr="00D54922">
        <w:rPr>
          <w:rFonts w:eastAsia="Times New Roman"/>
          <w:lang w:eastAsia="en-US"/>
        </w:rPr>
        <w:t xml:space="preserve"> and on the basis of </w:t>
      </w:r>
      <w:r w:rsidRPr="00D54922">
        <w:rPr>
          <w:rFonts w:eastAsia="Times New Roman"/>
          <w:lang w:eastAsia="en-US"/>
        </w:rPr>
        <w:t xml:space="preserve">reports, research and proposals received from the Treasurer </w:t>
      </w:r>
      <w:r w:rsidR="00BB3ED2" w:rsidRPr="00D54922">
        <w:rPr>
          <w:rFonts w:eastAsia="Times New Roman"/>
          <w:lang w:eastAsia="en-US"/>
        </w:rPr>
        <w:t xml:space="preserve">and any recommendations made thereon by the </w:t>
      </w:r>
      <w:r w:rsidRPr="00D54922">
        <w:rPr>
          <w:rFonts w:eastAsia="Times New Roman"/>
          <w:lang w:eastAsia="en-US"/>
        </w:rPr>
        <w:t>ACI.</w:t>
      </w:r>
    </w:p>
    <w:p w:rsidR="00490611" w:rsidRPr="00D54922" w:rsidRDefault="00490611" w:rsidP="0047106D">
      <w:pPr>
        <w:spacing w:before="120" w:after="120"/>
        <w:rPr>
          <w:rFonts w:eastAsia="Times New Roman"/>
          <w:u w:val="single"/>
          <w:lang w:eastAsia="en-US"/>
        </w:rPr>
      </w:pPr>
      <w:r w:rsidRPr="00D54922">
        <w:rPr>
          <w:rFonts w:eastAsia="Times New Roman"/>
          <w:u w:val="single"/>
          <w:lang w:eastAsia="en-US"/>
        </w:rPr>
        <w:t>Treasurer, Finance Division</w:t>
      </w:r>
    </w:p>
    <w:p w:rsidR="00490611" w:rsidRPr="00D54922" w:rsidRDefault="00490611" w:rsidP="0090222A">
      <w:pPr>
        <w:pStyle w:val="ONUME"/>
        <w:numPr>
          <w:ilvl w:val="0"/>
          <w:numId w:val="18"/>
        </w:numPr>
        <w:spacing w:after="0"/>
        <w:ind w:left="0" w:firstLine="0"/>
        <w:rPr>
          <w:rFonts w:eastAsia="Times New Roman"/>
          <w:lang w:eastAsia="en-US"/>
        </w:rPr>
      </w:pPr>
      <w:r w:rsidRPr="00D54922">
        <w:rPr>
          <w:rFonts w:eastAsia="Times New Roman"/>
          <w:lang w:eastAsia="en-US"/>
        </w:rPr>
        <w:t xml:space="preserve">This person, reporting to the Finance Director, </w:t>
      </w:r>
      <w:r w:rsidR="00F10F13" w:rsidRPr="00D54922">
        <w:rPr>
          <w:rFonts w:eastAsia="Times New Roman"/>
          <w:lang w:eastAsia="en-US"/>
        </w:rPr>
        <w:t xml:space="preserve">who also acts as the Secretary to the ACI, </w:t>
      </w:r>
      <w:r w:rsidRPr="00D54922">
        <w:rPr>
          <w:rFonts w:eastAsia="Times New Roman"/>
          <w:lang w:eastAsia="en-US"/>
        </w:rPr>
        <w:t xml:space="preserve">is responsible for </w:t>
      </w:r>
      <w:r w:rsidR="00A41875" w:rsidRPr="00D54922">
        <w:rPr>
          <w:rFonts w:eastAsia="Times New Roman"/>
          <w:lang w:eastAsia="en-US"/>
        </w:rPr>
        <w:t>carrying out investment activities</w:t>
      </w:r>
      <w:r w:rsidRPr="00D54922">
        <w:rPr>
          <w:rFonts w:eastAsia="Times New Roman"/>
          <w:lang w:eastAsia="en-US"/>
        </w:rPr>
        <w:t xml:space="preserve"> and reporting of all investments made.  The Treasurer liaises with external fund managers and the </w:t>
      </w:r>
      <w:r w:rsidR="0005643A" w:rsidRPr="00D54922">
        <w:rPr>
          <w:rFonts w:eastAsia="Times New Roman"/>
          <w:lang w:eastAsia="en-US"/>
        </w:rPr>
        <w:t>custodian</w:t>
      </w:r>
      <w:r w:rsidRPr="00D54922">
        <w:rPr>
          <w:rFonts w:eastAsia="Times New Roman"/>
          <w:lang w:eastAsia="en-US"/>
        </w:rPr>
        <w:t xml:space="preserve"> and prepares quarterly reports on the current status of investments for submission to the ACI, via the Controller.  These reports will cover performance relative to benchmarks and risk statistics.  A further responsibility includes monitoring the criteria which would result in placing an </w:t>
      </w:r>
      <w:r w:rsidR="0029308E" w:rsidRPr="00D54922">
        <w:rPr>
          <w:rFonts w:eastAsia="Times New Roman"/>
          <w:lang w:eastAsia="en-US"/>
        </w:rPr>
        <w:t>external fund</w:t>
      </w:r>
      <w:r w:rsidRPr="00D54922">
        <w:rPr>
          <w:rFonts w:eastAsia="Times New Roman"/>
          <w:lang w:eastAsia="en-US"/>
        </w:rPr>
        <w:t xml:space="preserve"> manager on “watch” for consideration of possible replacement.  The resulting report will be submitted to the ACI, via the Controller.  The Treasurer also undertakes a month-end review of trade executions.</w:t>
      </w:r>
    </w:p>
    <w:p w:rsidR="00490611" w:rsidRPr="00D54922" w:rsidRDefault="00490611" w:rsidP="00490611">
      <w:pPr>
        <w:rPr>
          <w:rFonts w:eastAsia="Times New Roman"/>
          <w:lang w:eastAsia="en-US"/>
        </w:rPr>
      </w:pPr>
    </w:p>
    <w:p w:rsidR="00490611" w:rsidRPr="00D54922" w:rsidRDefault="00490611" w:rsidP="0090222A">
      <w:pPr>
        <w:pStyle w:val="ONUME"/>
        <w:numPr>
          <w:ilvl w:val="0"/>
          <w:numId w:val="18"/>
        </w:numPr>
        <w:spacing w:after="0"/>
        <w:ind w:left="0" w:firstLine="0"/>
        <w:rPr>
          <w:rFonts w:eastAsia="Times New Roman"/>
          <w:lang w:eastAsia="en-US"/>
        </w:rPr>
      </w:pPr>
      <w:r w:rsidRPr="00D54922">
        <w:rPr>
          <w:rFonts w:eastAsia="Times New Roman"/>
          <w:lang w:eastAsia="en-US"/>
        </w:rPr>
        <w:t>Cashflow projections for both categories of investments will be updated on a monthly basis by the Treasurer in order to ensure that sufficient funds are available in both categories to meet liquidity requirements.  The Treasurer is also responsible for managing relationships with banks and all other financial counterparties, including quarterly monitoring of their credit ratings.</w:t>
      </w:r>
    </w:p>
    <w:p w:rsidR="00490611" w:rsidRPr="00D54922" w:rsidRDefault="00490611" w:rsidP="00490611">
      <w:pPr>
        <w:keepNext/>
        <w:keepLines/>
        <w:rPr>
          <w:rFonts w:eastAsia="Times New Roman"/>
          <w:lang w:eastAsia="en-US"/>
        </w:rPr>
      </w:pPr>
    </w:p>
    <w:p w:rsidR="00490611" w:rsidRPr="00D54922" w:rsidRDefault="00490611" w:rsidP="0090222A">
      <w:pPr>
        <w:pStyle w:val="ONUME"/>
        <w:numPr>
          <w:ilvl w:val="0"/>
          <w:numId w:val="18"/>
        </w:numPr>
        <w:spacing w:after="0"/>
        <w:ind w:left="0" w:firstLine="0"/>
        <w:rPr>
          <w:rFonts w:eastAsia="Times New Roman"/>
          <w:lang w:eastAsia="en-US"/>
        </w:rPr>
      </w:pPr>
      <w:r w:rsidRPr="00D54922">
        <w:rPr>
          <w:rFonts w:eastAsia="Times New Roman"/>
          <w:lang w:eastAsia="en-US"/>
        </w:rPr>
        <w:t>The responsibility for investing operating cash lies with the Treasurer.  This includes, but is not limited to:</w:t>
      </w:r>
    </w:p>
    <w:p w:rsidR="00490611" w:rsidRPr="00D54922" w:rsidRDefault="00490611" w:rsidP="00490611">
      <w:pPr>
        <w:ind w:left="720"/>
        <w:rPr>
          <w:rFonts w:eastAsia="Times New Roman"/>
          <w:lang w:eastAsia="en-US"/>
        </w:rPr>
      </w:pPr>
    </w:p>
    <w:p w:rsidR="00490611" w:rsidRPr="00D54922" w:rsidRDefault="00490611" w:rsidP="00A379C0">
      <w:pPr>
        <w:pStyle w:val="ONUME"/>
        <w:numPr>
          <w:ilvl w:val="0"/>
          <w:numId w:val="38"/>
        </w:numPr>
        <w:tabs>
          <w:tab w:val="left" w:pos="1134"/>
        </w:tabs>
        <w:spacing w:after="0"/>
        <w:ind w:left="1080" w:hanging="540"/>
        <w:rPr>
          <w:rFonts w:eastAsia="Times New Roman"/>
          <w:lang w:eastAsia="en-US"/>
        </w:rPr>
      </w:pPr>
      <w:r w:rsidRPr="00D54922">
        <w:rPr>
          <w:rFonts w:eastAsia="Times New Roman"/>
          <w:lang w:eastAsia="en-US"/>
        </w:rPr>
        <w:t>Construction of a portfolio of investments which meets the liquidity requirements of the Organization;</w:t>
      </w:r>
    </w:p>
    <w:p w:rsidR="00490611" w:rsidRPr="00D54922" w:rsidRDefault="00490611" w:rsidP="00A379C0">
      <w:pPr>
        <w:ind w:left="1080" w:hanging="540"/>
        <w:rPr>
          <w:rFonts w:eastAsia="Times New Roman"/>
          <w:lang w:eastAsia="en-US"/>
        </w:rPr>
      </w:pPr>
    </w:p>
    <w:p w:rsidR="00490611" w:rsidRPr="00D54922" w:rsidRDefault="00490611" w:rsidP="00A379C0">
      <w:pPr>
        <w:pStyle w:val="ONUME"/>
        <w:numPr>
          <w:ilvl w:val="0"/>
          <w:numId w:val="38"/>
        </w:numPr>
        <w:tabs>
          <w:tab w:val="left" w:pos="1134"/>
        </w:tabs>
        <w:spacing w:after="0"/>
        <w:ind w:left="1080" w:hanging="540"/>
        <w:rPr>
          <w:rFonts w:eastAsia="Times New Roman"/>
          <w:lang w:eastAsia="en-US"/>
        </w:rPr>
      </w:pPr>
      <w:r w:rsidRPr="00D54922">
        <w:rPr>
          <w:rFonts w:eastAsia="Times New Roman"/>
          <w:lang w:eastAsia="en-US"/>
        </w:rPr>
        <w:t>Dealing with established investment counterparties and in asset classes which satisfy the terms of this investment policy;</w:t>
      </w:r>
    </w:p>
    <w:p w:rsidR="00490611" w:rsidRPr="00D54922" w:rsidRDefault="00490611" w:rsidP="00A379C0">
      <w:pPr>
        <w:ind w:left="1080" w:hanging="540"/>
        <w:contextualSpacing/>
        <w:rPr>
          <w:rFonts w:eastAsia="Times New Roman"/>
          <w:lang w:eastAsia="en-US"/>
        </w:rPr>
      </w:pPr>
    </w:p>
    <w:p w:rsidR="00490611" w:rsidRPr="00D54922" w:rsidRDefault="00490611" w:rsidP="00A379C0">
      <w:pPr>
        <w:pStyle w:val="ONUME"/>
        <w:numPr>
          <w:ilvl w:val="0"/>
          <w:numId w:val="38"/>
        </w:numPr>
        <w:tabs>
          <w:tab w:val="left" w:pos="1134"/>
        </w:tabs>
        <w:spacing w:after="0"/>
        <w:ind w:left="1080" w:hanging="540"/>
        <w:rPr>
          <w:rFonts w:eastAsia="Times New Roman"/>
          <w:lang w:eastAsia="en-US"/>
        </w:rPr>
      </w:pPr>
      <w:r w:rsidRPr="00D54922">
        <w:rPr>
          <w:rFonts w:eastAsia="Times New Roman"/>
          <w:lang w:eastAsia="en-US"/>
        </w:rPr>
        <w:t>Evaluation and maintenance of relationships with investment counterparties, including coordinating the legal documentation;</w:t>
      </w:r>
    </w:p>
    <w:p w:rsidR="00490611" w:rsidRPr="00D54922" w:rsidRDefault="00490611" w:rsidP="00A379C0">
      <w:pPr>
        <w:ind w:left="1080" w:hanging="540"/>
        <w:contextualSpacing/>
        <w:rPr>
          <w:rFonts w:eastAsia="Times New Roman"/>
          <w:lang w:eastAsia="en-US"/>
        </w:rPr>
      </w:pPr>
    </w:p>
    <w:p w:rsidR="00490611" w:rsidRPr="00D54922" w:rsidRDefault="00490611" w:rsidP="00A379C0">
      <w:pPr>
        <w:pStyle w:val="ONUME"/>
        <w:numPr>
          <w:ilvl w:val="0"/>
          <w:numId w:val="38"/>
        </w:numPr>
        <w:tabs>
          <w:tab w:val="left" w:pos="1134"/>
        </w:tabs>
        <w:spacing w:after="0"/>
        <w:ind w:left="1080" w:hanging="540"/>
        <w:rPr>
          <w:rFonts w:eastAsia="Times New Roman"/>
          <w:lang w:eastAsia="en-US"/>
        </w:rPr>
      </w:pPr>
      <w:r w:rsidRPr="00D54922">
        <w:rPr>
          <w:rFonts w:eastAsia="Times New Roman"/>
          <w:lang w:eastAsia="en-US"/>
        </w:rPr>
        <w:t>Credit risk analysis of counterparties;</w:t>
      </w:r>
    </w:p>
    <w:p w:rsidR="00490611" w:rsidRPr="00D54922" w:rsidRDefault="00490611" w:rsidP="00A379C0">
      <w:pPr>
        <w:ind w:left="1080" w:hanging="540"/>
        <w:contextualSpacing/>
        <w:rPr>
          <w:rFonts w:eastAsia="Times New Roman"/>
          <w:lang w:eastAsia="en-US"/>
        </w:rPr>
      </w:pPr>
    </w:p>
    <w:p w:rsidR="00490611" w:rsidRPr="00D54922" w:rsidRDefault="00490611" w:rsidP="00A379C0">
      <w:pPr>
        <w:pStyle w:val="ONUME"/>
        <w:numPr>
          <w:ilvl w:val="0"/>
          <w:numId w:val="38"/>
        </w:numPr>
        <w:tabs>
          <w:tab w:val="left" w:pos="1134"/>
        </w:tabs>
        <w:spacing w:after="0"/>
        <w:ind w:left="1080" w:hanging="540"/>
        <w:rPr>
          <w:rFonts w:eastAsia="Times New Roman"/>
          <w:lang w:eastAsia="en-US"/>
        </w:rPr>
      </w:pPr>
      <w:r w:rsidRPr="00D54922">
        <w:rPr>
          <w:rFonts w:eastAsia="Times New Roman"/>
          <w:lang w:eastAsia="en-US"/>
        </w:rPr>
        <w:t>Sovereign risk analysis; and</w:t>
      </w:r>
    </w:p>
    <w:p w:rsidR="00490611" w:rsidRPr="00D54922" w:rsidRDefault="00490611" w:rsidP="00A379C0">
      <w:pPr>
        <w:ind w:left="1080" w:hanging="540"/>
        <w:contextualSpacing/>
        <w:rPr>
          <w:rFonts w:eastAsia="Times New Roman"/>
          <w:lang w:eastAsia="en-US"/>
        </w:rPr>
      </w:pPr>
    </w:p>
    <w:p w:rsidR="00490611" w:rsidRPr="00D54922" w:rsidRDefault="00490611" w:rsidP="00A379C0">
      <w:pPr>
        <w:pStyle w:val="ONUME"/>
        <w:numPr>
          <w:ilvl w:val="0"/>
          <w:numId w:val="38"/>
        </w:numPr>
        <w:tabs>
          <w:tab w:val="left" w:pos="1134"/>
        </w:tabs>
        <w:spacing w:after="0"/>
        <w:ind w:left="1080" w:hanging="540"/>
        <w:rPr>
          <w:rFonts w:eastAsia="Times New Roman"/>
          <w:lang w:eastAsia="en-US"/>
        </w:rPr>
      </w:pPr>
      <w:r w:rsidRPr="00D54922">
        <w:rPr>
          <w:rFonts w:eastAsia="Times New Roman"/>
          <w:lang w:eastAsia="en-US"/>
        </w:rPr>
        <w:t>Monitoring financial markets.</w:t>
      </w:r>
    </w:p>
    <w:p w:rsidR="00490611" w:rsidRPr="00D54922" w:rsidRDefault="00490611" w:rsidP="00A379C0">
      <w:pPr>
        <w:ind w:left="1080" w:hanging="540"/>
        <w:contextualSpacing/>
        <w:rPr>
          <w:rFonts w:eastAsia="Times New Roman"/>
          <w:lang w:eastAsia="en-US"/>
        </w:rPr>
      </w:pPr>
    </w:p>
    <w:p w:rsidR="00490611" w:rsidRPr="00D54922" w:rsidRDefault="00490611" w:rsidP="00AA26AC">
      <w:pPr>
        <w:pStyle w:val="ONUME"/>
        <w:numPr>
          <w:ilvl w:val="0"/>
          <w:numId w:val="18"/>
        </w:numPr>
        <w:spacing w:after="240"/>
        <w:ind w:left="0" w:firstLine="0"/>
        <w:rPr>
          <w:rFonts w:eastAsia="Times New Roman"/>
          <w:lang w:eastAsia="en-US"/>
        </w:rPr>
      </w:pPr>
      <w:r w:rsidRPr="00D54922">
        <w:rPr>
          <w:rFonts w:eastAsia="Times New Roman"/>
          <w:lang w:eastAsia="en-US"/>
        </w:rPr>
        <w:t>Reports will be submitted quarterly on the performance of operating cash by the Treasurer via the Controller to the ACI.</w:t>
      </w:r>
    </w:p>
    <w:p w:rsidR="00490611" w:rsidRPr="00D54922" w:rsidRDefault="00490611" w:rsidP="0047106D">
      <w:pPr>
        <w:spacing w:before="120" w:after="120"/>
        <w:rPr>
          <w:rFonts w:eastAsia="Times New Roman"/>
          <w:u w:val="single"/>
          <w:lang w:eastAsia="en-US"/>
        </w:rPr>
      </w:pPr>
      <w:r w:rsidRPr="00D54922">
        <w:rPr>
          <w:rFonts w:eastAsia="Times New Roman"/>
          <w:u w:val="single"/>
          <w:lang w:eastAsia="en-US"/>
        </w:rPr>
        <w:t xml:space="preserve">External </w:t>
      </w:r>
      <w:r w:rsidR="00831436" w:rsidRPr="00D54922">
        <w:rPr>
          <w:rFonts w:eastAsia="Times New Roman"/>
          <w:u w:val="single"/>
          <w:lang w:eastAsia="en-US"/>
        </w:rPr>
        <w:t>fund managers</w:t>
      </w:r>
    </w:p>
    <w:p w:rsidR="00490611" w:rsidRPr="00D54922" w:rsidRDefault="00490611" w:rsidP="00AA26AC">
      <w:pPr>
        <w:pStyle w:val="ONUME"/>
        <w:numPr>
          <w:ilvl w:val="0"/>
          <w:numId w:val="18"/>
        </w:numPr>
        <w:spacing w:after="240"/>
        <w:ind w:left="0" w:firstLine="0"/>
        <w:rPr>
          <w:rFonts w:eastAsia="Times New Roman"/>
          <w:lang w:eastAsia="en-US"/>
        </w:rPr>
      </w:pPr>
      <w:r w:rsidRPr="00D54922">
        <w:rPr>
          <w:rFonts w:eastAsia="Times New Roman"/>
          <w:lang w:eastAsia="en-US"/>
        </w:rPr>
        <w:t>This term refers to individuals and companies which provide investment management services whereby assets such as shares, bonds and real estate are professionally managed in order to meet specified investment goals for the benefit of the Organization.</w:t>
      </w:r>
    </w:p>
    <w:p w:rsidR="00490611" w:rsidRPr="00D54922" w:rsidRDefault="00490611" w:rsidP="0047106D">
      <w:pPr>
        <w:spacing w:before="120" w:after="120"/>
        <w:rPr>
          <w:rFonts w:eastAsia="Times New Roman"/>
          <w:u w:val="single"/>
          <w:lang w:eastAsia="en-US"/>
        </w:rPr>
      </w:pPr>
      <w:r w:rsidRPr="00D54922">
        <w:rPr>
          <w:rFonts w:eastAsia="Times New Roman"/>
          <w:u w:val="single"/>
          <w:lang w:eastAsia="en-US"/>
        </w:rPr>
        <w:lastRenderedPageBreak/>
        <w:t>Custodian</w:t>
      </w:r>
    </w:p>
    <w:p w:rsidR="00490611" w:rsidRPr="00D54922" w:rsidRDefault="00490611" w:rsidP="006B3F4C">
      <w:pPr>
        <w:pStyle w:val="ONUME"/>
        <w:numPr>
          <w:ilvl w:val="0"/>
          <w:numId w:val="18"/>
        </w:numPr>
        <w:spacing w:after="0"/>
        <w:ind w:left="0" w:firstLine="0"/>
        <w:rPr>
          <w:rFonts w:eastAsia="Times New Roman"/>
          <w:lang w:eastAsia="en-US"/>
        </w:rPr>
      </w:pPr>
      <w:r w:rsidRPr="00D54922">
        <w:rPr>
          <w:rFonts w:eastAsia="Times New Roman"/>
          <w:lang w:eastAsia="en-US"/>
        </w:rPr>
        <w:t xml:space="preserve">This is the financial institution responsible for safeguarding the Organization’s financial assets.  The custodian holds assets such as shares and bonds and arranges settlement of any purchases and sales of such assets and collection of income.  The custodian may provide other services such as risk analysis, monitoring the performance of the external </w:t>
      </w:r>
      <w:r w:rsidR="00831436" w:rsidRPr="00D54922">
        <w:rPr>
          <w:rFonts w:eastAsia="Times New Roman"/>
          <w:lang w:eastAsia="en-US"/>
        </w:rPr>
        <w:t>fund managers</w:t>
      </w:r>
      <w:r w:rsidRPr="00D54922">
        <w:rPr>
          <w:rFonts w:eastAsia="Times New Roman"/>
          <w:lang w:eastAsia="en-US"/>
        </w:rPr>
        <w:t xml:space="preserve"> and compliance reporting.</w:t>
      </w:r>
    </w:p>
    <w:p w:rsidR="00490611" w:rsidRPr="00D54922" w:rsidRDefault="00490611" w:rsidP="00490611">
      <w:pPr>
        <w:rPr>
          <w:rFonts w:eastAsia="Times New Roman"/>
          <w:lang w:eastAsia="en-US"/>
        </w:rPr>
      </w:pPr>
    </w:p>
    <w:p w:rsidR="00B00C2A" w:rsidRPr="00D54922" w:rsidRDefault="00B00C2A" w:rsidP="00490611">
      <w:pPr>
        <w:rPr>
          <w:rFonts w:eastAsia="Times New Roman"/>
          <w:lang w:eastAsia="en-US"/>
        </w:rPr>
      </w:pPr>
    </w:p>
    <w:p w:rsidR="00490611" w:rsidRPr="00D54922" w:rsidRDefault="00795641" w:rsidP="00490611">
      <w:pPr>
        <w:keepNext/>
        <w:outlineLvl w:val="0"/>
        <w:rPr>
          <w:bCs/>
          <w:caps/>
          <w:kern w:val="32"/>
          <w:szCs w:val="32"/>
          <w:lang w:eastAsia="en-US"/>
        </w:rPr>
      </w:pPr>
      <w:r w:rsidRPr="00D54922">
        <w:rPr>
          <w:bCs/>
          <w:caps/>
          <w:kern w:val="32"/>
          <w:szCs w:val="32"/>
          <w:lang w:eastAsia="en-US"/>
        </w:rPr>
        <w:t>C</w:t>
      </w:r>
      <w:r w:rsidR="004D0E0D" w:rsidRPr="00D54922">
        <w:rPr>
          <w:bCs/>
          <w:caps/>
          <w:kern w:val="32"/>
          <w:szCs w:val="32"/>
          <w:lang w:eastAsia="en-US"/>
        </w:rPr>
        <w:t>.</w:t>
      </w:r>
      <w:r w:rsidR="004D0E0D" w:rsidRPr="00D54922">
        <w:rPr>
          <w:bCs/>
          <w:caps/>
          <w:kern w:val="32"/>
          <w:szCs w:val="32"/>
          <w:lang w:eastAsia="en-US"/>
        </w:rPr>
        <w:tab/>
      </w:r>
      <w:r w:rsidR="00490611" w:rsidRPr="00D54922">
        <w:rPr>
          <w:bCs/>
          <w:caps/>
          <w:kern w:val="32"/>
          <w:szCs w:val="32"/>
          <w:lang w:eastAsia="en-US"/>
        </w:rPr>
        <w:t>Investment objectives, risk tolerance and constraints</w:t>
      </w:r>
    </w:p>
    <w:p w:rsidR="00490611" w:rsidRPr="00D54922" w:rsidRDefault="00340449" w:rsidP="00340449">
      <w:pPr>
        <w:spacing w:before="120" w:after="120"/>
        <w:rPr>
          <w:rFonts w:eastAsia="Times New Roman"/>
          <w:u w:val="single"/>
          <w:lang w:eastAsia="en-US"/>
        </w:rPr>
      </w:pPr>
      <w:r w:rsidRPr="00D54922">
        <w:rPr>
          <w:rFonts w:eastAsia="Times New Roman"/>
          <w:u w:val="single"/>
          <w:lang w:eastAsia="en-US"/>
        </w:rPr>
        <w:t>Objectives</w:t>
      </w:r>
    </w:p>
    <w:p w:rsidR="00490611" w:rsidRPr="00D54922" w:rsidRDefault="00490611" w:rsidP="006B3F4C">
      <w:pPr>
        <w:pStyle w:val="ONUME"/>
        <w:numPr>
          <w:ilvl w:val="0"/>
          <w:numId w:val="18"/>
        </w:numPr>
        <w:spacing w:after="0"/>
        <w:ind w:left="0" w:firstLine="0"/>
        <w:rPr>
          <w:rFonts w:eastAsia="Times New Roman"/>
          <w:lang w:eastAsia="en-US"/>
        </w:rPr>
      </w:pPr>
      <w:r w:rsidRPr="00D54922">
        <w:rPr>
          <w:rFonts w:eastAsia="Times New Roman"/>
          <w:lang w:eastAsia="en-US"/>
        </w:rPr>
        <w:t>The objectives of this investment policy are established in Financial Rule 104.10 (b) which provides that the Controller “shall ensure that funds are held in such currencies and invested in such a way as to place primary emphasis on minimizing the risk to principal funds while ensuring the liquidity necessary to meet the Organization’s cash flow requirements”.  The primary objectives of the Organization’s investment management, in order of importance, shall be (i) preservation of capital; (ii) liquidity and (iii</w:t>
      </w:r>
      <w:r w:rsidR="001A3CA6" w:rsidRPr="00D54922">
        <w:rPr>
          <w:rFonts w:eastAsia="Times New Roman"/>
          <w:lang w:eastAsia="en-US"/>
        </w:rPr>
        <w:t>) within the constraints of (i) </w:t>
      </w:r>
      <w:r w:rsidRPr="00D54922">
        <w:rPr>
          <w:rFonts w:eastAsia="Times New Roman"/>
          <w:lang w:eastAsia="en-US"/>
        </w:rPr>
        <w:t>and (ii), the rate of return.</w:t>
      </w:r>
    </w:p>
    <w:p w:rsidR="001E451E" w:rsidRPr="00D54922" w:rsidRDefault="001E451E" w:rsidP="001E451E">
      <w:pPr>
        <w:pStyle w:val="ONUME"/>
        <w:spacing w:after="0"/>
        <w:rPr>
          <w:rFonts w:eastAsia="Times New Roman"/>
          <w:lang w:eastAsia="en-US"/>
        </w:rPr>
      </w:pPr>
    </w:p>
    <w:p w:rsidR="00490611" w:rsidRPr="00D54922" w:rsidRDefault="00490611" w:rsidP="00AA26AC">
      <w:pPr>
        <w:pStyle w:val="ONUME"/>
        <w:numPr>
          <w:ilvl w:val="0"/>
          <w:numId w:val="18"/>
        </w:numPr>
        <w:spacing w:after="240"/>
        <w:ind w:left="0" w:firstLine="0"/>
        <w:rPr>
          <w:rFonts w:eastAsia="Times New Roman"/>
          <w:b/>
          <w:lang w:eastAsia="en-US"/>
        </w:rPr>
      </w:pPr>
      <w:r w:rsidRPr="00D54922">
        <w:rPr>
          <w:rFonts w:eastAsia="Times New Roman"/>
          <w:lang w:eastAsia="en-US"/>
        </w:rPr>
        <w:t>The Organization aims to achieve a market rate of return whenever appropriate and possible for both operating and core cash, in line with either the benchmarks indicated in</w:t>
      </w:r>
      <w:r w:rsidR="00E47315" w:rsidRPr="00D54922">
        <w:rPr>
          <w:rFonts w:eastAsia="Times New Roman"/>
          <w:lang w:eastAsia="en-US"/>
        </w:rPr>
        <w:t xml:space="preserve"> </w:t>
      </w:r>
      <w:r w:rsidRPr="00D54922">
        <w:rPr>
          <w:rFonts w:eastAsia="Times New Roman"/>
          <w:lang w:eastAsia="en-US"/>
        </w:rPr>
        <w:t>section</w:t>
      </w:r>
      <w:r w:rsidR="00E47315" w:rsidRPr="00D54922">
        <w:rPr>
          <w:rFonts w:eastAsia="Times New Roman"/>
          <w:lang w:eastAsia="en-US"/>
        </w:rPr>
        <w:t xml:space="preserve"> </w:t>
      </w:r>
      <w:r w:rsidR="00795641" w:rsidRPr="00D54922">
        <w:rPr>
          <w:rFonts w:eastAsia="Times New Roman"/>
          <w:lang w:eastAsia="en-US"/>
        </w:rPr>
        <w:t>F</w:t>
      </w:r>
      <w:r w:rsidRPr="00D54922">
        <w:rPr>
          <w:rFonts w:eastAsia="Times New Roman"/>
          <w:b/>
          <w:lang w:eastAsia="en-US"/>
        </w:rPr>
        <w:t xml:space="preserve"> </w:t>
      </w:r>
      <w:r w:rsidRPr="00D54922">
        <w:rPr>
          <w:rFonts w:eastAsia="Times New Roman"/>
          <w:lang w:eastAsia="en-US"/>
        </w:rPr>
        <w:t>or with those defined in the respective investment guidelines, as appropriate.  Where, exceptionally, negative interest rates prevail in relation to its base currency, the Organization aims to minimize the impact of such rates as much as possible by holding investments with counterparties meeting the required credit rating, which offer positive or zero rates.</w:t>
      </w:r>
    </w:p>
    <w:p w:rsidR="00490611" w:rsidRPr="00D54922" w:rsidRDefault="00340449" w:rsidP="00343D95">
      <w:pPr>
        <w:pStyle w:val="ONUME"/>
        <w:spacing w:before="120" w:after="120"/>
        <w:rPr>
          <w:rFonts w:eastAsia="Times New Roman"/>
          <w:u w:val="single"/>
          <w:lang w:eastAsia="en-US"/>
        </w:rPr>
      </w:pPr>
      <w:r w:rsidRPr="00D54922">
        <w:rPr>
          <w:rFonts w:eastAsia="Times New Roman"/>
          <w:u w:val="single"/>
          <w:lang w:eastAsia="en-US"/>
        </w:rPr>
        <w:t>Risk tolerance</w:t>
      </w:r>
    </w:p>
    <w:p w:rsidR="00490611" w:rsidRPr="00D54922" w:rsidRDefault="00490611" w:rsidP="00AA26AC">
      <w:pPr>
        <w:pStyle w:val="ONUME"/>
        <w:numPr>
          <w:ilvl w:val="0"/>
          <w:numId w:val="18"/>
        </w:numPr>
        <w:spacing w:after="240"/>
        <w:ind w:left="0" w:firstLine="0"/>
        <w:rPr>
          <w:rFonts w:eastAsia="Times New Roman"/>
          <w:lang w:eastAsia="en-US"/>
        </w:rPr>
      </w:pPr>
      <w:r w:rsidRPr="00D54922">
        <w:rPr>
          <w:rFonts w:eastAsia="Times New Roman"/>
          <w:lang w:eastAsia="en-US"/>
        </w:rPr>
        <w:t xml:space="preserve">The level of risk taken is to be consistent with the investment objectives of the two categories of cash:  operating and core. For operating cash, the risk tolerance is zero.  </w:t>
      </w:r>
      <w:r w:rsidR="00F10F13" w:rsidRPr="00D54922">
        <w:rPr>
          <w:rFonts w:eastAsia="Times New Roman"/>
          <w:lang w:eastAsia="en-US"/>
        </w:rPr>
        <w:t>For core cash, i</w:t>
      </w:r>
      <w:r w:rsidRPr="00D54922">
        <w:rPr>
          <w:rFonts w:eastAsia="Times New Roman"/>
          <w:lang w:eastAsia="en-US"/>
        </w:rPr>
        <w:t xml:space="preserve">t is recognized and acknowledged that some risk must be assumed in order to achieve the investment objectives.  Given the objective of preserving capital, risk tolerance may be increased when certain market conditions, such as negative interest rates, prevail.  Risk tolerance levels are determined and </w:t>
      </w:r>
      <w:r w:rsidR="003A2D26" w:rsidRPr="00D54922">
        <w:rPr>
          <w:rFonts w:eastAsia="Times New Roman"/>
          <w:lang w:eastAsia="en-US"/>
        </w:rPr>
        <w:t>approved by the Director General based on recommendations from the ACI</w:t>
      </w:r>
      <w:r w:rsidRPr="00D54922">
        <w:rPr>
          <w:rFonts w:eastAsia="Times New Roman"/>
          <w:lang w:eastAsia="en-US"/>
        </w:rPr>
        <w:t>.  The ACI is responsible for understanding the risks and</w:t>
      </w:r>
      <w:r w:rsidR="00F10F13" w:rsidRPr="00D54922">
        <w:rPr>
          <w:rFonts w:eastAsia="Times New Roman"/>
          <w:lang w:eastAsia="en-US"/>
        </w:rPr>
        <w:t xml:space="preserve"> moni</w:t>
      </w:r>
      <w:r w:rsidRPr="00D54922">
        <w:rPr>
          <w:rFonts w:eastAsia="Times New Roman"/>
          <w:lang w:eastAsia="en-US"/>
        </w:rPr>
        <w:t>toring them continually.</w:t>
      </w:r>
    </w:p>
    <w:p w:rsidR="00340449" w:rsidRPr="00D54922" w:rsidRDefault="00340449" w:rsidP="00343D95">
      <w:pPr>
        <w:pStyle w:val="ONUME"/>
        <w:spacing w:before="120" w:after="120"/>
        <w:rPr>
          <w:rFonts w:eastAsia="Times New Roman"/>
          <w:u w:val="single"/>
          <w:lang w:eastAsia="en-US"/>
        </w:rPr>
      </w:pPr>
      <w:r w:rsidRPr="00D54922">
        <w:rPr>
          <w:rFonts w:eastAsia="Times New Roman"/>
          <w:u w:val="single"/>
          <w:lang w:eastAsia="en-US"/>
        </w:rPr>
        <w:t>Constraints</w:t>
      </w:r>
    </w:p>
    <w:p w:rsidR="00490611" w:rsidRPr="00D54922" w:rsidRDefault="00490611" w:rsidP="00AA26AC">
      <w:pPr>
        <w:pStyle w:val="ONUME"/>
        <w:numPr>
          <w:ilvl w:val="0"/>
          <w:numId w:val="18"/>
        </w:numPr>
        <w:spacing w:after="240"/>
        <w:ind w:left="0" w:firstLine="0"/>
        <w:rPr>
          <w:szCs w:val="22"/>
        </w:rPr>
      </w:pPr>
      <w:r w:rsidRPr="00D54922">
        <w:rPr>
          <w:szCs w:val="22"/>
        </w:rPr>
        <w:t>Liquidity</w:t>
      </w:r>
      <w:r w:rsidR="00F76982" w:rsidRPr="00D54922">
        <w:rPr>
          <w:szCs w:val="22"/>
        </w:rPr>
        <w:t xml:space="preserve">:  </w:t>
      </w:r>
      <w:r w:rsidRPr="00D54922">
        <w:rPr>
          <w:rFonts w:eastAsia="Times New Roman"/>
          <w:lang w:eastAsia="en-US"/>
        </w:rPr>
        <w:t>Operating cash balances, equivalent to the target reserves level, will be invested over the short-term (periods not exceeding twelve months to maturity) in low-risk asset classes which are easily liquidated at little or no cost.  The aim is to meet the Organization’s liquidity requirements.  Core cash will be invested over the medium-term (periods exceeding twelve months) with the objective of generating a positive return, net of any management fees, whilst aiming for low volatility of the values of underlying investments.  Core cash will be invested ideally in such a way that occasional access to a portion of the cash is possible thus facilitating scheduled large payments, such as loan repayments, in the future.</w:t>
      </w:r>
    </w:p>
    <w:p w:rsidR="00E038A1" w:rsidRPr="00D54922" w:rsidRDefault="00490611" w:rsidP="00343D95">
      <w:pPr>
        <w:pStyle w:val="ONUME"/>
        <w:spacing w:before="120" w:after="120"/>
        <w:rPr>
          <w:bCs/>
          <w:szCs w:val="26"/>
          <w:lang w:eastAsia="en-US"/>
        </w:rPr>
      </w:pPr>
      <w:r w:rsidRPr="00D54922">
        <w:rPr>
          <w:bCs/>
          <w:szCs w:val="26"/>
          <w:u w:val="single"/>
          <w:lang w:eastAsia="en-US"/>
        </w:rPr>
        <w:t>Diversification of counterparties</w:t>
      </w:r>
      <w:r w:rsidR="00F76982" w:rsidRPr="00D54922">
        <w:rPr>
          <w:bCs/>
          <w:szCs w:val="26"/>
          <w:lang w:eastAsia="en-US"/>
        </w:rPr>
        <w:t xml:space="preserve">:  </w:t>
      </w:r>
    </w:p>
    <w:p w:rsidR="00490611" w:rsidRPr="00D54922" w:rsidRDefault="00490611" w:rsidP="00343D95">
      <w:pPr>
        <w:pStyle w:val="ONUME"/>
        <w:numPr>
          <w:ilvl w:val="0"/>
          <w:numId w:val="18"/>
        </w:numPr>
        <w:spacing w:before="120" w:after="120"/>
        <w:ind w:left="0" w:firstLine="0"/>
        <w:rPr>
          <w:bCs/>
          <w:szCs w:val="26"/>
          <w:lang w:eastAsia="en-US"/>
        </w:rPr>
      </w:pPr>
      <w:r w:rsidRPr="00D54922">
        <w:rPr>
          <w:rFonts w:eastAsia="Times New Roman"/>
          <w:lang w:eastAsia="en-US"/>
        </w:rPr>
        <w:t xml:space="preserve">All of the Organization’s investments of operating and core cash may be placed with a single institution which enjoys sovereign risk and AAA/Aaa rating provided that such an institution can be identified and will accept such investment monies.  Otherwise, operating cash will be distributed among multiple institutions, with the aim of dividing such monies </w:t>
      </w:r>
      <w:r w:rsidRPr="00D54922">
        <w:rPr>
          <w:rFonts w:eastAsia="Times New Roman"/>
          <w:lang w:eastAsia="en-US"/>
        </w:rPr>
        <w:lastRenderedPageBreak/>
        <w:t xml:space="preserve">amongst a minimum of four institutions, if possible, with no more than 30 per cent of operating cash to be held with any one institution.  Core cash will be divided between at least two external </w:t>
      </w:r>
      <w:r w:rsidR="00831436" w:rsidRPr="00D54922">
        <w:rPr>
          <w:rFonts w:eastAsia="Times New Roman"/>
          <w:lang w:eastAsia="en-US"/>
        </w:rPr>
        <w:t>fund managers</w:t>
      </w:r>
      <w:r w:rsidRPr="00D54922">
        <w:rPr>
          <w:rFonts w:eastAsia="Times New Roman"/>
          <w:lang w:eastAsia="en-US"/>
        </w:rPr>
        <w:t>.</w:t>
      </w:r>
    </w:p>
    <w:p w:rsidR="00490611" w:rsidRPr="00D54922" w:rsidRDefault="00490611" w:rsidP="00343D95">
      <w:pPr>
        <w:pStyle w:val="ONUME"/>
        <w:numPr>
          <w:ilvl w:val="0"/>
          <w:numId w:val="18"/>
        </w:numPr>
        <w:spacing w:before="120" w:after="120"/>
        <w:ind w:left="0" w:firstLine="0"/>
        <w:rPr>
          <w:rFonts w:eastAsia="Times New Roman"/>
          <w:lang w:eastAsia="en-US"/>
        </w:rPr>
      </w:pPr>
      <w:r w:rsidRPr="00D54922">
        <w:rPr>
          <w:rFonts w:eastAsia="Times New Roman"/>
          <w:lang w:eastAsia="en-US"/>
        </w:rPr>
        <w:t>Both operating and core cash investments may only be held with institutions with a short-term rating of A-2/P-2 or a long-term rating of A-/A3</w:t>
      </w:r>
      <w:r w:rsidRPr="00D54922">
        <w:rPr>
          <w:rFonts w:eastAsia="Times New Roman"/>
          <w:vertAlign w:val="superscript"/>
          <w:lang w:eastAsia="en-US"/>
        </w:rPr>
        <w:footnoteReference w:id="6"/>
      </w:r>
      <w:r w:rsidRPr="00D54922">
        <w:rPr>
          <w:rFonts w:eastAsia="Times New Roman"/>
          <w:lang w:eastAsia="en-US"/>
        </w:rPr>
        <w:t>.  The only exception to this relates to corporate issuances (corporate bonds and commercia</w:t>
      </w:r>
      <w:r w:rsidR="00ED46FA" w:rsidRPr="00D54922">
        <w:rPr>
          <w:rFonts w:eastAsia="Times New Roman"/>
          <w:lang w:eastAsia="en-US"/>
        </w:rPr>
        <w:t>l paper) which may have a short</w:t>
      </w:r>
      <w:r w:rsidR="00ED46FA" w:rsidRPr="00D54922">
        <w:rPr>
          <w:rFonts w:eastAsia="Times New Roman"/>
          <w:lang w:eastAsia="en-US"/>
        </w:rPr>
        <w:noBreakHyphen/>
      </w:r>
      <w:r w:rsidRPr="00D54922">
        <w:rPr>
          <w:rFonts w:eastAsia="Times New Roman"/>
          <w:lang w:eastAsia="en-US"/>
        </w:rPr>
        <w:t xml:space="preserve">term rating of A-3/P-3 or a long-term rating of </w:t>
      </w:r>
      <w:r w:rsidRPr="00D54922">
        <w:rPr>
          <w:rFonts w:eastAsia="Times New Roman"/>
          <w:szCs w:val="22"/>
          <w:lang w:eastAsia="en-US"/>
        </w:rPr>
        <w:t>BBB-/Baa3</w:t>
      </w:r>
      <w:r w:rsidRPr="00D54922">
        <w:rPr>
          <w:rFonts w:eastAsia="Times New Roman"/>
          <w:lang w:eastAsia="en-US"/>
        </w:rPr>
        <w:t>.  Where institutions fall below the credit rating criteria, investments in these institutions will be liquidated at the earliest available opportunity.</w:t>
      </w:r>
    </w:p>
    <w:p w:rsidR="00490611" w:rsidRPr="00D54922" w:rsidRDefault="00490611" w:rsidP="00AA26AC">
      <w:pPr>
        <w:pStyle w:val="ONUME"/>
        <w:numPr>
          <w:ilvl w:val="0"/>
          <w:numId w:val="18"/>
        </w:numPr>
        <w:spacing w:before="120" w:after="240"/>
        <w:ind w:left="0" w:firstLine="0"/>
        <w:rPr>
          <w:rFonts w:eastAsia="Times New Roman"/>
          <w:lang w:eastAsia="en-US"/>
        </w:rPr>
      </w:pPr>
      <w:r w:rsidRPr="00D54922">
        <w:rPr>
          <w:rFonts w:eastAsia="Times New Roman"/>
          <w:lang w:eastAsia="en-US"/>
        </w:rPr>
        <w:t>Investments placed with subsidiaries or affiliates of an institution shall be aggregated when determining the percentage of money held with the institution concerned.  Limits may be temporarily exceeded owing to foreign currency fluctuations, the maturity of large investments, changes in cashflow or downgrading of institutions.  Furthermore in periods of negative interest rates, owing to the limited number of counterparties available, the level of operating cash investments with selected counterparties may rise above the prescribed percentage levels.  Where levels have been exceeded, this will be reported immediately to the Controller and the Treasurer will endeavor to remedy the matter as soon as possible without incurring penalties.  Where the level cannot easily be adjusted (because of associated costs), approval of the situation will be required from the Controller.  Where negative interest rates have to be assumed, details of the reasons for this will be submitted by the Treasurer, via the Finance Director, to the Controller for approval.</w:t>
      </w:r>
    </w:p>
    <w:p w:rsidR="00490611" w:rsidRPr="00D54922" w:rsidRDefault="00490611" w:rsidP="00343D95">
      <w:pPr>
        <w:pStyle w:val="ONUME"/>
        <w:spacing w:before="120" w:after="120"/>
        <w:rPr>
          <w:bCs/>
          <w:szCs w:val="26"/>
          <w:u w:val="single"/>
          <w:lang w:eastAsia="en-US"/>
        </w:rPr>
      </w:pPr>
      <w:r w:rsidRPr="00D54922">
        <w:rPr>
          <w:bCs/>
          <w:szCs w:val="26"/>
          <w:u w:val="single"/>
          <w:lang w:eastAsia="en-US"/>
        </w:rPr>
        <w:t>Currency of investment</w:t>
      </w:r>
    </w:p>
    <w:p w:rsidR="00490611" w:rsidRPr="00D54922" w:rsidRDefault="00490611" w:rsidP="00343D95">
      <w:pPr>
        <w:pStyle w:val="ONUME"/>
        <w:numPr>
          <w:ilvl w:val="0"/>
          <w:numId w:val="18"/>
        </w:numPr>
        <w:spacing w:before="120" w:after="120"/>
        <w:ind w:left="0" w:firstLine="0"/>
        <w:rPr>
          <w:rFonts w:eastAsia="Times New Roman"/>
          <w:lang w:eastAsia="en-US"/>
        </w:rPr>
      </w:pPr>
      <w:r w:rsidRPr="00D54922">
        <w:rPr>
          <w:rFonts w:eastAsia="Times New Roman"/>
          <w:lang w:eastAsia="en-US"/>
        </w:rPr>
        <w:t>The currencies in which investments are placed should give consideration to the currency in which the financial statements are maintained, currently the Swiss franc.</w:t>
      </w:r>
    </w:p>
    <w:p w:rsidR="00490611" w:rsidRPr="00D54922" w:rsidRDefault="00490611" w:rsidP="00AA26AC">
      <w:pPr>
        <w:pStyle w:val="ONUME"/>
        <w:numPr>
          <w:ilvl w:val="0"/>
          <w:numId w:val="18"/>
        </w:numPr>
        <w:spacing w:before="120" w:after="240"/>
        <w:ind w:left="0" w:firstLine="0"/>
        <w:rPr>
          <w:rFonts w:eastAsia="Times New Roman"/>
          <w:lang w:eastAsia="en-US"/>
        </w:rPr>
      </w:pPr>
      <w:r w:rsidRPr="00D54922">
        <w:rPr>
          <w:rFonts w:eastAsia="Times New Roman"/>
          <w:lang w:eastAsia="en-US"/>
        </w:rPr>
        <w:t xml:space="preserve">Where investments are held in currencies other than the Swiss franc, the use of hedging instruments to minimize the risk arising from the fluctuation of the currency of the investment against the Swiss franc and thus avoid total negative investment returns may be authorized by the Controller, after consultation with the ACI.  Investment in derivatives for speculative purposes is not permitted.  </w:t>
      </w:r>
    </w:p>
    <w:p w:rsidR="00490611" w:rsidRPr="00D54922" w:rsidRDefault="00490611" w:rsidP="00343D95">
      <w:pPr>
        <w:pStyle w:val="ONUME"/>
        <w:spacing w:before="120" w:after="120"/>
        <w:rPr>
          <w:bCs/>
          <w:szCs w:val="26"/>
          <w:u w:val="single"/>
          <w:lang w:eastAsia="en-US"/>
        </w:rPr>
      </w:pPr>
      <w:r w:rsidRPr="00D54922">
        <w:rPr>
          <w:bCs/>
          <w:szCs w:val="26"/>
          <w:u w:val="single"/>
          <w:lang w:eastAsia="en-US"/>
        </w:rPr>
        <w:t xml:space="preserve">Credit Limits </w:t>
      </w:r>
    </w:p>
    <w:p w:rsidR="00490611" w:rsidRPr="00D54922" w:rsidRDefault="00490611" w:rsidP="00AA26AC">
      <w:pPr>
        <w:pStyle w:val="ONUME"/>
        <w:numPr>
          <w:ilvl w:val="0"/>
          <w:numId w:val="18"/>
        </w:numPr>
        <w:spacing w:before="120" w:after="240"/>
        <w:ind w:left="0" w:firstLine="0"/>
        <w:rPr>
          <w:rFonts w:eastAsia="Times New Roman"/>
          <w:lang w:eastAsia="en-US"/>
        </w:rPr>
      </w:pPr>
      <w:r w:rsidRPr="00D54922">
        <w:rPr>
          <w:rFonts w:eastAsia="Times New Roman"/>
          <w:lang w:eastAsia="en-US"/>
        </w:rPr>
        <w:t>Total investments in any given entity shall not exceed 5 per cent of the bank’s or company’s equity capital as reported in the most recently published financial statements.  For fixed income securities, a maximum of 5 per cent of the total size of the issue is allowed.</w:t>
      </w:r>
    </w:p>
    <w:p w:rsidR="00490611" w:rsidRPr="00D54922" w:rsidRDefault="00490611" w:rsidP="00343D95">
      <w:pPr>
        <w:pStyle w:val="ONUME"/>
        <w:spacing w:before="120" w:after="120"/>
        <w:rPr>
          <w:bCs/>
          <w:szCs w:val="26"/>
          <w:u w:val="single"/>
          <w:lang w:eastAsia="en-US"/>
        </w:rPr>
      </w:pPr>
      <w:r w:rsidRPr="00D54922">
        <w:rPr>
          <w:bCs/>
          <w:szCs w:val="26"/>
          <w:u w:val="single"/>
          <w:lang w:eastAsia="en-US"/>
        </w:rPr>
        <w:t>Ethical considerations</w:t>
      </w:r>
    </w:p>
    <w:p w:rsidR="00490611" w:rsidRPr="00D54922" w:rsidRDefault="00490611" w:rsidP="00AA26AC">
      <w:pPr>
        <w:pStyle w:val="ONUME"/>
        <w:numPr>
          <w:ilvl w:val="0"/>
          <w:numId w:val="18"/>
        </w:numPr>
        <w:spacing w:before="120" w:after="240"/>
        <w:ind w:left="0" w:firstLine="0"/>
        <w:rPr>
          <w:rFonts w:eastAsia="Times New Roman"/>
          <w:lang w:eastAsia="en-US"/>
        </w:rPr>
      </w:pPr>
      <w:r w:rsidRPr="00D54922">
        <w:rPr>
          <w:rFonts w:eastAsia="Times New Roman"/>
          <w:lang w:eastAsia="en-US"/>
        </w:rPr>
        <w:t>Investments shall take into consideration whether the entity issuing the investment has embraced the United Nations Global Compact’s ten principles in the areas of human rights, labor standards, the environment and anti-corruption (</w:t>
      </w:r>
      <w:hyperlink r:id="rId11" w:history="1">
        <w:r w:rsidRPr="00D54922">
          <w:rPr>
            <w:rFonts w:eastAsia="Times New Roman"/>
            <w:color w:val="0000FF" w:themeColor="hyperlink"/>
            <w:u w:val="single"/>
            <w:lang w:eastAsia="en-US"/>
          </w:rPr>
          <w:t>www.unglobalcompact.org</w:t>
        </w:r>
      </w:hyperlink>
      <w:r w:rsidRPr="00D54922">
        <w:rPr>
          <w:rFonts w:eastAsia="Times New Roman"/>
          <w:lang w:eastAsia="en-US"/>
        </w:rPr>
        <w:t>).</w:t>
      </w:r>
      <w:r w:rsidR="00F10F13" w:rsidRPr="00D54922">
        <w:rPr>
          <w:rFonts w:eastAsia="Times New Roman"/>
          <w:lang w:eastAsia="en-US"/>
        </w:rPr>
        <w:t xml:space="preserve">  All investment activities will </w:t>
      </w:r>
      <w:r w:rsidR="00A41875" w:rsidRPr="00D54922">
        <w:rPr>
          <w:rFonts w:eastAsia="Times New Roman"/>
          <w:lang w:eastAsia="en-US"/>
        </w:rPr>
        <w:t>comply with</w:t>
      </w:r>
      <w:r w:rsidR="00F10F13" w:rsidRPr="00D54922">
        <w:rPr>
          <w:rFonts w:eastAsia="Times New Roman"/>
          <w:lang w:eastAsia="en-US"/>
        </w:rPr>
        <w:t xml:space="preserve"> the principles outlined in WIPO’s Policy on Preventing and Deterring Corruption, Fraud, Collusion, Coercion, Money-Laundering</w:t>
      </w:r>
      <w:r w:rsidR="007743B5" w:rsidRPr="00D54922">
        <w:rPr>
          <w:rFonts w:eastAsia="Times New Roman"/>
          <w:lang w:eastAsia="en-US"/>
        </w:rPr>
        <w:t xml:space="preserve"> and the Financing of Terrorism.</w:t>
      </w:r>
    </w:p>
    <w:p w:rsidR="00490611" w:rsidRPr="00D54922" w:rsidRDefault="00490611" w:rsidP="00343D95">
      <w:pPr>
        <w:pStyle w:val="ONUME"/>
        <w:spacing w:before="120" w:after="120"/>
        <w:rPr>
          <w:bCs/>
          <w:szCs w:val="26"/>
          <w:u w:val="single"/>
          <w:lang w:eastAsia="en-US"/>
        </w:rPr>
      </w:pPr>
      <w:r w:rsidRPr="00D54922">
        <w:rPr>
          <w:bCs/>
          <w:szCs w:val="26"/>
          <w:u w:val="single"/>
          <w:lang w:eastAsia="en-US"/>
        </w:rPr>
        <w:t xml:space="preserve">Borrowings </w:t>
      </w:r>
    </w:p>
    <w:p w:rsidR="00490611" w:rsidRPr="00D54922" w:rsidRDefault="00490611" w:rsidP="00AA26AC">
      <w:pPr>
        <w:pStyle w:val="ONUME"/>
        <w:numPr>
          <w:ilvl w:val="0"/>
          <w:numId w:val="18"/>
        </w:numPr>
        <w:spacing w:before="120" w:after="0"/>
        <w:ind w:left="0" w:firstLine="0"/>
        <w:rPr>
          <w:rFonts w:eastAsia="Times New Roman"/>
          <w:lang w:eastAsia="en-US"/>
        </w:rPr>
      </w:pPr>
      <w:r w:rsidRPr="00D54922">
        <w:rPr>
          <w:rFonts w:eastAsia="Times New Roman"/>
          <w:lang w:eastAsia="en-US"/>
        </w:rPr>
        <w:t>WIPO shall not borrow funds from any institutions in order to leverage investments.  External fund managers shall also not borrow funds from any institutions in order to leverage investments.</w:t>
      </w:r>
    </w:p>
    <w:p w:rsidR="005A6364" w:rsidRPr="00D54922" w:rsidRDefault="005A6364" w:rsidP="00490611">
      <w:pPr>
        <w:rPr>
          <w:rFonts w:eastAsia="Times New Roman"/>
          <w:lang w:eastAsia="en-US"/>
        </w:rPr>
      </w:pPr>
    </w:p>
    <w:p w:rsidR="005A6364" w:rsidRPr="00D54922" w:rsidRDefault="005A6364" w:rsidP="00490611">
      <w:pPr>
        <w:rPr>
          <w:rFonts w:eastAsia="Times New Roman"/>
          <w:lang w:eastAsia="en-US"/>
        </w:rPr>
      </w:pPr>
    </w:p>
    <w:p w:rsidR="00490611" w:rsidRPr="00D54922" w:rsidRDefault="00795641" w:rsidP="00AA26AC">
      <w:pPr>
        <w:keepNext/>
        <w:spacing w:after="240"/>
        <w:outlineLvl w:val="0"/>
        <w:rPr>
          <w:bCs/>
          <w:caps/>
          <w:kern w:val="32"/>
          <w:szCs w:val="32"/>
          <w:lang w:eastAsia="en-US"/>
        </w:rPr>
      </w:pPr>
      <w:r w:rsidRPr="00D54922">
        <w:rPr>
          <w:bCs/>
          <w:caps/>
          <w:kern w:val="32"/>
          <w:szCs w:val="32"/>
          <w:lang w:eastAsia="en-US"/>
        </w:rPr>
        <w:t>D</w:t>
      </w:r>
      <w:r w:rsidR="00873CAC" w:rsidRPr="00D54922">
        <w:rPr>
          <w:bCs/>
          <w:caps/>
          <w:kern w:val="32"/>
          <w:szCs w:val="32"/>
          <w:lang w:eastAsia="en-US"/>
        </w:rPr>
        <w:t>.</w:t>
      </w:r>
      <w:r w:rsidR="00873CAC" w:rsidRPr="00D54922">
        <w:rPr>
          <w:bCs/>
          <w:caps/>
          <w:kern w:val="32"/>
          <w:szCs w:val="32"/>
          <w:lang w:eastAsia="en-US"/>
        </w:rPr>
        <w:tab/>
      </w:r>
      <w:r w:rsidR="00490611" w:rsidRPr="00D54922">
        <w:rPr>
          <w:bCs/>
          <w:caps/>
          <w:kern w:val="32"/>
          <w:szCs w:val="32"/>
          <w:lang w:eastAsia="en-US"/>
        </w:rPr>
        <w:t>Eligible asset classes</w:t>
      </w:r>
    </w:p>
    <w:p w:rsidR="00490611" w:rsidRPr="00D54922" w:rsidRDefault="00490611" w:rsidP="005A6364">
      <w:pPr>
        <w:pStyle w:val="ONUME"/>
        <w:numPr>
          <w:ilvl w:val="0"/>
          <w:numId w:val="18"/>
        </w:numPr>
        <w:spacing w:before="120" w:after="120"/>
        <w:ind w:left="0" w:firstLine="0"/>
        <w:rPr>
          <w:rFonts w:eastAsia="Times New Roman"/>
          <w:lang w:eastAsia="en-US"/>
        </w:rPr>
      </w:pPr>
      <w:r w:rsidRPr="00D54922">
        <w:rPr>
          <w:rFonts w:eastAsia="Times New Roman"/>
          <w:lang w:eastAsia="en-US"/>
        </w:rPr>
        <w:t>Eligible asset classes and their minimum credit rating requirements are outlined in the following table.  Assets in any of these classes may be held in currencies other than the Swiss franc.</w:t>
      </w:r>
    </w:p>
    <w:p w:rsidR="00490611" w:rsidRPr="00D54922" w:rsidRDefault="00490611" w:rsidP="00490611">
      <w:pPr>
        <w:rPr>
          <w:rFonts w:eastAsia="Times New Roman"/>
          <w:lang w:eastAsia="en-US"/>
        </w:rPr>
      </w:pPr>
      <w:r w:rsidRPr="00D54922">
        <w:rPr>
          <w:rFonts w:eastAsia="Times New Roman"/>
          <w:noProof/>
          <w:lang w:eastAsia="en-US"/>
        </w:rPr>
        <w:drawing>
          <wp:inline distT="0" distB="0" distL="0" distR="0" wp14:anchorId="1F2CB82A" wp14:editId="11A1E905">
            <wp:extent cx="5761355" cy="62701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6270108"/>
                    </a:xfrm>
                    <a:prstGeom prst="rect">
                      <a:avLst/>
                    </a:prstGeom>
                    <a:noFill/>
                    <a:ln>
                      <a:noFill/>
                    </a:ln>
                  </pic:spPr>
                </pic:pic>
              </a:graphicData>
            </a:graphic>
          </wp:inline>
        </w:drawing>
      </w:r>
    </w:p>
    <w:p w:rsidR="00490611" w:rsidRPr="00D54922" w:rsidRDefault="00490611" w:rsidP="00490611">
      <w:pPr>
        <w:rPr>
          <w:rFonts w:eastAsia="Times New Roman"/>
          <w:lang w:eastAsia="en-US"/>
        </w:rPr>
      </w:pPr>
    </w:p>
    <w:p w:rsidR="00490611" w:rsidRPr="00D54922" w:rsidRDefault="00490611" w:rsidP="00AF4A90">
      <w:pPr>
        <w:keepNext/>
        <w:keepLines/>
        <w:spacing w:after="240"/>
        <w:rPr>
          <w:rFonts w:eastAsia="Times New Roman"/>
          <w:u w:val="single"/>
          <w:lang w:eastAsia="en-US"/>
        </w:rPr>
      </w:pPr>
      <w:r w:rsidRPr="00D54922">
        <w:rPr>
          <w:rFonts w:eastAsia="Times New Roman"/>
          <w:u w:val="single"/>
          <w:lang w:eastAsia="en-US"/>
        </w:rPr>
        <w:t xml:space="preserve">Investment guidelines for external </w:t>
      </w:r>
      <w:r w:rsidR="00831436" w:rsidRPr="00D54922">
        <w:rPr>
          <w:rFonts w:eastAsia="Times New Roman"/>
          <w:u w:val="single"/>
          <w:lang w:eastAsia="en-US"/>
        </w:rPr>
        <w:t>fund managers</w:t>
      </w:r>
    </w:p>
    <w:p w:rsidR="00490611" w:rsidRPr="00D54922" w:rsidRDefault="00490611" w:rsidP="005A6364">
      <w:pPr>
        <w:pStyle w:val="ONUME"/>
        <w:numPr>
          <w:ilvl w:val="0"/>
          <w:numId w:val="18"/>
        </w:numPr>
        <w:spacing w:before="120" w:after="120"/>
        <w:ind w:left="0" w:firstLine="0"/>
        <w:rPr>
          <w:rFonts w:eastAsia="Times New Roman"/>
          <w:lang w:eastAsia="en-US"/>
        </w:rPr>
      </w:pPr>
      <w:r w:rsidRPr="00D54922">
        <w:rPr>
          <w:rFonts w:eastAsia="Times New Roman"/>
          <w:lang w:eastAsia="en-US"/>
        </w:rPr>
        <w:t xml:space="preserve">External </w:t>
      </w:r>
      <w:r w:rsidR="00831436" w:rsidRPr="00D54922">
        <w:rPr>
          <w:rFonts w:eastAsia="Times New Roman"/>
          <w:lang w:eastAsia="en-US"/>
        </w:rPr>
        <w:t>fund managers</w:t>
      </w:r>
      <w:r w:rsidRPr="00D54922">
        <w:rPr>
          <w:rFonts w:eastAsia="Times New Roman"/>
          <w:lang w:eastAsia="en-US"/>
        </w:rPr>
        <w:t xml:space="preserve"> may invest in any of the asset classes shown above, within the risk constraints specified in the investment guidelines.</w:t>
      </w:r>
    </w:p>
    <w:p w:rsidR="00490611" w:rsidRPr="00D54922" w:rsidRDefault="00490611" w:rsidP="003B5C7C">
      <w:pPr>
        <w:pStyle w:val="ONUME"/>
        <w:numPr>
          <w:ilvl w:val="0"/>
          <w:numId w:val="18"/>
        </w:numPr>
        <w:spacing w:before="120" w:after="120"/>
        <w:ind w:left="0" w:firstLine="0"/>
        <w:rPr>
          <w:rFonts w:eastAsia="Times New Roman"/>
          <w:lang w:eastAsia="en-US"/>
        </w:rPr>
      </w:pPr>
      <w:r w:rsidRPr="00D54922">
        <w:rPr>
          <w:rFonts w:eastAsia="Times New Roman"/>
          <w:lang w:eastAsia="en-US"/>
        </w:rPr>
        <w:t xml:space="preserve">Investment guidelines, as defined by the ACI and approved by the Director General, will be incorporated into each investment management </w:t>
      </w:r>
      <w:r w:rsidR="00F10F13" w:rsidRPr="00D54922">
        <w:rPr>
          <w:rFonts w:eastAsia="Times New Roman"/>
          <w:lang w:eastAsia="en-US"/>
        </w:rPr>
        <w:t>contract</w:t>
      </w:r>
      <w:r w:rsidRPr="00D54922">
        <w:rPr>
          <w:rFonts w:eastAsia="Times New Roman"/>
          <w:lang w:eastAsia="en-US"/>
        </w:rPr>
        <w:t xml:space="preserve"> and will include at least the following components:</w:t>
      </w:r>
    </w:p>
    <w:p w:rsidR="00490611" w:rsidRPr="00D54922" w:rsidRDefault="00490611" w:rsidP="00A379C0">
      <w:pPr>
        <w:pStyle w:val="ONUME"/>
        <w:numPr>
          <w:ilvl w:val="0"/>
          <w:numId w:val="39"/>
        </w:numPr>
        <w:ind w:left="1170" w:hanging="630"/>
        <w:rPr>
          <w:rFonts w:eastAsia="Times New Roman"/>
          <w:lang w:eastAsia="en-US"/>
        </w:rPr>
      </w:pPr>
      <w:r w:rsidRPr="00D54922">
        <w:rPr>
          <w:rFonts w:eastAsia="Times New Roman"/>
          <w:lang w:eastAsia="en-US"/>
        </w:rPr>
        <w:lastRenderedPageBreak/>
        <w:t>Investment objectives, defining expected return and risk;</w:t>
      </w:r>
    </w:p>
    <w:p w:rsidR="00490611" w:rsidRPr="00D54922" w:rsidRDefault="00490611" w:rsidP="00A379C0">
      <w:pPr>
        <w:pStyle w:val="ONUME"/>
        <w:numPr>
          <w:ilvl w:val="0"/>
          <w:numId w:val="39"/>
        </w:numPr>
        <w:ind w:left="1170" w:hanging="630"/>
        <w:rPr>
          <w:rFonts w:eastAsia="Times New Roman"/>
          <w:lang w:eastAsia="en-US"/>
        </w:rPr>
      </w:pPr>
      <w:r w:rsidRPr="00D54922">
        <w:rPr>
          <w:rFonts w:eastAsia="Times New Roman"/>
          <w:lang w:eastAsia="en-US"/>
        </w:rPr>
        <w:t>Portfolio management style, whether active or passive;</w:t>
      </w:r>
    </w:p>
    <w:p w:rsidR="00490611" w:rsidRPr="00D54922" w:rsidRDefault="00490611" w:rsidP="00A379C0">
      <w:pPr>
        <w:pStyle w:val="ONUME"/>
        <w:numPr>
          <w:ilvl w:val="0"/>
          <w:numId w:val="39"/>
        </w:numPr>
        <w:ind w:left="1170" w:hanging="630"/>
        <w:rPr>
          <w:rFonts w:eastAsia="Times New Roman"/>
          <w:lang w:eastAsia="en-US"/>
        </w:rPr>
      </w:pPr>
      <w:r w:rsidRPr="00D54922">
        <w:rPr>
          <w:rFonts w:eastAsia="Times New Roman"/>
          <w:lang w:eastAsia="en-US"/>
        </w:rPr>
        <w:t>Base currency;</w:t>
      </w:r>
    </w:p>
    <w:p w:rsidR="00490611" w:rsidRPr="00D54922" w:rsidRDefault="00490611" w:rsidP="00A379C0">
      <w:pPr>
        <w:pStyle w:val="ONUME"/>
        <w:numPr>
          <w:ilvl w:val="0"/>
          <w:numId w:val="39"/>
        </w:numPr>
        <w:ind w:left="1170" w:hanging="630"/>
        <w:rPr>
          <w:rFonts w:eastAsia="Times New Roman"/>
          <w:lang w:eastAsia="en-US"/>
        </w:rPr>
      </w:pPr>
      <w:r w:rsidRPr="00D54922">
        <w:rPr>
          <w:rFonts w:eastAsia="Times New Roman"/>
          <w:lang w:eastAsia="en-US"/>
        </w:rPr>
        <w:t>Performance benchmark;</w:t>
      </w:r>
    </w:p>
    <w:p w:rsidR="003B5C7C" w:rsidRPr="00D54922" w:rsidRDefault="00490611" w:rsidP="00A379C0">
      <w:pPr>
        <w:pStyle w:val="ONUME"/>
        <w:numPr>
          <w:ilvl w:val="0"/>
          <w:numId w:val="39"/>
        </w:numPr>
        <w:ind w:left="1170" w:hanging="630"/>
        <w:rPr>
          <w:rFonts w:eastAsia="Times New Roman"/>
          <w:lang w:eastAsia="en-US"/>
        </w:rPr>
      </w:pPr>
      <w:r w:rsidRPr="00D54922">
        <w:rPr>
          <w:rFonts w:eastAsia="Times New Roman"/>
          <w:lang w:eastAsia="en-US"/>
        </w:rPr>
        <w:t>Eligible currencies;</w:t>
      </w:r>
    </w:p>
    <w:p w:rsidR="00490611" w:rsidRPr="00D54922" w:rsidRDefault="00490611" w:rsidP="00A379C0">
      <w:pPr>
        <w:pStyle w:val="ONUME"/>
        <w:numPr>
          <w:ilvl w:val="0"/>
          <w:numId w:val="39"/>
        </w:numPr>
        <w:ind w:left="1170" w:hanging="630"/>
        <w:rPr>
          <w:rFonts w:eastAsia="Times New Roman"/>
          <w:lang w:eastAsia="en-US"/>
        </w:rPr>
      </w:pPr>
      <w:r w:rsidRPr="00D54922">
        <w:rPr>
          <w:rFonts w:eastAsia="Times New Roman"/>
          <w:lang w:eastAsia="en-US"/>
        </w:rPr>
        <w:t>Eligible instruments;</w:t>
      </w:r>
    </w:p>
    <w:p w:rsidR="00490611" w:rsidRPr="00D54922" w:rsidRDefault="00490611" w:rsidP="00A379C0">
      <w:pPr>
        <w:pStyle w:val="ONUME"/>
        <w:numPr>
          <w:ilvl w:val="0"/>
          <w:numId w:val="39"/>
        </w:numPr>
        <w:ind w:left="1170" w:hanging="630"/>
        <w:rPr>
          <w:rFonts w:eastAsia="Times New Roman"/>
          <w:lang w:eastAsia="en-US"/>
        </w:rPr>
      </w:pPr>
      <w:r w:rsidRPr="00D54922">
        <w:rPr>
          <w:rFonts w:eastAsia="Times New Roman"/>
          <w:lang w:eastAsia="en-US"/>
        </w:rPr>
        <w:t>Minimum and maximum portfolio duration;</w:t>
      </w:r>
    </w:p>
    <w:p w:rsidR="00490611" w:rsidRPr="00D54922" w:rsidRDefault="00490611" w:rsidP="00A379C0">
      <w:pPr>
        <w:pStyle w:val="ONUME"/>
        <w:numPr>
          <w:ilvl w:val="0"/>
          <w:numId w:val="39"/>
        </w:numPr>
        <w:ind w:left="1170" w:hanging="630"/>
        <w:rPr>
          <w:rFonts w:eastAsia="Times New Roman"/>
          <w:lang w:eastAsia="en-US"/>
        </w:rPr>
      </w:pPr>
      <w:r w:rsidRPr="00D54922">
        <w:rPr>
          <w:rFonts w:eastAsia="Times New Roman"/>
          <w:lang w:eastAsia="en-US"/>
        </w:rPr>
        <w:t>Credit quality;</w:t>
      </w:r>
    </w:p>
    <w:p w:rsidR="00490611" w:rsidRPr="00D54922" w:rsidRDefault="00490611" w:rsidP="00A379C0">
      <w:pPr>
        <w:pStyle w:val="ONUME"/>
        <w:numPr>
          <w:ilvl w:val="0"/>
          <w:numId w:val="39"/>
        </w:numPr>
        <w:ind w:left="1170" w:hanging="630"/>
        <w:rPr>
          <w:rFonts w:eastAsia="Times New Roman"/>
          <w:lang w:eastAsia="en-US"/>
        </w:rPr>
      </w:pPr>
      <w:r w:rsidRPr="00D54922">
        <w:rPr>
          <w:rFonts w:eastAsia="Times New Roman"/>
          <w:lang w:eastAsia="en-US"/>
        </w:rPr>
        <w:t>Diversification requirements.</w:t>
      </w:r>
    </w:p>
    <w:p w:rsidR="00490611" w:rsidRPr="00D54922" w:rsidRDefault="00490611" w:rsidP="003B5C7C">
      <w:pPr>
        <w:pStyle w:val="ONUME"/>
        <w:numPr>
          <w:ilvl w:val="0"/>
          <w:numId w:val="18"/>
        </w:numPr>
        <w:spacing w:after="0"/>
        <w:ind w:left="0" w:firstLine="0"/>
        <w:rPr>
          <w:rFonts w:eastAsia="Times New Roman"/>
          <w:lang w:eastAsia="en-US"/>
        </w:rPr>
      </w:pPr>
      <w:r w:rsidRPr="00D54922">
        <w:rPr>
          <w:rFonts w:eastAsia="Times New Roman"/>
          <w:lang w:eastAsia="en-US"/>
        </w:rPr>
        <w:t>Other aspects, such as risk budgeting, will be considered in the context of the specific external investment management mandate.</w:t>
      </w:r>
    </w:p>
    <w:p w:rsidR="00490611" w:rsidRPr="00D54922" w:rsidRDefault="00490611" w:rsidP="00490611">
      <w:pPr>
        <w:rPr>
          <w:rFonts w:eastAsia="Times New Roman"/>
          <w:lang w:eastAsia="en-US"/>
        </w:rPr>
      </w:pPr>
    </w:p>
    <w:p w:rsidR="003B5C7C" w:rsidRPr="00D54922" w:rsidRDefault="003B5C7C" w:rsidP="00490611">
      <w:pPr>
        <w:rPr>
          <w:rFonts w:eastAsia="Times New Roman"/>
          <w:lang w:eastAsia="en-US"/>
        </w:rPr>
      </w:pPr>
    </w:p>
    <w:p w:rsidR="00490611" w:rsidRPr="00D54922" w:rsidRDefault="00795641" w:rsidP="00490611">
      <w:pPr>
        <w:keepNext/>
        <w:outlineLvl w:val="0"/>
        <w:rPr>
          <w:bCs/>
          <w:caps/>
          <w:kern w:val="32"/>
          <w:szCs w:val="32"/>
          <w:lang w:eastAsia="en-US"/>
        </w:rPr>
      </w:pPr>
      <w:r w:rsidRPr="00D54922">
        <w:rPr>
          <w:bCs/>
          <w:caps/>
          <w:kern w:val="32"/>
          <w:szCs w:val="32"/>
          <w:lang w:eastAsia="en-US"/>
        </w:rPr>
        <w:t>E</w:t>
      </w:r>
      <w:r w:rsidR="00873CAC" w:rsidRPr="00D54922">
        <w:rPr>
          <w:bCs/>
          <w:caps/>
          <w:kern w:val="32"/>
          <w:szCs w:val="32"/>
          <w:lang w:eastAsia="en-US"/>
        </w:rPr>
        <w:t>.</w:t>
      </w:r>
      <w:r w:rsidR="00873CAC" w:rsidRPr="00D54922">
        <w:rPr>
          <w:bCs/>
          <w:caps/>
          <w:kern w:val="32"/>
          <w:szCs w:val="32"/>
          <w:lang w:eastAsia="en-US"/>
        </w:rPr>
        <w:tab/>
      </w:r>
      <w:r w:rsidR="00490611" w:rsidRPr="00D54922">
        <w:rPr>
          <w:bCs/>
          <w:caps/>
          <w:kern w:val="32"/>
          <w:szCs w:val="32"/>
          <w:lang w:eastAsia="en-US"/>
        </w:rPr>
        <w:t>privileges and immunities of the organization</w:t>
      </w:r>
    </w:p>
    <w:p w:rsidR="00490611" w:rsidRPr="00D54922" w:rsidRDefault="00490611" w:rsidP="00490611">
      <w:pPr>
        <w:rPr>
          <w:rFonts w:eastAsia="Times New Roman"/>
          <w:lang w:eastAsia="en-US"/>
        </w:rPr>
      </w:pPr>
    </w:p>
    <w:p w:rsidR="00490611" w:rsidRPr="00D54922" w:rsidRDefault="00490611" w:rsidP="003B5C7C">
      <w:pPr>
        <w:pStyle w:val="ONUME"/>
        <w:numPr>
          <w:ilvl w:val="0"/>
          <w:numId w:val="18"/>
        </w:numPr>
        <w:spacing w:after="0"/>
        <w:ind w:left="0" w:firstLine="0"/>
        <w:rPr>
          <w:rFonts w:eastAsia="Times New Roman"/>
          <w:lang w:eastAsia="en-US"/>
        </w:rPr>
      </w:pPr>
      <w:r w:rsidRPr="00D54922">
        <w:rPr>
          <w:rFonts w:eastAsia="Times New Roman"/>
          <w:lang w:eastAsia="en-US"/>
        </w:rPr>
        <w:t>Whenever new investment business is initiated with a counterparty, the Organization will indicate that the i</w:t>
      </w:r>
      <w:r w:rsidR="00F10F13" w:rsidRPr="00D54922">
        <w:rPr>
          <w:rFonts w:eastAsia="Times New Roman"/>
          <w:lang w:eastAsia="en-US"/>
        </w:rPr>
        <w:t>nvestment is placed subject to its</w:t>
      </w:r>
      <w:r w:rsidRPr="00D54922">
        <w:rPr>
          <w:rFonts w:eastAsia="Times New Roman"/>
          <w:lang w:eastAsia="en-US"/>
        </w:rPr>
        <w:t xml:space="preserve"> Privileges and Immunities.  The counterparties should agree not to withhold taxes nor to attach the account/assets for legal claims.</w:t>
      </w:r>
    </w:p>
    <w:p w:rsidR="00490611" w:rsidRDefault="00490611" w:rsidP="00490611">
      <w:pPr>
        <w:rPr>
          <w:rFonts w:eastAsia="Times New Roman"/>
          <w:lang w:eastAsia="en-US"/>
        </w:rPr>
      </w:pPr>
    </w:p>
    <w:p w:rsidR="003B5C7C" w:rsidRPr="008F7615" w:rsidRDefault="003B5C7C" w:rsidP="00490611">
      <w:pPr>
        <w:rPr>
          <w:rFonts w:eastAsia="Times New Roman"/>
          <w:lang w:eastAsia="en-US"/>
        </w:rPr>
      </w:pPr>
    </w:p>
    <w:p w:rsidR="00490611" w:rsidRPr="00831436" w:rsidRDefault="00795641" w:rsidP="00AF4A90">
      <w:pPr>
        <w:keepNext/>
        <w:spacing w:after="240"/>
        <w:outlineLvl w:val="0"/>
        <w:rPr>
          <w:bCs/>
          <w:caps/>
          <w:kern w:val="32"/>
          <w:szCs w:val="32"/>
          <w:lang w:eastAsia="en-US"/>
        </w:rPr>
      </w:pPr>
      <w:r>
        <w:rPr>
          <w:bCs/>
          <w:caps/>
          <w:kern w:val="32"/>
          <w:szCs w:val="32"/>
          <w:lang w:eastAsia="en-US"/>
        </w:rPr>
        <w:t>F</w:t>
      </w:r>
      <w:r w:rsidR="00873CAC">
        <w:rPr>
          <w:bCs/>
          <w:caps/>
          <w:kern w:val="32"/>
          <w:szCs w:val="32"/>
          <w:lang w:eastAsia="en-US"/>
        </w:rPr>
        <w:t>.</w:t>
      </w:r>
      <w:r w:rsidR="00873CAC">
        <w:rPr>
          <w:bCs/>
          <w:caps/>
          <w:kern w:val="32"/>
          <w:szCs w:val="32"/>
          <w:lang w:eastAsia="en-US"/>
        </w:rPr>
        <w:tab/>
      </w:r>
      <w:r w:rsidR="00490611" w:rsidRPr="00831436">
        <w:rPr>
          <w:bCs/>
          <w:caps/>
          <w:kern w:val="32"/>
          <w:szCs w:val="32"/>
          <w:lang w:eastAsia="en-US"/>
        </w:rPr>
        <w:t>performance measurement</w:t>
      </w:r>
    </w:p>
    <w:p w:rsidR="00490611" w:rsidRPr="008F7615" w:rsidRDefault="00490611" w:rsidP="00AF4A90">
      <w:pPr>
        <w:spacing w:after="240"/>
        <w:rPr>
          <w:rFonts w:eastAsia="Times New Roman"/>
          <w:u w:val="single"/>
          <w:lang w:eastAsia="en-US"/>
        </w:rPr>
      </w:pPr>
      <w:r w:rsidRPr="008F7615">
        <w:rPr>
          <w:rFonts w:eastAsia="Times New Roman"/>
          <w:u w:val="single"/>
          <w:lang w:eastAsia="en-US"/>
        </w:rPr>
        <w:t>Benchmarks</w:t>
      </w:r>
    </w:p>
    <w:p w:rsidR="00490611" w:rsidRPr="008F7615" w:rsidRDefault="00490611" w:rsidP="003B5C7C">
      <w:pPr>
        <w:pStyle w:val="ONUME"/>
        <w:numPr>
          <w:ilvl w:val="0"/>
          <w:numId w:val="18"/>
        </w:numPr>
        <w:spacing w:after="0"/>
        <w:ind w:left="0" w:firstLine="0"/>
        <w:rPr>
          <w:rFonts w:eastAsia="Times New Roman"/>
          <w:lang w:eastAsia="en-US"/>
        </w:rPr>
      </w:pPr>
      <w:r w:rsidRPr="008F7615">
        <w:rPr>
          <w:rFonts w:eastAsia="Times New Roman"/>
          <w:lang w:eastAsia="en-US"/>
        </w:rPr>
        <w:t>Operating cash will be managed internally by reference to the 3-month Swiss Libor rate for Swiss francs, the 3-month Euribor rate for euro and the 3-month T-bill rate for United States dollars or by reference to the benchmark which is the most applicable to the respective investment instrument in the relevant market.</w:t>
      </w:r>
    </w:p>
    <w:p w:rsidR="00490611" w:rsidRPr="008F7615" w:rsidRDefault="00490611" w:rsidP="00490611">
      <w:pPr>
        <w:rPr>
          <w:rFonts w:eastAsia="Times New Roman"/>
          <w:lang w:eastAsia="en-US"/>
        </w:rPr>
      </w:pPr>
    </w:p>
    <w:p w:rsidR="00490611" w:rsidRDefault="00490611" w:rsidP="00AF4A90">
      <w:pPr>
        <w:pStyle w:val="ONUME"/>
        <w:numPr>
          <w:ilvl w:val="0"/>
          <w:numId w:val="18"/>
        </w:numPr>
        <w:spacing w:after="240"/>
        <w:ind w:left="0" w:firstLine="0"/>
        <w:rPr>
          <w:rFonts w:eastAsia="Times New Roman"/>
          <w:lang w:eastAsia="en-US"/>
        </w:rPr>
      </w:pPr>
      <w:r w:rsidRPr="008F7615">
        <w:rPr>
          <w:rFonts w:eastAsia="Times New Roman"/>
          <w:lang w:eastAsia="en-US"/>
        </w:rPr>
        <w:t xml:space="preserve">Core cash will be managed by external </w:t>
      </w:r>
      <w:r w:rsidR="00831436">
        <w:rPr>
          <w:rFonts w:eastAsia="Times New Roman"/>
          <w:lang w:eastAsia="en-US"/>
        </w:rPr>
        <w:t>fund managers</w:t>
      </w:r>
      <w:r w:rsidRPr="008F7615">
        <w:rPr>
          <w:rFonts w:eastAsia="Times New Roman"/>
          <w:lang w:eastAsia="en-US"/>
        </w:rPr>
        <w:t xml:space="preserve">.  Each investment portfolio will have a performance benchmark specified within its investment guidelines.  Such benchmarks must meet the following criteria: (i) unambiguous, transparent and simple;  (ii) investable and replicable;  (iii)  measurable and stable;  (iv) appropriate </w:t>
      </w:r>
      <w:r w:rsidR="00ED46FA">
        <w:rPr>
          <w:rFonts w:eastAsia="Times New Roman"/>
          <w:lang w:eastAsia="en-US"/>
        </w:rPr>
        <w:t>to the investment purpose;  (v) </w:t>
      </w:r>
      <w:r w:rsidRPr="008F7615">
        <w:rPr>
          <w:rFonts w:eastAsia="Times New Roman"/>
          <w:lang w:eastAsia="en-US"/>
        </w:rPr>
        <w:t>reflective of current investment opinions;  and (vi)  specified in advance.</w:t>
      </w:r>
    </w:p>
    <w:p w:rsidR="00AF4A90" w:rsidRDefault="00490611" w:rsidP="00AF4A90">
      <w:pPr>
        <w:spacing w:after="240"/>
        <w:rPr>
          <w:rFonts w:eastAsia="Times New Roman"/>
          <w:u w:val="single"/>
          <w:lang w:eastAsia="en-US"/>
        </w:rPr>
      </w:pPr>
      <w:r w:rsidRPr="008F7615">
        <w:rPr>
          <w:rFonts w:eastAsia="Times New Roman"/>
          <w:u w:val="single"/>
          <w:lang w:eastAsia="en-US"/>
        </w:rPr>
        <w:t>Performance measurement and reporting</w:t>
      </w:r>
    </w:p>
    <w:p w:rsidR="00490611" w:rsidRPr="008F7615" w:rsidRDefault="00490611" w:rsidP="00422965">
      <w:pPr>
        <w:pStyle w:val="ONUME"/>
        <w:numPr>
          <w:ilvl w:val="0"/>
          <w:numId w:val="18"/>
        </w:numPr>
        <w:spacing w:after="240"/>
        <w:ind w:left="0" w:firstLine="0"/>
        <w:rPr>
          <w:rFonts w:eastAsia="Times New Roman"/>
          <w:lang w:eastAsia="en-US"/>
        </w:rPr>
      </w:pPr>
      <w:r w:rsidRPr="008F7615">
        <w:rPr>
          <w:rFonts w:eastAsia="Times New Roman"/>
          <w:lang w:eastAsia="en-US"/>
        </w:rPr>
        <w:t xml:space="preserve">For core cash, the custodian will report the performance of externally managed portfolios on a monthly basis and ensure that </w:t>
      </w:r>
      <w:r w:rsidR="0005643A">
        <w:rPr>
          <w:rFonts w:eastAsia="Times New Roman"/>
          <w:lang w:eastAsia="en-US"/>
        </w:rPr>
        <w:t xml:space="preserve">external fund </w:t>
      </w:r>
      <w:r w:rsidRPr="008F7615">
        <w:rPr>
          <w:rFonts w:eastAsia="Times New Roman"/>
          <w:lang w:eastAsia="en-US"/>
        </w:rPr>
        <w:t xml:space="preserve">managers have adhered to their investment guidelines.  Performance of both internally and externally managed cash will be calculated in Swiss francs i.e. by stripping out the effect of fluctuations of the currencies in which the monies are invested.  </w:t>
      </w:r>
    </w:p>
    <w:p w:rsidR="00490611" w:rsidRPr="008F7615" w:rsidRDefault="00490611" w:rsidP="003B5C7C">
      <w:pPr>
        <w:pStyle w:val="ONUME"/>
        <w:numPr>
          <w:ilvl w:val="0"/>
          <w:numId w:val="18"/>
        </w:numPr>
        <w:spacing w:after="0"/>
        <w:ind w:left="0" w:firstLine="0"/>
        <w:rPr>
          <w:rFonts w:eastAsia="Times New Roman"/>
          <w:lang w:eastAsia="en-US"/>
        </w:rPr>
      </w:pPr>
      <w:r w:rsidRPr="008F7615">
        <w:rPr>
          <w:rFonts w:eastAsia="Times New Roman"/>
          <w:lang w:eastAsia="en-US"/>
        </w:rPr>
        <w:t xml:space="preserve">The performance of operating cash will be compared with the appropriate benchmarks.  The performance of external </w:t>
      </w:r>
      <w:r w:rsidR="00831436">
        <w:rPr>
          <w:rFonts w:eastAsia="Times New Roman"/>
          <w:lang w:eastAsia="en-US"/>
        </w:rPr>
        <w:t>fund managers</w:t>
      </w:r>
      <w:r w:rsidRPr="008F7615">
        <w:rPr>
          <w:rFonts w:eastAsia="Times New Roman"/>
          <w:lang w:eastAsia="en-US"/>
        </w:rPr>
        <w:t xml:space="preserve"> will be measured relative to the benchmark and any additional indicators, as specified in the investment guidelines. </w:t>
      </w:r>
    </w:p>
    <w:p w:rsidR="00490611" w:rsidRPr="008F7615" w:rsidRDefault="00490611" w:rsidP="00490611">
      <w:pPr>
        <w:rPr>
          <w:rFonts w:eastAsia="Times New Roman"/>
          <w:lang w:eastAsia="en-US"/>
        </w:rPr>
      </w:pPr>
    </w:p>
    <w:p w:rsidR="00490611" w:rsidRPr="008F7615" w:rsidRDefault="00490611" w:rsidP="003B5C7C">
      <w:pPr>
        <w:pStyle w:val="ONUME"/>
        <w:numPr>
          <w:ilvl w:val="0"/>
          <w:numId w:val="18"/>
        </w:numPr>
        <w:spacing w:after="0"/>
        <w:ind w:left="0" w:firstLine="0"/>
        <w:rPr>
          <w:rFonts w:eastAsia="Times New Roman"/>
          <w:lang w:eastAsia="en-US"/>
        </w:rPr>
      </w:pPr>
      <w:r w:rsidRPr="008F7615">
        <w:rPr>
          <w:rFonts w:eastAsia="Times New Roman"/>
          <w:lang w:eastAsia="en-US"/>
        </w:rPr>
        <w:t xml:space="preserve">The overall portfolio and benchmark performance in Swiss francs will be reported to the ACI on a quarterly basis.  The report will include comparative performance figures for the previous quarters and previous year.  Should one or more </w:t>
      </w:r>
      <w:r w:rsidR="0005643A">
        <w:rPr>
          <w:rFonts w:eastAsia="Times New Roman"/>
          <w:lang w:eastAsia="en-US"/>
        </w:rPr>
        <w:t xml:space="preserve">external fund </w:t>
      </w:r>
      <w:r w:rsidRPr="008F7615">
        <w:rPr>
          <w:rFonts w:eastAsia="Times New Roman"/>
          <w:lang w:eastAsia="en-US"/>
        </w:rPr>
        <w:t>managers show a significantly poor performance for a period of three or more months, or should a sudden change in a</w:t>
      </w:r>
      <w:r w:rsidR="001E451E">
        <w:rPr>
          <w:rFonts w:eastAsia="Times New Roman"/>
          <w:lang w:eastAsia="en-US"/>
        </w:rPr>
        <w:t>n</w:t>
      </w:r>
      <w:r w:rsidRPr="008F7615">
        <w:rPr>
          <w:rFonts w:eastAsia="Times New Roman"/>
          <w:lang w:eastAsia="en-US"/>
        </w:rPr>
        <w:t xml:space="preserve"> </w:t>
      </w:r>
      <w:r w:rsidR="0005643A">
        <w:rPr>
          <w:rFonts w:eastAsia="Times New Roman"/>
          <w:lang w:eastAsia="en-US"/>
        </w:rPr>
        <w:t xml:space="preserve">external fund </w:t>
      </w:r>
      <w:r w:rsidRPr="008F7615">
        <w:rPr>
          <w:rFonts w:eastAsia="Times New Roman"/>
          <w:lang w:eastAsia="en-US"/>
        </w:rPr>
        <w:t xml:space="preserve">manager’s performance trend be observed in a specific month, the </w:t>
      </w:r>
      <w:r w:rsidR="0005643A">
        <w:rPr>
          <w:rFonts w:eastAsia="Times New Roman"/>
          <w:lang w:eastAsia="en-US"/>
        </w:rPr>
        <w:t xml:space="preserve">external fund </w:t>
      </w:r>
      <w:r w:rsidRPr="008F7615">
        <w:rPr>
          <w:rFonts w:eastAsia="Times New Roman"/>
          <w:lang w:eastAsia="en-US"/>
        </w:rPr>
        <w:t xml:space="preserve">manager will be contacted and a written explanation of the performance trend will be required.  If the underperformance persists, the ACI will take the necessary measures to ensure that a strategy and corrective action for the underperforming </w:t>
      </w:r>
      <w:r w:rsidR="0005643A">
        <w:rPr>
          <w:rFonts w:eastAsia="Times New Roman"/>
          <w:lang w:eastAsia="en-US"/>
        </w:rPr>
        <w:t xml:space="preserve">external fund </w:t>
      </w:r>
      <w:r w:rsidRPr="008F7615">
        <w:rPr>
          <w:rFonts w:eastAsia="Times New Roman"/>
          <w:lang w:eastAsia="en-US"/>
        </w:rPr>
        <w:t>manager are put in place.</w:t>
      </w:r>
    </w:p>
    <w:p w:rsidR="00490611" w:rsidRPr="008F7615" w:rsidRDefault="00490611" w:rsidP="00490611">
      <w:pPr>
        <w:rPr>
          <w:rFonts w:eastAsia="Times New Roman"/>
          <w:lang w:eastAsia="en-US"/>
        </w:rPr>
      </w:pPr>
    </w:p>
    <w:p w:rsidR="00490611" w:rsidRPr="008F7615" w:rsidRDefault="00490611" w:rsidP="003B5C7C">
      <w:pPr>
        <w:pStyle w:val="ONUME"/>
        <w:numPr>
          <w:ilvl w:val="0"/>
          <w:numId w:val="18"/>
        </w:numPr>
        <w:spacing w:after="0"/>
        <w:ind w:left="0" w:firstLine="0"/>
        <w:rPr>
          <w:rFonts w:eastAsia="Times New Roman"/>
          <w:lang w:eastAsia="en-US"/>
        </w:rPr>
      </w:pPr>
      <w:r w:rsidRPr="008F7615">
        <w:rPr>
          <w:rFonts w:eastAsia="Times New Roman"/>
          <w:lang w:eastAsia="en-US"/>
        </w:rPr>
        <w:t>The annual financial statements will disclose details of all investments in accordance with International Public Sector Accounting Standards (IPSAS) and investments will accordingly be subject to audit.  In addition, Financial Regulation 6.6 stipulates that the financial management report (FMR) prepared for each financial period will include a report on investments.</w:t>
      </w:r>
    </w:p>
    <w:p w:rsidR="00490611" w:rsidRPr="008F7615" w:rsidRDefault="00490611" w:rsidP="003B5C7C">
      <w:pPr>
        <w:pStyle w:val="ONUME"/>
        <w:numPr>
          <w:ilvl w:val="0"/>
          <w:numId w:val="18"/>
        </w:numPr>
        <w:spacing w:after="0"/>
        <w:ind w:left="0" w:firstLine="0"/>
        <w:rPr>
          <w:rFonts w:eastAsia="Times New Roman"/>
          <w:lang w:eastAsia="en-US"/>
        </w:rPr>
        <w:sectPr w:rsidR="00490611" w:rsidRPr="008F7615" w:rsidSect="00294DB7">
          <w:headerReference w:type="default" r:id="rId13"/>
          <w:headerReference w:type="first" r:id="rId14"/>
          <w:pgSz w:w="11907" w:h="16840" w:code="9"/>
          <w:pgMar w:top="1411" w:right="1411" w:bottom="1411" w:left="1411" w:header="706" w:footer="706" w:gutter="0"/>
          <w:pgNumType w:start="1"/>
          <w:cols w:space="720"/>
          <w:titlePg/>
          <w:docGrid w:linePitch="299"/>
        </w:sectPr>
      </w:pPr>
    </w:p>
    <w:p w:rsidR="00490611" w:rsidRPr="00C11A99" w:rsidRDefault="00490611" w:rsidP="00490611">
      <w:pPr>
        <w:rPr>
          <w:rFonts w:eastAsia="Times New Roman"/>
          <w:b/>
          <w:sz w:val="21"/>
          <w:szCs w:val="21"/>
          <w:lang w:eastAsia="en-US"/>
        </w:rPr>
      </w:pPr>
      <w:r w:rsidRPr="00C11A99">
        <w:rPr>
          <w:rFonts w:eastAsia="Times New Roman"/>
          <w:b/>
          <w:sz w:val="21"/>
          <w:szCs w:val="21"/>
          <w:lang w:eastAsia="en-US"/>
        </w:rPr>
        <w:lastRenderedPageBreak/>
        <w:t>CREDIT LIMITS</w:t>
      </w:r>
    </w:p>
    <w:p w:rsidR="00490611" w:rsidRPr="00C11A99" w:rsidRDefault="00490611" w:rsidP="00490611">
      <w:pPr>
        <w:rPr>
          <w:rFonts w:eastAsia="Times New Roman"/>
          <w:sz w:val="18"/>
          <w:szCs w:val="18"/>
          <w:lang w:eastAsia="en-US"/>
        </w:rPr>
      </w:pPr>
    </w:p>
    <w:p w:rsidR="00490611" w:rsidRPr="008F7615" w:rsidRDefault="00490611" w:rsidP="00490611">
      <w:pPr>
        <w:rPr>
          <w:rFonts w:eastAsia="Times New Roman"/>
          <w:lang w:eastAsia="en-US"/>
        </w:rPr>
      </w:pPr>
      <w:r w:rsidRPr="00C11A99">
        <w:rPr>
          <w:rFonts w:eastAsia="Times New Roman"/>
          <w:sz w:val="21"/>
          <w:szCs w:val="21"/>
          <w:lang w:eastAsia="en-US"/>
        </w:rPr>
        <w:t>To ensure credit quality and consistency of credit evaluation, the Organization relies on approved credit rating agencies to determine creditworthiness.  As of 2015, the approved agencies are Moody’s, Standard and Poor’s and Fitch IBCA</w:t>
      </w:r>
      <w:r w:rsidRPr="008F7615">
        <w:rPr>
          <w:rFonts w:eastAsia="Times New Roman"/>
          <w:lang w:eastAsia="en-US"/>
        </w:rPr>
        <w:t>.</w:t>
      </w:r>
    </w:p>
    <w:p w:rsidR="00490611" w:rsidRPr="008F7615" w:rsidRDefault="00490611" w:rsidP="00490611">
      <w:pPr>
        <w:rPr>
          <w:rFonts w:eastAsia="Times New Roman"/>
          <w:sz w:val="18"/>
          <w:szCs w:val="18"/>
          <w:lang w:eastAsia="en-US"/>
        </w:rPr>
      </w:pPr>
    </w:p>
    <w:tbl>
      <w:tblPr>
        <w:tblW w:w="12125" w:type="dxa"/>
        <w:jc w:val="center"/>
        <w:tblCellSpacing w:w="15" w:type="dxa"/>
        <w:tblInd w:w="-1435" w:type="dxa"/>
        <w:tblCellMar>
          <w:left w:w="0" w:type="dxa"/>
          <w:right w:w="0" w:type="dxa"/>
        </w:tblCellMar>
        <w:tblLook w:val="0000" w:firstRow="0" w:lastRow="0" w:firstColumn="0" w:lastColumn="0" w:noHBand="0" w:noVBand="0"/>
      </w:tblPr>
      <w:tblGrid>
        <w:gridCol w:w="1503"/>
        <w:gridCol w:w="1536"/>
        <w:gridCol w:w="1552"/>
        <w:gridCol w:w="1602"/>
        <w:gridCol w:w="1488"/>
        <w:gridCol w:w="1536"/>
        <w:gridCol w:w="2908"/>
      </w:tblGrid>
      <w:tr w:rsidR="00490611" w:rsidRPr="008F7615" w:rsidTr="00C11A99">
        <w:trPr>
          <w:trHeight w:val="217"/>
          <w:tblCellSpacing w:w="15" w:type="dxa"/>
          <w:jc w:val="center"/>
        </w:trPr>
        <w:tc>
          <w:tcPr>
            <w:tcW w:w="0" w:type="auto"/>
            <w:gridSpan w:val="2"/>
            <w:shd w:val="clear" w:color="auto" w:fill="FF7C80"/>
            <w:tcMar>
              <w:top w:w="15" w:type="dxa"/>
              <w:left w:w="15" w:type="dxa"/>
              <w:bottom w:w="15" w:type="dxa"/>
              <w:right w:w="15" w:type="dxa"/>
            </w:tcMar>
            <w:vAlign w:val="center"/>
          </w:tcPr>
          <w:p w:rsidR="00490611" w:rsidRPr="008F7615" w:rsidRDefault="00490611" w:rsidP="0091787F">
            <w:pPr>
              <w:jc w:val="center"/>
              <w:rPr>
                <w:b/>
                <w:bCs/>
              </w:rPr>
            </w:pPr>
            <w:r w:rsidRPr="008F7615">
              <w:rPr>
                <w:b/>
                <w:bCs/>
              </w:rPr>
              <w:t>MOODY’S</w:t>
            </w:r>
          </w:p>
        </w:tc>
        <w:tc>
          <w:tcPr>
            <w:tcW w:w="0" w:type="auto"/>
            <w:gridSpan w:val="2"/>
            <w:tcMar>
              <w:top w:w="15" w:type="dxa"/>
              <w:left w:w="15" w:type="dxa"/>
              <w:bottom w:w="15" w:type="dxa"/>
              <w:right w:w="15" w:type="dxa"/>
            </w:tcMar>
            <w:vAlign w:val="center"/>
          </w:tcPr>
          <w:p w:rsidR="00490611" w:rsidRPr="008F7615" w:rsidRDefault="00490611" w:rsidP="0091787F">
            <w:pPr>
              <w:jc w:val="center"/>
              <w:rPr>
                <w:b/>
                <w:bCs/>
              </w:rPr>
            </w:pPr>
            <w:r w:rsidRPr="008F7615">
              <w:rPr>
                <w:b/>
                <w:bCs/>
              </w:rPr>
              <w:t>STANDARD &amp; POOR’S</w:t>
            </w:r>
          </w:p>
        </w:tc>
        <w:tc>
          <w:tcPr>
            <w:tcW w:w="0" w:type="auto"/>
            <w:gridSpan w:val="2"/>
            <w:shd w:val="clear" w:color="auto" w:fill="0099FF"/>
            <w:tcMar>
              <w:top w:w="15" w:type="dxa"/>
              <w:left w:w="15" w:type="dxa"/>
              <w:bottom w:w="15" w:type="dxa"/>
              <w:right w:w="15" w:type="dxa"/>
            </w:tcMar>
            <w:vAlign w:val="center"/>
          </w:tcPr>
          <w:p w:rsidR="00490611" w:rsidRPr="008F7615" w:rsidRDefault="00490611" w:rsidP="0091787F">
            <w:pPr>
              <w:jc w:val="center"/>
              <w:rPr>
                <w:b/>
                <w:bCs/>
              </w:rPr>
            </w:pPr>
            <w:r w:rsidRPr="008F7615">
              <w:rPr>
                <w:b/>
                <w:bCs/>
              </w:rPr>
              <w:t>FITCH</w:t>
            </w:r>
          </w:p>
        </w:tc>
        <w:tc>
          <w:tcPr>
            <w:tcW w:w="0" w:type="auto"/>
            <w:tcMar>
              <w:top w:w="15" w:type="dxa"/>
              <w:left w:w="15" w:type="dxa"/>
              <w:bottom w:w="15" w:type="dxa"/>
              <w:right w:w="15" w:type="dxa"/>
            </w:tcMar>
            <w:vAlign w:val="center"/>
          </w:tcPr>
          <w:p w:rsidR="00490611" w:rsidRPr="008F7615" w:rsidRDefault="00490611" w:rsidP="0091787F">
            <w:pPr>
              <w:jc w:val="center"/>
              <w:rPr>
                <w:b/>
                <w:bCs/>
              </w:rPr>
            </w:pPr>
            <w:r w:rsidRPr="008F7615">
              <w:rPr>
                <w:b/>
                <w:bCs/>
              </w:rPr>
              <w:t> </w:t>
            </w:r>
          </w:p>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rPr>
                <w:b/>
                <w:bCs/>
              </w:rPr>
            </w:pPr>
            <w:r w:rsidRPr="008F7615">
              <w:rPr>
                <w:b/>
                <w:bCs/>
              </w:rPr>
              <w:t>Long-term</w:t>
            </w:r>
          </w:p>
        </w:tc>
        <w:tc>
          <w:tcPr>
            <w:tcW w:w="0" w:type="auto"/>
            <w:shd w:val="clear" w:color="auto" w:fill="FFC0CB"/>
            <w:tcMar>
              <w:top w:w="15" w:type="dxa"/>
              <w:left w:w="15" w:type="dxa"/>
              <w:bottom w:w="15" w:type="dxa"/>
              <w:right w:w="15" w:type="dxa"/>
            </w:tcMar>
            <w:vAlign w:val="center"/>
          </w:tcPr>
          <w:p w:rsidR="00490611" w:rsidRPr="008F7615" w:rsidRDefault="00490611" w:rsidP="0091787F">
            <w:pPr>
              <w:jc w:val="center"/>
              <w:rPr>
                <w:b/>
                <w:bCs/>
              </w:rPr>
            </w:pPr>
            <w:r w:rsidRPr="008F7615">
              <w:rPr>
                <w:b/>
                <w:bCs/>
              </w:rPr>
              <w:t>Short-term</w:t>
            </w:r>
          </w:p>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rPr>
                <w:b/>
                <w:bCs/>
              </w:rPr>
            </w:pPr>
            <w:r w:rsidRPr="008F7615">
              <w:rPr>
                <w:b/>
                <w:bCs/>
              </w:rPr>
              <w:t>Long-term</w:t>
            </w:r>
          </w:p>
        </w:tc>
        <w:tc>
          <w:tcPr>
            <w:tcW w:w="0" w:type="auto"/>
            <w:shd w:val="clear" w:color="auto" w:fill="F0E68C"/>
            <w:tcMar>
              <w:top w:w="15" w:type="dxa"/>
              <w:left w:w="15" w:type="dxa"/>
              <w:bottom w:w="15" w:type="dxa"/>
              <w:right w:w="15" w:type="dxa"/>
            </w:tcMar>
            <w:vAlign w:val="center"/>
          </w:tcPr>
          <w:p w:rsidR="00490611" w:rsidRPr="008F7615" w:rsidRDefault="00490611" w:rsidP="0091787F">
            <w:pPr>
              <w:jc w:val="center"/>
              <w:rPr>
                <w:b/>
                <w:bCs/>
              </w:rPr>
            </w:pPr>
            <w:r w:rsidRPr="008F7615">
              <w:rPr>
                <w:b/>
                <w:bCs/>
              </w:rPr>
              <w:t>Short-term</w:t>
            </w:r>
          </w:p>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rPr>
                <w:b/>
                <w:bCs/>
              </w:rPr>
            </w:pPr>
            <w:r w:rsidRPr="008F7615">
              <w:rPr>
                <w:b/>
                <w:bCs/>
              </w:rPr>
              <w:t>Long-term</w:t>
            </w:r>
          </w:p>
        </w:tc>
        <w:tc>
          <w:tcPr>
            <w:tcW w:w="0" w:type="auto"/>
            <w:shd w:val="clear" w:color="auto" w:fill="AFEEEE"/>
            <w:tcMar>
              <w:top w:w="15" w:type="dxa"/>
              <w:left w:w="15" w:type="dxa"/>
              <w:bottom w:w="15" w:type="dxa"/>
              <w:right w:w="15" w:type="dxa"/>
            </w:tcMar>
            <w:vAlign w:val="center"/>
          </w:tcPr>
          <w:p w:rsidR="00490611" w:rsidRPr="008F7615" w:rsidRDefault="00490611" w:rsidP="0091787F">
            <w:pPr>
              <w:jc w:val="center"/>
              <w:rPr>
                <w:b/>
                <w:bCs/>
              </w:rPr>
            </w:pPr>
            <w:r w:rsidRPr="008F7615">
              <w:rPr>
                <w:b/>
                <w:bCs/>
              </w:rPr>
              <w:t>Short-term</w:t>
            </w:r>
          </w:p>
        </w:tc>
        <w:tc>
          <w:tcPr>
            <w:tcW w:w="0" w:type="auto"/>
            <w:tcMar>
              <w:top w:w="15" w:type="dxa"/>
              <w:left w:w="15" w:type="dxa"/>
              <w:bottom w:w="15" w:type="dxa"/>
              <w:right w:w="15" w:type="dxa"/>
            </w:tcMar>
            <w:vAlign w:val="center"/>
          </w:tcPr>
          <w:p w:rsidR="00490611" w:rsidRPr="008F7615" w:rsidRDefault="00490611" w:rsidP="0091787F">
            <w:pPr>
              <w:jc w:val="center"/>
              <w:rPr>
                <w:b/>
                <w:bCs/>
              </w:rPr>
            </w:pPr>
            <w:r w:rsidRPr="008F7615">
              <w:rPr>
                <w:b/>
                <w:bCs/>
              </w:rPr>
              <w:t> </w:t>
            </w:r>
          </w:p>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Aaa</w:t>
            </w:r>
          </w:p>
        </w:tc>
        <w:tc>
          <w:tcPr>
            <w:tcW w:w="0" w:type="auto"/>
            <w:vMerge w:val="restart"/>
            <w:shd w:val="clear" w:color="auto" w:fill="FFC0CB"/>
            <w:tcMar>
              <w:top w:w="15" w:type="dxa"/>
              <w:left w:w="15" w:type="dxa"/>
              <w:bottom w:w="15" w:type="dxa"/>
              <w:right w:w="15" w:type="dxa"/>
            </w:tcMar>
            <w:vAlign w:val="center"/>
          </w:tcPr>
          <w:p w:rsidR="00490611" w:rsidRPr="008F7615" w:rsidRDefault="00490611" w:rsidP="0091787F">
            <w:pPr>
              <w:jc w:val="center"/>
            </w:pPr>
            <w:r w:rsidRPr="008F7615">
              <w:t>P-1</w:t>
            </w:r>
          </w:p>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AAA</w:t>
            </w:r>
          </w:p>
        </w:tc>
        <w:tc>
          <w:tcPr>
            <w:tcW w:w="0" w:type="auto"/>
            <w:vMerge w:val="restart"/>
            <w:shd w:val="clear" w:color="auto" w:fill="F0E68C"/>
            <w:tcMar>
              <w:top w:w="15" w:type="dxa"/>
              <w:left w:w="15" w:type="dxa"/>
              <w:bottom w:w="15" w:type="dxa"/>
              <w:right w:w="15" w:type="dxa"/>
            </w:tcMar>
            <w:vAlign w:val="center"/>
          </w:tcPr>
          <w:p w:rsidR="00490611" w:rsidRPr="008F7615" w:rsidRDefault="00490611" w:rsidP="0091787F">
            <w:pPr>
              <w:jc w:val="center"/>
            </w:pPr>
            <w:r w:rsidRPr="008F7615">
              <w:t>A-1+</w:t>
            </w:r>
          </w:p>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AAA</w:t>
            </w:r>
          </w:p>
        </w:tc>
        <w:tc>
          <w:tcPr>
            <w:tcW w:w="0" w:type="auto"/>
            <w:vMerge w:val="restart"/>
            <w:shd w:val="clear" w:color="auto" w:fill="AFEEEE"/>
            <w:tcMar>
              <w:top w:w="15" w:type="dxa"/>
              <w:left w:w="15" w:type="dxa"/>
              <w:bottom w:w="15" w:type="dxa"/>
              <w:right w:w="15" w:type="dxa"/>
            </w:tcMar>
            <w:vAlign w:val="center"/>
          </w:tcPr>
          <w:p w:rsidR="00490611" w:rsidRPr="008F7615" w:rsidRDefault="00490611" w:rsidP="0091787F">
            <w:pPr>
              <w:jc w:val="center"/>
            </w:pPr>
            <w:r w:rsidRPr="008F7615">
              <w:t>F1+</w:t>
            </w:r>
          </w:p>
        </w:tc>
        <w:tc>
          <w:tcPr>
            <w:tcW w:w="0" w:type="auto"/>
            <w:shd w:val="clear" w:color="auto" w:fill="D2B48C"/>
            <w:tcMar>
              <w:top w:w="15" w:type="dxa"/>
              <w:left w:w="15" w:type="dxa"/>
              <w:bottom w:w="15" w:type="dxa"/>
              <w:right w:w="15" w:type="dxa"/>
            </w:tcMar>
            <w:vAlign w:val="center"/>
          </w:tcPr>
          <w:p w:rsidR="00490611" w:rsidRPr="008F7615" w:rsidRDefault="00490611" w:rsidP="0091787F">
            <w:pPr>
              <w:jc w:val="center"/>
            </w:pPr>
            <w:r w:rsidRPr="008F7615">
              <w:t>Prime</w:t>
            </w:r>
          </w:p>
        </w:tc>
      </w:tr>
      <w:tr w:rsidR="00C11A99" w:rsidRPr="008F7615" w:rsidTr="00C11A99">
        <w:trPr>
          <w:trHeight w:val="205"/>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Aa1</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AA+</w:t>
            </w:r>
          </w:p>
        </w:tc>
        <w:tc>
          <w:tcPr>
            <w:tcW w:w="0" w:type="auto"/>
            <w:vMerge/>
            <w:vAlign w:val="center"/>
          </w:tcPr>
          <w:p w:rsidR="00490611" w:rsidRPr="008F7615" w:rsidRDefault="00490611" w:rsidP="0091787F"/>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AA+</w:t>
            </w:r>
          </w:p>
        </w:tc>
        <w:tc>
          <w:tcPr>
            <w:tcW w:w="0" w:type="auto"/>
            <w:vMerge/>
            <w:vAlign w:val="center"/>
          </w:tcPr>
          <w:p w:rsidR="00490611" w:rsidRPr="008F7615" w:rsidRDefault="00490611" w:rsidP="0091787F"/>
        </w:tc>
        <w:tc>
          <w:tcPr>
            <w:tcW w:w="0" w:type="auto"/>
            <w:vMerge w:val="restart"/>
            <w:shd w:val="clear" w:color="auto" w:fill="D2B48C"/>
            <w:tcMar>
              <w:top w:w="15" w:type="dxa"/>
              <w:left w:w="15" w:type="dxa"/>
              <w:bottom w:w="15" w:type="dxa"/>
              <w:right w:w="15" w:type="dxa"/>
            </w:tcMar>
            <w:vAlign w:val="center"/>
          </w:tcPr>
          <w:p w:rsidR="00490611" w:rsidRPr="008F7615" w:rsidRDefault="00490611" w:rsidP="0091787F">
            <w:pPr>
              <w:jc w:val="center"/>
            </w:pPr>
            <w:r w:rsidRPr="008F7615">
              <w:t>High grade</w:t>
            </w:r>
          </w:p>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Aa2</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AA</w:t>
            </w:r>
          </w:p>
        </w:tc>
        <w:tc>
          <w:tcPr>
            <w:tcW w:w="0" w:type="auto"/>
            <w:vMerge/>
            <w:vAlign w:val="center"/>
          </w:tcPr>
          <w:p w:rsidR="00490611" w:rsidRPr="008F7615" w:rsidRDefault="00490611" w:rsidP="0091787F"/>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AA</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Aa3</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AA-</w:t>
            </w:r>
          </w:p>
        </w:tc>
        <w:tc>
          <w:tcPr>
            <w:tcW w:w="0" w:type="auto"/>
            <w:vMerge/>
            <w:vAlign w:val="center"/>
          </w:tcPr>
          <w:p w:rsidR="00490611" w:rsidRPr="008F7615" w:rsidRDefault="00490611" w:rsidP="0091787F"/>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AA-</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r>
      <w:tr w:rsidR="00C11A99" w:rsidRPr="008F7615" w:rsidTr="00C11A99">
        <w:trPr>
          <w:trHeight w:val="217"/>
          <w:tblCellSpacing w:w="15" w:type="dxa"/>
          <w:jc w:val="center"/>
        </w:trPr>
        <w:tc>
          <w:tcPr>
            <w:tcW w:w="0" w:type="auto"/>
            <w:shd w:val="clear" w:color="auto" w:fill="F08080"/>
            <w:vAlign w:val="center"/>
          </w:tcPr>
          <w:p w:rsidR="00490611" w:rsidRPr="008F7615" w:rsidRDefault="00490611" w:rsidP="0091787F">
            <w:pPr>
              <w:jc w:val="center"/>
            </w:pPr>
            <w:r w:rsidRPr="008F7615">
              <w:t>A1</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A+</w:t>
            </w:r>
          </w:p>
        </w:tc>
        <w:tc>
          <w:tcPr>
            <w:tcW w:w="0" w:type="auto"/>
            <w:vMerge w:val="restart"/>
            <w:shd w:val="clear" w:color="auto" w:fill="F0E68C"/>
            <w:tcMar>
              <w:top w:w="15" w:type="dxa"/>
              <w:left w:w="15" w:type="dxa"/>
              <w:bottom w:w="15" w:type="dxa"/>
              <w:right w:w="15" w:type="dxa"/>
            </w:tcMar>
            <w:vAlign w:val="center"/>
          </w:tcPr>
          <w:p w:rsidR="00490611" w:rsidRPr="008F7615" w:rsidRDefault="00490611" w:rsidP="0091787F">
            <w:pPr>
              <w:jc w:val="center"/>
            </w:pPr>
            <w:r w:rsidRPr="008F7615">
              <w:t>A-1</w:t>
            </w:r>
          </w:p>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A+</w:t>
            </w:r>
          </w:p>
        </w:tc>
        <w:tc>
          <w:tcPr>
            <w:tcW w:w="0" w:type="auto"/>
            <w:vMerge w:val="restart"/>
            <w:shd w:val="clear" w:color="auto" w:fill="AFEEEE"/>
            <w:tcMar>
              <w:top w:w="15" w:type="dxa"/>
              <w:left w:w="15" w:type="dxa"/>
              <w:bottom w:w="15" w:type="dxa"/>
              <w:right w:w="15" w:type="dxa"/>
            </w:tcMar>
            <w:vAlign w:val="center"/>
          </w:tcPr>
          <w:p w:rsidR="00490611" w:rsidRPr="008F7615" w:rsidRDefault="00490611" w:rsidP="0091787F">
            <w:pPr>
              <w:jc w:val="center"/>
            </w:pPr>
            <w:r w:rsidRPr="008F7615">
              <w:t>F1</w:t>
            </w:r>
          </w:p>
        </w:tc>
        <w:tc>
          <w:tcPr>
            <w:tcW w:w="0" w:type="auto"/>
            <w:vMerge w:val="restart"/>
            <w:shd w:val="clear" w:color="auto" w:fill="D2B48C"/>
            <w:tcMar>
              <w:top w:w="15" w:type="dxa"/>
              <w:left w:w="15" w:type="dxa"/>
              <w:bottom w:w="15" w:type="dxa"/>
              <w:right w:w="15" w:type="dxa"/>
            </w:tcMar>
            <w:vAlign w:val="center"/>
          </w:tcPr>
          <w:p w:rsidR="00490611" w:rsidRPr="008F7615" w:rsidRDefault="00490611" w:rsidP="0091787F">
            <w:pPr>
              <w:jc w:val="center"/>
            </w:pPr>
            <w:r w:rsidRPr="008F7615">
              <w:t>Upper medium grade</w:t>
            </w:r>
          </w:p>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A2</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A</w:t>
            </w:r>
          </w:p>
        </w:tc>
        <w:tc>
          <w:tcPr>
            <w:tcW w:w="0" w:type="auto"/>
            <w:vMerge/>
            <w:vAlign w:val="center"/>
          </w:tcPr>
          <w:p w:rsidR="00490611" w:rsidRPr="008F7615" w:rsidRDefault="00490611" w:rsidP="0091787F"/>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A</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A3</w:t>
            </w:r>
          </w:p>
        </w:tc>
        <w:tc>
          <w:tcPr>
            <w:tcW w:w="0" w:type="auto"/>
            <w:vMerge w:val="restart"/>
            <w:shd w:val="clear" w:color="auto" w:fill="FFC0CB"/>
            <w:tcMar>
              <w:top w:w="15" w:type="dxa"/>
              <w:left w:w="15" w:type="dxa"/>
              <w:bottom w:w="15" w:type="dxa"/>
              <w:right w:w="15" w:type="dxa"/>
            </w:tcMar>
            <w:vAlign w:val="center"/>
          </w:tcPr>
          <w:p w:rsidR="00490611" w:rsidRPr="008F7615" w:rsidRDefault="00490611" w:rsidP="0091787F">
            <w:pPr>
              <w:jc w:val="center"/>
            </w:pPr>
            <w:r w:rsidRPr="008F7615">
              <w:t>P-2</w:t>
            </w:r>
          </w:p>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A-</w:t>
            </w:r>
          </w:p>
        </w:tc>
        <w:tc>
          <w:tcPr>
            <w:tcW w:w="0" w:type="auto"/>
            <w:vMerge w:val="restart"/>
            <w:shd w:val="clear" w:color="auto" w:fill="F0E68C"/>
            <w:tcMar>
              <w:top w:w="15" w:type="dxa"/>
              <w:left w:w="15" w:type="dxa"/>
              <w:bottom w:w="15" w:type="dxa"/>
              <w:right w:w="15" w:type="dxa"/>
            </w:tcMar>
            <w:vAlign w:val="center"/>
          </w:tcPr>
          <w:p w:rsidR="00490611" w:rsidRPr="008F7615" w:rsidRDefault="00490611" w:rsidP="0091787F">
            <w:pPr>
              <w:jc w:val="center"/>
            </w:pPr>
            <w:r w:rsidRPr="008F7615">
              <w:t>A-2</w:t>
            </w:r>
          </w:p>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A-</w:t>
            </w:r>
          </w:p>
        </w:tc>
        <w:tc>
          <w:tcPr>
            <w:tcW w:w="0" w:type="auto"/>
            <w:vMerge w:val="restart"/>
            <w:shd w:val="clear" w:color="auto" w:fill="AFEEEE"/>
            <w:tcMar>
              <w:top w:w="15" w:type="dxa"/>
              <w:left w:w="15" w:type="dxa"/>
              <w:bottom w:w="15" w:type="dxa"/>
              <w:right w:w="15" w:type="dxa"/>
            </w:tcMar>
            <w:vAlign w:val="center"/>
          </w:tcPr>
          <w:p w:rsidR="00490611" w:rsidRPr="008F7615" w:rsidRDefault="00490611" w:rsidP="0091787F">
            <w:pPr>
              <w:jc w:val="center"/>
            </w:pPr>
            <w:r w:rsidRPr="008F7615">
              <w:t>F2</w:t>
            </w:r>
          </w:p>
        </w:tc>
        <w:tc>
          <w:tcPr>
            <w:tcW w:w="0" w:type="auto"/>
            <w:vMerge/>
            <w:vAlign w:val="center"/>
          </w:tcPr>
          <w:p w:rsidR="00490611" w:rsidRPr="008F7615" w:rsidRDefault="00490611" w:rsidP="0091787F"/>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Baa1</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BBB+</w:t>
            </w:r>
          </w:p>
        </w:tc>
        <w:tc>
          <w:tcPr>
            <w:tcW w:w="0" w:type="auto"/>
            <w:vMerge/>
            <w:vAlign w:val="center"/>
          </w:tcPr>
          <w:p w:rsidR="00490611" w:rsidRPr="008F7615" w:rsidRDefault="00490611" w:rsidP="0091787F"/>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BBB+</w:t>
            </w:r>
          </w:p>
        </w:tc>
        <w:tc>
          <w:tcPr>
            <w:tcW w:w="0" w:type="auto"/>
            <w:vMerge/>
            <w:vAlign w:val="center"/>
          </w:tcPr>
          <w:p w:rsidR="00490611" w:rsidRPr="008F7615" w:rsidRDefault="00490611" w:rsidP="0091787F"/>
        </w:tc>
        <w:tc>
          <w:tcPr>
            <w:tcW w:w="0" w:type="auto"/>
            <w:vMerge w:val="restart"/>
            <w:shd w:val="clear" w:color="auto" w:fill="D2B48C"/>
            <w:tcMar>
              <w:top w:w="15" w:type="dxa"/>
              <w:left w:w="15" w:type="dxa"/>
              <w:bottom w:w="15" w:type="dxa"/>
              <w:right w:w="15" w:type="dxa"/>
            </w:tcMar>
            <w:vAlign w:val="center"/>
          </w:tcPr>
          <w:p w:rsidR="00490611" w:rsidRPr="008F7615" w:rsidRDefault="00490611" w:rsidP="0091787F">
            <w:pPr>
              <w:jc w:val="center"/>
            </w:pPr>
            <w:r w:rsidRPr="008F7615">
              <w:t>Lower medium grade</w:t>
            </w:r>
          </w:p>
        </w:tc>
      </w:tr>
      <w:tr w:rsidR="00C11A99" w:rsidRPr="008F7615" w:rsidTr="00C11A99">
        <w:trPr>
          <w:trHeight w:val="205"/>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Baa2</w:t>
            </w:r>
          </w:p>
        </w:tc>
        <w:tc>
          <w:tcPr>
            <w:tcW w:w="0" w:type="auto"/>
            <w:vMerge w:val="restart"/>
            <w:shd w:val="clear" w:color="auto" w:fill="FFC0CB"/>
            <w:tcMar>
              <w:top w:w="15" w:type="dxa"/>
              <w:left w:w="15" w:type="dxa"/>
              <w:bottom w:w="15" w:type="dxa"/>
              <w:right w:w="15" w:type="dxa"/>
            </w:tcMar>
            <w:vAlign w:val="center"/>
          </w:tcPr>
          <w:p w:rsidR="00490611" w:rsidRPr="008F7615" w:rsidRDefault="00490611" w:rsidP="0091787F">
            <w:pPr>
              <w:jc w:val="center"/>
            </w:pPr>
            <w:r w:rsidRPr="008F7615">
              <w:t>P-3</w:t>
            </w:r>
          </w:p>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BBB</w:t>
            </w:r>
          </w:p>
        </w:tc>
        <w:tc>
          <w:tcPr>
            <w:tcW w:w="0" w:type="auto"/>
            <w:vMerge w:val="restart"/>
            <w:shd w:val="clear" w:color="auto" w:fill="F0E68C"/>
            <w:tcMar>
              <w:top w:w="15" w:type="dxa"/>
              <w:left w:w="15" w:type="dxa"/>
              <w:bottom w:w="15" w:type="dxa"/>
              <w:right w:w="15" w:type="dxa"/>
            </w:tcMar>
            <w:vAlign w:val="center"/>
          </w:tcPr>
          <w:p w:rsidR="00490611" w:rsidRPr="008F7615" w:rsidRDefault="00490611" w:rsidP="0091787F">
            <w:pPr>
              <w:jc w:val="center"/>
            </w:pPr>
            <w:r w:rsidRPr="008F7615">
              <w:t>A-3</w:t>
            </w:r>
          </w:p>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BBB</w:t>
            </w:r>
          </w:p>
        </w:tc>
        <w:tc>
          <w:tcPr>
            <w:tcW w:w="0" w:type="auto"/>
            <w:vMerge w:val="restart"/>
            <w:shd w:val="clear" w:color="auto" w:fill="AFEEEE"/>
            <w:tcMar>
              <w:top w:w="15" w:type="dxa"/>
              <w:left w:w="15" w:type="dxa"/>
              <w:bottom w:w="15" w:type="dxa"/>
              <w:right w:w="15" w:type="dxa"/>
            </w:tcMar>
            <w:vAlign w:val="center"/>
          </w:tcPr>
          <w:p w:rsidR="00490611" w:rsidRPr="008F7615" w:rsidRDefault="00490611" w:rsidP="0091787F">
            <w:pPr>
              <w:jc w:val="center"/>
            </w:pPr>
            <w:r w:rsidRPr="008F7615">
              <w:t>F3</w:t>
            </w:r>
          </w:p>
        </w:tc>
        <w:tc>
          <w:tcPr>
            <w:tcW w:w="0" w:type="auto"/>
            <w:vMerge/>
            <w:vAlign w:val="center"/>
          </w:tcPr>
          <w:p w:rsidR="00490611" w:rsidRPr="008F7615" w:rsidRDefault="00490611" w:rsidP="0091787F"/>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Baa3</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BBB-</w:t>
            </w:r>
          </w:p>
        </w:tc>
        <w:tc>
          <w:tcPr>
            <w:tcW w:w="0" w:type="auto"/>
            <w:vMerge/>
            <w:vAlign w:val="center"/>
          </w:tcPr>
          <w:p w:rsidR="00490611" w:rsidRPr="008F7615" w:rsidRDefault="00490611" w:rsidP="0091787F"/>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BBB-</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Ba1</w:t>
            </w:r>
          </w:p>
        </w:tc>
        <w:tc>
          <w:tcPr>
            <w:tcW w:w="0" w:type="auto"/>
            <w:vMerge w:val="restart"/>
            <w:shd w:val="clear" w:color="auto" w:fill="FFC0CB"/>
            <w:tcMar>
              <w:top w:w="15" w:type="dxa"/>
              <w:left w:w="15" w:type="dxa"/>
              <w:bottom w:w="15" w:type="dxa"/>
              <w:right w:w="15" w:type="dxa"/>
            </w:tcMar>
            <w:vAlign w:val="center"/>
          </w:tcPr>
          <w:p w:rsidR="00490611" w:rsidRPr="008F7615" w:rsidRDefault="00490611" w:rsidP="0091787F">
            <w:pPr>
              <w:jc w:val="center"/>
            </w:pPr>
            <w:r w:rsidRPr="008F7615">
              <w:t>Not prime</w:t>
            </w:r>
          </w:p>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BB+</w:t>
            </w:r>
          </w:p>
        </w:tc>
        <w:tc>
          <w:tcPr>
            <w:tcW w:w="0" w:type="auto"/>
            <w:vMerge w:val="restart"/>
            <w:shd w:val="clear" w:color="auto" w:fill="F0E68C"/>
            <w:tcMar>
              <w:top w:w="15" w:type="dxa"/>
              <w:left w:w="15" w:type="dxa"/>
              <w:bottom w:w="15" w:type="dxa"/>
              <w:right w:w="15" w:type="dxa"/>
            </w:tcMar>
            <w:vAlign w:val="center"/>
          </w:tcPr>
          <w:p w:rsidR="00490611" w:rsidRPr="008F7615" w:rsidRDefault="00490611" w:rsidP="0091787F">
            <w:pPr>
              <w:jc w:val="center"/>
            </w:pPr>
            <w:r w:rsidRPr="008F7615">
              <w:t>B</w:t>
            </w:r>
          </w:p>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BB+</w:t>
            </w:r>
          </w:p>
        </w:tc>
        <w:tc>
          <w:tcPr>
            <w:tcW w:w="0" w:type="auto"/>
            <w:vMerge w:val="restart"/>
            <w:shd w:val="clear" w:color="auto" w:fill="AFEEEE"/>
            <w:tcMar>
              <w:top w:w="15" w:type="dxa"/>
              <w:left w:w="15" w:type="dxa"/>
              <w:bottom w:w="15" w:type="dxa"/>
              <w:right w:w="15" w:type="dxa"/>
            </w:tcMar>
            <w:vAlign w:val="center"/>
          </w:tcPr>
          <w:p w:rsidR="00490611" w:rsidRPr="008F7615" w:rsidRDefault="00490611" w:rsidP="0091787F">
            <w:pPr>
              <w:jc w:val="center"/>
            </w:pPr>
            <w:r w:rsidRPr="008F7615">
              <w:t>B</w:t>
            </w:r>
          </w:p>
        </w:tc>
        <w:tc>
          <w:tcPr>
            <w:tcW w:w="0" w:type="auto"/>
            <w:vMerge w:val="restart"/>
            <w:shd w:val="clear" w:color="auto" w:fill="D2B48C"/>
            <w:tcMar>
              <w:top w:w="15" w:type="dxa"/>
              <w:left w:w="15" w:type="dxa"/>
              <w:bottom w:w="15" w:type="dxa"/>
              <w:right w:w="15" w:type="dxa"/>
            </w:tcMar>
            <w:vAlign w:val="center"/>
          </w:tcPr>
          <w:p w:rsidR="00490611" w:rsidRPr="008F7615" w:rsidRDefault="00490611" w:rsidP="0091787F">
            <w:pPr>
              <w:jc w:val="center"/>
            </w:pPr>
            <w:r w:rsidRPr="008F7615">
              <w:t>Non-investment grade</w:t>
            </w:r>
            <w:r w:rsidRPr="008F7615">
              <w:br/>
              <w:t>speculative</w:t>
            </w:r>
          </w:p>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Ba2</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BB</w:t>
            </w:r>
          </w:p>
        </w:tc>
        <w:tc>
          <w:tcPr>
            <w:tcW w:w="0" w:type="auto"/>
            <w:vMerge/>
            <w:vAlign w:val="center"/>
          </w:tcPr>
          <w:p w:rsidR="00490611" w:rsidRPr="008F7615" w:rsidRDefault="00490611" w:rsidP="0091787F"/>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BB</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Ba3</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BB-</w:t>
            </w:r>
          </w:p>
        </w:tc>
        <w:tc>
          <w:tcPr>
            <w:tcW w:w="0" w:type="auto"/>
            <w:vMerge/>
            <w:vAlign w:val="center"/>
          </w:tcPr>
          <w:p w:rsidR="00490611" w:rsidRPr="008F7615" w:rsidRDefault="00490611" w:rsidP="0091787F"/>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BB-</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B1</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B+</w:t>
            </w:r>
          </w:p>
        </w:tc>
        <w:tc>
          <w:tcPr>
            <w:tcW w:w="0" w:type="auto"/>
            <w:vMerge/>
            <w:vAlign w:val="center"/>
          </w:tcPr>
          <w:p w:rsidR="00490611" w:rsidRPr="008F7615" w:rsidRDefault="00490611" w:rsidP="0091787F"/>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B+</w:t>
            </w:r>
          </w:p>
        </w:tc>
        <w:tc>
          <w:tcPr>
            <w:tcW w:w="0" w:type="auto"/>
            <w:vMerge/>
            <w:vAlign w:val="center"/>
          </w:tcPr>
          <w:p w:rsidR="00490611" w:rsidRPr="008F7615" w:rsidRDefault="00490611" w:rsidP="0091787F"/>
        </w:tc>
        <w:tc>
          <w:tcPr>
            <w:tcW w:w="0" w:type="auto"/>
            <w:vMerge w:val="restart"/>
            <w:shd w:val="clear" w:color="auto" w:fill="D2B48C"/>
            <w:tcMar>
              <w:top w:w="15" w:type="dxa"/>
              <w:left w:w="15" w:type="dxa"/>
              <w:bottom w:w="15" w:type="dxa"/>
              <w:right w:w="15" w:type="dxa"/>
            </w:tcMar>
            <w:vAlign w:val="center"/>
          </w:tcPr>
          <w:p w:rsidR="00490611" w:rsidRPr="008F7615" w:rsidRDefault="00490611" w:rsidP="0091787F">
            <w:pPr>
              <w:jc w:val="center"/>
            </w:pPr>
            <w:r w:rsidRPr="008F7615">
              <w:t>Highly speculative</w:t>
            </w:r>
          </w:p>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B2</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B</w:t>
            </w:r>
          </w:p>
        </w:tc>
        <w:tc>
          <w:tcPr>
            <w:tcW w:w="0" w:type="auto"/>
            <w:vMerge/>
            <w:vAlign w:val="center"/>
          </w:tcPr>
          <w:p w:rsidR="00490611" w:rsidRPr="008F7615" w:rsidRDefault="00490611" w:rsidP="0091787F"/>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B</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r>
      <w:tr w:rsidR="00C11A99" w:rsidRPr="008F7615" w:rsidTr="00C11A99">
        <w:trPr>
          <w:trHeight w:val="205"/>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B3</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B-</w:t>
            </w:r>
          </w:p>
        </w:tc>
        <w:tc>
          <w:tcPr>
            <w:tcW w:w="0" w:type="auto"/>
            <w:vMerge/>
            <w:vAlign w:val="center"/>
          </w:tcPr>
          <w:p w:rsidR="00490611" w:rsidRPr="008F7615" w:rsidRDefault="00490611" w:rsidP="0091787F"/>
        </w:tc>
        <w:tc>
          <w:tcPr>
            <w:tcW w:w="0" w:type="auto"/>
            <w:shd w:val="clear" w:color="auto" w:fill="1E90FF"/>
            <w:tcMar>
              <w:top w:w="15" w:type="dxa"/>
              <w:left w:w="15" w:type="dxa"/>
              <w:bottom w:w="15" w:type="dxa"/>
              <w:right w:w="15" w:type="dxa"/>
            </w:tcMar>
            <w:vAlign w:val="center"/>
          </w:tcPr>
          <w:p w:rsidR="00490611" w:rsidRPr="008F7615" w:rsidRDefault="00490611" w:rsidP="0091787F">
            <w:pPr>
              <w:jc w:val="center"/>
            </w:pPr>
            <w:r w:rsidRPr="008F7615">
              <w:t>B-</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r>
      <w:tr w:rsidR="00C11A99" w:rsidRPr="008F7615" w:rsidTr="00C11A99">
        <w:trPr>
          <w:trHeight w:val="217"/>
          <w:tblCellSpacing w:w="15" w:type="dxa"/>
          <w:jc w:val="center"/>
        </w:trPr>
        <w:tc>
          <w:tcPr>
            <w:tcW w:w="0" w:type="auto"/>
            <w:shd w:val="clear" w:color="auto" w:fill="F08080"/>
            <w:vAlign w:val="center"/>
          </w:tcPr>
          <w:p w:rsidR="00490611" w:rsidRPr="008F7615" w:rsidRDefault="00490611" w:rsidP="0091787F">
            <w:pPr>
              <w:jc w:val="center"/>
            </w:pPr>
            <w:r w:rsidRPr="008F7615">
              <w:t>Caa1</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CCC+</w:t>
            </w:r>
          </w:p>
        </w:tc>
        <w:tc>
          <w:tcPr>
            <w:tcW w:w="0" w:type="auto"/>
            <w:vMerge w:val="restart"/>
            <w:shd w:val="clear" w:color="auto" w:fill="F0E68C"/>
            <w:tcMar>
              <w:top w:w="15" w:type="dxa"/>
              <w:left w:w="15" w:type="dxa"/>
              <w:bottom w:w="15" w:type="dxa"/>
              <w:right w:w="15" w:type="dxa"/>
            </w:tcMar>
            <w:vAlign w:val="center"/>
          </w:tcPr>
          <w:p w:rsidR="00490611" w:rsidRPr="008F7615" w:rsidRDefault="00490611" w:rsidP="0091787F">
            <w:pPr>
              <w:jc w:val="center"/>
            </w:pPr>
            <w:r w:rsidRPr="008F7615">
              <w:t>C</w:t>
            </w:r>
          </w:p>
        </w:tc>
        <w:tc>
          <w:tcPr>
            <w:tcW w:w="0" w:type="auto"/>
            <w:vMerge w:val="restart"/>
            <w:shd w:val="clear" w:color="auto" w:fill="1E90FF"/>
            <w:tcMar>
              <w:top w:w="15" w:type="dxa"/>
              <w:left w:w="15" w:type="dxa"/>
              <w:bottom w:w="15" w:type="dxa"/>
              <w:right w:w="15" w:type="dxa"/>
            </w:tcMar>
            <w:vAlign w:val="center"/>
          </w:tcPr>
          <w:p w:rsidR="00490611" w:rsidRPr="008F7615" w:rsidRDefault="00490611" w:rsidP="0091787F">
            <w:pPr>
              <w:jc w:val="center"/>
            </w:pPr>
            <w:r w:rsidRPr="008F7615">
              <w:t>CCC</w:t>
            </w:r>
          </w:p>
        </w:tc>
        <w:tc>
          <w:tcPr>
            <w:tcW w:w="0" w:type="auto"/>
            <w:vMerge w:val="restart"/>
            <w:shd w:val="clear" w:color="auto" w:fill="AFEEEE"/>
            <w:tcMar>
              <w:top w:w="15" w:type="dxa"/>
              <w:left w:w="15" w:type="dxa"/>
              <w:bottom w:w="15" w:type="dxa"/>
              <w:right w:w="15" w:type="dxa"/>
            </w:tcMar>
            <w:vAlign w:val="center"/>
          </w:tcPr>
          <w:p w:rsidR="00490611" w:rsidRPr="008F7615" w:rsidRDefault="00490611" w:rsidP="0091787F">
            <w:pPr>
              <w:jc w:val="center"/>
            </w:pPr>
            <w:r w:rsidRPr="008F7615">
              <w:t>C</w:t>
            </w:r>
          </w:p>
        </w:tc>
        <w:tc>
          <w:tcPr>
            <w:tcW w:w="0" w:type="auto"/>
            <w:shd w:val="clear" w:color="auto" w:fill="D2B48C"/>
            <w:tcMar>
              <w:top w:w="15" w:type="dxa"/>
              <w:left w:w="15" w:type="dxa"/>
              <w:bottom w:w="15" w:type="dxa"/>
              <w:right w:w="15" w:type="dxa"/>
            </w:tcMar>
            <w:vAlign w:val="center"/>
          </w:tcPr>
          <w:p w:rsidR="00490611" w:rsidRPr="008F7615" w:rsidRDefault="00490611" w:rsidP="0091787F">
            <w:pPr>
              <w:jc w:val="center"/>
            </w:pPr>
            <w:r w:rsidRPr="008F7615">
              <w:t>Substantial risks</w:t>
            </w:r>
          </w:p>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Caa2</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CCC</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c>
          <w:tcPr>
            <w:tcW w:w="0" w:type="auto"/>
            <w:shd w:val="clear" w:color="auto" w:fill="D2B48C"/>
            <w:tcMar>
              <w:top w:w="15" w:type="dxa"/>
              <w:left w:w="15" w:type="dxa"/>
              <w:bottom w:w="15" w:type="dxa"/>
              <w:right w:w="15" w:type="dxa"/>
            </w:tcMar>
            <w:vAlign w:val="center"/>
          </w:tcPr>
          <w:p w:rsidR="00490611" w:rsidRPr="008F7615" w:rsidRDefault="00490611" w:rsidP="0091787F">
            <w:pPr>
              <w:jc w:val="center"/>
            </w:pPr>
            <w:r w:rsidRPr="008F7615">
              <w:t>Extremely speculative</w:t>
            </w:r>
          </w:p>
        </w:tc>
      </w:tr>
      <w:tr w:rsidR="00C11A99" w:rsidRPr="008F7615" w:rsidTr="00C11A99">
        <w:trPr>
          <w:trHeight w:val="217"/>
          <w:tblCellSpacing w:w="15" w:type="dxa"/>
          <w:jc w:val="center"/>
        </w:trPr>
        <w:tc>
          <w:tcPr>
            <w:tcW w:w="0" w:type="auto"/>
            <w:shd w:val="clear" w:color="auto" w:fill="F08080"/>
            <w:tcMar>
              <w:top w:w="15" w:type="dxa"/>
              <w:left w:w="15" w:type="dxa"/>
              <w:bottom w:w="15" w:type="dxa"/>
              <w:right w:w="15" w:type="dxa"/>
            </w:tcMar>
            <w:vAlign w:val="center"/>
          </w:tcPr>
          <w:p w:rsidR="00490611" w:rsidRPr="008F7615" w:rsidRDefault="00490611" w:rsidP="0091787F">
            <w:pPr>
              <w:jc w:val="center"/>
            </w:pPr>
            <w:r w:rsidRPr="008F7615">
              <w:t>Caa3</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CCC-</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c>
          <w:tcPr>
            <w:tcW w:w="0" w:type="auto"/>
            <w:vMerge w:val="restart"/>
            <w:shd w:val="clear" w:color="auto" w:fill="D2B48C"/>
            <w:tcMar>
              <w:top w:w="15" w:type="dxa"/>
              <w:left w:w="15" w:type="dxa"/>
              <w:bottom w:w="15" w:type="dxa"/>
              <w:right w:w="15" w:type="dxa"/>
            </w:tcMar>
            <w:vAlign w:val="center"/>
          </w:tcPr>
          <w:p w:rsidR="00490611" w:rsidRPr="008F7615" w:rsidRDefault="00490611" w:rsidP="0091787F">
            <w:pPr>
              <w:jc w:val="center"/>
            </w:pPr>
            <w:r w:rsidRPr="008F7615">
              <w:t>In default with little</w:t>
            </w:r>
            <w:r w:rsidRPr="008F7615">
              <w:br/>
              <w:t>prospect for recovery</w:t>
            </w:r>
          </w:p>
        </w:tc>
      </w:tr>
      <w:tr w:rsidR="00C11A99" w:rsidRPr="008F7615" w:rsidTr="00C11A99">
        <w:trPr>
          <w:trHeight w:val="242"/>
          <w:tblCellSpacing w:w="15" w:type="dxa"/>
          <w:jc w:val="center"/>
        </w:trPr>
        <w:tc>
          <w:tcPr>
            <w:tcW w:w="0" w:type="auto"/>
            <w:vMerge w:val="restart"/>
            <w:shd w:val="clear" w:color="auto" w:fill="F08080"/>
            <w:tcMar>
              <w:top w:w="15" w:type="dxa"/>
              <w:left w:w="15" w:type="dxa"/>
              <w:bottom w:w="15" w:type="dxa"/>
              <w:right w:w="15" w:type="dxa"/>
            </w:tcMar>
            <w:vAlign w:val="center"/>
          </w:tcPr>
          <w:p w:rsidR="00490611" w:rsidRPr="008F7615" w:rsidRDefault="00490611" w:rsidP="0091787F">
            <w:pPr>
              <w:jc w:val="center"/>
            </w:pPr>
            <w:r w:rsidRPr="008F7615">
              <w:t>Ca</w:t>
            </w:r>
          </w:p>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CC</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r>
      <w:tr w:rsidR="00C11A99" w:rsidRPr="008F7615" w:rsidTr="00C11A99">
        <w:trPr>
          <w:trHeight w:val="123"/>
          <w:tblCellSpacing w:w="15" w:type="dxa"/>
          <w:jc w:val="center"/>
        </w:trPr>
        <w:tc>
          <w:tcPr>
            <w:tcW w:w="0" w:type="auto"/>
            <w:vMerge/>
            <w:vAlign w:val="center"/>
          </w:tcPr>
          <w:p w:rsidR="00490611" w:rsidRPr="008F7615" w:rsidRDefault="00490611" w:rsidP="0091787F"/>
        </w:tc>
        <w:tc>
          <w:tcPr>
            <w:tcW w:w="0" w:type="auto"/>
            <w:vMerge/>
            <w:vAlign w:val="center"/>
          </w:tcPr>
          <w:p w:rsidR="00490611" w:rsidRPr="008F7615" w:rsidRDefault="00490611" w:rsidP="0091787F"/>
        </w:tc>
        <w:tc>
          <w:tcPr>
            <w:tcW w:w="0" w:type="auto"/>
            <w:shd w:val="clear" w:color="auto" w:fill="FFFF00"/>
            <w:tcMar>
              <w:top w:w="15" w:type="dxa"/>
              <w:left w:w="15" w:type="dxa"/>
              <w:bottom w:w="15" w:type="dxa"/>
              <w:right w:w="15" w:type="dxa"/>
            </w:tcMar>
            <w:vAlign w:val="center"/>
          </w:tcPr>
          <w:p w:rsidR="00490611" w:rsidRPr="008F7615" w:rsidRDefault="00490611" w:rsidP="0091787F">
            <w:pPr>
              <w:jc w:val="center"/>
            </w:pPr>
            <w:r w:rsidRPr="008F7615">
              <w:t>C</w:t>
            </w: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r>
      <w:tr w:rsidR="00C11A99" w:rsidRPr="00C11A99" w:rsidTr="00C11A99">
        <w:trPr>
          <w:trHeight w:val="217"/>
          <w:tblCellSpacing w:w="15" w:type="dxa"/>
          <w:jc w:val="center"/>
        </w:trPr>
        <w:tc>
          <w:tcPr>
            <w:tcW w:w="0" w:type="auto"/>
            <w:shd w:val="clear" w:color="auto" w:fill="F08080"/>
            <w:vAlign w:val="center"/>
          </w:tcPr>
          <w:p w:rsidR="00490611" w:rsidRPr="00C11A99" w:rsidRDefault="00490611" w:rsidP="0091787F">
            <w:pPr>
              <w:jc w:val="center"/>
              <w:rPr>
                <w:b/>
              </w:rPr>
            </w:pPr>
            <w:r w:rsidRPr="00C11A99">
              <w:rPr>
                <w:b/>
              </w:rPr>
              <w:t>C</w:t>
            </w:r>
          </w:p>
        </w:tc>
        <w:tc>
          <w:tcPr>
            <w:tcW w:w="0" w:type="auto"/>
            <w:vMerge/>
            <w:vAlign w:val="center"/>
          </w:tcPr>
          <w:p w:rsidR="00490611" w:rsidRPr="00C11A99" w:rsidRDefault="00490611" w:rsidP="0091787F">
            <w:pPr>
              <w:rPr>
                <w:b/>
              </w:rPr>
            </w:pPr>
          </w:p>
        </w:tc>
        <w:tc>
          <w:tcPr>
            <w:tcW w:w="0" w:type="auto"/>
            <w:vMerge w:val="restart"/>
            <w:shd w:val="clear" w:color="auto" w:fill="FFFF00"/>
            <w:tcMar>
              <w:top w:w="15" w:type="dxa"/>
              <w:left w:w="15" w:type="dxa"/>
              <w:bottom w:w="15" w:type="dxa"/>
              <w:right w:w="15" w:type="dxa"/>
            </w:tcMar>
            <w:vAlign w:val="center"/>
          </w:tcPr>
          <w:p w:rsidR="00490611" w:rsidRPr="00C11A99" w:rsidRDefault="00490611" w:rsidP="0091787F">
            <w:pPr>
              <w:jc w:val="center"/>
              <w:rPr>
                <w:b/>
              </w:rPr>
            </w:pPr>
            <w:r w:rsidRPr="00C11A99">
              <w:rPr>
                <w:b/>
              </w:rPr>
              <w:t>D</w:t>
            </w:r>
          </w:p>
        </w:tc>
        <w:tc>
          <w:tcPr>
            <w:tcW w:w="0" w:type="auto"/>
            <w:vMerge w:val="restart"/>
            <w:shd w:val="clear" w:color="auto" w:fill="F0E68C"/>
            <w:tcMar>
              <w:top w:w="15" w:type="dxa"/>
              <w:left w:w="15" w:type="dxa"/>
              <w:bottom w:w="15" w:type="dxa"/>
              <w:right w:w="15" w:type="dxa"/>
            </w:tcMar>
            <w:vAlign w:val="center"/>
          </w:tcPr>
          <w:p w:rsidR="00490611" w:rsidRPr="00C11A99" w:rsidRDefault="00490611" w:rsidP="0091787F">
            <w:pPr>
              <w:jc w:val="center"/>
              <w:rPr>
                <w:b/>
              </w:rPr>
            </w:pPr>
            <w:r w:rsidRPr="00C11A99">
              <w:rPr>
                <w:b/>
              </w:rPr>
              <w:t>/</w:t>
            </w:r>
          </w:p>
        </w:tc>
        <w:tc>
          <w:tcPr>
            <w:tcW w:w="0" w:type="auto"/>
            <w:shd w:val="clear" w:color="auto" w:fill="1E90FF"/>
            <w:tcMar>
              <w:top w:w="15" w:type="dxa"/>
              <w:left w:w="15" w:type="dxa"/>
              <w:bottom w:w="15" w:type="dxa"/>
              <w:right w:w="15" w:type="dxa"/>
            </w:tcMar>
            <w:vAlign w:val="center"/>
          </w:tcPr>
          <w:p w:rsidR="00490611" w:rsidRPr="00C11A99" w:rsidRDefault="00490611" w:rsidP="0091787F">
            <w:pPr>
              <w:jc w:val="center"/>
              <w:rPr>
                <w:b/>
              </w:rPr>
            </w:pPr>
            <w:r w:rsidRPr="00C11A99">
              <w:rPr>
                <w:b/>
              </w:rPr>
              <w:t>DDD</w:t>
            </w:r>
          </w:p>
        </w:tc>
        <w:tc>
          <w:tcPr>
            <w:tcW w:w="0" w:type="auto"/>
            <w:vMerge w:val="restart"/>
            <w:shd w:val="clear" w:color="auto" w:fill="AFEEEE"/>
            <w:tcMar>
              <w:top w:w="15" w:type="dxa"/>
              <w:left w:w="15" w:type="dxa"/>
              <w:bottom w:w="15" w:type="dxa"/>
              <w:right w:w="15" w:type="dxa"/>
            </w:tcMar>
            <w:vAlign w:val="center"/>
          </w:tcPr>
          <w:p w:rsidR="00490611" w:rsidRPr="00C11A99" w:rsidRDefault="00490611" w:rsidP="0091787F">
            <w:pPr>
              <w:jc w:val="center"/>
              <w:rPr>
                <w:b/>
              </w:rPr>
            </w:pPr>
            <w:r w:rsidRPr="00C11A99">
              <w:rPr>
                <w:b/>
              </w:rPr>
              <w:t>/</w:t>
            </w:r>
          </w:p>
        </w:tc>
        <w:tc>
          <w:tcPr>
            <w:tcW w:w="0" w:type="auto"/>
            <w:vMerge w:val="restart"/>
            <w:shd w:val="clear" w:color="auto" w:fill="D2B48C"/>
            <w:tcMar>
              <w:top w:w="15" w:type="dxa"/>
              <w:left w:w="15" w:type="dxa"/>
              <w:bottom w:w="15" w:type="dxa"/>
              <w:right w:w="15" w:type="dxa"/>
            </w:tcMar>
            <w:vAlign w:val="center"/>
          </w:tcPr>
          <w:p w:rsidR="00490611" w:rsidRPr="00C11A99" w:rsidRDefault="00490611" w:rsidP="0091787F">
            <w:pPr>
              <w:jc w:val="center"/>
              <w:rPr>
                <w:b/>
              </w:rPr>
            </w:pPr>
            <w:r w:rsidRPr="00C11A99">
              <w:rPr>
                <w:b/>
              </w:rPr>
              <w:t>In default</w:t>
            </w:r>
          </w:p>
        </w:tc>
      </w:tr>
      <w:tr w:rsidR="00C11A99" w:rsidRPr="008F7615" w:rsidTr="00C11A99">
        <w:trPr>
          <w:trHeight w:val="217"/>
          <w:tblCellSpacing w:w="15" w:type="dxa"/>
          <w:jc w:val="center"/>
        </w:trPr>
        <w:tc>
          <w:tcPr>
            <w:tcW w:w="0" w:type="auto"/>
            <w:shd w:val="clear" w:color="auto" w:fill="FF7C80"/>
            <w:tcMar>
              <w:top w:w="15" w:type="dxa"/>
              <w:left w:w="15" w:type="dxa"/>
              <w:bottom w:w="15" w:type="dxa"/>
              <w:right w:w="15" w:type="dxa"/>
            </w:tcMar>
            <w:vAlign w:val="center"/>
          </w:tcPr>
          <w:p w:rsidR="00490611" w:rsidRPr="008F7615" w:rsidRDefault="00490611" w:rsidP="0091787F">
            <w:pPr>
              <w:jc w:val="center"/>
            </w:pPr>
          </w:p>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c>
          <w:tcPr>
            <w:tcW w:w="0" w:type="auto"/>
            <w:shd w:val="clear" w:color="auto" w:fill="3399FF"/>
            <w:tcMar>
              <w:top w:w="15" w:type="dxa"/>
              <w:left w:w="15" w:type="dxa"/>
              <w:bottom w:w="15" w:type="dxa"/>
              <w:right w:w="15" w:type="dxa"/>
            </w:tcMar>
            <w:vAlign w:val="center"/>
          </w:tcPr>
          <w:p w:rsidR="00490611" w:rsidRPr="008F7615" w:rsidRDefault="00490611" w:rsidP="0091787F"/>
        </w:tc>
        <w:tc>
          <w:tcPr>
            <w:tcW w:w="0" w:type="auto"/>
            <w:vMerge/>
            <w:vAlign w:val="center"/>
          </w:tcPr>
          <w:p w:rsidR="00490611" w:rsidRPr="008F7615" w:rsidRDefault="00490611" w:rsidP="0091787F"/>
        </w:tc>
        <w:tc>
          <w:tcPr>
            <w:tcW w:w="0" w:type="auto"/>
            <w:vMerge/>
            <w:vAlign w:val="center"/>
          </w:tcPr>
          <w:p w:rsidR="00490611" w:rsidRPr="008F7615" w:rsidRDefault="00490611" w:rsidP="0091787F"/>
        </w:tc>
      </w:tr>
    </w:tbl>
    <w:p w:rsidR="00490611" w:rsidRPr="008F7615" w:rsidRDefault="00490611" w:rsidP="00490611">
      <w:pPr>
        <w:rPr>
          <w:rFonts w:eastAsia="Times New Roman"/>
          <w:sz w:val="18"/>
          <w:szCs w:val="18"/>
          <w:lang w:eastAsia="en-US"/>
        </w:rPr>
      </w:pPr>
    </w:p>
    <w:p w:rsidR="00C11A99" w:rsidRDefault="00490611" w:rsidP="00C11A99">
      <w:pPr>
        <w:tabs>
          <w:tab w:val="left" w:pos="9630"/>
        </w:tabs>
      </w:pPr>
      <w:r w:rsidRPr="008F7615">
        <w:rPr>
          <w:rFonts w:eastAsia="Times New Roman"/>
          <w:lang w:eastAsia="en-US"/>
        </w:rPr>
        <w:t>On an exceptional basis, equivalent independent agencies may provide ratings for securities which are not rated by any of the three approved agencies.  Use of rating services other than the three approved agencies will be permitted only to the extent that the alternate rating service appears to be objective and independent in its analysis.</w:t>
      </w:r>
      <w:r w:rsidR="00C11A99" w:rsidRPr="00C11A99">
        <w:t xml:space="preserve"> </w:t>
      </w:r>
      <w:r w:rsidR="00C11A99">
        <w:tab/>
      </w:r>
    </w:p>
    <w:p w:rsidR="00490611" w:rsidRDefault="00C11A99" w:rsidP="00C11A99">
      <w:pPr>
        <w:tabs>
          <w:tab w:val="left" w:pos="9630"/>
        </w:tabs>
        <w:rPr>
          <w:rFonts w:eastAsia="Times New Roman"/>
          <w:lang w:eastAsia="en-US"/>
        </w:rPr>
      </w:pPr>
      <w:r>
        <w:tab/>
        <w:t>[Annex II follows]</w:t>
      </w:r>
    </w:p>
    <w:p w:rsidR="00C11A99" w:rsidRDefault="00C11A99" w:rsidP="00490611">
      <w:pPr>
        <w:rPr>
          <w:rFonts w:eastAsia="Times New Roman"/>
          <w:lang w:eastAsia="en-US"/>
        </w:rPr>
        <w:sectPr w:rsidR="00C11A99" w:rsidSect="00C11A99">
          <w:headerReference w:type="default" r:id="rId15"/>
          <w:headerReference w:type="first" r:id="rId16"/>
          <w:pgSz w:w="16840" w:h="11907" w:orient="landscape" w:code="9"/>
          <w:pgMar w:top="180" w:right="1411" w:bottom="180" w:left="792" w:header="706" w:footer="43" w:gutter="0"/>
          <w:pgNumType w:start="10"/>
          <w:cols w:space="720"/>
          <w:titlePg/>
          <w:docGrid w:linePitch="299"/>
        </w:sectPr>
      </w:pPr>
    </w:p>
    <w:p w:rsidR="00490611" w:rsidRPr="00C52AC3" w:rsidRDefault="00490611" w:rsidP="00490611">
      <w:pPr>
        <w:rPr>
          <w:rFonts w:eastAsia="Times New Roman"/>
          <w:b/>
          <w:lang w:eastAsia="en-US"/>
        </w:rPr>
      </w:pPr>
      <w:r w:rsidRPr="00C52AC3">
        <w:rPr>
          <w:rFonts w:eastAsia="Times New Roman"/>
          <w:b/>
          <w:lang w:eastAsia="en-US"/>
        </w:rPr>
        <w:lastRenderedPageBreak/>
        <w:t>POLICY ON INVESTMENTS – STRATEGIC CASH</w:t>
      </w:r>
    </w:p>
    <w:p w:rsidR="00490611" w:rsidRDefault="00490611" w:rsidP="00490611">
      <w:pPr>
        <w:rPr>
          <w:rFonts w:eastAsia="Times New Roman"/>
          <w:lang w:eastAsia="en-US"/>
        </w:rPr>
      </w:pPr>
    </w:p>
    <w:p w:rsidR="00905E6A" w:rsidRPr="00C52AC3" w:rsidRDefault="00905E6A" w:rsidP="00490611">
      <w:pPr>
        <w:rPr>
          <w:rFonts w:eastAsia="Times New Roman"/>
          <w:lang w:eastAsia="en-US"/>
        </w:rPr>
      </w:pPr>
    </w:p>
    <w:p w:rsidR="00490611" w:rsidRPr="00C52AC3" w:rsidRDefault="00873CAC" w:rsidP="00AF4A90">
      <w:pPr>
        <w:spacing w:after="240"/>
        <w:rPr>
          <w:rFonts w:eastAsia="Times New Roman"/>
          <w:lang w:eastAsia="en-US"/>
        </w:rPr>
      </w:pPr>
      <w:r>
        <w:rPr>
          <w:rFonts w:eastAsia="Times New Roman"/>
          <w:lang w:eastAsia="en-US"/>
        </w:rPr>
        <w:t>A.</w:t>
      </w:r>
      <w:r>
        <w:rPr>
          <w:rFonts w:eastAsia="Times New Roman"/>
          <w:lang w:eastAsia="en-US"/>
        </w:rPr>
        <w:tab/>
      </w:r>
      <w:r w:rsidR="00905E6A">
        <w:rPr>
          <w:rFonts w:eastAsia="Times New Roman"/>
          <w:lang w:eastAsia="en-US"/>
        </w:rPr>
        <w:t>SCOPE AND PURPOSE</w:t>
      </w:r>
    </w:p>
    <w:p w:rsidR="00490611" w:rsidRPr="00C52AC3" w:rsidRDefault="00490611" w:rsidP="00905E6A">
      <w:pPr>
        <w:spacing w:before="120" w:after="120"/>
        <w:rPr>
          <w:rFonts w:eastAsia="Times New Roman"/>
          <w:u w:val="single"/>
          <w:lang w:eastAsia="en-US"/>
        </w:rPr>
      </w:pPr>
      <w:r w:rsidRPr="00C52AC3">
        <w:rPr>
          <w:rFonts w:eastAsia="Times New Roman"/>
          <w:u w:val="single"/>
          <w:lang w:eastAsia="en-US"/>
        </w:rPr>
        <w:t>Description of investor</w:t>
      </w:r>
    </w:p>
    <w:p w:rsidR="00490611" w:rsidRPr="00C52AC3" w:rsidRDefault="00490611" w:rsidP="006045BD">
      <w:pPr>
        <w:pStyle w:val="ONUME"/>
        <w:numPr>
          <w:ilvl w:val="0"/>
          <w:numId w:val="36"/>
        </w:numPr>
        <w:spacing w:after="0"/>
        <w:ind w:left="0" w:firstLine="0"/>
        <w:rPr>
          <w:rFonts w:eastAsia="Times New Roman"/>
          <w:lang w:eastAsia="en-US"/>
        </w:rPr>
      </w:pPr>
      <w:r w:rsidRPr="00C52AC3">
        <w:rPr>
          <w:rFonts w:eastAsia="Times New Roman"/>
          <w:lang w:eastAsia="en-US"/>
        </w:rPr>
        <w:t xml:space="preserve">The World Intellectual Property Organization (WIPO) was established </w:t>
      </w:r>
      <w:r w:rsidR="006362BF">
        <w:rPr>
          <w:rFonts w:eastAsia="Times New Roman"/>
          <w:lang w:eastAsia="en-US"/>
        </w:rPr>
        <w:t xml:space="preserve">pursuant to the Convention Establishing the World Intellectual Property Organization which was concluded </w:t>
      </w:r>
      <w:r w:rsidR="006362BF" w:rsidRPr="008F7615">
        <w:rPr>
          <w:rFonts w:eastAsia="Times New Roman"/>
          <w:lang w:eastAsia="en-US"/>
        </w:rPr>
        <w:t>in</w:t>
      </w:r>
      <w:r w:rsidR="006362BF">
        <w:rPr>
          <w:rFonts w:eastAsia="Times New Roman"/>
          <w:lang w:eastAsia="en-US"/>
        </w:rPr>
        <w:t> </w:t>
      </w:r>
      <w:r w:rsidR="006362BF" w:rsidRPr="008F7615">
        <w:rPr>
          <w:rFonts w:eastAsia="Times New Roman"/>
          <w:lang w:eastAsia="en-US"/>
        </w:rPr>
        <w:t>1967</w:t>
      </w:r>
      <w:r w:rsidR="006362BF">
        <w:rPr>
          <w:rFonts w:eastAsia="Times New Roman"/>
          <w:lang w:eastAsia="en-US"/>
        </w:rPr>
        <w:t xml:space="preserve"> and entered into force in 1970, </w:t>
      </w:r>
      <w:r w:rsidRPr="00C52AC3">
        <w:rPr>
          <w:rFonts w:eastAsia="Times New Roman"/>
          <w:lang w:eastAsia="en-US"/>
        </w:rPr>
        <w:t xml:space="preserve">replacing the Bureau for the Protection of Intellectual Property (BIRPI) which had been established in 1893 (BIRPI in its French acronym, meaning </w:t>
      </w:r>
      <w:r w:rsidRPr="00C52AC3">
        <w:rPr>
          <w:rFonts w:eastAsia="Times New Roman"/>
          <w:i/>
          <w:lang w:eastAsia="en-US"/>
        </w:rPr>
        <w:t>Bureaux Internationaux Réunis pour la Protection de la Propriété Intellectuelle</w:t>
      </w:r>
      <w:r w:rsidRPr="00C52AC3">
        <w:rPr>
          <w:rFonts w:eastAsia="Times New Roman"/>
          <w:lang w:eastAsia="en-US"/>
        </w:rPr>
        <w:t>) to administer the Paris Convention for the Protection of Industrial Property (1883) and the Berne Convention for the Protection of Literary and Artistic Works (1866).  In 1974, WIPO was recognized as a specialized agency of the United Nations.</w:t>
      </w:r>
    </w:p>
    <w:p w:rsidR="00490611" w:rsidRPr="00C52AC3" w:rsidRDefault="00490611" w:rsidP="00490611">
      <w:pPr>
        <w:rPr>
          <w:rFonts w:eastAsia="Times New Roman"/>
          <w:lang w:eastAsia="en-US"/>
        </w:rPr>
      </w:pPr>
    </w:p>
    <w:p w:rsidR="00490611" w:rsidRPr="00C52AC3" w:rsidRDefault="00490611" w:rsidP="00AF4A90">
      <w:pPr>
        <w:pStyle w:val="ONUME"/>
        <w:numPr>
          <w:ilvl w:val="0"/>
          <w:numId w:val="36"/>
        </w:numPr>
        <w:spacing w:after="240"/>
        <w:ind w:left="0" w:firstLine="0"/>
        <w:rPr>
          <w:rFonts w:eastAsia="Times New Roman"/>
          <w:lang w:eastAsia="en-US"/>
        </w:rPr>
      </w:pPr>
      <w:r w:rsidRPr="00C52AC3">
        <w:rPr>
          <w:rFonts w:eastAsia="Times New Roman"/>
          <w:lang w:eastAsia="en-US"/>
        </w:rPr>
        <w:t>WIPO carries out a wide variety of tasks related to the protection of IP rights including:  assisting governments and organizations to develop the policies, structures and skills needed to harness the potential of IP for economic development;  working with Member States to develop international IP law;  administering treaties;  managing global registration systems for trademarks, industrial designs and appellations of origin and a filing system for patents;  providing dispute resolution services;  and acting as a forum for informed debate and for the exchange of expertise.</w:t>
      </w:r>
    </w:p>
    <w:p w:rsidR="00490611" w:rsidRPr="00C52AC3" w:rsidRDefault="00490611" w:rsidP="00905E6A">
      <w:pPr>
        <w:spacing w:before="120" w:after="120"/>
        <w:rPr>
          <w:rFonts w:eastAsia="Times New Roman"/>
          <w:u w:val="single"/>
          <w:lang w:eastAsia="en-US"/>
        </w:rPr>
      </w:pPr>
      <w:r w:rsidRPr="00C52AC3">
        <w:rPr>
          <w:rFonts w:eastAsia="Times New Roman"/>
          <w:u w:val="single"/>
          <w:lang w:eastAsia="en-US"/>
        </w:rPr>
        <w:t xml:space="preserve">Authority </w:t>
      </w:r>
    </w:p>
    <w:p w:rsidR="00490611" w:rsidRPr="00C52AC3" w:rsidRDefault="00490611" w:rsidP="006045BD">
      <w:pPr>
        <w:pStyle w:val="ONUME"/>
        <w:numPr>
          <w:ilvl w:val="0"/>
          <w:numId w:val="36"/>
        </w:numPr>
        <w:spacing w:after="0"/>
        <w:ind w:left="0" w:firstLine="0"/>
        <w:rPr>
          <w:rFonts w:eastAsia="Times New Roman"/>
          <w:lang w:eastAsia="en-US"/>
        </w:rPr>
      </w:pPr>
      <w:r w:rsidRPr="00C52AC3">
        <w:rPr>
          <w:rFonts w:eastAsia="Times New Roman"/>
          <w:lang w:eastAsia="en-US"/>
        </w:rPr>
        <w:t>This investment policy is developed pursuant to Financial Regulation 4.10 that provides authority of the Director General to make short-term investments of money not needed for immediate requirements in accordance with the Organization’s investment policy as approved by the Member States, and Financial Regulation 4.11 that provides authority for the Director General to make long-term investments of monies standing to the credit of the Organization in accordance with the Organization’s investment policy as approved by the Member States.  Given the long-term nature of the liabilities relating to the provision of medical benefits to WIPO staff during their retirement (otherwise known as After Service Health Insurance (ASHI)), it was agreed in September 2014 by the Program and Budget Committee (PBC) that a separate investment policy should be prepared for ASHI financing, a recommendation which later obtained the approval of the Assemblies at their Fifty-Fourth session in 2014.  This policy addresses this requirement and applies to cash which has already been and which may continue in the future to be set aside to finance the ASHI liabilities.  This cash is identified as strategic (long-term) cash.</w:t>
      </w:r>
    </w:p>
    <w:p w:rsidR="00490611" w:rsidRPr="00C52AC3" w:rsidRDefault="00490611" w:rsidP="00490611">
      <w:pPr>
        <w:rPr>
          <w:rFonts w:eastAsia="Times New Roman"/>
          <w:lang w:eastAsia="en-US"/>
        </w:rPr>
      </w:pPr>
    </w:p>
    <w:p w:rsidR="00490611" w:rsidRPr="00D54922" w:rsidRDefault="00490611" w:rsidP="006045BD">
      <w:pPr>
        <w:pStyle w:val="ONUME"/>
        <w:numPr>
          <w:ilvl w:val="0"/>
          <w:numId w:val="36"/>
        </w:numPr>
        <w:spacing w:after="0"/>
        <w:ind w:left="0" w:firstLine="0"/>
        <w:rPr>
          <w:rFonts w:eastAsia="Times New Roman"/>
          <w:lang w:eastAsia="en-US"/>
        </w:rPr>
      </w:pPr>
      <w:r w:rsidRPr="00C52AC3">
        <w:rPr>
          <w:rFonts w:eastAsia="Times New Roman"/>
          <w:lang w:eastAsia="en-US"/>
        </w:rPr>
        <w:t xml:space="preserve">This policy provides the overarching </w:t>
      </w:r>
      <w:r w:rsidRPr="00D54922">
        <w:rPr>
          <w:rFonts w:eastAsia="Times New Roman"/>
          <w:lang w:eastAsia="en-US"/>
        </w:rPr>
        <w:t>principles for the Organization’s investments and thus applies to the investment guidelines issued to external fund managers</w:t>
      </w:r>
      <w:r w:rsidR="00795641" w:rsidRPr="00D54922">
        <w:rPr>
          <w:rFonts w:eastAsia="Times New Roman"/>
          <w:lang w:eastAsia="en-US"/>
        </w:rPr>
        <w:t xml:space="preserve"> (defined under paragraph 1</w:t>
      </w:r>
      <w:r w:rsidR="006940BD" w:rsidRPr="00D54922">
        <w:rPr>
          <w:rFonts w:eastAsia="Times New Roman"/>
          <w:lang w:eastAsia="en-US"/>
        </w:rPr>
        <w:t>6</w:t>
      </w:r>
      <w:r w:rsidR="00795641" w:rsidRPr="00D54922">
        <w:rPr>
          <w:rFonts w:eastAsia="Times New Roman"/>
          <w:lang w:eastAsia="en-US"/>
        </w:rPr>
        <w:t>)</w:t>
      </w:r>
      <w:r w:rsidRPr="00D54922">
        <w:rPr>
          <w:rFonts w:eastAsia="Times New Roman"/>
          <w:lang w:eastAsia="en-US"/>
        </w:rPr>
        <w:t>.</w:t>
      </w:r>
    </w:p>
    <w:p w:rsidR="00490611" w:rsidRPr="00D54922" w:rsidRDefault="00490611" w:rsidP="00490611">
      <w:pPr>
        <w:rPr>
          <w:rFonts w:eastAsia="Times New Roman"/>
          <w:lang w:eastAsia="en-US"/>
        </w:rPr>
      </w:pPr>
    </w:p>
    <w:p w:rsidR="00D96579" w:rsidRPr="00D54922" w:rsidRDefault="00D96579" w:rsidP="00490611">
      <w:pPr>
        <w:rPr>
          <w:rFonts w:eastAsia="Times New Roman"/>
          <w:lang w:eastAsia="en-US"/>
        </w:rPr>
      </w:pPr>
    </w:p>
    <w:p w:rsidR="00490611" w:rsidRPr="00D54922" w:rsidRDefault="00795641" w:rsidP="00490611">
      <w:pPr>
        <w:keepNext/>
        <w:outlineLvl w:val="0"/>
        <w:rPr>
          <w:bCs/>
          <w:caps/>
          <w:kern w:val="32"/>
          <w:szCs w:val="32"/>
          <w:lang w:eastAsia="en-US"/>
        </w:rPr>
      </w:pPr>
      <w:r w:rsidRPr="00D54922">
        <w:rPr>
          <w:bCs/>
          <w:caps/>
          <w:kern w:val="32"/>
          <w:szCs w:val="32"/>
          <w:lang w:eastAsia="en-US"/>
        </w:rPr>
        <w:t>B</w:t>
      </w:r>
      <w:r w:rsidR="00873CAC" w:rsidRPr="00D54922">
        <w:rPr>
          <w:bCs/>
          <w:caps/>
          <w:kern w:val="32"/>
          <w:szCs w:val="32"/>
          <w:lang w:eastAsia="en-US"/>
        </w:rPr>
        <w:t>.</w:t>
      </w:r>
      <w:r w:rsidR="00873CAC" w:rsidRPr="00D54922">
        <w:rPr>
          <w:bCs/>
          <w:caps/>
          <w:kern w:val="32"/>
          <w:szCs w:val="32"/>
          <w:lang w:eastAsia="en-US"/>
        </w:rPr>
        <w:tab/>
      </w:r>
      <w:r w:rsidR="00490611" w:rsidRPr="00D54922">
        <w:rPr>
          <w:bCs/>
          <w:caps/>
          <w:kern w:val="32"/>
          <w:szCs w:val="32"/>
          <w:lang w:eastAsia="en-US"/>
        </w:rPr>
        <w:t>Stakeholders, roles and responsibilities</w:t>
      </w:r>
    </w:p>
    <w:p w:rsidR="00490611" w:rsidRPr="00D54922" w:rsidRDefault="00490611" w:rsidP="00905E6A">
      <w:pPr>
        <w:spacing w:before="120" w:after="120"/>
        <w:rPr>
          <w:rFonts w:eastAsia="Times New Roman"/>
          <w:u w:val="single"/>
          <w:lang w:eastAsia="en-US"/>
        </w:rPr>
      </w:pPr>
      <w:r w:rsidRPr="00D54922">
        <w:rPr>
          <w:rFonts w:eastAsia="Times New Roman"/>
          <w:u w:val="single"/>
          <w:lang w:eastAsia="en-US"/>
        </w:rPr>
        <w:t>Director General</w:t>
      </w:r>
    </w:p>
    <w:p w:rsidR="00490611" w:rsidRPr="00D54922" w:rsidRDefault="00490611" w:rsidP="006045BD">
      <w:pPr>
        <w:pStyle w:val="ONUME"/>
        <w:numPr>
          <w:ilvl w:val="0"/>
          <w:numId w:val="36"/>
        </w:numPr>
        <w:spacing w:after="0"/>
        <w:ind w:left="0" w:firstLine="0"/>
        <w:rPr>
          <w:rFonts w:eastAsia="Times New Roman"/>
          <w:lang w:eastAsia="en-US"/>
        </w:rPr>
      </w:pPr>
      <w:r w:rsidRPr="00D54922">
        <w:rPr>
          <w:rFonts w:eastAsia="Times New Roman"/>
          <w:lang w:eastAsia="en-US"/>
        </w:rPr>
        <w:t>The Director General will review and give final approval to reports, proposals and recommendations submitted by the Advisory Committee on Investments (ACI).</w:t>
      </w:r>
    </w:p>
    <w:p w:rsidR="00490611" w:rsidRPr="00D54922" w:rsidRDefault="00490611" w:rsidP="00490611">
      <w:pPr>
        <w:rPr>
          <w:rFonts w:eastAsia="Times New Roman"/>
          <w:lang w:eastAsia="en-US"/>
        </w:rPr>
      </w:pPr>
    </w:p>
    <w:p w:rsidR="00490611" w:rsidRPr="00D54922" w:rsidRDefault="00490611" w:rsidP="00D96579">
      <w:pPr>
        <w:pStyle w:val="ONUME"/>
        <w:numPr>
          <w:ilvl w:val="0"/>
          <w:numId w:val="36"/>
        </w:numPr>
        <w:spacing w:after="120"/>
        <w:ind w:left="0" w:firstLine="0"/>
        <w:rPr>
          <w:rFonts w:eastAsia="Times New Roman"/>
          <w:lang w:eastAsia="en-US"/>
        </w:rPr>
      </w:pPr>
      <w:r w:rsidRPr="00D54922">
        <w:rPr>
          <w:rFonts w:eastAsia="Times New Roman"/>
          <w:lang w:eastAsia="en-US"/>
        </w:rPr>
        <w:t>In accordance with Financial Regulations 4.10 and 4.11, the Program and Budget Committee (PBC) shall be informed regularly by the Director General about short-term and long-term investments.</w:t>
      </w:r>
    </w:p>
    <w:p w:rsidR="002F3EC4" w:rsidRPr="00D54922" w:rsidRDefault="002F3EC4" w:rsidP="00873CAC">
      <w:pPr>
        <w:keepNext/>
        <w:keepLines/>
        <w:spacing w:after="240"/>
        <w:rPr>
          <w:rFonts w:eastAsia="Times New Roman"/>
          <w:u w:val="single"/>
          <w:lang w:eastAsia="en-US"/>
        </w:rPr>
      </w:pPr>
      <w:r w:rsidRPr="00D54922">
        <w:rPr>
          <w:rFonts w:eastAsia="Times New Roman"/>
          <w:u w:val="single"/>
          <w:lang w:eastAsia="en-US"/>
        </w:rPr>
        <w:lastRenderedPageBreak/>
        <w:t>Advisory Committee on Investments</w:t>
      </w:r>
    </w:p>
    <w:p w:rsidR="00490611" w:rsidRPr="00D54922" w:rsidRDefault="00D96579" w:rsidP="006045BD">
      <w:pPr>
        <w:pStyle w:val="ONUME"/>
        <w:numPr>
          <w:ilvl w:val="0"/>
          <w:numId w:val="36"/>
        </w:numPr>
        <w:spacing w:after="0"/>
        <w:ind w:left="0" w:firstLine="0"/>
        <w:rPr>
          <w:rFonts w:eastAsia="Times New Roman"/>
          <w:lang w:eastAsia="en-US"/>
        </w:rPr>
      </w:pPr>
      <w:r w:rsidRPr="00D54922">
        <w:rPr>
          <w:rFonts w:eastAsia="Times New Roman"/>
          <w:lang w:eastAsia="en-US"/>
        </w:rPr>
        <w:t>Th</w:t>
      </w:r>
      <w:r w:rsidR="006362BF">
        <w:rPr>
          <w:rFonts w:eastAsia="Times New Roman"/>
          <w:lang w:eastAsia="en-US"/>
        </w:rPr>
        <w:t>e</w:t>
      </w:r>
      <w:r w:rsidRPr="00D54922">
        <w:rPr>
          <w:rFonts w:eastAsia="Times New Roman"/>
          <w:lang w:eastAsia="en-US"/>
        </w:rPr>
        <w:t xml:space="preserve"> Committee </w:t>
      </w:r>
      <w:r w:rsidR="006362BF">
        <w:rPr>
          <w:rFonts w:eastAsia="Times New Roman"/>
          <w:lang w:eastAsia="en-US"/>
        </w:rPr>
        <w:t>will be</w:t>
      </w:r>
      <w:r w:rsidRPr="00D54922">
        <w:rPr>
          <w:rFonts w:eastAsia="Times New Roman"/>
          <w:lang w:eastAsia="en-US"/>
        </w:rPr>
        <w:t xml:space="preserve"> composed of members appointed by the Director General</w:t>
      </w:r>
      <w:r w:rsidR="006362BF">
        <w:rPr>
          <w:rFonts w:eastAsia="Times New Roman"/>
          <w:lang w:eastAsia="en-US"/>
        </w:rPr>
        <w:t>.  An Office Instruction establishing the Committee will be issued by the Director General</w:t>
      </w:r>
      <w:r w:rsidR="003B0FBE" w:rsidRPr="00D54922">
        <w:rPr>
          <w:rFonts w:eastAsia="Times New Roman"/>
          <w:lang w:eastAsia="en-US"/>
        </w:rPr>
        <w:t>.</w:t>
      </w:r>
    </w:p>
    <w:p w:rsidR="00490611" w:rsidRPr="00D54922" w:rsidRDefault="00490611" w:rsidP="00490611">
      <w:pPr>
        <w:rPr>
          <w:rFonts w:eastAsia="Times New Roman"/>
          <w:lang w:eastAsia="en-US"/>
        </w:rPr>
      </w:pPr>
    </w:p>
    <w:p w:rsidR="00490611" w:rsidRPr="00D54922" w:rsidRDefault="00F93192" w:rsidP="00AF4A90">
      <w:pPr>
        <w:pStyle w:val="ONUME"/>
        <w:numPr>
          <w:ilvl w:val="0"/>
          <w:numId w:val="36"/>
        </w:numPr>
        <w:spacing w:after="240"/>
        <w:ind w:left="0" w:firstLine="0"/>
        <w:rPr>
          <w:rFonts w:eastAsia="Times New Roman"/>
          <w:lang w:eastAsia="en-US"/>
        </w:rPr>
      </w:pPr>
      <w:r>
        <w:rPr>
          <w:rFonts w:eastAsia="Times New Roman"/>
          <w:lang w:eastAsia="en-US"/>
        </w:rPr>
        <w:t>T</w:t>
      </w:r>
      <w:r w:rsidR="00490611" w:rsidRPr="00D54922">
        <w:rPr>
          <w:rFonts w:eastAsia="Times New Roman"/>
          <w:lang w:eastAsia="en-US"/>
        </w:rPr>
        <w:t>his Committee provides advice to the Director General in respect of the investment of the Organization’s funds pursuant to Chapter 4, Section C of the Financial Regulations and Rules.  This advice covers such matters as contents of the investment policy, strategy, asset allocation, appropriate performance benchmarks and investment guidelines.  Specific responsibilities are as follows:</w:t>
      </w:r>
    </w:p>
    <w:p w:rsidR="00490611" w:rsidRPr="00D54922" w:rsidRDefault="00490611" w:rsidP="002755DA">
      <w:pPr>
        <w:pStyle w:val="ListParagraph"/>
        <w:keepNext/>
        <w:numPr>
          <w:ilvl w:val="0"/>
          <w:numId w:val="40"/>
        </w:numPr>
        <w:spacing w:before="120" w:after="120"/>
        <w:ind w:left="1170" w:hanging="630"/>
        <w:outlineLvl w:val="1"/>
        <w:rPr>
          <w:bCs/>
          <w:iCs/>
          <w:szCs w:val="28"/>
          <w:u w:val="single"/>
          <w:lang w:eastAsia="en-US"/>
        </w:rPr>
      </w:pPr>
      <w:r w:rsidRPr="00D54922">
        <w:rPr>
          <w:bCs/>
          <w:iCs/>
          <w:szCs w:val="28"/>
          <w:u w:val="single"/>
          <w:lang w:eastAsia="en-US"/>
        </w:rPr>
        <w:t>Execution and monitoring of the investment policy</w:t>
      </w:r>
    </w:p>
    <w:p w:rsidR="00490611" w:rsidRPr="00D54922" w:rsidRDefault="00490611" w:rsidP="000B0BEC">
      <w:pPr>
        <w:pStyle w:val="ONUME"/>
        <w:spacing w:after="240"/>
        <w:ind w:left="1170"/>
        <w:rPr>
          <w:rFonts w:eastAsia="Times New Roman"/>
          <w:lang w:eastAsia="en-US"/>
        </w:rPr>
      </w:pPr>
      <w:r w:rsidRPr="00D54922">
        <w:rPr>
          <w:rFonts w:eastAsia="Times New Roman"/>
          <w:lang w:eastAsia="en-US"/>
        </w:rPr>
        <w:t xml:space="preserve">The ACI will </w:t>
      </w:r>
      <w:r w:rsidR="00BD5EBD" w:rsidRPr="00D54922">
        <w:rPr>
          <w:rFonts w:eastAsia="Times New Roman"/>
          <w:lang w:eastAsia="en-US"/>
        </w:rPr>
        <w:t>oversee</w:t>
      </w:r>
      <w:r w:rsidRPr="00D54922">
        <w:rPr>
          <w:rFonts w:eastAsia="Times New Roman"/>
          <w:lang w:eastAsia="en-US"/>
        </w:rPr>
        <w:t xml:space="preserve"> the implementation and monitor all aspects of the investment policy.  The work will be undertaken on the basis of proposals and reporting from and research carried out by the Treasurer, and will culminate in recommendations from the ACI to the Director General.</w:t>
      </w:r>
    </w:p>
    <w:p w:rsidR="00490611" w:rsidRPr="00D54922" w:rsidRDefault="00490611" w:rsidP="002755DA">
      <w:pPr>
        <w:pStyle w:val="ListParagraph"/>
        <w:keepNext/>
        <w:numPr>
          <w:ilvl w:val="0"/>
          <w:numId w:val="40"/>
        </w:numPr>
        <w:spacing w:before="120" w:after="120"/>
        <w:ind w:left="1170" w:hanging="630"/>
        <w:outlineLvl w:val="1"/>
        <w:rPr>
          <w:bCs/>
          <w:iCs/>
          <w:szCs w:val="28"/>
          <w:u w:val="single"/>
          <w:lang w:eastAsia="en-US"/>
        </w:rPr>
      </w:pPr>
      <w:r w:rsidRPr="00D54922">
        <w:rPr>
          <w:bCs/>
          <w:iCs/>
          <w:szCs w:val="28"/>
          <w:u w:val="single"/>
          <w:lang w:eastAsia="en-US"/>
        </w:rPr>
        <w:t>Review and update of the investment policy</w:t>
      </w:r>
    </w:p>
    <w:p w:rsidR="00490611" w:rsidRPr="00D54922" w:rsidRDefault="00490611" w:rsidP="000B0BEC">
      <w:pPr>
        <w:pStyle w:val="ONUME"/>
        <w:spacing w:after="240"/>
        <w:ind w:left="1170"/>
        <w:rPr>
          <w:rFonts w:eastAsia="Times New Roman"/>
          <w:lang w:eastAsia="en-US"/>
        </w:rPr>
      </w:pPr>
      <w:r w:rsidRPr="00D54922">
        <w:rPr>
          <w:rFonts w:eastAsia="Times New Roman"/>
          <w:lang w:eastAsia="en-US"/>
        </w:rPr>
        <w:t xml:space="preserve">The investment policy will be reviewed annually by the ACI on the basis of recommendations for amendments and/or updates received from the Controller.  Following such review, the ACI’s recommendations will be submitted to the Director General and ultimately to the Member States for approval.  Ad-hoc reviews of the policy </w:t>
      </w:r>
      <w:r w:rsidR="00BD5EBD" w:rsidRPr="00D54922">
        <w:rPr>
          <w:rFonts w:eastAsia="Times New Roman"/>
          <w:lang w:eastAsia="en-US"/>
        </w:rPr>
        <w:t>may</w:t>
      </w:r>
      <w:r w:rsidRPr="00D54922">
        <w:rPr>
          <w:rFonts w:eastAsia="Times New Roman"/>
          <w:lang w:eastAsia="en-US"/>
        </w:rPr>
        <w:t xml:space="preserve"> be undertaken as the result of certain market circumstances or other factors.</w:t>
      </w:r>
    </w:p>
    <w:p w:rsidR="00490611" w:rsidRPr="00D54922" w:rsidRDefault="00490611" w:rsidP="002755DA">
      <w:pPr>
        <w:pStyle w:val="ListParagraph"/>
        <w:keepNext/>
        <w:numPr>
          <w:ilvl w:val="0"/>
          <w:numId w:val="40"/>
        </w:numPr>
        <w:spacing w:before="120" w:after="120"/>
        <w:ind w:left="1170" w:hanging="630"/>
        <w:outlineLvl w:val="1"/>
        <w:rPr>
          <w:bCs/>
          <w:iCs/>
          <w:szCs w:val="28"/>
          <w:u w:val="single"/>
          <w:lang w:eastAsia="en-US"/>
        </w:rPr>
      </w:pPr>
      <w:r w:rsidRPr="00D54922">
        <w:rPr>
          <w:bCs/>
          <w:iCs/>
          <w:szCs w:val="28"/>
          <w:u w:val="single"/>
          <w:lang w:eastAsia="en-US"/>
        </w:rPr>
        <w:t xml:space="preserve">Engagement and discharge of external </w:t>
      </w:r>
      <w:r w:rsidR="00831436" w:rsidRPr="00D54922">
        <w:rPr>
          <w:bCs/>
          <w:iCs/>
          <w:szCs w:val="28"/>
          <w:u w:val="single"/>
          <w:lang w:eastAsia="en-US"/>
        </w:rPr>
        <w:t>fund managers</w:t>
      </w:r>
      <w:r w:rsidRPr="00D54922">
        <w:rPr>
          <w:bCs/>
          <w:iCs/>
          <w:szCs w:val="28"/>
          <w:u w:val="single"/>
          <w:lang w:eastAsia="en-US"/>
        </w:rPr>
        <w:t xml:space="preserve"> and the </w:t>
      </w:r>
      <w:r w:rsidR="0005643A" w:rsidRPr="00D54922">
        <w:rPr>
          <w:bCs/>
          <w:iCs/>
          <w:szCs w:val="28"/>
          <w:u w:val="single"/>
          <w:lang w:eastAsia="en-US"/>
        </w:rPr>
        <w:t>custodian</w:t>
      </w:r>
    </w:p>
    <w:p w:rsidR="00490611" w:rsidRPr="00D54922" w:rsidRDefault="00490611" w:rsidP="000B0BEC">
      <w:pPr>
        <w:pStyle w:val="ONUME"/>
        <w:spacing w:after="0"/>
        <w:ind w:left="1170"/>
        <w:rPr>
          <w:rFonts w:eastAsia="Times New Roman"/>
          <w:lang w:eastAsia="en-US"/>
        </w:rPr>
      </w:pPr>
      <w:r w:rsidRPr="00D54922">
        <w:rPr>
          <w:rFonts w:eastAsia="Times New Roman"/>
          <w:lang w:eastAsia="en-US"/>
        </w:rPr>
        <w:t xml:space="preserve">The ACI, following the approval of the Director General, is responsible for the </w:t>
      </w:r>
      <w:r w:rsidR="00BD5EBD" w:rsidRPr="00D54922">
        <w:rPr>
          <w:rFonts w:eastAsia="Times New Roman"/>
          <w:lang w:eastAsia="en-US"/>
        </w:rPr>
        <w:t xml:space="preserve">engagement </w:t>
      </w:r>
      <w:r w:rsidRPr="00D54922">
        <w:rPr>
          <w:rFonts w:eastAsia="Times New Roman"/>
          <w:lang w:eastAsia="en-US"/>
        </w:rPr>
        <w:t>and dis</w:t>
      </w:r>
      <w:r w:rsidR="00BD5EBD" w:rsidRPr="00D54922">
        <w:rPr>
          <w:rFonts w:eastAsia="Times New Roman"/>
          <w:lang w:eastAsia="en-US"/>
        </w:rPr>
        <w:t>charge</w:t>
      </w:r>
      <w:r w:rsidRPr="00D54922">
        <w:rPr>
          <w:rFonts w:eastAsia="Times New Roman"/>
          <w:lang w:eastAsia="en-US"/>
        </w:rPr>
        <w:t xml:space="preserve"> of external </w:t>
      </w:r>
      <w:r w:rsidR="00831436" w:rsidRPr="00D54922">
        <w:rPr>
          <w:rFonts w:eastAsia="Times New Roman"/>
          <w:lang w:eastAsia="en-US"/>
        </w:rPr>
        <w:t>fund managers</w:t>
      </w:r>
      <w:r w:rsidRPr="00D54922">
        <w:rPr>
          <w:rFonts w:eastAsia="Times New Roman"/>
          <w:lang w:eastAsia="en-US"/>
        </w:rPr>
        <w:t xml:space="preserve"> and the </w:t>
      </w:r>
      <w:r w:rsidR="0005643A" w:rsidRPr="00D54922">
        <w:rPr>
          <w:rFonts w:eastAsia="Times New Roman"/>
          <w:lang w:eastAsia="en-US"/>
        </w:rPr>
        <w:t>custodian</w:t>
      </w:r>
      <w:r w:rsidR="00795641" w:rsidRPr="00D54922">
        <w:rPr>
          <w:rFonts w:eastAsia="Times New Roman"/>
          <w:lang w:eastAsia="en-US"/>
        </w:rPr>
        <w:t xml:space="preserve"> (defined under paragraph 1</w:t>
      </w:r>
      <w:r w:rsidR="006940BD" w:rsidRPr="00D54922">
        <w:rPr>
          <w:rFonts w:eastAsia="Times New Roman"/>
          <w:lang w:eastAsia="en-US"/>
        </w:rPr>
        <w:t>7</w:t>
      </w:r>
      <w:r w:rsidR="00795641" w:rsidRPr="00D54922">
        <w:rPr>
          <w:rFonts w:eastAsia="Times New Roman"/>
          <w:lang w:eastAsia="en-US"/>
        </w:rPr>
        <w:t>)</w:t>
      </w:r>
      <w:r w:rsidRPr="00D54922">
        <w:rPr>
          <w:rFonts w:eastAsia="Times New Roman"/>
          <w:lang w:eastAsia="en-US"/>
        </w:rPr>
        <w:t>.</w:t>
      </w:r>
    </w:p>
    <w:p w:rsidR="00490611" w:rsidRPr="00D54922" w:rsidRDefault="00490611" w:rsidP="002755DA">
      <w:pPr>
        <w:ind w:left="1170" w:hanging="630"/>
        <w:contextualSpacing/>
        <w:rPr>
          <w:rFonts w:eastAsia="Times New Roman"/>
          <w:lang w:eastAsia="en-US"/>
        </w:rPr>
      </w:pPr>
    </w:p>
    <w:p w:rsidR="00490611" w:rsidRPr="00D54922" w:rsidRDefault="00490611" w:rsidP="000B0BEC">
      <w:pPr>
        <w:pStyle w:val="ONUME"/>
        <w:spacing w:after="0"/>
        <w:ind w:left="1170"/>
        <w:rPr>
          <w:rFonts w:eastAsia="Times New Roman"/>
          <w:lang w:eastAsia="en-US"/>
        </w:rPr>
      </w:pPr>
      <w:r w:rsidRPr="00D54922">
        <w:rPr>
          <w:rFonts w:eastAsia="Times New Roman"/>
          <w:lang w:eastAsia="en-US"/>
        </w:rPr>
        <w:t xml:space="preserve">For the selection of external </w:t>
      </w:r>
      <w:r w:rsidR="00831436" w:rsidRPr="00D54922">
        <w:rPr>
          <w:rFonts w:eastAsia="Times New Roman"/>
          <w:lang w:eastAsia="en-US"/>
        </w:rPr>
        <w:t>fund managers</w:t>
      </w:r>
      <w:r w:rsidRPr="00D54922">
        <w:rPr>
          <w:rFonts w:eastAsia="Times New Roman"/>
          <w:lang w:eastAsia="en-US"/>
        </w:rPr>
        <w:t xml:space="preserve"> and the </w:t>
      </w:r>
      <w:r w:rsidR="0005643A" w:rsidRPr="00D54922">
        <w:rPr>
          <w:rFonts w:eastAsia="Times New Roman"/>
          <w:lang w:eastAsia="en-US"/>
        </w:rPr>
        <w:t>custodian</w:t>
      </w:r>
      <w:r w:rsidRPr="00D54922">
        <w:rPr>
          <w:rFonts w:eastAsia="Times New Roman"/>
          <w:lang w:eastAsia="en-US"/>
        </w:rPr>
        <w:t>, a Request for Proposals (RFP) exercise will be conducted in accordance with the Organization’s procurement framework.  The evaluation of proposals received, together with accompanying recommendations, will be submitted to the ACI for final review.</w:t>
      </w:r>
    </w:p>
    <w:p w:rsidR="00490611" w:rsidRPr="00D54922" w:rsidRDefault="00490611" w:rsidP="000B0BEC">
      <w:pPr>
        <w:ind w:left="1170"/>
        <w:contextualSpacing/>
        <w:rPr>
          <w:rFonts w:eastAsia="Times New Roman"/>
          <w:lang w:eastAsia="en-US"/>
        </w:rPr>
      </w:pPr>
    </w:p>
    <w:p w:rsidR="00490611" w:rsidRPr="00D54922" w:rsidRDefault="00490611" w:rsidP="000B0BEC">
      <w:pPr>
        <w:pStyle w:val="ONUME"/>
        <w:spacing w:after="0"/>
        <w:ind w:left="1170"/>
        <w:rPr>
          <w:rFonts w:eastAsia="Times New Roman"/>
          <w:lang w:eastAsia="en-US"/>
        </w:rPr>
      </w:pPr>
      <w:r w:rsidRPr="00D54922">
        <w:rPr>
          <w:rFonts w:eastAsia="Times New Roman"/>
          <w:lang w:eastAsia="en-US"/>
        </w:rPr>
        <w:t xml:space="preserve">External </w:t>
      </w:r>
      <w:r w:rsidR="00831436" w:rsidRPr="00D54922">
        <w:rPr>
          <w:rFonts w:eastAsia="Times New Roman"/>
          <w:lang w:eastAsia="en-US"/>
        </w:rPr>
        <w:t>fund managers</w:t>
      </w:r>
      <w:r w:rsidRPr="00D54922">
        <w:rPr>
          <w:rFonts w:eastAsia="Times New Roman"/>
          <w:lang w:eastAsia="en-US"/>
        </w:rPr>
        <w:t xml:space="preserve"> must fulfill the following initial requirements in order to be considered for the selection process:</w:t>
      </w:r>
    </w:p>
    <w:p w:rsidR="00490611" w:rsidRPr="00D54922" w:rsidRDefault="00490611" w:rsidP="000E7080">
      <w:pPr>
        <w:ind w:left="720"/>
        <w:rPr>
          <w:rFonts w:eastAsia="Times New Roman"/>
          <w:lang w:eastAsia="en-US"/>
        </w:rPr>
      </w:pPr>
    </w:p>
    <w:p w:rsidR="00490611" w:rsidRPr="00D54922" w:rsidRDefault="00490611" w:rsidP="002755DA">
      <w:pPr>
        <w:pStyle w:val="ONUME"/>
        <w:numPr>
          <w:ilvl w:val="0"/>
          <w:numId w:val="21"/>
        </w:numPr>
        <w:tabs>
          <w:tab w:val="left" w:pos="1980"/>
        </w:tabs>
        <w:ind w:left="1710" w:hanging="540"/>
        <w:rPr>
          <w:rFonts w:eastAsia="Times New Roman"/>
          <w:lang w:eastAsia="en-US"/>
        </w:rPr>
      </w:pPr>
      <w:r w:rsidRPr="00D54922">
        <w:rPr>
          <w:rFonts w:eastAsia="Times New Roman"/>
          <w:lang w:eastAsia="en-US"/>
        </w:rPr>
        <w:t>The manager must adhere to the governing legislation and regulation in the relevant country concerning financial services, including the authority of the competent regulatory body;</w:t>
      </w:r>
    </w:p>
    <w:p w:rsidR="00490611" w:rsidRPr="00D54922" w:rsidRDefault="00E42C18" w:rsidP="002755DA">
      <w:pPr>
        <w:pStyle w:val="ONUME"/>
        <w:numPr>
          <w:ilvl w:val="0"/>
          <w:numId w:val="21"/>
        </w:numPr>
        <w:tabs>
          <w:tab w:val="left" w:pos="1980"/>
        </w:tabs>
        <w:ind w:left="1710" w:hanging="540"/>
        <w:rPr>
          <w:rFonts w:eastAsia="Times New Roman"/>
          <w:lang w:eastAsia="en-US"/>
        </w:rPr>
      </w:pPr>
      <w:r w:rsidRPr="00D54922">
        <w:rPr>
          <w:rFonts w:eastAsia="Times New Roman"/>
          <w:lang w:eastAsia="en-US"/>
        </w:rPr>
        <w:t>The manager should endeavo</w:t>
      </w:r>
      <w:r w:rsidR="00490611" w:rsidRPr="00D54922">
        <w:rPr>
          <w:rFonts w:eastAsia="Times New Roman"/>
          <w:lang w:eastAsia="en-US"/>
        </w:rPr>
        <w:t>r to comply with the Global Investment Performance Standards (GIPS)</w:t>
      </w:r>
      <w:r w:rsidR="00490611" w:rsidRPr="00D54922">
        <w:rPr>
          <w:rFonts w:eastAsia="Times New Roman"/>
          <w:vertAlign w:val="superscript"/>
          <w:lang w:eastAsia="en-US"/>
        </w:rPr>
        <w:t xml:space="preserve"> </w:t>
      </w:r>
      <w:r w:rsidR="00490611" w:rsidRPr="00D54922">
        <w:rPr>
          <w:rFonts w:eastAsia="Times New Roman"/>
          <w:vertAlign w:val="superscript"/>
          <w:lang w:eastAsia="en-US"/>
        </w:rPr>
        <w:footnoteReference w:id="7"/>
      </w:r>
      <w:r w:rsidR="00490611" w:rsidRPr="00D54922">
        <w:rPr>
          <w:rFonts w:eastAsia="Times New Roman"/>
          <w:lang w:eastAsia="en-US"/>
        </w:rPr>
        <w:t xml:space="preserve">  and to provide at least historical quarterly performance data, reported net and gross of fees;</w:t>
      </w:r>
    </w:p>
    <w:p w:rsidR="00490611" w:rsidRPr="00D54922" w:rsidRDefault="00490611" w:rsidP="002755DA">
      <w:pPr>
        <w:pStyle w:val="ONUME"/>
        <w:numPr>
          <w:ilvl w:val="0"/>
          <w:numId w:val="21"/>
        </w:numPr>
        <w:tabs>
          <w:tab w:val="left" w:pos="1980"/>
        </w:tabs>
        <w:ind w:left="1710" w:hanging="540"/>
        <w:rPr>
          <w:rFonts w:eastAsia="Times New Roman"/>
          <w:lang w:eastAsia="en-US"/>
        </w:rPr>
      </w:pPr>
      <w:r w:rsidRPr="00D54922">
        <w:rPr>
          <w:rFonts w:eastAsia="Times New Roman"/>
          <w:lang w:eastAsia="en-US"/>
        </w:rPr>
        <w:t>The manager must provide detailed information on the history of the firm, key personnel, key clients, fee schedule and support personnel;</w:t>
      </w:r>
    </w:p>
    <w:p w:rsidR="00490611" w:rsidRPr="00D54922" w:rsidRDefault="00490611" w:rsidP="002755DA">
      <w:pPr>
        <w:pStyle w:val="ONUME"/>
        <w:numPr>
          <w:ilvl w:val="0"/>
          <w:numId w:val="21"/>
        </w:numPr>
        <w:tabs>
          <w:tab w:val="left" w:pos="1980"/>
        </w:tabs>
        <w:ind w:left="1710" w:hanging="540"/>
        <w:rPr>
          <w:rFonts w:eastAsia="Times New Roman"/>
          <w:lang w:eastAsia="en-US"/>
        </w:rPr>
      </w:pPr>
      <w:r w:rsidRPr="00D54922">
        <w:rPr>
          <w:rFonts w:eastAsia="Times New Roman"/>
          <w:lang w:eastAsia="en-US"/>
        </w:rPr>
        <w:t>The manager must clearly articulate the investment strategy that will be followed and document that the strategy has been adhered to over time.</w:t>
      </w:r>
    </w:p>
    <w:p w:rsidR="00490611" w:rsidRPr="00D54922" w:rsidRDefault="00490611" w:rsidP="000B0BEC">
      <w:pPr>
        <w:pStyle w:val="ONUME"/>
        <w:spacing w:after="0"/>
        <w:ind w:left="1170"/>
        <w:rPr>
          <w:rFonts w:eastAsia="Times New Roman"/>
          <w:lang w:eastAsia="en-US"/>
        </w:rPr>
      </w:pPr>
      <w:r w:rsidRPr="00D54922">
        <w:rPr>
          <w:rFonts w:eastAsia="Times New Roman"/>
          <w:lang w:eastAsia="en-US"/>
        </w:rPr>
        <w:lastRenderedPageBreak/>
        <w:t xml:space="preserve">Selected external </w:t>
      </w:r>
      <w:r w:rsidR="00831436" w:rsidRPr="00D54922">
        <w:rPr>
          <w:rFonts w:eastAsia="Times New Roman"/>
          <w:lang w:eastAsia="en-US"/>
        </w:rPr>
        <w:t>fund managers</w:t>
      </w:r>
      <w:r w:rsidRPr="00D54922">
        <w:rPr>
          <w:rFonts w:eastAsia="Times New Roman"/>
          <w:lang w:eastAsia="en-US"/>
        </w:rPr>
        <w:t xml:space="preserve"> are formally </w:t>
      </w:r>
      <w:r w:rsidR="00BD5EBD" w:rsidRPr="00D54922">
        <w:rPr>
          <w:rFonts w:eastAsia="Times New Roman"/>
          <w:lang w:eastAsia="en-US"/>
        </w:rPr>
        <w:t>engaged</w:t>
      </w:r>
      <w:r w:rsidRPr="00D54922">
        <w:rPr>
          <w:rFonts w:eastAsia="Times New Roman"/>
          <w:lang w:eastAsia="en-US"/>
        </w:rPr>
        <w:t xml:space="preserve"> on the signing of their investment management </w:t>
      </w:r>
      <w:r w:rsidR="00BD5EBD" w:rsidRPr="00D54922">
        <w:rPr>
          <w:rFonts w:eastAsia="Times New Roman"/>
          <w:lang w:eastAsia="en-US"/>
        </w:rPr>
        <w:t>contracts</w:t>
      </w:r>
      <w:r w:rsidRPr="00D54922">
        <w:rPr>
          <w:rFonts w:eastAsia="Times New Roman"/>
          <w:lang w:eastAsia="en-US"/>
        </w:rPr>
        <w:t xml:space="preserve">.  The </w:t>
      </w:r>
      <w:r w:rsidR="00BD5EBD" w:rsidRPr="00D54922">
        <w:rPr>
          <w:rFonts w:eastAsia="Times New Roman"/>
          <w:lang w:eastAsia="en-US"/>
        </w:rPr>
        <w:t>contracts</w:t>
      </w:r>
      <w:r w:rsidRPr="00D54922">
        <w:rPr>
          <w:rFonts w:eastAsia="Times New Roman"/>
          <w:lang w:eastAsia="en-US"/>
        </w:rPr>
        <w:t xml:space="preserve"> outline in detail the responsibilities of the </w:t>
      </w:r>
      <w:r w:rsidR="00831436" w:rsidRPr="00D54922">
        <w:rPr>
          <w:rFonts w:eastAsia="Times New Roman"/>
          <w:lang w:eastAsia="en-US"/>
        </w:rPr>
        <w:t>fund managers</w:t>
      </w:r>
      <w:r w:rsidRPr="00D54922">
        <w:rPr>
          <w:rFonts w:eastAsia="Times New Roman"/>
          <w:vertAlign w:val="superscript"/>
          <w:lang w:eastAsia="en-US"/>
        </w:rPr>
        <w:footnoteReference w:id="8"/>
      </w:r>
      <w:r w:rsidRPr="00D54922">
        <w:rPr>
          <w:rFonts w:eastAsia="Times New Roman"/>
          <w:lang w:eastAsia="en-US"/>
        </w:rPr>
        <w:t xml:space="preserve">.  Such </w:t>
      </w:r>
      <w:r w:rsidR="00BD5EBD" w:rsidRPr="00D54922">
        <w:rPr>
          <w:rFonts w:eastAsia="Times New Roman"/>
          <w:lang w:eastAsia="en-US"/>
        </w:rPr>
        <w:t>contracts</w:t>
      </w:r>
      <w:r w:rsidRPr="00D54922">
        <w:rPr>
          <w:rFonts w:eastAsia="Times New Roman"/>
          <w:lang w:eastAsia="en-US"/>
        </w:rPr>
        <w:t>, based upon the recommendation of the ACI, will be signed on behalf of WIPO in accordance with its procurement framework.</w:t>
      </w:r>
    </w:p>
    <w:p w:rsidR="002755DA" w:rsidRPr="00D54922" w:rsidRDefault="002755DA" w:rsidP="002755DA">
      <w:pPr>
        <w:pStyle w:val="ONUME"/>
        <w:spacing w:after="0"/>
        <w:ind w:left="1170"/>
        <w:rPr>
          <w:rFonts w:eastAsia="Times New Roman"/>
          <w:lang w:eastAsia="en-US"/>
        </w:rPr>
      </w:pPr>
    </w:p>
    <w:p w:rsidR="00490611" w:rsidRPr="00D54922" w:rsidRDefault="00490611" w:rsidP="002755DA">
      <w:pPr>
        <w:pStyle w:val="ONUME"/>
        <w:numPr>
          <w:ilvl w:val="0"/>
          <w:numId w:val="40"/>
        </w:numPr>
        <w:spacing w:after="0"/>
        <w:ind w:left="1170" w:hanging="630"/>
        <w:rPr>
          <w:bCs/>
          <w:iCs/>
          <w:szCs w:val="28"/>
          <w:u w:val="single"/>
          <w:lang w:eastAsia="en-US"/>
        </w:rPr>
      </w:pPr>
      <w:r w:rsidRPr="00D54922">
        <w:rPr>
          <w:bCs/>
          <w:iCs/>
          <w:szCs w:val="28"/>
          <w:u w:val="single"/>
          <w:lang w:eastAsia="en-US"/>
        </w:rPr>
        <w:t xml:space="preserve">Monitoring external </w:t>
      </w:r>
      <w:r w:rsidR="00831436" w:rsidRPr="00D54922">
        <w:rPr>
          <w:bCs/>
          <w:iCs/>
          <w:szCs w:val="28"/>
          <w:u w:val="single"/>
          <w:lang w:eastAsia="en-US"/>
        </w:rPr>
        <w:t>fund managers</w:t>
      </w:r>
      <w:r w:rsidRPr="00D54922">
        <w:rPr>
          <w:bCs/>
          <w:iCs/>
          <w:szCs w:val="28"/>
          <w:u w:val="single"/>
          <w:lang w:eastAsia="en-US"/>
        </w:rPr>
        <w:t xml:space="preserve"> and the </w:t>
      </w:r>
      <w:r w:rsidR="0005643A" w:rsidRPr="00D54922">
        <w:rPr>
          <w:bCs/>
          <w:iCs/>
          <w:szCs w:val="28"/>
          <w:u w:val="single"/>
          <w:lang w:eastAsia="en-US"/>
        </w:rPr>
        <w:t>custodian</w:t>
      </w:r>
    </w:p>
    <w:p w:rsidR="002755DA" w:rsidRPr="00D54922" w:rsidRDefault="002755DA" w:rsidP="002755DA">
      <w:pPr>
        <w:pStyle w:val="ONUME"/>
        <w:spacing w:after="0"/>
        <w:ind w:left="1170"/>
        <w:rPr>
          <w:bCs/>
          <w:iCs/>
          <w:szCs w:val="28"/>
          <w:u w:val="single"/>
          <w:lang w:eastAsia="en-US"/>
        </w:rPr>
      </w:pPr>
    </w:p>
    <w:p w:rsidR="00490611" w:rsidRPr="00D54922" w:rsidRDefault="00490611" w:rsidP="002755DA">
      <w:pPr>
        <w:pStyle w:val="ONUME"/>
        <w:spacing w:after="0"/>
        <w:ind w:left="1170"/>
        <w:rPr>
          <w:rFonts w:eastAsia="Times New Roman"/>
          <w:lang w:eastAsia="en-US"/>
        </w:rPr>
      </w:pPr>
      <w:r w:rsidRPr="00D54922">
        <w:rPr>
          <w:rFonts w:eastAsia="Times New Roman"/>
          <w:lang w:eastAsia="en-US"/>
        </w:rPr>
        <w:t xml:space="preserve">The ACI, reporting to the Director General, will ensure that appointed </w:t>
      </w:r>
      <w:r w:rsidR="00831436" w:rsidRPr="00D54922">
        <w:rPr>
          <w:rFonts w:eastAsia="Times New Roman"/>
          <w:lang w:eastAsia="en-US"/>
        </w:rPr>
        <w:t>fund managers</w:t>
      </w:r>
      <w:r w:rsidRPr="00D54922">
        <w:rPr>
          <w:rFonts w:eastAsia="Times New Roman"/>
          <w:lang w:eastAsia="en-US"/>
        </w:rPr>
        <w:t xml:space="preserve"> fulfill their mandates within the contractual obligations outlined in the relevant investment management </w:t>
      </w:r>
      <w:r w:rsidR="00BD5EBD" w:rsidRPr="00D54922">
        <w:rPr>
          <w:rFonts w:eastAsia="Times New Roman"/>
          <w:lang w:eastAsia="en-US"/>
        </w:rPr>
        <w:t>contract</w:t>
      </w:r>
      <w:r w:rsidRPr="00D54922">
        <w:rPr>
          <w:rFonts w:eastAsia="Times New Roman"/>
          <w:lang w:eastAsia="en-US"/>
        </w:rPr>
        <w:t xml:space="preserve">, including the investment guidelines incorporated into each </w:t>
      </w:r>
      <w:r w:rsidR="00BD5EBD" w:rsidRPr="00D54922">
        <w:rPr>
          <w:rFonts w:eastAsia="Times New Roman"/>
          <w:lang w:eastAsia="en-US"/>
        </w:rPr>
        <w:t>contract</w:t>
      </w:r>
      <w:r w:rsidRPr="00D54922">
        <w:rPr>
          <w:rFonts w:eastAsia="Times New Roman"/>
          <w:lang w:eastAsia="en-US"/>
        </w:rPr>
        <w:t xml:space="preserve">.  This work will be done on the basis of quarterly reports received from the Treasurer regarding the performance of external </w:t>
      </w:r>
      <w:r w:rsidR="00831436" w:rsidRPr="00D54922">
        <w:rPr>
          <w:rFonts w:eastAsia="Times New Roman"/>
          <w:lang w:eastAsia="en-US"/>
        </w:rPr>
        <w:t>fund managers</w:t>
      </w:r>
      <w:r w:rsidRPr="00D54922">
        <w:rPr>
          <w:rFonts w:eastAsia="Times New Roman"/>
          <w:lang w:eastAsia="en-US"/>
        </w:rPr>
        <w:t xml:space="preserve"> relative to benchmarks and other key performance indicators and the performance and risk statistics provided by the </w:t>
      </w:r>
      <w:r w:rsidR="0005643A" w:rsidRPr="00D54922">
        <w:rPr>
          <w:rFonts w:eastAsia="Times New Roman"/>
          <w:lang w:eastAsia="en-US"/>
        </w:rPr>
        <w:t>custodian</w:t>
      </w:r>
      <w:r w:rsidRPr="00D54922">
        <w:rPr>
          <w:rFonts w:eastAsia="Times New Roman"/>
          <w:lang w:eastAsia="en-US"/>
        </w:rPr>
        <w:t>.  The ACI will undertake a quarterly review of inve</w:t>
      </w:r>
      <w:r w:rsidR="00ED46FA" w:rsidRPr="00D54922">
        <w:rPr>
          <w:rFonts w:eastAsia="Times New Roman"/>
          <w:lang w:eastAsia="en-US"/>
        </w:rPr>
        <w:t>stment strategies (or, on an ad</w:t>
      </w:r>
      <w:r w:rsidR="00ED46FA" w:rsidRPr="00D54922">
        <w:rPr>
          <w:rFonts w:eastAsia="Times New Roman"/>
          <w:lang w:eastAsia="en-US"/>
        </w:rPr>
        <w:noBreakHyphen/>
      </w:r>
      <w:r w:rsidRPr="00D54922">
        <w:rPr>
          <w:rFonts w:eastAsia="Times New Roman"/>
          <w:lang w:eastAsia="en-US"/>
        </w:rPr>
        <w:t xml:space="preserve">hoc basis, as required) and will hold regular review meetings with external </w:t>
      </w:r>
      <w:r w:rsidR="00831436" w:rsidRPr="00D54922">
        <w:rPr>
          <w:rFonts w:eastAsia="Times New Roman"/>
          <w:lang w:eastAsia="en-US"/>
        </w:rPr>
        <w:t>fund managers</w:t>
      </w:r>
      <w:r w:rsidRPr="00D54922">
        <w:rPr>
          <w:rFonts w:eastAsia="Times New Roman"/>
          <w:lang w:eastAsia="en-US"/>
        </w:rPr>
        <w:t xml:space="preserve"> and other service providers.</w:t>
      </w:r>
    </w:p>
    <w:p w:rsidR="00490611" w:rsidRPr="00D54922" w:rsidRDefault="00490611" w:rsidP="000E7080">
      <w:pPr>
        <w:ind w:left="720"/>
        <w:contextualSpacing/>
        <w:rPr>
          <w:rFonts w:eastAsia="Times New Roman"/>
          <w:lang w:eastAsia="en-US"/>
        </w:rPr>
      </w:pPr>
    </w:p>
    <w:p w:rsidR="00490611" w:rsidRPr="00D54922" w:rsidRDefault="00490611" w:rsidP="002755DA">
      <w:pPr>
        <w:pStyle w:val="ONUME"/>
        <w:numPr>
          <w:ilvl w:val="0"/>
          <w:numId w:val="40"/>
        </w:numPr>
        <w:spacing w:after="0"/>
        <w:ind w:left="1170" w:hanging="630"/>
        <w:rPr>
          <w:rFonts w:eastAsia="Times New Roman"/>
          <w:lang w:eastAsia="en-US"/>
        </w:rPr>
      </w:pPr>
      <w:r w:rsidRPr="00D54922">
        <w:rPr>
          <w:rFonts w:eastAsia="Times New Roman"/>
          <w:lang w:eastAsia="en-US"/>
        </w:rPr>
        <w:t xml:space="preserve">With regard to the </w:t>
      </w:r>
      <w:r w:rsidR="0005643A" w:rsidRPr="00D54922">
        <w:rPr>
          <w:rFonts w:eastAsia="Times New Roman"/>
          <w:lang w:eastAsia="en-US"/>
        </w:rPr>
        <w:t>custodian</w:t>
      </w:r>
      <w:r w:rsidRPr="00D54922">
        <w:rPr>
          <w:rFonts w:eastAsia="Times New Roman"/>
          <w:lang w:eastAsia="en-US"/>
        </w:rPr>
        <w:t>, the ACI, on the basis of reports received from the Treasurer and reporting to the Director General, will ensure the following:</w:t>
      </w:r>
    </w:p>
    <w:p w:rsidR="00490611" w:rsidRPr="00D54922" w:rsidRDefault="00490611" w:rsidP="000E7080">
      <w:pPr>
        <w:ind w:left="720"/>
        <w:rPr>
          <w:rFonts w:eastAsia="Times New Roman"/>
          <w:lang w:eastAsia="en-US"/>
        </w:rPr>
      </w:pPr>
    </w:p>
    <w:p w:rsidR="00490611" w:rsidRPr="00D54922" w:rsidRDefault="00490611" w:rsidP="002755DA">
      <w:pPr>
        <w:pStyle w:val="ONUME"/>
        <w:numPr>
          <w:ilvl w:val="0"/>
          <w:numId w:val="31"/>
        </w:numPr>
        <w:tabs>
          <w:tab w:val="left" w:pos="1980"/>
        </w:tabs>
        <w:ind w:left="1710" w:hanging="540"/>
        <w:rPr>
          <w:rFonts w:eastAsia="Times New Roman"/>
          <w:lang w:eastAsia="en-US"/>
        </w:rPr>
      </w:pPr>
      <w:r w:rsidRPr="00D54922">
        <w:rPr>
          <w:rFonts w:eastAsia="Times New Roman"/>
          <w:lang w:eastAsia="en-US"/>
        </w:rPr>
        <w:t>Adherence to the master custody agreement;</w:t>
      </w:r>
    </w:p>
    <w:p w:rsidR="00490611" w:rsidRPr="00D54922" w:rsidRDefault="00490611" w:rsidP="002755DA">
      <w:pPr>
        <w:pStyle w:val="ONUME"/>
        <w:numPr>
          <w:ilvl w:val="0"/>
          <w:numId w:val="31"/>
        </w:numPr>
        <w:tabs>
          <w:tab w:val="left" w:pos="1980"/>
        </w:tabs>
        <w:ind w:left="1710" w:hanging="540"/>
        <w:rPr>
          <w:rFonts w:eastAsia="Times New Roman"/>
          <w:lang w:eastAsia="en-US"/>
        </w:rPr>
      </w:pPr>
      <w:r w:rsidRPr="00D54922">
        <w:rPr>
          <w:rFonts w:eastAsia="Times New Roman"/>
          <w:lang w:eastAsia="en-US"/>
        </w:rPr>
        <w:t>Adherence to the service-level agreement and key performance indicators that form part of the master custody agreement;  and</w:t>
      </w:r>
    </w:p>
    <w:p w:rsidR="00490611" w:rsidRPr="00D54922" w:rsidRDefault="00490611" w:rsidP="002755DA">
      <w:pPr>
        <w:pStyle w:val="ONUME"/>
        <w:numPr>
          <w:ilvl w:val="0"/>
          <w:numId w:val="31"/>
        </w:numPr>
        <w:tabs>
          <w:tab w:val="left" w:pos="1980"/>
        </w:tabs>
        <w:spacing w:after="240"/>
        <w:ind w:left="1710" w:hanging="540"/>
        <w:rPr>
          <w:rFonts w:eastAsia="Times New Roman"/>
          <w:lang w:eastAsia="en-US"/>
        </w:rPr>
      </w:pPr>
      <w:r w:rsidRPr="00D54922">
        <w:rPr>
          <w:rFonts w:eastAsia="Times New Roman"/>
          <w:lang w:eastAsia="en-US"/>
        </w:rPr>
        <w:t>Regular service review meetings.</w:t>
      </w:r>
    </w:p>
    <w:p w:rsidR="001A3CA6" w:rsidRPr="00D54922" w:rsidRDefault="001A3CA6" w:rsidP="00C73BC5">
      <w:pPr>
        <w:pStyle w:val="ONUME"/>
        <w:numPr>
          <w:ilvl w:val="0"/>
          <w:numId w:val="40"/>
        </w:numPr>
        <w:spacing w:after="0"/>
        <w:ind w:left="1170" w:hanging="630"/>
        <w:rPr>
          <w:rFonts w:eastAsia="Times New Roman"/>
          <w:lang w:eastAsia="en-US"/>
        </w:rPr>
      </w:pPr>
      <w:r w:rsidRPr="00D54922">
        <w:rPr>
          <w:bCs/>
          <w:szCs w:val="28"/>
          <w:u w:val="single"/>
          <w:lang w:eastAsia="en-US"/>
        </w:rPr>
        <w:t>Asset allocation</w:t>
      </w:r>
    </w:p>
    <w:p w:rsidR="00C73BC5" w:rsidRPr="00D54922" w:rsidRDefault="00C73BC5" w:rsidP="00C73BC5">
      <w:pPr>
        <w:pStyle w:val="ONUME"/>
        <w:spacing w:after="0"/>
        <w:ind w:left="1170"/>
        <w:rPr>
          <w:rFonts w:eastAsia="Times New Roman"/>
          <w:lang w:eastAsia="en-US"/>
        </w:rPr>
      </w:pPr>
    </w:p>
    <w:p w:rsidR="00490611" w:rsidRPr="00D54922" w:rsidRDefault="00490611" w:rsidP="00C73BC5">
      <w:pPr>
        <w:pStyle w:val="ONUME"/>
        <w:spacing w:after="0"/>
        <w:ind w:left="1170" w:hanging="36"/>
        <w:rPr>
          <w:rFonts w:eastAsia="Times New Roman"/>
          <w:lang w:eastAsia="en-US"/>
        </w:rPr>
      </w:pPr>
      <w:r w:rsidRPr="00D54922">
        <w:rPr>
          <w:rFonts w:eastAsia="Times New Roman"/>
          <w:lang w:eastAsia="en-US"/>
        </w:rPr>
        <w:t xml:space="preserve">The asset allocation for strategic cash is driven by the financial and actuarial characteristics of the ASHI liabilities.  The initial allocation will be determined by the ACI on the basis of an Asset and Liability Management (ALM) study performed by a professional financial advisor and will be approved by the Director General.  Thereafter, the strategic asset allocation shall be reviewed in a three-year cycle by an </w:t>
      </w:r>
      <w:r w:rsidR="001A3CA6" w:rsidRPr="00D54922">
        <w:rPr>
          <w:rFonts w:eastAsia="Times New Roman"/>
          <w:lang w:eastAsia="en-US"/>
        </w:rPr>
        <w:t>ALM study.</w:t>
      </w:r>
      <w:r w:rsidRPr="00D54922">
        <w:rPr>
          <w:rFonts w:eastAsia="Times New Roman"/>
          <w:lang w:eastAsia="en-US"/>
        </w:rPr>
        <w:t xml:space="preserve">  The results of such studies will be reviewed by the ACI which will recommend any adjustments necessary to the investment portfolio composition.  Such recommendations will be submitted to the Director General for approval.</w:t>
      </w:r>
    </w:p>
    <w:p w:rsidR="00490611" w:rsidRPr="00D54922" w:rsidRDefault="00490611" w:rsidP="005B7410">
      <w:pPr>
        <w:contextualSpacing/>
        <w:rPr>
          <w:rFonts w:eastAsia="Times New Roman"/>
          <w:lang w:eastAsia="en-US"/>
        </w:rPr>
      </w:pPr>
    </w:p>
    <w:p w:rsidR="00490611" w:rsidRPr="00D54922" w:rsidRDefault="00B4081C" w:rsidP="006045BD">
      <w:pPr>
        <w:pStyle w:val="ONUME"/>
        <w:numPr>
          <w:ilvl w:val="0"/>
          <w:numId w:val="36"/>
        </w:numPr>
        <w:spacing w:after="240"/>
        <w:ind w:left="0" w:firstLine="0"/>
        <w:rPr>
          <w:rFonts w:eastAsia="Times New Roman"/>
          <w:lang w:eastAsia="en-US"/>
        </w:rPr>
      </w:pPr>
      <w:r w:rsidRPr="00D54922">
        <w:rPr>
          <w:rFonts w:eastAsia="Times New Roman"/>
          <w:lang w:eastAsia="en-US"/>
        </w:rPr>
        <w:t>In order to carry out the responsi</w:t>
      </w:r>
      <w:r w:rsidR="000E7080" w:rsidRPr="00D54922">
        <w:rPr>
          <w:rFonts w:eastAsia="Times New Roman"/>
          <w:lang w:eastAsia="en-US"/>
        </w:rPr>
        <w:t xml:space="preserve">bilities described </w:t>
      </w:r>
      <w:r w:rsidR="00062329" w:rsidRPr="00D54922">
        <w:rPr>
          <w:rFonts w:eastAsia="Times New Roman"/>
          <w:lang w:eastAsia="en-US"/>
        </w:rPr>
        <w:t>under</w:t>
      </w:r>
      <w:r w:rsidR="000E7080" w:rsidRPr="00D54922">
        <w:rPr>
          <w:rFonts w:eastAsia="Times New Roman"/>
          <w:lang w:eastAsia="en-US"/>
        </w:rPr>
        <w:t xml:space="preserve"> paragraph 8</w:t>
      </w:r>
      <w:r w:rsidRPr="00D54922">
        <w:rPr>
          <w:rFonts w:eastAsia="Times New Roman"/>
          <w:lang w:eastAsia="en-US"/>
        </w:rPr>
        <w:t xml:space="preserve"> above</w:t>
      </w:r>
      <w:r w:rsidR="00490611" w:rsidRPr="00D54922">
        <w:rPr>
          <w:rFonts w:eastAsia="Times New Roman"/>
          <w:lang w:eastAsia="en-US"/>
        </w:rPr>
        <w:t>, the Committee may retain the services of experts outside the Organization having substantial experience in the financial sector.  The ACI will meet at least quarterly.</w:t>
      </w:r>
    </w:p>
    <w:p w:rsidR="00490611" w:rsidRPr="00D54922" w:rsidRDefault="00490611" w:rsidP="005B7410">
      <w:pPr>
        <w:spacing w:before="120" w:after="120"/>
        <w:rPr>
          <w:rFonts w:eastAsia="Times New Roman"/>
          <w:u w:val="single"/>
          <w:lang w:eastAsia="en-US"/>
        </w:rPr>
      </w:pPr>
      <w:r w:rsidRPr="00D54922">
        <w:rPr>
          <w:rFonts w:eastAsia="Times New Roman"/>
          <w:u w:val="single"/>
          <w:lang w:eastAsia="en-US"/>
        </w:rPr>
        <w:t>Controller</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In accordance with Rule 104.10 the authority to make and prudently manage investments in accordance with the investment policy approved by Member States under Regulations 4.10 and 4.11, is delegated to the Controller.</w:t>
      </w:r>
    </w:p>
    <w:p w:rsidR="00490611" w:rsidRPr="00D54922" w:rsidRDefault="00490611" w:rsidP="00B267F9">
      <w:pPr>
        <w:pStyle w:val="ONUME"/>
        <w:numPr>
          <w:ilvl w:val="0"/>
          <w:numId w:val="36"/>
        </w:numPr>
        <w:spacing w:after="240"/>
        <w:ind w:left="0" w:firstLine="0"/>
        <w:rPr>
          <w:rFonts w:eastAsia="Times New Roman"/>
          <w:lang w:eastAsia="en-US"/>
        </w:rPr>
      </w:pPr>
      <w:r w:rsidRPr="00D54922">
        <w:rPr>
          <w:rFonts w:eastAsia="Times New Roman"/>
          <w:lang w:eastAsia="en-US"/>
        </w:rPr>
        <w:t>The Controller ensures, by establishing appropriate guidelines</w:t>
      </w:r>
      <w:r w:rsidRPr="00D54922">
        <w:rPr>
          <w:rFonts w:eastAsia="Times New Roman"/>
          <w:vertAlign w:val="superscript"/>
          <w:lang w:eastAsia="en-US"/>
        </w:rPr>
        <w:footnoteReference w:id="9"/>
      </w:r>
      <w:r w:rsidRPr="00D54922">
        <w:rPr>
          <w:rFonts w:eastAsia="Times New Roman"/>
          <w:lang w:eastAsia="en-US"/>
        </w:rPr>
        <w:t xml:space="preserve">, that funds are held in such currencies and such asset classes, in accordance with the asset allocation approved by </w:t>
      </w:r>
      <w:r w:rsidRPr="00D54922">
        <w:rPr>
          <w:rFonts w:eastAsia="Times New Roman"/>
          <w:lang w:eastAsia="en-US"/>
        </w:rPr>
        <w:lastRenderedPageBreak/>
        <w:t xml:space="preserve">the Director General, so as to place primary emphasis on minimizing the risk to principal funds while ensuring the liquidity necessary to meet the Organization’s cashflow requirements.  </w:t>
      </w:r>
      <w:r w:rsidR="00B267F9" w:rsidRPr="00D54922">
        <w:rPr>
          <w:rFonts w:eastAsia="Times New Roman"/>
          <w:lang w:eastAsia="en-US"/>
        </w:rPr>
        <w:t>In addition, investments as well as the currencies in which they are held, shall be selected by the Controller, on the basis of this investment policy and on the basis of reports, research and proposals received from the Treasurer and any recommendations made thereon by the ACI</w:t>
      </w:r>
      <w:r w:rsidRPr="00D54922">
        <w:rPr>
          <w:rFonts w:eastAsia="Times New Roman"/>
          <w:lang w:eastAsia="en-US"/>
        </w:rPr>
        <w:t>.</w:t>
      </w:r>
    </w:p>
    <w:p w:rsidR="00490611" w:rsidRPr="00D54922" w:rsidRDefault="00490611" w:rsidP="005B7410">
      <w:pPr>
        <w:keepNext/>
        <w:keepLines/>
        <w:spacing w:before="120" w:after="120"/>
        <w:rPr>
          <w:rFonts w:eastAsia="Times New Roman"/>
          <w:u w:val="single"/>
          <w:lang w:eastAsia="en-US"/>
        </w:rPr>
      </w:pPr>
      <w:r w:rsidRPr="00D54922">
        <w:rPr>
          <w:rFonts w:eastAsia="Times New Roman"/>
          <w:u w:val="single"/>
          <w:lang w:eastAsia="en-US"/>
        </w:rPr>
        <w:t>Treasurer, Finance Division</w:t>
      </w:r>
    </w:p>
    <w:p w:rsidR="00490611" w:rsidRPr="00D54922" w:rsidRDefault="00A41875" w:rsidP="006045BD">
      <w:pPr>
        <w:pStyle w:val="ONUME"/>
        <w:numPr>
          <w:ilvl w:val="0"/>
          <w:numId w:val="36"/>
        </w:numPr>
        <w:spacing w:after="240"/>
        <w:ind w:left="0" w:firstLine="0"/>
        <w:rPr>
          <w:rFonts w:eastAsia="Times New Roman"/>
          <w:lang w:eastAsia="en-US"/>
        </w:rPr>
      </w:pPr>
      <w:r w:rsidRPr="00D54922">
        <w:rPr>
          <w:rFonts w:eastAsia="Times New Roman"/>
          <w:lang w:eastAsia="en-US"/>
        </w:rPr>
        <w:t xml:space="preserve">This person, reporting to the Finance Director, who also acts as the Secretary to the ACI, is responsible for carrying out investment activities and reporting of all investments made. </w:t>
      </w:r>
      <w:r w:rsidR="00490611" w:rsidRPr="00D54922">
        <w:rPr>
          <w:rFonts w:eastAsia="Times New Roman"/>
          <w:lang w:eastAsia="en-US"/>
        </w:rPr>
        <w:t xml:space="preserve"> The Treasurer liaises with external fund managers and the </w:t>
      </w:r>
      <w:r w:rsidR="0005643A" w:rsidRPr="00D54922">
        <w:rPr>
          <w:rFonts w:eastAsia="Times New Roman"/>
          <w:lang w:eastAsia="en-US"/>
        </w:rPr>
        <w:t>custodian</w:t>
      </w:r>
      <w:r w:rsidR="00490611" w:rsidRPr="00D54922">
        <w:rPr>
          <w:rFonts w:eastAsia="Times New Roman"/>
          <w:lang w:eastAsia="en-US"/>
        </w:rPr>
        <w:t xml:space="preserve"> and prepares quarterly reports on the current status of investments for submission to the ACI, via the Controller.  These reports will cover performance relative to benchmarks and risk statistics.  A further responsibility includes monitoring the criteria which would result in placing an investment manager on “watch” for consideration of possible replacement.  The resulting report will be submitted to the ACI, via the Controller.  This person also undertakes a month-end review of trade executions and monitors financial markets.</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The Treasurer is responsible for managing relationships with banks and all other financial counterparties, including quarterly monitoring of their credit ratings.</w:t>
      </w:r>
    </w:p>
    <w:p w:rsidR="00490611" w:rsidRPr="00D54922" w:rsidRDefault="00490611" w:rsidP="005B7410">
      <w:pPr>
        <w:spacing w:before="120" w:after="120"/>
        <w:rPr>
          <w:rFonts w:eastAsia="Times New Roman"/>
          <w:u w:val="single"/>
          <w:lang w:eastAsia="en-US"/>
        </w:rPr>
      </w:pPr>
      <w:r w:rsidRPr="00D54922">
        <w:rPr>
          <w:rFonts w:eastAsia="Times New Roman"/>
          <w:u w:val="single"/>
          <w:lang w:eastAsia="en-US"/>
        </w:rPr>
        <w:t xml:space="preserve">External </w:t>
      </w:r>
      <w:r w:rsidR="00831436" w:rsidRPr="00D54922">
        <w:rPr>
          <w:rFonts w:eastAsia="Times New Roman"/>
          <w:u w:val="single"/>
          <w:lang w:eastAsia="en-US"/>
        </w:rPr>
        <w:t>fund managers</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This term refers to individuals and companies which provide investment management services whereby assets such as shares, bonds and real estate are professionally managed in order to meet specified investment goals for the benefit of the Organization.</w:t>
      </w:r>
    </w:p>
    <w:p w:rsidR="00490611" w:rsidRPr="00D54922" w:rsidRDefault="0005643A" w:rsidP="005B7410">
      <w:pPr>
        <w:spacing w:before="120" w:after="120"/>
        <w:rPr>
          <w:rFonts w:eastAsia="Times New Roman"/>
          <w:u w:val="single"/>
          <w:lang w:eastAsia="en-US"/>
        </w:rPr>
      </w:pPr>
      <w:r w:rsidRPr="00D54922">
        <w:rPr>
          <w:rFonts w:eastAsia="Times New Roman"/>
          <w:u w:val="single"/>
          <w:lang w:eastAsia="en-US"/>
        </w:rPr>
        <w:t>Custodian</w:t>
      </w:r>
    </w:p>
    <w:p w:rsidR="00490611" w:rsidRPr="00D54922" w:rsidRDefault="00490611" w:rsidP="006045BD">
      <w:pPr>
        <w:pStyle w:val="ONUME"/>
        <w:numPr>
          <w:ilvl w:val="0"/>
          <w:numId w:val="36"/>
        </w:numPr>
        <w:spacing w:after="0"/>
        <w:ind w:left="0" w:firstLine="0"/>
        <w:rPr>
          <w:rFonts w:eastAsia="Times New Roman"/>
          <w:lang w:eastAsia="en-US"/>
        </w:rPr>
      </w:pPr>
      <w:r w:rsidRPr="00D54922">
        <w:rPr>
          <w:rFonts w:eastAsia="Times New Roman"/>
          <w:lang w:eastAsia="en-US"/>
        </w:rPr>
        <w:t xml:space="preserve">This is the financial institution responsible for safeguarding the Organization’s financial assets.  The custodian holds assets such as shares and bonds and arranges settlement of any purchases and sales of such assets and collection of income.  The custodian may provide other services such as risk analysis, monitoring the performance of the external </w:t>
      </w:r>
      <w:r w:rsidR="00831436" w:rsidRPr="00D54922">
        <w:rPr>
          <w:rFonts w:eastAsia="Times New Roman"/>
          <w:lang w:eastAsia="en-US"/>
        </w:rPr>
        <w:t>fund managers</w:t>
      </w:r>
      <w:r w:rsidRPr="00D54922">
        <w:rPr>
          <w:rFonts w:eastAsia="Times New Roman"/>
          <w:lang w:eastAsia="en-US"/>
        </w:rPr>
        <w:t xml:space="preserve"> and compliance reporting.</w:t>
      </w:r>
    </w:p>
    <w:p w:rsidR="00490611" w:rsidRPr="00D54922" w:rsidRDefault="00490611" w:rsidP="00490611">
      <w:pPr>
        <w:rPr>
          <w:rFonts w:eastAsia="Times New Roman"/>
          <w:lang w:eastAsia="en-US"/>
        </w:rPr>
      </w:pPr>
    </w:p>
    <w:p w:rsidR="005B7410" w:rsidRPr="00D54922" w:rsidRDefault="005B7410" w:rsidP="00490611">
      <w:pPr>
        <w:rPr>
          <w:rFonts w:eastAsia="Times New Roman"/>
          <w:lang w:eastAsia="en-US"/>
        </w:rPr>
      </w:pPr>
    </w:p>
    <w:p w:rsidR="00490611" w:rsidRPr="00D54922" w:rsidRDefault="00795641" w:rsidP="00AF4A90">
      <w:pPr>
        <w:keepNext/>
        <w:spacing w:after="240"/>
        <w:outlineLvl w:val="0"/>
        <w:rPr>
          <w:bCs/>
          <w:caps/>
          <w:kern w:val="32"/>
          <w:szCs w:val="32"/>
          <w:lang w:eastAsia="en-US"/>
        </w:rPr>
      </w:pPr>
      <w:r w:rsidRPr="00D54922">
        <w:rPr>
          <w:bCs/>
          <w:caps/>
          <w:kern w:val="32"/>
          <w:szCs w:val="32"/>
          <w:lang w:eastAsia="en-US"/>
        </w:rPr>
        <w:t>C</w:t>
      </w:r>
      <w:r w:rsidR="00873CAC" w:rsidRPr="00D54922">
        <w:rPr>
          <w:bCs/>
          <w:caps/>
          <w:kern w:val="32"/>
          <w:szCs w:val="32"/>
          <w:lang w:eastAsia="en-US"/>
        </w:rPr>
        <w:t>.</w:t>
      </w:r>
      <w:r w:rsidR="00873CAC" w:rsidRPr="00D54922">
        <w:rPr>
          <w:bCs/>
          <w:caps/>
          <w:kern w:val="32"/>
          <w:szCs w:val="32"/>
          <w:lang w:eastAsia="en-US"/>
        </w:rPr>
        <w:tab/>
      </w:r>
      <w:r w:rsidR="00490611" w:rsidRPr="00D54922">
        <w:rPr>
          <w:bCs/>
          <w:caps/>
          <w:kern w:val="32"/>
          <w:szCs w:val="32"/>
          <w:lang w:eastAsia="en-US"/>
        </w:rPr>
        <w:t>Investment objectives, risk tolerance and constraints</w:t>
      </w:r>
    </w:p>
    <w:p w:rsidR="00490611" w:rsidRPr="00D54922" w:rsidRDefault="00490611" w:rsidP="00AF4A90">
      <w:pPr>
        <w:keepNext/>
        <w:spacing w:before="120" w:after="240"/>
        <w:outlineLvl w:val="1"/>
        <w:rPr>
          <w:bCs/>
          <w:iCs/>
          <w:szCs w:val="28"/>
          <w:u w:val="single"/>
          <w:lang w:eastAsia="en-US"/>
        </w:rPr>
      </w:pPr>
      <w:r w:rsidRPr="00D54922">
        <w:rPr>
          <w:bCs/>
          <w:iCs/>
          <w:szCs w:val="28"/>
          <w:u w:val="single"/>
          <w:lang w:eastAsia="en-US"/>
        </w:rPr>
        <w:t>Objectives</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Strategic cash is to be invested over the long-term</w:t>
      </w:r>
      <w:r w:rsidRPr="00D54922">
        <w:rPr>
          <w:rFonts w:eastAsia="Times New Roman"/>
          <w:vertAlign w:val="superscript"/>
          <w:lang w:eastAsia="en-US"/>
        </w:rPr>
        <w:footnoteReference w:id="10"/>
      </w:r>
      <w:r w:rsidRPr="00D54922">
        <w:rPr>
          <w:rFonts w:eastAsia="Times New Roman"/>
          <w:lang w:eastAsia="en-US"/>
        </w:rPr>
        <w:t xml:space="preserve"> in order to achieve capital growth and thus an overall positive return over time.  The general principles of the Organization’s investment management, namely (i)  preservation of capital (ii)  liquidity and (iii)  within the constraints of (i) and (ii), the rates of return are defined as follows:</w:t>
      </w:r>
    </w:p>
    <w:p w:rsidR="00490611" w:rsidRPr="00D54922" w:rsidRDefault="00490611" w:rsidP="002755DA">
      <w:pPr>
        <w:pStyle w:val="ONUME"/>
        <w:numPr>
          <w:ilvl w:val="0"/>
          <w:numId w:val="41"/>
        </w:numPr>
        <w:ind w:left="1080" w:hanging="540"/>
        <w:rPr>
          <w:rFonts w:eastAsia="Times New Roman"/>
          <w:lang w:eastAsia="en-US"/>
        </w:rPr>
      </w:pPr>
      <w:r w:rsidRPr="00D54922">
        <w:rPr>
          <w:rFonts w:eastAsia="Times New Roman"/>
          <w:lang w:eastAsia="en-US"/>
        </w:rPr>
        <w:t xml:space="preserve">Preservation of capital – the portfolio will aim to at least preserve capital over the long term.  </w:t>
      </w:r>
    </w:p>
    <w:p w:rsidR="00490611" w:rsidRPr="00D54922" w:rsidRDefault="00490611" w:rsidP="002755DA">
      <w:pPr>
        <w:pStyle w:val="ONUME"/>
        <w:numPr>
          <w:ilvl w:val="0"/>
          <w:numId w:val="41"/>
        </w:numPr>
        <w:ind w:left="1080" w:hanging="540"/>
        <w:rPr>
          <w:rFonts w:eastAsia="Times New Roman"/>
          <w:lang w:eastAsia="en-US"/>
        </w:rPr>
      </w:pPr>
      <w:r w:rsidRPr="00D54922">
        <w:rPr>
          <w:rFonts w:eastAsia="Times New Roman"/>
          <w:lang w:eastAsia="en-US"/>
        </w:rPr>
        <w:t>Liquidity – part of the portfolio will be invested in instruments which are publicly traded and thus, under most market conditions, could be readily sold.  Strategic cash currently has no short or medium term liquidity requirements.</w:t>
      </w:r>
    </w:p>
    <w:p w:rsidR="00490611" w:rsidRPr="00D54922" w:rsidRDefault="00490611" w:rsidP="002755DA">
      <w:pPr>
        <w:pStyle w:val="ONUME"/>
        <w:numPr>
          <w:ilvl w:val="0"/>
          <w:numId w:val="41"/>
        </w:numPr>
        <w:ind w:left="1080" w:hanging="540"/>
        <w:rPr>
          <w:rFonts w:eastAsia="Times New Roman"/>
          <w:lang w:eastAsia="en-US"/>
        </w:rPr>
      </w:pPr>
      <w:r w:rsidRPr="00D54922">
        <w:rPr>
          <w:rFonts w:eastAsia="Times New Roman"/>
          <w:lang w:eastAsia="en-US"/>
        </w:rPr>
        <w:t>Return – the long-term average return should be equal to or greater than the return rate used as the discount rate to value the amount of the liability in order to minimize any funding gap.</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lastRenderedPageBreak/>
        <w:t>In accordance with the recommendations of the ALM study, the Organization will aim to achieve a balance between these three principles.  It is accepted that it may not be possible to satisfy all three principles all of the time.</w:t>
      </w:r>
    </w:p>
    <w:p w:rsidR="00490611" w:rsidRPr="00D54922" w:rsidRDefault="00490611" w:rsidP="00C34C06">
      <w:pPr>
        <w:pStyle w:val="ONUME"/>
        <w:numPr>
          <w:ilvl w:val="0"/>
          <w:numId w:val="36"/>
        </w:numPr>
        <w:spacing w:after="240"/>
        <w:ind w:left="0" w:firstLine="0"/>
        <w:rPr>
          <w:rFonts w:eastAsia="Times New Roman"/>
          <w:lang w:eastAsia="en-US"/>
        </w:rPr>
      </w:pPr>
      <w:r w:rsidRPr="00D54922">
        <w:rPr>
          <w:rFonts w:eastAsia="Times New Roman"/>
          <w:lang w:eastAsia="en-US"/>
        </w:rPr>
        <w:t>The aim is to achieve a ta</w:t>
      </w:r>
      <w:r w:rsidR="00B742DD" w:rsidRPr="00D54922">
        <w:rPr>
          <w:rFonts w:eastAsia="Times New Roman"/>
          <w:lang w:eastAsia="en-US"/>
        </w:rPr>
        <w:t>rget cover ratio of 80 per cent to</w:t>
      </w:r>
      <w:r w:rsidRPr="00D54922">
        <w:rPr>
          <w:rFonts w:eastAsia="Times New Roman"/>
          <w:lang w:eastAsia="en-US"/>
        </w:rPr>
        <w:t xml:space="preserve"> 100 per cent of the ASHI liability within a period of years, the number of which is a function of the requirement to achieve a positive overall return at an acceptable level of risk</w:t>
      </w:r>
      <w:r w:rsidRPr="00D54922">
        <w:rPr>
          <w:rFonts w:eastAsia="Times New Roman"/>
          <w:vertAlign w:val="superscript"/>
          <w:lang w:eastAsia="en-US"/>
        </w:rPr>
        <w:footnoteReference w:id="11"/>
      </w:r>
      <w:r w:rsidRPr="00D54922">
        <w:rPr>
          <w:rFonts w:eastAsia="Times New Roman"/>
          <w:lang w:eastAsia="en-US"/>
        </w:rPr>
        <w:t>.</w:t>
      </w:r>
    </w:p>
    <w:p w:rsidR="00490611" w:rsidRPr="00D54922" w:rsidRDefault="00490611" w:rsidP="00C1347F">
      <w:pPr>
        <w:keepNext/>
        <w:spacing w:before="120" w:after="120"/>
        <w:outlineLvl w:val="1"/>
        <w:rPr>
          <w:bCs/>
          <w:iCs/>
          <w:szCs w:val="28"/>
          <w:u w:val="single"/>
          <w:lang w:eastAsia="en-US"/>
        </w:rPr>
      </w:pPr>
      <w:r w:rsidRPr="00D54922">
        <w:rPr>
          <w:bCs/>
          <w:iCs/>
          <w:szCs w:val="28"/>
          <w:u w:val="single"/>
          <w:lang w:eastAsia="en-US"/>
        </w:rPr>
        <w:t>Risk tolerance</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 xml:space="preserve">The level of risk taken is to be consistent with the investment objectives for strategic cash as described in section </w:t>
      </w:r>
      <w:r w:rsidR="00795641" w:rsidRPr="00D54922">
        <w:rPr>
          <w:rFonts w:eastAsia="Times New Roman"/>
          <w:lang w:eastAsia="en-US"/>
        </w:rPr>
        <w:t>C</w:t>
      </w:r>
      <w:r w:rsidR="00873CAC" w:rsidRPr="00D54922">
        <w:rPr>
          <w:rFonts w:eastAsia="Times New Roman"/>
          <w:lang w:eastAsia="en-US"/>
        </w:rPr>
        <w:t xml:space="preserve"> under “objectives”,</w:t>
      </w:r>
      <w:r w:rsidRPr="00D54922">
        <w:rPr>
          <w:rFonts w:eastAsia="Times New Roman"/>
          <w:lang w:eastAsia="en-US"/>
        </w:rPr>
        <w:t xml:space="preserve"> above. </w:t>
      </w:r>
      <w:r w:rsidR="00E83997" w:rsidRPr="00D54922">
        <w:rPr>
          <w:rFonts w:eastAsia="Times New Roman"/>
          <w:lang w:eastAsia="en-US"/>
        </w:rPr>
        <w:t xml:space="preserve"> For core cash, i</w:t>
      </w:r>
      <w:r w:rsidRPr="00D54922">
        <w:rPr>
          <w:rFonts w:eastAsia="Times New Roman"/>
          <w:lang w:eastAsia="en-US"/>
        </w:rPr>
        <w:t xml:space="preserve">t is recognized and acknowledged that some risk must be assumed in order to achieve the investment objectives.  Given the objectives for strategic cash, the risk profile will be one which is comfortable with investments which demonstrate volatility.  Risk tolerance levels are determined and </w:t>
      </w:r>
      <w:r w:rsidR="003A2D26" w:rsidRPr="00D54922">
        <w:rPr>
          <w:rFonts w:eastAsia="Times New Roman"/>
          <w:lang w:eastAsia="en-US"/>
        </w:rPr>
        <w:t>approved by the Director General based on recommendations from the ACI</w:t>
      </w:r>
      <w:r w:rsidRPr="00D54922">
        <w:rPr>
          <w:rFonts w:eastAsia="Times New Roman"/>
          <w:lang w:eastAsia="en-US"/>
        </w:rPr>
        <w:t xml:space="preserve">.  The ACI is responsible for understanding the risks and monitoring them continually.  </w:t>
      </w:r>
    </w:p>
    <w:p w:rsidR="00490611" w:rsidRPr="00D54922" w:rsidRDefault="00490611" w:rsidP="00C1347F">
      <w:pPr>
        <w:keepNext/>
        <w:spacing w:before="120" w:after="120"/>
        <w:outlineLvl w:val="1"/>
        <w:rPr>
          <w:bCs/>
          <w:iCs/>
          <w:szCs w:val="28"/>
          <w:u w:val="single"/>
          <w:lang w:eastAsia="en-US"/>
        </w:rPr>
      </w:pPr>
      <w:r w:rsidRPr="00D54922">
        <w:rPr>
          <w:bCs/>
          <w:iCs/>
          <w:szCs w:val="28"/>
          <w:u w:val="single"/>
          <w:lang w:eastAsia="en-US"/>
        </w:rPr>
        <w:t>Constraints</w:t>
      </w:r>
    </w:p>
    <w:p w:rsidR="00490611" w:rsidRPr="00D54922" w:rsidRDefault="00490611" w:rsidP="006045BD">
      <w:pPr>
        <w:pStyle w:val="ONUME"/>
        <w:numPr>
          <w:ilvl w:val="0"/>
          <w:numId w:val="36"/>
        </w:numPr>
        <w:spacing w:after="240"/>
        <w:ind w:left="0" w:firstLine="0"/>
        <w:rPr>
          <w:bCs/>
          <w:szCs w:val="26"/>
          <w:lang w:eastAsia="en-US"/>
        </w:rPr>
      </w:pPr>
      <w:r w:rsidRPr="00D54922">
        <w:rPr>
          <w:bCs/>
          <w:szCs w:val="26"/>
          <w:lang w:eastAsia="en-US"/>
        </w:rPr>
        <w:t>Diversification of counterparties</w:t>
      </w:r>
      <w:r w:rsidR="00C1347F" w:rsidRPr="00D54922">
        <w:rPr>
          <w:bCs/>
          <w:szCs w:val="26"/>
          <w:lang w:eastAsia="en-US"/>
        </w:rPr>
        <w:t>:</w:t>
      </w:r>
    </w:p>
    <w:p w:rsidR="00490611" w:rsidRPr="00D54922" w:rsidRDefault="00490611" w:rsidP="002755DA">
      <w:pPr>
        <w:pStyle w:val="ONUME"/>
        <w:numPr>
          <w:ilvl w:val="0"/>
          <w:numId w:val="42"/>
        </w:numPr>
        <w:ind w:left="1170" w:hanging="540"/>
        <w:rPr>
          <w:rFonts w:eastAsia="Times New Roman"/>
          <w:lang w:eastAsia="en-US"/>
        </w:rPr>
      </w:pPr>
      <w:r w:rsidRPr="00D54922">
        <w:rPr>
          <w:rFonts w:eastAsia="Times New Roman"/>
          <w:lang w:eastAsia="en-US"/>
        </w:rPr>
        <w:t>All of the Organization’s investments of strategic cash may be placed with a single institution which enjoys sovereign risk and AAA/Aaa</w:t>
      </w:r>
      <w:r w:rsidRPr="00D54922">
        <w:rPr>
          <w:rFonts w:eastAsia="Times New Roman"/>
          <w:vertAlign w:val="superscript"/>
          <w:lang w:eastAsia="en-US"/>
        </w:rPr>
        <w:footnoteReference w:id="12"/>
      </w:r>
      <w:r w:rsidRPr="00D54922">
        <w:rPr>
          <w:rFonts w:eastAsia="Times New Roman"/>
          <w:lang w:eastAsia="en-US"/>
        </w:rPr>
        <w:t xml:space="preserve"> rating provided that such an institution can be identified and will accept such investment monies.  Otherwise, the aim will be to distribute strategic cash amongst two institutions.  For the purposes of determining such institutions, strategic cash will not be held with those institutions which manage core cash.</w:t>
      </w:r>
    </w:p>
    <w:p w:rsidR="00490611" w:rsidRPr="00D54922" w:rsidRDefault="00490611" w:rsidP="002755DA">
      <w:pPr>
        <w:pStyle w:val="ONUME"/>
        <w:numPr>
          <w:ilvl w:val="0"/>
          <w:numId w:val="42"/>
        </w:numPr>
        <w:ind w:left="1170" w:hanging="540"/>
        <w:rPr>
          <w:rFonts w:eastAsia="Times New Roman"/>
          <w:lang w:eastAsia="en-US"/>
        </w:rPr>
      </w:pPr>
      <w:r w:rsidRPr="00D54922">
        <w:rPr>
          <w:rFonts w:eastAsia="Times New Roman"/>
          <w:lang w:eastAsia="en-US"/>
        </w:rPr>
        <w:t xml:space="preserve">Investments made by external </w:t>
      </w:r>
      <w:r w:rsidR="00831436" w:rsidRPr="00D54922">
        <w:rPr>
          <w:rFonts w:eastAsia="Times New Roman"/>
          <w:lang w:eastAsia="en-US"/>
        </w:rPr>
        <w:t>fund managers</w:t>
      </w:r>
      <w:r w:rsidRPr="00D54922">
        <w:rPr>
          <w:rFonts w:eastAsia="Times New Roman"/>
          <w:lang w:eastAsia="en-US"/>
        </w:rPr>
        <w:t xml:space="preserve"> may only be held with institutions with a short-term rating of A-2/P-2 or a long-term rating of A-/A3.  The only exception to this relates to corporate issuances (corporate bonds and commercial paper) which may have a short-term rating of A-3/P-3 or a long-term rating of </w:t>
      </w:r>
      <w:r w:rsidRPr="00D54922">
        <w:rPr>
          <w:rFonts w:eastAsia="Times New Roman"/>
          <w:szCs w:val="22"/>
          <w:lang w:eastAsia="en-US"/>
        </w:rPr>
        <w:t>BBB-/Baa3</w:t>
      </w:r>
      <w:r w:rsidRPr="00D54922">
        <w:rPr>
          <w:rFonts w:eastAsia="Times New Roman"/>
          <w:lang w:eastAsia="en-US"/>
        </w:rPr>
        <w:t>.  Where institutions fall below the credit rating criteria, investments in these institutions will be liquidated at the earliest available opportunity.</w:t>
      </w:r>
    </w:p>
    <w:p w:rsidR="00490611" w:rsidRPr="00D54922" w:rsidRDefault="00490611" w:rsidP="002755DA">
      <w:pPr>
        <w:pStyle w:val="ONUME"/>
        <w:numPr>
          <w:ilvl w:val="0"/>
          <w:numId w:val="42"/>
        </w:numPr>
        <w:ind w:left="1170" w:hanging="540"/>
        <w:rPr>
          <w:rFonts w:eastAsia="Times New Roman"/>
          <w:lang w:eastAsia="en-US"/>
        </w:rPr>
      </w:pPr>
      <w:r w:rsidRPr="00D54922">
        <w:rPr>
          <w:rFonts w:eastAsia="Times New Roman"/>
          <w:lang w:eastAsia="en-US"/>
        </w:rPr>
        <w:t>Investments placed with subsidiaries or affiliates of an institution shall be aggregated when determining the percentage of money held with the institution concerned.  Limits may be temporarily exceeded owing to foreign currency fluctuations, the maturity of large investments, changes in cashflow or downgrading of institutions.  Where levels have been exceeded, the Treasurer in liaison with exter</w:t>
      </w:r>
      <w:r w:rsidR="00C1347F" w:rsidRPr="00D54922">
        <w:rPr>
          <w:rFonts w:eastAsia="Times New Roman"/>
          <w:lang w:eastAsia="en-US"/>
        </w:rPr>
        <w:t>nal fund managers, will endeavo</w:t>
      </w:r>
      <w:r w:rsidRPr="00D54922">
        <w:rPr>
          <w:rFonts w:eastAsia="Times New Roman"/>
          <w:lang w:eastAsia="en-US"/>
        </w:rPr>
        <w:t>r to remedy the matter as soon as possible without incurring penalties.  Where levels cannot easily be adjusted (because of associated costs), approval of the situation will be required from the Controller.</w:t>
      </w:r>
    </w:p>
    <w:p w:rsidR="00490611" w:rsidRPr="00D54922" w:rsidRDefault="00490611" w:rsidP="00343D95">
      <w:pPr>
        <w:pStyle w:val="ONUME"/>
        <w:spacing w:after="240"/>
        <w:rPr>
          <w:bCs/>
          <w:szCs w:val="26"/>
          <w:u w:val="single"/>
          <w:lang w:eastAsia="en-US"/>
        </w:rPr>
      </w:pPr>
      <w:r w:rsidRPr="00D54922">
        <w:rPr>
          <w:bCs/>
          <w:szCs w:val="26"/>
          <w:u w:val="single"/>
          <w:lang w:eastAsia="en-US"/>
        </w:rPr>
        <w:t>Currency of investment</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The currencies in which investments are placed should give consideration to the currency in which the financial statements are maintained, currently the Swiss franc.</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 xml:space="preserve">Where investments are held in currencies other than the Swiss franc, the use of hedging instruments to minimize the risk arising from the fluctuation of the currency of the </w:t>
      </w:r>
      <w:r w:rsidRPr="00D54922">
        <w:rPr>
          <w:rFonts w:eastAsia="Times New Roman"/>
          <w:lang w:eastAsia="en-US"/>
        </w:rPr>
        <w:lastRenderedPageBreak/>
        <w:t xml:space="preserve">investment against the Swiss franc and thus avoid total negative investment returns will be determined by external fund managers in accordance with the investment guidelines issued.  Investment in derivatives for speculative purposes is not permitted.  </w:t>
      </w:r>
    </w:p>
    <w:p w:rsidR="00490611" w:rsidRPr="00D54922" w:rsidRDefault="00490611" w:rsidP="00C1347F">
      <w:pPr>
        <w:keepNext/>
        <w:keepLines/>
        <w:spacing w:before="120" w:after="120"/>
        <w:outlineLvl w:val="2"/>
        <w:rPr>
          <w:bCs/>
          <w:szCs w:val="26"/>
          <w:u w:val="single"/>
          <w:lang w:eastAsia="en-US"/>
        </w:rPr>
      </w:pPr>
      <w:r w:rsidRPr="00D54922">
        <w:rPr>
          <w:bCs/>
          <w:szCs w:val="26"/>
          <w:u w:val="single"/>
          <w:lang w:eastAsia="en-US"/>
        </w:rPr>
        <w:t xml:space="preserve">Credit Limits </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bCs/>
          <w:szCs w:val="26"/>
          <w:lang w:eastAsia="en-US"/>
        </w:rPr>
        <w:t>Total</w:t>
      </w:r>
      <w:r w:rsidRPr="00D54922">
        <w:rPr>
          <w:rFonts w:eastAsia="Times New Roman"/>
          <w:lang w:eastAsia="en-US"/>
        </w:rPr>
        <w:t xml:space="preserve"> investments in any given entity shall not exceed 5 per cent of the bank’s or company’s equity capital as reported in the most recently published financial statements.  For fixed income securities, a maximum of 5 per cent of the total size of the issue is allowed.</w:t>
      </w:r>
    </w:p>
    <w:p w:rsidR="00490611" w:rsidRPr="00D54922" w:rsidRDefault="00490611" w:rsidP="00C1347F">
      <w:pPr>
        <w:keepNext/>
        <w:spacing w:before="120" w:after="120"/>
        <w:outlineLvl w:val="2"/>
        <w:rPr>
          <w:bCs/>
          <w:szCs w:val="26"/>
          <w:u w:val="single"/>
          <w:lang w:eastAsia="en-US"/>
        </w:rPr>
      </w:pPr>
      <w:r w:rsidRPr="00D54922">
        <w:rPr>
          <w:bCs/>
          <w:szCs w:val="26"/>
          <w:u w:val="single"/>
          <w:lang w:eastAsia="en-US"/>
        </w:rPr>
        <w:t>Ethical considerations</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Investments shall take into consideration whether the entity issuing the investment has embraced the United Nations Global Compact’s ten principles in the areas of human rights, labor standards, the environment and anti-corruption (</w:t>
      </w:r>
      <w:hyperlink r:id="rId17" w:history="1">
        <w:r w:rsidRPr="00D54922">
          <w:rPr>
            <w:rFonts w:eastAsia="Times New Roman"/>
            <w:color w:val="0000FF" w:themeColor="hyperlink"/>
            <w:u w:val="single"/>
            <w:lang w:eastAsia="en-US"/>
          </w:rPr>
          <w:t>www.unglobalcompact.org</w:t>
        </w:r>
      </w:hyperlink>
      <w:r w:rsidRPr="00D54922">
        <w:rPr>
          <w:rFonts w:eastAsia="Times New Roman"/>
          <w:lang w:eastAsia="en-US"/>
        </w:rPr>
        <w:t>).</w:t>
      </w:r>
      <w:r w:rsidR="00E83997" w:rsidRPr="00D54922">
        <w:rPr>
          <w:rFonts w:eastAsia="Times New Roman"/>
          <w:lang w:eastAsia="en-US"/>
        </w:rPr>
        <w:t xml:space="preserve">  All investment activities will </w:t>
      </w:r>
      <w:r w:rsidR="00A41875" w:rsidRPr="00D54922">
        <w:rPr>
          <w:rFonts w:eastAsia="Times New Roman"/>
          <w:lang w:eastAsia="en-US"/>
        </w:rPr>
        <w:t>comply with</w:t>
      </w:r>
      <w:r w:rsidR="00E83997" w:rsidRPr="00D54922">
        <w:rPr>
          <w:rFonts w:eastAsia="Times New Roman"/>
          <w:lang w:eastAsia="en-US"/>
        </w:rPr>
        <w:t xml:space="preserve"> to the principles outlined in WIPO’s Policy on Preventing and Deterring Corruption, Fraud, Collusion, Coercion, Money-Laundering and the Fin</w:t>
      </w:r>
      <w:r w:rsidR="007743B5" w:rsidRPr="00D54922">
        <w:rPr>
          <w:rFonts w:eastAsia="Times New Roman"/>
          <w:lang w:eastAsia="en-US"/>
        </w:rPr>
        <w:t>ancing of Terrorism</w:t>
      </w:r>
      <w:r w:rsidR="00E83997" w:rsidRPr="00D54922">
        <w:rPr>
          <w:rFonts w:eastAsia="Times New Roman"/>
          <w:lang w:eastAsia="en-US"/>
        </w:rPr>
        <w:t>.</w:t>
      </w:r>
    </w:p>
    <w:p w:rsidR="00490611" w:rsidRPr="00D54922" w:rsidRDefault="00490611" w:rsidP="00343D95">
      <w:pPr>
        <w:keepNext/>
        <w:spacing w:before="120" w:after="120"/>
        <w:outlineLvl w:val="2"/>
        <w:rPr>
          <w:bCs/>
          <w:szCs w:val="26"/>
          <w:u w:val="single"/>
          <w:lang w:eastAsia="en-US"/>
        </w:rPr>
      </w:pPr>
      <w:r w:rsidRPr="00D54922">
        <w:rPr>
          <w:bCs/>
          <w:szCs w:val="26"/>
          <w:u w:val="single"/>
          <w:lang w:eastAsia="en-US"/>
        </w:rPr>
        <w:t xml:space="preserve">Borrowings </w:t>
      </w:r>
    </w:p>
    <w:p w:rsidR="00490611" w:rsidRPr="00D54922" w:rsidRDefault="00490611" w:rsidP="00AF4A90">
      <w:pPr>
        <w:pStyle w:val="ONUME"/>
        <w:numPr>
          <w:ilvl w:val="0"/>
          <w:numId w:val="36"/>
        </w:numPr>
        <w:spacing w:after="0"/>
        <w:ind w:left="0" w:firstLine="0"/>
        <w:rPr>
          <w:rFonts w:eastAsia="Times New Roman"/>
          <w:lang w:eastAsia="en-US"/>
        </w:rPr>
      </w:pPr>
      <w:r w:rsidRPr="00D54922">
        <w:rPr>
          <w:rFonts w:eastAsia="Times New Roman"/>
          <w:lang w:eastAsia="en-US"/>
        </w:rPr>
        <w:t>External fund managers shall not borrow funds from any institutions in order to leverage investments.</w:t>
      </w:r>
    </w:p>
    <w:p w:rsidR="00AF4A90" w:rsidRPr="00D54922" w:rsidRDefault="00AF4A90" w:rsidP="00AF4A90">
      <w:pPr>
        <w:pStyle w:val="ONUME"/>
        <w:spacing w:after="0"/>
        <w:rPr>
          <w:rFonts w:eastAsia="Times New Roman"/>
          <w:lang w:eastAsia="en-US"/>
        </w:rPr>
      </w:pPr>
    </w:p>
    <w:p w:rsidR="00490611" w:rsidRPr="00D54922" w:rsidRDefault="00490611" w:rsidP="00490611">
      <w:pPr>
        <w:rPr>
          <w:rFonts w:eastAsia="Times New Roman"/>
          <w:lang w:eastAsia="en-US"/>
        </w:rPr>
      </w:pPr>
    </w:p>
    <w:p w:rsidR="00490611" w:rsidRPr="00D54922" w:rsidRDefault="00795641" w:rsidP="00AF4A90">
      <w:pPr>
        <w:keepNext/>
        <w:spacing w:after="240"/>
        <w:outlineLvl w:val="0"/>
        <w:rPr>
          <w:bCs/>
          <w:caps/>
          <w:kern w:val="32"/>
          <w:szCs w:val="32"/>
          <w:lang w:eastAsia="en-US"/>
        </w:rPr>
      </w:pPr>
      <w:r w:rsidRPr="00D54922">
        <w:rPr>
          <w:bCs/>
          <w:caps/>
          <w:kern w:val="32"/>
          <w:szCs w:val="32"/>
          <w:lang w:eastAsia="en-US"/>
        </w:rPr>
        <w:t>D</w:t>
      </w:r>
      <w:r w:rsidR="00873CAC" w:rsidRPr="00D54922">
        <w:rPr>
          <w:bCs/>
          <w:caps/>
          <w:kern w:val="32"/>
          <w:szCs w:val="32"/>
          <w:lang w:eastAsia="en-US"/>
        </w:rPr>
        <w:t>.</w:t>
      </w:r>
      <w:r w:rsidR="00873CAC" w:rsidRPr="00D54922">
        <w:rPr>
          <w:bCs/>
          <w:caps/>
          <w:kern w:val="32"/>
          <w:szCs w:val="32"/>
          <w:lang w:eastAsia="en-US"/>
        </w:rPr>
        <w:tab/>
      </w:r>
      <w:r w:rsidR="00490611" w:rsidRPr="00D54922">
        <w:rPr>
          <w:bCs/>
          <w:caps/>
          <w:kern w:val="32"/>
          <w:szCs w:val="32"/>
          <w:lang w:eastAsia="en-US"/>
        </w:rPr>
        <w:t>Eligible asset classes</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Eligible asset classes and their minimum credit rating requirements are outlined in the following table.  Assets in any of these classes may be held in currencies other than the Swiss franc.</w:t>
      </w:r>
    </w:p>
    <w:p w:rsidR="00490611" w:rsidRPr="00D54922" w:rsidRDefault="00490611" w:rsidP="00490611">
      <w:pPr>
        <w:rPr>
          <w:rFonts w:eastAsia="Times New Roman"/>
          <w:lang w:eastAsia="en-US"/>
        </w:rPr>
      </w:pPr>
      <w:r w:rsidRPr="00D54922">
        <w:rPr>
          <w:rFonts w:eastAsia="Times New Roman"/>
          <w:noProof/>
          <w:lang w:eastAsia="en-US"/>
        </w:rPr>
        <w:lastRenderedPageBreak/>
        <w:drawing>
          <wp:inline distT="0" distB="0" distL="0" distR="0" wp14:anchorId="261CE55B" wp14:editId="3D97946C">
            <wp:extent cx="5761355" cy="789708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355" cy="7897088"/>
                    </a:xfrm>
                    <a:prstGeom prst="rect">
                      <a:avLst/>
                    </a:prstGeom>
                    <a:noFill/>
                    <a:ln>
                      <a:noFill/>
                    </a:ln>
                  </pic:spPr>
                </pic:pic>
              </a:graphicData>
            </a:graphic>
          </wp:inline>
        </w:drawing>
      </w:r>
    </w:p>
    <w:p w:rsidR="00615E45" w:rsidRPr="00D54922" w:rsidRDefault="00615E45" w:rsidP="00490611">
      <w:pPr>
        <w:rPr>
          <w:rFonts w:eastAsia="Times New Roman"/>
          <w:u w:val="single"/>
          <w:lang w:eastAsia="en-US"/>
        </w:rPr>
      </w:pPr>
    </w:p>
    <w:p w:rsidR="00AF4A90" w:rsidRPr="00D54922" w:rsidRDefault="00AF4A90" w:rsidP="00490611">
      <w:pPr>
        <w:rPr>
          <w:rFonts w:eastAsia="Times New Roman"/>
          <w:u w:val="single"/>
          <w:lang w:eastAsia="en-US"/>
        </w:rPr>
      </w:pPr>
    </w:p>
    <w:p w:rsidR="00AF4A90" w:rsidRPr="00D54922" w:rsidRDefault="00AF4A90" w:rsidP="00490611">
      <w:pPr>
        <w:rPr>
          <w:rFonts w:eastAsia="Times New Roman"/>
          <w:u w:val="single"/>
          <w:lang w:eastAsia="en-US"/>
        </w:rPr>
      </w:pPr>
    </w:p>
    <w:p w:rsidR="00AF4A90" w:rsidRPr="00D54922" w:rsidRDefault="00AF4A90" w:rsidP="00490611">
      <w:pPr>
        <w:rPr>
          <w:rFonts w:eastAsia="Times New Roman"/>
          <w:u w:val="single"/>
          <w:lang w:eastAsia="en-US"/>
        </w:rPr>
      </w:pPr>
    </w:p>
    <w:p w:rsidR="00AF4A90" w:rsidRPr="00D54922" w:rsidRDefault="00AF4A90" w:rsidP="00490611">
      <w:pPr>
        <w:rPr>
          <w:rFonts w:eastAsia="Times New Roman"/>
          <w:u w:val="single"/>
          <w:lang w:eastAsia="en-US"/>
        </w:rPr>
      </w:pPr>
    </w:p>
    <w:p w:rsidR="00AF4A90" w:rsidRPr="00D54922" w:rsidRDefault="00AF4A90" w:rsidP="00490611">
      <w:pPr>
        <w:rPr>
          <w:rFonts w:eastAsia="Times New Roman"/>
          <w:u w:val="single"/>
          <w:lang w:eastAsia="en-US"/>
        </w:rPr>
      </w:pPr>
    </w:p>
    <w:p w:rsidR="00AF4A90" w:rsidRPr="00D54922" w:rsidRDefault="00AF4A90" w:rsidP="00490611">
      <w:pPr>
        <w:rPr>
          <w:rFonts w:eastAsia="Times New Roman"/>
          <w:u w:val="single"/>
          <w:lang w:eastAsia="en-US"/>
        </w:rPr>
      </w:pPr>
    </w:p>
    <w:p w:rsidR="00AF4A90" w:rsidRPr="00D54922" w:rsidRDefault="00AF4A90" w:rsidP="00490611">
      <w:pPr>
        <w:rPr>
          <w:rFonts w:eastAsia="Times New Roman"/>
          <w:u w:val="single"/>
          <w:lang w:eastAsia="en-US"/>
        </w:rPr>
      </w:pPr>
    </w:p>
    <w:p w:rsidR="00490611" w:rsidRPr="00D54922" w:rsidRDefault="00490611" w:rsidP="00AF4A90">
      <w:pPr>
        <w:spacing w:after="240"/>
        <w:rPr>
          <w:rFonts w:eastAsia="Times New Roman"/>
          <w:u w:val="single"/>
          <w:lang w:eastAsia="en-US"/>
        </w:rPr>
      </w:pPr>
      <w:r w:rsidRPr="00D54922">
        <w:rPr>
          <w:rFonts w:eastAsia="Times New Roman"/>
          <w:u w:val="single"/>
          <w:lang w:eastAsia="en-US"/>
        </w:rPr>
        <w:lastRenderedPageBreak/>
        <w:t xml:space="preserve">Investment guidelines for external </w:t>
      </w:r>
      <w:r w:rsidR="00831436" w:rsidRPr="00D54922">
        <w:rPr>
          <w:rFonts w:eastAsia="Times New Roman"/>
          <w:u w:val="single"/>
          <w:lang w:eastAsia="en-US"/>
        </w:rPr>
        <w:t>fund managers</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 xml:space="preserve">External </w:t>
      </w:r>
      <w:r w:rsidR="00831436" w:rsidRPr="00D54922">
        <w:rPr>
          <w:rFonts w:eastAsia="Times New Roman"/>
          <w:lang w:eastAsia="en-US"/>
        </w:rPr>
        <w:t>fund managers</w:t>
      </w:r>
      <w:r w:rsidRPr="00D54922">
        <w:rPr>
          <w:rFonts w:eastAsia="Times New Roman"/>
          <w:lang w:eastAsia="en-US"/>
        </w:rPr>
        <w:t xml:space="preserve"> may invest in any of the asset classes shown above, within the limits specified by the ALM study</w:t>
      </w:r>
      <w:r w:rsidRPr="00D54922">
        <w:rPr>
          <w:rFonts w:eastAsia="Times New Roman"/>
          <w:vertAlign w:val="superscript"/>
          <w:lang w:eastAsia="en-US"/>
        </w:rPr>
        <w:footnoteReference w:id="13"/>
      </w:r>
      <w:r w:rsidRPr="00D54922">
        <w:rPr>
          <w:rFonts w:eastAsia="Times New Roman"/>
          <w:lang w:eastAsia="en-US"/>
        </w:rPr>
        <w:t>.</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 xml:space="preserve">Investment guidelines, as defined by the ACI and approved by the Director General, will be incorporated into each investment management </w:t>
      </w:r>
      <w:r w:rsidR="00E83997" w:rsidRPr="00D54922">
        <w:rPr>
          <w:rFonts w:eastAsia="Times New Roman"/>
          <w:lang w:eastAsia="en-US"/>
        </w:rPr>
        <w:t>contract</w:t>
      </w:r>
      <w:r w:rsidRPr="00D54922">
        <w:rPr>
          <w:rFonts w:eastAsia="Times New Roman"/>
          <w:lang w:eastAsia="en-US"/>
        </w:rPr>
        <w:t xml:space="preserve"> and will include at least the following components:</w:t>
      </w:r>
    </w:p>
    <w:p w:rsidR="00490611" w:rsidRPr="00D54922" w:rsidRDefault="00490611" w:rsidP="002755DA">
      <w:pPr>
        <w:pStyle w:val="ONUME"/>
        <w:numPr>
          <w:ilvl w:val="0"/>
          <w:numId w:val="43"/>
        </w:numPr>
        <w:ind w:left="1170" w:hanging="540"/>
        <w:rPr>
          <w:rFonts w:eastAsia="Times New Roman"/>
          <w:lang w:eastAsia="en-US"/>
        </w:rPr>
      </w:pPr>
      <w:r w:rsidRPr="00D54922">
        <w:rPr>
          <w:rFonts w:eastAsia="Times New Roman"/>
          <w:lang w:eastAsia="en-US"/>
        </w:rPr>
        <w:t>Investment objectives, defining expected return and risk;</w:t>
      </w:r>
    </w:p>
    <w:p w:rsidR="00490611" w:rsidRPr="00D54922" w:rsidRDefault="00490611" w:rsidP="002755DA">
      <w:pPr>
        <w:pStyle w:val="ONUME"/>
        <w:numPr>
          <w:ilvl w:val="0"/>
          <w:numId w:val="43"/>
        </w:numPr>
        <w:ind w:left="1170" w:hanging="540"/>
        <w:rPr>
          <w:rFonts w:eastAsia="Times New Roman"/>
          <w:lang w:eastAsia="en-US"/>
        </w:rPr>
      </w:pPr>
      <w:r w:rsidRPr="00D54922">
        <w:rPr>
          <w:rFonts w:eastAsia="Times New Roman"/>
          <w:lang w:eastAsia="en-US"/>
        </w:rPr>
        <w:t>Portfolio management style, whether active or passive;</w:t>
      </w:r>
    </w:p>
    <w:p w:rsidR="00490611" w:rsidRPr="00D54922" w:rsidRDefault="00490611" w:rsidP="002755DA">
      <w:pPr>
        <w:pStyle w:val="ONUME"/>
        <w:numPr>
          <w:ilvl w:val="0"/>
          <w:numId w:val="43"/>
        </w:numPr>
        <w:ind w:left="1170" w:hanging="540"/>
        <w:rPr>
          <w:rFonts w:eastAsia="Times New Roman"/>
          <w:lang w:eastAsia="en-US"/>
        </w:rPr>
      </w:pPr>
      <w:r w:rsidRPr="00D54922">
        <w:rPr>
          <w:rFonts w:eastAsia="Times New Roman"/>
          <w:lang w:eastAsia="en-US"/>
        </w:rPr>
        <w:t>Base currency;</w:t>
      </w:r>
    </w:p>
    <w:p w:rsidR="00490611" w:rsidRPr="00D54922" w:rsidRDefault="00490611" w:rsidP="002755DA">
      <w:pPr>
        <w:pStyle w:val="ONUME"/>
        <w:numPr>
          <w:ilvl w:val="0"/>
          <w:numId w:val="43"/>
        </w:numPr>
        <w:ind w:left="1170" w:hanging="540"/>
        <w:rPr>
          <w:rFonts w:eastAsia="Times New Roman"/>
          <w:lang w:eastAsia="en-US"/>
        </w:rPr>
      </w:pPr>
      <w:r w:rsidRPr="00D54922">
        <w:rPr>
          <w:rFonts w:eastAsia="Times New Roman"/>
          <w:lang w:eastAsia="en-US"/>
        </w:rPr>
        <w:t>Performance benchmark;</w:t>
      </w:r>
    </w:p>
    <w:p w:rsidR="00490611" w:rsidRPr="00D54922" w:rsidRDefault="00490611" w:rsidP="002755DA">
      <w:pPr>
        <w:pStyle w:val="ONUME"/>
        <w:numPr>
          <w:ilvl w:val="0"/>
          <w:numId w:val="43"/>
        </w:numPr>
        <w:ind w:left="1170" w:hanging="540"/>
        <w:rPr>
          <w:rFonts w:eastAsia="Times New Roman"/>
          <w:lang w:eastAsia="en-US"/>
        </w:rPr>
      </w:pPr>
      <w:r w:rsidRPr="00D54922">
        <w:rPr>
          <w:rFonts w:eastAsia="Times New Roman"/>
          <w:lang w:eastAsia="en-US"/>
        </w:rPr>
        <w:t>Eligible currencies;</w:t>
      </w:r>
    </w:p>
    <w:p w:rsidR="00490611" w:rsidRPr="00D54922" w:rsidRDefault="00490611" w:rsidP="002755DA">
      <w:pPr>
        <w:pStyle w:val="ONUME"/>
        <w:numPr>
          <w:ilvl w:val="0"/>
          <w:numId w:val="43"/>
        </w:numPr>
        <w:ind w:left="1170" w:hanging="540"/>
        <w:rPr>
          <w:rFonts w:eastAsia="Times New Roman"/>
          <w:lang w:eastAsia="en-US"/>
        </w:rPr>
      </w:pPr>
      <w:r w:rsidRPr="00D54922">
        <w:rPr>
          <w:rFonts w:eastAsia="Times New Roman"/>
          <w:lang w:eastAsia="en-US"/>
        </w:rPr>
        <w:t>Eligible instruments;</w:t>
      </w:r>
    </w:p>
    <w:p w:rsidR="00490611" w:rsidRPr="00D54922" w:rsidRDefault="00490611" w:rsidP="002755DA">
      <w:pPr>
        <w:pStyle w:val="ONUME"/>
        <w:numPr>
          <w:ilvl w:val="0"/>
          <w:numId w:val="43"/>
        </w:numPr>
        <w:ind w:left="1170" w:hanging="540"/>
        <w:rPr>
          <w:rFonts w:eastAsia="Times New Roman"/>
          <w:lang w:eastAsia="en-US"/>
        </w:rPr>
      </w:pPr>
      <w:r w:rsidRPr="00D54922">
        <w:rPr>
          <w:rFonts w:eastAsia="Times New Roman"/>
          <w:lang w:eastAsia="en-US"/>
        </w:rPr>
        <w:t>Minimum and maximum portfolio duration;</w:t>
      </w:r>
    </w:p>
    <w:p w:rsidR="00490611" w:rsidRPr="00D54922" w:rsidRDefault="00490611" w:rsidP="002755DA">
      <w:pPr>
        <w:pStyle w:val="ONUME"/>
        <w:numPr>
          <w:ilvl w:val="0"/>
          <w:numId w:val="43"/>
        </w:numPr>
        <w:ind w:left="1170" w:hanging="540"/>
        <w:rPr>
          <w:rFonts w:eastAsia="Times New Roman"/>
          <w:lang w:eastAsia="en-US"/>
        </w:rPr>
      </w:pPr>
      <w:r w:rsidRPr="00D54922">
        <w:rPr>
          <w:rFonts w:eastAsia="Times New Roman"/>
          <w:lang w:eastAsia="en-US"/>
        </w:rPr>
        <w:t>Credit quality;</w:t>
      </w:r>
    </w:p>
    <w:p w:rsidR="00490611" w:rsidRPr="00D54922" w:rsidRDefault="00490611" w:rsidP="002755DA">
      <w:pPr>
        <w:pStyle w:val="ONUME"/>
        <w:numPr>
          <w:ilvl w:val="0"/>
          <w:numId w:val="43"/>
        </w:numPr>
        <w:ind w:left="1170" w:hanging="540"/>
        <w:rPr>
          <w:rFonts w:eastAsia="Times New Roman"/>
          <w:lang w:eastAsia="en-US"/>
        </w:rPr>
      </w:pPr>
      <w:r w:rsidRPr="00D54922">
        <w:rPr>
          <w:rFonts w:eastAsia="Times New Roman"/>
          <w:lang w:eastAsia="en-US"/>
        </w:rPr>
        <w:t>Diversification requirements.</w:t>
      </w:r>
    </w:p>
    <w:p w:rsidR="00490611" w:rsidRPr="00D54922" w:rsidRDefault="00490611" w:rsidP="006045BD">
      <w:pPr>
        <w:pStyle w:val="ONUME"/>
        <w:numPr>
          <w:ilvl w:val="0"/>
          <w:numId w:val="36"/>
        </w:numPr>
        <w:spacing w:after="240"/>
        <w:ind w:left="0" w:firstLine="0"/>
        <w:rPr>
          <w:rFonts w:eastAsia="Times New Roman"/>
          <w:lang w:eastAsia="en-US"/>
        </w:rPr>
      </w:pPr>
      <w:r w:rsidRPr="00D54922">
        <w:rPr>
          <w:rFonts w:eastAsia="Times New Roman"/>
          <w:lang w:eastAsia="en-US"/>
        </w:rPr>
        <w:t>Other aspects, such as risk budgeting, will be considered in the context of the specific external investment management mandate.</w:t>
      </w:r>
    </w:p>
    <w:p w:rsidR="00343D95" w:rsidRPr="00D54922" w:rsidRDefault="00343D95" w:rsidP="00490611">
      <w:pPr>
        <w:rPr>
          <w:rFonts w:eastAsia="Times New Roman"/>
          <w:lang w:eastAsia="en-US"/>
        </w:rPr>
      </w:pPr>
    </w:p>
    <w:p w:rsidR="00490611" w:rsidRPr="00D54922" w:rsidRDefault="00795641" w:rsidP="00831436">
      <w:pPr>
        <w:keepNext/>
        <w:outlineLvl w:val="0"/>
        <w:rPr>
          <w:bCs/>
          <w:caps/>
          <w:kern w:val="32"/>
          <w:szCs w:val="32"/>
          <w:lang w:eastAsia="en-US"/>
        </w:rPr>
      </w:pPr>
      <w:r w:rsidRPr="00D54922">
        <w:rPr>
          <w:bCs/>
          <w:caps/>
          <w:kern w:val="32"/>
          <w:szCs w:val="32"/>
          <w:lang w:eastAsia="en-US"/>
        </w:rPr>
        <w:t>E</w:t>
      </w:r>
      <w:r w:rsidR="00873CAC" w:rsidRPr="00D54922">
        <w:rPr>
          <w:bCs/>
          <w:caps/>
          <w:kern w:val="32"/>
          <w:szCs w:val="32"/>
          <w:lang w:eastAsia="en-US"/>
        </w:rPr>
        <w:t>.</w:t>
      </w:r>
      <w:r w:rsidR="00873CAC" w:rsidRPr="00D54922">
        <w:rPr>
          <w:bCs/>
          <w:caps/>
          <w:kern w:val="32"/>
          <w:szCs w:val="32"/>
          <w:lang w:eastAsia="en-US"/>
        </w:rPr>
        <w:tab/>
      </w:r>
      <w:r w:rsidR="00490611" w:rsidRPr="00D54922">
        <w:rPr>
          <w:bCs/>
          <w:caps/>
          <w:kern w:val="32"/>
          <w:szCs w:val="32"/>
          <w:lang w:eastAsia="en-US"/>
        </w:rPr>
        <w:t>privileges and immunities of the organization</w:t>
      </w:r>
    </w:p>
    <w:p w:rsidR="00490611" w:rsidRPr="00D54922" w:rsidRDefault="00490611" w:rsidP="00490611">
      <w:pPr>
        <w:rPr>
          <w:rFonts w:eastAsia="Times New Roman"/>
          <w:lang w:eastAsia="en-US"/>
        </w:rPr>
      </w:pPr>
    </w:p>
    <w:p w:rsidR="00490611" w:rsidRPr="00D54922" w:rsidRDefault="00490611" w:rsidP="00AF4A90">
      <w:pPr>
        <w:pStyle w:val="ONUME"/>
        <w:numPr>
          <w:ilvl w:val="0"/>
          <w:numId w:val="36"/>
        </w:numPr>
        <w:spacing w:after="0"/>
        <w:ind w:left="0" w:firstLine="0"/>
        <w:rPr>
          <w:rFonts w:eastAsia="Times New Roman"/>
          <w:lang w:eastAsia="en-US"/>
        </w:rPr>
      </w:pPr>
      <w:r w:rsidRPr="00D54922">
        <w:rPr>
          <w:rFonts w:eastAsia="Times New Roman"/>
          <w:lang w:eastAsia="en-US"/>
        </w:rPr>
        <w:t xml:space="preserve">Whenever new investment business is initiated with a counterparty, the Organization will indicate that the investment is placed subject to </w:t>
      </w:r>
      <w:r w:rsidR="00E83997" w:rsidRPr="00D54922">
        <w:rPr>
          <w:rFonts w:eastAsia="Times New Roman"/>
          <w:lang w:eastAsia="en-US"/>
        </w:rPr>
        <w:t>its Privileges and Immunities</w:t>
      </w:r>
      <w:r w:rsidRPr="00D54922">
        <w:rPr>
          <w:rFonts w:eastAsia="Times New Roman"/>
          <w:lang w:eastAsia="en-US"/>
        </w:rPr>
        <w:t>.  The counterparties should agree not to withhold taxes nor to attach the account/assets for legal claims.</w:t>
      </w:r>
    </w:p>
    <w:p w:rsidR="00343D95" w:rsidRPr="00D54922" w:rsidRDefault="00343D95" w:rsidP="00490611">
      <w:pPr>
        <w:rPr>
          <w:rFonts w:eastAsia="Times New Roman"/>
          <w:lang w:eastAsia="en-US"/>
        </w:rPr>
      </w:pPr>
    </w:p>
    <w:p w:rsidR="00AF4A90" w:rsidRPr="00D54922" w:rsidRDefault="00AF4A90" w:rsidP="00490611">
      <w:pPr>
        <w:rPr>
          <w:rFonts w:eastAsia="Times New Roman"/>
          <w:lang w:eastAsia="en-US"/>
        </w:rPr>
      </w:pPr>
    </w:p>
    <w:p w:rsidR="00490611" w:rsidRPr="00AF4A90" w:rsidRDefault="00795641" w:rsidP="00AF4A90">
      <w:pPr>
        <w:keepNext/>
        <w:outlineLvl w:val="0"/>
        <w:rPr>
          <w:bCs/>
          <w:caps/>
          <w:kern w:val="32"/>
          <w:szCs w:val="32"/>
          <w:lang w:eastAsia="en-US"/>
        </w:rPr>
      </w:pPr>
      <w:r w:rsidRPr="00D54922">
        <w:rPr>
          <w:bCs/>
          <w:caps/>
          <w:kern w:val="32"/>
          <w:szCs w:val="32"/>
          <w:lang w:eastAsia="en-US"/>
        </w:rPr>
        <w:t>F</w:t>
      </w:r>
      <w:r w:rsidR="00873CAC" w:rsidRPr="00D54922">
        <w:rPr>
          <w:bCs/>
          <w:caps/>
          <w:kern w:val="32"/>
          <w:szCs w:val="32"/>
          <w:lang w:eastAsia="en-US"/>
        </w:rPr>
        <w:t>.</w:t>
      </w:r>
      <w:r w:rsidR="00873CAC" w:rsidRPr="00D54922">
        <w:rPr>
          <w:bCs/>
          <w:caps/>
          <w:kern w:val="32"/>
          <w:szCs w:val="32"/>
          <w:lang w:eastAsia="en-US"/>
        </w:rPr>
        <w:tab/>
      </w:r>
      <w:r w:rsidR="00490611" w:rsidRPr="00D54922">
        <w:rPr>
          <w:bCs/>
          <w:caps/>
          <w:kern w:val="32"/>
          <w:szCs w:val="32"/>
          <w:lang w:eastAsia="en-US"/>
        </w:rPr>
        <w:t>performance measurement</w:t>
      </w:r>
    </w:p>
    <w:p w:rsidR="00490611" w:rsidRPr="00C52AC3" w:rsidRDefault="00490611" w:rsidP="00490611">
      <w:pPr>
        <w:rPr>
          <w:rFonts w:eastAsia="Times New Roman"/>
          <w:lang w:eastAsia="en-US"/>
        </w:rPr>
      </w:pPr>
    </w:p>
    <w:p w:rsidR="00490611" w:rsidRPr="00C52AC3" w:rsidRDefault="00490611" w:rsidP="00490611">
      <w:pPr>
        <w:rPr>
          <w:rFonts w:eastAsia="Times New Roman"/>
          <w:u w:val="single"/>
          <w:lang w:eastAsia="en-US"/>
        </w:rPr>
      </w:pPr>
      <w:r w:rsidRPr="00C52AC3">
        <w:rPr>
          <w:rFonts w:eastAsia="Times New Roman"/>
          <w:u w:val="single"/>
          <w:lang w:eastAsia="en-US"/>
        </w:rPr>
        <w:t>Benchmarks</w:t>
      </w:r>
    </w:p>
    <w:p w:rsidR="00490611" w:rsidRPr="00C52AC3" w:rsidRDefault="00490611" w:rsidP="00490611">
      <w:pPr>
        <w:rPr>
          <w:rFonts w:eastAsia="Times New Roman"/>
          <w:lang w:eastAsia="en-US"/>
        </w:rPr>
      </w:pPr>
    </w:p>
    <w:p w:rsidR="00490611" w:rsidRPr="00C52AC3" w:rsidRDefault="00490611" w:rsidP="006045BD">
      <w:pPr>
        <w:pStyle w:val="ONUME"/>
        <w:numPr>
          <w:ilvl w:val="0"/>
          <w:numId w:val="36"/>
        </w:numPr>
        <w:spacing w:after="240"/>
        <w:ind w:left="0" w:firstLine="0"/>
        <w:rPr>
          <w:rFonts w:eastAsia="Times New Roman"/>
          <w:lang w:eastAsia="en-US"/>
        </w:rPr>
      </w:pPr>
      <w:r w:rsidRPr="00C52AC3">
        <w:rPr>
          <w:rFonts w:eastAsia="Times New Roman"/>
          <w:lang w:eastAsia="en-US"/>
        </w:rPr>
        <w:t xml:space="preserve">Strategic cash will be managed by external </w:t>
      </w:r>
      <w:r w:rsidR="00831436">
        <w:rPr>
          <w:rFonts w:eastAsia="Times New Roman"/>
          <w:lang w:eastAsia="en-US"/>
        </w:rPr>
        <w:t>fund managers</w:t>
      </w:r>
      <w:r w:rsidRPr="00C52AC3">
        <w:rPr>
          <w:rFonts w:eastAsia="Times New Roman"/>
          <w:lang w:eastAsia="en-US"/>
        </w:rPr>
        <w:t>.  Each investment portfolio will have a performance benchmark specified within its investment guidelines.  Such benchmarks must meet the following criteria: (i) unambiguous</w:t>
      </w:r>
      <w:r w:rsidR="00805E20">
        <w:rPr>
          <w:rFonts w:eastAsia="Times New Roman"/>
          <w:lang w:eastAsia="en-US"/>
        </w:rPr>
        <w:t>, transparent and simple;  (ii) </w:t>
      </w:r>
      <w:r w:rsidRPr="00C52AC3">
        <w:rPr>
          <w:rFonts w:eastAsia="Times New Roman"/>
          <w:lang w:eastAsia="en-US"/>
        </w:rPr>
        <w:t>investable and replicable;  (iii)  measurable and stable;  (iv) appropriate to the investment purpose;  (v) reflective of current investment opinions;  and (vi)  specified in advance.</w:t>
      </w:r>
    </w:p>
    <w:p w:rsidR="00292CE6" w:rsidRDefault="00490611" w:rsidP="00292CE6">
      <w:pPr>
        <w:spacing w:before="120" w:after="120"/>
        <w:rPr>
          <w:rFonts w:eastAsia="Times New Roman"/>
          <w:u w:val="single"/>
          <w:lang w:eastAsia="en-US"/>
        </w:rPr>
      </w:pPr>
      <w:r w:rsidRPr="00C52AC3">
        <w:rPr>
          <w:rFonts w:eastAsia="Times New Roman"/>
          <w:u w:val="single"/>
          <w:lang w:eastAsia="en-US"/>
        </w:rPr>
        <w:t>Performance measurement and reporting</w:t>
      </w:r>
    </w:p>
    <w:p w:rsidR="00490611" w:rsidRPr="00C52AC3" w:rsidRDefault="00490611" w:rsidP="00422965">
      <w:pPr>
        <w:pStyle w:val="ONUME"/>
        <w:numPr>
          <w:ilvl w:val="0"/>
          <w:numId w:val="36"/>
        </w:numPr>
        <w:spacing w:after="240"/>
        <w:ind w:left="0" w:firstLine="0"/>
        <w:rPr>
          <w:rFonts w:eastAsia="Times New Roman"/>
          <w:lang w:eastAsia="en-US"/>
        </w:rPr>
      </w:pPr>
      <w:r w:rsidRPr="00C52AC3">
        <w:rPr>
          <w:rFonts w:eastAsia="Times New Roman"/>
          <w:lang w:eastAsia="en-US"/>
        </w:rPr>
        <w:t xml:space="preserve">The custodian will report the performance of externally managed portfolios on a monthly basis and ensure that </w:t>
      </w:r>
      <w:r w:rsidR="00B267F9">
        <w:rPr>
          <w:rFonts w:eastAsia="Times New Roman"/>
          <w:lang w:eastAsia="en-US"/>
        </w:rPr>
        <w:t xml:space="preserve">external fund </w:t>
      </w:r>
      <w:r w:rsidRPr="00C52AC3">
        <w:rPr>
          <w:rFonts w:eastAsia="Times New Roman"/>
          <w:lang w:eastAsia="en-US"/>
        </w:rPr>
        <w:t xml:space="preserve">managers have adhered to their investment guidelines.  Performance will be calculated in Swiss francs i.e. by stripping out the effect of fluctuations of the currencies in which the monies are invested.  </w:t>
      </w:r>
    </w:p>
    <w:p w:rsidR="00490611" w:rsidRPr="00C52AC3" w:rsidRDefault="00490611" w:rsidP="00490611">
      <w:pPr>
        <w:rPr>
          <w:rFonts w:eastAsia="Times New Roman"/>
          <w:lang w:eastAsia="en-US"/>
        </w:rPr>
      </w:pPr>
    </w:p>
    <w:p w:rsidR="00490611" w:rsidRPr="00C52AC3" w:rsidRDefault="00490611" w:rsidP="006045BD">
      <w:pPr>
        <w:pStyle w:val="ONUME"/>
        <w:numPr>
          <w:ilvl w:val="0"/>
          <w:numId w:val="36"/>
        </w:numPr>
        <w:spacing w:after="240"/>
        <w:ind w:left="0" w:firstLine="0"/>
        <w:rPr>
          <w:rFonts w:eastAsia="Times New Roman"/>
          <w:lang w:eastAsia="en-US"/>
        </w:rPr>
      </w:pPr>
      <w:r w:rsidRPr="00C52AC3">
        <w:rPr>
          <w:rFonts w:eastAsia="Times New Roman"/>
          <w:lang w:eastAsia="en-US"/>
        </w:rPr>
        <w:t xml:space="preserve">The performance of external </w:t>
      </w:r>
      <w:r w:rsidR="00831436">
        <w:rPr>
          <w:rFonts w:eastAsia="Times New Roman"/>
          <w:lang w:eastAsia="en-US"/>
        </w:rPr>
        <w:t>fund managers</w:t>
      </w:r>
      <w:r w:rsidRPr="00C52AC3">
        <w:rPr>
          <w:rFonts w:eastAsia="Times New Roman"/>
          <w:lang w:eastAsia="en-US"/>
        </w:rPr>
        <w:t xml:space="preserve"> will be measured relative to the benchmark and any additional indicators, as specified in the investment guidelines.</w:t>
      </w:r>
    </w:p>
    <w:p w:rsidR="00490611" w:rsidRPr="00C52AC3" w:rsidRDefault="00490611" w:rsidP="006045BD">
      <w:pPr>
        <w:pStyle w:val="ONUME"/>
        <w:numPr>
          <w:ilvl w:val="0"/>
          <w:numId w:val="36"/>
        </w:numPr>
        <w:spacing w:after="240"/>
        <w:ind w:left="0" w:firstLine="0"/>
        <w:rPr>
          <w:rFonts w:eastAsia="Times New Roman"/>
          <w:lang w:eastAsia="en-US"/>
        </w:rPr>
      </w:pPr>
      <w:r w:rsidRPr="00C52AC3">
        <w:rPr>
          <w:rFonts w:eastAsia="Times New Roman"/>
          <w:lang w:eastAsia="en-US"/>
        </w:rPr>
        <w:t>The overall portfolio and benchmark performance in Swiss francs will be reported to the ACI on a quarterly basis.  The report will include comparative performance figures for the previous quarters and previous year.  Should one or more</w:t>
      </w:r>
      <w:r w:rsidR="00B267F9">
        <w:rPr>
          <w:rFonts w:eastAsia="Times New Roman"/>
          <w:lang w:eastAsia="en-US"/>
        </w:rPr>
        <w:t xml:space="preserve"> external fund</w:t>
      </w:r>
      <w:r w:rsidRPr="00C52AC3">
        <w:rPr>
          <w:rFonts w:eastAsia="Times New Roman"/>
          <w:lang w:eastAsia="en-US"/>
        </w:rPr>
        <w:t xml:space="preserve"> managers show a significantly poor performance for a period of three or more months, or should a sudden change in a</w:t>
      </w:r>
      <w:r w:rsidR="00B267F9">
        <w:rPr>
          <w:rFonts w:eastAsia="Times New Roman"/>
          <w:lang w:eastAsia="en-US"/>
        </w:rPr>
        <w:t>n</w:t>
      </w:r>
      <w:r w:rsidR="00B267F9" w:rsidRPr="00C52AC3">
        <w:rPr>
          <w:rFonts w:eastAsia="Times New Roman"/>
          <w:lang w:eastAsia="en-US"/>
        </w:rPr>
        <w:t xml:space="preserve"> </w:t>
      </w:r>
      <w:r w:rsidR="00B267F9">
        <w:rPr>
          <w:rFonts w:eastAsia="Times New Roman"/>
          <w:lang w:eastAsia="en-US"/>
        </w:rPr>
        <w:t>external fund</w:t>
      </w:r>
      <w:r w:rsidRPr="00C52AC3">
        <w:rPr>
          <w:rFonts w:eastAsia="Times New Roman"/>
          <w:lang w:eastAsia="en-US"/>
        </w:rPr>
        <w:t xml:space="preserve"> manager’s performance trend be observed in a specific month, the </w:t>
      </w:r>
      <w:r w:rsidR="00B267F9">
        <w:rPr>
          <w:rFonts w:eastAsia="Times New Roman"/>
          <w:lang w:eastAsia="en-US"/>
        </w:rPr>
        <w:t xml:space="preserve">external fund </w:t>
      </w:r>
      <w:r w:rsidRPr="00C52AC3">
        <w:rPr>
          <w:rFonts w:eastAsia="Times New Roman"/>
          <w:lang w:eastAsia="en-US"/>
        </w:rPr>
        <w:t xml:space="preserve">manager will be contacted and a written explanation of the performance trend will be required.  If the underperformance persists, the ACI will take the necessary measures to ensure that a strategy and corrective action for the underperforming </w:t>
      </w:r>
      <w:r w:rsidR="00B267F9">
        <w:rPr>
          <w:rFonts w:eastAsia="Times New Roman"/>
          <w:lang w:eastAsia="en-US"/>
        </w:rPr>
        <w:t xml:space="preserve">external fund </w:t>
      </w:r>
      <w:r w:rsidRPr="00C52AC3">
        <w:rPr>
          <w:rFonts w:eastAsia="Times New Roman"/>
          <w:lang w:eastAsia="en-US"/>
        </w:rPr>
        <w:t>manager are put in place.</w:t>
      </w:r>
    </w:p>
    <w:p w:rsidR="00490611" w:rsidRPr="00C52AC3" w:rsidRDefault="00490611" w:rsidP="006045BD">
      <w:pPr>
        <w:pStyle w:val="ONUME"/>
        <w:numPr>
          <w:ilvl w:val="0"/>
          <w:numId w:val="36"/>
        </w:numPr>
        <w:spacing w:after="240"/>
        <w:ind w:left="0" w:firstLine="0"/>
        <w:rPr>
          <w:rFonts w:eastAsia="Times New Roman"/>
          <w:lang w:eastAsia="en-US"/>
        </w:rPr>
      </w:pPr>
      <w:r w:rsidRPr="00C52AC3">
        <w:rPr>
          <w:rFonts w:eastAsia="Times New Roman"/>
          <w:lang w:eastAsia="en-US"/>
        </w:rPr>
        <w:t>The annual financial statements will disclose details of all investments in accordance with International Public Sector Accounting Standards (IPSAS) and investments will accordingly be subject to audit.  In addition, Financial Regulation 6.6 stipulates that the financial management report (FMR) prepared for each financial period will include a report on investments.</w:t>
      </w:r>
    </w:p>
    <w:p w:rsidR="00490611" w:rsidRPr="00C52AC3" w:rsidRDefault="00490611" w:rsidP="00490611">
      <w:pPr>
        <w:rPr>
          <w:rFonts w:eastAsia="Times New Roman"/>
          <w:lang w:eastAsia="en-US"/>
        </w:rPr>
        <w:sectPr w:rsidR="00490611" w:rsidRPr="00C52AC3" w:rsidSect="00436221">
          <w:headerReference w:type="default" r:id="rId19"/>
          <w:headerReference w:type="first" r:id="rId20"/>
          <w:pgSz w:w="11907" w:h="16840" w:code="9"/>
          <w:pgMar w:top="1418" w:right="1418" w:bottom="794" w:left="1418" w:header="709" w:footer="709" w:gutter="0"/>
          <w:pgNumType w:start="1"/>
          <w:cols w:space="720"/>
          <w:titlePg/>
          <w:docGrid w:linePitch="299"/>
        </w:sectPr>
      </w:pPr>
    </w:p>
    <w:p w:rsidR="00490611" w:rsidRPr="003D5834" w:rsidRDefault="00490611" w:rsidP="00490611">
      <w:pPr>
        <w:rPr>
          <w:rFonts w:eastAsia="Times New Roman"/>
          <w:b/>
          <w:lang w:eastAsia="en-US"/>
        </w:rPr>
      </w:pPr>
      <w:r w:rsidRPr="003D5834">
        <w:rPr>
          <w:rFonts w:eastAsia="Times New Roman"/>
          <w:b/>
          <w:lang w:eastAsia="en-US"/>
        </w:rPr>
        <w:lastRenderedPageBreak/>
        <w:t>CREDIT LIMITS</w:t>
      </w:r>
    </w:p>
    <w:p w:rsidR="00490611" w:rsidRPr="00C52AC3" w:rsidRDefault="00490611" w:rsidP="00490611">
      <w:pPr>
        <w:rPr>
          <w:rFonts w:eastAsia="Times New Roman"/>
          <w:lang w:eastAsia="en-US"/>
        </w:rPr>
      </w:pPr>
    </w:p>
    <w:p w:rsidR="00490611" w:rsidRPr="00C52AC3" w:rsidRDefault="00490611" w:rsidP="00490611">
      <w:pPr>
        <w:rPr>
          <w:rFonts w:eastAsia="Times New Roman"/>
          <w:lang w:eastAsia="en-US"/>
        </w:rPr>
      </w:pPr>
      <w:r w:rsidRPr="00C52AC3">
        <w:rPr>
          <w:rFonts w:eastAsia="Times New Roman"/>
          <w:lang w:eastAsia="en-US"/>
        </w:rPr>
        <w:t>To ensure credit quality and consistency of credit evaluation, the Organization relies on approved credit rating agencies to determine creditworthiness.  As of 2015, the approved agencies are Moody’s, Standard and Poor’s and Fitch IBCA.</w:t>
      </w:r>
    </w:p>
    <w:p w:rsidR="00490611" w:rsidRPr="00C52AC3" w:rsidRDefault="00490611" w:rsidP="00490611">
      <w:pPr>
        <w:rPr>
          <w:rFonts w:eastAsia="Times New Roman"/>
          <w:sz w:val="18"/>
          <w:szCs w:val="18"/>
          <w:lang w:eastAsia="en-US"/>
        </w:rPr>
      </w:pPr>
    </w:p>
    <w:tbl>
      <w:tblPr>
        <w:tblW w:w="12033" w:type="dxa"/>
        <w:jc w:val="center"/>
        <w:tblCellSpacing w:w="15" w:type="dxa"/>
        <w:tblInd w:w="-1435" w:type="dxa"/>
        <w:tblCellMar>
          <w:left w:w="0" w:type="dxa"/>
          <w:right w:w="0" w:type="dxa"/>
        </w:tblCellMar>
        <w:tblLook w:val="0000" w:firstRow="0" w:lastRow="0" w:firstColumn="0" w:lastColumn="0" w:noHBand="0" w:noVBand="0"/>
      </w:tblPr>
      <w:tblGrid>
        <w:gridCol w:w="1491"/>
        <w:gridCol w:w="1525"/>
        <w:gridCol w:w="1540"/>
        <w:gridCol w:w="1589"/>
        <w:gridCol w:w="1477"/>
        <w:gridCol w:w="1525"/>
        <w:gridCol w:w="2886"/>
      </w:tblGrid>
      <w:tr w:rsidR="00490611" w:rsidRPr="00C52AC3" w:rsidTr="0091787F">
        <w:trPr>
          <w:tblCellSpacing w:w="15" w:type="dxa"/>
          <w:jc w:val="center"/>
        </w:trPr>
        <w:tc>
          <w:tcPr>
            <w:tcW w:w="0" w:type="auto"/>
            <w:gridSpan w:val="2"/>
            <w:shd w:val="clear" w:color="auto" w:fill="FF7C80"/>
            <w:tcMar>
              <w:top w:w="15" w:type="dxa"/>
              <w:left w:w="15" w:type="dxa"/>
              <w:bottom w:w="15" w:type="dxa"/>
              <w:right w:w="15" w:type="dxa"/>
            </w:tcMar>
            <w:vAlign w:val="center"/>
          </w:tcPr>
          <w:p w:rsidR="00490611" w:rsidRPr="00C52AC3" w:rsidRDefault="00490611" w:rsidP="0091787F">
            <w:pPr>
              <w:jc w:val="center"/>
              <w:rPr>
                <w:b/>
                <w:bCs/>
              </w:rPr>
            </w:pPr>
            <w:r w:rsidRPr="00C52AC3">
              <w:rPr>
                <w:b/>
                <w:bCs/>
              </w:rPr>
              <w:t>MOODY’S</w:t>
            </w:r>
          </w:p>
        </w:tc>
        <w:tc>
          <w:tcPr>
            <w:tcW w:w="0" w:type="auto"/>
            <w:gridSpan w:val="2"/>
            <w:tcMar>
              <w:top w:w="15" w:type="dxa"/>
              <w:left w:w="15" w:type="dxa"/>
              <w:bottom w:w="15" w:type="dxa"/>
              <w:right w:w="15" w:type="dxa"/>
            </w:tcMar>
            <w:vAlign w:val="center"/>
          </w:tcPr>
          <w:p w:rsidR="00490611" w:rsidRPr="00C52AC3" w:rsidRDefault="00490611" w:rsidP="0091787F">
            <w:pPr>
              <w:jc w:val="center"/>
              <w:rPr>
                <w:b/>
                <w:bCs/>
              </w:rPr>
            </w:pPr>
            <w:r w:rsidRPr="00C52AC3">
              <w:rPr>
                <w:b/>
                <w:bCs/>
              </w:rPr>
              <w:t>STANDARD &amp; POOR’S</w:t>
            </w:r>
          </w:p>
        </w:tc>
        <w:tc>
          <w:tcPr>
            <w:tcW w:w="0" w:type="auto"/>
            <w:gridSpan w:val="2"/>
            <w:shd w:val="clear" w:color="auto" w:fill="0099FF"/>
            <w:tcMar>
              <w:top w:w="15" w:type="dxa"/>
              <w:left w:w="15" w:type="dxa"/>
              <w:bottom w:w="15" w:type="dxa"/>
              <w:right w:w="15" w:type="dxa"/>
            </w:tcMar>
            <w:vAlign w:val="center"/>
          </w:tcPr>
          <w:p w:rsidR="00490611" w:rsidRPr="00C52AC3" w:rsidRDefault="00490611" w:rsidP="0091787F">
            <w:pPr>
              <w:jc w:val="center"/>
              <w:rPr>
                <w:b/>
                <w:bCs/>
              </w:rPr>
            </w:pPr>
            <w:r w:rsidRPr="00C52AC3">
              <w:rPr>
                <w:b/>
                <w:bCs/>
              </w:rPr>
              <w:t>FITCH</w:t>
            </w:r>
          </w:p>
        </w:tc>
        <w:tc>
          <w:tcPr>
            <w:tcW w:w="0" w:type="auto"/>
            <w:tcMar>
              <w:top w:w="15" w:type="dxa"/>
              <w:left w:w="15" w:type="dxa"/>
              <w:bottom w:w="15" w:type="dxa"/>
              <w:right w:w="15" w:type="dxa"/>
            </w:tcMar>
            <w:vAlign w:val="center"/>
          </w:tcPr>
          <w:p w:rsidR="00490611" w:rsidRPr="00C52AC3" w:rsidRDefault="00490611" w:rsidP="0091787F">
            <w:pPr>
              <w:jc w:val="center"/>
              <w:rPr>
                <w:b/>
                <w:bCs/>
              </w:rPr>
            </w:pPr>
            <w:r w:rsidRPr="00C52AC3">
              <w:rPr>
                <w:b/>
                <w:bCs/>
              </w:rPr>
              <w:t> </w:t>
            </w:r>
          </w:p>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rPr>
                <w:b/>
                <w:bCs/>
              </w:rPr>
            </w:pPr>
            <w:r w:rsidRPr="00C52AC3">
              <w:rPr>
                <w:b/>
                <w:bCs/>
              </w:rPr>
              <w:t>Long-term</w:t>
            </w:r>
          </w:p>
        </w:tc>
        <w:tc>
          <w:tcPr>
            <w:tcW w:w="0" w:type="auto"/>
            <w:shd w:val="clear" w:color="auto" w:fill="FFC0CB"/>
            <w:tcMar>
              <w:top w:w="15" w:type="dxa"/>
              <w:left w:w="15" w:type="dxa"/>
              <w:bottom w:w="15" w:type="dxa"/>
              <w:right w:w="15" w:type="dxa"/>
            </w:tcMar>
            <w:vAlign w:val="center"/>
          </w:tcPr>
          <w:p w:rsidR="00490611" w:rsidRPr="00C52AC3" w:rsidRDefault="00490611" w:rsidP="0091787F">
            <w:pPr>
              <w:jc w:val="center"/>
              <w:rPr>
                <w:b/>
                <w:bCs/>
              </w:rPr>
            </w:pPr>
            <w:r w:rsidRPr="00C52AC3">
              <w:rPr>
                <w:b/>
                <w:bCs/>
              </w:rPr>
              <w:t>Short-term</w:t>
            </w:r>
          </w:p>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rPr>
                <w:b/>
                <w:bCs/>
              </w:rPr>
            </w:pPr>
            <w:r w:rsidRPr="00C52AC3">
              <w:rPr>
                <w:b/>
                <w:bCs/>
              </w:rPr>
              <w:t>Long-term</w:t>
            </w:r>
          </w:p>
        </w:tc>
        <w:tc>
          <w:tcPr>
            <w:tcW w:w="0" w:type="auto"/>
            <w:shd w:val="clear" w:color="auto" w:fill="F0E68C"/>
            <w:tcMar>
              <w:top w:w="15" w:type="dxa"/>
              <w:left w:w="15" w:type="dxa"/>
              <w:bottom w:w="15" w:type="dxa"/>
              <w:right w:w="15" w:type="dxa"/>
            </w:tcMar>
            <w:vAlign w:val="center"/>
          </w:tcPr>
          <w:p w:rsidR="00490611" w:rsidRPr="00C52AC3" w:rsidRDefault="00490611" w:rsidP="0091787F">
            <w:pPr>
              <w:jc w:val="center"/>
              <w:rPr>
                <w:b/>
                <w:bCs/>
              </w:rPr>
            </w:pPr>
            <w:r w:rsidRPr="00C52AC3">
              <w:rPr>
                <w:b/>
                <w:bCs/>
              </w:rPr>
              <w:t>Short-term</w:t>
            </w:r>
          </w:p>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rPr>
                <w:b/>
                <w:bCs/>
              </w:rPr>
            </w:pPr>
            <w:r w:rsidRPr="00C52AC3">
              <w:rPr>
                <w:b/>
                <w:bCs/>
              </w:rPr>
              <w:t>Long-term</w:t>
            </w:r>
          </w:p>
        </w:tc>
        <w:tc>
          <w:tcPr>
            <w:tcW w:w="0" w:type="auto"/>
            <w:shd w:val="clear" w:color="auto" w:fill="AFEEEE"/>
            <w:tcMar>
              <w:top w:w="15" w:type="dxa"/>
              <w:left w:w="15" w:type="dxa"/>
              <w:bottom w:w="15" w:type="dxa"/>
              <w:right w:w="15" w:type="dxa"/>
            </w:tcMar>
            <w:vAlign w:val="center"/>
          </w:tcPr>
          <w:p w:rsidR="00490611" w:rsidRPr="00C52AC3" w:rsidRDefault="00490611" w:rsidP="0091787F">
            <w:pPr>
              <w:jc w:val="center"/>
              <w:rPr>
                <w:b/>
                <w:bCs/>
              </w:rPr>
            </w:pPr>
            <w:r w:rsidRPr="00C52AC3">
              <w:rPr>
                <w:b/>
                <w:bCs/>
              </w:rPr>
              <w:t>Short-term</w:t>
            </w:r>
          </w:p>
        </w:tc>
        <w:tc>
          <w:tcPr>
            <w:tcW w:w="0" w:type="auto"/>
            <w:tcMar>
              <w:top w:w="15" w:type="dxa"/>
              <w:left w:w="15" w:type="dxa"/>
              <w:bottom w:w="15" w:type="dxa"/>
              <w:right w:w="15" w:type="dxa"/>
            </w:tcMar>
            <w:vAlign w:val="center"/>
          </w:tcPr>
          <w:p w:rsidR="00490611" w:rsidRPr="00C52AC3" w:rsidRDefault="00490611" w:rsidP="0091787F">
            <w:pPr>
              <w:jc w:val="center"/>
              <w:rPr>
                <w:b/>
                <w:bCs/>
              </w:rPr>
            </w:pPr>
            <w:r w:rsidRPr="00C52AC3">
              <w:rPr>
                <w:b/>
                <w:bCs/>
              </w:rPr>
              <w:t> </w:t>
            </w:r>
          </w:p>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Aaa</w:t>
            </w:r>
          </w:p>
        </w:tc>
        <w:tc>
          <w:tcPr>
            <w:tcW w:w="0" w:type="auto"/>
            <w:vMerge w:val="restart"/>
            <w:shd w:val="clear" w:color="auto" w:fill="FFC0CB"/>
            <w:tcMar>
              <w:top w:w="15" w:type="dxa"/>
              <w:left w:w="15" w:type="dxa"/>
              <w:bottom w:w="15" w:type="dxa"/>
              <w:right w:w="15" w:type="dxa"/>
            </w:tcMar>
            <w:vAlign w:val="center"/>
          </w:tcPr>
          <w:p w:rsidR="00490611" w:rsidRPr="00C52AC3" w:rsidRDefault="00490611" w:rsidP="0091787F">
            <w:pPr>
              <w:jc w:val="center"/>
            </w:pPr>
            <w:r w:rsidRPr="00C52AC3">
              <w:t>P-1</w:t>
            </w:r>
          </w:p>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AAA</w:t>
            </w:r>
          </w:p>
        </w:tc>
        <w:tc>
          <w:tcPr>
            <w:tcW w:w="0" w:type="auto"/>
            <w:vMerge w:val="restart"/>
            <w:shd w:val="clear" w:color="auto" w:fill="F0E68C"/>
            <w:tcMar>
              <w:top w:w="15" w:type="dxa"/>
              <w:left w:w="15" w:type="dxa"/>
              <w:bottom w:w="15" w:type="dxa"/>
              <w:right w:w="15" w:type="dxa"/>
            </w:tcMar>
            <w:vAlign w:val="center"/>
          </w:tcPr>
          <w:p w:rsidR="00490611" w:rsidRPr="00C52AC3" w:rsidRDefault="00490611" w:rsidP="0091787F">
            <w:pPr>
              <w:jc w:val="center"/>
            </w:pPr>
            <w:r w:rsidRPr="00C52AC3">
              <w:t>A-1+</w:t>
            </w:r>
          </w:p>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AAA</w:t>
            </w:r>
          </w:p>
        </w:tc>
        <w:tc>
          <w:tcPr>
            <w:tcW w:w="0" w:type="auto"/>
            <w:vMerge w:val="restart"/>
            <w:shd w:val="clear" w:color="auto" w:fill="AFEEEE"/>
            <w:tcMar>
              <w:top w:w="15" w:type="dxa"/>
              <w:left w:w="15" w:type="dxa"/>
              <w:bottom w:w="15" w:type="dxa"/>
              <w:right w:w="15" w:type="dxa"/>
            </w:tcMar>
            <w:vAlign w:val="center"/>
          </w:tcPr>
          <w:p w:rsidR="00490611" w:rsidRPr="00C52AC3" w:rsidRDefault="00490611" w:rsidP="0091787F">
            <w:pPr>
              <w:jc w:val="center"/>
            </w:pPr>
            <w:r w:rsidRPr="00C52AC3">
              <w:t>F1+</w:t>
            </w:r>
          </w:p>
        </w:tc>
        <w:tc>
          <w:tcPr>
            <w:tcW w:w="0" w:type="auto"/>
            <w:shd w:val="clear" w:color="auto" w:fill="D2B48C"/>
            <w:tcMar>
              <w:top w:w="15" w:type="dxa"/>
              <w:left w:w="15" w:type="dxa"/>
              <w:bottom w:w="15" w:type="dxa"/>
              <w:right w:w="15" w:type="dxa"/>
            </w:tcMar>
            <w:vAlign w:val="center"/>
          </w:tcPr>
          <w:p w:rsidR="00490611" w:rsidRPr="00C52AC3" w:rsidRDefault="00490611" w:rsidP="0091787F">
            <w:pPr>
              <w:jc w:val="center"/>
            </w:pPr>
            <w:r w:rsidRPr="00C52AC3">
              <w:t>Prime</w:t>
            </w:r>
          </w:p>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Aa1</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AA+</w:t>
            </w:r>
          </w:p>
        </w:tc>
        <w:tc>
          <w:tcPr>
            <w:tcW w:w="0" w:type="auto"/>
            <w:vMerge/>
            <w:vAlign w:val="center"/>
          </w:tcPr>
          <w:p w:rsidR="00490611" w:rsidRPr="00C52AC3" w:rsidRDefault="00490611" w:rsidP="0091787F"/>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AA+</w:t>
            </w:r>
          </w:p>
        </w:tc>
        <w:tc>
          <w:tcPr>
            <w:tcW w:w="0" w:type="auto"/>
            <w:vMerge/>
            <w:vAlign w:val="center"/>
          </w:tcPr>
          <w:p w:rsidR="00490611" w:rsidRPr="00C52AC3" w:rsidRDefault="00490611" w:rsidP="0091787F"/>
        </w:tc>
        <w:tc>
          <w:tcPr>
            <w:tcW w:w="0" w:type="auto"/>
            <w:vMerge w:val="restart"/>
            <w:shd w:val="clear" w:color="auto" w:fill="D2B48C"/>
            <w:tcMar>
              <w:top w:w="15" w:type="dxa"/>
              <w:left w:w="15" w:type="dxa"/>
              <w:bottom w:w="15" w:type="dxa"/>
              <w:right w:w="15" w:type="dxa"/>
            </w:tcMar>
            <w:vAlign w:val="center"/>
          </w:tcPr>
          <w:p w:rsidR="00490611" w:rsidRPr="00C52AC3" w:rsidRDefault="00490611" w:rsidP="0091787F">
            <w:pPr>
              <w:jc w:val="center"/>
            </w:pPr>
            <w:r w:rsidRPr="00C52AC3">
              <w:t>High grade</w:t>
            </w:r>
          </w:p>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Aa2</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AA</w:t>
            </w:r>
          </w:p>
        </w:tc>
        <w:tc>
          <w:tcPr>
            <w:tcW w:w="0" w:type="auto"/>
            <w:vMerge/>
            <w:vAlign w:val="center"/>
          </w:tcPr>
          <w:p w:rsidR="00490611" w:rsidRPr="00C52AC3" w:rsidRDefault="00490611" w:rsidP="0091787F"/>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AA</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Aa3</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AA-</w:t>
            </w:r>
          </w:p>
        </w:tc>
        <w:tc>
          <w:tcPr>
            <w:tcW w:w="0" w:type="auto"/>
            <w:vMerge/>
            <w:vAlign w:val="center"/>
          </w:tcPr>
          <w:p w:rsidR="00490611" w:rsidRPr="00C52AC3" w:rsidRDefault="00490611" w:rsidP="0091787F"/>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AA-</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shd w:val="clear" w:color="auto" w:fill="F08080"/>
            <w:vAlign w:val="center"/>
          </w:tcPr>
          <w:p w:rsidR="00490611" w:rsidRPr="00C52AC3" w:rsidRDefault="00490611" w:rsidP="0091787F">
            <w:pPr>
              <w:jc w:val="center"/>
            </w:pPr>
            <w:r w:rsidRPr="00C52AC3">
              <w:t>A1</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A+</w:t>
            </w:r>
          </w:p>
        </w:tc>
        <w:tc>
          <w:tcPr>
            <w:tcW w:w="0" w:type="auto"/>
            <w:vMerge w:val="restart"/>
            <w:shd w:val="clear" w:color="auto" w:fill="F0E68C"/>
            <w:tcMar>
              <w:top w:w="15" w:type="dxa"/>
              <w:left w:w="15" w:type="dxa"/>
              <w:bottom w:w="15" w:type="dxa"/>
              <w:right w:w="15" w:type="dxa"/>
            </w:tcMar>
            <w:vAlign w:val="center"/>
          </w:tcPr>
          <w:p w:rsidR="00490611" w:rsidRPr="00C52AC3" w:rsidRDefault="00490611" w:rsidP="0091787F">
            <w:pPr>
              <w:jc w:val="center"/>
            </w:pPr>
            <w:r w:rsidRPr="00C52AC3">
              <w:t>A-1</w:t>
            </w:r>
          </w:p>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A+</w:t>
            </w:r>
          </w:p>
        </w:tc>
        <w:tc>
          <w:tcPr>
            <w:tcW w:w="0" w:type="auto"/>
            <w:vMerge w:val="restart"/>
            <w:shd w:val="clear" w:color="auto" w:fill="AFEEEE"/>
            <w:tcMar>
              <w:top w:w="15" w:type="dxa"/>
              <w:left w:w="15" w:type="dxa"/>
              <w:bottom w:w="15" w:type="dxa"/>
              <w:right w:w="15" w:type="dxa"/>
            </w:tcMar>
            <w:vAlign w:val="center"/>
          </w:tcPr>
          <w:p w:rsidR="00490611" w:rsidRPr="00C52AC3" w:rsidRDefault="00490611" w:rsidP="0091787F">
            <w:pPr>
              <w:jc w:val="center"/>
            </w:pPr>
            <w:r w:rsidRPr="00C52AC3">
              <w:t>F1</w:t>
            </w:r>
          </w:p>
        </w:tc>
        <w:tc>
          <w:tcPr>
            <w:tcW w:w="0" w:type="auto"/>
            <w:vMerge w:val="restart"/>
            <w:shd w:val="clear" w:color="auto" w:fill="D2B48C"/>
            <w:tcMar>
              <w:top w:w="15" w:type="dxa"/>
              <w:left w:w="15" w:type="dxa"/>
              <w:bottom w:w="15" w:type="dxa"/>
              <w:right w:w="15" w:type="dxa"/>
            </w:tcMar>
            <w:vAlign w:val="center"/>
          </w:tcPr>
          <w:p w:rsidR="00490611" w:rsidRPr="00C52AC3" w:rsidRDefault="00490611" w:rsidP="0091787F">
            <w:pPr>
              <w:jc w:val="center"/>
            </w:pPr>
            <w:r w:rsidRPr="00C52AC3">
              <w:t>Upper medium grade</w:t>
            </w:r>
          </w:p>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A2</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A</w:t>
            </w:r>
          </w:p>
        </w:tc>
        <w:tc>
          <w:tcPr>
            <w:tcW w:w="0" w:type="auto"/>
            <w:vMerge/>
            <w:vAlign w:val="center"/>
          </w:tcPr>
          <w:p w:rsidR="00490611" w:rsidRPr="00C52AC3" w:rsidRDefault="00490611" w:rsidP="0091787F"/>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A</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A3</w:t>
            </w:r>
          </w:p>
        </w:tc>
        <w:tc>
          <w:tcPr>
            <w:tcW w:w="0" w:type="auto"/>
            <w:vMerge w:val="restart"/>
            <w:shd w:val="clear" w:color="auto" w:fill="FFC0CB"/>
            <w:tcMar>
              <w:top w:w="15" w:type="dxa"/>
              <w:left w:w="15" w:type="dxa"/>
              <w:bottom w:w="15" w:type="dxa"/>
              <w:right w:w="15" w:type="dxa"/>
            </w:tcMar>
            <w:vAlign w:val="center"/>
          </w:tcPr>
          <w:p w:rsidR="00490611" w:rsidRPr="00C52AC3" w:rsidRDefault="00490611" w:rsidP="0091787F">
            <w:pPr>
              <w:jc w:val="center"/>
            </w:pPr>
            <w:r w:rsidRPr="00C52AC3">
              <w:t>P-2</w:t>
            </w:r>
          </w:p>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A-</w:t>
            </w:r>
          </w:p>
        </w:tc>
        <w:tc>
          <w:tcPr>
            <w:tcW w:w="0" w:type="auto"/>
            <w:vMerge w:val="restart"/>
            <w:shd w:val="clear" w:color="auto" w:fill="F0E68C"/>
            <w:tcMar>
              <w:top w:w="15" w:type="dxa"/>
              <w:left w:w="15" w:type="dxa"/>
              <w:bottom w:w="15" w:type="dxa"/>
              <w:right w:w="15" w:type="dxa"/>
            </w:tcMar>
            <w:vAlign w:val="center"/>
          </w:tcPr>
          <w:p w:rsidR="00490611" w:rsidRPr="00C52AC3" w:rsidRDefault="00490611" w:rsidP="0091787F">
            <w:pPr>
              <w:jc w:val="center"/>
            </w:pPr>
            <w:r w:rsidRPr="00C52AC3">
              <w:t>A-2</w:t>
            </w:r>
          </w:p>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A-</w:t>
            </w:r>
          </w:p>
        </w:tc>
        <w:tc>
          <w:tcPr>
            <w:tcW w:w="0" w:type="auto"/>
            <w:vMerge w:val="restart"/>
            <w:shd w:val="clear" w:color="auto" w:fill="AFEEEE"/>
            <w:tcMar>
              <w:top w:w="15" w:type="dxa"/>
              <w:left w:w="15" w:type="dxa"/>
              <w:bottom w:w="15" w:type="dxa"/>
              <w:right w:w="15" w:type="dxa"/>
            </w:tcMar>
            <w:vAlign w:val="center"/>
          </w:tcPr>
          <w:p w:rsidR="00490611" w:rsidRPr="00C52AC3" w:rsidRDefault="00490611" w:rsidP="0091787F">
            <w:pPr>
              <w:jc w:val="center"/>
            </w:pPr>
            <w:r w:rsidRPr="00C52AC3">
              <w:t>F2</w:t>
            </w:r>
          </w:p>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Baa1</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BBB+</w:t>
            </w:r>
          </w:p>
        </w:tc>
        <w:tc>
          <w:tcPr>
            <w:tcW w:w="0" w:type="auto"/>
            <w:vMerge/>
            <w:vAlign w:val="center"/>
          </w:tcPr>
          <w:p w:rsidR="00490611" w:rsidRPr="00C52AC3" w:rsidRDefault="00490611" w:rsidP="0091787F"/>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BBB+</w:t>
            </w:r>
          </w:p>
        </w:tc>
        <w:tc>
          <w:tcPr>
            <w:tcW w:w="0" w:type="auto"/>
            <w:vMerge/>
            <w:vAlign w:val="center"/>
          </w:tcPr>
          <w:p w:rsidR="00490611" w:rsidRPr="00C52AC3" w:rsidRDefault="00490611" w:rsidP="0091787F"/>
        </w:tc>
        <w:tc>
          <w:tcPr>
            <w:tcW w:w="0" w:type="auto"/>
            <w:vMerge w:val="restart"/>
            <w:shd w:val="clear" w:color="auto" w:fill="D2B48C"/>
            <w:tcMar>
              <w:top w:w="15" w:type="dxa"/>
              <w:left w:w="15" w:type="dxa"/>
              <w:bottom w:w="15" w:type="dxa"/>
              <w:right w:w="15" w:type="dxa"/>
            </w:tcMar>
            <w:vAlign w:val="center"/>
          </w:tcPr>
          <w:p w:rsidR="00490611" w:rsidRPr="00C52AC3" w:rsidRDefault="00490611" w:rsidP="0091787F">
            <w:pPr>
              <w:jc w:val="center"/>
            </w:pPr>
            <w:r w:rsidRPr="00C52AC3">
              <w:t>Lower medium grade</w:t>
            </w:r>
          </w:p>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Baa2</w:t>
            </w:r>
          </w:p>
        </w:tc>
        <w:tc>
          <w:tcPr>
            <w:tcW w:w="0" w:type="auto"/>
            <w:vMerge w:val="restart"/>
            <w:shd w:val="clear" w:color="auto" w:fill="FFC0CB"/>
            <w:tcMar>
              <w:top w:w="15" w:type="dxa"/>
              <w:left w:w="15" w:type="dxa"/>
              <w:bottom w:w="15" w:type="dxa"/>
              <w:right w:w="15" w:type="dxa"/>
            </w:tcMar>
            <w:vAlign w:val="center"/>
          </w:tcPr>
          <w:p w:rsidR="00490611" w:rsidRPr="00C52AC3" w:rsidRDefault="00490611" w:rsidP="0091787F">
            <w:pPr>
              <w:jc w:val="center"/>
            </w:pPr>
            <w:r w:rsidRPr="00C52AC3">
              <w:t>P-3</w:t>
            </w:r>
          </w:p>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BBB</w:t>
            </w:r>
          </w:p>
        </w:tc>
        <w:tc>
          <w:tcPr>
            <w:tcW w:w="0" w:type="auto"/>
            <w:vMerge w:val="restart"/>
            <w:shd w:val="clear" w:color="auto" w:fill="F0E68C"/>
            <w:tcMar>
              <w:top w:w="15" w:type="dxa"/>
              <w:left w:w="15" w:type="dxa"/>
              <w:bottom w:w="15" w:type="dxa"/>
              <w:right w:w="15" w:type="dxa"/>
            </w:tcMar>
            <w:vAlign w:val="center"/>
          </w:tcPr>
          <w:p w:rsidR="00490611" w:rsidRPr="00C52AC3" w:rsidRDefault="00490611" w:rsidP="0091787F">
            <w:pPr>
              <w:jc w:val="center"/>
            </w:pPr>
            <w:r w:rsidRPr="00C52AC3">
              <w:t>A-3</w:t>
            </w:r>
          </w:p>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BBB</w:t>
            </w:r>
          </w:p>
        </w:tc>
        <w:tc>
          <w:tcPr>
            <w:tcW w:w="0" w:type="auto"/>
            <w:vMerge w:val="restart"/>
            <w:shd w:val="clear" w:color="auto" w:fill="AFEEEE"/>
            <w:tcMar>
              <w:top w:w="15" w:type="dxa"/>
              <w:left w:w="15" w:type="dxa"/>
              <w:bottom w:w="15" w:type="dxa"/>
              <w:right w:w="15" w:type="dxa"/>
            </w:tcMar>
            <w:vAlign w:val="center"/>
          </w:tcPr>
          <w:p w:rsidR="00490611" w:rsidRPr="00C52AC3" w:rsidRDefault="00490611" w:rsidP="0091787F">
            <w:pPr>
              <w:jc w:val="center"/>
            </w:pPr>
            <w:r w:rsidRPr="00C52AC3">
              <w:t>F3</w:t>
            </w:r>
          </w:p>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Baa3</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BBB-</w:t>
            </w:r>
          </w:p>
        </w:tc>
        <w:tc>
          <w:tcPr>
            <w:tcW w:w="0" w:type="auto"/>
            <w:vMerge/>
            <w:vAlign w:val="center"/>
          </w:tcPr>
          <w:p w:rsidR="00490611" w:rsidRPr="00C52AC3" w:rsidRDefault="00490611" w:rsidP="0091787F"/>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BBB-</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Ba1</w:t>
            </w:r>
          </w:p>
        </w:tc>
        <w:tc>
          <w:tcPr>
            <w:tcW w:w="0" w:type="auto"/>
            <w:vMerge w:val="restart"/>
            <w:shd w:val="clear" w:color="auto" w:fill="FFC0CB"/>
            <w:tcMar>
              <w:top w:w="15" w:type="dxa"/>
              <w:left w:w="15" w:type="dxa"/>
              <w:bottom w:w="15" w:type="dxa"/>
              <w:right w:w="15" w:type="dxa"/>
            </w:tcMar>
            <w:vAlign w:val="center"/>
          </w:tcPr>
          <w:p w:rsidR="00490611" w:rsidRPr="00C52AC3" w:rsidRDefault="00490611" w:rsidP="0091787F">
            <w:pPr>
              <w:jc w:val="center"/>
            </w:pPr>
            <w:r w:rsidRPr="00C52AC3">
              <w:t>Not prime</w:t>
            </w:r>
          </w:p>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BB+</w:t>
            </w:r>
          </w:p>
        </w:tc>
        <w:tc>
          <w:tcPr>
            <w:tcW w:w="0" w:type="auto"/>
            <w:vMerge w:val="restart"/>
            <w:shd w:val="clear" w:color="auto" w:fill="F0E68C"/>
            <w:tcMar>
              <w:top w:w="15" w:type="dxa"/>
              <w:left w:w="15" w:type="dxa"/>
              <w:bottom w:w="15" w:type="dxa"/>
              <w:right w:w="15" w:type="dxa"/>
            </w:tcMar>
            <w:vAlign w:val="center"/>
          </w:tcPr>
          <w:p w:rsidR="00490611" w:rsidRPr="00C52AC3" w:rsidRDefault="00490611" w:rsidP="0091787F">
            <w:pPr>
              <w:jc w:val="center"/>
            </w:pPr>
            <w:r w:rsidRPr="00C52AC3">
              <w:t>B</w:t>
            </w:r>
          </w:p>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BB+</w:t>
            </w:r>
          </w:p>
        </w:tc>
        <w:tc>
          <w:tcPr>
            <w:tcW w:w="0" w:type="auto"/>
            <w:vMerge w:val="restart"/>
            <w:shd w:val="clear" w:color="auto" w:fill="AFEEEE"/>
            <w:tcMar>
              <w:top w:w="15" w:type="dxa"/>
              <w:left w:w="15" w:type="dxa"/>
              <w:bottom w:w="15" w:type="dxa"/>
              <w:right w:w="15" w:type="dxa"/>
            </w:tcMar>
            <w:vAlign w:val="center"/>
          </w:tcPr>
          <w:p w:rsidR="00490611" w:rsidRPr="00C52AC3" w:rsidRDefault="00490611" w:rsidP="0091787F">
            <w:pPr>
              <w:jc w:val="center"/>
            </w:pPr>
            <w:r w:rsidRPr="00C52AC3">
              <w:t>B</w:t>
            </w:r>
          </w:p>
        </w:tc>
        <w:tc>
          <w:tcPr>
            <w:tcW w:w="0" w:type="auto"/>
            <w:vMerge w:val="restart"/>
            <w:shd w:val="clear" w:color="auto" w:fill="D2B48C"/>
            <w:tcMar>
              <w:top w:w="15" w:type="dxa"/>
              <w:left w:w="15" w:type="dxa"/>
              <w:bottom w:w="15" w:type="dxa"/>
              <w:right w:w="15" w:type="dxa"/>
            </w:tcMar>
            <w:vAlign w:val="center"/>
          </w:tcPr>
          <w:p w:rsidR="00490611" w:rsidRPr="00C52AC3" w:rsidRDefault="00490611" w:rsidP="0091787F">
            <w:pPr>
              <w:jc w:val="center"/>
            </w:pPr>
            <w:r w:rsidRPr="00C52AC3">
              <w:t>Non-investment grade</w:t>
            </w:r>
            <w:r w:rsidRPr="00C52AC3">
              <w:br/>
              <w:t>speculative</w:t>
            </w:r>
          </w:p>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Ba2</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BB</w:t>
            </w:r>
          </w:p>
        </w:tc>
        <w:tc>
          <w:tcPr>
            <w:tcW w:w="0" w:type="auto"/>
            <w:vMerge/>
            <w:vAlign w:val="center"/>
          </w:tcPr>
          <w:p w:rsidR="00490611" w:rsidRPr="00C52AC3" w:rsidRDefault="00490611" w:rsidP="0091787F"/>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BB</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Ba3</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BB-</w:t>
            </w:r>
          </w:p>
        </w:tc>
        <w:tc>
          <w:tcPr>
            <w:tcW w:w="0" w:type="auto"/>
            <w:vMerge/>
            <w:vAlign w:val="center"/>
          </w:tcPr>
          <w:p w:rsidR="00490611" w:rsidRPr="00C52AC3" w:rsidRDefault="00490611" w:rsidP="0091787F"/>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BB-</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B1</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B+</w:t>
            </w:r>
          </w:p>
        </w:tc>
        <w:tc>
          <w:tcPr>
            <w:tcW w:w="0" w:type="auto"/>
            <w:vMerge/>
            <w:vAlign w:val="center"/>
          </w:tcPr>
          <w:p w:rsidR="00490611" w:rsidRPr="00C52AC3" w:rsidRDefault="00490611" w:rsidP="0091787F"/>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B+</w:t>
            </w:r>
          </w:p>
        </w:tc>
        <w:tc>
          <w:tcPr>
            <w:tcW w:w="0" w:type="auto"/>
            <w:vMerge/>
            <w:vAlign w:val="center"/>
          </w:tcPr>
          <w:p w:rsidR="00490611" w:rsidRPr="00C52AC3" w:rsidRDefault="00490611" w:rsidP="0091787F"/>
        </w:tc>
        <w:tc>
          <w:tcPr>
            <w:tcW w:w="0" w:type="auto"/>
            <w:vMerge w:val="restart"/>
            <w:shd w:val="clear" w:color="auto" w:fill="D2B48C"/>
            <w:tcMar>
              <w:top w:w="15" w:type="dxa"/>
              <w:left w:w="15" w:type="dxa"/>
              <w:bottom w:w="15" w:type="dxa"/>
              <w:right w:w="15" w:type="dxa"/>
            </w:tcMar>
            <w:vAlign w:val="center"/>
          </w:tcPr>
          <w:p w:rsidR="00490611" w:rsidRPr="00C52AC3" w:rsidRDefault="00490611" w:rsidP="0091787F">
            <w:pPr>
              <w:jc w:val="center"/>
            </w:pPr>
            <w:r w:rsidRPr="00C52AC3">
              <w:t>Highly speculative</w:t>
            </w:r>
          </w:p>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B2</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B</w:t>
            </w:r>
          </w:p>
        </w:tc>
        <w:tc>
          <w:tcPr>
            <w:tcW w:w="0" w:type="auto"/>
            <w:vMerge/>
            <w:vAlign w:val="center"/>
          </w:tcPr>
          <w:p w:rsidR="00490611" w:rsidRPr="00C52AC3" w:rsidRDefault="00490611" w:rsidP="0091787F"/>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B</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B3</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B-</w:t>
            </w:r>
          </w:p>
        </w:tc>
        <w:tc>
          <w:tcPr>
            <w:tcW w:w="0" w:type="auto"/>
            <w:vMerge/>
            <w:vAlign w:val="center"/>
          </w:tcPr>
          <w:p w:rsidR="00490611" w:rsidRPr="00C52AC3" w:rsidRDefault="00490611" w:rsidP="0091787F"/>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B-</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shd w:val="clear" w:color="auto" w:fill="F08080"/>
            <w:vAlign w:val="center"/>
          </w:tcPr>
          <w:p w:rsidR="00490611" w:rsidRPr="00C52AC3" w:rsidRDefault="00490611" w:rsidP="0091787F">
            <w:pPr>
              <w:jc w:val="center"/>
            </w:pPr>
            <w:r w:rsidRPr="00C52AC3">
              <w:t>Caa1</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CCC+</w:t>
            </w:r>
          </w:p>
        </w:tc>
        <w:tc>
          <w:tcPr>
            <w:tcW w:w="0" w:type="auto"/>
            <w:vMerge w:val="restart"/>
            <w:shd w:val="clear" w:color="auto" w:fill="F0E68C"/>
            <w:tcMar>
              <w:top w:w="15" w:type="dxa"/>
              <w:left w:w="15" w:type="dxa"/>
              <w:bottom w:w="15" w:type="dxa"/>
              <w:right w:w="15" w:type="dxa"/>
            </w:tcMar>
            <w:vAlign w:val="center"/>
          </w:tcPr>
          <w:p w:rsidR="00490611" w:rsidRPr="00C52AC3" w:rsidRDefault="00490611" w:rsidP="0091787F">
            <w:pPr>
              <w:jc w:val="center"/>
            </w:pPr>
            <w:r w:rsidRPr="00C52AC3">
              <w:t>C</w:t>
            </w:r>
          </w:p>
        </w:tc>
        <w:tc>
          <w:tcPr>
            <w:tcW w:w="0" w:type="auto"/>
            <w:vMerge w:val="restart"/>
            <w:shd w:val="clear" w:color="auto" w:fill="1E90FF"/>
            <w:tcMar>
              <w:top w:w="15" w:type="dxa"/>
              <w:left w:w="15" w:type="dxa"/>
              <w:bottom w:w="15" w:type="dxa"/>
              <w:right w:w="15" w:type="dxa"/>
            </w:tcMar>
            <w:vAlign w:val="center"/>
          </w:tcPr>
          <w:p w:rsidR="00490611" w:rsidRPr="00C52AC3" w:rsidRDefault="00490611" w:rsidP="0091787F">
            <w:pPr>
              <w:jc w:val="center"/>
            </w:pPr>
            <w:r w:rsidRPr="00C52AC3">
              <w:t>CCC</w:t>
            </w:r>
          </w:p>
        </w:tc>
        <w:tc>
          <w:tcPr>
            <w:tcW w:w="0" w:type="auto"/>
            <w:vMerge w:val="restart"/>
            <w:shd w:val="clear" w:color="auto" w:fill="AFEEEE"/>
            <w:tcMar>
              <w:top w:w="15" w:type="dxa"/>
              <w:left w:w="15" w:type="dxa"/>
              <w:bottom w:w="15" w:type="dxa"/>
              <w:right w:w="15" w:type="dxa"/>
            </w:tcMar>
            <w:vAlign w:val="center"/>
          </w:tcPr>
          <w:p w:rsidR="00490611" w:rsidRPr="00C52AC3" w:rsidRDefault="00490611" w:rsidP="0091787F">
            <w:pPr>
              <w:jc w:val="center"/>
            </w:pPr>
            <w:r w:rsidRPr="00C52AC3">
              <w:t>C</w:t>
            </w:r>
          </w:p>
        </w:tc>
        <w:tc>
          <w:tcPr>
            <w:tcW w:w="0" w:type="auto"/>
            <w:shd w:val="clear" w:color="auto" w:fill="D2B48C"/>
            <w:tcMar>
              <w:top w:w="15" w:type="dxa"/>
              <w:left w:w="15" w:type="dxa"/>
              <w:bottom w:w="15" w:type="dxa"/>
              <w:right w:w="15" w:type="dxa"/>
            </w:tcMar>
            <w:vAlign w:val="center"/>
          </w:tcPr>
          <w:p w:rsidR="00490611" w:rsidRPr="00C52AC3" w:rsidRDefault="00490611" w:rsidP="0091787F">
            <w:pPr>
              <w:jc w:val="center"/>
            </w:pPr>
            <w:r w:rsidRPr="00C52AC3">
              <w:t>Substantial risks</w:t>
            </w:r>
          </w:p>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Caa2</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CCC</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c>
          <w:tcPr>
            <w:tcW w:w="0" w:type="auto"/>
            <w:shd w:val="clear" w:color="auto" w:fill="D2B48C"/>
            <w:tcMar>
              <w:top w:w="15" w:type="dxa"/>
              <w:left w:w="15" w:type="dxa"/>
              <w:bottom w:w="15" w:type="dxa"/>
              <w:right w:w="15" w:type="dxa"/>
            </w:tcMar>
            <w:vAlign w:val="center"/>
          </w:tcPr>
          <w:p w:rsidR="00490611" w:rsidRPr="00C52AC3" w:rsidRDefault="00490611" w:rsidP="0091787F">
            <w:pPr>
              <w:jc w:val="center"/>
            </w:pPr>
            <w:r w:rsidRPr="00C52AC3">
              <w:t>Extremely speculative</w:t>
            </w:r>
          </w:p>
        </w:tc>
      </w:tr>
      <w:tr w:rsidR="00490611" w:rsidRPr="00C52AC3" w:rsidTr="0091787F">
        <w:trPr>
          <w:tblCellSpacing w:w="15" w:type="dxa"/>
          <w:jc w:val="center"/>
        </w:trPr>
        <w:tc>
          <w:tcPr>
            <w:tcW w:w="0" w:type="auto"/>
            <w:shd w:val="clear" w:color="auto" w:fill="F08080"/>
            <w:tcMar>
              <w:top w:w="15" w:type="dxa"/>
              <w:left w:w="15" w:type="dxa"/>
              <w:bottom w:w="15" w:type="dxa"/>
              <w:right w:w="15" w:type="dxa"/>
            </w:tcMar>
            <w:vAlign w:val="center"/>
          </w:tcPr>
          <w:p w:rsidR="00490611" w:rsidRPr="00C52AC3" w:rsidRDefault="00490611" w:rsidP="0091787F">
            <w:pPr>
              <w:jc w:val="center"/>
            </w:pPr>
            <w:r w:rsidRPr="00C52AC3">
              <w:t>Caa3</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CCC-</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c>
          <w:tcPr>
            <w:tcW w:w="0" w:type="auto"/>
            <w:vMerge w:val="restart"/>
            <w:shd w:val="clear" w:color="auto" w:fill="D2B48C"/>
            <w:tcMar>
              <w:top w:w="15" w:type="dxa"/>
              <w:left w:w="15" w:type="dxa"/>
              <w:bottom w:w="15" w:type="dxa"/>
              <w:right w:w="15" w:type="dxa"/>
            </w:tcMar>
            <w:vAlign w:val="center"/>
          </w:tcPr>
          <w:p w:rsidR="00490611" w:rsidRPr="00C52AC3" w:rsidRDefault="00490611" w:rsidP="0091787F">
            <w:pPr>
              <w:jc w:val="center"/>
            </w:pPr>
            <w:r w:rsidRPr="00C52AC3">
              <w:t>In default with little</w:t>
            </w:r>
            <w:r w:rsidRPr="00C52AC3">
              <w:br/>
              <w:t>prospect for recovery</w:t>
            </w:r>
          </w:p>
        </w:tc>
      </w:tr>
      <w:tr w:rsidR="00490611" w:rsidRPr="00C52AC3" w:rsidTr="0091787F">
        <w:trPr>
          <w:tblCellSpacing w:w="15" w:type="dxa"/>
          <w:jc w:val="center"/>
        </w:trPr>
        <w:tc>
          <w:tcPr>
            <w:tcW w:w="0" w:type="auto"/>
            <w:vMerge w:val="restart"/>
            <w:shd w:val="clear" w:color="auto" w:fill="F08080"/>
            <w:tcMar>
              <w:top w:w="15" w:type="dxa"/>
              <w:left w:w="15" w:type="dxa"/>
              <w:bottom w:w="15" w:type="dxa"/>
              <w:right w:w="15" w:type="dxa"/>
            </w:tcMar>
            <w:vAlign w:val="center"/>
          </w:tcPr>
          <w:p w:rsidR="00490611" w:rsidRPr="00C52AC3" w:rsidRDefault="00490611" w:rsidP="0091787F">
            <w:pPr>
              <w:jc w:val="center"/>
            </w:pPr>
            <w:r w:rsidRPr="00C52AC3">
              <w:t>Ca</w:t>
            </w:r>
          </w:p>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CC</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vMerge/>
            <w:vAlign w:val="center"/>
          </w:tcPr>
          <w:p w:rsidR="00490611" w:rsidRPr="00C52AC3" w:rsidRDefault="00490611" w:rsidP="0091787F"/>
        </w:tc>
        <w:tc>
          <w:tcPr>
            <w:tcW w:w="0" w:type="auto"/>
            <w:vMerge/>
            <w:vAlign w:val="center"/>
          </w:tcPr>
          <w:p w:rsidR="00490611" w:rsidRPr="00C52AC3" w:rsidRDefault="00490611" w:rsidP="0091787F"/>
        </w:tc>
        <w:tc>
          <w:tcPr>
            <w:tcW w:w="0" w:type="auto"/>
            <w:shd w:val="clear" w:color="auto" w:fill="FFFF00"/>
            <w:tcMar>
              <w:top w:w="15" w:type="dxa"/>
              <w:left w:w="15" w:type="dxa"/>
              <w:bottom w:w="15" w:type="dxa"/>
              <w:right w:w="15" w:type="dxa"/>
            </w:tcMar>
            <w:vAlign w:val="center"/>
          </w:tcPr>
          <w:p w:rsidR="00490611" w:rsidRPr="00C52AC3" w:rsidRDefault="00490611" w:rsidP="0091787F">
            <w:pPr>
              <w:jc w:val="center"/>
            </w:pPr>
            <w:r w:rsidRPr="00C52AC3">
              <w:t>C</w:t>
            </w: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r>
      <w:tr w:rsidR="00490611" w:rsidRPr="00C52AC3" w:rsidTr="0091787F">
        <w:trPr>
          <w:tblCellSpacing w:w="15" w:type="dxa"/>
          <w:jc w:val="center"/>
        </w:trPr>
        <w:tc>
          <w:tcPr>
            <w:tcW w:w="0" w:type="auto"/>
            <w:shd w:val="clear" w:color="auto" w:fill="F08080"/>
            <w:vAlign w:val="center"/>
          </w:tcPr>
          <w:p w:rsidR="00490611" w:rsidRPr="00C52AC3" w:rsidRDefault="00490611" w:rsidP="0091787F">
            <w:pPr>
              <w:jc w:val="center"/>
            </w:pPr>
            <w:r w:rsidRPr="00C52AC3">
              <w:t>C</w:t>
            </w:r>
          </w:p>
        </w:tc>
        <w:tc>
          <w:tcPr>
            <w:tcW w:w="0" w:type="auto"/>
            <w:vMerge/>
            <w:vAlign w:val="center"/>
          </w:tcPr>
          <w:p w:rsidR="00490611" w:rsidRPr="00C52AC3" w:rsidRDefault="00490611" w:rsidP="0091787F"/>
        </w:tc>
        <w:tc>
          <w:tcPr>
            <w:tcW w:w="0" w:type="auto"/>
            <w:vMerge w:val="restart"/>
            <w:shd w:val="clear" w:color="auto" w:fill="FFFF00"/>
            <w:tcMar>
              <w:top w:w="15" w:type="dxa"/>
              <w:left w:w="15" w:type="dxa"/>
              <w:bottom w:w="15" w:type="dxa"/>
              <w:right w:w="15" w:type="dxa"/>
            </w:tcMar>
            <w:vAlign w:val="center"/>
          </w:tcPr>
          <w:p w:rsidR="00490611" w:rsidRPr="00C52AC3" w:rsidRDefault="00490611" w:rsidP="0091787F">
            <w:pPr>
              <w:jc w:val="center"/>
            </w:pPr>
            <w:r w:rsidRPr="00C52AC3">
              <w:t>D</w:t>
            </w:r>
          </w:p>
        </w:tc>
        <w:tc>
          <w:tcPr>
            <w:tcW w:w="0" w:type="auto"/>
            <w:vMerge w:val="restart"/>
            <w:shd w:val="clear" w:color="auto" w:fill="F0E68C"/>
            <w:tcMar>
              <w:top w:w="15" w:type="dxa"/>
              <w:left w:w="15" w:type="dxa"/>
              <w:bottom w:w="15" w:type="dxa"/>
              <w:right w:w="15" w:type="dxa"/>
            </w:tcMar>
            <w:vAlign w:val="center"/>
          </w:tcPr>
          <w:p w:rsidR="00490611" w:rsidRPr="00C52AC3" w:rsidRDefault="00490611" w:rsidP="0091787F">
            <w:pPr>
              <w:jc w:val="center"/>
            </w:pPr>
            <w:r w:rsidRPr="00C52AC3">
              <w:t>/</w:t>
            </w:r>
          </w:p>
        </w:tc>
        <w:tc>
          <w:tcPr>
            <w:tcW w:w="0" w:type="auto"/>
            <w:shd w:val="clear" w:color="auto" w:fill="1E90FF"/>
            <w:tcMar>
              <w:top w:w="15" w:type="dxa"/>
              <w:left w:w="15" w:type="dxa"/>
              <w:bottom w:w="15" w:type="dxa"/>
              <w:right w:w="15" w:type="dxa"/>
            </w:tcMar>
            <w:vAlign w:val="center"/>
          </w:tcPr>
          <w:p w:rsidR="00490611" w:rsidRPr="00C52AC3" w:rsidRDefault="00490611" w:rsidP="0091787F">
            <w:pPr>
              <w:jc w:val="center"/>
            </w:pPr>
            <w:r w:rsidRPr="00C52AC3">
              <w:t>DDD</w:t>
            </w:r>
          </w:p>
        </w:tc>
        <w:tc>
          <w:tcPr>
            <w:tcW w:w="0" w:type="auto"/>
            <w:vMerge w:val="restart"/>
            <w:shd w:val="clear" w:color="auto" w:fill="AFEEEE"/>
            <w:tcMar>
              <w:top w:w="15" w:type="dxa"/>
              <w:left w:w="15" w:type="dxa"/>
              <w:bottom w:w="15" w:type="dxa"/>
              <w:right w:w="15" w:type="dxa"/>
            </w:tcMar>
            <w:vAlign w:val="center"/>
          </w:tcPr>
          <w:p w:rsidR="00490611" w:rsidRPr="00C52AC3" w:rsidRDefault="00490611" w:rsidP="0091787F">
            <w:pPr>
              <w:jc w:val="center"/>
            </w:pPr>
            <w:r w:rsidRPr="00C52AC3">
              <w:t>/</w:t>
            </w:r>
          </w:p>
        </w:tc>
        <w:tc>
          <w:tcPr>
            <w:tcW w:w="0" w:type="auto"/>
            <w:vMerge w:val="restart"/>
            <w:shd w:val="clear" w:color="auto" w:fill="D2B48C"/>
            <w:tcMar>
              <w:top w:w="15" w:type="dxa"/>
              <w:left w:w="15" w:type="dxa"/>
              <w:bottom w:w="15" w:type="dxa"/>
              <w:right w:w="15" w:type="dxa"/>
            </w:tcMar>
            <w:vAlign w:val="center"/>
          </w:tcPr>
          <w:p w:rsidR="00490611" w:rsidRPr="00C52AC3" w:rsidRDefault="00490611" w:rsidP="0091787F">
            <w:pPr>
              <w:jc w:val="center"/>
            </w:pPr>
            <w:r w:rsidRPr="00C52AC3">
              <w:t>In default</w:t>
            </w:r>
          </w:p>
        </w:tc>
      </w:tr>
      <w:tr w:rsidR="00490611" w:rsidRPr="00C52AC3" w:rsidTr="00294DB7">
        <w:trPr>
          <w:trHeight w:val="217"/>
          <w:tblCellSpacing w:w="15" w:type="dxa"/>
          <w:jc w:val="center"/>
        </w:trPr>
        <w:tc>
          <w:tcPr>
            <w:tcW w:w="0" w:type="auto"/>
            <w:shd w:val="clear" w:color="auto" w:fill="FF7C80"/>
            <w:tcMar>
              <w:top w:w="15" w:type="dxa"/>
              <w:left w:w="15" w:type="dxa"/>
              <w:bottom w:w="15" w:type="dxa"/>
              <w:right w:w="15" w:type="dxa"/>
            </w:tcMar>
            <w:vAlign w:val="center"/>
          </w:tcPr>
          <w:p w:rsidR="00490611" w:rsidRPr="00C52AC3" w:rsidRDefault="00490611" w:rsidP="0091787F">
            <w:pPr>
              <w:jc w:val="center"/>
            </w:pPr>
          </w:p>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c>
          <w:tcPr>
            <w:tcW w:w="0" w:type="auto"/>
            <w:shd w:val="clear" w:color="auto" w:fill="3399FF"/>
            <w:tcMar>
              <w:top w:w="15" w:type="dxa"/>
              <w:left w:w="15" w:type="dxa"/>
              <w:bottom w:w="15" w:type="dxa"/>
              <w:right w:w="15" w:type="dxa"/>
            </w:tcMar>
            <w:vAlign w:val="center"/>
          </w:tcPr>
          <w:p w:rsidR="00490611" w:rsidRPr="00C52AC3" w:rsidRDefault="00490611" w:rsidP="0091787F"/>
        </w:tc>
        <w:tc>
          <w:tcPr>
            <w:tcW w:w="0" w:type="auto"/>
            <w:vMerge/>
            <w:vAlign w:val="center"/>
          </w:tcPr>
          <w:p w:rsidR="00490611" w:rsidRPr="00C52AC3" w:rsidRDefault="00490611" w:rsidP="0091787F"/>
        </w:tc>
        <w:tc>
          <w:tcPr>
            <w:tcW w:w="0" w:type="auto"/>
            <w:vMerge/>
            <w:vAlign w:val="center"/>
          </w:tcPr>
          <w:p w:rsidR="00490611" w:rsidRPr="00C52AC3" w:rsidRDefault="00490611" w:rsidP="0091787F"/>
        </w:tc>
      </w:tr>
    </w:tbl>
    <w:p w:rsidR="00490611" w:rsidRPr="00C52AC3" w:rsidRDefault="00490611" w:rsidP="00490611">
      <w:pPr>
        <w:rPr>
          <w:rFonts w:eastAsia="Times New Roman"/>
          <w:sz w:val="18"/>
          <w:szCs w:val="18"/>
          <w:lang w:eastAsia="en-US"/>
        </w:rPr>
      </w:pPr>
    </w:p>
    <w:p w:rsidR="00763075" w:rsidRDefault="00490611" w:rsidP="00490611">
      <w:r w:rsidRPr="00C52AC3">
        <w:rPr>
          <w:rFonts w:eastAsia="Times New Roman"/>
          <w:lang w:eastAsia="en-US"/>
        </w:rPr>
        <w:t>On an exceptional basis, equivalent independent agencies may provide ratings for securities which are not rated by any of the three approved agencies.  Use of rating services other than the three approved agencies will be permitted only to the extent that the alternate rating service appears to be objective and independent in its analysis.</w:t>
      </w:r>
      <w:r w:rsidR="00763075" w:rsidRPr="00763075">
        <w:t xml:space="preserve"> </w:t>
      </w:r>
    </w:p>
    <w:p w:rsidR="00490611" w:rsidRPr="00C52AC3" w:rsidRDefault="00C11A99" w:rsidP="00C11A99">
      <w:pPr>
        <w:tabs>
          <w:tab w:val="left" w:pos="9630"/>
        </w:tabs>
        <w:rPr>
          <w:rFonts w:eastAsia="Times New Roman"/>
          <w:lang w:eastAsia="en-US"/>
        </w:rPr>
      </w:pPr>
      <w:r>
        <w:tab/>
      </w:r>
      <w:r w:rsidR="00763075">
        <w:t>[End of Annex II and of document]</w:t>
      </w:r>
    </w:p>
    <w:sectPr w:rsidR="00490611" w:rsidRPr="00C52AC3" w:rsidSect="00763075">
      <w:headerReference w:type="default" r:id="rId21"/>
      <w:headerReference w:type="first" r:id="rId22"/>
      <w:endnotePr>
        <w:numFmt w:val="decimal"/>
      </w:endnotePr>
      <w:pgSz w:w="16840" w:h="11907" w:orient="landscape" w:code="9"/>
      <w:pgMar w:top="1008" w:right="562" w:bottom="245" w:left="1411" w:header="504" w:footer="102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BF" w:rsidRDefault="006362BF">
      <w:r>
        <w:separator/>
      </w:r>
    </w:p>
  </w:endnote>
  <w:endnote w:type="continuationSeparator" w:id="0">
    <w:p w:rsidR="006362BF" w:rsidRDefault="006362BF" w:rsidP="003B38C1">
      <w:r>
        <w:separator/>
      </w:r>
    </w:p>
    <w:p w:rsidR="006362BF" w:rsidRPr="003B38C1" w:rsidRDefault="006362BF" w:rsidP="003B38C1">
      <w:pPr>
        <w:spacing w:after="60"/>
        <w:rPr>
          <w:sz w:val="17"/>
        </w:rPr>
      </w:pPr>
      <w:r>
        <w:rPr>
          <w:sz w:val="17"/>
        </w:rPr>
        <w:t>[Endnote continued from previous page]</w:t>
      </w:r>
    </w:p>
  </w:endnote>
  <w:endnote w:type="continuationNotice" w:id="1">
    <w:p w:rsidR="006362BF" w:rsidRPr="003B38C1" w:rsidRDefault="006362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BF" w:rsidRDefault="006362BF">
      <w:r>
        <w:separator/>
      </w:r>
    </w:p>
  </w:footnote>
  <w:footnote w:type="continuationSeparator" w:id="0">
    <w:p w:rsidR="006362BF" w:rsidRDefault="006362BF" w:rsidP="008B60B2">
      <w:r>
        <w:separator/>
      </w:r>
    </w:p>
    <w:p w:rsidR="006362BF" w:rsidRPr="00ED77FB" w:rsidRDefault="006362BF" w:rsidP="008B60B2">
      <w:pPr>
        <w:spacing w:after="60"/>
        <w:rPr>
          <w:sz w:val="17"/>
          <w:szCs w:val="17"/>
        </w:rPr>
      </w:pPr>
      <w:r w:rsidRPr="00ED77FB">
        <w:rPr>
          <w:sz w:val="17"/>
          <w:szCs w:val="17"/>
        </w:rPr>
        <w:t>[Footnote continued from previous page]</w:t>
      </w:r>
    </w:p>
  </w:footnote>
  <w:footnote w:type="continuationNotice" w:id="1">
    <w:p w:rsidR="006362BF" w:rsidRPr="00ED77FB" w:rsidRDefault="006362BF" w:rsidP="008B60B2">
      <w:pPr>
        <w:spacing w:before="60"/>
        <w:jc w:val="right"/>
        <w:rPr>
          <w:sz w:val="17"/>
          <w:szCs w:val="17"/>
        </w:rPr>
      </w:pPr>
      <w:r w:rsidRPr="00ED77FB">
        <w:rPr>
          <w:sz w:val="17"/>
          <w:szCs w:val="17"/>
        </w:rPr>
        <w:t>[Footnote continued on next page]</w:t>
      </w:r>
    </w:p>
  </w:footnote>
  <w:footnote w:id="2">
    <w:p w:rsidR="006362BF" w:rsidRPr="00213668" w:rsidRDefault="006362BF" w:rsidP="00490611">
      <w:pPr>
        <w:pStyle w:val="FootnoteText"/>
      </w:pPr>
      <w:r>
        <w:rPr>
          <w:rStyle w:val="FootnoteReference"/>
        </w:rPr>
        <w:footnoteRef/>
      </w:r>
      <w:r>
        <w:t xml:space="preserve"> </w:t>
      </w:r>
      <w:r w:rsidRPr="00213668">
        <w:t>GIPS standards are a set of standardized, industry-wide ethical p</w:t>
      </w:r>
      <w:r>
        <w:t>rinciples that provide investment</w:t>
      </w:r>
      <w:r w:rsidRPr="00213668">
        <w:t xml:space="preserve"> firms with guidance on how to </w:t>
      </w:r>
      <w:r>
        <w:t>calculate and report thei</w:t>
      </w:r>
      <w:r w:rsidRPr="00213668">
        <w:t>r investment results to prospective clients.</w:t>
      </w:r>
    </w:p>
  </w:footnote>
  <w:footnote w:id="3">
    <w:p w:rsidR="006362BF" w:rsidRPr="00F012C0" w:rsidRDefault="006362BF" w:rsidP="00490611">
      <w:pPr>
        <w:pStyle w:val="FootnoteText"/>
      </w:pPr>
      <w:r>
        <w:rPr>
          <w:rStyle w:val="FootnoteReference"/>
        </w:rPr>
        <w:footnoteRef/>
      </w:r>
      <w:r>
        <w:t xml:space="preserve"> </w:t>
      </w:r>
      <w:r w:rsidRPr="00F012C0">
        <w:t>Responsibilities include :  inves</w:t>
      </w:r>
      <w:r>
        <w:t>t</w:t>
      </w:r>
      <w:r w:rsidRPr="00F012C0">
        <w:t xml:space="preserve">ment authority, liability of manager, representations and warranties, performance benchmark, fees, reporting and other administrative requirements. </w:t>
      </w:r>
      <w:r>
        <w:t xml:space="preserve"> Relevant investment guidelines are incorporated into each agreement.</w:t>
      </w:r>
    </w:p>
  </w:footnote>
  <w:footnote w:id="4">
    <w:p w:rsidR="006362BF" w:rsidRPr="008D3E23" w:rsidRDefault="006362BF">
      <w:pPr>
        <w:pStyle w:val="FootnoteText"/>
        <w:rPr>
          <w:szCs w:val="18"/>
        </w:rPr>
      </w:pPr>
      <w:r>
        <w:rPr>
          <w:rStyle w:val="FootnoteReference"/>
        </w:rPr>
        <w:footnoteRef/>
      </w:r>
      <w:r>
        <w:t xml:space="preserve"> </w:t>
      </w:r>
      <w:r w:rsidRPr="008D3E23">
        <w:rPr>
          <w:szCs w:val="18"/>
        </w:rPr>
        <w:t>This agreement covers the situation in which WIPO</w:t>
      </w:r>
      <w:r w:rsidRPr="008D3E23">
        <w:rPr>
          <w:rFonts w:ascii="Verdana" w:hAnsi="Verdana"/>
          <w:szCs w:val="18"/>
        </w:rPr>
        <w:t xml:space="preserve"> </w:t>
      </w:r>
      <w:r w:rsidRPr="008D3E23">
        <w:rPr>
          <w:szCs w:val="18"/>
        </w:rPr>
        <w:t>will have multiple external fund managers and a single global custodian.  The custodian takes responsibility for reconciling its records with those of each fund manager, this relieving WIPO of this administrative burden.</w:t>
      </w:r>
    </w:p>
  </w:footnote>
  <w:footnote w:id="5">
    <w:p w:rsidR="006362BF" w:rsidRPr="000D6389" w:rsidRDefault="006362BF" w:rsidP="00490611">
      <w:pPr>
        <w:pStyle w:val="FootnoteText"/>
      </w:pPr>
      <w:r>
        <w:rPr>
          <w:rStyle w:val="FootnoteReference"/>
        </w:rPr>
        <w:footnoteRef/>
      </w:r>
      <w:r>
        <w:t xml:space="preserve"> These guidelines are not to be confused with the guidelines issued by the ACI to external fund managers.</w:t>
      </w:r>
    </w:p>
  </w:footnote>
  <w:footnote w:id="6">
    <w:p w:rsidR="006362BF" w:rsidRPr="003014BB" w:rsidRDefault="006362BF" w:rsidP="00490611">
      <w:pPr>
        <w:pStyle w:val="FootnoteText"/>
      </w:pPr>
      <w:r>
        <w:rPr>
          <w:rStyle w:val="FootnoteReference"/>
        </w:rPr>
        <w:footnoteRef/>
      </w:r>
      <w:r>
        <w:t xml:space="preserve"> </w:t>
      </w:r>
      <w:r w:rsidRPr="003014BB">
        <w:t>Details of credit ratings are shown in the Annex</w:t>
      </w:r>
      <w:r>
        <w:t>.</w:t>
      </w:r>
    </w:p>
  </w:footnote>
  <w:footnote w:id="7">
    <w:p w:rsidR="006362BF" w:rsidRPr="00213668" w:rsidRDefault="006362BF" w:rsidP="00490611">
      <w:pPr>
        <w:pStyle w:val="FootnoteText"/>
      </w:pPr>
      <w:r>
        <w:rPr>
          <w:rStyle w:val="FootnoteReference"/>
        </w:rPr>
        <w:footnoteRef/>
      </w:r>
      <w:r>
        <w:t xml:space="preserve"> </w:t>
      </w:r>
      <w:r w:rsidRPr="00213668">
        <w:t>GIPS standards are a set of standardized, industry-wide ethical p</w:t>
      </w:r>
      <w:r>
        <w:t>rinciples that provide investment</w:t>
      </w:r>
      <w:r w:rsidRPr="00213668">
        <w:t xml:space="preserve"> firms with guidance on how to </w:t>
      </w:r>
      <w:r>
        <w:t>calculate and report thei</w:t>
      </w:r>
      <w:r w:rsidRPr="00213668">
        <w:t>r investment results to prospective clients.</w:t>
      </w:r>
    </w:p>
  </w:footnote>
  <w:footnote w:id="8">
    <w:p w:rsidR="006362BF" w:rsidRPr="00F012C0" w:rsidRDefault="006362BF" w:rsidP="00490611">
      <w:pPr>
        <w:pStyle w:val="FootnoteText"/>
      </w:pPr>
      <w:r>
        <w:rPr>
          <w:rStyle w:val="FootnoteReference"/>
        </w:rPr>
        <w:footnoteRef/>
      </w:r>
      <w:r>
        <w:t xml:space="preserve"> </w:t>
      </w:r>
      <w:r w:rsidRPr="00F012C0">
        <w:t>Responsibilities include :  inves</w:t>
      </w:r>
      <w:r>
        <w:t>t</w:t>
      </w:r>
      <w:r w:rsidRPr="00F012C0">
        <w:t xml:space="preserve">ment authority, liability of manager, representations and warranties, performance benchmark, fees, reporting and other administrative requirements. </w:t>
      </w:r>
      <w:r>
        <w:t xml:space="preserve"> Relevant investment guidelines are incorporated into each agreement.</w:t>
      </w:r>
    </w:p>
  </w:footnote>
  <w:footnote w:id="9">
    <w:p w:rsidR="006362BF" w:rsidRPr="000D6389" w:rsidRDefault="006362BF" w:rsidP="00490611">
      <w:pPr>
        <w:pStyle w:val="FootnoteText"/>
      </w:pPr>
      <w:r>
        <w:rPr>
          <w:rStyle w:val="FootnoteReference"/>
        </w:rPr>
        <w:footnoteRef/>
      </w:r>
      <w:r>
        <w:t xml:space="preserve"> These guidelines are not to be confused with the guidelines issued by the ACI to external fund managers.</w:t>
      </w:r>
    </w:p>
  </w:footnote>
  <w:footnote w:id="10">
    <w:p w:rsidR="006362BF" w:rsidRPr="00064EFF" w:rsidRDefault="006362BF" w:rsidP="00490611">
      <w:pPr>
        <w:pStyle w:val="FootnoteText"/>
      </w:pPr>
      <w:r>
        <w:rPr>
          <w:rStyle w:val="FootnoteReference"/>
        </w:rPr>
        <w:footnoteRef/>
      </w:r>
      <w:r>
        <w:t xml:space="preserve"> The investment time horizon will be determined by reference to the results of the ALM study.</w:t>
      </w:r>
    </w:p>
  </w:footnote>
  <w:footnote w:id="11">
    <w:p w:rsidR="006362BF" w:rsidRPr="00064EFF" w:rsidRDefault="006362BF" w:rsidP="00490611">
      <w:pPr>
        <w:pStyle w:val="FootnoteText"/>
      </w:pPr>
      <w:r>
        <w:rPr>
          <w:rStyle w:val="FootnoteReference"/>
        </w:rPr>
        <w:footnoteRef/>
      </w:r>
      <w:r>
        <w:t xml:space="preserve"> The time period over which this should be achieved will be determined by reference to the results of the ALM study and will be included in the policy once the study has been completed.</w:t>
      </w:r>
    </w:p>
  </w:footnote>
  <w:footnote w:id="12">
    <w:p w:rsidR="006362BF" w:rsidRPr="00E02BAA" w:rsidRDefault="006362BF" w:rsidP="00490611">
      <w:pPr>
        <w:pStyle w:val="FootnoteText"/>
      </w:pPr>
      <w:r>
        <w:rPr>
          <w:rStyle w:val="FootnoteReference"/>
        </w:rPr>
        <w:footnoteRef/>
      </w:r>
      <w:r>
        <w:t xml:space="preserve"> Details of credit ratings are shown in Annex I.</w:t>
      </w:r>
    </w:p>
  </w:footnote>
  <w:footnote w:id="13">
    <w:p w:rsidR="006362BF" w:rsidRPr="00313685" w:rsidRDefault="006362BF" w:rsidP="00490611">
      <w:pPr>
        <w:pStyle w:val="FootnoteText"/>
      </w:pPr>
      <w:r>
        <w:rPr>
          <w:rStyle w:val="FootnoteReference"/>
        </w:rPr>
        <w:footnoteRef/>
      </w:r>
      <w:r>
        <w:t xml:space="preserve"> </w:t>
      </w:r>
      <w:r w:rsidRPr="00313685">
        <w:t>Limits for asset class h</w:t>
      </w:r>
      <w:r>
        <w:t>oldings are indicated in Annex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2BF" w:rsidRDefault="006362BF" w:rsidP="00561C22">
    <w:pPr>
      <w:jc w:val="right"/>
    </w:pPr>
    <w:r>
      <w:t>WO/PBC/24/10</w:t>
    </w:r>
  </w:p>
  <w:p w:rsidR="006362BF" w:rsidRDefault="006362BF" w:rsidP="00561C22">
    <w:pPr>
      <w:jc w:val="right"/>
    </w:pPr>
    <w:r>
      <w:t xml:space="preserve">page </w:t>
    </w:r>
    <w:r>
      <w:fldChar w:fldCharType="begin"/>
    </w:r>
    <w:r>
      <w:instrText xml:space="preserve"> PAGE  \* MERGEFORMAT </w:instrText>
    </w:r>
    <w:r>
      <w:fldChar w:fldCharType="separate"/>
    </w:r>
    <w:r w:rsidR="00574FFA">
      <w:rPr>
        <w:noProof/>
      </w:rPr>
      <w:t>3</w:t>
    </w:r>
    <w:r>
      <w:fldChar w:fldCharType="end"/>
    </w:r>
  </w:p>
  <w:p w:rsidR="006362BF" w:rsidRDefault="006362B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958913"/>
      <w:docPartObj>
        <w:docPartGallery w:val="Page Numbers (Top of Page)"/>
        <w:docPartUnique/>
      </w:docPartObj>
    </w:sdtPr>
    <w:sdtEndPr>
      <w:rPr>
        <w:noProof/>
      </w:rPr>
    </w:sdtEndPr>
    <w:sdtContent>
      <w:sdt>
        <w:sdtPr>
          <w:id w:val="1803579550"/>
          <w:docPartObj>
            <w:docPartGallery w:val="Page Numbers (Top of Page)"/>
            <w:docPartUnique/>
          </w:docPartObj>
        </w:sdtPr>
        <w:sdtEndPr>
          <w:rPr>
            <w:noProof/>
          </w:rPr>
        </w:sdtEndPr>
        <w:sdtContent>
          <w:p w:rsidR="006362BF" w:rsidRDefault="006362BF" w:rsidP="007A556F">
            <w:pPr>
              <w:pStyle w:val="Header"/>
              <w:jc w:val="right"/>
            </w:pPr>
            <w:r>
              <w:t>WO/PBC/24/10</w:t>
            </w:r>
          </w:p>
          <w:p w:rsidR="006362BF" w:rsidRDefault="006362BF" w:rsidP="007A556F">
            <w:pPr>
              <w:pStyle w:val="Header"/>
              <w:jc w:val="right"/>
              <w:rPr>
                <w:noProof/>
              </w:rPr>
            </w:pPr>
            <w:r>
              <w:t xml:space="preserve">Annex I, page </w:t>
            </w:r>
            <w:r>
              <w:fldChar w:fldCharType="begin"/>
            </w:r>
            <w:r>
              <w:instrText xml:space="preserve"> PAGE   \* MERGEFORMAT </w:instrText>
            </w:r>
            <w:r>
              <w:fldChar w:fldCharType="separate"/>
            </w:r>
            <w:r w:rsidR="00574FFA">
              <w:rPr>
                <w:noProof/>
              </w:rPr>
              <w:t>9</w:t>
            </w:r>
            <w:r>
              <w:rPr>
                <w:noProof/>
              </w:rPr>
              <w:fldChar w:fldCharType="end"/>
            </w:r>
          </w:p>
        </w:sdtContent>
      </w:sdt>
      <w:p w:rsidR="006362BF" w:rsidRDefault="00574FFA" w:rsidP="007A556F">
        <w:pPr>
          <w:pStyle w:val="Header"/>
          <w:jc w:val="right"/>
          <w:rPr>
            <w:noProof/>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939937"/>
      <w:docPartObj>
        <w:docPartGallery w:val="Page Numbers (Top of Page)"/>
        <w:docPartUnique/>
      </w:docPartObj>
    </w:sdtPr>
    <w:sdtEndPr>
      <w:rPr>
        <w:noProof/>
      </w:rPr>
    </w:sdtEndPr>
    <w:sdtContent>
      <w:sdt>
        <w:sdtPr>
          <w:id w:val="-983461508"/>
          <w:docPartObj>
            <w:docPartGallery w:val="Page Numbers (Top of Page)"/>
            <w:docPartUnique/>
          </w:docPartObj>
        </w:sdtPr>
        <w:sdtEndPr>
          <w:rPr>
            <w:noProof/>
          </w:rPr>
        </w:sdtEndPr>
        <w:sdtContent>
          <w:p w:rsidR="006362BF" w:rsidRDefault="006362BF" w:rsidP="007A556F">
            <w:pPr>
              <w:pStyle w:val="Header"/>
              <w:jc w:val="right"/>
            </w:pPr>
            <w:r>
              <w:t>WO/PBC/24/10</w:t>
            </w:r>
          </w:p>
          <w:p w:rsidR="006362BF" w:rsidRDefault="006362BF" w:rsidP="007A556F">
            <w:pPr>
              <w:pStyle w:val="Header"/>
              <w:jc w:val="right"/>
              <w:rPr>
                <w:noProof/>
              </w:rPr>
            </w:pPr>
            <w:r>
              <w:t>ANNEX I</w:t>
            </w:r>
          </w:p>
        </w:sdtContent>
      </w:sdt>
      <w:p w:rsidR="006362BF" w:rsidRDefault="00574FFA" w:rsidP="007A556F">
        <w:pPr>
          <w:pStyle w:val="Header"/>
          <w:jc w:val="right"/>
        </w:pPr>
      </w:p>
    </w:sdtContent>
  </w:sdt>
  <w:p w:rsidR="006362BF" w:rsidRDefault="006362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370424"/>
      <w:docPartObj>
        <w:docPartGallery w:val="Page Numbers (Top of Page)"/>
        <w:docPartUnique/>
      </w:docPartObj>
    </w:sdtPr>
    <w:sdtEndPr>
      <w:rPr>
        <w:noProof/>
      </w:rPr>
    </w:sdtEndPr>
    <w:sdtContent>
      <w:p w:rsidR="006362BF" w:rsidRPr="00362C19" w:rsidRDefault="006362BF" w:rsidP="0091787F">
        <w:pPr>
          <w:pStyle w:val="Header"/>
          <w:jc w:val="right"/>
        </w:pPr>
        <w:r w:rsidRPr="00362C19">
          <w:t>WO/PBC/24/10</w:t>
        </w:r>
      </w:p>
      <w:p w:rsidR="006362BF" w:rsidRPr="00362C19" w:rsidRDefault="006362BF" w:rsidP="0091787F">
        <w:pPr>
          <w:pStyle w:val="Header"/>
          <w:jc w:val="right"/>
        </w:pPr>
        <w:r w:rsidRPr="00362C19">
          <w:t xml:space="preserve">Annex I, page </w:t>
        </w:r>
        <w:r>
          <w:fldChar w:fldCharType="begin"/>
        </w:r>
        <w:r w:rsidRPr="00362C19">
          <w:instrText xml:space="preserve"> PAGE   \* MERGEFORMAT </w:instrText>
        </w:r>
        <w:r>
          <w:fldChar w:fldCharType="separate"/>
        </w:r>
        <w:r w:rsidR="00853EB8">
          <w:rPr>
            <w:noProof/>
          </w:rPr>
          <w:t>3</w:t>
        </w:r>
        <w:r>
          <w:rPr>
            <w:noProof/>
          </w:rPr>
          <w:fldChar w:fldCharType="end"/>
        </w:r>
      </w:p>
    </w:sdtContent>
  </w:sdt>
  <w:p w:rsidR="006362BF" w:rsidRPr="00362C19" w:rsidRDefault="006362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451763"/>
      <w:docPartObj>
        <w:docPartGallery w:val="Page Numbers (Top of Page)"/>
        <w:docPartUnique/>
      </w:docPartObj>
    </w:sdtPr>
    <w:sdtEndPr>
      <w:rPr>
        <w:noProof/>
      </w:rPr>
    </w:sdtEndPr>
    <w:sdtContent>
      <w:p w:rsidR="006362BF" w:rsidRDefault="006362BF" w:rsidP="0091787F">
        <w:pPr>
          <w:pStyle w:val="Header"/>
          <w:jc w:val="right"/>
        </w:pPr>
        <w:r>
          <w:t>WO/PBC/24/10</w:t>
        </w:r>
      </w:p>
      <w:p w:rsidR="006362BF" w:rsidRDefault="006362BF" w:rsidP="0091787F">
        <w:pPr>
          <w:pStyle w:val="Header"/>
          <w:jc w:val="right"/>
        </w:pPr>
        <w:r>
          <w:t xml:space="preserve">Annex I, page </w:t>
        </w:r>
        <w:r>
          <w:fldChar w:fldCharType="begin"/>
        </w:r>
        <w:r>
          <w:instrText xml:space="preserve"> PAGE   \* MERGEFORMAT </w:instrText>
        </w:r>
        <w:r>
          <w:fldChar w:fldCharType="separate"/>
        </w:r>
        <w:r w:rsidR="00574FFA">
          <w:rPr>
            <w:noProof/>
          </w:rPr>
          <w:t>10</w:t>
        </w:r>
        <w:r>
          <w:rPr>
            <w:noProof/>
          </w:rPr>
          <w:fldChar w:fldCharType="end"/>
        </w:r>
      </w:p>
    </w:sdtContent>
  </w:sdt>
  <w:p w:rsidR="006362BF" w:rsidRDefault="006362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819156"/>
      <w:docPartObj>
        <w:docPartGallery w:val="Page Numbers (Top of Page)"/>
        <w:docPartUnique/>
      </w:docPartObj>
    </w:sdtPr>
    <w:sdtEndPr>
      <w:rPr>
        <w:noProof/>
      </w:rPr>
    </w:sdtEndPr>
    <w:sdtContent>
      <w:p w:rsidR="006362BF" w:rsidRPr="00D961D7" w:rsidRDefault="006362BF" w:rsidP="0091787F">
        <w:pPr>
          <w:pStyle w:val="Header"/>
          <w:jc w:val="right"/>
          <w:rPr>
            <w:lang w:val="fr-FR"/>
          </w:rPr>
        </w:pPr>
        <w:r w:rsidRPr="00D961D7">
          <w:rPr>
            <w:lang w:val="fr-FR"/>
          </w:rPr>
          <w:t>WO/PBC/24/10</w:t>
        </w:r>
      </w:p>
      <w:p w:rsidR="006362BF" w:rsidRPr="00D961D7" w:rsidRDefault="006362BF" w:rsidP="0091787F">
        <w:pPr>
          <w:pStyle w:val="Header"/>
          <w:jc w:val="right"/>
          <w:rPr>
            <w:lang w:val="fr-FR"/>
          </w:rPr>
        </w:pPr>
        <w:r w:rsidRPr="00D961D7">
          <w:rPr>
            <w:lang w:val="fr-FR"/>
          </w:rPr>
          <w:t xml:space="preserve">Annex II, page </w:t>
        </w:r>
        <w:r>
          <w:fldChar w:fldCharType="begin"/>
        </w:r>
        <w:r w:rsidRPr="00D961D7">
          <w:rPr>
            <w:lang w:val="fr-FR"/>
          </w:rPr>
          <w:instrText xml:space="preserve"> PAGE   \* MERGEFORMAT </w:instrText>
        </w:r>
        <w:r>
          <w:fldChar w:fldCharType="separate"/>
        </w:r>
        <w:r w:rsidR="00574FFA">
          <w:rPr>
            <w:noProof/>
            <w:lang w:val="fr-FR"/>
          </w:rPr>
          <w:t>9</w:t>
        </w:r>
        <w:r>
          <w:rPr>
            <w:noProof/>
          </w:rPr>
          <w:fldChar w:fldCharType="end"/>
        </w:r>
      </w:p>
    </w:sdtContent>
  </w:sdt>
  <w:p w:rsidR="006362BF" w:rsidRPr="00215222" w:rsidRDefault="006362BF">
    <w:pPr>
      <w:pStyle w:val="Header"/>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833729"/>
      <w:docPartObj>
        <w:docPartGallery w:val="Page Numbers (Top of Page)"/>
        <w:docPartUnique/>
      </w:docPartObj>
    </w:sdtPr>
    <w:sdtEndPr>
      <w:rPr>
        <w:noProof/>
      </w:rPr>
    </w:sdtEndPr>
    <w:sdtContent>
      <w:sdt>
        <w:sdtPr>
          <w:id w:val="330110342"/>
          <w:docPartObj>
            <w:docPartGallery w:val="Page Numbers (Top of Page)"/>
            <w:docPartUnique/>
          </w:docPartObj>
        </w:sdtPr>
        <w:sdtEndPr>
          <w:rPr>
            <w:noProof/>
          </w:rPr>
        </w:sdtEndPr>
        <w:sdtContent>
          <w:p w:rsidR="006362BF" w:rsidRDefault="006362BF" w:rsidP="00436221">
            <w:pPr>
              <w:pStyle w:val="Header"/>
              <w:jc w:val="right"/>
            </w:pPr>
            <w:r>
              <w:t>WO/PBC/24/10</w:t>
            </w:r>
          </w:p>
          <w:p w:rsidR="006362BF" w:rsidRDefault="006362BF" w:rsidP="00436221">
            <w:pPr>
              <w:pStyle w:val="Header"/>
              <w:jc w:val="right"/>
              <w:rPr>
                <w:noProof/>
              </w:rPr>
            </w:pPr>
            <w:r>
              <w:t>ANNEX II</w:t>
            </w:r>
          </w:p>
        </w:sdtContent>
      </w:sdt>
      <w:p w:rsidR="006362BF" w:rsidRDefault="00574FFA" w:rsidP="00436221">
        <w:pPr>
          <w:pStyle w:val="Header"/>
          <w:jc w:val="right"/>
          <w:rPr>
            <w:noProof/>
          </w:rPr>
        </w:pPr>
      </w:p>
    </w:sdtContent>
  </w:sdt>
  <w:p w:rsidR="006362BF" w:rsidRPr="00436221" w:rsidRDefault="006362BF" w:rsidP="00436221">
    <w:pPr>
      <w:pStyle w:val="Header"/>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2BF" w:rsidRPr="000E0E17" w:rsidRDefault="006362BF" w:rsidP="00477D6B">
    <w:pPr>
      <w:jc w:val="right"/>
      <w:rPr>
        <w:lang w:val="fr-CH"/>
      </w:rPr>
    </w:pPr>
    <w:bookmarkStart w:id="6" w:name="Code2"/>
    <w:bookmarkEnd w:id="6"/>
    <w:r w:rsidRPr="000E0E17">
      <w:rPr>
        <w:lang w:val="fr-CH"/>
      </w:rPr>
      <w:t>WO/PBC/24/10</w:t>
    </w:r>
  </w:p>
  <w:p w:rsidR="006362BF" w:rsidRPr="000E0E17" w:rsidRDefault="006362BF" w:rsidP="00477D6B">
    <w:pPr>
      <w:jc w:val="right"/>
      <w:rPr>
        <w:lang w:val="fr-CH"/>
      </w:rPr>
    </w:pPr>
    <w:r w:rsidRPr="000E0E17">
      <w:rPr>
        <w:lang w:val="fr-CH"/>
      </w:rPr>
      <w:t xml:space="preserve">Annex II, page </w:t>
    </w:r>
    <w:r>
      <w:fldChar w:fldCharType="begin"/>
    </w:r>
    <w:r w:rsidRPr="000E0E17">
      <w:rPr>
        <w:lang w:val="fr-CH"/>
      </w:rPr>
      <w:instrText xml:space="preserve"> PAGE  \* MERGEFORMAT </w:instrText>
    </w:r>
    <w:r>
      <w:fldChar w:fldCharType="separate"/>
    </w:r>
    <w:r w:rsidR="00853EB8">
      <w:rPr>
        <w:noProof/>
        <w:lang w:val="fr-CH"/>
      </w:rPr>
      <w:t>3</w:t>
    </w:r>
    <w:r>
      <w:fldChar w:fldCharType="end"/>
    </w:r>
  </w:p>
  <w:p w:rsidR="006362BF" w:rsidRPr="000E0E17" w:rsidRDefault="006362BF" w:rsidP="00477D6B">
    <w:pP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939617"/>
      <w:docPartObj>
        <w:docPartGallery w:val="Page Numbers (Top of Page)"/>
        <w:docPartUnique/>
      </w:docPartObj>
    </w:sdtPr>
    <w:sdtEndPr>
      <w:rPr>
        <w:noProof/>
      </w:rPr>
    </w:sdtEndPr>
    <w:sdtContent>
      <w:p w:rsidR="006362BF" w:rsidRPr="009274C6" w:rsidRDefault="006362BF" w:rsidP="00436221">
        <w:pPr>
          <w:pStyle w:val="Header"/>
          <w:jc w:val="right"/>
          <w:rPr>
            <w:lang w:val="fr-FR"/>
          </w:rPr>
        </w:pPr>
        <w:r w:rsidRPr="009274C6">
          <w:rPr>
            <w:lang w:val="fr-FR"/>
          </w:rPr>
          <w:t>WO/PBC/24/10</w:t>
        </w:r>
      </w:p>
      <w:p w:rsidR="006362BF" w:rsidRPr="00436221" w:rsidRDefault="006362BF" w:rsidP="00436221">
        <w:pPr>
          <w:pStyle w:val="Header"/>
          <w:jc w:val="right"/>
          <w:rPr>
            <w:noProof/>
            <w:lang w:val="fr-CH"/>
          </w:rPr>
        </w:pPr>
        <w:r w:rsidRPr="009274C6">
          <w:rPr>
            <w:lang w:val="fr-FR"/>
          </w:rPr>
          <w:t xml:space="preserve">Annex II, page </w:t>
        </w:r>
        <w:r>
          <w:fldChar w:fldCharType="begin"/>
        </w:r>
        <w:r w:rsidRPr="009274C6">
          <w:rPr>
            <w:lang w:val="fr-FR"/>
          </w:rPr>
          <w:instrText xml:space="preserve"> PAGE   \* MERGEFORMAT </w:instrText>
        </w:r>
        <w:r>
          <w:fldChar w:fldCharType="separate"/>
        </w:r>
        <w:r w:rsidR="00574FFA">
          <w:rPr>
            <w:noProof/>
            <w:lang w:val="fr-FR"/>
          </w:rPr>
          <w:t>10</w:t>
        </w:r>
        <w:r>
          <w:rPr>
            <w:noProof/>
          </w:rPr>
          <w:fldChar w:fldCharType="end"/>
        </w:r>
      </w:p>
    </w:sdtContent>
  </w:sdt>
  <w:p w:rsidR="006362BF" w:rsidRPr="00436221" w:rsidRDefault="006362BF" w:rsidP="00436221">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136084"/>
    <w:multiLevelType w:val="hybridMultilevel"/>
    <w:tmpl w:val="FC527260"/>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A700FE5"/>
    <w:multiLevelType w:val="hybridMultilevel"/>
    <w:tmpl w:val="EDECFFE6"/>
    <w:lvl w:ilvl="0" w:tplc="230CFB90">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BD0686E"/>
    <w:multiLevelType w:val="hybridMultilevel"/>
    <w:tmpl w:val="00DEAF84"/>
    <w:lvl w:ilvl="0" w:tplc="B2087C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736920"/>
    <w:multiLevelType w:val="hybridMultilevel"/>
    <w:tmpl w:val="86DC19C6"/>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46845"/>
    <w:multiLevelType w:val="hybridMultilevel"/>
    <w:tmpl w:val="F2EE3D32"/>
    <w:lvl w:ilvl="0" w:tplc="B2087C9A">
      <w:start w:val="1"/>
      <w:numFmt w:val="lowerLetter"/>
      <w:lvlText w:val="(%1)"/>
      <w:lvlJc w:val="left"/>
      <w:pPr>
        <w:ind w:left="7243" w:hanging="360"/>
      </w:pPr>
      <w:rPr>
        <w:rFonts w:hint="default"/>
      </w:r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7">
    <w:nsid w:val="12BB3309"/>
    <w:multiLevelType w:val="hybridMultilevel"/>
    <w:tmpl w:val="0C64D00C"/>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07A4C"/>
    <w:multiLevelType w:val="hybridMultilevel"/>
    <w:tmpl w:val="6FDE2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25505A"/>
    <w:multiLevelType w:val="hybridMultilevel"/>
    <w:tmpl w:val="B9520160"/>
    <w:lvl w:ilvl="0" w:tplc="E8408D9A">
      <w:start w:val="1"/>
      <w:numFmt w:val="decimal"/>
      <w:lvlText w:val="%1."/>
      <w:lvlJc w:val="left"/>
      <w:pPr>
        <w:ind w:left="502" w:hanging="360"/>
      </w:pPr>
      <w:rPr>
        <w:rFonts w:ascii="Arial" w:hAnsi="Arial" w:hint="default"/>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16656422"/>
    <w:multiLevelType w:val="hybridMultilevel"/>
    <w:tmpl w:val="782A7F18"/>
    <w:lvl w:ilvl="0" w:tplc="230CFB90">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8536E8A"/>
    <w:multiLevelType w:val="hybridMultilevel"/>
    <w:tmpl w:val="1A160F52"/>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A2FDD"/>
    <w:multiLevelType w:val="hybridMultilevel"/>
    <w:tmpl w:val="1A160F52"/>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C05443"/>
    <w:multiLevelType w:val="hybridMultilevel"/>
    <w:tmpl w:val="BB9CC4FE"/>
    <w:lvl w:ilvl="0" w:tplc="00306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00400C4"/>
    <w:multiLevelType w:val="hybridMultilevel"/>
    <w:tmpl w:val="0C64D00C"/>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B62DD9"/>
    <w:multiLevelType w:val="hybridMultilevel"/>
    <w:tmpl w:val="13AADF9E"/>
    <w:lvl w:ilvl="0" w:tplc="04090015">
      <w:start w:val="1"/>
      <w:numFmt w:val="upperLetter"/>
      <w:lvlText w:val="%1."/>
      <w:lvlJc w:val="left"/>
      <w:pPr>
        <w:ind w:left="7033" w:hanging="360"/>
      </w:pPr>
      <w:rPr>
        <w:rFonts w:hint="default"/>
      </w:rPr>
    </w:lvl>
    <w:lvl w:ilvl="1" w:tplc="04090019" w:tentative="1">
      <w:start w:val="1"/>
      <w:numFmt w:val="lowerLetter"/>
      <w:lvlText w:val="%2."/>
      <w:lvlJc w:val="left"/>
      <w:pPr>
        <w:ind w:left="7753" w:hanging="360"/>
      </w:pPr>
    </w:lvl>
    <w:lvl w:ilvl="2" w:tplc="0409001B" w:tentative="1">
      <w:start w:val="1"/>
      <w:numFmt w:val="lowerRoman"/>
      <w:lvlText w:val="%3."/>
      <w:lvlJc w:val="right"/>
      <w:pPr>
        <w:ind w:left="8473" w:hanging="180"/>
      </w:pPr>
    </w:lvl>
    <w:lvl w:ilvl="3" w:tplc="0409000F" w:tentative="1">
      <w:start w:val="1"/>
      <w:numFmt w:val="decimal"/>
      <w:lvlText w:val="%4."/>
      <w:lvlJc w:val="left"/>
      <w:pPr>
        <w:ind w:left="9193" w:hanging="360"/>
      </w:pPr>
    </w:lvl>
    <w:lvl w:ilvl="4" w:tplc="04090019" w:tentative="1">
      <w:start w:val="1"/>
      <w:numFmt w:val="lowerLetter"/>
      <w:lvlText w:val="%5."/>
      <w:lvlJc w:val="left"/>
      <w:pPr>
        <w:ind w:left="9913" w:hanging="360"/>
      </w:pPr>
    </w:lvl>
    <w:lvl w:ilvl="5" w:tplc="0409001B" w:tentative="1">
      <w:start w:val="1"/>
      <w:numFmt w:val="lowerRoman"/>
      <w:lvlText w:val="%6."/>
      <w:lvlJc w:val="right"/>
      <w:pPr>
        <w:ind w:left="10633" w:hanging="180"/>
      </w:pPr>
    </w:lvl>
    <w:lvl w:ilvl="6" w:tplc="0409000F" w:tentative="1">
      <w:start w:val="1"/>
      <w:numFmt w:val="decimal"/>
      <w:lvlText w:val="%7."/>
      <w:lvlJc w:val="left"/>
      <w:pPr>
        <w:ind w:left="11353" w:hanging="360"/>
      </w:pPr>
    </w:lvl>
    <w:lvl w:ilvl="7" w:tplc="04090019" w:tentative="1">
      <w:start w:val="1"/>
      <w:numFmt w:val="lowerLetter"/>
      <w:lvlText w:val="%8."/>
      <w:lvlJc w:val="left"/>
      <w:pPr>
        <w:ind w:left="12073" w:hanging="360"/>
      </w:pPr>
    </w:lvl>
    <w:lvl w:ilvl="8" w:tplc="0409001B" w:tentative="1">
      <w:start w:val="1"/>
      <w:numFmt w:val="lowerRoman"/>
      <w:lvlText w:val="%9."/>
      <w:lvlJc w:val="right"/>
      <w:pPr>
        <w:ind w:left="12793" w:hanging="180"/>
      </w:pPr>
    </w:lvl>
  </w:abstractNum>
  <w:abstractNum w:abstractNumId="18">
    <w:nsid w:val="268743AE"/>
    <w:multiLevelType w:val="hybridMultilevel"/>
    <w:tmpl w:val="58286D54"/>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8671A3"/>
    <w:multiLevelType w:val="hybridMultilevel"/>
    <w:tmpl w:val="779E6BF2"/>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C0596D"/>
    <w:multiLevelType w:val="hybridMultilevel"/>
    <w:tmpl w:val="0C64D00C"/>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E0652"/>
    <w:multiLevelType w:val="hybridMultilevel"/>
    <w:tmpl w:val="0C64D00C"/>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85641C"/>
    <w:multiLevelType w:val="hybridMultilevel"/>
    <w:tmpl w:val="B0A0A17A"/>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6D0217"/>
    <w:multiLevelType w:val="hybridMultilevel"/>
    <w:tmpl w:val="D3B418DE"/>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8343D"/>
    <w:multiLevelType w:val="hybridMultilevel"/>
    <w:tmpl w:val="B00C6D34"/>
    <w:lvl w:ilvl="0" w:tplc="B2087C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4FF248D"/>
    <w:multiLevelType w:val="hybridMultilevel"/>
    <w:tmpl w:val="2B361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F8056A"/>
    <w:multiLevelType w:val="hybridMultilevel"/>
    <w:tmpl w:val="C740793E"/>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376372"/>
    <w:multiLevelType w:val="hybridMultilevel"/>
    <w:tmpl w:val="972CE8F2"/>
    <w:lvl w:ilvl="0" w:tplc="230CFB90">
      <w:start w:val="1"/>
      <w:numFmt w:val="lowerRoman"/>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0">
    <w:nsid w:val="4F9C5F8F"/>
    <w:multiLevelType w:val="hybridMultilevel"/>
    <w:tmpl w:val="690A45DA"/>
    <w:lvl w:ilvl="0" w:tplc="230CFB90">
      <w:start w:val="1"/>
      <w:numFmt w:val="lowerRoman"/>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nsid w:val="52A429B7"/>
    <w:multiLevelType w:val="hybridMultilevel"/>
    <w:tmpl w:val="2B361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CB4525"/>
    <w:multiLevelType w:val="hybridMultilevel"/>
    <w:tmpl w:val="74F8C27C"/>
    <w:lvl w:ilvl="0" w:tplc="230CFB90">
      <w:start w:val="1"/>
      <w:numFmt w:val="lowerRoman"/>
      <w:lvlText w:val="(%1)"/>
      <w:lvlJc w:val="left"/>
      <w:pPr>
        <w:ind w:left="6249" w:hanging="360"/>
      </w:pPr>
      <w:rPr>
        <w:rFonts w:hint="default"/>
      </w:r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33">
    <w:nsid w:val="55F267B4"/>
    <w:multiLevelType w:val="hybridMultilevel"/>
    <w:tmpl w:val="BB9CC4FE"/>
    <w:lvl w:ilvl="0" w:tplc="00306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E26F67"/>
    <w:multiLevelType w:val="hybridMultilevel"/>
    <w:tmpl w:val="FF2E3B4E"/>
    <w:lvl w:ilvl="0" w:tplc="6D90858C">
      <w:start w:val="1"/>
      <w:numFmt w:val="decimal"/>
      <w:lvlText w:val="%1."/>
      <w:lvlJc w:val="left"/>
      <w:pPr>
        <w:ind w:left="502" w:hanging="360"/>
      </w:pPr>
      <w:rPr>
        <w:rFonts w:ascii="Arial" w:hAnsi="Arial" w:hint="default"/>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nsid w:val="5E647D57"/>
    <w:multiLevelType w:val="hybridMultilevel"/>
    <w:tmpl w:val="8FE4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E34AEE"/>
    <w:multiLevelType w:val="hybridMultilevel"/>
    <w:tmpl w:val="AB28D110"/>
    <w:lvl w:ilvl="0" w:tplc="8514CC2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AF7A9E"/>
    <w:multiLevelType w:val="hybridMultilevel"/>
    <w:tmpl w:val="8C26358E"/>
    <w:lvl w:ilvl="0" w:tplc="230CFB90">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69413182"/>
    <w:multiLevelType w:val="hybridMultilevel"/>
    <w:tmpl w:val="25EC2F9E"/>
    <w:lvl w:ilvl="0" w:tplc="B2087C9A">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nsid w:val="776D531C"/>
    <w:multiLevelType w:val="hybridMultilevel"/>
    <w:tmpl w:val="38C43468"/>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0A7350"/>
    <w:multiLevelType w:val="hybridMultilevel"/>
    <w:tmpl w:val="24DA0590"/>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F529F"/>
    <w:multiLevelType w:val="hybridMultilevel"/>
    <w:tmpl w:val="AE4E76EE"/>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243844"/>
    <w:multiLevelType w:val="hybridMultilevel"/>
    <w:tmpl w:val="7AD25B82"/>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EB27DF"/>
    <w:multiLevelType w:val="hybridMultilevel"/>
    <w:tmpl w:val="957657EC"/>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0"/>
  </w:num>
  <w:num w:numId="4">
    <w:abstractNumId w:val="28"/>
  </w:num>
  <w:num w:numId="5">
    <w:abstractNumId w:val="2"/>
  </w:num>
  <w:num w:numId="6">
    <w:abstractNumId w:val="15"/>
  </w:num>
  <w:num w:numId="7">
    <w:abstractNumId w:val="32"/>
  </w:num>
  <w:num w:numId="8">
    <w:abstractNumId w:val="17"/>
  </w:num>
  <w:num w:numId="9">
    <w:abstractNumId w:val="6"/>
  </w:num>
  <w:num w:numId="10">
    <w:abstractNumId w:val="21"/>
  </w:num>
  <w:num w:numId="11">
    <w:abstractNumId w:val="31"/>
  </w:num>
  <w:num w:numId="12">
    <w:abstractNumId w:val="26"/>
  </w:num>
  <w:num w:numId="13">
    <w:abstractNumId w:val="8"/>
  </w:num>
  <w:num w:numId="14">
    <w:abstractNumId w:val="9"/>
    <w:lvlOverride w:ilvl="0">
      <w:startOverride w:val="1"/>
    </w:lvlOverride>
  </w:num>
  <w:num w:numId="15">
    <w:abstractNumId w:val="36"/>
  </w:num>
  <w:num w:numId="16">
    <w:abstractNumId w:val="43"/>
  </w:num>
  <w:num w:numId="17">
    <w:abstractNumId w:val="34"/>
  </w:num>
  <w:num w:numId="18">
    <w:abstractNumId w:val="33"/>
  </w:num>
  <w:num w:numId="19">
    <w:abstractNumId w:val="30"/>
  </w:num>
  <w:num w:numId="20">
    <w:abstractNumId w:val="29"/>
  </w:num>
  <w:num w:numId="21">
    <w:abstractNumId w:val="7"/>
  </w:num>
  <w:num w:numId="22">
    <w:abstractNumId w:val="16"/>
  </w:num>
  <w:num w:numId="23">
    <w:abstractNumId w:val="20"/>
  </w:num>
  <w:num w:numId="24">
    <w:abstractNumId w:val="37"/>
  </w:num>
  <w:num w:numId="25">
    <w:abstractNumId w:val="38"/>
  </w:num>
  <w:num w:numId="26">
    <w:abstractNumId w:val="3"/>
  </w:num>
  <w:num w:numId="27">
    <w:abstractNumId w:val="40"/>
  </w:num>
  <w:num w:numId="28">
    <w:abstractNumId w:val="13"/>
  </w:num>
  <w:num w:numId="29">
    <w:abstractNumId w:val="12"/>
  </w:num>
  <w:num w:numId="30">
    <w:abstractNumId w:val="23"/>
  </w:num>
  <w:num w:numId="31">
    <w:abstractNumId w:val="27"/>
  </w:num>
  <w:num w:numId="32">
    <w:abstractNumId w:val="19"/>
  </w:num>
  <w:num w:numId="33">
    <w:abstractNumId w:val="41"/>
  </w:num>
  <w:num w:numId="34">
    <w:abstractNumId w:val="39"/>
  </w:num>
  <w:num w:numId="35">
    <w:abstractNumId w:val="35"/>
  </w:num>
  <w:num w:numId="36">
    <w:abstractNumId w:val="14"/>
  </w:num>
  <w:num w:numId="37">
    <w:abstractNumId w:val="4"/>
  </w:num>
  <w:num w:numId="38">
    <w:abstractNumId w:val="5"/>
  </w:num>
  <w:num w:numId="39">
    <w:abstractNumId w:val="22"/>
  </w:num>
  <w:num w:numId="40">
    <w:abstractNumId w:val="24"/>
  </w:num>
  <w:num w:numId="41">
    <w:abstractNumId w:val="18"/>
  </w:num>
  <w:num w:numId="42">
    <w:abstractNumId w:val="1"/>
  </w:num>
  <w:num w:numId="43">
    <w:abstractNumId w:val="4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11"/>
    <w:rsid w:val="0000321A"/>
    <w:rsid w:val="00043CAA"/>
    <w:rsid w:val="00051BB9"/>
    <w:rsid w:val="0005643A"/>
    <w:rsid w:val="00062329"/>
    <w:rsid w:val="00075432"/>
    <w:rsid w:val="000968ED"/>
    <w:rsid w:val="000A0343"/>
    <w:rsid w:val="000B0BEC"/>
    <w:rsid w:val="000E0E17"/>
    <w:rsid w:val="000E7080"/>
    <w:rsid w:val="000F5E56"/>
    <w:rsid w:val="000F75D2"/>
    <w:rsid w:val="00110F94"/>
    <w:rsid w:val="00112952"/>
    <w:rsid w:val="001362EE"/>
    <w:rsid w:val="00137B5B"/>
    <w:rsid w:val="00140BA1"/>
    <w:rsid w:val="001832A6"/>
    <w:rsid w:val="001A3CA6"/>
    <w:rsid w:val="001A7224"/>
    <w:rsid w:val="001D7159"/>
    <w:rsid w:val="001E451E"/>
    <w:rsid w:val="001F25BD"/>
    <w:rsid w:val="001F2BBA"/>
    <w:rsid w:val="0022625F"/>
    <w:rsid w:val="0022778D"/>
    <w:rsid w:val="002634C4"/>
    <w:rsid w:val="002755DA"/>
    <w:rsid w:val="00280F94"/>
    <w:rsid w:val="002928D3"/>
    <w:rsid w:val="00292CE6"/>
    <w:rsid w:val="0029308E"/>
    <w:rsid w:val="00294DB7"/>
    <w:rsid w:val="002B30A3"/>
    <w:rsid w:val="002F1FE6"/>
    <w:rsid w:val="002F3EC4"/>
    <w:rsid w:val="002F4E68"/>
    <w:rsid w:val="00301C7C"/>
    <w:rsid w:val="00310996"/>
    <w:rsid w:val="00312F7F"/>
    <w:rsid w:val="00340449"/>
    <w:rsid w:val="00343D95"/>
    <w:rsid w:val="00347FC5"/>
    <w:rsid w:val="00361450"/>
    <w:rsid w:val="00362C19"/>
    <w:rsid w:val="003673CF"/>
    <w:rsid w:val="00372B29"/>
    <w:rsid w:val="003845C1"/>
    <w:rsid w:val="003A2D26"/>
    <w:rsid w:val="003A6F89"/>
    <w:rsid w:val="003B0FBE"/>
    <w:rsid w:val="003B31D5"/>
    <w:rsid w:val="003B38C1"/>
    <w:rsid w:val="003B5C7C"/>
    <w:rsid w:val="003C3B39"/>
    <w:rsid w:val="003D5834"/>
    <w:rsid w:val="003E7090"/>
    <w:rsid w:val="00422965"/>
    <w:rsid w:val="00423E3E"/>
    <w:rsid w:val="00427AF4"/>
    <w:rsid w:val="00436221"/>
    <w:rsid w:val="004556A9"/>
    <w:rsid w:val="004647DA"/>
    <w:rsid w:val="00467FBD"/>
    <w:rsid w:val="0047106D"/>
    <w:rsid w:val="00472B6F"/>
    <w:rsid w:val="00474062"/>
    <w:rsid w:val="00477D6B"/>
    <w:rsid w:val="00490611"/>
    <w:rsid w:val="004D0E0D"/>
    <w:rsid w:val="004F37C5"/>
    <w:rsid w:val="005019FF"/>
    <w:rsid w:val="005179AE"/>
    <w:rsid w:val="0053057A"/>
    <w:rsid w:val="00560A29"/>
    <w:rsid w:val="00561C22"/>
    <w:rsid w:val="005725F2"/>
    <w:rsid w:val="00574FFA"/>
    <w:rsid w:val="005A6364"/>
    <w:rsid w:val="005B2D04"/>
    <w:rsid w:val="005B7410"/>
    <w:rsid w:val="005C6649"/>
    <w:rsid w:val="006045BD"/>
    <w:rsid w:val="006048FD"/>
    <w:rsid w:val="00605827"/>
    <w:rsid w:val="00615E45"/>
    <w:rsid w:val="006362BF"/>
    <w:rsid w:val="00641B32"/>
    <w:rsid w:val="00646050"/>
    <w:rsid w:val="006713CA"/>
    <w:rsid w:val="00676C5C"/>
    <w:rsid w:val="00677FD1"/>
    <w:rsid w:val="00683713"/>
    <w:rsid w:val="006940BD"/>
    <w:rsid w:val="006B3F4C"/>
    <w:rsid w:val="006C189B"/>
    <w:rsid w:val="006E718B"/>
    <w:rsid w:val="00720936"/>
    <w:rsid w:val="00725B80"/>
    <w:rsid w:val="007532F6"/>
    <w:rsid w:val="00761F8E"/>
    <w:rsid w:val="00763075"/>
    <w:rsid w:val="007743B5"/>
    <w:rsid w:val="00795641"/>
    <w:rsid w:val="007A0E20"/>
    <w:rsid w:val="007A17CE"/>
    <w:rsid w:val="007A556F"/>
    <w:rsid w:val="007D1613"/>
    <w:rsid w:val="007E3817"/>
    <w:rsid w:val="00805E20"/>
    <w:rsid w:val="00831436"/>
    <w:rsid w:val="00844E51"/>
    <w:rsid w:val="00853EB8"/>
    <w:rsid w:val="0086196E"/>
    <w:rsid w:val="00873CAC"/>
    <w:rsid w:val="00890FF7"/>
    <w:rsid w:val="008B2CC1"/>
    <w:rsid w:val="008B60B2"/>
    <w:rsid w:val="008D3E23"/>
    <w:rsid w:val="008E0781"/>
    <w:rsid w:val="0090222A"/>
    <w:rsid w:val="00905E6A"/>
    <w:rsid w:val="0090731E"/>
    <w:rsid w:val="00916EE2"/>
    <w:rsid w:val="0091787F"/>
    <w:rsid w:val="00966A22"/>
    <w:rsid w:val="0096722F"/>
    <w:rsid w:val="00980843"/>
    <w:rsid w:val="009973E9"/>
    <w:rsid w:val="009A0625"/>
    <w:rsid w:val="009E2791"/>
    <w:rsid w:val="009E3CE7"/>
    <w:rsid w:val="009E3F6F"/>
    <w:rsid w:val="009F499F"/>
    <w:rsid w:val="00A379C0"/>
    <w:rsid w:val="00A41875"/>
    <w:rsid w:val="00A42DAF"/>
    <w:rsid w:val="00A45BD8"/>
    <w:rsid w:val="00A57E3F"/>
    <w:rsid w:val="00A77461"/>
    <w:rsid w:val="00A869B7"/>
    <w:rsid w:val="00A86D23"/>
    <w:rsid w:val="00AA0871"/>
    <w:rsid w:val="00AA26AC"/>
    <w:rsid w:val="00AC205C"/>
    <w:rsid w:val="00AD532F"/>
    <w:rsid w:val="00AD6071"/>
    <w:rsid w:val="00AD64D9"/>
    <w:rsid w:val="00AD6949"/>
    <w:rsid w:val="00AF0A6B"/>
    <w:rsid w:val="00AF4A90"/>
    <w:rsid w:val="00B00C2A"/>
    <w:rsid w:val="00B05A69"/>
    <w:rsid w:val="00B15607"/>
    <w:rsid w:val="00B267F9"/>
    <w:rsid w:val="00B4081C"/>
    <w:rsid w:val="00B742DD"/>
    <w:rsid w:val="00B9734B"/>
    <w:rsid w:val="00BA7311"/>
    <w:rsid w:val="00BB3ED2"/>
    <w:rsid w:val="00BD4B66"/>
    <w:rsid w:val="00BD5EBD"/>
    <w:rsid w:val="00BE11BC"/>
    <w:rsid w:val="00C025A2"/>
    <w:rsid w:val="00C046C3"/>
    <w:rsid w:val="00C11A99"/>
    <w:rsid w:val="00C11BFE"/>
    <w:rsid w:val="00C1347F"/>
    <w:rsid w:val="00C34C06"/>
    <w:rsid w:val="00C73BC5"/>
    <w:rsid w:val="00C75E47"/>
    <w:rsid w:val="00CB392A"/>
    <w:rsid w:val="00CB3E90"/>
    <w:rsid w:val="00CB7A61"/>
    <w:rsid w:val="00CC10EE"/>
    <w:rsid w:val="00D05E81"/>
    <w:rsid w:val="00D45252"/>
    <w:rsid w:val="00D54922"/>
    <w:rsid w:val="00D71B4D"/>
    <w:rsid w:val="00D93D55"/>
    <w:rsid w:val="00D96579"/>
    <w:rsid w:val="00DA4653"/>
    <w:rsid w:val="00DC18A2"/>
    <w:rsid w:val="00E038A1"/>
    <w:rsid w:val="00E335FE"/>
    <w:rsid w:val="00E41C15"/>
    <w:rsid w:val="00E42C18"/>
    <w:rsid w:val="00E47315"/>
    <w:rsid w:val="00E83997"/>
    <w:rsid w:val="00EB5DA5"/>
    <w:rsid w:val="00EC4E49"/>
    <w:rsid w:val="00ED46FA"/>
    <w:rsid w:val="00ED77FB"/>
    <w:rsid w:val="00EE45FA"/>
    <w:rsid w:val="00F10F13"/>
    <w:rsid w:val="00F316AE"/>
    <w:rsid w:val="00F66152"/>
    <w:rsid w:val="00F76982"/>
    <w:rsid w:val="00F93192"/>
    <w:rsid w:val="00F954DB"/>
    <w:rsid w:val="00FA7BD3"/>
    <w:rsid w:val="00FB6566"/>
    <w:rsid w:val="00FE6132"/>
    <w:rsid w:val="00FF2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ONUMEChar">
    <w:name w:val="ONUM E Char"/>
    <w:link w:val="ONUME"/>
    <w:rsid w:val="00490611"/>
    <w:rPr>
      <w:rFonts w:ascii="Arial" w:eastAsia="SimSun" w:hAnsi="Arial" w:cs="Arial"/>
      <w:sz w:val="22"/>
    </w:rPr>
  </w:style>
  <w:style w:type="character" w:styleId="FootnoteReference">
    <w:name w:val="footnote reference"/>
    <w:basedOn w:val="DefaultParagraphFont"/>
    <w:rsid w:val="00490611"/>
    <w:rPr>
      <w:vertAlign w:val="superscript"/>
    </w:rPr>
  </w:style>
  <w:style w:type="character" w:customStyle="1" w:styleId="HeaderChar">
    <w:name w:val="Header Char"/>
    <w:basedOn w:val="DefaultParagraphFont"/>
    <w:link w:val="Header"/>
    <w:uiPriority w:val="99"/>
    <w:rsid w:val="00490611"/>
    <w:rPr>
      <w:rFonts w:ascii="Arial" w:eastAsia="SimSun" w:hAnsi="Arial" w:cs="Arial"/>
      <w:sz w:val="22"/>
    </w:rPr>
  </w:style>
  <w:style w:type="paragraph" w:customStyle="1" w:styleId="Style2">
    <w:name w:val="Style2"/>
    <w:basedOn w:val="Normal"/>
    <w:rsid w:val="00EB5DA5"/>
  </w:style>
  <w:style w:type="paragraph" w:styleId="ListParagraph">
    <w:name w:val="List Paragraph"/>
    <w:basedOn w:val="Normal"/>
    <w:uiPriority w:val="34"/>
    <w:qFormat/>
    <w:rsid w:val="00472B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ONUMEChar">
    <w:name w:val="ONUM E Char"/>
    <w:link w:val="ONUME"/>
    <w:rsid w:val="00490611"/>
    <w:rPr>
      <w:rFonts w:ascii="Arial" w:eastAsia="SimSun" w:hAnsi="Arial" w:cs="Arial"/>
      <w:sz w:val="22"/>
    </w:rPr>
  </w:style>
  <w:style w:type="character" w:styleId="FootnoteReference">
    <w:name w:val="footnote reference"/>
    <w:basedOn w:val="DefaultParagraphFont"/>
    <w:rsid w:val="00490611"/>
    <w:rPr>
      <w:vertAlign w:val="superscript"/>
    </w:rPr>
  </w:style>
  <w:style w:type="character" w:customStyle="1" w:styleId="HeaderChar">
    <w:name w:val="Header Char"/>
    <w:basedOn w:val="DefaultParagraphFont"/>
    <w:link w:val="Header"/>
    <w:uiPriority w:val="99"/>
    <w:rsid w:val="00490611"/>
    <w:rPr>
      <w:rFonts w:ascii="Arial" w:eastAsia="SimSun" w:hAnsi="Arial" w:cs="Arial"/>
      <w:sz w:val="22"/>
    </w:rPr>
  </w:style>
  <w:style w:type="paragraph" w:customStyle="1" w:styleId="Style2">
    <w:name w:val="Style2"/>
    <w:basedOn w:val="Normal"/>
    <w:rsid w:val="00EB5DA5"/>
  </w:style>
  <w:style w:type="paragraph" w:styleId="ListParagraph">
    <w:name w:val="List Paragraph"/>
    <w:basedOn w:val="Normal"/>
    <w:uiPriority w:val="34"/>
    <w:qFormat/>
    <w:rsid w:val="00472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www.unglobalcompact.org"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globalcompact.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1C7C8-1BD0-4072-B9C5-0CA70F9C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24(E)</Template>
  <TotalTime>0</TotalTime>
  <Pages>23</Pages>
  <Words>7224</Words>
  <Characters>40478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47607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HOWARD Emily</dc:creator>
  <cp:lastModifiedBy>NETTER Iza</cp:lastModifiedBy>
  <cp:revision>2</cp:revision>
  <cp:lastPrinted>2015-09-08T09:20:00Z</cp:lastPrinted>
  <dcterms:created xsi:type="dcterms:W3CDTF">2015-09-08T09:24:00Z</dcterms:created>
  <dcterms:modified xsi:type="dcterms:W3CDTF">2015-09-08T09:24:00Z</dcterms:modified>
</cp:coreProperties>
</file>