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6B1E69" w:rsidRPr="006B1E69" w14:paraId="741E6873" w14:textId="77777777" w:rsidTr="002B31EF">
        <w:tc>
          <w:tcPr>
            <w:tcW w:w="4513" w:type="dxa"/>
            <w:tcBorders>
              <w:bottom w:val="single" w:sz="4" w:space="0" w:color="auto"/>
            </w:tcBorders>
            <w:tcMar>
              <w:bottom w:w="170" w:type="dxa"/>
            </w:tcMar>
          </w:tcPr>
          <w:p w14:paraId="409574E6" w14:textId="77777777" w:rsidR="006B1E69" w:rsidRPr="00CD4750" w:rsidRDefault="006B1E69" w:rsidP="002B31EF">
            <w:pPr>
              <w:rPr>
                <w:rFonts w:ascii="Arial" w:hAnsi="Arial" w:cs="Arial"/>
              </w:rPr>
            </w:pPr>
            <w:bookmarkStart w:id="0" w:name="_Toc367350572"/>
          </w:p>
        </w:tc>
        <w:tc>
          <w:tcPr>
            <w:tcW w:w="4337" w:type="dxa"/>
            <w:tcBorders>
              <w:bottom w:val="single" w:sz="4" w:space="0" w:color="auto"/>
            </w:tcBorders>
            <w:tcMar>
              <w:left w:w="0" w:type="dxa"/>
              <w:right w:w="0" w:type="dxa"/>
            </w:tcMar>
          </w:tcPr>
          <w:p w14:paraId="40B26E5A" w14:textId="77777777" w:rsidR="006B1E69" w:rsidRPr="008B2CC1" w:rsidRDefault="006B1E69" w:rsidP="002B31EF">
            <w:r>
              <w:rPr>
                <w:noProof/>
                <w:lang w:eastAsia="en-US"/>
              </w:rPr>
              <w:drawing>
                <wp:inline distT="0" distB="0" distL="0" distR="0" wp14:anchorId="4FA0722C" wp14:editId="5948D467">
                  <wp:extent cx="1857375" cy="1323975"/>
                  <wp:effectExtent l="0" t="0" r="9525" b="9525"/>
                  <wp:docPr id="973" name="Picture 97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18404186" w14:textId="77777777" w:rsidR="006B1E69" w:rsidRPr="006B1E69" w:rsidRDefault="006B1E69" w:rsidP="002B31EF">
            <w:pPr>
              <w:jc w:val="right"/>
              <w:rPr>
                <w:rFonts w:ascii="Arial" w:hAnsi="Arial" w:cs="Arial"/>
              </w:rPr>
            </w:pPr>
            <w:r w:rsidRPr="006B1E69">
              <w:rPr>
                <w:rFonts w:ascii="Arial" w:hAnsi="Arial" w:cs="Arial"/>
                <w:b/>
                <w:sz w:val="40"/>
                <w:szCs w:val="40"/>
              </w:rPr>
              <w:t>E</w:t>
            </w:r>
          </w:p>
        </w:tc>
      </w:tr>
      <w:tr w:rsidR="006B1E69" w:rsidRPr="001832A6" w14:paraId="2752B479" w14:textId="77777777" w:rsidTr="002B31EF">
        <w:trPr>
          <w:trHeight w:hRule="exact" w:val="340"/>
        </w:trPr>
        <w:tc>
          <w:tcPr>
            <w:tcW w:w="9356" w:type="dxa"/>
            <w:gridSpan w:val="3"/>
            <w:tcBorders>
              <w:top w:val="single" w:sz="4" w:space="0" w:color="auto"/>
            </w:tcBorders>
            <w:tcMar>
              <w:top w:w="170" w:type="dxa"/>
              <w:left w:w="0" w:type="dxa"/>
              <w:right w:w="0" w:type="dxa"/>
            </w:tcMar>
            <w:vAlign w:val="bottom"/>
          </w:tcPr>
          <w:p w14:paraId="4D99FB83" w14:textId="29F9A4A2" w:rsidR="006B1E69" w:rsidRPr="0090731E" w:rsidRDefault="00A2772E" w:rsidP="00A2772E">
            <w:pPr>
              <w:jc w:val="right"/>
              <w:rPr>
                <w:rFonts w:ascii="Arial Black" w:hAnsi="Arial Black"/>
                <w:caps/>
                <w:sz w:val="15"/>
              </w:rPr>
            </w:pPr>
            <w:r>
              <w:rPr>
                <w:rFonts w:ascii="Arial Black" w:hAnsi="Arial Black"/>
                <w:caps/>
                <w:sz w:val="15"/>
              </w:rPr>
              <w:t>wo/pbc/24</w:t>
            </w:r>
            <w:r w:rsidR="006B1E69">
              <w:rPr>
                <w:rFonts w:ascii="Arial Black" w:hAnsi="Arial Black"/>
                <w:caps/>
                <w:sz w:val="15"/>
              </w:rPr>
              <w:t>/</w:t>
            </w:r>
            <w:bookmarkStart w:id="1" w:name="Code"/>
            <w:bookmarkEnd w:id="1"/>
            <w:r>
              <w:rPr>
                <w:rFonts w:ascii="Arial Black" w:hAnsi="Arial Black"/>
                <w:caps/>
                <w:sz w:val="15"/>
              </w:rPr>
              <w:t>11</w:t>
            </w:r>
          </w:p>
        </w:tc>
      </w:tr>
      <w:tr w:rsidR="006B1E69" w:rsidRPr="001832A6" w14:paraId="447D0097" w14:textId="77777777" w:rsidTr="002B31EF">
        <w:trPr>
          <w:trHeight w:hRule="exact" w:val="170"/>
        </w:trPr>
        <w:tc>
          <w:tcPr>
            <w:tcW w:w="9356" w:type="dxa"/>
            <w:gridSpan w:val="3"/>
            <w:noWrap/>
            <w:tcMar>
              <w:left w:w="0" w:type="dxa"/>
              <w:right w:w="0" w:type="dxa"/>
            </w:tcMar>
            <w:vAlign w:val="bottom"/>
          </w:tcPr>
          <w:p w14:paraId="2AE23E4E" w14:textId="77777777" w:rsidR="006B1E69" w:rsidRPr="0090731E" w:rsidRDefault="006B1E69" w:rsidP="002B31EF">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2" w:name="Original"/>
            <w:bookmarkEnd w:id="2"/>
            <w:r>
              <w:rPr>
                <w:rFonts w:ascii="Arial Black" w:hAnsi="Arial Black"/>
                <w:caps/>
                <w:sz w:val="15"/>
              </w:rPr>
              <w:t>ENGLISH</w:t>
            </w:r>
          </w:p>
        </w:tc>
      </w:tr>
      <w:tr w:rsidR="006B1E69" w:rsidRPr="001832A6" w14:paraId="4A546FF3" w14:textId="77777777" w:rsidTr="002B31EF">
        <w:trPr>
          <w:trHeight w:hRule="exact" w:val="198"/>
        </w:trPr>
        <w:tc>
          <w:tcPr>
            <w:tcW w:w="9356" w:type="dxa"/>
            <w:gridSpan w:val="3"/>
            <w:tcMar>
              <w:left w:w="0" w:type="dxa"/>
              <w:right w:w="0" w:type="dxa"/>
            </w:tcMar>
            <w:vAlign w:val="bottom"/>
          </w:tcPr>
          <w:p w14:paraId="0A8C7AEC" w14:textId="47B6488A" w:rsidR="006B1E69" w:rsidRPr="0090731E" w:rsidRDefault="006B1E69" w:rsidP="00C2748E">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bookmarkStart w:id="3" w:name="Date"/>
            <w:bookmarkEnd w:id="3"/>
            <w:r w:rsidR="00A2772E">
              <w:rPr>
                <w:rFonts w:ascii="Arial Black" w:hAnsi="Arial Black"/>
                <w:caps/>
                <w:sz w:val="15"/>
              </w:rPr>
              <w:t>AUGUST</w:t>
            </w:r>
            <w:r w:rsidR="00C2748E">
              <w:rPr>
                <w:rFonts w:ascii="Arial Black" w:hAnsi="Arial Black"/>
                <w:caps/>
                <w:sz w:val="15"/>
              </w:rPr>
              <w:t xml:space="preserve"> 14</w:t>
            </w:r>
            <w:r>
              <w:rPr>
                <w:rFonts w:ascii="Arial Black" w:hAnsi="Arial Black"/>
                <w:caps/>
                <w:sz w:val="15"/>
              </w:rPr>
              <w:t>, 2015</w:t>
            </w:r>
          </w:p>
        </w:tc>
      </w:tr>
    </w:tbl>
    <w:p w14:paraId="24578A4E" w14:textId="77777777" w:rsidR="006B1E69" w:rsidRPr="006B1E69" w:rsidRDefault="006B1E69" w:rsidP="006B1E69">
      <w:pPr>
        <w:rPr>
          <w:rFonts w:ascii="Arial" w:hAnsi="Arial" w:cs="Arial"/>
        </w:rPr>
      </w:pPr>
    </w:p>
    <w:p w14:paraId="4D61A1AF" w14:textId="77777777" w:rsidR="006B1E69" w:rsidRPr="006B1E69" w:rsidRDefault="006B1E69" w:rsidP="006B1E69">
      <w:pPr>
        <w:rPr>
          <w:rFonts w:ascii="Arial" w:hAnsi="Arial" w:cs="Arial"/>
        </w:rPr>
      </w:pPr>
    </w:p>
    <w:p w14:paraId="35849E20" w14:textId="77777777" w:rsidR="006B1E69" w:rsidRPr="006B1E69" w:rsidRDefault="006B1E69" w:rsidP="006B1E69">
      <w:pPr>
        <w:rPr>
          <w:rFonts w:ascii="Arial" w:hAnsi="Arial" w:cs="Arial"/>
        </w:rPr>
      </w:pPr>
    </w:p>
    <w:p w14:paraId="3BB30C83" w14:textId="77777777" w:rsidR="006B1E69" w:rsidRPr="006B1E69" w:rsidRDefault="006B1E69" w:rsidP="006B1E69">
      <w:pPr>
        <w:rPr>
          <w:rFonts w:ascii="Arial" w:hAnsi="Arial" w:cs="Arial"/>
        </w:rPr>
      </w:pPr>
    </w:p>
    <w:p w14:paraId="5EF3E417" w14:textId="77777777" w:rsidR="006B1E69" w:rsidRPr="006B1E69" w:rsidRDefault="006B1E69" w:rsidP="006B1E69">
      <w:pPr>
        <w:rPr>
          <w:rFonts w:ascii="Arial" w:hAnsi="Arial" w:cs="Arial"/>
        </w:rPr>
      </w:pPr>
    </w:p>
    <w:p w14:paraId="4D8232C7" w14:textId="77777777" w:rsidR="006B1E69" w:rsidRPr="006B1E69" w:rsidRDefault="006B1E69" w:rsidP="006B1E69">
      <w:pPr>
        <w:rPr>
          <w:rFonts w:ascii="Arial" w:hAnsi="Arial" w:cs="Arial"/>
          <w:b/>
          <w:sz w:val="28"/>
          <w:szCs w:val="28"/>
        </w:rPr>
      </w:pPr>
      <w:r w:rsidRPr="006B1E69">
        <w:rPr>
          <w:rFonts w:ascii="Arial" w:hAnsi="Arial" w:cs="Arial"/>
          <w:b/>
          <w:sz w:val="28"/>
          <w:szCs w:val="28"/>
        </w:rPr>
        <w:t>Program and Budget Committee</w:t>
      </w:r>
    </w:p>
    <w:p w14:paraId="16E2CFC4" w14:textId="77777777" w:rsidR="006B1E69" w:rsidRPr="006B1E69" w:rsidRDefault="006B1E69" w:rsidP="006B1E69">
      <w:pPr>
        <w:rPr>
          <w:rFonts w:ascii="Arial" w:hAnsi="Arial" w:cs="Arial"/>
        </w:rPr>
      </w:pPr>
    </w:p>
    <w:p w14:paraId="16495305" w14:textId="77777777" w:rsidR="006B1E69" w:rsidRPr="006B1E69" w:rsidRDefault="006B1E69" w:rsidP="006B1E69">
      <w:pPr>
        <w:rPr>
          <w:rFonts w:ascii="Arial" w:hAnsi="Arial" w:cs="Arial"/>
        </w:rPr>
      </w:pPr>
    </w:p>
    <w:p w14:paraId="16029EDE" w14:textId="2AAB5573" w:rsidR="006B1E69" w:rsidRPr="006B1E69" w:rsidRDefault="006B1E69" w:rsidP="006B1E69">
      <w:pPr>
        <w:rPr>
          <w:rFonts w:ascii="Arial" w:hAnsi="Arial" w:cs="Arial"/>
          <w:b/>
          <w:sz w:val="24"/>
          <w:szCs w:val="24"/>
        </w:rPr>
      </w:pPr>
      <w:r w:rsidRPr="006B1E69">
        <w:rPr>
          <w:rFonts w:ascii="Arial" w:hAnsi="Arial" w:cs="Arial"/>
          <w:b/>
          <w:sz w:val="24"/>
          <w:szCs w:val="24"/>
        </w:rPr>
        <w:t>Twenty-</w:t>
      </w:r>
      <w:r w:rsidR="00A2772E">
        <w:rPr>
          <w:rFonts w:ascii="Arial" w:hAnsi="Arial" w:cs="Arial"/>
          <w:b/>
          <w:sz w:val="24"/>
          <w:szCs w:val="24"/>
        </w:rPr>
        <w:t>Fourth</w:t>
      </w:r>
      <w:r w:rsidRPr="006B1E69">
        <w:rPr>
          <w:rFonts w:ascii="Arial" w:hAnsi="Arial" w:cs="Arial"/>
          <w:b/>
          <w:sz w:val="24"/>
          <w:szCs w:val="24"/>
        </w:rPr>
        <w:t xml:space="preserve"> Session</w:t>
      </w:r>
    </w:p>
    <w:p w14:paraId="7D955907" w14:textId="1B34B5E9" w:rsidR="006B1E69" w:rsidRPr="006B1E69" w:rsidRDefault="006B1E69" w:rsidP="006B1E69">
      <w:pPr>
        <w:rPr>
          <w:rFonts w:ascii="Arial" w:hAnsi="Arial" w:cs="Arial"/>
          <w:b/>
          <w:sz w:val="24"/>
          <w:szCs w:val="24"/>
        </w:rPr>
      </w:pPr>
      <w:r w:rsidRPr="006B1E69">
        <w:rPr>
          <w:rFonts w:ascii="Arial" w:hAnsi="Arial" w:cs="Arial"/>
          <w:b/>
          <w:sz w:val="24"/>
          <w:szCs w:val="24"/>
        </w:rPr>
        <w:t xml:space="preserve">Geneva, </w:t>
      </w:r>
      <w:r w:rsidR="00A2772E">
        <w:rPr>
          <w:rFonts w:ascii="Arial" w:hAnsi="Arial" w:cs="Arial"/>
          <w:b/>
          <w:sz w:val="24"/>
          <w:szCs w:val="24"/>
        </w:rPr>
        <w:t>September 14 to 18</w:t>
      </w:r>
      <w:r w:rsidRPr="006B1E69">
        <w:rPr>
          <w:rFonts w:ascii="Arial" w:hAnsi="Arial" w:cs="Arial"/>
          <w:b/>
          <w:sz w:val="24"/>
          <w:szCs w:val="24"/>
        </w:rPr>
        <w:t>, 2015</w:t>
      </w:r>
    </w:p>
    <w:p w14:paraId="65854C17" w14:textId="77777777" w:rsidR="006B1E69" w:rsidRPr="006B1E69" w:rsidRDefault="006B1E69" w:rsidP="006B1E69">
      <w:pPr>
        <w:rPr>
          <w:rFonts w:ascii="Arial" w:hAnsi="Arial" w:cs="Arial"/>
        </w:rPr>
      </w:pPr>
    </w:p>
    <w:p w14:paraId="45C4F36F" w14:textId="77777777" w:rsidR="006B1E69" w:rsidRPr="006B1E69" w:rsidRDefault="006B1E69" w:rsidP="006B1E69">
      <w:pPr>
        <w:rPr>
          <w:rFonts w:ascii="Arial" w:hAnsi="Arial" w:cs="Arial"/>
        </w:rPr>
      </w:pPr>
    </w:p>
    <w:p w14:paraId="2FBBC470" w14:textId="77777777" w:rsidR="006B1E69" w:rsidRPr="006B1E69" w:rsidRDefault="006B1E69" w:rsidP="006B1E69">
      <w:pPr>
        <w:rPr>
          <w:rFonts w:ascii="Arial" w:hAnsi="Arial" w:cs="Arial"/>
        </w:rPr>
      </w:pPr>
    </w:p>
    <w:p w14:paraId="516BD1BB" w14:textId="4A43A206" w:rsidR="006B1E69" w:rsidRPr="006B1E69" w:rsidRDefault="006B1E69" w:rsidP="006B1E69">
      <w:pPr>
        <w:rPr>
          <w:rFonts w:ascii="Arial" w:hAnsi="Arial" w:cs="Arial"/>
          <w:caps/>
          <w:sz w:val="24"/>
        </w:rPr>
      </w:pPr>
      <w:bookmarkStart w:id="4" w:name="TitleOfDoc"/>
      <w:bookmarkEnd w:id="4"/>
      <w:r w:rsidRPr="006B1E69">
        <w:rPr>
          <w:rFonts w:ascii="Arial" w:hAnsi="Arial" w:cs="Arial"/>
          <w:caps/>
          <w:sz w:val="24"/>
        </w:rPr>
        <w:t>PROPOSED PROGRAM AND BUDGET FOR THE 2016/17 BIENNIUM</w:t>
      </w:r>
    </w:p>
    <w:p w14:paraId="3059D2FE" w14:textId="77777777" w:rsidR="006B1E69" w:rsidRPr="006B1E69" w:rsidRDefault="006B1E69" w:rsidP="006B1E69">
      <w:pPr>
        <w:rPr>
          <w:rFonts w:ascii="Arial" w:hAnsi="Arial" w:cs="Arial"/>
        </w:rPr>
      </w:pPr>
    </w:p>
    <w:p w14:paraId="01002EDF" w14:textId="77777777" w:rsidR="006B1E69" w:rsidRPr="006B1E69" w:rsidRDefault="006B1E69" w:rsidP="006B1E69">
      <w:pPr>
        <w:rPr>
          <w:rFonts w:ascii="Arial" w:hAnsi="Arial" w:cs="Arial"/>
          <w:i/>
        </w:rPr>
      </w:pPr>
      <w:bookmarkStart w:id="5" w:name="Prepared"/>
      <w:bookmarkEnd w:id="5"/>
      <w:r w:rsidRPr="006B1E69">
        <w:rPr>
          <w:rFonts w:ascii="Arial" w:hAnsi="Arial" w:cs="Arial"/>
          <w:i/>
        </w:rPr>
        <w:t>Document prepared by the Secretariat</w:t>
      </w:r>
    </w:p>
    <w:p w14:paraId="7F12D742" w14:textId="77777777" w:rsidR="006B1E69" w:rsidRPr="006B1E69" w:rsidRDefault="006B1E69" w:rsidP="006B1E69">
      <w:pPr>
        <w:rPr>
          <w:rFonts w:ascii="Arial" w:hAnsi="Arial" w:cs="Arial"/>
        </w:rPr>
      </w:pPr>
    </w:p>
    <w:p w14:paraId="10D8EC4D" w14:textId="77777777" w:rsidR="006B1E69" w:rsidRPr="006B1E69" w:rsidRDefault="006B1E69" w:rsidP="006B1E69">
      <w:pPr>
        <w:rPr>
          <w:rFonts w:ascii="Arial" w:hAnsi="Arial" w:cs="Arial"/>
        </w:rPr>
      </w:pPr>
    </w:p>
    <w:p w14:paraId="6CEE056F" w14:textId="77777777" w:rsidR="006B1E69" w:rsidRPr="006B1E69" w:rsidRDefault="006B1E69" w:rsidP="006B1E69">
      <w:pPr>
        <w:rPr>
          <w:rFonts w:ascii="Arial" w:hAnsi="Arial" w:cs="Arial"/>
        </w:rPr>
      </w:pPr>
    </w:p>
    <w:p w14:paraId="02536DC3" w14:textId="77777777" w:rsidR="006B1E69" w:rsidRPr="006B1E69" w:rsidRDefault="006B1E69" w:rsidP="006B1E69">
      <w:pPr>
        <w:rPr>
          <w:rFonts w:ascii="Arial" w:hAnsi="Arial" w:cs="Arial"/>
        </w:rPr>
      </w:pPr>
    </w:p>
    <w:p w14:paraId="266CA8A5" w14:textId="77777777" w:rsidR="00DC5AFF" w:rsidRPr="00D655F5" w:rsidRDefault="00DC5AFF" w:rsidP="00DC5AFF">
      <w:pPr>
        <w:rPr>
          <w:rFonts w:ascii="Arial" w:hAnsi="Arial" w:cs="Arial"/>
        </w:rPr>
      </w:pPr>
    </w:p>
    <w:p w14:paraId="32E5B441" w14:textId="69CDAECA" w:rsidR="00AF3731" w:rsidRPr="00D655F5" w:rsidRDefault="00DC5AFF" w:rsidP="00AF3731">
      <w:pPr>
        <w:pStyle w:val="ONUME"/>
        <w:rPr>
          <w:rFonts w:ascii="Arial" w:hAnsi="Arial" w:cs="Arial"/>
        </w:rPr>
      </w:pPr>
      <w:r w:rsidRPr="00D655F5">
        <w:rPr>
          <w:rFonts w:ascii="Arial" w:hAnsi="Arial" w:cs="Arial"/>
          <w:sz w:val="22"/>
          <w:szCs w:val="22"/>
        </w:rPr>
        <w:t xml:space="preserve">The attached version of the Proposed Program and Budget for the 2016/17 </w:t>
      </w:r>
      <w:r w:rsidR="001736A1">
        <w:rPr>
          <w:rFonts w:ascii="Arial" w:hAnsi="Arial" w:cs="Arial"/>
          <w:sz w:val="22"/>
          <w:szCs w:val="22"/>
        </w:rPr>
        <w:t>B</w:t>
      </w:r>
      <w:r w:rsidRPr="00D655F5">
        <w:rPr>
          <w:rFonts w:ascii="Arial" w:hAnsi="Arial" w:cs="Arial"/>
          <w:sz w:val="22"/>
          <w:szCs w:val="22"/>
        </w:rPr>
        <w:t xml:space="preserve">iennium </w:t>
      </w:r>
      <w:r w:rsidR="00421CA2">
        <w:rPr>
          <w:rFonts w:ascii="Arial" w:hAnsi="Arial" w:cs="Arial"/>
          <w:sz w:val="22"/>
          <w:szCs w:val="22"/>
        </w:rPr>
        <w:t xml:space="preserve">is submitted to the present session of the </w:t>
      </w:r>
      <w:r w:rsidR="00AF3731" w:rsidRPr="00D655F5">
        <w:rPr>
          <w:rFonts w:ascii="Arial" w:hAnsi="Arial" w:cs="Arial"/>
          <w:sz w:val="22"/>
          <w:szCs w:val="22"/>
        </w:rPr>
        <w:t xml:space="preserve">Program and Budget Committee (PBC) </w:t>
      </w:r>
      <w:r w:rsidR="00421CA2">
        <w:rPr>
          <w:rFonts w:ascii="Arial" w:hAnsi="Arial" w:cs="Arial"/>
          <w:sz w:val="22"/>
          <w:szCs w:val="22"/>
        </w:rPr>
        <w:t>pursuant to the discussions and recommendations of the 23</w:t>
      </w:r>
      <w:r w:rsidR="00421CA2" w:rsidRPr="00421CA2">
        <w:rPr>
          <w:rFonts w:ascii="Arial" w:hAnsi="Arial" w:cs="Arial"/>
          <w:sz w:val="22"/>
          <w:szCs w:val="22"/>
          <w:vertAlign w:val="superscript"/>
        </w:rPr>
        <w:t>rd</w:t>
      </w:r>
      <w:r w:rsidR="00421CA2">
        <w:rPr>
          <w:rFonts w:ascii="Arial" w:hAnsi="Arial" w:cs="Arial"/>
          <w:sz w:val="22"/>
          <w:szCs w:val="22"/>
        </w:rPr>
        <w:t xml:space="preserve"> session of the PBC.</w:t>
      </w:r>
    </w:p>
    <w:p w14:paraId="226C004D" w14:textId="77777777" w:rsidR="00AF3731" w:rsidRPr="00D655F5" w:rsidRDefault="00AF3731" w:rsidP="00AF3731">
      <w:pPr>
        <w:pStyle w:val="ONUME"/>
        <w:numPr>
          <w:ilvl w:val="0"/>
          <w:numId w:val="0"/>
        </w:numPr>
        <w:rPr>
          <w:rFonts w:ascii="Arial" w:hAnsi="Arial" w:cs="Arial"/>
        </w:rPr>
      </w:pPr>
    </w:p>
    <w:p w14:paraId="4CC0DEF9" w14:textId="7597C26C" w:rsidR="00421CA2" w:rsidRPr="00421CA2" w:rsidRDefault="00421CA2" w:rsidP="00AF3731">
      <w:pPr>
        <w:pStyle w:val="ONUME"/>
        <w:rPr>
          <w:rFonts w:ascii="Arial" w:hAnsi="Arial" w:cs="Arial"/>
        </w:rPr>
      </w:pPr>
      <w:r>
        <w:rPr>
          <w:rFonts w:ascii="Arial" w:hAnsi="Arial" w:cs="Arial"/>
          <w:sz w:val="22"/>
          <w:szCs w:val="22"/>
        </w:rPr>
        <w:t xml:space="preserve">At that session, the PBC completed a comprehensive first reading of the draft proposed Program and Budget for the 2016/17 </w:t>
      </w:r>
      <w:r w:rsidR="00055D38">
        <w:rPr>
          <w:rFonts w:ascii="Arial" w:hAnsi="Arial" w:cs="Arial"/>
          <w:sz w:val="22"/>
          <w:szCs w:val="22"/>
        </w:rPr>
        <w:t>B</w:t>
      </w:r>
      <w:bookmarkStart w:id="6" w:name="_GoBack"/>
      <w:bookmarkEnd w:id="6"/>
      <w:r>
        <w:rPr>
          <w:rFonts w:ascii="Arial" w:hAnsi="Arial" w:cs="Arial"/>
          <w:sz w:val="22"/>
          <w:szCs w:val="22"/>
        </w:rPr>
        <w:t xml:space="preserve">iennium, Program by Program under each Strategic Goal, and:  </w:t>
      </w:r>
    </w:p>
    <w:p w14:paraId="36DF10EC" w14:textId="77777777" w:rsidR="00421CA2" w:rsidRDefault="00421CA2" w:rsidP="00421CA2">
      <w:pPr>
        <w:pStyle w:val="ListParagraph"/>
        <w:rPr>
          <w:rFonts w:ascii="Arial" w:hAnsi="Arial" w:cs="Arial"/>
        </w:rPr>
      </w:pPr>
    </w:p>
    <w:p w14:paraId="0FA71851" w14:textId="304BCFFE" w:rsidR="00421CA2" w:rsidRPr="00421CA2" w:rsidRDefault="00421CA2" w:rsidP="00421CA2">
      <w:pPr>
        <w:pStyle w:val="ONUME"/>
        <w:numPr>
          <w:ilvl w:val="0"/>
          <w:numId w:val="79"/>
        </w:numPr>
        <w:tabs>
          <w:tab w:val="left" w:pos="1134"/>
        </w:tabs>
        <w:ind w:left="567" w:firstLine="0"/>
        <w:rPr>
          <w:rFonts w:ascii="Arial" w:hAnsi="Arial" w:cs="Arial"/>
          <w:sz w:val="22"/>
          <w:szCs w:val="22"/>
        </w:rPr>
      </w:pPr>
      <w:r w:rsidRPr="00421CA2">
        <w:rPr>
          <w:rFonts w:ascii="Arial" w:hAnsi="Arial" w:cs="Arial"/>
          <w:sz w:val="22"/>
          <w:szCs w:val="22"/>
        </w:rPr>
        <w:t>agreed to the modifications proposed by Member States to program narratives, including the results frameworks in Programs 1, 9, 10, 11, 13, 14, 16, 17, 18, 25, 28 and 30;</w:t>
      </w:r>
      <w:r>
        <w:rPr>
          <w:rFonts w:ascii="Arial" w:hAnsi="Arial" w:cs="Arial"/>
          <w:sz w:val="22"/>
          <w:szCs w:val="22"/>
        </w:rPr>
        <w:t xml:space="preserve"> </w:t>
      </w:r>
    </w:p>
    <w:p w14:paraId="185C9D37" w14:textId="77777777" w:rsidR="00421CA2" w:rsidRPr="00421CA2" w:rsidRDefault="00421CA2" w:rsidP="00421CA2">
      <w:pPr>
        <w:pStyle w:val="ONUME"/>
        <w:numPr>
          <w:ilvl w:val="0"/>
          <w:numId w:val="0"/>
        </w:numPr>
        <w:ind w:left="720"/>
        <w:rPr>
          <w:rFonts w:ascii="Arial" w:hAnsi="Arial" w:cs="Arial"/>
          <w:sz w:val="22"/>
          <w:szCs w:val="22"/>
        </w:rPr>
      </w:pPr>
    </w:p>
    <w:p w14:paraId="34080CE4" w14:textId="6FB694C1" w:rsidR="00421CA2" w:rsidRDefault="00421CA2" w:rsidP="00421CA2">
      <w:pPr>
        <w:pStyle w:val="ONUME"/>
        <w:numPr>
          <w:ilvl w:val="0"/>
          <w:numId w:val="79"/>
        </w:numPr>
        <w:tabs>
          <w:tab w:val="left" w:pos="1134"/>
        </w:tabs>
        <w:ind w:left="567" w:firstLine="0"/>
        <w:rPr>
          <w:rFonts w:ascii="Arial" w:hAnsi="Arial" w:cs="Arial"/>
          <w:sz w:val="22"/>
          <w:szCs w:val="22"/>
        </w:rPr>
      </w:pPr>
      <w:r w:rsidRPr="00421CA2">
        <w:rPr>
          <w:rFonts w:ascii="Arial" w:hAnsi="Arial" w:cs="Arial"/>
          <w:sz w:val="22"/>
          <w:szCs w:val="22"/>
        </w:rPr>
        <w:t>requested the Secretariat to issue a revised version of the draft proposed Program and Budget for the 2016/17 biennium based on (i) for the upcoming session of the PBC, and an updated version of the Q&amp;A document</w:t>
      </w:r>
      <w:r>
        <w:rPr>
          <w:rFonts w:ascii="Arial" w:hAnsi="Arial" w:cs="Arial"/>
          <w:sz w:val="22"/>
          <w:szCs w:val="22"/>
        </w:rPr>
        <w:t>.”</w:t>
      </w:r>
    </w:p>
    <w:p w14:paraId="1CD50963" w14:textId="77777777" w:rsidR="00421CA2" w:rsidRDefault="00421CA2" w:rsidP="00421CA2">
      <w:pPr>
        <w:pStyle w:val="ListParagraph"/>
        <w:rPr>
          <w:rFonts w:ascii="Arial" w:hAnsi="Arial" w:cs="Arial"/>
        </w:rPr>
      </w:pPr>
    </w:p>
    <w:p w14:paraId="5E3F5F85" w14:textId="77777777" w:rsidR="00421CA2" w:rsidRDefault="00421CA2" w:rsidP="00AF3731">
      <w:pPr>
        <w:pStyle w:val="ONUME"/>
        <w:rPr>
          <w:rFonts w:ascii="Arial" w:hAnsi="Arial" w:cs="Arial"/>
          <w:sz w:val="22"/>
          <w:szCs w:val="22"/>
        </w:rPr>
        <w:sectPr w:rsidR="00421CA2" w:rsidSect="00DA3F93">
          <w:headerReference w:type="even" r:id="rId10"/>
          <w:headerReference w:type="default" r:id="rId11"/>
          <w:footerReference w:type="even" r:id="rId12"/>
          <w:footerReference w:type="default" r:id="rId13"/>
          <w:footerReference w:type="first" r:id="rId14"/>
          <w:pgSz w:w="11907" w:h="16839" w:code="9"/>
          <w:pgMar w:top="624" w:right="1418" w:bottom="1361" w:left="1418" w:header="567" w:footer="851" w:gutter="0"/>
          <w:cols w:space="720"/>
          <w:titlePg/>
          <w:docGrid w:linePitch="360"/>
        </w:sectPr>
      </w:pPr>
    </w:p>
    <w:p w14:paraId="627CC7F5" w14:textId="77777777" w:rsidR="00421CA2" w:rsidRPr="00421CA2" w:rsidRDefault="00421CA2" w:rsidP="00421CA2">
      <w:pPr>
        <w:pStyle w:val="ONUME"/>
        <w:numPr>
          <w:ilvl w:val="0"/>
          <w:numId w:val="0"/>
        </w:numPr>
        <w:rPr>
          <w:rFonts w:ascii="Arial" w:hAnsi="Arial" w:cs="Arial"/>
        </w:rPr>
      </w:pPr>
    </w:p>
    <w:p w14:paraId="318E7F16" w14:textId="1EE5501E" w:rsidR="00DC5AFF" w:rsidRPr="00D655F5" w:rsidRDefault="00AF3731" w:rsidP="00AF3731">
      <w:pPr>
        <w:pStyle w:val="ONUME"/>
        <w:rPr>
          <w:rFonts w:ascii="Arial" w:hAnsi="Arial" w:cs="Arial"/>
        </w:rPr>
      </w:pPr>
      <w:r w:rsidRPr="00D655F5">
        <w:rPr>
          <w:rFonts w:ascii="Arial" w:hAnsi="Arial" w:cs="Arial"/>
          <w:sz w:val="22"/>
          <w:szCs w:val="22"/>
        </w:rPr>
        <w:t xml:space="preserve">The </w:t>
      </w:r>
      <w:r w:rsidR="00421CA2">
        <w:rPr>
          <w:rFonts w:ascii="Arial" w:hAnsi="Arial" w:cs="Arial"/>
          <w:sz w:val="22"/>
          <w:szCs w:val="22"/>
        </w:rPr>
        <w:t xml:space="preserve">attached </w:t>
      </w:r>
      <w:r w:rsidRPr="00D655F5">
        <w:rPr>
          <w:rFonts w:ascii="Arial" w:hAnsi="Arial" w:cs="Arial"/>
          <w:sz w:val="22"/>
          <w:szCs w:val="22"/>
        </w:rPr>
        <w:t xml:space="preserve">Proposed Program and Budget for 2016/17 </w:t>
      </w:r>
      <w:r w:rsidR="00421CA2">
        <w:rPr>
          <w:rFonts w:ascii="Arial" w:hAnsi="Arial" w:cs="Arial"/>
          <w:sz w:val="22"/>
          <w:szCs w:val="22"/>
        </w:rPr>
        <w:t xml:space="preserve">has been revised in accordance with the recommendations referenced above and </w:t>
      </w:r>
      <w:r w:rsidRPr="00D655F5">
        <w:rPr>
          <w:rFonts w:ascii="Arial" w:hAnsi="Arial" w:cs="Arial"/>
          <w:sz w:val="22"/>
          <w:szCs w:val="22"/>
        </w:rPr>
        <w:t xml:space="preserve">is being </w:t>
      </w:r>
      <w:r w:rsidR="00DC5AFF" w:rsidRPr="00D655F5">
        <w:rPr>
          <w:rFonts w:ascii="Arial" w:hAnsi="Arial" w:cs="Arial"/>
          <w:sz w:val="22"/>
          <w:szCs w:val="22"/>
        </w:rPr>
        <w:t>submitted to the present session of the PBC</w:t>
      </w:r>
      <w:r w:rsidRPr="00D655F5">
        <w:rPr>
          <w:rFonts w:ascii="Arial" w:hAnsi="Arial" w:cs="Arial"/>
          <w:sz w:val="22"/>
          <w:szCs w:val="22"/>
        </w:rPr>
        <w:t xml:space="preserve"> for its consideration.</w:t>
      </w:r>
    </w:p>
    <w:p w14:paraId="5A330FEB" w14:textId="77777777" w:rsidR="00DC5AFF" w:rsidRPr="00D655F5" w:rsidRDefault="00DC5AFF" w:rsidP="00DC5AFF">
      <w:pPr>
        <w:rPr>
          <w:rFonts w:ascii="Arial" w:hAnsi="Arial" w:cs="Arial"/>
        </w:rPr>
      </w:pPr>
    </w:p>
    <w:p w14:paraId="691203A0" w14:textId="77777777" w:rsidR="00DC5AFF" w:rsidRPr="00D655F5" w:rsidRDefault="00DC5AFF" w:rsidP="00D655F5">
      <w:pPr>
        <w:ind w:left="5533"/>
        <w:rPr>
          <w:rFonts w:ascii="Arial" w:hAnsi="Arial" w:cs="Arial"/>
          <w:i/>
        </w:rPr>
      </w:pPr>
    </w:p>
    <w:p w14:paraId="73220EA1" w14:textId="7275BCAD" w:rsidR="00DC5AFF" w:rsidRPr="00D655F5" w:rsidRDefault="00D655F5" w:rsidP="00D655F5">
      <w:pPr>
        <w:pStyle w:val="ONUME"/>
        <w:numPr>
          <w:ilvl w:val="0"/>
          <w:numId w:val="0"/>
        </w:numPr>
        <w:tabs>
          <w:tab w:val="left" w:pos="567"/>
          <w:tab w:val="left" w:pos="6096"/>
        </w:tabs>
        <w:ind w:left="5533"/>
        <w:rPr>
          <w:rFonts w:ascii="Arial" w:hAnsi="Arial" w:cs="Arial"/>
          <w:i/>
          <w:iCs/>
        </w:rPr>
      </w:pPr>
      <w:r>
        <w:rPr>
          <w:rFonts w:ascii="Arial" w:hAnsi="Arial" w:cs="Arial"/>
          <w:i/>
          <w:iCs/>
          <w:sz w:val="22"/>
          <w:szCs w:val="22"/>
        </w:rPr>
        <w:t>4.</w:t>
      </w:r>
      <w:r>
        <w:rPr>
          <w:rFonts w:ascii="Arial" w:hAnsi="Arial" w:cs="Arial"/>
          <w:i/>
          <w:iCs/>
          <w:sz w:val="22"/>
          <w:szCs w:val="22"/>
        </w:rPr>
        <w:tab/>
      </w:r>
      <w:r w:rsidR="00DC5AFF" w:rsidRPr="00D655F5">
        <w:rPr>
          <w:rFonts w:ascii="Arial" w:hAnsi="Arial" w:cs="Arial"/>
          <w:i/>
          <w:iCs/>
          <w:sz w:val="22"/>
          <w:szCs w:val="22"/>
        </w:rPr>
        <w:t>The Program and Budget Committee recommend</w:t>
      </w:r>
      <w:r w:rsidR="005D3241" w:rsidRPr="00D655F5">
        <w:rPr>
          <w:rFonts w:ascii="Arial" w:hAnsi="Arial" w:cs="Arial"/>
          <w:i/>
          <w:iCs/>
          <w:sz w:val="22"/>
          <w:szCs w:val="22"/>
        </w:rPr>
        <w:t>ed</w:t>
      </w:r>
      <w:r w:rsidR="00DC5AFF" w:rsidRPr="00D655F5">
        <w:rPr>
          <w:rFonts w:ascii="Arial" w:hAnsi="Arial" w:cs="Arial"/>
          <w:i/>
          <w:iCs/>
          <w:sz w:val="22"/>
          <w:szCs w:val="22"/>
        </w:rPr>
        <w:t xml:space="preserve"> to the Assemblies of the Member States of WIPO and of the Unions, each as far as it is concerned, the approval of the proposed</w:t>
      </w:r>
      <w:r w:rsidR="005D3241" w:rsidRPr="00D655F5">
        <w:rPr>
          <w:rFonts w:ascii="Arial" w:hAnsi="Arial" w:cs="Arial"/>
          <w:i/>
          <w:iCs/>
          <w:sz w:val="22"/>
          <w:szCs w:val="22"/>
        </w:rPr>
        <w:t xml:space="preserve"> Program and Budget for the 2016</w:t>
      </w:r>
      <w:r w:rsidR="00DC5AFF" w:rsidRPr="00D655F5">
        <w:rPr>
          <w:rFonts w:ascii="Arial" w:hAnsi="Arial" w:cs="Arial"/>
          <w:i/>
          <w:iCs/>
          <w:sz w:val="22"/>
          <w:szCs w:val="22"/>
        </w:rPr>
        <w:t>/1</w:t>
      </w:r>
      <w:r w:rsidR="005D3241" w:rsidRPr="00D655F5">
        <w:rPr>
          <w:rFonts w:ascii="Arial" w:hAnsi="Arial" w:cs="Arial"/>
          <w:i/>
          <w:iCs/>
          <w:sz w:val="22"/>
          <w:szCs w:val="22"/>
        </w:rPr>
        <w:t>7</w:t>
      </w:r>
      <w:r w:rsidR="00DC5AFF" w:rsidRPr="00D655F5">
        <w:rPr>
          <w:rFonts w:ascii="Arial" w:hAnsi="Arial" w:cs="Arial"/>
          <w:i/>
          <w:iCs/>
          <w:sz w:val="22"/>
          <w:szCs w:val="22"/>
        </w:rPr>
        <w:t xml:space="preserve"> Biennium</w:t>
      </w:r>
      <w:r w:rsidR="005D3241" w:rsidRPr="00D655F5">
        <w:rPr>
          <w:rFonts w:ascii="Arial" w:hAnsi="Arial" w:cs="Arial"/>
          <w:i/>
          <w:iCs/>
          <w:sz w:val="22"/>
          <w:szCs w:val="22"/>
        </w:rPr>
        <w:t xml:space="preserve"> (document WO/PBC/24/11)</w:t>
      </w:r>
      <w:r w:rsidR="00DC5AFF" w:rsidRPr="00D655F5">
        <w:rPr>
          <w:rFonts w:ascii="Arial" w:hAnsi="Arial" w:cs="Arial"/>
          <w:i/>
          <w:iCs/>
          <w:sz w:val="22"/>
          <w:szCs w:val="22"/>
        </w:rPr>
        <w:t>.</w:t>
      </w:r>
    </w:p>
    <w:p w14:paraId="7C9819D7" w14:textId="77777777" w:rsidR="00DC5AFF" w:rsidRPr="00D655F5" w:rsidRDefault="00DC5AFF" w:rsidP="00D655F5">
      <w:pPr>
        <w:ind w:left="5533"/>
        <w:rPr>
          <w:rFonts w:ascii="Arial" w:hAnsi="Arial" w:cs="Arial"/>
          <w:i/>
          <w:iCs/>
        </w:rPr>
      </w:pPr>
    </w:p>
    <w:p w14:paraId="3C4062C9" w14:textId="77777777" w:rsidR="006B1E69" w:rsidRPr="005D3241" w:rsidRDefault="006B1E69" w:rsidP="006B1E69">
      <w:pPr>
        <w:rPr>
          <w:rFonts w:ascii="Arial" w:hAnsi="Arial" w:cs="Arial"/>
        </w:rPr>
      </w:pPr>
    </w:p>
    <w:p w14:paraId="0D1A93B0" w14:textId="618B44CE" w:rsidR="006B1E69" w:rsidRPr="006B1E69" w:rsidRDefault="00A2772E" w:rsidP="006B1E69">
      <w:pPr>
        <w:pStyle w:val="Endofdocument-Annex"/>
        <w:rPr>
          <w:szCs w:val="22"/>
        </w:rPr>
      </w:pPr>
      <w:r>
        <w:rPr>
          <w:szCs w:val="22"/>
        </w:rPr>
        <w:t>[</w:t>
      </w:r>
      <w:r w:rsidR="006B1E69" w:rsidRPr="006B1E69">
        <w:rPr>
          <w:szCs w:val="22"/>
        </w:rPr>
        <w:t xml:space="preserve">Proposed Program and Budget for the 2016/17 </w:t>
      </w:r>
      <w:r w:rsidR="00AF3731">
        <w:rPr>
          <w:szCs w:val="22"/>
        </w:rPr>
        <w:t>b</w:t>
      </w:r>
      <w:r w:rsidR="006B1E69" w:rsidRPr="006B1E69">
        <w:rPr>
          <w:szCs w:val="22"/>
        </w:rPr>
        <w:t>iennium follows]</w:t>
      </w:r>
    </w:p>
    <w:p w14:paraId="593CF3D3" w14:textId="77777777" w:rsidR="006B1E69" w:rsidRPr="006B1E69" w:rsidRDefault="006B1E69" w:rsidP="00414DB1">
      <w:pPr>
        <w:jc w:val="center"/>
        <w:rPr>
          <w:rFonts w:ascii="Arial" w:hAnsi="Arial" w:cs="Arial"/>
        </w:rPr>
      </w:pPr>
    </w:p>
    <w:p w14:paraId="1497C17E" w14:textId="77777777" w:rsidR="006B1E69" w:rsidRPr="006B1E69" w:rsidRDefault="006B1E69" w:rsidP="00414DB1">
      <w:pPr>
        <w:jc w:val="center"/>
        <w:rPr>
          <w:rFonts w:ascii="Arial" w:hAnsi="Arial" w:cs="Arial"/>
          <w:szCs w:val="24"/>
        </w:rPr>
        <w:sectPr w:rsidR="006B1E69" w:rsidRPr="006B1E69" w:rsidSect="00DA3F93">
          <w:headerReference w:type="first" r:id="rId15"/>
          <w:pgSz w:w="11907" w:h="16839" w:code="9"/>
          <w:pgMar w:top="624" w:right="1418" w:bottom="1361" w:left="1418" w:header="567" w:footer="851" w:gutter="0"/>
          <w:cols w:space="720"/>
          <w:titlePg/>
          <w:docGrid w:linePitch="360"/>
        </w:sectPr>
      </w:pPr>
    </w:p>
    <w:p w14:paraId="4F56D0C2" w14:textId="2985FF16" w:rsidR="00414DB1" w:rsidRDefault="00414DB1" w:rsidP="00414DB1">
      <w:pPr>
        <w:jc w:val="center"/>
        <w:rPr>
          <w:rFonts w:ascii="Arial" w:hAnsi="Arial" w:cs="Arial"/>
          <w:szCs w:val="24"/>
        </w:rPr>
      </w:pPr>
    </w:p>
    <w:p w14:paraId="50938621" w14:textId="77777777" w:rsidR="00414DB1" w:rsidRDefault="00414DB1" w:rsidP="00414DB1">
      <w:pPr>
        <w:jc w:val="center"/>
        <w:rPr>
          <w:rFonts w:ascii="Arial" w:hAnsi="Arial" w:cs="Arial"/>
          <w:szCs w:val="24"/>
        </w:rPr>
      </w:pPr>
    </w:p>
    <w:p w14:paraId="468D9028" w14:textId="77777777" w:rsidR="00414DB1" w:rsidRDefault="00414DB1" w:rsidP="00414DB1">
      <w:pPr>
        <w:jc w:val="center"/>
        <w:rPr>
          <w:rFonts w:ascii="Arial" w:hAnsi="Arial" w:cs="Arial"/>
          <w:szCs w:val="24"/>
        </w:rPr>
      </w:pPr>
    </w:p>
    <w:p w14:paraId="3FE02526" w14:textId="77777777" w:rsidR="00414DB1" w:rsidRDefault="00414DB1" w:rsidP="00414DB1">
      <w:pPr>
        <w:jc w:val="center"/>
        <w:rPr>
          <w:rFonts w:ascii="Arial" w:hAnsi="Arial" w:cs="Arial"/>
          <w:szCs w:val="24"/>
        </w:rPr>
      </w:pPr>
    </w:p>
    <w:p w14:paraId="14FDFBBF" w14:textId="77777777" w:rsidR="00414DB1" w:rsidRDefault="00414DB1" w:rsidP="00414DB1">
      <w:pPr>
        <w:jc w:val="center"/>
        <w:rPr>
          <w:rFonts w:ascii="Arial" w:hAnsi="Arial" w:cs="Arial"/>
          <w:szCs w:val="24"/>
        </w:rPr>
      </w:pPr>
    </w:p>
    <w:p w14:paraId="6EAF992A" w14:textId="77777777" w:rsidR="00414DB1" w:rsidRDefault="00414DB1" w:rsidP="00414DB1">
      <w:pPr>
        <w:jc w:val="center"/>
        <w:rPr>
          <w:rFonts w:ascii="Arial" w:hAnsi="Arial" w:cs="Arial"/>
          <w:szCs w:val="24"/>
        </w:rPr>
      </w:pPr>
    </w:p>
    <w:p w14:paraId="6193C4BC" w14:textId="77777777" w:rsidR="00414DB1" w:rsidRDefault="00414DB1" w:rsidP="00414DB1">
      <w:pPr>
        <w:jc w:val="center"/>
        <w:rPr>
          <w:rFonts w:ascii="Arial" w:hAnsi="Arial" w:cs="Arial"/>
          <w:szCs w:val="24"/>
        </w:rPr>
      </w:pPr>
    </w:p>
    <w:p w14:paraId="7CEF5076" w14:textId="77777777" w:rsidR="00414DB1" w:rsidRDefault="00414DB1" w:rsidP="00414DB1">
      <w:pPr>
        <w:jc w:val="center"/>
        <w:rPr>
          <w:rFonts w:ascii="Arial" w:hAnsi="Arial" w:cs="Arial"/>
          <w:szCs w:val="24"/>
        </w:rPr>
      </w:pPr>
    </w:p>
    <w:p w14:paraId="03EEBBDA" w14:textId="77777777" w:rsidR="00414DB1" w:rsidRDefault="00414DB1" w:rsidP="00414DB1">
      <w:pPr>
        <w:jc w:val="center"/>
        <w:rPr>
          <w:rFonts w:ascii="Arial" w:hAnsi="Arial" w:cs="Arial"/>
          <w:szCs w:val="24"/>
        </w:rPr>
      </w:pPr>
    </w:p>
    <w:p w14:paraId="78A94CC5" w14:textId="77777777" w:rsidR="00414DB1" w:rsidRDefault="00414DB1" w:rsidP="00414DB1">
      <w:pPr>
        <w:jc w:val="center"/>
        <w:rPr>
          <w:rFonts w:ascii="Arial" w:hAnsi="Arial" w:cs="Arial"/>
          <w:szCs w:val="24"/>
        </w:rPr>
      </w:pPr>
    </w:p>
    <w:p w14:paraId="11F312B6" w14:textId="77777777" w:rsidR="00414DB1" w:rsidRPr="009E41F7" w:rsidRDefault="00414DB1" w:rsidP="00414DB1">
      <w:pPr>
        <w:jc w:val="center"/>
        <w:rPr>
          <w:rFonts w:ascii="Arial" w:hAnsi="Arial" w:cs="Arial"/>
          <w:b/>
          <w:szCs w:val="24"/>
        </w:rPr>
      </w:pPr>
      <w:r w:rsidRPr="009E41F7">
        <w:rPr>
          <w:rFonts w:ascii="Arial" w:hAnsi="Arial" w:cs="Arial"/>
          <w:b/>
          <w:szCs w:val="24"/>
        </w:rPr>
        <w:t>WORLD INTELLECTUAL PROPERTY ORGANIZATION</w:t>
      </w:r>
    </w:p>
    <w:p w14:paraId="35218E3C" w14:textId="77777777" w:rsidR="00414DB1" w:rsidRDefault="00414DB1" w:rsidP="00414DB1">
      <w:pPr>
        <w:jc w:val="center"/>
        <w:rPr>
          <w:rFonts w:ascii="Arial" w:hAnsi="Arial" w:cs="Arial"/>
          <w:szCs w:val="24"/>
        </w:rPr>
      </w:pPr>
    </w:p>
    <w:p w14:paraId="635A5D86" w14:textId="77777777" w:rsidR="00414DB1" w:rsidRDefault="00414DB1" w:rsidP="00414DB1">
      <w:pPr>
        <w:jc w:val="center"/>
        <w:rPr>
          <w:rFonts w:ascii="Arial" w:hAnsi="Arial" w:cs="Arial"/>
          <w:szCs w:val="24"/>
        </w:rPr>
      </w:pPr>
    </w:p>
    <w:p w14:paraId="1CC2D3B2" w14:textId="77777777" w:rsidR="00414DB1" w:rsidRDefault="00414DB1" w:rsidP="00414DB1">
      <w:pPr>
        <w:jc w:val="center"/>
        <w:rPr>
          <w:rFonts w:ascii="Arial" w:hAnsi="Arial" w:cs="Arial"/>
          <w:szCs w:val="24"/>
        </w:rPr>
      </w:pPr>
    </w:p>
    <w:p w14:paraId="79400A5C" w14:textId="77777777" w:rsidR="00414DB1" w:rsidRDefault="00414DB1" w:rsidP="00414DB1">
      <w:pPr>
        <w:jc w:val="center"/>
        <w:rPr>
          <w:rFonts w:ascii="Arial" w:hAnsi="Arial" w:cs="Arial"/>
          <w:szCs w:val="24"/>
        </w:rPr>
      </w:pPr>
    </w:p>
    <w:p w14:paraId="28DA5C31" w14:textId="7D2D849B" w:rsidR="00414DB1" w:rsidRDefault="00414DB1" w:rsidP="00414DB1">
      <w:pPr>
        <w:jc w:val="center"/>
        <w:rPr>
          <w:rFonts w:ascii="Arial" w:hAnsi="Arial" w:cs="Arial"/>
          <w:b/>
          <w:bCs/>
          <w:szCs w:val="24"/>
        </w:rPr>
      </w:pPr>
      <w:r>
        <w:rPr>
          <w:rFonts w:ascii="Arial" w:hAnsi="Arial" w:cs="Arial"/>
          <w:b/>
          <w:bCs/>
          <w:szCs w:val="24"/>
        </w:rPr>
        <w:t>PR</w:t>
      </w:r>
      <w:r w:rsidR="00DD22EC">
        <w:rPr>
          <w:rFonts w:ascii="Arial" w:hAnsi="Arial" w:cs="Arial"/>
          <w:b/>
          <w:bCs/>
          <w:szCs w:val="24"/>
        </w:rPr>
        <w:t>O</w:t>
      </w:r>
      <w:r>
        <w:rPr>
          <w:rFonts w:ascii="Arial" w:hAnsi="Arial" w:cs="Arial"/>
          <w:b/>
          <w:bCs/>
          <w:szCs w:val="24"/>
        </w:rPr>
        <w:t xml:space="preserve">POSED </w:t>
      </w:r>
      <w:r w:rsidRPr="000366DE">
        <w:rPr>
          <w:rFonts w:ascii="Arial" w:hAnsi="Arial" w:cs="Arial"/>
          <w:b/>
          <w:bCs/>
          <w:szCs w:val="24"/>
        </w:rPr>
        <w:t>PROGRAM AND BUDGET FOR THE 201</w:t>
      </w:r>
      <w:r>
        <w:rPr>
          <w:rFonts w:ascii="Arial" w:hAnsi="Arial" w:cs="Arial"/>
          <w:b/>
          <w:bCs/>
          <w:szCs w:val="24"/>
        </w:rPr>
        <w:t>6</w:t>
      </w:r>
      <w:r w:rsidRPr="000366DE">
        <w:rPr>
          <w:rFonts w:ascii="Arial" w:hAnsi="Arial" w:cs="Arial"/>
          <w:b/>
          <w:bCs/>
          <w:szCs w:val="24"/>
        </w:rPr>
        <w:t>/1</w:t>
      </w:r>
      <w:r>
        <w:rPr>
          <w:rFonts w:ascii="Arial" w:hAnsi="Arial" w:cs="Arial"/>
          <w:b/>
          <w:bCs/>
          <w:szCs w:val="24"/>
        </w:rPr>
        <w:t>7</w:t>
      </w:r>
      <w:r w:rsidRPr="000366DE">
        <w:rPr>
          <w:rFonts w:ascii="Arial" w:hAnsi="Arial" w:cs="Arial"/>
          <w:b/>
          <w:bCs/>
          <w:szCs w:val="24"/>
        </w:rPr>
        <w:t xml:space="preserve"> BIENNIUM</w:t>
      </w:r>
    </w:p>
    <w:p w14:paraId="5C0F8583" w14:textId="77777777" w:rsidR="00414DB1" w:rsidRDefault="00414DB1" w:rsidP="00414DB1">
      <w:pPr>
        <w:jc w:val="center"/>
        <w:rPr>
          <w:rFonts w:ascii="Arial" w:hAnsi="Arial" w:cs="Arial"/>
          <w:b/>
          <w:bCs/>
          <w:szCs w:val="24"/>
        </w:rPr>
      </w:pPr>
    </w:p>
    <w:p w14:paraId="007579E9" w14:textId="3177D384" w:rsidR="00015BFF" w:rsidRDefault="00015BFF">
      <w:pPr>
        <w:rPr>
          <w:rFonts w:ascii="Arial" w:hAnsi="Arial" w:cs="Arial"/>
          <w:b/>
          <w:bCs/>
        </w:rPr>
      </w:pPr>
      <w:r>
        <w:rPr>
          <w:rFonts w:ascii="Arial" w:hAnsi="Arial" w:cs="Arial"/>
          <w:b/>
          <w:bCs/>
        </w:rPr>
        <w:br w:type="page"/>
      </w:r>
    </w:p>
    <w:p w14:paraId="5CFA3C81" w14:textId="77777777" w:rsidR="00B64DA0" w:rsidRDefault="00B64DA0">
      <w:pPr>
        <w:rPr>
          <w:rFonts w:ascii="Arial" w:hAnsi="Arial" w:cs="Arial"/>
          <w:b/>
          <w:bCs/>
        </w:rPr>
      </w:pPr>
    </w:p>
    <w:p w14:paraId="35D284A9" w14:textId="77777777" w:rsidR="00B64DA0" w:rsidRDefault="00B64DA0">
      <w:pPr>
        <w:rPr>
          <w:rFonts w:ascii="Arial" w:hAnsi="Arial" w:cs="Arial"/>
          <w:b/>
          <w:bCs/>
        </w:rPr>
      </w:pPr>
    </w:p>
    <w:p w14:paraId="060A3DAB" w14:textId="5638FCE6" w:rsidR="0012156E" w:rsidRDefault="0012156E">
      <w:pPr>
        <w:rPr>
          <w:rFonts w:ascii="Arial" w:hAnsi="Arial" w:cs="Arial"/>
          <w:b/>
          <w:bCs/>
        </w:rPr>
      </w:pPr>
    </w:p>
    <w:p w14:paraId="3DEB9D75" w14:textId="77777777" w:rsidR="0012156E" w:rsidRPr="0012156E" w:rsidRDefault="0012156E" w:rsidP="0012156E">
      <w:pPr>
        <w:rPr>
          <w:rFonts w:ascii="Arial" w:hAnsi="Arial" w:cs="Arial"/>
        </w:rPr>
      </w:pPr>
    </w:p>
    <w:p w14:paraId="2A4C6685" w14:textId="77777777" w:rsidR="0012156E" w:rsidRPr="0012156E" w:rsidRDefault="0012156E" w:rsidP="0012156E">
      <w:pPr>
        <w:rPr>
          <w:rFonts w:ascii="Arial" w:hAnsi="Arial" w:cs="Arial"/>
        </w:rPr>
      </w:pPr>
    </w:p>
    <w:p w14:paraId="05D10970" w14:textId="77777777" w:rsidR="0012156E" w:rsidRPr="0012156E" w:rsidRDefault="0012156E" w:rsidP="0012156E">
      <w:pPr>
        <w:rPr>
          <w:rFonts w:ascii="Arial" w:hAnsi="Arial" w:cs="Arial"/>
        </w:rPr>
      </w:pPr>
    </w:p>
    <w:p w14:paraId="720A2D83" w14:textId="77777777" w:rsidR="0012156E" w:rsidRPr="0012156E" w:rsidRDefault="0012156E" w:rsidP="0012156E">
      <w:pPr>
        <w:rPr>
          <w:rFonts w:ascii="Arial" w:hAnsi="Arial" w:cs="Arial"/>
        </w:rPr>
      </w:pPr>
    </w:p>
    <w:p w14:paraId="6C44E4F5" w14:textId="77777777" w:rsidR="0012156E" w:rsidRPr="0012156E" w:rsidRDefault="0012156E" w:rsidP="0012156E">
      <w:pPr>
        <w:rPr>
          <w:rFonts w:ascii="Arial" w:hAnsi="Arial" w:cs="Arial"/>
        </w:rPr>
      </w:pPr>
    </w:p>
    <w:p w14:paraId="57BC21CC" w14:textId="77777777" w:rsidR="0012156E" w:rsidRPr="0012156E" w:rsidRDefault="0012156E" w:rsidP="0012156E">
      <w:pPr>
        <w:rPr>
          <w:rFonts w:ascii="Arial" w:hAnsi="Arial" w:cs="Arial"/>
        </w:rPr>
      </w:pPr>
    </w:p>
    <w:p w14:paraId="513CABD6" w14:textId="77777777" w:rsidR="0012156E" w:rsidRPr="0012156E" w:rsidRDefault="0012156E" w:rsidP="0012156E">
      <w:pPr>
        <w:rPr>
          <w:rFonts w:ascii="Arial" w:hAnsi="Arial" w:cs="Arial"/>
        </w:rPr>
      </w:pPr>
    </w:p>
    <w:p w14:paraId="505403FA" w14:textId="77777777" w:rsidR="0012156E" w:rsidRPr="0012156E" w:rsidRDefault="0012156E" w:rsidP="0012156E">
      <w:pPr>
        <w:rPr>
          <w:rFonts w:ascii="Arial" w:hAnsi="Arial" w:cs="Arial"/>
        </w:rPr>
      </w:pPr>
    </w:p>
    <w:p w14:paraId="4AD0A0AD" w14:textId="77777777" w:rsidR="0012156E" w:rsidRPr="0012156E" w:rsidRDefault="0012156E" w:rsidP="0012156E">
      <w:pPr>
        <w:rPr>
          <w:rFonts w:ascii="Arial" w:hAnsi="Arial" w:cs="Arial"/>
        </w:rPr>
      </w:pPr>
    </w:p>
    <w:p w14:paraId="5EBC9207" w14:textId="77777777" w:rsidR="0012156E" w:rsidRPr="0012156E" w:rsidRDefault="0012156E" w:rsidP="0012156E">
      <w:pPr>
        <w:rPr>
          <w:rFonts w:ascii="Arial" w:hAnsi="Arial" w:cs="Arial"/>
        </w:rPr>
      </w:pPr>
    </w:p>
    <w:p w14:paraId="0B382255" w14:textId="77777777" w:rsidR="0012156E" w:rsidRPr="0012156E" w:rsidRDefault="0012156E" w:rsidP="0012156E">
      <w:pPr>
        <w:rPr>
          <w:rFonts w:ascii="Arial" w:hAnsi="Arial" w:cs="Arial"/>
        </w:rPr>
      </w:pPr>
    </w:p>
    <w:p w14:paraId="581C4E1C" w14:textId="77777777" w:rsidR="0012156E" w:rsidRPr="0012156E" w:rsidRDefault="0012156E" w:rsidP="0012156E">
      <w:pPr>
        <w:rPr>
          <w:rFonts w:ascii="Arial" w:hAnsi="Arial" w:cs="Arial"/>
        </w:rPr>
      </w:pPr>
    </w:p>
    <w:p w14:paraId="41B985FA" w14:textId="77777777" w:rsidR="0012156E" w:rsidRPr="0012156E" w:rsidRDefault="0012156E" w:rsidP="0012156E">
      <w:pPr>
        <w:rPr>
          <w:rFonts w:ascii="Arial" w:hAnsi="Arial" w:cs="Arial"/>
        </w:rPr>
      </w:pPr>
    </w:p>
    <w:p w14:paraId="40054F21" w14:textId="77777777" w:rsidR="0012156E" w:rsidRPr="0012156E" w:rsidRDefault="0012156E" w:rsidP="0012156E">
      <w:pPr>
        <w:rPr>
          <w:rFonts w:ascii="Arial" w:hAnsi="Arial" w:cs="Arial"/>
        </w:rPr>
      </w:pPr>
    </w:p>
    <w:p w14:paraId="3454C76C" w14:textId="77777777" w:rsidR="0012156E" w:rsidRPr="0012156E" w:rsidRDefault="0012156E" w:rsidP="0012156E">
      <w:pPr>
        <w:rPr>
          <w:rFonts w:ascii="Arial" w:hAnsi="Arial" w:cs="Arial"/>
        </w:rPr>
      </w:pPr>
    </w:p>
    <w:p w14:paraId="69E054E9" w14:textId="77777777" w:rsidR="0012156E" w:rsidRPr="0012156E" w:rsidRDefault="0012156E" w:rsidP="0012156E">
      <w:pPr>
        <w:rPr>
          <w:rFonts w:ascii="Arial" w:hAnsi="Arial" w:cs="Arial"/>
        </w:rPr>
      </w:pPr>
    </w:p>
    <w:p w14:paraId="7F2A5E08" w14:textId="77777777" w:rsidR="0012156E" w:rsidRPr="0012156E" w:rsidRDefault="0012156E" w:rsidP="0012156E">
      <w:pPr>
        <w:rPr>
          <w:rFonts w:ascii="Arial" w:hAnsi="Arial" w:cs="Arial"/>
        </w:rPr>
      </w:pPr>
    </w:p>
    <w:p w14:paraId="4D35F02E" w14:textId="77777777" w:rsidR="0012156E" w:rsidRPr="0012156E" w:rsidRDefault="0012156E" w:rsidP="0012156E">
      <w:pPr>
        <w:rPr>
          <w:rFonts w:ascii="Arial" w:hAnsi="Arial" w:cs="Arial"/>
        </w:rPr>
      </w:pPr>
    </w:p>
    <w:p w14:paraId="5FD7D6BB" w14:textId="77777777" w:rsidR="0012156E" w:rsidRPr="0012156E" w:rsidRDefault="0012156E" w:rsidP="0012156E">
      <w:pPr>
        <w:rPr>
          <w:rFonts w:ascii="Arial" w:hAnsi="Arial" w:cs="Arial"/>
        </w:rPr>
      </w:pPr>
    </w:p>
    <w:p w14:paraId="505886A8" w14:textId="77777777" w:rsidR="0012156E" w:rsidRPr="0012156E" w:rsidRDefault="0012156E" w:rsidP="0012156E">
      <w:pPr>
        <w:rPr>
          <w:rFonts w:ascii="Arial" w:hAnsi="Arial" w:cs="Arial"/>
        </w:rPr>
      </w:pPr>
    </w:p>
    <w:p w14:paraId="09F2426D" w14:textId="77777777" w:rsidR="0012156E" w:rsidRPr="0012156E" w:rsidRDefault="0012156E" w:rsidP="0012156E">
      <w:pPr>
        <w:rPr>
          <w:rFonts w:ascii="Arial" w:hAnsi="Arial" w:cs="Arial"/>
        </w:rPr>
      </w:pPr>
    </w:p>
    <w:p w14:paraId="2B074B68" w14:textId="77777777" w:rsidR="0012156E" w:rsidRPr="0012156E" w:rsidRDefault="0012156E" w:rsidP="0012156E">
      <w:pPr>
        <w:rPr>
          <w:rFonts w:ascii="Arial" w:hAnsi="Arial" w:cs="Arial"/>
        </w:rPr>
      </w:pPr>
    </w:p>
    <w:p w14:paraId="482C5390" w14:textId="77777777" w:rsidR="0012156E" w:rsidRPr="0012156E" w:rsidRDefault="0012156E" w:rsidP="0012156E">
      <w:pPr>
        <w:rPr>
          <w:rFonts w:ascii="Arial" w:hAnsi="Arial" w:cs="Arial"/>
        </w:rPr>
      </w:pPr>
    </w:p>
    <w:p w14:paraId="61BDE4B4" w14:textId="77777777" w:rsidR="0012156E" w:rsidRPr="0012156E" w:rsidRDefault="0012156E" w:rsidP="0012156E">
      <w:pPr>
        <w:rPr>
          <w:rFonts w:ascii="Arial" w:hAnsi="Arial" w:cs="Arial"/>
        </w:rPr>
      </w:pPr>
    </w:p>
    <w:p w14:paraId="7002F4CE" w14:textId="77777777" w:rsidR="0012156E" w:rsidRPr="0012156E" w:rsidRDefault="0012156E" w:rsidP="0012156E">
      <w:pPr>
        <w:rPr>
          <w:rFonts w:ascii="Arial" w:hAnsi="Arial" w:cs="Arial"/>
        </w:rPr>
      </w:pPr>
    </w:p>
    <w:p w14:paraId="298268E6" w14:textId="77777777" w:rsidR="0012156E" w:rsidRPr="0012156E" w:rsidRDefault="0012156E" w:rsidP="0012156E">
      <w:pPr>
        <w:rPr>
          <w:rFonts w:ascii="Arial" w:hAnsi="Arial" w:cs="Arial"/>
        </w:rPr>
      </w:pPr>
    </w:p>
    <w:p w14:paraId="7530C3DF" w14:textId="77777777" w:rsidR="0012156E" w:rsidRPr="0012156E" w:rsidRDefault="0012156E" w:rsidP="0012156E">
      <w:pPr>
        <w:rPr>
          <w:rFonts w:ascii="Arial" w:hAnsi="Arial" w:cs="Arial"/>
        </w:rPr>
      </w:pPr>
    </w:p>
    <w:p w14:paraId="5F226901" w14:textId="77777777" w:rsidR="0012156E" w:rsidRPr="0012156E" w:rsidRDefault="0012156E" w:rsidP="0012156E">
      <w:pPr>
        <w:rPr>
          <w:rFonts w:ascii="Arial" w:hAnsi="Arial" w:cs="Arial"/>
        </w:rPr>
      </w:pPr>
    </w:p>
    <w:p w14:paraId="4FF1EF8F" w14:textId="77777777" w:rsidR="0012156E" w:rsidRPr="0012156E" w:rsidRDefault="0012156E" w:rsidP="0012156E">
      <w:pPr>
        <w:rPr>
          <w:rFonts w:ascii="Arial" w:hAnsi="Arial" w:cs="Arial"/>
        </w:rPr>
      </w:pPr>
    </w:p>
    <w:p w14:paraId="40F244A8" w14:textId="77777777" w:rsidR="0012156E" w:rsidRPr="0012156E" w:rsidRDefault="0012156E" w:rsidP="0012156E">
      <w:pPr>
        <w:rPr>
          <w:rFonts w:ascii="Arial" w:hAnsi="Arial" w:cs="Arial"/>
        </w:rPr>
      </w:pPr>
    </w:p>
    <w:p w14:paraId="353C3871" w14:textId="77777777" w:rsidR="0012156E" w:rsidRPr="0012156E" w:rsidRDefault="0012156E" w:rsidP="0012156E">
      <w:pPr>
        <w:rPr>
          <w:rFonts w:ascii="Arial" w:hAnsi="Arial" w:cs="Arial"/>
        </w:rPr>
      </w:pPr>
    </w:p>
    <w:p w14:paraId="6781FCD4" w14:textId="77777777" w:rsidR="0012156E" w:rsidRPr="0012156E" w:rsidRDefault="0012156E" w:rsidP="0012156E">
      <w:pPr>
        <w:rPr>
          <w:rFonts w:ascii="Arial" w:hAnsi="Arial" w:cs="Arial"/>
        </w:rPr>
      </w:pPr>
    </w:p>
    <w:p w14:paraId="5ECBAD5C" w14:textId="77777777" w:rsidR="0012156E" w:rsidRPr="0012156E" w:rsidRDefault="0012156E" w:rsidP="0012156E">
      <w:pPr>
        <w:rPr>
          <w:rFonts w:ascii="Arial" w:hAnsi="Arial" w:cs="Arial"/>
        </w:rPr>
      </w:pPr>
    </w:p>
    <w:p w14:paraId="4AF28CF0" w14:textId="77777777" w:rsidR="0012156E" w:rsidRPr="0012156E" w:rsidRDefault="0012156E" w:rsidP="0012156E">
      <w:pPr>
        <w:rPr>
          <w:rFonts w:ascii="Arial" w:hAnsi="Arial" w:cs="Arial"/>
        </w:rPr>
      </w:pPr>
    </w:p>
    <w:p w14:paraId="1745A69B" w14:textId="77777777" w:rsidR="0012156E" w:rsidRPr="0012156E" w:rsidRDefault="0012156E" w:rsidP="0012156E">
      <w:pPr>
        <w:rPr>
          <w:rFonts w:ascii="Arial" w:hAnsi="Arial" w:cs="Arial"/>
        </w:rPr>
      </w:pPr>
    </w:p>
    <w:p w14:paraId="5C12CC9B" w14:textId="77777777" w:rsidR="0012156E" w:rsidRPr="0012156E" w:rsidRDefault="0012156E" w:rsidP="0012156E">
      <w:pPr>
        <w:rPr>
          <w:rFonts w:ascii="Arial" w:hAnsi="Arial" w:cs="Arial"/>
        </w:rPr>
      </w:pPr>
    </w:p>
    <w:p w14:paraId="34B72E9F" w14:textId="77777777" w:rsidR="0012156E" w:rsidRPr="0012156E" w:rsidRDefault="0012156E" w:rsidP="0012156E">
      <w:pPr>
        <w:rPr>
          <w:rFonts w:ascii="Arial" w:hAnsi="Arial" w:cs="Arial"/>
        </w:rPr>
      </w:pPr>
    </w:p>
    <w:p w14:paraId="58532621" w14:textId="77777777" w:rsidR="0012156E" w:rsidRPr="0012156E" w:rsidRDefault="0012156E" w:rsidP="0012156E">
      <w:pPr>
        <w:rPr>
          <w:rFonts w:ascii="Arial" w:hAnsi="Arial" w:cs="Arial"/>
        </w:rPr>
      </w:pPr>
    </w:p>
    <w:p w14:paraId="2DD3CC64" w14:textId="77777777" w:rsidR="0012156E" w:rsidRPr="0012156E" w:rsidRDefault="0012156E" w:rsidP="0012156E">
      <w:pPr>
        <w:rPr>
          <w:rFonts w:ascii="Arial" w:hAnsi="Arial" w:cs="Arial"/>
        </w:rPr>
      </w:pPr>
    </w:p>
    <w:p w14:paraId="22CFADD0" w14:textId="77777777" w:rsidR="0012156E" w:rsidRPr="0012156E" w:rsidRDefault="0012156E" w:rsidP="0012156E">
      <w:pPr>
        <w:rPr>
          <w:rFonts w:ascii="Arial" w:hAnsi="Arial" w:cs="Arial"/>
        </w:rPr>
      </w:pPr>
    </w:p>
    <w:p w14:paraId="3A474DA1" w14:textId="77777777" w:rsidR="0012156E" w:rsidRPr="0012156E" w:rsidRDefault="0012156E" w:rsidP="0012156E">
      <w:pPr>
        <w:rPr>
          <w:rFonts w:ascii="Arial" w:hAnsi="Arial" w:cs="Arial"/>
        </w:rPr>
      </w:pPr>
    </w:p>
    <w:p w14:paraId="4D78AF30" w14:textId="77777777" w:rsidR="0012156E" w:rsidRPr="0012156E" w:rsidRDefault="0012156E" w:rsidP="0012156E">
      <w:pPr>
        <w:rPr>
          <w:rFonts w:ascii="Arial" w:hAnsi="Arial" w:cs="Arial"/>
        </w:rPr>
      </w:pPr>
    </w:p>
    <w:p w14:paraId="68E49C3D" w14:textId="77777777" w:rsidR="0012156E" w:rsidRPr="0012156E" w:rsidRDefault="0012156E" w:rsidP="0012156E">
      <w:pPr>
        <w:rPr>
          <w:rFonts w:ascii="Arial" w:hAnsi="Arial" w:cs="Arial"/>
        </w:rPr>
      </w:pPr>
    </w:p>
    <w:p w14:paraId="400BE9C5" w14:textId="77777777" w:rsidR="0012156E" w:rsidRPr="0012156E" w:rsidRDefault="0012156E" w:rsidP="0012156E">
      <w:pPr>
        <w:rPr>
          <w:rFonts w:ascii="Arial" w:hAnsi="Arial" w:cs="Arial"/>
        </w:rPr>
      </w:pPr>
    </w:p>
    <w:p w14:paraId="30080F4C" w14:textId="77777777" w:rsidR="0012156E" w:rsidRPr="0012156E" w:rsidRDefault="0012156E" w:rsidP="0012156E">
      <w:pPr>
        <w:rPr>
          <w:rFonts w:ascii="Arial" w:hAnsi="Arial" w:cs="Arial"/>
        </w:rPr>
      </w:pPr>
    </w:p>
    <w:p w14:paraId="65C004B0" w14:textId="77777777" w:rsidR="0012156E" w:rsidRPr="0012156E" w:rsidRDefault="0012156E" w:rsidP="0012156E">
      <w:pPr>
        <w:rPr>
          <w:rFonts w:ascii="Arial" w:hAnsi="Arial" w:cs="Arial"/>
        </w:rPr>
      </w:pPr>
    </w:p>
    <w:p w14:paraId="735CFA7D" w14:textId="77777777" w:rsidR="0012156E" w:rsidRPr="0012156E" w:rsidRDefault="0012156E" w:rsidP="0012156E">
      <w:pPr>
        <w:rPr>
          <w:rFonts w:ascii="Arial" w:hAnsi="Arial" w:cs="Arial"/>
        </w:rPr>
      </w:pPr>
    </w:p>
    <w:p w14:paraId="68B220C8" w14:textId="77777777" w:rsidR="0012156E" w:rsidRPr="0012156E" w:rsidRDefault="0012156E" w:rsidP="0012156E">
      <w:pPr>
        <w:rPr>
          <w:rFonts w:ascii="Arial" w:hAnsi="Arial" w:cs="Arial"/>
        </w:rPr>
      </w:pPr>
    </w:p>
    <w:p w14:paraId="6DF5BA09" w14:textId="77777777" w:rsidR="0012156E" w:rsidRPr="0012156E" w:rsidRDefault="0012156E" w:rsidP="0012156E">
      <w:pPr>
        <w:rPr>
          <w:rFonts w:ascii="Arial" w:hAnsi="Arial" w:cs="Arial"/>
        </w:rPr>
      </w:pPr>
    </w:p>
    <w:p w14:paraId="12B8E194" w14:textId="77777777" w:rsidR="0012156E" w:rsidRPr="0012156E" w:rsidRDefault="0012156E" w:rsidP="0012156E">
      <w:pPr>
        <w:rPr>
          <w:rFonts w:ascii="Arial" w:hAnsi="Arial" w:cs="Arial"/>
        </w:rPr>
      </w:pPr>
    </w:p>
    <w:p w14:paraId="634AE93B" w14:textId="59B29D91" w:rsidR="0012156E" w:rsidRDefault="0012156E" w:rsidP="0012156E">
      <w:pPr>
        <w:rPr>
          <w:rFonts w:ascii="Arial" w:hAnsi="Arial" w:cs="Arial"/>
        </w:rPr>
      </w:pPr>
    </w:p>
    <w:p w14:paraId="3453A35C" w14:textId="33EADEFF" w:rsidR="0012156E" w:rsidRDefault="0012156E" w:rsidP="0012156E">
      <w:pPr>
        <w:jc w:val="right"/>
        <w:rPr>
          <w:rFonts w:ascii="Arial" w:hAnsi="Arial" w:cs="Arial"/>
        </w:rPr>
      </w:pPr>
    </w:p>
    <w:p w14:paraId="5479A23F" w14:textId="372E853D" w:rsidR="0012156E" w:rsidRDefault="0012156E" w:rsidP="0012156E">
      <w:pPr>
        <w:rPr>
          <w:rFonts w:ascii="Arial" w:hAnsi="Arial" w:cs="Arial"/>
        </w:rPr>
      </w:pPr>
    </w:p>
    <w:p w14:paraId="0EBA38AD" w14:textId="77777777" w:rsidR="00414DB1" w:rsidRPr="0012156E" w:rsidRDefault="00414DB1" w:rsidP="0012156E">
      <w:pPr>
        <w:rPr>
          <w:rFonts w:ascii="Arial" w:hAnsi="Arial" w:cs="Arial"/>
        </w:rPr>
        <w:sectPr w:rsidR="00414DB1" w:rsidRPr="0012156E" w:rsidSect="006B1E69">
          <w:headerReference w:type="even" r:id="rId16"/>
          <w:footerReference w:type="even" r:id="rId17"/>
          <w:headerReference w:type="first" r:id="rId18"/>
          <w:pgSz w:w="11907" w:h="16839" w:code="9"/>
          <w:pgMar w:top="624" w:right="1418" w:bottom="1361" w:left="1418" w:header="567" w:footer="851" w:gutter="0"/>
          <w:pgNumType w:start="1"/>
          <w:cols w:space="720"/>
          <w:titlePg/>
          <w:docGrid w:linePitch="360"/>
        </w:sectPr>
      </w:pPr>
    </w:p>
    <w:sdt>
      <w:sdtPr>
        <w:rPr>
          <w:rFonts w:ascii="Arial" w:eastAsiaTheme="minorEastAsia" w:hAnsi="Arial" w:cs="Arial"/>
          <w:b w:val="0"/>
          <w:bCs w:val="0"/>
          <w:color w:val="auto"/>
          <w:sz w:val="22"/>
          <w:szCs w:val="22"/>
        </w:rPr>
        <w:id w:val="-338315031"/>
        <w:docPartObj>
          <w:docPartGallery w:val="Table of Contents"/>
          <w:docPartUnique/>
        </w:docPartObj>
      </w:sdtPr>
      <w:sdtEndPr>
        <w:rPr>
          <w:noProof/>
          <w:sz w:val="18"/>
        </w:rPr>
      </w:sdtEndPr>
      <w:sdtContent>
        <w:p w14:paraId="49230ED8" w14:textId="278E483E" w:rsidR="00D656E4" w:rsidRDefault="00F27148" w:rsidP="003F7D3D">
          <w:pPr>
            <w:pStyle w:val="TOCHeading"/>
            <w:spacing w:before="240" w:line="240" w:lineRule="auto"/>
            <w:jc w:val="center"/>
            <w:rPr>
              <w:rFonts w:ascii="Arial" w:eastAsiaTheme="minorEastAsia" w:hAnsi="Arial" w:cs="Arial"/>
              <w:bCs w:val="0"/>
              <w:color w:val="auto"/>
              <w:sz w:val="24"/>
              <w:szCs w:val="24"/>
            </w:rPr>
          </w:pPr>
          <w:r>
            <w:rPr>
              <w:rFonts w:ascii="Arial" w:eastAsiaTheme="minorEastAsia" w:hAnsi="Arial" w:cs="Arial"/>
              <w:bCs w:val="0"/>
              <w:color w:val="auto"/>
              <w:sz w:val="24"/>
              <w:szCs w:val="24"/>
            </w:rPr>
            <w:t>TABLE OF CONTENTS</w:t>
          </w:r>
        </w:p>
        <w:p w14:paraId="15254C50" w14:textId="77777777" w:rsidR="00F27148" w:rsidRPr="00F27148" w:rsidRDefault="00F27148" w:rsidP="003F7D3D"/>
        <w:p w14:paraId="134CCD1E" w14:textId="77777777" w:rsidR="005544D2" w:rsidRDefault="00D42529">
          <w:pPr>
            <w:pStyle w:val="TOC1"/>
            <w:rPr>
              <w:rFonts w:asciiTheme="minorHAnsi" w:hAnsiTheme="minorHAnsi"/>
              <w:b w:val="0"/>
              <w:lang w:eastAsia="en-US"/>
            </w:rPr>
          </w:pPr>
          <w:r>
            <w:rPr>
              <w:rFonts w:cs="Arial"/>
              <w:b w:val="0"/>
            </w:rPr>
            <w:fldChar w:fldCharType="begin"/>
          </w:r>
          <w:r>
            <w:rPr>
              <w:rFonts w:cs="Arial"/>
              <w:b w:val="0"/>
            </w:rPr>
            <w:instrText xml:space="preserve"> TOC \o "1-3" \h \z \u </w:instrText>
          </w:r>
          <w:r>
            <w:rPr>
              <w:rFonts w:cs="Arial"/>
              <w:b w:val="0"/>
            </w:rPr>
            <w:fldChar w:fldCharType="separate"/>
          </w:r>
          <w:hyperlink w:anchor="_Toc427154386" w:history="1">
            <w:r w:rsidR="005544D2" w:rsidRPr="007B45EC">
              <w:rPr>
                <w:rStyle w:val="Hyperlink"/>
              </w:rPr>
              <w:t>FOREWORD BY THE DIRECTOR GENERAL</w:t>
            </w:r>
            <w:r w:rsidR="005544D2">
              <w:rPr>
                <w:webHidden/>
              </w:rPr>
              <w:tab/>
            </w:r>
            <w:r w:rsidR="005544D2">
              <w:rPr>
                <w:webHidden/>
              </w:rPr>
              <w:fldChar w:fldCharType="begin"/>
            </w:r>
            <w:r w:rsidR="005544D2">
              <w:rPr>
                <w:webHidden/>
              </w:rPr>
              <w:instrText xml:space="preserve"> PAGEREF _Toc427154386 \h </w:instrText>
            </w:r>
            <w:r w:rsidR="005544D2">
              <w:rPr>
                <w:webHidden/>
              </w:rPr>
            </w:r>
            <w:r w:rsidR="005544D2">
              <w:rPr>
                <w:webHidden/>
              </w:rPr>
              <w:fldChar w:fldCharType="separate"/>
            </w:r>
            <w:r w:rsidR="008F6661">
              <w:rPr>
                <w:webHidden/>
              </w:rPr>
              <w:t>5</w:t>
            </w:r>
            <w:r w:rsidR="005544D2">
              <w:rPr>
                <w:webHidden/>
              </w:rPr>
              <w:fldChar w:fldCharType="end"/>
            </w:r>
          </w:hyperlink>
        </w:p>
        <w:p w14:paraId="0465B3B2" w14:textId="77777777" w:rsidR="005544D2" w:rsidRDefault="00055D38">
          <w:pPr>
            <w:pStyle w:val="TOC1"/>
            <w:rPr>
              <w:rFonts w:asciiTheme="minorHAnsi" w:hAnsiTheme="minorHAnsi"/>
              <w:b w:val="0"/>
              <w:lang w:eastAsia="en-US"/>
            </w:rPr>
          </w:pPr>
          <w:hyperlink w:anchor="_Toc427154387" w:history="1">
            <w:r w:rsidR="005544D2" w:rsidRPr="007B45EC">
              <w:rPr>
                <w:rStyle w:val="Hyperlink"/>
              </w:rPr>
              <w:t>I.</w:t>
            </w:r>
            <w:r w:rsidR="005544D2">
              <w:rPr>
                <w:rFonts w:asciiTheme="minorHAnsi" w:hAnsiTheme="minorHAnsi"/>
                <w:b w:val="0"/>
                <w:lang w:eastAsia="en-US"/>
              </w:rPr>
              <w:tab/>
            </w:r>
            <w:r w:rsidR="005544D2" w:rsidRPr="007B45EC">
              <w:rPr>
                <w:rStyle w:val="Hyperlink"/>
              </w:rPr>
              <w:t>FINANCIAL AND RESULTS OVERVIEW</w:t>
            </w:r>
            <w:r w:rsidR="005544D2">
              <w:rPr>
                <w:webHidden/>
              </w:rPr>
              <w:tab/>
            </w:r>
            <w:r w:rsidR="005544D2">
              <w:rPr>
                <w:webHidden/>
              </w:rPr>
              <w:fldChar w:fldCharType="begin"/>
            </w:r>
            <w:r w:rsidR="005544D2">
              <w:rPr>
                <w:webHidden/>
              </w:rPr>
              <w:instrText xml:space="preserve"> PAGEREF _Toc427154387 \h </w:instrText>
            </w:r>
            <w:r w:rsidR="005544D2">
              <w:rPr>
                <w:webHidden/>
              </w:rPr>
            </w:r>
            <w:r w:rsidR="005544D2">
              <w:rPr>
                <w:webHidden/>
              </w:rPr>
              <w:fldChar w:fldCharType="separate"/>
            </w:r>
            <w:r w:rsidR="008F6661">
              <w:rPr>
                <w:webHidden/>
              </w:rPr>
              <w:t>7</w:t>
            </w:r>
            <w:r w:rsidR="005544D2">
              <w:rPr>
                <w:webHidden/>
              </w:rPr>
              <w:fldChar w:fldCharType="end"/>
            </w:r>
          </w:hyperlink>
        </w:p>
        <w:p w14:paraId="4CAB6531" w14:textId="3D781545" w:rsidR="005544D2" w:rsidRDefault="00055D38">
          <w:pPr>
            <w:pStyle w:val="TOC3"/>
            <w:rPr>
              <w:rFonts w:asciiTheme="minorHAnsi" w:eastAsiaTheme="minorEastAsia" w:hAnsiTheme="minorHAnsi"/>
              <w:smallCaps w:val="0"/>
              <w:sz w:val="22"/>
              <w:lang w:eastAsia="en-US"/>
            </w:rPr>
          </w:pPr>
          <w:hyperlink w:anchor="_Toc427154388" w:history="1">
            <w:r w:rsidR="005544D2" w:rsidRPr="007B45EC">
              <w:rPr>
                <w:rStyle w:val="Hyperlink"/>
              </w:rPr>
              <w:t>INCOME</w:t>
            </w:r>
            <w:r w:rsidR="005544D2">
              <w:rPr>
                <w:webHidden/>
              </w:rPr>
              <w:tab/>
            </w:r>
            <w:r w:rsidR="00C2748E">
              <w:rPr>
                <w:webHidden/>
              </w:rPr>
              <w:tab/>
            </w:r>
            <w:r w:rsidR="005544D2">
              <w:rPr>
                <w:webHidden/>
              </w:rPr>
              <w:fldChar w:fldCharType="begin"/>
            </w:r>
            <w:r w:rsidR="005544D2">
              <w:rPr>
                <w:webHidden/>
              </w:rPr>
              <w:instrText xml:space="preserve"> PAGEREF _Toc427154388 \h </w:instrText>
            </w:r>
            <w:r w:rsidR="005544D2">
              <w:rPr>
                <w:webHidden/>
              </w:rPr>
            </w:r>
            <w:r w:rsidR="005544D2">
              <w:rPr>
                <w:webHidden/>
              </w:rPr>
              <w:fldChar w:fldCharType="separate"/>
            </w:r>
            <w:r w:rsidR="008F6661">
              <w:rPr>
                <w:webHidden/>
              </w:rPr>
              <w:t>7</w:t>
            </w:r>
            <w:r w:rsidR="005544D2">
              <w:rPr>
                <w:webHidden/>
              </w:rPr>
              <w:fldChar w:fldCharType="end"/>
            </w:r>
          </w:hyperlink>
        </w:p>
        <w:p w14:paraId="6655E51C" w14:textId="77777777" w:rsidR="005544D2" w:rsidRDefault="00055D38">
          <w:pPr>
            <w:pStyle w:val="TOC3"/>
            <w:rPr>
              <w:rFonts w:asciiTheme="minorHAnsi" w:eastAsiaTheme="minorEastAsia" w:hAnsiTheme="minorHAnsi"/>
              <w:smallCaps w:val="0"/>
              <w:sz w:val="22"/>
              <w:lang w:eastAsia="en-US"/>
            </w:rPr>
          </w:pPr>
          <w:hyperlink w:anchor="_Toc427154389" w:history="1">
            <w:r w:rsidR="005544D2" w:rsidRPr="007B45EC">
              <w:rPr>
                <w:rStyle w:val="Hyperlink"/>
              </w:rPr>
              <w:t>RESULTS AND RESOURCES</w:t>
            </w:r>
            <w:r w:rsidR="005544D2">
              <w:rPr>
                <w:webHidden/>
              </w:rPr>
              <w:tab/>
            </w:r>
            <w:r w:rsidR="005544D2">
              <w:rPr>
                <w:webHidden/>
              </w:rPr>
              <w:fldChar w:fldCharType="begin"/>
            </w:r>
            <w:r w:rsidR="005544D2">
              <w:rPr>
                <w:webHidden/>
              </w:rPr>
              <w:instrText xml:space="preserve"> PAGEREF _Toc427154389 \h </w:instrText>
            </w:r>
            <w:r w:rsidR="005544D2">
              <w:rPr>
                <w:webHidden/>
              </w:rPr>
            </w:r>
            <w:r w:rsidR="005544D2">
              <w:rPr>
                <w:webHidden/>
              </w:rPr>
              <w:fldChar w:fldCharType="separate"/>
            </w:r>
            <w:r w:rsidR="008F6661">
              <w:rPr>
                <w:webHidden/>
              </w:rPr>
              <w:t>13</w:t>
            </w:r>
            <w:r w:rsidR="005544D2">
              <w:rPr>
                <w:webHidden/>
              </w:rPr>
              <w:fldChar w:fldCharType="end"/>
            </w:r>
          </w:hyperlink>
        </w:p>
        <w:p w14:paraId="08435AFC" w14:textId="77777777" w:rsidR="005544D2" w:rsidRDefault="00055D38">
          <w:pPr>
            <w:pStyle w:val="TOC3"/>
            <w:rPr>
              <w:rFonts w:asciiTheme="minorHAnsi" w:eastAsiaTheme="minorEastAsia" w:hAnsiTheme="minorHAnsi"/>
              <w:smallCaps w:val="0"/>
              <w:sz w:val="22"/>
              <w:lang w:eastAsia="en-US"/>
            </w:rPr>
          </w:pPr>
          <w:hyperlink w:anchor="_Toc427154390" w:history="1">
            <w:r w:rsidR="005544D2" w:rsidRPr="007B45EC">
              <w:rPr>
                <w:rStyle w:val="Hyperlink"/>
              </w:rPr>
              <w:t>NON-PERSONNEL RESOURCES</w:t>
            </w:r>
            <w:r w:rsidR="005544D2">
              <w:rPr>
                <w:webHidden/>
              </w:rPr>
              <w:tab/>
            </w:r>
            <w:r w:rsidR="005544D2">
              <w:rPr>
                <w:webHidden/>
              </w:rPr>
              <w:fldChar w:fldCharType="begin"/>
            </w:r>
            <w:r w:rsidR="005544D2">
              <w:rPr>
                <w:webHidden/>
              </w:rPr>
              <w:instrText xml:space="preserve"> PAGEREF _Toc427154390 \h </w:instrText>
            </w:r>
            <w:r w:rsidR="005544D2">
              <w:rPr>
                <w:webHidden/>
              </w:rPr>
            </w:r>
            <w:r w:rsidR="005544D2">
              <w:rPr>
                <w:webHidden/>
              </w:rPr>
              <w:fldChar w:fldCharType="separate"/>
            </w:r>
            <w:r w:rsidR="008F6661">
              <w:rPr>
                <w:webHidden/>
              </w:rPr>
              <w:t>20</w:t>
            </w:r>
            <w:r w:rsidR="005544D2">
              <w:rPr>
                <w:webHidden/>
              </w:rPr>
              <w:fldChar w:fldCharType="end"/>
            </w:r>
          </w:hyperlink>
        </w:p>
        <w:p w14:paraId="1B063A09" w14:textId="77777777" w:rsidR="005544D2" w:rsidRDefault="00055D38">
          <w:pPr>
            <w:pStyle w:val="TOC3"/>
            <w:rPr>
              <w:rFonts w:asciiTheme="minorHAnsi" w:eastAsiaTheme="minorEastAsia" w:hAnsiTheme="minorHAnsi"/>
              <w:smallCaps w:val="0"/>
              <w:sz w:val="22"/>
              <w:lang w:eastAsia="en-US"/>
            </w:rPr>
          </w:pPr>
          <w:hyperlink w:anchor="_Toc427154391" w:history="1">
            <w:r w:rsidR="005544D2" w:rsidRPr="007B45EC">
              <w:rPr>
                <w:rStyle w:val="Hyperlink"/>
              </w:rPr>
              <w:t>PERSONNEL COSTS</w:t>
            </w:r>
            <w:r w:rsidR="005544D2">
              <w:rPr>
                <w:webHidden/>
              </w:rPr>
              <w:tab/>
            </w:r>
            <w:r w:rsidR="005544D2">
              <w:rPr>
                <w:webHidden/>
              </w:rPr>
              <w:fldChar w:fldCharType="begin"/>
            </w:r>
            <w:r w:rsidR="005544D2">
              <w:rPr>
                <w:webHidden/>
              </w:rPr>
              <w:instrText xml:space="preserve"> PAGEREF _Toc427154391 \h </w:instrText>
            </w:r>
            <w:r w:rsidR="005544D2">
              <w:rPr>
                <w:webHidden/>
              </w:rPr>
            </w:r>
            <w:r w:rsidR="005544D2">
              <w:rPr>
                <w:webHidden/>
              </w:rPr>
              <w:fldChar w:fldCharType="separate"/>
            </w:r>
            <w:r w:rsidR="008F6661">
              <w:rPr>
                <w:webHidden/>
              </w:rPr>
              <w:t>21</w:t>
            </w:r>
            <w:r w:rsidR="005544D2">
              <w:rPr>
                <w:webHidden/>
              </w:rPr>
              <w:fldChar w:fldCharType="end"/>
            </w:r>
          </w:hyperlink>
        </w:p>
        <w:p w14:paraId="58ED1F7E" w14:textId="77777777" w:rsidR="005544D2" w:rsidRDefault="00055D38">
          <w:pPr>
            <w:pStyle w:val="TOC3"/>
            <w:rPr>
              <w:rFonts w:asciiTheme="minorHAnsi" w:eastAsiaTheme="minorEastAsia" w:hAnsiTheme="minorHAnsi"/>
              <w:smallCaps w:val="0"/>
              <w:sz w:val="22"/>
              <w:lang w:eastAsia="en-US"/>
            </w:rPr>
          </w:pPr>
          <w:hyperlink w:anchor="_Toc427154392" w:history="1">
            <w:r w:rsidR="005544D2" w:rsidRPr="007B45EC">
              <w:rPr>
                <w:rStyle w:val="Hyperlink"/>
              </w:rPr>
              <w:t>DEVELOPMENT ACTIVITIES AND DEVELOPMENT AGENDA RESOURCES</w:t>
            </w:r>
            <w:r w:rsidR="005544D2">
              <w:rPr>
                <w:webHidden/>
              </w:rPr>
              <w:tab/>
            </w:r>
            <w:r w:rsidR="005544D2">
              <w:rPr>
                <w:webHidden/>
              </w:rPr>
              <w:fldChar w:fldCharType="begin"/>
            </w:r>
            <w:r w:rsidR="005544D2">
              <w:rPr>
                <w:webHidden/>
              </w:rPr>
              <w:instrText xml:space="preserve"> PAGEREF _Toc427154392 \h </w:instrText>
            </w:r>
            <w:r w:rsidR="005544D2">
              <w:rPr>
                <w:webHidden/>
              </w:rPr>
            </w:r>
            <w:r w:rsidR="005544D2">
              <w:rPr>
                <w:webHidden/>
              </w:rPr>
              <w:fldChar w:fldCharType="separate"/>
            </w:r>
            <w:r w:rsidR="008F6661">
              <w:rPr>
                <w:webHidden/>
              </w:rPr>
              <w:t>23</w:t>
            </w:r>
            <w:r w:rsidR="005544D2">
              <w:rPr>
                <w:webHidden/>
              </w:rPr>
              <w:fldChar w:fldCharType="end"/>
            </w:r>
          </w:hyperlink>
        </w:p>
        <w:p w14:paraId="1BDE15C5" w14:textId="77777777" w:rsidR="005544D2" w:rsidRDefault="00055D38">
          <w:pPr>
            <w:pStyle w:val="TOC1"/>
            <w:rPr>
              <w:rFonts w:asciiTheme="minorHAnsi" w:hAnsiTheme="minorHAnsi"/>
              <w:b w:val="0"/>
              <w:lang w:eastAsia="en-US"/>
            </w:rPr>
          </w:pPr>
          <w:hyperlink w:anchor="_Toc427154393" w:history="1">
            <w:r w:rsidR="005544D2" w:rsidRPr="007B45EC">
              <w:rPr>
                <w:rStyle w:val="Hyperlink"/>
              </w:rPr>
              <w:t>II.</w:t>
            </w:r>
            <w:r w:rsidR="005544D2">
              <w:rPr>
                <w:rFonts w:asciiTheme="minorHAnsi" w:hAnsiTheme="minorHAnsi"/>
                <w:b w:val="0"/>
                <w:lang w:eastAsia="en-US"/>
              </w:rPr>
              <w:tab/>
            </w:r>
            <w:r w:rsidR="005544D2" w:rsidRPr="007B45EC">
              <w:rPr>
                <w:rStyle w:val="Hyperlink"/>
              </w:rPr>
              <w:t>PROGRAM NARRATIVES BY STRATEGIC GOAL</w:t>
            </w:r>
            <w:r w:rsidR="005544D2">
              <w:rPr>
                <w:webHidden/>
              </w:rPr>
              <w:tab/>
            </w:r>
            <w:r w:rsidR="005544D2">
              <w:rPr>
                <w:webHidden/>
              </w:rPr>
              <w:fldChar w:fldCharType="begin"/>
            </w:r>
            <w:r w:rsidR="005544D2">
              <w:rPr>
                <w:webHidden/>
              </w:rPr>
              <w:instrText xml:space="preserve"> PAGEREF _Toc427154393 \h </w:instrText>
            </w:r>
            <w:r w:rsidR="005544D2">
              <w:rPr>
                <w:webHidden/>
              </w:rPr>
            </w:r>
            <w:r w:rsidR="005544D2">
              <w:rPr>
                <w:webHidden/>
              </w:rPr>
              <w:fldChar w:fldCharType="separate"/>
            </w:r>
            <w:r w:rsidR="008F6661">
              <w:rPr>
                <w:webHidden/>
              </w:rPr>
              <w:t>25</w:t>
            </w:r>
            <w:r w:rsidR="005544D2">
              <w:rPr>
                <w:webHidden/>
              </w:rPr>
              <w:fldChar w:fldCharType="end"/>
            </w:r>
          </w:hyperlink>
        </w:p>
        <w:p w14:paraId="31F5D6BF" w14:textId="77777777" w:rsidR="005544D2" w:rsidRDefault="00055D38">
          <w:pPr>
            <w:pStyle w:val="TOC3"/>
            <w:tabs>
              <w:tab w:val="left" w:pos="2505"/>
            </w:tabs>
            <w:rPr>
              <w:rFonts w:asciiTheme="minorHAnsi" w:eastAsiaTheme="minorEastAsia" w:hAnsiTheme="minorHAnsi"/>
              <w:smallCaps w:val="0"/>
              <w:sz w:val="22"/>
              <w:lang w:eastAsia="en-US"/>
            </w:rPr>
          </w:pPr>
          <w:hyperlink w:anchor="_Toc427154394" w:history="1">
            <w:r w:rsidR="005544D2" w:rsidRPr="008D4CE9">
              <w:rPr>
                <w:rStyle w:val="Hyperlink"/>
                <w:b/>
              </w:rPr>
              <w:t>STRATEGIC GOAL I</w:t>
            </w:r>
            <w:r w:rsidR="005544D2" w:rsidRPr="008D4CE9">
              <w:rPr>
                <w:rFonts w:asciiTheme="minorHAnsi" w:eastAsiaTheme="minorEastAsia" w:hAnsiTheme="minorHAnsi"/>
                <w:b/>
                <w:smallCaps w:val="0"/>
                <w:sz w:val="22"/>
                <w:lang w:eastAsia="en-US"/>
              </w:rPr>
              <w:tab/>
            </w:r>
            <w:r w:rsidR="005544D2" w:rsidRPr="008D4CE9">
              <w:rPr>
                <w:rStyle w:val="Hyperlink"/>
                <w:b/>
              </w:rPr>
              <w:t>BALANCED EVOLUTION OF THE INTERNATIONAL NORMATIVE FRAMEWORK FOR IP</w:t>
            </w:r>
            <w:r w:rsidR="005544D2">
              <w:rPr>
                <w:webHidden/>
              </w:rPr>
              <w:tab/>
            </w:r>
            <w:r w:rsidR="005544D2">
              <w:rPr>
                <w:webHidden/>
              </w:rPr>
              <w:fldChar w:fldCharType="begin"/>
            </w:r>
            <w:r w:rsidR="005544D2">
              <w:rPr>
                <w:webHidden/>
              </w:rPr>
              <w:instrText xml:space="preserve"> PAGEREF _Toc427154394 \h </w:instrText>
            </w:r>
            <w:r w:rsidR="005544D2">
              <w:rPr>
                <w:webHidden/>
              </w:rPr>
            </w:r>
            <w:r w:rsidR="005544D2">
              <w:rPr>
                <w:webHidden/>
              </w:rPr>
              <w:fldChar w:fldCharType="separate"/>
            </w:r>
            <w:r w:rsidR="008F6661">
              <w:rPr>
                <w:webHidden/>
              </w:rPr>
              <w:t>25</w:t>
            </w:r>
            <w:r w:rsidR="005544D2">
              <w:rPr>
                <w:webHidden/>
              </w:rPr>
              <w:fldChar w:fldCharType="end"/>
            </w:r>
          </w:hyperlink>
        </w:p>
        <w:p w14:paraId="3F3C2F5C" w14:textId="77777777" w:rsidR="005544D2" w:rsidRDefault="00055D38">
          <w:pPr>
            <w:pStyle w:val="TOC3"/>
            <w:rPr>
              <w:rFonts w:asciiTheme="minorHAnsi" w:eastAsiaTheme="minorEastAsia" w:hAnsiTheme="minorHAnsi"/>
              <w:smallCaps w:val="0"/>
              <w:sz w:val="22"/>
              <w:lang w:eastAsia="en-US"/>
            </w:rPr>
          </w:pPr>
          <w:hyperlink w:anchor="_Toc427154395" w:history="1">
            <w:r w:rsidR="005544D2" w:rsidRPr="007B45EC">
              <w:rPr>
                <w:rStyle w:val="Hyperlink"/>
              </w:rPr>
              <w:t>PROGRAM 1</w:t>
            </w:r>
            <w:r w:rsidR="005544D2">
              <w:rPr>
                <w:rFonts w:asciiTheme="minorHAnsi" w:eastAsiaTheme="minorEastAsia" w:hAnsiTheme="minorHAnsi"/>
                <w:smallCaps w:val="0"/>
                <w:sz w:val="22"/>
                <w:lang w:eastAsia="en-US"/>
              </w:rPr>
              <w:tab/>
            </w:r>
            <w:r w:rsidR="005544D2" w:rsidRPr="007B45EC">
              <w:rPr>
                <w:rStyle w:val="Hyperlink"/>
              </w:rPr>
              <w:t>PATENT LAW</w:t>
            </w:r>
            <w:r w:rsidR="005544D2">
              <w:rPr>
                <w:webHidden/>
              </w:rPr>
              <w:tab/>
            </w:r>
            <w:r w:rsidR="005544D2">
              <w:rPr>
                <w:webHidden/>
              </w:rPr>
              <w:fldChar w:fldCharType="begin"/>
            </w:r>
            <w:r w:rsidR="005544D2">
              <w:rPr>
                <w:webHidden/>
              </w:rPr>
              <w:instrText xml:space="preserve"> PAGEREF _Toc427154395 \h </w:instrText>
            </w:r>
            <w:r w:rsidR="005544D2">
              <w:rPr>
                <w:webHidden/>
              </w:rPr>
            </w:r>
            <w:r w:rsidR="005544D2">
              <w:rPr>
                <w:webHidden/>
              </w:rPr>
              <w:fldChar w:fldCharType="separate"/>
            </w:r>
            <w:r w:rsidR="008F6661">
              <w:rPr>
                <w:webHidden/>
              </w:rPr>
              <w:t>27</w:t>
            </w:r>
            <w:r w:rsidR="005544D2">
              <w:rPr>
                <w:webHidden/>
              </w:rPr>
              <w:fldChar w:fldCharType="end"/>
            </w:r>
          </w:hyperlink>
        </w:p>
        <w:p w14:paraId="02F1AB53" w14:textId="77777777" w:rsidR="005544D2" w:rsidRDefault="00055D38">
          <w:pPr>
            <w:pStyle w:val="TOC3"/>
            <w:rPr>
              <w:rFonts w:asciiTheme="minorHAnsi" w:eastAsiaTheme="minorEastAsia" w:hAnsiTheme="minorHAnsi"/>
              <w:smallCaps w:val="0"/>
              <w:sz w:val="22"/>
              <w:lang w:eastAsia="en-US"/>
            </w:rPr>
          </w:pPr>
          <w:hyperlink w:anchor="_Toc427154396" w:history="1">
            <w:r w:rsidR="005544D2" w:rsidRPr="007B45EC">
              <w:rPr>
                <w:rStyle w:val="Hyperlink"/>
              </w:rPr>
              <w:t>PROGRAM 2</w:t>
            </w:r>
            <w:r w:rsidR="005544D2">
              <w:rPr>
                <w:rFonts w:asciiTheme="minorHAnsi" w:eastAsiaTheme="minorEastAsia" w:hAnsiTheme="minorHAnsi"/>
                <w:smallCaps w:val="0"/>
                <w:sz w:val="22"/>
                <w:lang w:eastAsia="en-US"/>
              </w:rPr>
              <w:tab/>
            </w:r>
            <w:r w:rsidR="005544D2" w:rsidRPr="007B45EC">
              <w:rPr>
                <w:rStyle w:val="Hyperlink"/>
              </w:rPr>
              <w:t>TRADEMARKS, INDUSTRIAL DESIGNS AND GEOGRAPHICAL INDICATIONS</w:t>
            </w:r>
            <w:r w:rsidR="005544D2">
              <w:rPr>
                <w:webHidden/>
              </w:rPr>
              <w:tab/>
            </w:r>
            <w:r w:rsidR="005544D2">
              <w:rPr>
                <w:webHidden/>
              </w:rPr>
              <w:fldChar w:fldCharType="begin"/>
            </w:r>
            <w:r w:rsidR="005544D2">
              <w:rPr>
                <w:webHidden/>
              </w:rPr>
              <w:instrText xml:space="preserve"> PAGEREF _Toc427154396 \h </w:instrText>
            </w:r>
            <w:r w:rsidR="005544D2">
              <w:rPr>
                <w:webHidden/>
              </w:rPr>
            </w:r>
            <w:r w:rsidR="005544D2">
              <w:rPr>
                <w:webHidden/>
              </w:rPr>
              <w:fldChar w:fldCharType="separate"/>
            </w:r>
            <w:r w:rsidR="008F6661">
              <w:rPr>
                <w:webHidden/>
              </w:rPr>
              <w:t>31</w:t>
            </w:r>
            <w:r w:rsidR="005544D2">
              <w:rPr>
                <w:webHidden/>
              </w:rPr>
              <w:fldChar w:fldCharType="end"/>
            </w:r>
          </w:hyperlink>
        </w:p>
        <w:p w14:paraId="0C464CE6" w14:textId="77777777" w:rsidR="005544D2" w:rsidRDefault="00055D38">
          <w:pPr>
            <w:pStyle w:val="TOC3"/>
            <w:rPr>
              <w:rFonts w:asciiTheme="minorHAnsi" w:eastAsiaTheme="minorEastAsia" w:hAnsiTheme="minorHAnsi"/>
              <w:smallCaps w:val="0"/>
              <w:sz w:val="22"/>
              <w:lang w:eastAsia="en-US"/>
            </w:rPr>
          </w:pPr>
          <w:hyperlink w:anchor="_Toc427154397" w:history="1">
            <w:r w:rsidR="005544D2" w:rsidRPr="007B45EC">
              <w:rPr>
                <w:rStyle w:val="Hyperlink"/>
              </w:rPr>
              <w:t>PROGRAM 3</w:t>
            </w:r>
            <w:r w:rsidR="005544D2">
              <w:rPr>
                <w:rFonts w:asciiTheme="minorHAnsi" w:eastAsiaTheme="minorEastAsia" w:hAnsiTheme="minorHAnsi"/>
                <w:smallCaps w:val="0"/>
                <w:sz w:val="22"/>
                <w:lang w:eastAsia="en-US"/>
              </w:rPr>
              <w:tab/>
            </w:r>
            <w:r w:rsidR="005544D2" w:rsidRPr="007B45EC">
              <w:rPr>
                <w:rStyle w:val="Hyperlink"/>
              </w:rPr>
              <w:t>COPYRIGHT AND RELATED RIGHTS</w:t>
            </w:r>
            <w:r w:rsidR="005544D2">
              <w:rPr>
                <w:webHidden/>
              </w:rPr>
              <w:tab/>
            </w:r>
            <w:r w:rsidR="005544D2">
              <w:rPr>
                <w:webHidden/>
              </w:rPr>
              <w:fldChar w:fldCharType="begin"/>
            </w:r>
            <w:r w:rsidR="005544D2">
              <w:rPr>
                <w:webHidden/>
              </w:rPr>
              <w:instrText xml:space="preserve"> PAGEREF _Toc427154397 \h </w:instrText>
            </w:r>
            <w:r w:rsidR="005544D2">
              <w:rPr>
                <w:webHidden/>
              </w:rPr>
            </w:r>
            <w:r w:rsidR="005544D2">
              <w:rPr>
                <w:webHidden/>
              </w:rPr>
              <w:fldChar w:fldCharType="separate"/>
            </w:r>
            <w:r w:rsidR="008F6661">
              <w:rPr>
                <w:webHidden/>
              </w:rPr>
              <w:t>35</w:t>
            </w:r>
            <w:r w:rsidR="005544D2">
              <w:rPr>
                <w:webHidden/>
              </w:rPr>
              <w:fldChar w:fldCharType="end"/>
            </w:r>
          </w:hyperlink>
        </w:p>
        <w:p w14:paraId="0000BA73" w14:textId="77777777" w:rsidR="005544D2" w:rsidRDefault="00055D38">
          <w:pPr>
            <w:pStyle w:val="TOC3"/>
            <w:rPr>
              <w:rFonts w:asciiTheme="minorHAnsi" w:eastAsiaTheme="minorEastAsia" w:hAnsiTheme="minorHAnsi"/>
              <w:smallCaps w:val="0"/>
              <w:sz w:val="22"/>
              <w:lang w:eastAsia="en-US"/>
            </w:rPr>
          </w:pPr>
          <w:hyperlink w:anchor="_Toc427154398" w:history="1">
            <w:r w:rsidR="005544D2" w:rsidRPr="007B45EC">
              <w:rPr>
                <w:rStyle w:val="Hyperlink"/>
              </w:rPr>
              <w:t>PROGRAM 4:</w:t>
            </w:r>
            <w:r w:rsidR="005544D2">
              <w:rPr>
                <w:rFonts w:asciiTheme="minorHAnsi" w:eastAsiaTheme="minorEastAsia" w:hAnsiTheme="minorHAnsi"/>
                <w:smallCaps w:val="0"/>
                <w:sz w:val="22"/>
                <w:lang w:eastAsia="en-US"/>
              </w:rPr>
              <w:tab/>
            </w:r>
            <w:r w:rsidR="005544D2" w:rsidRPr="007B45EC">
              <w:rPr>
                <w:rStyle w:val="Hyperlink"/>
              </w:rPr>
              <w:t>TRADITIONAL KNOWLEDGE, TRADITIONAL CULTURAL EXPRESSIONS AND GENETIC RESOURCES</w:t>
            </w:r>
            <w:r w:rsidR="005544D2">
              <w:rPr>
                <w:webHidden/>
              </w:rPr>
              <w:tab/>
            </w:r>
            <w:r w:rsidR="005544D2">
              <w:rPr>
                <w:webHidden/>
              </w:rPr>
              <w:fldChar w:fldCharType="begin"/>
            </w:r>
            <w:r w:rsidR="005544D2">
              <w:rPr>
                <w:webHidden/>
              </w:rPr>
              <w:instrText xml:space="preserve"> PAGEREF _Toc427154398 \h </w:instrText>
            </w:r>
            <w:r w:rsidR="005544D2">
              <w:rPr>
                <w:webHidden/>
              </w:rPr>
            </w:r>
            <w:r w:rsidR="005544D2">
              <w:rPr>
                <w:webHidden/>
              </w:rPr>
              <w:fldChar w:fldCharType="separate"/>
            </w:r>
            <w:r w:rsidR="008F6661">
              <w:rPr>
                <w:webHidden/>
              </w:rPr>
              <w:t>40</w:t>
            </w:r>
            <w:r w:rsidR="005544D2">
              <w:rPr>
                <w:webHidden/>
              </w:rPr>
              <w:fldChar w:fldCharType="end"/>
            </w:r>
          </w:hyperlink>
        </w:p>
        <w:p w14:paraId="36FD7C4D" w14:textId="77777777" w:rsidR="005544D2" w:rsidRDefault="00055D38">
          <w:pPr>
            <w:pStyle w:val="TOC3"/>
            <w:tabs>
              <w:tab w:val="left" w:pos="2560"/>
            </w:tabs>
            <w:rPr>
              <w:rFonts w:asciiTheme="minorHAnsi" w:eastAsiaTheme="minorEastAsia" w:hAnsiTheme="minorHAnsi"/>
              <w:smallCaps w:val="0"/>
              <w:sz w:val="22"/>
              <w:lang w:eastAsia="en-US"/>
            </w:rPr>
          </w:pPr>
          <w:hyperlink w:anchor="_Toc427154399" w:history="1">
            <w:r w:rsidR="005544D2" w:rsidRPr="008D4CE9">
              <w:rPr>
                <w:rStyle w:val="Hyperlink"/>
                <w:b/>
              </w:rPr>
              <w:t>STRATEGIC GOAL II</w:t>
            </w:r>
            <w:r w:rsidR="005544D2" w:rsidRPr="008D4CE9">
              <w:rPr>
                <w:rFonts w:asciiTheme="minorHAnsi" w:eastAsiaTheme="minorEastAsia" w:hAnsiTheme="minorHAnsi"/>
                <w:b/>
                <w:smallCaps w:val="0"/>
                <w:sz w:val="22"/>
                <w:lang w:eastAsia="en-US"/>
              </w:rPr>
              <w:tab/>
            </w:r>
            <w:r w:rsidR="005544D2" w:rsidRPr="008D4CE9">
              <w:rPr>
                <w:rStyle w:val="Hyperlink"/>
                <w:b/>
              </w:rPr>
              <w:t>PROVISION OF PREMIER GLOBAL IP SERVICES</w:t>
            </w:r>
            <w:r w:rsidR="005544D2">
              <w:rPr>
                <w:webHidden/>
              </w:rPr>
              <w:tab/>
            </w:r>
            <w:r w:rsidR="005544D2">
              <w:rPr>
                <w:webHidden/>
              </w:rPr>
              <w:fldChar w:fldCharType="begin"/>
            </w:r>
            <w:r w:rsidR="005544D2">
              <w:rPr>
                <w:webHidden/>
              </w:rPr>
              <w:instrText xml:space="preserve"> PAGEREF _Toc427154399 \h </w:instrText>
            </w:r>
            <w:r w:rsidR="005544D2">
              <w:rPr>
                <w:webHidden/>
              </w:rPr>
            </w:r>
            <w:r w:rsidR="005544D2">
              <w:rPr>
                <w:webHidden/>
              </w:rPr>
              <w:fldChar w:fldCharType="separate"/>
            </w:r>
            <w:r w:rsidR="008F6661">
              <w:rPr>
                <w:webHidden/>
              </w:rPr>
              <w:t>44</w:t>
            </w:r>
            <w:r w:rsidR="005544D2">
              <w:rPr>
                <w:webHidden/>
              </w:rPr>
              <w:fldChar w:fldCharType="end"/>
            </w:r>
          </w:hyperlink>
        </w:p>
        <w:p w14:paraId="359658D7" w14:textId="77777777" w:rsidR="005544D2" w:rsidRDefault="00055D38">
          <w:pPr>
            <w:pStyle w:val="TOC3"/>
            <w:rPr>
              <w:rFonts w:asciiTheme="minorHAnsi" w:eastAsiaTheme="minorEastAsia" w:hAnsiTheme="minorHAnsi"/>
              <w:smallCaps w:val="0"/>
              <w:sz w:val="22"/>
              <w:lang w:eastAsia="en-US"/>
            </w:rPr>
          </w:pPr>
          <w:hyperlink w:anchor="_Toc427154400" w:history="1">
            <w:r w:rsidR="005544D2" w:rsidRPr="007B45EC">
              <w:rPr>
                <w:rStyle w:val="Hyperlink"/>
              </w:rPr>
              <w:t>PROGRAM 5</w:t>
            </w:r>
            <w:r w:rsidR="005544D2">
              <w:rPr>
                <w:rFonts w:asciiTheme="minorHAnsi" w:eastAsiaTheme="minorEastAsia" w:hAnsiTheme="minorHAnsi"/>
                <w:smallCaps w:val="0"/>
                <w:sz w:val="22"/>
                <w:lang w:eastAsia="en-US"/>
              </w:rPr>
              <w:tab/>
            </w:r>
            <w:r w:rsidR="005544D2" w:rsidRPr="007B45EC">
              <w:rPr>
                <w:rStyle w:val="Hyperlink"/>
              </w:rPr>
              <w:t>THE PCT SYSTEM</w:t>
            </w:r>
            <w:r w:rsidR="005544D2">
              <w:rPr>
                <w:webHidden/>
              </w:rPr>
              <w:tab/>
            </w:r>
            <w:r w:rsidR="005544D2">
              <w:rPr>
                <w:webHidden/>
              </w:rPr>
              <w:fldChar w:fldCharType="begin"/>
            </w:r>
            <w:r w:rsidR="005544D2">
              <w:rPr>
                <w:webHidden/>
              </w:rPr>
              <w:instrText xml:space="preserve"> PAGEREF _Toc427154400 \h </w:instrText>
            </w:r>
            <w:r w:rsidR="005544D2">
              <w:rPr>
                <w:webHidden/>
              </w:rPr>
            </w:r>
            <w:r w:rsidR="005544D2">
              <w:rPr>
                <w:webHidden/>
              </w:rPr>
              <w:fldChar w:fldCharType="separate"/>
            </w:r>
            <w:r w:rsidR="008F6661">
              <w:rPr>
                <w:webHidden/>
              </w:rPr>
              <w:t>47</w:t>
            </w:r>
            <w:r w:rsidR="005544D2">
              <w:rPr>
                <w:webHidden/>
              </w:rPr>
              <w:fldChar w:fldCharType="end"/>
            </w:r>
          </w:hyperlink>
        </w:p>
        <w:p w14:paraId="63DAF9AF" w14:textId="77777777" w:rsidR="005544D2" w:rsidRDefault="00055D38">
          <w:pPr>
            <w:pStyle w:val="TOC3"/>
            <w:rPr>
              <w:rFonts w:asciiTheme="minorHAnsi" w:eastAsiaTheme="minorEastAsia" w:hAnsiTheme="minorHAnsi"/>
              <w:smallCaps w:val="0"/>
              <w:sz w:val="22"/>
              <w:lang w:eastAsia="en-US"/>
            </w:rPr>
          </w:pPr>
          <w:hyperlink w:anchor="_Toc427154401" w:history="1">
            <w:r w:rsidR="005544D2" w:rsidRPr="007B45EC">
              <w:rPr>
                <w:rStyle w:val="Hyperlink"/>
              </w:rPr>
              <w:t>PROGRAM 6</w:t>
            </w:r>
            <w:r w:rsidR="005544D2">
              <w:rPr>
                <w:rFonts w:asciiTheme="minorHAnsi" w:eastAsiaTheme="minorEastAsia" w:hAnsiTheme="minorHAnsi"/>
                <w:smallCaps w:val="0"/>
                <w:sz w:val="22"/>
                <w:lang w:eastAsia="en-US"/>
              </w:rPr>
              <w:tab/>
            </w:r>
            <w:r w:rsidR="005544D2" w:rsidRPr="007B45EC">
              <w:rPr>
                <w:rStyle w:val="Hyperlink"/>
              </w:rPr>
              <w:t>MADRID AND LISBON SYSTEMS</w:t>
            </w:r>
            <w:r w:rsidR="005544D2">
              <w:rPr>
                <w:webHidden/>
              </w:rPr>
              <w:tab/>
            </w:r>
            <w:r w:rsidR="005544D2">
              <w:rPr>
                <w:webHidden/>
              </w:rPr>
              <w:fldChar w:fldCharType="begin"/>
            </w:r>
            <w:r w:rsidR="005544D2">
              <w:rPr>
                <w:webHidden/>
              </w:rPr>
              <w:instrText xml:space="preserve"> PAGEREF _Toc427154401 \h </w:instrText>
            </w:r>
            <w:r w:rsidR="005544D2">
              <w:rPr>
                <w:webHidden/>
              </w:rPr>
            </w:r>
            <w:r w:rsidR="005544D2">
              <w:rPr>
                <w:webHidden/>
              </w:rPr>
              <w:fldChar w:fldCharType="separate"/>
            </w:r>
            <w:r w:rsidR="008F6661">
              <w:rPr>
                <w:webHidden/>
              </w:rPr>
              <w:t>51</w:t>
            </w:r>
            <w:r w:rsidR="005544D2">
              <w:rPr>
                <w:webHidden/>
              </w:rPr>
              <w:fldChar w:fldCharType="end"/>
            </w:r>
          </w:hyperlink>
        </w:p>
        <w:p w14:paraId="62A996A6" w14:textId="77777777" w:rsidR="005544D2" w:rsidRDefault="00055D38">
          <w:pPr>
            <w:pStyle w:val="TOC3"/>
            <w:rPr>
              <w:rFonts w:asciiTheme="minorHAnsi" w:eastAsiaTheme="minorEastAsia" w:hAnsiTheme="minorHAnsi"/>
              <w:smallCaps w:val="0"/>
              <w:sz w:val="22"/>
              <w:lang w:eastAsia="en-US"/>
            </w:rPr>
          </w:pPr>
          <w:hyperlink w:anchor="_Toc427154402" w:history="1">
            <w:r w:rsidR="005544D2" w:rsidRPr="007B45EC">
              <w:rPr>
                <w:rStyle w:val="Hyperlink"/>
              </w:rPr>
              <w:t>PROGRAM 31</w:t>
            </w:r>
            <w:r w:rsidR="005544D2">
              <w:rPr>
                <w:rFonts w:asciiTheme="minorHAnsi" w:eastAsiaTheme="minorEastAsia" w:hAnsiTheme="minorHAnsi"/>
                <w:smallCaps w:val="0"/>
                <w:sz w:val="22"/>
                <w:lang w:eastAsia="en-US"/>
              </w:rPr>
              <w:tab/>
            </w:r>
            <w:r w:rsidR="005544D2" w:rsidRPr="007B45EC">
              <w:rPr>
                <w:rStyle w:val="Hyperlink"/>
              </w:rPr>
              <w:t>THE HAGUE SYSTEM</w:t>
            </w:r>
            <w:r w:rsidR="005544D2">
              <w:rPr>
                <w:webHidden/>
              </w:rPr>
              <w:tab/>
            </w:r>
            <w:r w:rsidR="005544D2">
              <w:rPr>
                <w:webHidden/>
              </w:rPr>
              <w:fldChar w:fldCharType="begin"/>
            </w:r>
            <w:r w:rsidR="005544D2">
              <w:rPr>
                <w:webHidden/>
              </w:rPr>
              <w:instrText xml:space="preserve"> PAGEREF _Toc427154402 \h </w:instrText>
            </w:r>
            <w:r w:rsidR="005544D2">
              <w:rPr>
                <w:webHidden/>
              </w:rPr>
            </w:r>
            <w:r w:rsidR="005544D2">
              <w:rPr>
                <w:webHidden/>
              </w:rPr>
              <w:fldChar w:fldCharType="separate"/>
            </w:r>
            <w:r w:rsidR="008F6661">
              <w:rPr>
                <w:webHidden/>
              </w:rPr>
              <w:t>56</w:t>
            </w:r>
            <w:r w:rsidR="005544D2">
              <w:rPr>
                <w:webHidden/>
              </w:rPr>
              <w:fldChar w:fldCharType="end"/>
            </w:r>
          </w:hyperlink>
        </w:p>
        <w:p w14:paraId="1F05439C" w14:textId="77777777" w:rsidR="005544D2" w:rsidRDefault="00055D38">
          <w:pPr>
            <w:pStyle w:val="TOC3"/>
            <w:rPr>
              <w:rFonts w:asciiTheme="minorHAnsi" w:eastAsiaTheme="minorEastAsia" w:hAnsiTheme="minorHAnsi"/>
              <w:smallCaps w:val="0"/>
              <w:sz w:val="22"/>
              <w:lang w:eastAsia="en-US"/>
            </w:rPr>
          </w:pPr>
          <w:hyperlink w:anchor="_Toc427154403" w:history="1">
            <w:r w:rsidR="005544D2" w:rsidRPr="007B45EC">
              <w:rPr>
                <w:rStyle w:val="Hyperlink"/>
              </w:rPr>
              <w:t>PROGRAM 7</w:t>
            </w:r>
            <w:r w:rsidR="005544D2">
              <w:rPr>
                <w:rFonts w:asciiTheme="minorHAnsi" w:eastAsiaTheme="minorEastAsia" w:hAnsiTheme="minorHAnsi"/>
                <w:smallCaps w:val="0"/>
                <w:sz w:val="22"/>
                <w:lang w:eastAsia="en-US"/>
              </w:rPr>
              <w:tab/>
            </w:r>
            <w:r w:rsidR="005544D2" w:rsidRPr="007B45EC">
              <w:rPr>
                <w:rStyle w:val="Hyperlink"/>
              </w:rPr>
              <w:t>WIPO ARBITRATION AND MEDIATION CENTER</w:t>
            </w:r>
            <w:r w:rsidR="005544D2">
              <w:rPr>
                <w:webHidden/>
              </w:rPr>
              <w:tab/>
            </w:r>
            <w:r w:rsidR="005544D2">
              <w:rPr>
                <w:webHidden/>
              </w:rPr>
              <w:fldChar w:fldCharType="begin"/>
            </w:r>
            <w:r w:rsidR="005544D2">
              <w:rPr>
                <w:webHidden/>
              </w:rPr>
              <w:instrText xml:space="preserve"> PAGEREF _Toc427154403 \h </w:instrText>
            </w:r>
            <w:r w:rsidR="005544D2">
              <w:rPr>
                <w:webHidden/>
              </w:rPr>
            </w:r>
            <w:r w:rsidR="005544D2">
              <w:rPr>
                <w:webHidden/>
              </w:rPr>
              <w:fldChar w:fldCharType="separate"/>
            </w:r>
            <w:r w:rsidR="008F6661">
              <w:rPr>
                <w:webHidden/>
              </w:rPr>
              <w:t>60</w:t>
            </w:r>
            <w:r w:rsidR="005544D2">
              <w:rPr>
                <w:webHidden/>
              </w:rPr>
              <w:fldChar w:fldCharType="end"/>
            </w:r>
          </w:hyperlink>
        </w:p>
        <w:p w14:paraId="27FF8154" w14:textId="77777777" w:rsidR="005544D2" w:rsidRDefault="00055D38">
          <w:pPr>
            <w:pStyle w:val="TOC3"/>
            <w:tabs>
              <w:tab w:val="left" w:pos="2616"/>
            </w:tabs>
            <w:rPr>
              <w:rFonts w:asciiTheme="minorHAnsi" w:eastAsiaTheme="minorEastAsia" w:hAnsiTheme="minorHAnsi"/>
              <w:smallCaps w:val="0"/>
              <w:sz w:val="22"/>
              <w:lang w:eastAsia="en-US"/>
            </w:rPr>
          </w:pPr>
          <w:hyperlink w:anchor="_Toc427154404" w:history="1">
            <w:r w:rsidR="005544D2" w:rsidRPr="008D4CE9">
              <w:rPr>
                <w:rStyle w:val="Hyperlink"/>
                <w:b/>
              </w:rPr>
              <w:t>STRATEGIC GOAL III</w:t>
            </w:r>
            <w:r w:rsidR="005544D2" w:rsidRPr="008D4CE9">
              <w:rPr>
                <w:rFonts w:asciiTheme="minorHAnsi" w:eastAsiaTheme="minorEastAsia" w:hAnsiTheme="minorHAnsi"/>
                <w:b/>
                <w:smallCaps w:val="0"/>
                <w:sz w:val="22"/>
                <w:lang w:eastAsia="en-US"/>
              </w:rPr>
              <w:tab/>
            </w:r>
            <w:r w:rsidR="005544D2" w:rsidRPr="008D4CE9">
              <w:rPr>
                <w:rStyle w:val="Hyperlink"/>
                <w:b/>
              </w:rPr>
              <w:t>FACILITATING THE USE OF IP FOR DEVELOPMENT</w:t>
            </w:r>
            <w:r w:rsidR="005544D2">
              <w:rPr>
                <w:webHidden/>
              </w:rPr>
              <w:tab/>
            </w:r>
            <w:r w:rsidR="005544D2">
              <w:rPr>
                <w:webHidden/>
              </w:rPr>
              <w:fldChar w:fldCharType="begin"/>
            </w:r>
            <w:r w:rsidR="005544D2">
              <w:rPr>
                <w:webHidden/>
              </w:rPr>
              <w:instrText xml:space="preserve"> PAGEREF _Toc427154404 \h </w:instrText>
            </w:r>
            <w:r w:rsidR="005544D2">
              <w:rPr>
                <w:webHidden/>
              </w:rPr>
            </w:r>
            <w:r w:rsidR="005544D2">
              <w:rPr>
                <w:webHidden/>
              </w:rPr>
              <w:fldChar w:fldCharType="separate"/>
            </w:r>
            <w:r w:rsidR="008F6661">
              <w:rPr>
                <w:webHidden/>
              </w:rPr>
              <w:t>64</w:t>
            </w:r>
            <w:r w:rsidR="005544D2">
              <w:rPr>
                <w:webHidden/>
              </w:rPr>
              <w:fldChar w:fldCharType="end"/>
            </w:r>
          </w:hyperlink>
        </w:p>
        <w:p w14:paraId="10113C33" w14:textId="77777777" w:rsidR="005544D2" w:rsidRDefault="00055D38">
          <w:pPr>
            <w:pStyle w:val="TOC3"/>
            <w:rPr>
              <w:rFonts w:asciiTheme="minorHAnsi" w:eastAsiaTheme="minorEastAsia" w:hAnsiTheme="minorHAnsi"/>
              <w:smallCaps w:val="0"/>
              <w:sz w:val="22"/>
              <w:lang w:eastAsia="en-US"/>
            </w:rPr>
          </w:pPr>
          <w:hyperlink w:anchor="_Toc427154405" w:history="1">
            <w:r w:rsidR="005544D2" w:rsidRPr="007B45EC">
              <w:rPr>
                <w:rStyle w:val="Hyperlink"/>
              </w:rPr>
              <w:t>PROGRAM 8</w:t>
            </w:r>
            <w:r w:rsidR="005544D2">
              <w:rPr>
                <w:rFonts w:asciiTheme="minorHAnsi" w:eastAsiaTheme="minorEastAsia" w:hAnsiTheme="minorHAnsi"/>
                <w:smallCaps w:val="0"/>
                <w:sz w:val="22"/>
                <w:lang w:eastAsia="en-US"/>
              </w:rPr>
              <w:tab/>
            </w:r>
            <w:r w:rsidR="005544D2" w:rsidRPr="007B45EC">
              <w:rPr>
                <w:rStyle w:val="Hyperlink"/>
              </w:rPr>
              <w:t>DEVELOPMENT AGENDA COORDINATION</w:t>
            </w:r>
            <w:r w:rsidR="005544D2">
              <w:rPr>
                <w:webHidden/>
              </w:rPr>
              <w:tab/>
            </w:r>
            <w:r w:rsidR="005544D2">
              <w:rPr>
                <w:webHidden/>
              </w:rPr>
              <w:fldChar w:fldCharType="begin"/>
            </w:r>
            <w:r w:rsidR="005544D2">
              <w:rPr>
                <w:webHidden/>
              </w:rPr>
              <w:instrText xml:space="preserve"> PAGEREF _Toc427154405 \h </w:instrText>
            </w:r>
            <w:r w:rsidR="005544D2">
              <w:rPr>
                <w:webHidden/>
              </w:rPr>
            </w:r>
            <w:r w:rsidR="005544D2">
              <w:rPr>
                <w:webHidden/>
              </w:rPr>
              <w:fldChar w:fldCharType="separate"/>
            </w:r>
            <w:r w:rsidR="008F6661">
              <w:rPr>
                <w:webHidden/>
              </w:rPr>
              <w:t>67</w:t>
            </w:r>
            <w:r w:rsidR="005544D2">
              <w:rPr>
                <w:webHidden/>
              </w:rPr>
              <w:fldChar w:fldCharType="end"/>
            </w:r>
          </w:hyperlink>
        </w:p>
        <w:p w14:paraId="003F2B5A" w14:textId="77777777" w:rsidR="005544D2" w:rsidRDefault="00055D38">
          <w:pPr>
            <w:pStyle w:val="TOC3"/>
            <w:rPr>
              <w:rFonts w:asciiTheme="minorHAnsi" w:eastAsiaTheme="minorEastAsia" w:hAnsiTheme="minorHAnsi"/>
              <w:smallCaps w:val="0"/>
              <w:sz w:val="22"/>
              <w:lang w:eastAsia="en-US"/>
            </w:rPr>
          </w:pPr>
          <w:hyperlink w:anchor="_Toc427154406" w:history="1">
            <w:r w:rsidR="005544D2" w:rsidRPr="007B45EC">
              <w:rPr>
                <w:rStyle w:val="Hyperlink"/>
              </w:rPr>
              <w:t>PROGRAM 9</w:t>
            </w:r>
            <w:r w:rsidR="005544D2">
              <w:rPr>
                <w:rFonts w:asciiTheme="minorHAnsi" w:eastAsiaTheme="minorEastAsia" w:hAnsiTheme="minorHAnsi"/>
                <w:smallCaps w:val="0"/>
                <w:sz w:val="22"/>
                <w:lang w:eastAsia="en-US"/>
              </w:rPr>
              <w:tab/>
            </w:r>
            <w:r w:rsidR="005544D2" w:rsidRPr="007B45EC">
              <w:rPr>
                <w:rStyle w:val="Hyperlink"/>
              </w:rPr>
              <w:t>AFRICA, ARAB, ASIA AND THE PACIFIC, LATIN AMERICA AND THE CARIBBEAN COUNTRIES, LEAST DEVELOPED COUNTRIES</w:t>
            </w:r>
            <w:r w:rsidR="005544D2">
              <w:rPr>
                <w:webHidden/>
              </w:rPr>
              <w:tab/>
            </w:r>
            <w:r w:rsidR="005544D2">
              <w:rPr>
                <w:webHidden/>
              </w:rPr>
              <w:fldChar w:fldCharType="begin"/>
            </w:r>
            <w:r w:rsidR="005544D2">
              <w:rPr>
                <w:webHidden/>
              </w:rPr>
              <w:instrText xml:space="preserve"> PAGEREF _Toc427154406 \h </w:instrText>
            </w:r>
            <w:r w:rsidR="005544D2">
              <w:rPr>
                <w:webHidden/>
              </w:rPr>
            </w:r>
            <w:r w:rsidR="005544D2">
              <w:rPr>
                <w:webHidden/>
              </w:rPr>
              <w:fldChar w:fldCharType="separate"/>
            </w:r>
            <w:r w:rsidR="008F6661">
              <w:rPr>
                <w:webHidden/>
              </w:rPr>
              <w:t>70</w:t>
            </w:r>
            <w:r w:rsidR="005544D2">
              <w:rPr>
                <w:webHidden/>
              </w:rPr>
              <w:fldChar w:fldCharType="end"/>
            </w:r>
          </w:hyperlink>
        </w:p>
        <w:p w14:paraId="126EBF5D" w14:textId="77777777" w:rsidR="005544D2" w:rsidRDefault="00055D38">
          <w:pPr>
            <w:pStyle w:val="TOC3"/>
            <w:rPr>
              <w:rFonts w:asciiTheme="minorHAnsi" w:eastAsiaTheme="minorEastAsia" w:hAnsiTheme="minorHAnsi"/>
              <w:smallCaps w:val="0"/>
              <w:sz w:val="22"/>
              <w:lang w:eastAsia="en-US"/>
            </w:rPr>
          </w:pPr>
          <w:hyperlink w:anchor="_Toc427154407" w:history="1">
            <w:r w:rsidR="005544D2" w:rsidRPr="007B45EC">
              <w:rPr>
                <w:rStyle w:val="Hyperlink"/>
              </w:rPr>
              <w:t>PROGRAM 10</w:t>
            </w:r>
            <w:r w:rsidR="005544D2">
              <w:rPr>
                <w:rFonts w:asciiTheme="minorHAnsi" w:eastAsiaTheme="minorEastAsia" w:hAnsiTheme="minorHAnsi"/>
                <w:smallCaps w:val="0"/>
                <w:sz w:val="22"/>
                <w:lang w:eastAsia="en-US"/>
              </w:rPr>
              <w:tab/>
            </w:r>
            <w:r w:rsidR="005544D2" w:rsidRPr="007B45EC">
              <w:rPr>
                <w:rStyle w:val="Hyperlink"/>
              </w:rPr>
              <w:t xml:space="preserve"> TRANSITION AND DEVELOPED COUNTRIES</w:t>
            </w:r>
            <w:r w:rsidR="005544D2">
              <w:rPr>
                <w:webHidden/>
              </w:rPr>
              <w:tab/>
            </w:r>
            <w:r w:rsidR="005544D2">
              <w:rPr>
                <w:webHidden/>
              </w:rPr>
              <w:fldChar w:fldCharType="begin"/>
            </w:r>
            <w:r w:rsidR="005544D2">
              <w:rPr>
                <w:webHidden/>
              </w:rPr>
              <w:instrText xml:space="preserve"> PAGEREF _Toc427154407 \h </w:instrText>
            </w:r>
            <w:r w:rsidR="005544D2">
              <w:rPr>
                <w:webHidden/>
              </w:rPr>
            </w:r>
            <w:r w:rsidR="005544D2">
              <w:rPr>
                <w:webHidden/>
              </w:rPr>
              <w:fldChar w:fldCharType="separate"/>
            </w:r>
            <w:r w:rsidR="008F6661">
              <w:rPr>
                <w:webHidden/>
              </w:rPr>
              <w:t>77</w:t>
            </w:r>
            <w:r w:rsidR="005544D2">
              <w:rPr>
                <w:webHidden/>
              </w:rPr>
              <w:fldChar w:fldCharType="end"/>
            </w:r>
          </w:hyperlink>
        </w:p>
        <w:p w14:paraId="3DB017F2" w14:textId="77777777" w:rsidR="005544D2" w:rsidRDefault="00055D38">
          <w:pPr>
            <w:pStyle w:val="TOC3"/>
            <w:rPr>
              <w:rFonts w:asciiTheme="minorHAnsi" w:eastAsiaTheme="minorEastAsia" w:hAnsiTheme="minorHAnsi"/>
              <w:smallCaps w:val="0"/>
              <w:sz w:val="22"/>
              <w:lang w:eastAsia="en-US"/>
            </w:rPr>
          </w:pPr>
          <w:hyperlink w:anchor="_Toc427154408" w:history="1">
            <w:r w:rsidR="005544D2" w:rsidRPr="007B45EC">
              <w:rPr>
                <w:rStyle w:val="Hyperlink"/>
              </w:rPr>
              <w:t>PROGRAM 11</w:t>
            </w:r>
            <w:r w:rsidR="005544D2">
              <w:rPr>
                <w:rFonts w:asciiTheme="minorHAnsi" w:eastAsiaTheme="minorEastAsia" w:hAnsiTheme="minorHAnsi"/>
                <w:smallCaps w:val="0"/>
                <w:sz w:val="22"/>
                <w:lang w:eastAsia="en-US"/>
              </w:rPr>
              <w:tab/>
            </w:r>
            <w:r w:rsidR="005544D2" w:rsidRPr="007B45EC">
              <w:rPr>
                <w:rStyle w:val="Hyperlink"/>
              </w:rPr>
              <w:t>THE WIPO ACADEMY</w:t>
            </w:r>
            <w:r w:rsidR="005544D2">
              <w:rPr>
                <w:webHidden/>
              </w:rPr>
              <w:tab/>
            </w:r>
            <w:r w:rsidR="005544D2">
              <w:rPr>
                <w:webHidden/>
              </w:rPr>
              <w:fldChar w:fldCharType="begin"/>
            </w:r>
            <w:r w:rsidR="005544D2">
              <w:rPr>
                <w:webHidden/>
              </w:rPr>
              <w:instrText xml:space="preserve"> PAGEREF _Toc427154408 \h </w:instrText>
            </w:r>
            <w:r w:rsidR="005544D2">
              <w:rPr>
                <w:webHidden/>
              </w:rPr>
            </w:r>
            <w:r w:rsidR="005544D2">
              <w:rPr>
                <w:webHidden/>
              </w:rPr>
              <w:fldChar w:fldCharType="separate"/>
            </w:r>
            <w:r w:rsidR="008F6661">
              <w:rPr>
                <w:webHidden/>
              </w:rPr>
              <w:t>83</w:t>
            </w:r>
            <w:r w:rsidR="005544D2">
              <w:rPr>
                <w:webHidden/>
              </w:rPr>
              <w:fldChar w:fldCharType="end"/>
            </w:r>
          </w:hyperlink>
        </w:p>
        <w:p w14:paraId="279379DC" w14:textId="77777777" w:rsidR="005544D2" w:rsidRDefault="00055D38">
          <w:pPr>
            <w:pStyle w:val="TOC3"/>
            <w:rPr>
              <w:rFonts w:asciiTheme="minorHAnsi" w:eastAsiaTheme="minorEastAsia" w:hAnsiTheme="minorHAnsi"/>
              <w:smallCaps w:val="0"/>
              <w:sz w:val="22"/>
              <w:lang w:eastAsia="en-US"/>
            </w:rPr>
          </w:pPr>
          <w:hyperlink w:anchor="_Toc427154409" w:history="1">
            <w:r w:rsidR="005544D2" w:rsidRPr="007B45EC">
              <w:rPr>
                <w:rStyle w:val="Hyperlink"/>
                <w:rFonts w:eastAsia="Arial"/>
              </w:rPr>
              <w:t xml:space="preserve">PROGRAM 30 </w:t>
            </w:r>
            <w:r w:rsidR="005544D2">
              <w:rPr>
                <w:rFonts w:asciiTheme="minorHAnsi" w:eastAsiaTheme="minorEastAsia" w:hAnsiTheme="minorHAnsi"/>
                <w:smallCaps w:val="0"/>
                <w:sz w:val="22"/>
                <w:lang w:eastAsia="en-US"/>
              </w:rPr>
              <w:tab/>
            </w:r>
            <w:r w:rsidR="005544D2" w:rsidRPr="007B45EC">
              <w:rPr>
                <w:rStyle w:val="Hyperlink"/>
                <w:rFonts w:eastAsia="Arial"/>
              </w:rPr>
              <w:t>SMALL AND MEDIUM-SIZED ENTERPRISES (SMES) AND ENTREPRENEURSHIP SUPPORT</w:t>
            </w:r>
            <w:r w:rsidR="005544D2">
              <w:rPr>
                <w:webHidden/>
              </w:rPr>
              <w:tab/>
            </w:r>
            <w:r w:rsidR="005544D2">
              <w:rPr>
                <w:webHidden/>
              </w:rPr>
              <w:fldChar w:fldCharType="begin"/>
            </w:r>
            <w:r w:rsidR="005544D2">
              <w:rPr>
                <w:webHidden/>
              </w:rPr>
              <w:instrText xml:space="preserve"> PAGEREF _Toc427154409 \h </w:instrText>
            </w:r>
            <w:r w:rsidR="005544D2">
              <w:rPr>
                <w:webHidden/>
              </w:rPr>
            </w:r>
            <w:r w:rsidR="005544D2">
              <w:rPr>
                <w:webHidden/>
              </w:rPr>
              <w:fldChar w:fldCharType="separate"/>
            </w:r>
            <w:r w:rsidR="008F6661">
              <w:rPr>
                <w:webHidden/>
              </w:rPr>
              <w:t>88</w:t>
            </w:r>
            <w:r w:rsidR="005544D2">
              <w:rPr>
                <w:webHidden/>
              </w:rPr>
              <w:fldChar w:fldCharType="end"/>
            </w:r>
          </w:hyperlink>
        </w:p>
        <w:p w14:paraId="5FB6BBE5" w14:textId="77777777" w:rsidR="005544D2" w:rsidRDefault="00055D38">
          <w:pPr>
            <w:pStyle w:val="TOC3"/>
            <w:tabs>
              <w:tab w:val="left" w:pos="2638"/>
            </w:tabs>
            <w:rPr>
              <w:rFonts w:asciiTheme="minorHAnsi" w:eastAsiaTheme="minorEastAsia" w:hAnsiTheme="minorHAnsi"/>
              <w:smallCaps w:val="0"/>
              <w:sz w:val="22"/>
              <w:lang w:eastAsia="en-US"/>
            </w:rPr>
          </w:pPr>
          <w:hyperlink w:anchor="_Toc427154410" w:history="1">
            <w:r w:rsidR="005544D2" w:rsidRPr="008D4CE9">
              <w:rPr>
                <w:rStyle w:val="Hyperlink"/>
                <w:b/>
              </w:rPr>
              <w:t>STRATEGIC GOAL IV</w:t>
            </w:r>
            <w:r w:rsidR="005544D2" w:rsidRPr="008D4CE9">
              <w:rPr>
                <w:rFonts w:asciiTheme="minorHAnsi" w:eastAsiaTheme="minorEastAsia" w:hAnsiTheme="minorHAnsi"/>
                <w:b/>
                <w:smallCaps w:val="0"/>
                <w:sz w:val="22"/>
                <w:lang w:eastAsia="en-US"/>
              </w:rPr>
              <w:tab/>
            </w:r>
            <w:r w:rsidR="005544D2" w:rsidRPr="008D4CE9">
              <w:rPr>
                <w:rStyle w:val="Hyperlink"/>
                <w:b/>
              </w:rPr>
              <w:t>COORDINATION AND DEVELOPMENT OF GLOBAL IP INFRASTRUCTUR</w:t>
            </w:r>
            <w:r w:rsidR="005544D2" w:rsidRPr="007B45EC">
              <w:rPr>
                <w:rStyle w:val="Hyperlink"/>
              </w:rPr>
              <w:t>E</w:t>
            </w:r>
            <w:r w:rsidR="005544D2">
              <w:rPr>
                <w:webHidden/>
              </w:rPr>
              <w:tab/>
            </w:r>
            <w:r w:rsidR="005544D2">
              <w:rPr>
                <w:webHidden/>
              </w:rPr>
              <w:fldChar w:fldCharType="begin"/>
            </w:r>
            <w:r w:rsidR="005544D2">
              <w:rPr>
                <w:webHidden/>
              </w:rPr>
              <w:instrText xml:space="preserve"> PAGEREF _Toc427154410 \h </w:instrText>
            </w:r>
            <w:r w:rsidR="005544D2">
              <w:rPr>
                <w:webHidden/>
              </w:rPr>
            </w:r>
            <w:r w:rsidR="005544D2">
              <w:rPr>
                <w:webHidden/>
              </w:rPr>
              <w:fldChar w:fldCharType="separate"/>
            </w:r>
            <w:r w:rsidR="008F6661">
              <w:rPr>
                <w:webHidden/>
              </w:rPr>
              <w:t>93</w:t>
            </w:r>
            <w:r w:rsidR="005544D2">
              <w:rPr>
                <w:webHidden/>
              </w:rPr>
              <w:fldChar w:fldCharType="end"/>
            </w:r>
          </w:hyperlink>
        </w:p>
        <w:p w14:paraId="00532B45" w14:textId="77777777" w:rsidR="005544D2" w:rsidRDefault="00055D38">
          <w:pPr>
            <w:pStyle w:val="TOC3"/>
            <w:rPr>
              <w:rFonts w:asciiTheme="minorHAnsi" w:eastAsiaTheme="minorEastAsia" w:hAnsiTheme="minorHAnsi"/>
              <w:smallCaps w:val="0"/>
              <w:sz w:val="22"/>
              <w:lang w:eastAsia="en-US"/>
            </w:rPr>
          </w:pPr>
          <w:hyperlink w:anchor="_Toc427154411" w:history="1">
            <w:r w:rsidR="005544D2" w:rsidRPr="007B45EC">
              <w:rPr>
                <w:rStyle w:val="Hyperlink"/>
              </w:rPr>
              <w:t xml:space="preserve">PROGRAM 12 </w:t>
            </w:r>
            <w:r w:rsidR="005544D2">
              <w:rPr>
                <w:rFonts w:asciiTheme="minorHAnsi" w:eastAsiaTheme="minorEastAsia" w:hAnsiTheme="minorHAnsi"/>
                <w:smallCaps w:val="0"/>
                <w:sz w:val="22"/>
                <w:lang w:eastAsia="en-US"/>
              </w:rPr>
              <w:tab/>
            </w:r>
            <w:r w:rsidR="005544D2" w:rsidRPr="007B45EC">
              <w:rPr>
                <w:rStyle w:val="Hyperlink"/>
              </w:rPr>
              <w:t>INTERNATIONAL CLASSIFICATIONS AND STANDARDS</w:t>
            </w:r>
            <w:r w:rsidR="005544D2">
              <w:rPr>
                <w:webHidden/>
              </w:rPr>
              <w:tab/>
            </w:r>
            <w:r w:rsidR="005544D2">
              <w:rPr>
                <w:webHidden/>
              </w:rPr>
              <w:fldChar w:fldCharType="begin"/>
            </w:r>
            <w:r w:rsidR="005544D2">
              <w:rPr>
                <w:webHidden/>
              </w:rPr>
              <w:instrText xml:space="preserve"> PAGEREF _Toc427154411 \h </w:instrText>
            </w:r>
            <w:r w:rsidR="005544D2">
              <w:rPr>
                <w:webHidden/>
              </w:rPr>
            </w:r>
            <w:r w:rsidR="005544D2">
              <w:rPr>
                <w:webHidden/>
              </w:rPr>
              <w:fldChar w:fldCharType="separate"/>
            </w:r>
            <w:r w:rsidR="008F6661">
              <w:rPr>
                <w:webHidden/>
              </w:rPr>
              <w:t>96</w:t>
            </w:r>
            <w:r w:rsidR="005544D2">
              <w:rPr>
                <w:webHidden/>
              </w:rPr>
              <w:fldChar w:fldCharType="end"/>
            </w:r>
          </w:hyperlink>
        </w:p>
        <w:p w14:paraId="11AF98D6" w14:textId="77777777" w:rsidR="005544D2" w:rsidRDefault="00055D38">
          <w:pPr>
            <w:pStyle w:val="TOC3"/>
            <w:rPr>
              <w:rFonts w:asciiTheme="minorHAnsi" w:eastAsiaTheme="minorEastAsia" w:hAnsiTheme="minorHAnsi"/>
              <w:smallCaps w:val="0"/>
              <w:sz w:val="22"/>
              <w:lang w:eastAsia="en-US"/>
            </w:rPr>
          </w:pPr>
          <w:hyperlink w:anchor="_Toc427154412" w:history="1">
            <w:r w:rsidR="005544D2" w:rsidRPr="007B45EC">
              <w:rPr>
                <w:rStyle w:val="Hyperlink"/>
              </w:rPr>
              <w:t>PROGRAM 13</w:t>
            </w:r>
            <w:r w:rsidR="005544D2">
              <w:rPr>
                <w:rFonts w:asciiTheme="minorHAnsi" w:eastAsiaTheme="minorEastAsia" w:hAnsiTheme="minorHAnsi"/>
                <w:smallCaps w:val="0"/>
                <w:sz w:val="22"/>
                <w:lang w:eastAsia="en-US"/>
              </w:rPr>
              <w:tab/>
            </w:r>
            <w:r w:rsidR="005544D2" w:rsidRPr="007B45EC">
              <w:rPr>
                <w:rStyle w:val="Hyperlink"/>
              </w:rPr>
              <w:t>GLOBAL DATABASES SERVICE</w:t>
            </w:r>
            <w:r w:rsidR="005544D2">
              <w:rPr>
                <w:webHidden/>
              </w:rPr>
              <w:tab/>
            </w:r>
            <w:r w:rsidR="005544D2">
              <w:rPr>
                <w:webHidden/>
              </w:rPr>
              <w:fldChar w:fldCharType="begin"/>
            </w:r>
            <w:r w:rsidR="005544D2">
              <w:rPr>
                <w:webHidden/>
              </w:rPr>
              <w:instrText xml:space="preserve"> PAGEREF _Toc427154412 \h </w:instrText>
            </w:r>
            <w:r w:rsidR="005544D2">
              <w:rPr>
                <w:webHidden/>
              </w:rPr>
            </w:r>
            <w:r w:rsidR="005544D2">
              <w:rPr>
                <w:webHidden/>
              </w:rPr>
              <w:fldChar w:fldCharType="separate"/>
            </w:r>
            <w:r w:rsidR="008F6661">
              <w:rPr>
                <w:webHidden/>
              </w:rPr>
              <w:t>100</w:t>
            </w:r>
            <w:r w:rsidR="005544D2">
              <w:rPr>
                <w:webHidden/>
              </w:rPr>
              <w:fldChar w:fldCharType="end"/>
            </w:r>
          </w:hyperlink>
        </w:p>
        <w:p w14:paraId="18870803" w14:textId="77777777" w:rsidR="005544D2" w:rsidRDefault="00055D38">
          <w:pPr>
            <w:pStyle w:val="TOC3"/>
            <w:rPr>
              <w:rFonts w:asciiTheme="minorHAnsi" w:eastAsiaTheme="minorEastAsia" w:hAnsiTheme="minorHAnsi"/>
              <w:smallCaps w:val="0"/>
              <w:sz w:val="22"/>
              <w:lang w:eastAsia="en-US"/>
            </w:rPr>
          </w:pPr>
          <w:hyperlink w:anchor="_Toc427154413" w:history="1">
            <w:r w:rsidR="005544D2" w:rsidRPr="007B45EC">
              <w:rPr>
                <w:rStyle w:val="Hyperlink"/>
              </w:rPr>
              <w:t>PROGRAM 14</w:t>
            </w:r>
            <w:r w:rsidR="005544D2">
              <w:rPr>
                <w:rFonts w:asciiTheme="minorHAnsi" w:eastAsiaTheme="minorEastAsia" w:hAnsiTheme="minorHAnsi"/>
                <w:smallCaps w:val="0"/>
                <w:sz w:val="22"/>
                <w:lang w:eastAsia="en-US"/>
              </w:rPr>
              <w:tab/>
            </w:r>
            <w:r w:rsidR="005544D2" w:rsidRPr="007B45EC">
              <w:rPr>
                <w:rStyle w:val="Hyperlink"/>
              </w:rPr>
              <w:t>SERVICES FOR ACCESS TO INFORMATION AND KNOWLEDGE</w:t>
            </w:r>
            <w:r w:rsidR="005544D2">
              <w:rPr>
                <w:webHidden/>
              </w:rPr>
              <w:tab/>
            </w:r>
            <w:r w:rsidR="005544D2">
              <w:rPr>
                <w:webHidden/>
              </w:rPr>
              <w:fldChar w:fldCharType="begin"/>
            </w:r>
            <w:r w:rsidR="005544D2">
              <w:rPr>
                <w:webHidden/>
              </w:rPr>
              <w:instrText xml:space="preserve"> PAGEREF _Toc427154413 \h </w:instrText>
            </w:r>
            <w:r w:rsidR="005544D2">
              <w:rPr>
                <w:webHidden/>
              </w:rPr>
            </w:r>
            <w:r w:rsidR="005544D2">
              <w:rPr>
                <w:webHidden/>
              </w:rPr>
              <w:fldChar w:fldCharType="separate"/>
            </w:r>
            <w:r w:rsidR="008F6661">
              <w:rPr>
                <w:webHidden/>
              </w:rPr>
              <w:t>103</w:t>
            </w:r>
            <w:r w:rsidR="005544D2">
              <w:rPr>
                <w:webHidden/>
              </w:rPr>
              <w:fldChar w:fldCharType="end"/>
            </w:r>
          </w:hyperlink>
        </w:p>
        <w:p w14:paraId="0F4B1AC3" w14:textId="77777777" w:rsidR="005544D2" w:rsidRDefault="00055D38">
          <w:pPr>
            <w:pStyle w:val="TOC3"/>
            <w:rPr>
              <w:rFonts w:asciiTheme="minorHAnsi" w:eastAsiaTheme="minorEastAsia" w:hAnsiTheme="minorHAnsi"/>
              <w:smallCaps w:val="0"/>
              <w:sz w:val="22"/>
              <w:lang w:eastAsia="en-US"/>
            </w:rPr>
          </w:pPr>
          <w:hyperlink w:anchor="_Toc427154414" w:history="1">
            <w:r w:rsidR="005544D2" w:rsidRPr="007B45EC">
              <w:rPr>
                <w:rStyle w:val="Hyperlink"/>
              </w:rPr>
              <w:t>PROGRAM 15</w:t>
            </w:r>
            <w:r w:rsidR="005544D2">
              <w:rPr>
                <w:rFonts w:asciiTheme="minorHAnsi" w:eastAsiaTheme="minorEastAsia" w:hAnsiTheme="minorHAnsi"/>
                <w:smallCaps w:val="0"/>
                <w:sz w:val="22"/>
                <w:lang w:eastAsia="en-US"/>
              </w:rPr>
              <w:tab/>
            </w:r>
            <w:r w:rsidR="005544D2" w:rsidRPr="007B45EC">
              <w:rPr>
                <w:rStyle w:val="Hyperlink"/>
              </w:rPr>
              <w:t>BUSINESS SOLUTIONS FOR IP OFFICES</w:t>
            </w:r>
            <w:r w:rsidR="005544D2">
              <w:rPr>
                <w:webHidden/>
              </w:rPr>
              <w:tab/>
            </w:r>
            <w:r w:rsidR="005544D2">
              <w:rPr>
                <w:webHidden/>
              </w:rPr>
              <w:fldChar w:fldCharType="begin"/>
            </w:r>
            <w:r w:rsidR="005544D2">
              <w:rPr>
                <w:webHidden/>
              </w:rPr>
              <w:instrText xml:space="preserve"> PAGEREF _Toc427154414 \h </w:instrText>
            </w:r>
            <w:r w:rsidR="005544D2">
              <w:rPr>
                <w:webHidden/>
              </w:rPr>
            </w:r>
            <w:r w:rsidR="005544D2">
              <w:rPr>
                <w:webHidden/>
              </w:rPr>
              <w:fldChar w:fldCharType="separate"/>
            </w:r>
            <w:r w:rsidR="008F6661">
              <w:rPr>
                <w:webHidden/>
              </w:rPr>
              <w:t>107</w:t>
            </w:r>
            <w:r w:rsidR="005544D2">
              <w:rPr>
                <w:webHidden/>
              </w:rPr>
              <w:fldChar w:fldCharType="end"/>
            </w:r>
          </w:hyperlink>
        </w:p>
        <w:p w14:paraId="4F4E754D" w14:textId="77777777" w:rsidR="005544D2" w:rsidRDefault="00055D38">
          <w:pPr>
            <w:pStyle w:val="TOC3"/>
            <w:tabs>
              <w:tab w:val="left" w:pos="2583"/>
            </w:tabs>
            <w:rPr>
              <w:rFonts w:asciiTheme="minorHAnsi" w:eastAsiaTheme="minorEastAsia" w:hAnsiTheme="minorHAnsi"/>
              <w:smallCaps w:val="0"/>
              <w:sz w:val="22"/>
              <w:lang w:eastAsia="en-US"/>
            </w:rPr>
          </w:pPr>
          <w:hyperlink w:anchor="_Toc427154415" w:history="1">
            <w:r w:rsidR="005544D2" w:rsidRPr="008D4CE9">
              <w:rPr>
                <w:rStyle w:val="Hyperlink"/>
                <w:b/>
              </w:rPr>
              <w:t>STRATEGIC GOAL V</w:t>
            </w:r>
            <w:r w:rsidR="005544D2" w:rsidRPr="008D4CE9">
              <w:rPr>
                <w:rFonts w:asciiTheme="minorHAnsi" w:eastAsiaTheme="minorEastAsia" w:hAnsiTheme="minorHAnsi"/>
                <w:b/>
                <w:smallCaps w:val="0"/>
                <w:sz w:val="22"/>
                <w:lang w:eastAsia="en-US"/>
              </w:rPr>
              <w:tab/>
            </w:r>
            <w:r w:rsidR="005544D2" w:rsidRPr="008D4CE9">
              <w:rPr>
                <w:rStyle w:val="Hyperlink"/>
                <w:b/>
              </w:rPr>
              <w:t>WORLD REFERENCE SOURCE FOR IP INFORMATION AND ANALYSIS</w:t>
            </w:r>
            <w:r w:rsidR="005544D2">
              <w:rPr>
                <w:webHidden/>
              </w:rPr>
              <w:tab/>
            </w:r>
            <w:r w:rsidR="005544D2">
              <w:rPr>
                <w:webHidden/>
              </w:rPr>
              <w:fldChar w:fldCharType="begin"/>
            </w:r>
            <w:r w:rsidR="005544D2">
              <w:rPr>
                <w:webHidden/>
              </w:rPr>
              <w:instrText xml:space="preserve"> PAGEREF _Toc427154415 \h </w:instrText>
            </w:r>
            <w:r w:rsidR="005544D2">
              <w:rPr>
                <w:webHidden/>
              </w:rPr>
            </w:r>
            <w:r w:rsidR="005544D2">
              <w:rPr>
                <w:webHidden/>
              </w:rPr>
              <w:fldChar w:fldCharType="separate"/>
            </w:r>
            <w:r w:rsidR="008F6661">
              <w:rPr>
                <w:webHidden/>
              </w:rPr>
              <w:t>111</w:t>
            </w:r>
            <w:r w:rsidR="005544D2">
              <w:rPr>
                <w:webHidden/>
              </w:rPr>
              <w:fldChar w:fldCharType="end"/>
            </w:r>
          </w:hyperlink>
        </w:p>
        <w:p w14:paraId="0FF6DB6E" w14:textId="77777777" w:rsidR="005544D2" w:rsidRDefault="00055D38">
          <w:pPr>
            <w:pStyle w:val="TOC3"/>
            <w:rPr>
              <w:rFonts w:asciiTheme="minorHAnsi" w:eastAsiaTheme="minorEastAsia" w:hAnsiTheme="minorHAnsi"/>
              <w:smallCaps w:val="0"/>
              <w:sz w:val="22"/>
              <w:lang w:eastAsia="en-US"/>
            </w:rPr>
          </w:pPr>
          <w:hyperlink w:anchor="_Toc427154416" w:history="1">
            <w:r w:rsidR="005544D2" w:rsidRPr="007B45EC">
              <w:rPr>
                <w:rStyle w:val="Hyperlink"/>
              </w:rPr>
              <w:t>PROGRAM 16</w:t>
            </w:r>
            <w:r w:rsidR="005544D2">
              <w:rPr>
                <w:rFonts w:asciiTheme="minorHAnsi" w:eastAsiaTheme="minorEastAsia" w:hAnsiTheme="minorHAnsi"/>
                <w:smallCaps w:val="0"/>
                <w:sz w:val="22"/>
                <w:lang w:eastAsia="en-US"/>
              </w:rPr>
              <w:tab/>
            </w:r>
            <w:r w:rsidR="005544D2" w:rsidRPr="007B45EC">
              <w:rPr>
                <w:rStyle w:val="Hyperlink"/>
              </w:rPr>
              <w:t>ECONOMICS AND STATISTICS</w:t>
            </w:r>
            <w:r w:rsidR="005544D2">
              <w:rPr>
                <w:webHidden/>
              </w:rPr>
              <w:tab/>
            </w:r>
            <w:r w:rsidR="005544D2">
              <w:rPr>
                <w:webHidden/>
              </w:rPr>
              <w:fldChar w:fldCharType="begin"/>
            </w:r>
            <w:r w:rsidR="005544D2">
              <w:rPr>
                <w:webHidden/>
              </w:rPr>
              <w:instrText xml:space="preserve"> PAGEREF _Toc427154416 \h </w:instrText>
            </w:r>
            <w:r w:rsidR="005544D2">
              <w:rPr>
                <w:webHidden/>
              </w:rPr>
            </w:r>
            <w:r w:rsidR="005544D2">
              <w:rPr>
                <w:webHidden/>
              </w:rPr>
              <w:fldChar w:fldCharType="separate"/>
            </w:r>
            <w:r w:rsidR="008F6661">
              <w:rPr>
                <w:webHidden/>
              </w:rPr>
              <w:t>112</w:t>
            </w:r>
            <w:r w:rsidR="005544D2">
              <w:rPr>
                <w:webHidden/>
              </w:rPr>
              <w:fldChar w:fldCharType="end"/>
            </w:r>
          </w:hyperlink>
        </w:p>
        <w:p w14:paraId="0C4CC974" w14:textId="77777777" w:rsidR="005544D2" w:rsidRDefault="00055D38">
          <w:pPr>
            <w:pStyle w:val="TOC3"/>
            <w:tabs>
              <w:tab w:val="left" w:pos="2638"/>
            </w:tabs>
            <w:rPr>
              <w:rFonts w:asciiTheme="minorHAnsi" w:eastAsiaTheme="minorEastAsia" w:hAnsiTheme="minorHAnsi"/>
              <w:smallCaps w:val="0"/>
              <w:sz w:val="22"/>
              <w:lang w:eastAsia="en-US"/>
            </w:rPr>
          </w:pPr>
          <w:hyperlink w:anchor="_Toc427154417" w:history="1">
            <w:r w:rsidR="005544D2" w:rsidRPr="007B45EC">
              <w:rPr>
                <w:rStyle w:val="Hyperlink"/>
              </w:rPr>
              <w:t>STRATEGIC GOAL VI</w:t>
            </w:r>
            <w:r w:rsidR="005544D2">
              <w:rPr>
                <w:rFonts w:asciiTheme="minorHAnsi" w:eastAsiaTheme="minorEastAsia" w:hAnsiTheme="minorHAnsi"/>
                <w:smallCaps w:val="0"/>
                <w:sz w:val="22"/>
                <w:lang w:eastAsia="en-US"/>
              </w:rPr>
              <w:tab/>
            </w:r>
            <w:r w:rsidR="005544D2" w:rsidRPr="007B45EC">
              <w:rPr>
                <w:rStyle w:val="Hyperlink"/>
              </w:rPr>
              <w:t>INTERNATIONAL COOPERATION ON BUILDING RESPECT FOR IP</w:t>
            </w:r>
            <w:r w:rsidR="005544D2">
              <w:rPr>
                <w:webHidden/>
              </w:rPr>
              <w:tab/>
            </w:r>
            <w:r w:rsidR="005544D2">
              <w:rPr>
                <w:webHidden/>
              </w:rPr>
              <w:fldChar w:fldCharType="begin"/>
            </w:r>
            <w:r w:rsidR="005544D2">
              <w:rPr>
                <w:webHidden/>
              </w:rPr>
              <w:instrText xml:space="preserve"> PAGEREF _Toc427154417 \h </w:instrText>
            </w:r>
            <w:r w:rsidR="005544D2">
              <w:rPr>
                <w:webHidden/>
              </w:rPr>
            </w:r>
            <w:r w:rsidR="005544D2">
              <w:rPr>
                <w:webHidden/>
              </w:rPr>
              <w:fldChar w:fldCharType="separate"/>
            </w:r>
            <w:r w:rsidR="008F6661">
              <w:rPr>
                <w:webHidden/>
              </w:rPr>
              <w:t>115</w:t>
            </w:r>
            <w:r w:rsidR="005544D2">
              <w:rPr>
                <w:webHidden/>
              </w:rPr>
              <w:fldChar w:fldCharType="end"/>
            </w:r>
          </w:hyperlink>
        </w:p>
        <w:p w14:paraId="78D92D58" w14:textId="77777777" w:rsidR="005544D2" w:rsidRDefault="00055D38">
          <w:pPr>
            <w:pStyle w:val="TOC3"/>
            <w:rPr>
              <w:rFonts w:asciiTheme="minorHAnsi" w:eastAsiaTheme="minorEastAsia" w:hAnsiTheme="minorHAnsi"/>
              <w:smallCaps w:val="0"/>
              <w:sz w:val="22"/>
              <w:lang w:eastAsia="en-US"/>
            </w:rPr>
          </w:pPr>
          <w:hyperlink w:anchor="_Toc427154418" w:history="1">
            <w:r w:rsidR="005544D2" w:rsidRPr="008D4CE9">
              <w:rPr>
                <w:rStyle w:val="Hyperlink"/>
                <w:b/>
              </w:rPr>
              <w:t>PROGRAM 17</w:t>
            </w:r>
            <w:r w:rsidR="005544D2" w:rsidRPr="008D4CE9">
              <w:rPr>
                <w:rFonts w:asciiTheme="minorHAnsi" w:eastAsiaTheme="minorEastAsia" w:hAnsiTheme="minorHAnsi"/>
                <w:b/>
                <w:smallCaps w:val="0"/>
                <w:sz w:val="22"/>
                <w:lang w:eastAsia="en-US"/>
              </w:rPr>
              <w:tab/>
            </w:r>
            <w:r w:rsidR="005544D2" w:rsidRPr="008D4CE9">
              <w:rPr>
                <w:rStyle w:val="Hyperlink"/>
                <w:b/>
              </w:rPr>
              <w:t>BUILDING RESPECT FOR IP</w:t>
            </w:r>
            <w:r w:rsidR="005544D2">
              <w:rPr>
                <w:webHidden/>
              </w:rPr>
              <w:tab/>
            </w:r>
            <w:r w:rsidR="005544D2">
              <w:rPr>
                <w:webHidden/>
              </w:rPr>
              <w:fldChar w:fldCharType="begin"/>
            </w:r>
            <w:r w:rsidR="005544D2">
              <w:rPr>
                <w:webHidden/>
              </w:rPr>
              <w:instrText xml:space="preserve"> PAGEREF _Toc427154418 \h </w:instrText>
            </w:r>
            <w:r w:rsidR="005544D2">
              <w:rPr>
                <w:webHidden/>
              </w:rPr>
            </w:r>
            <w:r w:rsidR="005544D2">
              <w:rPr>
                <w:webHidden/>
              </w:rPr>
              <w:fldChar w:fldCharType="separate"/>
            </w:r>
            <w:r w:rsidR="008F6661">
              <w:rPr>
                <w:webHidden/>
              </w:rPr>
              <w:t>116</w:t>
            </w:r>
            <w:r w:rsidR="005544D2">
              <w:rPr>
                <w:webHidden/>
              </w:rPr>
              <w:fldChar w:fldCharType="end"/>
            </w:r>
          </w:hyperlink>
        </w:p>
        <w:p w14:paraId="3EAD90BD" w14:textId="77777777" w:rsidR="005544D2" w:rsidRDefault="00055D38">
          <w:pPr>
            <w:pStyle w:val="TOC3"/>
            <w:tabs>
              <w:tab w:val="left" w:pos="2738"/>
            </w:tabs>
            <w:rPr>
              <w:rFonts w:asciiTheme="minorHAnsi" w:eastAsiaTheme="minorEastAsia" w:hAnsiTheme="minorHAnsi"/>
              <w:smallCaps w:val="0"/>
              <w:sz w:val="22"/>
              <w:lang w:eastAsia="en-US"/>
            </w:rPr>
          </w:pPr>
          <w:hyperlink w:anchor="_Toc427154419" w:history="1">
            <w:r w:rsidR="005544D2" w:rsidRPr="008D4CE9">
              <w:rPr>
                <w:rStyle w:val="Hyperlink"/>
                <w:b/>
              </w:rPr>
              <w:t xml:space="preserve">STRATEGIC GOAL VII </w:t>
            </w:r>
            <w:r w:rsidR="005544D2" w:rsidRPr="008D4CE9">
              <w:rPr>
                <w:rFonts w:asciiTheme="minorHAnsi" w:eastAsiaTheme="minorEastAsia" w:hAnsiTheme="minorHAnsi"/>
                <w:b/>
                <w:smallCaps w:val="0"/>
                <w:sz w:val="22"/>
                <w:lang w:eastAsia="en-US"/>
              </w:rPr>
              <w:tab/>
            </w:r>
            <w:r w:rsidR="005544D2" w:rsidRPr="008D4CE9">
              <w:rPr>
                <w:rStyle w:val="Hyperlink"/>
                <w:b/>
              </w:rPr>
              <w:t>ADDRESSING IP IN RELATION TO GLOBAL POLICY ISSUES</w:t>
            </w:r>
            <w:r w:rsidR="005544D2">
              <w:rPr>
                <w:webHidden/>
              </w:rPr>
              <w:tab/>
            </w:r>
            <w:r w:rsidR="005544D2">
              <w:rPr>
                <w:webHidden/>
              </w:rPr>
              <w:fldChar w:fldCharType="begin"/>
            </w:r>
            <w:r w:rsidR="005544D2">
              <w:rPr>
                <w:webHidden/>
              </w:rPr>
              <w:instrText xml:space="preserve"> PAGEREF _Toc427154419 \h </w:instrText>
            </w:r>
            <w:r w:rsidR="005544D2">
              <w:rPr>
                <w:webHidden/>
              </w:rPr>
            </w:r>
            <w:r w:rsidR="005544D2">
              <w:rPr>
                <w:webHidden/>
              </w:rPr>
              <w:fldChar w:fldCharType="separate"/>
            </w:r>
            <w:r w:rsidR="008F6661">
              <w:rPr>
                <w:webHidden/>
              </w:rPr>
              <w:t>121</w:t>
            </w:r>
            <w:r w:rsidR="005544D2">
              <w:rPr>
                <w:webHidden/>
              </w:rPr>
              <w:fldChar w:fldCharType="end"/>
            </w:r>
          </w:hyperlink>
        </w:p>
        <w:p w14:paraId="23968199" w14:textId="77777777" w:rsidR="005544D2" w:rsidRDefault="00055D38">
          <w:pPr>
            <w:pStyle w:val="TOC3"/>
            <w:rPr>
              <w:rFonts w:asciiTheme="minorHAnsi" w:eastAsiaTheme="minorEastAsia" w:hAnsiTheme="minorHAnsi"/>
              <w:smallCaps w:val="0"/>
              <w:sz w:val="22"/>
              <w:lang w:eastAsia="en-US"/>
            </w:rPr>
          </w:pPr>
          <w:hyperlink w:anchor="_Toc427154420" w:history="1">
            <w:r w:rsidR="005544D2" w:rsidRPr="007B45EC">
              <w:rPr>
                <w:rStyle w:val="Hyperlink"/>
              </w:rPr>
              <w:t>PROGRAM 18</w:t>
            </w:r>
            <w:r w:rsidR="005544D2">
              <w:rPr>
                <w:rFonts w:asciiTheme="minorHAnsi" w:eastAsiaTheme="minorEastAsia" w:hAnsiTheme="minorHAnsi"/>
                <w:smallCaps w:val="0"/>
                <w:sz w:val="22"/>
                <w:lang w:eastAsia="en-US"/>
              </w:rPr>
              <w:tab/>
            </w:r>
            <w:r w:rsidR="005544D2" w:rsidRPr="007B45EC">
              <w:rPr>
                <w:rStyle w:val="Hyperlink"/>
              </w:rPr>
              <w:t>IP AND GLOBAL CHALLENGES</w:t>
            </w:r>
            <w:r w:rsidR="005544D2">
              <w:rPr>
                <w:webHidden/>
              </w:rPr>
              <w:tab/>
            </w:r>
            <w:r w:rsidR="005544D2">
              <w:rPr>
                <w:webHidden/>
              </w:rPr>
              <w:fldChar w:fldCharType="begin"/>
            </w:r>
            <w:r w:rsidR="005544D2">
              <w:rPr>
                <w:webHidden/>
              </w:rPr>
              <w:instrText xml:space="preserve"> PAGEREF _Toc427154420 \h </w:instrText>
            </w:r>
            <w:r w:rsidR="005544D2">
              <w:rPr>
                <w:webHidden/>
              </w:rPr>
            </w:r>
            <w:r w:rsidR="005544D2">
              <w:rPr>
                <w:webHidden/>
              </w:rPr>
              <w:fldChar w:fldCharType="separate"/>
            </w:r>
            <w:r w:rsidR="008F6661">
              <w:rPr>
                <w:webHidden/>
              </w:rPr>
              <w:t>122</w:t>
            </w:r>
            <w:r w:rsidR="005544D2">
              <w:rPr>
                <w:webHidden/>
              </w:rPr>
              <w:fldChar w:fldCharType="end"/>
            </w:r>
          </w:hyperlink>
        </w:p>
        <w:p w14:paraId="0400CB34" w14:textId="77777777" w:rsidR="005544D2" w:rsidRDefault="005544D2">
          <w:pPr>
            <w:rPr>
              <w:rStyle w:val="Hyperlink"/>
              <w:rFonts w:ascii="Arial" w:eastAsia="SimSun" w:hAnsi="Arial"/>
              <w:smallCaps/>
              <w:noProof/>
              <w:sz w:val="20"/>
            </w:rPr>
          </w:pPr>
          <w:r>
            <w:rPr>
              <w:rStyle w:val="Hyperlink"/>
              <w:noProof/>
            </w:rPr>
            <w:br w:type="page"/>
          </w:r>
        </w:p>
        <w:p w14:paraId="5FF68360" w14:textId="352FC0B6" w:rsidR="005544D2" w:rsidRDefault="00055D38">
          <w:pPr>
            <w:pStyle w:val="TOC3"/>
            <w:tabs>
              <w:tab w:val="left" w:pos="2749"/>
            </w:tabs>
            <w:rPr>
              <w:rFonts w:asciiTheme="minorHAnsi" w:eastAsiaTheme="minorEastAsia" w:hAnsiTheme="minorHAnsi"/>
              <w:smallCaps w:val="0"/>
              <w:sz w:val="22"/>
              <w:lang w:eastAsia="en-US"/>
            </w:rPr>
          </w:pPr>
          <w:hyperlink w:anchor="_Toc427154421" w:history="1">
            <w:r w:rsidR="005544D2" w:rsidRPr="008D4CE9">
              <w:rPr>
                <w:rStyle w:val="Hyperlink"/>
                <w:b/>
              </w:rPr>
              <w:t>STRATEGIC GOAL VIII</w:t>
            </w:r>
            <w:r w:rsidR="005544D2" w:rsidRPr="008D4CE9">
              <w:rPr>
                <w:rFonts w:asciiTheme="minorHAnsi" w:eastAsiaTheme="minorEastAsia" w:hAnsiTheme="minorHAnsi"/>
                <w:b/>
                <w:smallCaps w:val="0"/>
                <w:sz w:val="22"/>
                <w:lang w:eastAsia="en-US"/>
              </w:rPr>
              <w:tab/>
            </w:r>
            <w:r w:rsidR="005544D2" w:rsidRPr="008D4CE9">
              <w:rPr>
                <w:rStyle w:val="Hyperlink"/>
                <w:b/>
              </w:rPr>
              <w:t>A RESPONSIVE COMMUNICATIONS INTERFACE BETWEEN WIPO, ITS MEMBERS AND ALL STAKEHOLDERS</w:t>
            </w:r>
            <w:r w:rsidR="005544D2">
              <w:rPr>
                <w:webHidden/>
              </w:rPr>
              <w:tab/>
            </w:r>
            <w:r w:rsidR="005544D2">
              <w:rPr>
                <w:webHidden/>
              </w:rPr>
              <w:fldChar w:fldCharType="begin"/>
            </w:r>
            <w:r w:rsidR="005544D2">
              <w:rPr>
                <w:webHidden/>
              </w:rPr>
              <w:instrText xml:space="preserve"> PAGEREF _Toc427154421 \h </w:instrText>
            </w:r>
            <w:r w:rsidR="005544D2">
              <w:rPr>
                <w:webHidden/>
              </w:rPr>
            </w:r>
            <w:r w:rsidR="005544D2">
              <w:rPr>
                <w:webHidden/>
              </w:rPr>
              <w:fldChar w:fldCharType="separate"/>
            </w:r>
            <w:r w:rsidR="008F6661">
              <w:rPr>
                <w:webHidden/>
              </w:rPr>
              <w:t>128</w:t>
            </w:r>
            <w:r w:rsidR="005544D2">
              <w:rPr>
                <w:webHidden/>
              </w:rPr>
              <w:fldChar w:fldCharType="end"/>
            </w:r>
          </w:hyperlink>
        </w:p>
        <w:p w14:paraId="0F1AEDF1" w14:textId="77777777" w:rsidR="005544D2" w:rsidRDefault="00055D38">
          <w:pPr>
            <w:pStyle w:val="TOC3"/>
            <w:rPr>
              <w:rFonts w:asciiTheme="minorHAnsi" w:eastAsiaTheme="minorEastAsia" w:hAnsiTheme="minorHAnsi"/>
              <w:smallCaps w:val="0"/>
              <w:sz w:val="22"/>
              <w:lang w:eastAsia="en-US"/>
            </w:rPr>
          </w:pPr>
          <w:hyperlink w:anchor="_Toc427154422" w:history="1">
            <w:r w:rsidR="005544D2" w:rsidRPr="007B45EC">
              <w:rPr>
                <w:rStyle w:val="Hyperlink"/>
              </w:rPr>
              <w:t xml:space="preserve">PROGRAM 19 </w:t>
            </w:r>
            <w:r w:rsidR="005544D2">
              <w:rPr>
                <w:rFonts w:asciiTheme="minorHAnsi" w:eastAsiaTheme="minorEastAsia" w:hAnsiTheme="minorHAnsi"/>
                <w:smallCaps w:val="0"/>
                <w:sz w:val="22"/>
                <w:lang w:eastAsia="en-US"/>
              </w:rPr>
              <w:tab/>
            </w:r>
            <w:r w:rsidR="005544D2" w:rsidRPr="007B45EC">
              <w:rPr>
                <w:rStyle w:val="Hyperlink"/>
              </w:rPr>
              <w:t>COMMUNICATIONS</w:t>
            </w:r>
            <w:r w:rsidR="005544D2">
              <w:rPr>
                <w:webHidden/>
              </w:rPr>
              <w:tab/>
            </w:r>
            <w:r w:rsidR="005544D2">
              <w:rPr>
                <w:webHidden/>
              </w:rPr>
              <w:fldChar w:fldCharType="begin"/>
            </w:r>
            <w:r w:rsidR="005544D2">
              <w:rPr>
                <w:webHidden/>
              </w:rPr>
              <w:instrText xml:space="preserve"> PAGEREF _Toc427154422 \h </w:instrText>
            </w:r>
            <w:r w:rsidR="005544D2">
              <w:rPr>
                <w:webHidden/>
              </w:rPr>
            </w:r>
            <w:r w:rsidR="005544D2">
              <w:rPr>
                <w:webHidden/>
              </w:rPr>
              <w:fldChar w:fldCharType="separate"/>
            </w:r>
            <w:r w:rsidR="008F6661">
              <w:rPr>
                <w:webHidden/>
              </w:rPr>
              <w:t>130</w:t>
            </w:r>
            <w:r w:rsidR="005544D2">
              <w:rPr>
                <w:webHidden/>
              </w:rPr>
              <w:fldChar w:fldCharType="end"/>
            </w:r>
          </w:hyperlink>
        </w:p>
        <w:p w14:paraId="1726F7E4" w14:textId="77777777" w:rsidR="005544D2" w:rsidRDefault="00055D38">
          <w:pPr>
            <w:pStyle w:val="TOC3"/>
            <w:rPr>
              <w:rFonts w:asciiTheme="minorHAnsi" w:eastAsiaTheme="minorEastAsia" w:hAnsiTheme="minorHAnsi"/>
              <w:smallCaps w:val="0"/>
              <w:sz w:val="22"/>
              <w:lang w:eastAsia="en-US"/>
            </w:rPr>
          </w:pPr>
          <w:hyperlink w:anchor="_Toc427154423" w:history="1">
            <w:r w:rsidR="005544D2" w:rsidRPr="007B45EC">
              <w:rPr>
                <w:rStyle w:val="Hyperlink"/>
              </w:rPr>
              <w:t>PROGRAM 20</w:t>
            </w:r>
            <w:r w:rsidR="005544D2">
              <w:rPr>
                <w:rFonts w:asciiTheme="minorHAnsi" w:eastAsiaTheme="minorEastAsia" w:hAnsiTheme="minorHAnsi"/>
                <w:smallCaps w:val="0"/>
                <w:sz w:val="22"/>
                <w:lang w:eastAsia="en-US"/>
              </w:rPr>
              <w:tab/>
            </w:r>
            <w:r w:rsidR="005544D2" w:rsidRPr="007B45EC">
              <w:rPr>
                <w:rStyle w:val="Hyperlink"/>
              </w:rPr>
              <w:t>EXTERNAL RELATIONS, PARTNERSHIPS AND EXTERNAL OFFICES</w:t>
            </w:r>
            <w:r w:rsidR="005544D2">
              <w:rPr>
                <w:webHidden/>
              </w:rPr>
              <w:tab/>
            </w:r>
            <w:r w:rsidR="005544D2">
              <w:rPr>
                <w:webHidden/>
              </w:rPr>
              <w:fldChar w:fldCharType="begin"/>
            </w:r>
            <w:r w:rsidR="005544D2">
              <w:rPr>
                <w:webHidden/>
              </w:rPr>
              <w:instrText xml:space="preserve"> PAGEREF _Toc427154423 \h </w:instrText>
            </w:r>
            <w:r w:rsidR="005544D2">
              <w:rPr>
                <w:webHidden/>
              </w:rPr>
            </w:r>
            <w:r w:rsidR="005544D2">
              <w:rPr>
                <w:webHidden/>
              </w:rPr>
              <w:fldChar w:fldCharType="separate"/>
            </w:r>
            <w:r w:rsidR="008F6661">
              <w:rPr>
                <w:webHidden/>
              </w:rPr>
              <w:t>135</w:t>
            </w:r>
            <w:r w:rsidR="005544D2">
              <w:rPr>
                <w:webHidden/>
              </w:rPr>
              <w:fldChar w:fldCharType="end"/>
            </w:r>
          </w:hyperlink>
        </w:p>
        <w:p w14:paraId="4D00A84A" w14:textId="77777777" w:rsidR="005544D2" w:rsidRDefault="00055D38">
          <w:pPr>
            <w:pStyle w:val="TOC3"/>
            <w:tabs>
              <w:tab w:val="left" w:pos="2683"/>
            </w:tabs>
            <w:rPr>
              <w:rFonts w:asciiTheme="minorHAnsi" w:eastAsiaTheme="minorEastAsia" w:hAnsiTheme="minorHAnsi"/>
              <w:smallCaps w:val="0"/>
              <w:sz w:val="22"/>
              <w:lang w:eastAsia="en-US"/>
            </w:rPr>
          </w:pPr>
          <w:hyperlink w:anchor="_Toc427154424" w:history="1">
            <w:r w:rsidR="005544D2" w:rsidRPr="008D4CE9">
              <w:rPr>
                <w:rStyle w:val="Hyperlink"/>
                <w:b/>
              </w:rPr>
              <w:t xml:space="preserve">STRATEGIC GOAL IX </w:t>
            </w:r>
            <w:r w:rsidR="005544D2" w:rsidRPr="008D4CE9">
              <w:rPr>
                <w:rFonts w:asciiTheme="minorHAnsi" w:eastAsiaTheme="minorEastAsia" w:hAnsiTheme="minorHAnsi"/>
                <w:b/>
                <w:smallCaps w:val="0"/>
                <w:sz w:val="22"/>
                <w:lang w:eastAsia="en-US"/>
              </w:rPr>
              <w:tab/>
            </w:r>
            <w:r w:rsidR="005544D2" w:rsidRPr="008D4CE9">
              <w:rPr>
                <w:rStyle w:val="Hyperlink"/>
                <w:b/>
              </w:rPr>
              <w:t>EFFICIENT ADMINISTRATIVE AND FINANCIAL SUPPORT</w:t>
            </w:r>
            <w:r w:rsidR="005544D2">
              <w:rPr>
                <w:webHidden/>
              </w:rPr>
              <w:tab/>
            </w:r>
            <w:r w:rsidR="005544D2">
              <w:rPr>
                <w:webHidden/>
              </w:rPr>
              <w:fldChar w:fldCharType="begin"/>
            </w:r>
            <w:r w:rsidR="005544D2">
              <w:rPr>
                <w:webHidden/>
              </w:rPr>
              <w:instrText xml:space="preserve"> PAGEREF _Toc427154424 \h </w:instrText>
            </w:r>
            <w:r w:rsidR="005544D2">
              <w:rPr>
                <w:webHidden/>
              </w:rPr>
            </w:r>
            <w:r w:rsidR="005544D2">
              <w:rPr>
                <w:webHidden/>
              </w:rPr>
              <w:fldChar w:fldCharType="separate"/>
            </w:r>
            <w:r w:rsidR="008F6661">
              <w:rPr>
                <w:webHidden/>
              </w:rPr>
              <w:t>144</w:t>
            </w:r>
            <w:r w:rsidR="005544D2">
              <w:rPr>
                <w:webHidden/>
              </w:rPr>
              <w:fldChar w:fldCharType="end"/>
            </w:r>
          </w:hyperlink>
        </w:p>
        <w:p w14:paraId="2D44FD25" w14:textId="77777777" w:rsidR="005544D2" w:rsidRDefault="00055D38">
          <w:pPr>
            <w:pStyle w:val="TOC3"/>
            <w:rPr>
              <w:rFonts w:asciiTheme="minorHAnsi" w:eastAsiaTheme="minorEastAsia" w:hAnsiTheme="minorHAnsi"/>
              <w:smallCaps w:val="0"/>
              <w:sz w:val="22"/>
              <w:lang w:eastAsia="en-US"/>
            </w:rPr>
          </w:pPr>
          <w:hyperlink w:anchor="_Toc427154425" w:history="1">
            <w:r w:rsidR="005544D2" w:rsidRPr="007B45EC">
              <w:rPr>
                <w:rStyle w:val="Hyperlink"/>
                <w:bCs/>
              </w:rPr>
              <w:t>PROGRAM 21</w:t>
            </w:r>
            <w:r w:rsidR="005544D2">
              <w:rPr>
                <w:rFonts w:asciiTheme="minorHAnsi" w:eastAsiaTheme="minorEastAsia" w:hAnsiTheme="minorHAnsi"/>
                <w:smallCaps w:val="0"/>
                <w:sz w:val="22"/>
                <w:lang w:eastAsia="en-US"/>
              </w:rPr>
              <w:tab/>
            </w:r>
            <w:r w:rsidR="005544D2" w:rsidRPr="007B45EC">
              <w:rPr>
                <w:rStyle w:val="Hyperlink"/>
                <w:bCs/>
              </w:rPr>
              <w:t>EXECUTIVE MANAGEMENT</w:t>
            </w:r>
            <w:r w:rsidR="005544D2">
              <w:rPr>
                <w:webHidden/>
              </w:rPr>
              <w:tab/>
            </w:r>
            <w:r w:rsidR="005544D2">
              <w:rPr>
                <w:webHidden/>
              </w:rPr>
              <w:fldChar w:fldCharType="begin"/>
            </w:r>
            <w:r w:rsidR="005544D2">
              <w:rPr>
                <w:webHidden/>
              </w:rPr>
              <w:instrText xml:space="preserve"> PAGEREF _Toc427154425 \h </w:instrText>
            </w:r>
            <w:r w:rsidR="005544D2">
              <w:rPr>
                <w:webHidden/>
              </w:rPr>
            </w:r>
            <w:r w:rsidR="005544D2">
              <w:rPr>
                <w:webHidden/>
              </w:rPr>
              <w:fldChar w:fldCharType="separate"/>
            </w:r>
            <w:r w:rsidR="008F6661">
              <w:rPr>
                <w:webHidden/>
              </w:rPr>
              <w:t>148</w:t>
            </w:r>
            <w:r w:rsidR="005544D2">
              <w:rPr>
                <w:webHidden/>
              </w:rPr>
              <w:fldChar w:fldCharType="end"/>
            </w:r>
          </w:hyperlink>
        </w:p>
        <w:p w14:paraId="4AB03B40" w14:textId="77777777" w:rsidR="005544D2" w:rsidRDefault="00055D38">
          <w:pPr>
            <w:pStyle w:val="TOC3"/>
            <w:rPr>
              <w:rFonts w:asciiTheme="minorHAnsi" w:eastAsiaTheme="minorEastAsia" w:hAnsiTheme="minorHAnsi"/>
              <w:smallCaps w:val="0"/>
              <w:sz w:val="22"/>
              <w:lang w:eastAsia="en-US"/>
            </w:rPr>
          </w:pPr>
          <w:hyperlink w:anchor="_Toc427154426" w:history="1">
            <w:r w:rsidR="005544D2" w:rsidRPr="007B45EC">
              <w:rPr>
                <w:rStyle w:val="Hyperlink"/>
              </w:rPr>
              <w:t>PROGRAM 22</w:t>
            </w:r>
            <w:r w:rsidR="005544D2">
              <w:rPr>
                <w:rFonts w:asciiTheme="minorHAnsi" w:eastAsiaTheme="minorEastAsia" w:hAnsiTheme="minorHAnsi"/>
                <w:smallCaps w:val="0"/>
                <w:sz w:val="22"/>
                <w:lang w:eastAsia="en-US"/>
              </w:rPr>
              <w:tab/>
            </w:r>
            <w:r w:rsidR="005544D2" w:rsidRPr="007B45EC">
              <w:rPr>
                <w:rStyle w:val="Hyperlink"/>
              </w:rPr>
              <w:t>PROGRAM AND RESOURCE MANAGEMENT</w:t>
            </w:r>
            <w:r w:rsidR="005544D2">
              <w:rPr>
                <w:webHidden/>
              </w:rPr>
              <w:tab/>
            </w:r>
            <w:r w:rsidR="005544D2">
              <w:rPr>
                <w:webHidden/>
              </w:rPr>
              <w:fldChar w:fldCharType="begin"/>
            </w:r>
            <w:r w:rsidR="005544D2">
              <w:rPr>
                <w:webHidden/>
              </w:rPr>
              <w:instrText xml:space="preserve"> PAGEREF _Toc427154426 \h </w:instrText>
            </w:r>
            <w:r w:rsidR="005544D2">
              <w:rPr>
                <w:webHidden/>
              </w:rPr>
            </w:r>
            <w:r w:rsidR="005544D2">
              <w:rPr>
                <w:webHidden/>
              </w:rPr>
              <w:fldChar w:fldCharType="separate"/>
            </w:r>
            <w:r w:rsidR="008F6661">
              <w:rPr>
                <w:webHidden/>
              </w:rPr>
              <w:t>153</w:t>
            </w:r>
            <w:r w:rsidR="005544D2">
              <w:rPr>
                <w:webHidden/>
              </w:rPr>
              <w:fldChar w:fldCharType="end"/>
            </w:r>
          </w:hyperlink>
        </w:p>
        <w:p w14:paraId="65DDD2AD" w14:textId="77777777" w:rsidR="005544D2" w:rsidRDefault="00055D38">
          <w:pPr>
            <w:pStyle w:val="TOC3"/>
            <w:rPr>
              <w:rFonts w:asciiTheme="minorHAnsi" w:eastAsiaTheme="minorEastAsia" w:hAnsiTheme="minorHAnsi"/>
              <w:smallCaps w:val="0"/>
              <w:sz w:val="22"/>
              <w:lang w:eastAsia="en-US"/>
            </w:rPr>
          </w:pPr>
          <w:hyperlink w:anchor="_Toc427154427" w:history="1">
            <w:r w:rsidR="005544D2" w:rsidRPr="007B45EC">
              <w:rPr>
                <w:rStyle w:val="Hyperlink"/>
              </w:rPr>
              <w:t xml:space="preserve">PROGRAM 23 </w:t>
            </w:r>
            <w:r w:rsidR="005544D2">
              <w:rPr>
                <w:rFonts w:asciiTheme="minorHAnsi" w:eastAsiaTheme="minorEastAsia" w:hAnsiTheme="minorHAnsi"/>
                <w:smallCaps w:val="0"/>
                <w:sz w:val="22"/>
                <w:lang w:eastAsia="en-US"/>
              </w:rPr>
              <w:tab/>
            </w:r>
            <w:r w:rsidR="005544D2" w:rsidRPr="007B45EC">
              <w:rPr>
                <w:rStyle w:val="Hyperlink"/>
              </w:rPr>
              <w:t>HUMAN RESOURCES MANAGEMENT AND DEVELOPMENT</w:t>
            </w:r>
            <w:r w:rsidR="005544D2">
              <w:rPr>
                <w:webHidden/>
              </w:rPr>
              <w:tab/>
            </w:r>
            <w:r w:rsidR="005544D2">
              <w:rPr>
                <w:webHidden/>
              </w:rPr>
              <w:fldChar w:fldCharType="begin"/>
            </w:r>
            <w:r w:rsidR="005544D2">
              <w:rPr>
                <w:webHidden/>
              </w:rPr>
              <w:instrText xml:space="preserve"> PAGEREF _Toc427154427 \h </w:instrText>
            </w:r>
            <w:r w:rsidR="005544D2">
              <w:rPr>
                <w:webHidden/>
              </w:rPr>
            </w:r>
            <w:r w:rsidR="005544D2">
              <w:rPr>
                <w:webHidden/>
              </w:rPr>
              <w:fldChar w:fldCharType="separate"/>
            </w:r>
            <w:r w:rsidR="008F6661">
              <w:rPr>
                <w:webHidden/>
              </w:rPr>
              <w:t>158</w:t>
            </w:r>
            <w:r w:rsidR="005544D2">
              <w:rPr>
                <w:webHidden/>
              </w:rPr>
              <w:fldChar w:fldCharType="end"/>
            </w:r>
          </w:hyperlink>
        </w:p>
        <w:p w14:paraId="09E81B2E" w14:textId="77777777" w:rsidR="005544D2" w:rsidRDefault="00055D38">
          <w:pPr>
            <w:pStyle w:val="TOC3"/>
            <w:rPr>
              <w:rFonts w:asciiTheme="minorHAnsi" w:eastAsiaTheme="minorEastAsia" w:hAnsiTheme="minorHAnsi"/>
              <w:smallCaps w:val="0"/>
              <w:sz w:val="22"/>
              <w:lang w:eastAsia="en-US"/>
            </w:rPr>
          </w:pPr>
          <w:hyperlink w:anchor="_Toc427154428" w:history="1">
            <w:r w:rsidR="005544D2" w:rsidRPr="007B45EC">
              <w:rPr>
                <w:rStyle w:val="Hyperlink"/>
              </w:rPr>
              <w:t>PROGRAM 24</w:t>
            </w:r>
            <w:r w:rsidR="005544D2">
              <w:rPr>
                <w:rFonts w:asciiTheme="minorHAnsi" w:eastAsiaTheme="minorEastAsia" w:hAnsiTheme="minorHAnsi"/>
                <w:smallCaps w:val="0"/>
                <w:sz w:val="22"/>
                <w:lang w:eastAsia="en-US"/>
              </w:rPr>
              <w:tab/>
            </w:r>
            <w:r w:rsidR="005544D2" w:rsidRPr="007B45EC">
              <w:rPr>
                <w:rStyle w:val="Hyperlink"/>
              </w:rPr>
              <w:t>GENERAL SUPPORT SERVICES</w:t>
            </w:r>
            <w:r w:rsidR="005544D2">
              <w:rPr>
                <w:webHidden/>
              </w:rPr>
              <w:tab/>
            </w:r>
            <w:r w:rsidR="005544D2">
              <w:rPr>
                <w:webHidden/>
              </w:rPr>
              <w:fldChar w:fldCharType="begin"/>
            </w:r>
            <w:r w:rsidR="005544D2">
              <w:rPr>
                <w:webHidden/>
              </w:rPr>
              <w:instrText xml:space="preserve"> PAGEREF _Toc427154428 \h </w:instrText>
            </w:r>
            <w:r w:rsidR="005544D2">
              <w:rPr>
                <w:webHidden/>
              </w:rPr>
            </w:r>
            <w:r w:rsidR="005544D2">
              <w:rPr>
                <w:webHidden/>
              </w:rPr>
              <w:fldChar w:fldCharType="separate"/>
            </w:r>
            <w:r w:rsidR="008F6661">
              <w:rPr>
                <w:webHidden/>
              </w:rPr>
              <w:t>162</w:t>
            </w:r>
            <w:r w:rsidR="005544D2">
              <w:rPr>
                <w:webHidden/>
              </w:rPr>
              <w:fldChar w:fldCharType="end"/>
            </w:r>
          </w:hyperlink>
        </w:p>
        <w:p w14:paraId="28676F81" w14:textId="77777777" w:rsidR="005544D2" w:rsidRDefault="00055D38">
          <w:pPr>
            <w:pStyle w:val="TOC3"/>
            <w:rPr>
              <w:rFonts w:asciiTheme="minorHAnsi" w:eastAsiaTheme="minorEastAsia" w:hAnsiTheme="minorHAnsi"/>
              <w:smallCaps w:val="0"/>
              <w:sz w:val="22"/>
              <w:lang w:eastAsia="en-US"/>
            </w:rPr>
          </w:pPr>
          <w:hyperlink w:anchor="_Toc427154429" w:history="1">
            <w:r w:rsidR="005544D2" w:rsidRPr="007B45EC">
              <w:rPr>
                <w:rStyle w:val="Hyperlink"/>
              </w:rPr>
              <w:t>PROGRAM 25</w:t>
            </w:r>
            <w:r w:rsidR="005544D2">
              <w:rPr>
                <w:rFonts w:asciiTheme="minorHAnsi" w:eastAsiaTheme="minorEastAsia" w:hAnsiTheme="minorHAnsi"/>
                <w:smallCaps w:val="0"/>
                <w:sz w:val="22"/>
                <w:lang w:eastAsia="en-US"/>
              </w:rPr>
              <w:tab/>
            </w:r>
            <w:r w:rsidR="005544D2" w:rsidRPr="007B45EC">
              <w:rPr>
                <w:rStyle w:val="Hyperlink"/>
              </w:rPr>
              <w:t>INFORMATION AND COMMUNICATION TECHNOLOGY</w:t>
            </w:r>
            <w:r w:rsidR="005544D2">
              <w:rPr>
                <w:webHidden/>
              </w:rPr>
              <w:tab/>
            </w:r>
            <w:r w:rsidR="005544D2">
              <w:rPr>
                <w:webHidden/>
              </w:rPr>
              <w:fldChar w:fldCharType="begin"/>
            </w:r>
            <w:r w:rsidR="005544D2">
              <w:rPr>
                <w:webHidden/>
              </w:rPr>
              <w:instrText xml:space="preserve"> PAGEREF _Toc427154429 \h </w:instrText>
            </w:r>
            <w:r w:rsidR="005544D2">
              <w:rPr>
                <w:webHidden/>
              </w:rPr>
            </w:r>
            <w:r w:rsidR="005544D2">
              <w:rPr>
                <w:webHidden/>
              </w:rPr>
              <w:fldChar w:fldCharType="separate"/>
            </w:r>
            <w:r w:rsidR="008F6661">
              <w:rPr>
                <w:webHidden/>
              </w:rPr>
              <w:t>166</w:t>
            </w:r>
            <w:r w:rsidR="005544D2">
              <w:rPr>
                <w:webHidden/>
              </w:rPr>
              <w:fldChar w:fldCharType="end"/>
            </w:r>
          </w:hyperlink>
        </w:p>
        <w:p w14:paraId="232D7FC2" w14:textId="77777777" w:rsidR="005544D2" w:rsidRDefault="00055D38">
          <w:pPr>
            <w:pStyle w:val="TOC3"/>
            <w:rPr>
              <w:rFonts w:asciiTheme="minorHAnsi" w:eastAsiaTheme="minorEastAsia" w:hAnsiTheme="minorHAnsi"/>
              <w:smallCaps w:val="0"/>
              <w:sz w:val="22"/>
              <w:lang w:eastAsia="en-US"/>
            </w:rPr>
          </w:pPr>
          <w:hyperlink w:anchor="_Toc427154430" w:history="1">
            <w:r w:rsidR="005544D2" w:rsidRPr="007B45EC">
              <w:rPr>
                <w:rStyle w:val="Hyperlink"/>
              </w:rPr>
              <w:t>PROGRAM 26</w:t>
            </w:r>
            <w:r w:rsidR="005544D2">
              <w:rPr>
                <w:rFonts w:asciiTheme="minorHAnsi" w:eastAsiaTheme="minorEastAsia" w:hAnsiTheme="minorHAnsi"/>
                <w:smallCaps w:val="0"/>
                <w:sz w:val="22"/>
                <w:lang w:eastAsia="en-US"/>
              </w:rPr>
              <w:tab/>
            </w:r>
            <w:r w:rsidR="005544D2" w:rsidRPr="007B45EC">
              <w:rPr>
                <w:rStyle w:val="Hyperlink"/>
              </w:rPr>
              <w:t>INTERNAL OVERSIGHT</w:t>
            </w:r>
            <w:r w:rsidR="005544D2">
              <w:rPr>
                <w:webHidden/>
              </w:rPr>
              <w:tab/>
            </w:r>
            <w:r w:rsidR="005544D2">
              <w:rPr>
                <w:webHidden/>
              </w:rPr>
              <w:fldChar w:fldCharType="begin"/>
            </w:r>
            <w:r w:rsidR="005544D2">
              <w:rPr>
                <w:webHidden/>
              </w:rPr>
              <w:instrText xml:space="preserve"> PAGEREF _Toc427154430 \h </w:instrText>
            </w:r>
            <w:r w:rsidR="005544D2">
              <w:rPr>
                <w:webHidden/>
              </w:rPr>
            </w:r>
            <w:r w:rsidR="005544D2">
              <w:rPr>
                <w:webHidden/>
              </w:rPr>
              <w:fldChar w:fldCharType="separate"/>
            </w:r>
            <w:r w:rsidR="008F6661">
              <w:rPr>
                <w:webHidden/>
              </w:rPr>
              <w:t>169</w:t>
            </w:r>
            <w:r w:rsidR="005544D2">
              <w:rPr>
                <w:webHidden/>
              </w:rPr>
              <w:fldChar w:fldCharType="end"/>
            </w:r>
          </w:hyperlink>
        </w:p>
        <w:p w14:paraId="238AEB6D" w14:textId="77777777" w:rsidR="005544D2" w:rsidRDefault="00055D38">
          <w:pPr>
            <w:pStyle w:val="TOC3"/>
            <w:rPr>
              <w:rFonts w:asciiTheme="minorHAnsi" w:eastAsiaTheme="minorEastAsia" w:hAnsiTheme="minorHAnsi"/>
              <w:smallCaps w:val="0"/>
              <w:sz w:val="22"/>
              <w:lang w:eastAsia="en-US"/>
            </w:rPr>
          </w:pPr>
          <w:hyperlink w:anchor="_Toc427154431" w:history="1">
            <w:r w:rsidR="005544D2" w:rsidRPr="007B45EC">
              <w:rPr>
                <w:rStyle w:val="Hyperlink"/>
              </w:rPr>
              <w:t>PROGRAM 27</w:t>
            </w:r>
            <w:r w:rsidR="005544D2">
              <w:rPr>
                <w:rFonts w:asciiTheme="minorHAnsi" w:eastAsiaTheme="minorEastAsia" w:hAnsiTheme="minorHAnsi"/>
                <w:smallCaps w:val="0"/>
                <w:sz w:val="22"/>
                <w:lang w:eastAsia="en-US"/>
              </w:rPr>
              <w:tab/>
            </w:r>
            <w:r w:rsidR="005544D2" w:rsidRPr="007B45EC">
              <w:rPr>
                <w:rStyle w:val="Hyperlink"/>
              </w:rPr>
              <w:t>CONFERENCE AND LANGUAGE SERVICES</w:t>
            </w:r>
            <w:r w:rsidR="005544D2">
              <w:rPr>
                <w:webHidden/>
              </w:rPr>
              <w:tab/>
            </w:r>
            <w:r w:rsidR="005544D2">
              <w:rPr>
                <w:webHidden/>
              </w:rPr>
              <w:fldChar w:fldCharType="begin"/>
            </w:r>
            <w:r w:rsidR="005544D2">
              <w:rPr>
                <w:webHidden/>
              </w:rPr>
              <w:instrText xml:space="preserve"> PAGEREF _Toc427154431 \h </w:instrText>
            </w:r>
            <w:r w:rsidR="005544D2">
              <w:rPr>
                <w:webHidden/>
              </w:rPr>
            </w:r>
            <w:r w:rsidR="005544D2">
              <w:rPr>
                <w:webHidden/>
              </w:rPr>
              <w:fldChar w:fldCharType="separate"/>
            </w:r>
            <w:r w:rsidR="008F6661">
              <w:rPr>
                <w:webHidden/>
              </w:rPr>
              <w:t>172</w:t>
            </w:r>
            <w:r w:rsidR="005544D2">
              <w:rPr>
                <w:webHidden/>
              </w:rPr>
              <w:fldChar w:fldCharType="end"/>
            </w:r>
          </w:hyperlink>
        </w:p>
        <w:p w14:paraId="2376860C" w14:textId="77777777" w:rsidR="005544D2" w:rsidRDefault="00055D38">
          <w:pPr>
            <w:pStyle w:val="TOC3"/>
            <w:rPr>
              <w:rFonts w:asciiTheme="minorHAnsi" w:eastAsiaTheme="minorEastAsia" w:hAnsiTheme="minorHAnsi"/>
              <w:smallCaps w:val="0"/>
              <w:sz w:val="22"/>
              <w:lang w:eastAsia="en-US"/>
            </w:rPr>
          </w:pPr>
          <w:hyperlink w:anchor="_Toc427154432" w:history="1">
            <w:r w:rsidR="005544D2" w:rsidRPr="007B45EC">
              <w:rPr>
                <w:rStyle w:val="Hyperlink"/>
              </w:rPr>
              <w:t>PROGRAM 28</w:t>
            </w:r>
            <w:r w:rsidR="005544D2">
              <w:rPr>
                <w:rFonts w:asciiTheme="minorHAnsi" w:eastAsiaTheme="minorEastAsia" w:hAnsiTheme="minorHAnsi"/>
                <w:smallCaps w:val="0"/>
                <w:sz w:val="22"/>
                <w:lang w:eastAsia="en-US"/>
              </w:rPr>
              <w:tab/>
            </w:r>
            <w:r w:rsidR="005544D2" w:rsidRPr="007B45EC">
              <w:rPr>
                <w:rStyle w:val="Hyperlink"/>
              </w:rPr>
              <w:t>INFORMATION ASSURANCE, SAFETY AND SECURITY</w:t>
            </w:r>
            <w:r w:rsidR="005544D2">
              <w:rPr>
                <w:webHidden/>
              </w:rPr>
              <w:tab/>
            </w:r>
            <w:r w:rsidR="005544D2">
              <w:rPr>
                <w:webHidden/>
              </w:rPr>
              <w:fldChar w:fldCharType="begin"/>
            </w:r>
            <w:r w:rsidR="005544D2">
              <w:rPr>
                <w:webHidden/>
              </w:rPr>
              <w:instrText xml:space="preserve"> PAGEREF _Toc427154432 \h </w:instrText>
            </w:r>
            <w:r w:rsidR="005544D2">
              <w:rPr>
                <w:webHidden/>
              </w:rPr>
            </w:r>
            <w:r w:rsidR="005544D2">
              <w:rPr>
                <w:webHidden/>
              </w:rPr>
              <w:fldChar w:fldCharType="separate"/>
            </w:r>
            <w:r w:rsidR="008F6661">
              <w:rPr>
                <w:webHidden/>
              </w:rPr>
              <w:t>175</w:t>
            </w:r>
            <w:r w:rsidR="005544D2">
              <w:rPr>
                <w:webHidden/>
              </w:rPr>
              <w:fldChar w:fldCharType="end"/>
            </w:r>
          </w:hyperlink>
        </w:p>
        <w:p w14:paraId="15013ED9" w14:textId="77777777" w:rsidR="005544D2" w:rsidRDefault="00055D38">
          <w:pPr>
            <w:pStyle w:val="TOC1"/>
            <w:rPr>
              <w:rFonts w:asciiTheme="minorHAnsi" w:hAnsiTheme="minorHAnsi"/>
              <w:b w:val="0"/>
              <w:lang w:eastAsia="en-US"/>
            </w:rPr>
          </w:pPr>
          <w:hyperlink w:anchor="_Toc427154433" w:history="1">
            <w:r w:rsidR="005544D2" w:rsidRPr="007B45EC">
              <w:rPr>
                <w:rStyle w:val="Hyperlink"/>
              </w:rPr>
              <w:t>III.</w:t>
            </w:r>
            <w:r w:rsidR="005544D2">
              <w:rPr>
                <w:rFonts w:asciiTheme="minorHAnsi" w:hAnsiTheme="minorHAnsi"/>
                <w:b w:val="0"/>
                <w:lang w:eastAsia="en-US"/>
              </w:rPr>
              <w:tab/>
            </w:r>
            <w:r w:rsidR="005544D2" w:rsidRPr="007B45EC">
              <w:rPr>
                <w:rStyle w:val="Hyperlink"/>
              </w:rPr>
              <w:t>ANNEXES</w:t>
            </w:r>
            <w:r w:rsidR="005544D2">
              <w:rPr>
                <w:webHidden/>
              </w:rPr>
              <w:tab/>
            </w:r>
            <w:r w:rsidR="005544D2">
              <w:rPr>
                <w:webHidden/>
              </w:rPr>
              <w:fldChar w:fldCharType="begin"/>
            </w:r>
            <w:r w:rsidR="005544D2">
              <w:rPr>
                <w:webHidden/>
              </w:rPr>
              <w:instrText xml:space="preserve"> PAGEREF _Toc427154433 \h </w:instrText>
            </w:r>
            <w:r w:rsidR="005544D2">
              <w:rPr>
                <w:webHidden/>
              </w:rPr>
            </w:r>
            <w:r w:rsidR="005544D2">
              <w:rPr>
                <w:webHidden/>
              </w:rPr>
              <w:fldChar w:fldCharType="separate"/>
            </w:r>
            <w:r w:rsidR="008F6661">
              <w:rPr>
                <w:webHidden/>
              </w:rPr>
              <w:t>179</w:t>
            </w:r>
            <w:r w:rsidR="005544D2">
              <w:rPr>
                <w:webHidden/>
              </w:rPr>
              <w:fldChar w:fldCharType="end"/>
            </w:r>
          </w:hyperlink>
        </w:p>
        <w:p w14:paraId="6BD4BF0E" w14:textId="77777777" w:rsidR="005544D2" w:rsidRDefault="00055D38">
          <w:pPr>
            <w:pStyle w:val="TOC3"/>
            <w:rPr>
              <w:rFonts w:asciiTheme="minorHAnsi" w:eastAsiaTheme="minorEastAsia" w:hAnsiTheme="minorHAnsi"/>
              <w:smallCaps w:val="0"/>
              <w:sz w:val="22"/>
              <w:lang w:eastAsia="en-US"/>
            </w:rPr>
          </w:pPr>
          <w:hyperlink w:anchor="_Toc427154434" w:history="1">
            <w:r w:rsidR="005544D2" w:rsidRPr="007B45EC">
              <w:rPr>
                <w:rStyle w:val="Hyperlink"/>
              </w:rPr>
              <w:t>ANNEX I</w:t>
            </w:r>
            <w:r w:rsidR="005544D2">
              <w:rPr>
                <w:rFonts w:asciiTheme="minorHAnsi" w:eastAsiaTheme="minorEastAsia" w:hAnsiTheme="minorHAnsi"/>
                <w:smallCaps w:val="0"/>
                <w:sz w:val="22"/>
                <w:lang w:eastAsia="en-US"/>
              </w:rPr>
              <w:tab/>
            </w:r>
            <w:r w:rsidR="005544D2" w:rsidRPr="007B45EC">
              <w:rPr>
                <w:rStyle w:val="Hyperlink"/>
              </w:rPr>
              <w:t>2014/15 BUDGET AFTER TRANSFERS BY PROGRAM</w:t>
            </w:r>
            <w:r w:rsidR="005544D2">
              <w:rPr>
                <w:webHidden/>
              </w:rPr>
              <w:tab/>
            </w:r>
            <w:r w:rsidR="005544D2">
              <w:rPr>
                <w:webHidden/>
              </w:rPr>
              <w:fldChar w:fldCharType="begin"/>
            </w:r>
            <w:r w:rsidR="005544D2">
              <w:rPr>
                <w:webHidden/>
              </w:rPr>
              <w:instrText xml:space="preserve"> PAGEREF _Toc427154434 \h </w:instrText>
            </w:r>
            <w:r w:rsidR="005544D2">
              <w:rPr>
                <w:webHidden/>
              </w:rPr>
            </w:r>
            <w:r w:rsidR="005544D2">
              <w:rPr>
                <w:webHidden/>
              </w:rPr>
              <w:fldChar w:fldCharType="separate"/>
            </w:r>
            <w:r w:rsidR="008F6661">
              <w:rPr>
                <w:webHidden/>
              </w:rPr>
              <w:t>179</w:t>
            </w:r>
            <w:r w:rsidR="005544D2">
              <w:rPr>
                <w:webHidden/>
              </w:rPr>
              <w:fldChar w:fldCharType="end"/>
            </w:r>
          </w:hyperlink>
        </w:p>
        <w:p w14:paraId="5BB26D14" w14:textId="77777777" w:rsidR="005544D2" w:rsidRDefault="00055D38">
          <w:pPr>
            <w:pStyle w:val="TOC3"/>
            <w:rPr>
              <w:rFonts w:asciiTheme="minorHAnsi" w:eastAsiaTheme="minorEastAsia" w:hAnsiTheme="minorHAnsi"/>
              <w:smallCaps w:val="0"/>
              <w:sz w:val="22"/>
              <w:lang w:eastAsia="en-US"/>
            </w:rPr>
          </w:pPr>
          <w:hyperlink w:anchor="_Toc427154435" w:history="1">
            <w:r w:rsidR="005544D2" w:rsidRPr="007B45EC">
              <w:rPr>
                <w:rStyle w:val="Hyperlink"/>
              </w:rPr>
              <w:t>ANNEX II</w:t>
            </w:r>
            <w:r w:rsidR="005544D2">
              <w:rPr>
                <w:rFonts w:asciiTheme="minorHAnsi" w:eastAsiaTheme="minorEastAsia" w:hAnsiTheme="minorHAnsi"/>
                <w:smallCaps w:val="0"/>
                <w:sz w:val="22"/>
                <w:lang w:eastAsia="en-US"/>
              </w:rPr>
              <w:tab/>
            </w:r>
            <w:r w:rsidR="005544D2" w:rsidRPr="007B45EC">
              <w:rPr>
                <w:rStyle w:val="Hyperlink"/>
              </w:rPr>
              <w:t>2016/17 PROPOSED RESOURCES BY PROGRAM</w:t>
            </w:r>
            <w:r w:rsidR="005544D2">
              <w:rPr>
                <w:webHidden/>
              </w:rPr>
              <w:tab/>
            </w:r>
            <w:r w:rsidR="005544D2">
              <w:rPr>
                <w:webHidden/>
              </w:rPr>
              <w:fldChar w:fldCharType="begin"/>
            </w:r>
            <w:r w:rsidR="005544D2">
              <w:rPr>
                <w:webHidden/>
              </w:rPr>
              <w:instrText xml:space="preserve"> PAGEREF _Toc427154435 \h </w:instrText>
            </w:r>
            <w:r w:rsidR="005544D2">
              <w:rPr>
                <w:webHidden/>
              </w:rPr>
            </w:r>
            <w:r w:rsidR="005544D2">
              <w:rPr>
                <w:webHidden/>
              </w:rPr>
              <w:fldChar w:fldCharType="separate"/>
            </w:r>
            <w:r w:rsidR="008F6661">
              <w:rPr>
                <w:webHidden/>
              </w:rPr>
              <w:t>180</w:t>
            </w:r>
            <w:r w:rsidR="005544D2">
              <w:rPr>
                <w:webHidden/>
              </w:rPr>
              <w:fldChar w:fldCharType="end"/>
            </w:r>
          </w:hyperlink>
        </w:p>
        <w:p w14:paraId="670F6ECE" w14:textId="77777777" w:rsidR="005544D2" w:rsidRDefault="00055D38">
          <w:pPr>
            <w:pStyle w:val="TOC3"/>
            <w:rPr>
              <w:rFonts w:asciiTheme="minorHAnsi" w:eastAsiaTheme="minorEastAsia" w:hAnsiTheme="minorHAnsi"/>
              <w:smallCaps w:val="0"/>
              <w:sz w:val="22"/>
              <w:lang w:eastAsia="en-US"/>
            </w:rPr>
          </w:pPr>
          <w:hyperlink w:anchor="_Toc427154436" w:history="1">
            <w:r w:rsidR="005544D2" w:rsidRPr="007B45EC">
              <w:rPr>
                <w:rStyle w:val="Hyperlink"/>
              </w:rPr>
              <w:t>ANNEX III</w:t>
            </w:r>
            <w:r w:rsidR="005544D2">
              <w:rPr>
                <w:rFonts w:asciiTheme="minorHAnsi" w:eastAsiaTheme="minorEastAsia" w:hAnsiTheme="minorHAnsi"/>
                <w:smallCaps w:val="0"/>
                <w:sz w:val="22"/>
                <w:lang w:eastAsia="en-US"/>
              </w:rPr>
              <w:tab/>
            </w:r>
            <w:r w:rsidR="005544D2" w:rsidRPr="007B45EC">
              <w:rPr>
                <w:rStyle w:val="Hyperlink"/>
              </w:rPr>
              <w:t>ALLOCATION OF PROJECTED INCOME AND BUDGET BY UNION</w:t>
            </w:r>
            <w:r w:rsidR="005544D2">
              <w:rPr>
                <w:webHidden/>
              </w:rPr>
              <w:tab/>
            </w:r>
            <w:r w:rsidR="005544D2">
              <w:rPr>
                <w:webHidden/>
              </w:rPr>
              <w:fldChar w:fldCharType="begin"/>
            </w:r>
            <w:r w:rsidR="005544D2">
              <w:rPr>
                <w:webHidden/>
              </w:rPr>
              <w:instrText xml:space="preserve"> PAGEREF _Toc427154436 \h </w:instrText>
            </w:r>
            <w:r w:rsidR="005544D2">
              <w:rPr>
                <w:webHidden/>
              </w:rPr>
            </w:r>
            <w:r w:rsidR="005544D2">
              <w:rPr>
                <w:webHidden/>
              </w:rPr>
              <w:fldChar w:fldCharType="separate"/>
            </w:r>
            <w:r w:rsidR="008F6661">
              <w:rPr>
                <w:webHidden/>
              </w:rPr>
              <w:t>182</w:t>
            </w:r>
            <w:r w:rsidR="005544D2">
              <w:rPr>
                <w:webHidden/>
              </w:rPr>
              <w:fldChar w:fldCharType="end"/>
            </w:r>
          </w:hyperlink>
        </w:p>
        <w:p w14:paraId="561ACD2B" w14:textId="77777777" w:rsidR="005544D2" w:rsidRDefault="00055D38">
          <w:pPr>
            <w:pStyle w:val="TOC3"/>
            <w:rPr>
              <w:rFonts w:asciiTheme="minorHAnsi" w:eastAsiaTheme="minorEastAsia" w:hAnsiTheme="minorHAnsi"/>
              <w:smallCaps w:val="0"/>
              <w:sz w:val="22"/>
              <w:lang w:eastAsia="en-US"/>
            </w:rPr>
          </w:pPr>
          <w:hyperlink w:anchor="_Toc427154437" w:history="1">
            <w:r w:rsidR="005544D2" w:rsidRPr="007B45EC">
              <w:rPr>
                <w:rStyle w:val="Hyperlink"/>
              </w:rPr>
              <w:t>ANNEX IV</w:t>
            </w:r>
            <w:r w:rsidR="005544D2">
              <w:rPr>
                <w:rFonts w:asciiTheme="minorHAnsi" w:eastAsiaTheme="minorEastAsia" w:hAnsiTheme="minorHAnsi"/>
                <w:smallCaps w:val="0"/>
                <w:sz w:val="22"/>
                <w:lang w:eastAsia="en-US"/>
              </w:rPr>
              <w:tab/>
            </w:r>
            <w:r w:rsidR="005544D2" w:rsidRPr="007B45EC">
              <w:rPr>
                <w:rStyle w:val="Hyperlink"/>
              </w:rPr>
              <w:t>EVOLUTION AND DEMAND FOR SERVICES UNDER THE PCT, MADRID AND THE HAGUE SYSTEMS IN THE MEDIUM TERM</w:t>
            </w:r>
            <w:r w:rsidR="005544D2">
              <w:rPr>
                <w:webHidden/>
              </w:rPr>
              <w:tab/>
            </w:r>
            <w:r w:rsidR="005544D2">
              <w:rPr>
                <w:webHidden/>
              </w:rPr>
              <w:fldChar w:fldCharType="begin"/>
            </w:r>
            <w:r w:rsidR="005544D2">
              <w:rPr>
                <w:webHidden/>
              </w:rPr>
              <w:instrText xml:space="preserve"> PAGEREF _Toc427154437 \h </w:instrText>
            </w:r>
            <w:r w:rsidR="005544D2">
              <w:rPr>
                <w:webHidden/>
              </w:rPr>
            </w:r>
            <w:r w:rsidR="005544D2">
              <w:rPr>
                <w:webHidden/>
              </w:rPr>
              <w:fldChar w:fldCharType="separate"/>
            </w:r>
            <w:r w:rsidR="008F6661">
              <w:rPr>
                <w:webHidden/>
              </w:rPr>
              <w:t>186</w:t>
            </w:r>
            <w:r w:rsidR="005544D2">
              <w:rPr>
                <w:webHidden/>
              </w:rPr>
              <w:fldChar w:fldCharType="end"/>
            </w:r>
          </w:hyperlink>
        </w:p>
        <w:p w14:paraId="5D3DDFE2" w14:textId="77777777" w:rsidR="005544D2" w:rsidRDefault="00055D38">
          <w:pPr>
            <w:pStyle w:val="TOC3"/>
            <w:rPr>
              <w:rFonts w:asciiTheme="minorHAnsi" w:eastAsiaTheme="minorEastAsia" w:hAnsiTheme="minorHAnsi"/>
              <w:smallCaps w:val="0"/>
              <w:sz w:val="22"/>
              <w:lang w:eastAsia="en-US"/>
            </w:rPr>
          </w:pPr>
          <w:hyperlink w:anchor="_Toc427154438" w:history="1">
            <w:r w:rsidR="005544D2" w:rsidRPr="007B45EC">
              <w:rPr>
                <w:rStyle w:val="Hyperlink"/>
              </w:rPr>
              <w:t>ANNEX V</w:t>
            </w:r>
            <w:r w:rsidR="005544D2">
              <w:rPr>
                <w:rFonts w:asciiTheme="minorHAnsi" w:eastAsiaTheme="minorEastAsia" w:hAnsiTheme="minorHAnsi"/>
                <w:smallCaps w:val="0"/>
                <w:sz w:val="22"/>
                <w:lang w:eastAsia="en-US"/>
              </w:rPr>
              <w:tab/>
            </w:r>
            <w:r w:rsidR="005544D2" w:rsidRPr="007B45EC">
              <w:rPr>
                <w:rStyle w:val="Hyperlink"/>
              </w:rPr>
              <w:t>INDICATORS OF PCT OPERATIONS</w:t>
            </w:r>
            <w:r w:rsidR="005544D2">
              <w:rPr>
                <w:webHidden/>
              </w:rPr>
              <w:tab/>
            </w:r>
            <w:r w:rsidR="005544D2">
              <w:rPr>
                <w:webHidden/>
              </w:rPr>
              <w:fldChar w:fldCharType="begin"/>
            </w:r>
            <w:r w:rsidR="005544D2">
              <w:rPr>
                <w:webHidden/>
              </w:rPr>
              <w:instrText xml:space="preserve"> PAGEREF _Toc427154438 \h </w:instrText>
            </w:r>
            <w:r w:rsidR="005544D2">
              <w:rPr>
                <w:webHidden/>
              </w:rPr>
            </w:r>
            <w:r w:rsidR="005544D2">
              <w:rPr>
                <w:webHidden/>
              </w:rPr>
              <w:fldChar w:fldCharType="separate"/>
            </w:r>
            <w:r w:rsidR="008F6661">
              <w:rPr>
                <w:webHidden/>
              </w:rPr>
              <w:t>203</w:t>
            </w:r>
            <w:r w:rsidR="005544D2">
              <w:rPr>
                <w:webHidden/>
              </w:rPr>
              <w:fldChar w:fldCharType="end"/>
            </w:r>
          </w:hyperlink>
        </w:p>
        <w:p w14:paraId="29C2C535" w14:textId="77777777" w:rsidR="005544D2" w:rsidRDefault="00055D38">
          <w:pPr>
            <w:pStyle w:val="TOC3"/>
            <w:rPr>
              <w:rFonts w:asciiTheme="minorHAnsi" w:eastAsiaTheme="minorEastAsia" w:hAnsiTheme="minorHAnsi"/>
              <w:smallCaps w:val="0"/>
              <w:sz w:val="22"/>
              <w:lang w:eastAsia="en-US"/>
            </w:rPr>
          </w:pPr>
          <w:hyperlink w:anchor="_Toc427154439" w:history="1">
            <w:r w:rsidR="005544D2" w:rsidRPr="007B45EC">
              <w:rPr>
                <w:rStyle w:val="Hyperlink"/>
              </w:rPr>
              <w:t>ANNEX VI</w:t>
            </w:r>
            <w:r w:rsidR="005544D2">
              <w:rPr>
                <w:rFonts w:asciiTheme="minorHAnsi" w:eastAsiaTheme="minorEastAsia" w:hAnsiTheme="minorHAnsi"/>
                <w:smallCaps w:val="0"/>
                <w:sz w:val="22"/>
                <w:lang w:eastAsia="en-US"/>
              </w:rPr>
              <w:tab/>
            </w:r>
            <w:r w:rsidR="005544D2" w:rsidRPr="007B45EC">
              <w:rPr>
                <w:rStyle w:val="Hyperlink"/>
              </w:rPr>
              <w:t>INDICATORS OF MADRID OPERATIONS</w:t>
            </w:r>
            <w:r w:rsidR="005544D2">
              <w:rPr>
                <w:webHidden/>
              </w:rPr>
              <w:tab/>
            </w:r>
            <w:r w:rsidR="005544D2">
              <w:rPr>
                <w:webHidden/>
              </w:rPr>
              <w:fldChar w:fldCharType="begin"/>
            </w:r>
            <w:r w:rsidR="005544D2">
              <w:rPr>
                <w:webHidden/>
              </w:rPr>
              <w:instrText xml:space="preserve"> PAGEREF _Toc427154439 \h </w:instrText>
            </w:r>
            <w:r w:rsidR="005544D2">
              <w:rPr>
                <w:webHidden/>
              </w:rPr>
            </w:r>
            <w:r w:rsidR="005544D2">
              <w:rPr>
                <w:webHidden/>
              </w:rPr>
              <w:fldChar w:fldCharType="separate"/>
            </w:r>
            <w:r w:rsidR="008F6661">
              <w:rPr>
                <w:webHidden/>
              </w:rPr>
              <w:t>213</w:t>
            </w:r>
            <w:r w:rsidR="005544D2">
              <w:rPr>
                <w:webHidden/>
              </w:rPr>
              <w:fldChar w:fldCharType="end"/>
            </w:r>
          </w:hyperlink>
        </w:p>
        <w:p w14:paraId="30144F82" w14:textId="77777777" w:rsidR="005544D2" w:rsidRDefault="00055D38">
          <w:pPr>
            <w:pStyle w:val="TOC3"/>
            <w:rPr>
              <w:rFonts w:asciiTheme="minorHAnsi" w:eastAsiaTheme="minorEastAsia" w:hAnsiTheme="minorHAnsi"/>
              <w:smallCaps w:val="0"/>
              <w:sz w:val="22"/>
              <w:lang w:eastAsia="en-US"/>
            </w:rPr>
          </w:pPr>
          <w:hyperlink w:anchor="_Toc427154440" w:history="1">
            <w:r w:rsidR="005544D2" w:rsidRPr="007B45EC">
              <w:rPr>
                <w:rStyle w:val="Hyperlink"/>
              </w:rPr>
              <w:t>ANNEX VII</w:t>
            </w:r>
            <w:r w:rsidR="005544D2">
              <w:rPr>
                <w:rFonts w:asciiTheme="minorHAnsi" w:eastAsiaTheme="minorEastAsia" w:hAnsiTheme="minorHAnsi"/>
                <w:smallCaps w:val="0"/>
                <w:sz w:val="22"/>
                <w:lang w:eastAsia="en-US"/>
              </w:rPr>
              <w:tab/>
            </w:r>
            <w:r w:rsidR="005544D2" w:rsidRPr="007B45EC">
              <w:rPr>
                <w:rStyle w:val="Hyperlink"/>
              </w:rPr>
              <w:t>INDICATORS OF THE HAGUE SYSTEM OPERATIONS</w:t>
            </w:r>
            <w:r w:rsidR="005544D2">
              <w:rPr>
                <w:webHidden/>
              </w:rPr>
              <w:tab/>
            </w:r>
            <w:r w:rsidR="005544D2">
              <w:rPr>
                <w:webHidden/>
              </w:rPr>
              <w:fldChar w:fldCharType="begin"/>
            </w:r>
            <w:r w:rsidR="005544D2">
              <w:rPr>
                <w:webHidden/>
              </w:rPr>
              <w:instrText xml:space="preserve"> PAGEREF _Toc427154440 \h </w:instrText>
            </w:r>
            <w:r w:rsidR="005544D2">
              <w:rPr>
                <w:webHidden/>
              </w:rPr>
            </w:r>
            <w:r w:rsidR="005544D2">
              <w:rPr>
                <w:webHidden/>
              </w:rPr>
              <w:fldChar w:fldCharType="separate"/>
            </w:r>
            <w:r w:rsidR="008F6661">
              <w:rPr>
                <w:webHidden/>
              </w:rPr>
              <w:t>224</w:t>
            </w:r>
            <w:r w:rsidR="005544D2">
              <w:rPr>
                <w:webHidden/>
              </w:rPr>
              <w:fldChar w:fldCharType="end"/>
            </w:r>
          </w:hyperlink>
        </w:p>
        <w:p w14:paraId="163AEC1F" w14:textId="77777777" w:rsidR="005544D2" w:rsidRDefault="00055D38">
          <w:pPr>
            <w:pStyle w:val="TOC3"/>
            <w:rPr>
              <w:rFonts w:asciiTheme="minorHAnsi" w:eastAsiaTheme="minorEastAsia" w:hAnsiTheme="minorHAnsi"/>
              <w:smallCaps w:val="0"/>
              <w:sz w:val="22"/>
              <w:lang w:eastAsia="en-US"/>
            </w:rPr>
          </w:pPr>
          <w:hyperlink w:anchor="_Toc427154441" w:history="1">
            <w:r w:rsidR="005544D2" w:rsidRPr="007B45EC">
              <w:rPr>
                <w:rStyle w:val="Hyperlink"/>
              </w:rPr>
              <w:t>ANNEX VIII</w:t>
            </w:r>
            <w:r w:rsidR="005544D2">
              <w:rPr>
                <w:rFonts w:asciiTheme="minorHAnsi" w:eastAsiaTheme="minorEastAsia" w:hAnsiTheme="minorHAnsi"/>
                <w:smallCaps w:val="0"/>
                <w:sz w:val="22"/>
                <w:lang w:eastAsia="en-US"/>
              </w:rPr>
              <w:tab/>
            </w:r>
            <w:r w:rsidR="005544D2" w:rsidRPr="007B45EC">
              <w:rPr>
                <w:rStyle w:val="Hyperlink"/>
              </w:rPr>
              <w:t>FUNDS IN TRUST RESOURCES POTENTIALLY AVAILABLE FOR PROGRAMMING</w:t>
            </w:r>
            <w:r w:rsidR="005544D2">
              <w:rPr>
                <w:webHidden/>
              </w:rPr>
              <w:tab/>
            </w:r>
            <w:r w:rsidR="005544D2">
              <w:rPr>
                <w:webHidden/>
              </w:rPr>
              <w:fldChar w:fldCharType="begin"/>
            </w:r>
            <w:r w:rsidR="005544D2">
              <w:rPr>
                <w:webHidden/>
              </w:rPr>
              <w:instrText xml:space="preserve"> PAGEREF _Toc427154441 \h </w:instrText>
            </w:r>
            <w:r w:rsidR="005544D2">
              <w:rPr>
                <w:webHidden/>
              </w:rPr>
            </w:r>
            <w:r w:rsidR="005544D2">
              <w:rPr>
                <w:webHidden/>
              </w:rPr>
              <w:fldChar w:fldCharType="separate"/>
            </w:r>
            <w:r w:rsidR="008F6661">
              <w:rPr>
                <w:webHidden/>
              </w:rPr>
              <w:t>232</w:t>
            </w:r>
            <w:r w:rsidR="005544D2">
              <w:rPr>
                <w:webHidden/>
              </w:rPr>
              <w:fldChar w:fldCharType="end"/>
            </w:r>
          </w:hyperlink>
        </w:p>
        <w:p w14:paraId="6D811615" w14:textId="77777777" w:rsidR="005544D2" w:rsidRDefault="00055D38">
          <w:pPr>
            <w:pStyle w:val="TOC3"/>
            <w:rPr>
              <w:rFonts w:asciiTheme="minorHAnsi" w:eastAsiaTheme="minorEastAsia" w:hAnsiTheme="minorHAnsi"/>
              <w:smallCaps w:val="0"/>
              <w:sz w:val="22"/>
              <w:lang w:eastAsia="en-US"/>
            </w:rPr>
          </w:pPr>
          <w:hyperlink w:anchor="_Toc427154442" w:history="1">
            <w:r w:rsidR="005544D2" w:rsidRPr="007B45EC">
              <w:rPr>
                <w:rStyle w:val="Hyperlink"/>
              </w:rPr>
              <w:t>ANNEX IX</w:t>
            </w:r>
            <w:r w:rsidR="005544D2">
              <w:rPr>
                <w:rFonts w:asciiTheme="minorHAnsi" w:eastAsiaTheme="minorEastAsia" w:hAnsiTheme="minorHAnsi"/>
                <w:smallCaps w:val="0"/>
                <w:sz w:val="22"/>
                <w:lang w:eastAsia="en-US"/>
              </w:rPr>
              <w:tab/>
            </w:r>
            <w:r w:rsidR="005544D2" w:rsidRPr="007B45EC">
              <w:rPr>
                <w:rStyle w:val="Hyperlink"/>
              </w:rPr>
              <w:t>ANNUAL BUDGET TABLES FOR IPSAS REPORTING</w:t>
            </w:r>
            <w:r w:rsidR="005544D2">
              <w:rPr>
                <w:webHidden/>
              </w:rPr>
              <w:tab/>
            </w:r>
            <w:r w:rsidR="005544D2">
              <w:rPr>
                <w:webHidden/>
              </w:rPr>
              <w:fldChar w:fldCharType="begin"/>
            </w:r>
            <w:r w:rsidR="005544D2">
              <w:rPr>
                <w:webHidden/>
              </w:rPr>
              <w:instrText xml:space="preserve"> PAGEREF _Toc427154442 \h </w:instrText>
            </w:r>
            <w:r w:rsidR="005544D2">
              <w:rPr>
                <w:webHidden/>
              </w:rPr>
            </w:r>
            <w:r w:rsidR="005544D2">
              <w:rPr>
                <w:webHidden/>
              </w:rPr>
              <w:fldChar w:fldCharType="separate"/>
            </w:r>
            <w:r w:rsidR="008F6661">
              <w:rPr>
                <w:webHidden/>
              </w:rPr>
              <w:t>233</w:t>
            </w:r>
            <w:r w:rsidR="005544D2">
              <w:rPr>
                <w:webHidden/>
              </w:rPr>
              <w:fldChar w:fldCharType="end"/>
            </w:r>
          </w:hyperlink>
        </w:p>
        <w:p w14:paraId="0C392602" w14:textId="77777777" w:rsidR="005544D2" w:rsidRDefault="00055D38">
          <w:pPr>
            <w:pStyle w:val="TOC3"/>
            <w:rPr>
              <w:rFonts w:asciiTheme="minorHAnsi" w:eastAsiaTheme="minorEastAsia" w:hAnsiTheme="minorHAnsi"/>
              <w:smallCaps w:val="0"/>
              <w:sz w:val="22"/>
              <w:lang w:eastAsia="en-US"/>
            </w:rPr>
          </w:pPr>
          <w:hyperlink w:anchor="_Toc427154443" w:history="1">
            <w:r w:rsidR="005544D2" w:rsidRPr="007B45EC">
              <w:rPr>
                <w:rStyle w:val="Hyperlink"/>
              </w:rPr>
              <w:t>ANNEX X</w:t>
            </w:r>
            <w:r w:rsidR="005544D2">
              <w:rPr>
                <w:rFonts w:asciiTheme="minorHAnsi" w:eastAsiaTheme="minorEastAsia" w:hAnsiTheme="minorHAnsi"/>
                <w:smallCaps w:val="0"/>
                <w:sz w:val="22"/>
                <w:lang w:eastAsia="en-US"/>
              </w:rPr>
              <w:tab/>
            </w:r>
            <w:r w:rsidR="005544D2" w:rsidRPr="007B45EC">
              <w:rPr>
                <w:rStyle w:val="Hyperlink"/>
              </w:rPr>
              <w:t>2016/17 BUDGET BY EXPECTED RESULT AND PROGRAM</w:t>
            </w:r>
            <w:r w:rsidR="005544D2">
              <w:rPr>
                <w:webHidden/>
              </w:rPr>
              <w:tab/>
            </w:r>
            <w:r w:rsidR="005544D2">
              <w:rPr>
                <w:webHidden/>
              </w:rPr>
              <w:fldChar w:fldCharType="begin"/>
            </w:r>
            <w:r w:rsidR="005544D2">
              <w:rPr>
                <w:webHidden/>
              </w:rPr>
              <w:instrText xml:space="preserve"> PAGEREF _Toc427154443 \h </w:instrText>
            </w:r>
            <w:r w:rsidR="005544D2">
              <w:rPr>
                <w:webHidden/>
              </w:rPr>
            </w:r>
            <w:r w:rsidR="005544D2">
              <w:rPr>
                <w:webHidden/>
              </w:rPr>
              <w:fldChar w:fldCharType="separate"/>
            </w:r>
            <w:r w:rsidR="008F6661">
              <w:rPr>
                <w:webHidden/>
              </w:rPr>
              <w:t>235</w:t>
            </w:r>
            <w:r w:rsidR="005544D2">
              <w:rPr>
                <w:webHidden/>
              </w:rPr>
              <w:fldChar w:fldCharType="end"/>
            </w:r>
          </w:hyperlink>
        </w:p>
        <w:p w14:paraId="0773D04E" w14:textId="77777777" w:rsidR="005544D2" w:rsidRDefault="00055D38">
          <w:pPr>
            <w:pStyle w:val="TOC3"/>
            <w:rPr>
              <w:rFonts w:asciiTheme="minorHAnsi" w:eastAsiaTheme="minorEastAsia" w:hAnsiTheme="minorHAnsi"/>
              <w:smallCaps w:val="0"/>
              <w:sz w:val="22"/>
              <w:lang w:eastAsia="en-US"/>
            </w:rPr>
          </w:pPr>
          <w:hyperlink w:anchor="_Toc427154444" w:history="1">
            <w:r w:rsidR="005544D2" w:rsidRPr="007B45EC">
              <w:rPr>
                <w:rStyle w:val="Hyperlink"/>
              </w:rPr>
              <w:t>ANNEX XI</w:t>
            </w:r>
            <w:r w:rsidR="005544D2">
              <w:rPr>
                <w:rFonts w:asciiTheme="minorHAnsi" w:eastAsiaTheme="minorEastAsia" w:hAnsiTheme="minorHAnsi"/>
                <w:smallCaps w:val="0"/>
                <w:sz w:val="22"/>
                <w:lang w:eastAsia="en-US"/>
              </w:rPr>
              <w:tab/>
            </w:r>
            <w:r w:rsidR="005544D2" w:rsidRPr="007B45EC">
              <w:rPr>
                <w:rStyle w:val="Hyperlink"/>
              </w:rPr>
              <w:t>2016/17 BUDGET BY EXPECTED RESULT</w:t>
            </w:r>
            <w:r w:rsidR="005544D2">
              <w:rPr>
                <w:webHidden/>
              </w:rPr>
              <w:tab/>
            </w:r>
            <w:r w:rsidR="005544D2">
              <w:rPr>
                <w:webHidden/>
              </w:rPr>
              <w:fldChar w:fldCharType="begin"/>
            </w:r>
            <w:r w:rsidR="005544D2">
              <w:rPr>
                <w:webHidden/>
              </w:rPr>
              <w:instrText xml:space="preserve"> PAGEREF _Toc427154444 \h </w:instrText>
            </w:r>
            <w:r w:rsidR="005544D2">
              <w:rPr>
                <w:webHidden/>
              </w:rPr>
            </w:r>
            <w:r w:rsidR="005544D2">
              <w:rPr>
                <w:webHidden/>
              </w:rPr>
              <w:fldChar w:fldCharType="separate"/>
            </w:r>
            <w:r w:rsidR="008F6661">
              <w:rPr>
                <w:webHidden/>
              </w:rPr>
              <w:t>237</w:t>
            </w:r>
            <w:r w:rsidR="005544D2">
              <w:rPr>
                <w:webHidden/>
              </w:rPr>
              <w:fldChar w:fldCharType="end"/>
            </w:r>
          </w:hyperlink>
        </w:p>
        <w:p w14:paraId="010AEEF2" w14:textId="77777777" w:rsidR="005544D2" w:rsidRDefault="00055D38">
          <w:pPr>
            <w:pStyle w:val="TOC3"/>
            <w:rPr>
              <w:rFonts w:asciiTheme="minorHAnsi" w:eastAsiaTheme="minorEastAsia" w:hAnsiTheme="minorHAnsi"/>
              <w:smallCaps w:val="0"/>
              <w:sz w:val="22"/>
              <w:lang w:eastAsia="en-US"/>
            </w:rPr>
          </w:pPr>
          <w:hyperlink w:anchor="_Toc427154445" w:history="1">
            <w:r w:rsidR="005544D2" w:rsidRPr="007B45EC">
              <w:rPr>
                <w:rStyle w:val="Hyperlink"/>
              </w:rPr>
              <w:t>ANNEX XII</w:t>
            </w:r>
            <w:r w:rsidR="005544D2">
              <w:rPr>
                <w:rFonts w:asciiTheme="minorHAnsi" w:eastAsiaTheme="minorEastAsia" w:hAnsiTheme="minorHAnsi"/>
                <w:smallCaps w:val="0"/>
                <w:sz w:val="22"/>
                <w:lang w:eastAsia="en-US"/>
              </w:rPr>
              <w:tab/>
            </w:r>
            <w:r w:rsidR="005544D2" w:rsidRPr="007B45EC">
              <w:rPr>
                <w:rStyle w:val="Hyperlink"/>
              </w:rPr>
              <w:t>WIPO ORGANIGRAM</w:t>
            </w:r>
            <w:r w:rsidR="005544D2">
              <w:rPr>
                <w:webHidden/>
              </w:rPr>
              <w:tab/>
            </w:r>
            <w:r w:rsidR="005544D2">
              <w:rPr>
                <w:webHidden/>
              </w:rPr>
              <w:fldChar w:fldCharType="begin"/>
            </w:r>
            <w:r w:rsidR="005544D2">
              <w:rPr>
                <w:webHidden/>
              </w:rPr>
              <w:instrText xml:space="preserve"> PAGEREF _Toc427154445 \h </w:instrText>
            </w:r>
            <w:r w:rsidR="005544D2">
              <w:rPr>
                <w:webHidden/>
              </w:rPr>
            </w:r>
            <w:r w:rsidR="005544D2">
              <w:rPr>
                <w:webHidden/>
              </w:rPr>
              <w:fldChar w:fldCharType="separate"/>
            </w:r>
            <w:r w:rsidR="008F6661">
              <w:rPr>
                <w:webHidden/>
              </w:rPr>
              <w:t>240</w:t>
            </w:r>
            <w:r w:rsidR="005544D2">
              <w:rPr>
                <w:webHidden/>
              </w:rPr>
              <w:fldChar w:fldCharType="end"/>
            </w:r>
          </w:hyperlink>
        </w:p>
        <w:p w14:paraId="1B7D6CA5" w14:textId="77777777" w:rsidR="005544D2" w:rsidRDefault="00055D38">
          <w:pPr>
            <w:pStyle w:val="TOC1"/>
            <w:rPr>
              <w:rFonts w:asciiTheme="minorHAnsi" w:hAnsiTheme="minorHAnsi"/>
              <w:b w:val="0"/>
              <w:lang w:eastAsia="en-US"/>
            </w:rPr>
          </w:pPr>
          <w:hyperlink w:anchor="_Toc427154446" w:history="1">
            <w:r w:rsidR="005544D2" w:rsidRPr="007B45EC">
              <w:rPr>
                <w:rStyle w:val="Hyperlink"/>
              </w:rPr>
              <w:t>IV.</w:t>
            </w:r>
            <w:r w:rsidR="005544D2">
              <w:rPr>
                <w:rFonts w:asciiTheme="minorHAnsi" w:hAnsiTheme="minorHAnsi"/>
                <w:b w:val="0"/>
                <w:lang w:eastAsia="en-US"/>
              </w:rPr>
              <w:tab/>
            </w:r>
            <w:r w:rsidR="005544D2" w:rsidRPr="007B45EC">
              <w:rPr>
                <w:rStyle w:val="Hyperlink"/>
              </w:rPr>
              <w:t>APPENDICES</w:t>
            </w:r>
            <w:r w:rsidR="005544D2">
              <w:rPr>
                <w:webHidden/>
              </w:rPr>
              <w:tab/>
            </w:r>
            <w:r w:rsidR="005544D2">
              <w:rPr>
                <w:webHidden/>
              </w:rPr>
              <w:fldChar w:fldCharType="begin"/>
            </w:r>
            <w:r w:rsidR="005544D2">
              <w:rPr>
                <w:webHidden/>
              </w:rPr>
              <w:instrText xml:space="preserve"> PAGEREF _Toc427154446 \h </w:instrText>
            </w:r>
            <w:r w:rsidR="005544D2">
              <w:rPr>
                <w:webHidden/>
              </w:rPr>
            </w:r>
            <w:r w:rsidR="005544D2">
              <w:rPr>
                <w:webHidden/>
              </w:rPr>
              <w:fldChar w:fldCharType="separate"/>
            </w:r>
            <w:r w:rsidR="008F6661">
              <w:rPr>
                <w:webHidden/>
              </w:rPr>
              <w:t>241</w:t>
            </w:r>
            <w:r w:rsidR="005544D2">
              <w:rPr>
                <w:webHidden/>
              </w:rPr>
              <w:fldChar w:fldCharType="end"/>
            </w:r>
          </w:hyperlink>
        </w:p>
        <w:p w14:paraId="35BDA84C" w14:textId="77777777" w:rsidR="005544D2" w:rsidRDefault="00055D38">
          <w:pPr>
            <w:pStyle w:val="TOC3"/>
            <w:rPr>
              <w:rFonts w:asciiTheme="minorHAnsi" w:eastAsiaTheme="minorEastAsia" w:hAnsiTheme="minorHAnsi"/>
              <w:smallCaps w:val="0"/>
              <w:sz w:val="22"/>
              <w:lang w:eastAsia="en-US"/>
            </w:rPr>
          </w:pPr>
          <w:hyperlink w:anchor="_Toc427154447" w:history="1">
            <w:r w:rsidR="005544D2" w:rsidRPr="007B45EC">
              <w:rPr>
                <w:rStyle w:val="Hyperlink"/>
              </w:rPr>
              <w:t xml:space="preserve">APPENDIX A     </w:t>
            </w:r>
            <w:r w:rsidR="005544D2" w:rsidRPr="007B45EC">
              <w:rPr>
                <w:rStyle w:val="Hyperlink"/>
                <w:bCs/>
              </w:rPr>
              <w:t>MEMBER STATES’ CONTRIBUTIONS</w:t>
            </w:r>
            <w:r w:rsidR="005544D2">
              <w:rPr>
                <w:webHidden/>
              </w:rPr>
              <w:tab/>
            </w:r>
            <w:r w:rsidR="005544D2">
              <w:rPr>
                <w:webHidden/>
              </w:rPr>
              <w:fldChar w:fldCharType="begin"/>
            </w:r>
            <w:r w:rsidR="005544D2">
              <w:rPr>
                <w:webHidden/>
              </w:rPr>
              <w:instrText xml:space="preserve"> PAGEREF _Toc427154447 \h </w:instrText>
            </w:r>
            <w:r w:rsidR="005544D2">
              <w:rPr>
                <w:webHidden/>
              </w:rPr>
            </w:r>
            <w:r w:rsidR="005544D2">
              <w:rPr>
                <w:webHidden/>
              </w:rPr>
              <w:fldChar w:fldCharType="separate"/>
            </w:r>
            <w:r w:rsidR="008F6661">
              <w:rPr>
                <w:webHidden/>
              </w:rPr>
              <w:t>241</w:t>
            </w:r>
            <w:r w:rsidR="005544D2">
              <w:rPr>
                <w:webHidden/>
              </w:rPr>
              <w:fldChar w:fldCharType="end"/>
            </w:r>
          </w:hyperlink>
        </w:p>
        <w:p w14:paraId="47EE2CFC" w14:textId="77777777" w:rsidR="005544D2" w:rsidRDefault="00055D38">
          <w:pPr>
            <w:pStyle w:val="TOC3"/>
            <w:rPr>
              <w:rFonts w:asciiTheme="minorHAnsi" w:eastAsiaTheme="minorEastAsia" w:hAnsiTheme="minorHAnsi"/>
              <w:smallCaps w:val="0"/>
              <w:sz w:val="22"/>
              <w:lang w:eastAsia="en-US"/>
            </w:rPr>
          </w:pPr>
          <w:hyperlink w:anchor="_Toc427154448" w:history="1">
            <w:r w:rsidR="005544D2" w:rsidRPr="007B45EC">
              <w:rPr>
                <w:rStyle w:val="Hyperlink"/>
              </w:rPr>
              <w:t>APPENDIX B     DEFINITION OF COST CATEGORIES</w:t>
            </w:r>
            <w:r w:rsidR="005544D2">
              <w:rPr>
                <w:webHidden/>
              </w:rPr>
              <w:tab/>
            </w:r>
            <w:r w:rsidR="005544D2">
              <w:rPr>
                <w:webHidden/>
              </w:rPr>
              <w:fldChar w:fldCharType="begin"/>
            </w:r>
            <w:r w:rsidR="005544D2">
              <w:rPr>
                <w:webHidden/>
              </w:rPr>
              <w:instrText xml:space="preserve"> PAGEREF _Toc427154448 \h </w:instrText>
            </w:r>
            <w:r w:rsidR="005544D2">
              <w:rPr>
                <w:webHidden/>
              </w:rPr>
            </w:r>
            <w:r w:rsidR="005544D2">
              <w:rPr>
                <w:webHidden/>
              </w:rPr>
              <w:fldChar w:fldCharType="separate"/>
            </w:r>
            <w:r w:rsidR="008F6661">
              <w:rPr>
                <w:webHidden/>
              </w:rPr>
              <w:t>245</w:t>
            </w:r>
            <w:r w:rsidR="005544D2">
              <w:rPr>
                <w:webHidden/>
              </w:rPr>
              <w:fldChar w:fldCharType="end"/>
            </w:r>
          </w:hyperlink>
        </w:p>
        <w:p w14:paraId="174098B7" w14:textId="77777777" w:rsidR="005544D2" w:rsidRDefault="00055D38">
          <w:pPr>
            <w:pStyle w:val="TOC3"/>
            <w:rPr>
              <w:rFonts w:asciiTheme="minorHAnsi" w:eastAsiaTheme="minorEastAsia" w:hAnsiTheme="minorHAnsi"/>
              <w:smallCaps w:val="0"/>
              <w:sz w:val="22"/>
              <w:lang w:eastAsia="en-US"/>
            </w:rPr>
          </w:pPr>
          <w:hyperlink w:anchor="_Toc427154449" w:history="1">
            <w:r w:rsidR="005544D2" w:rsidRPr="007B45EC">
              <w:rPr>
                <w:rStyle w:val="Hyperlink"/>
              </w:rPr>
              <w:t>APPENDIX C     COSTING FOR PERSONNEL</w:t>
            </w:r>
            <w:r w:rsidR="005544D2">
              <w:rPr>
                <w:webHidden/>
              </w:rPr>
              <w:tab/>
            </w:r>
            <w:r w:rsidR="005544D2">
              <w:rPr>
                <w:webHidden/>
              </w:rPr>
              <w:fldChar w:fldCharType="begin"/>
            </w:r>
            <w:r w:rsidR="005544D2">
              <w:rPr>
                <w:webHidden/>
              </w:rPr>
              <w:instrText xml:space="preserve"> PAGEREF _Toc427154449 \h </w:instrText>
            </w:r>
            <w:r w:rsidR="005544D2">
              <w:rPr>
                <w:webHidden/>
              </w:rPr>
            </w:r>
            <w:r w:rsidR="005544D2">
              <w:rPr>
                <w:webHidden/>
              </w:rPr>
              <w:fldChar w:fldCharType="separate"/>
            </w:r>
            <w:r w:rsidR="008F6661">
              <w:rPr>
                <w:webHidden/>
              </w:rPr>
              <w:t>247</w:t>
            </w:r>
            <w:r w:rsidR="005544D2">
              <w:rPr>
                <w:webHidden/>
              </w:rPr>
              <w:fldChar w:fldCharType="end"/>
            </w:r>
          </w:hyperlink>
        </w:p>
        <w:p w14:paraId="242F5DCD" w14:textId="77777777" w:rsidR="005544D2" w:rsidRDefault="00055D38">
          <w:pPr>
            <w:pStyle w:val="TOC3"/>
            <w:rPr>
              <w:rFonts w:asciiTheme="minorHAnsi" w:eastAsiaTheme="minorEastAsia" w:hAnsiTheme="minorHAnsi"/>
              <w:smallCaps w:val="0"/>
              <w:sz w:val="22"/>
              <w:lang w:eastAsia="en-US"/>
            </w:rPr>
          </w:pPr>
          <w:hyperlink w:anchor="_Toc427154450" w:history="1">
            <w:r w:rsidR="005544D2" w:rsidRPr="007B45EC">
              <w:rPr>
                <w:rStyle w:val="Hyperlink"/>
              </w:rPr>
              <w:t>APPENDIX D     FLEXIBILITY FORMULAS</w:t>
            </w:r>
            <w:r w:rsidR="005544D2">
              <w:rPr>
                <w:webHidden/>
              </w:rPr>
              <w:tab/>
            </w:r>
            <w:r w:rsidR="005544D2">
              <w:rPr>
                <w:webHidden/>
              </w:rPr>
              <w:fldChar w:fldCharType="begin"/>
            </w:r>
            <w:r w:rsidR="005544D2">
              <w:rPr>
                <w:webHidden/>
              </w:rPr>
              <w:instrText xml:space="preserve"> PAGEREF _Toc427154450 \h </w:instrText>
            </w:r>
            <w:r w:rsidR="005544D2">
              <w:rPr>
                <w:webHidden/>
              </w:rPr>
            </w:r>
            <w:r w:rsidR="005544D2">
              <w:rPr>
                <w:webHidden/>
              </w:rPr>
              <w:fldChar w:fldCharType="separate"/>
            </w:r>
            <w:r w:rsidR="008F6661">
              <w:rPr>
                <w:webHidden/>
              </w:rPr>
              <w:t>248</w:t>
            </w:r>
            <w:r w:rsidR="005544D2">
              <w:rPr>
                <w:webHidden/>
              </w:rPr>
              <w:fldChar w:fldCharType="end"/>
            </w:r>
          </w:hyperlink>
        </w:p>
        <w:p w14:paraId="482E5997" w14:textId="77777777" w:rsidR="005544D2" w:rsidRDefault="00055D38">
          <w:pPr>
            <w:pStyle w:val="TOC3"/>
            <w:rPr>
              <w:rFonts w:asciiTheme="minorHAnsi" w:eastAsiaTheme="minorEastAsia" w:hAnsiTheme="minorHAnsi"/>
              <w:smallCaps w:val="0"/>
              <w:sz w:val="22"/>
              <w:lang w:eastAsia="en-US"/>
            </w:rPr>
          </w:pPr>
          <w:hyperlink w:anchor="_Toc427154451" w:history="1">
            <w:r w:rsidR="005544D2" w:rsidRPr="007B45EC">
              <w:rPr>
                <w:rStyle w:val="Hyperlink"/>
              </w:rPr>
              <w:t xml:space="preserve">APPENDIX E  </w:t>
            </w:r>
            <w:r w:rsidR="005544D2" w:rsidRPr="007B45EC">
              <w:rPr>
                <w:rStyle w:val="Hyperlink"/>
                <w:bCs/>
              </w:rPr>
              <w:t xml:space="preserve">  </w:t>
            </w:r>
            <w:r w:rsidR="005544D2" w:rsidRPr="007B45EC">
              <w:rPr>
                <w:rStyle w:val="Hyperlink"/>
              </w:rPr>
              <w:t>ACRONYMS</w:t>
            </w:r>
            <w:r w:rsidR="005544D2" w:rsidRPr="007B45EC">
              <w:rPr>
                <w:rStyle w:val="Hyperlink"/>
                <w:bCs/>
              </w:rPr>
              <w:t xml:space="preserve"> </w:t>
            </w:r>
            <w:r w:rsidR="005544D2" w:rsidRPr="007B45EC">
              <w:rPr>
                <w:rStyle w:val="Hyperlink"/>
              </w:rPr>
              <w:t>AND</w:t>
            </w:r>
            <w:r w:rsidR="005544D2" w:rsidRPr="007B45EC">
              <w:rPr>
                <w:rStyle w:val="Hyperlink"/>
                <w:bCs/>
              </w:rPr>
              <w:t xml:space="preserve"> </w:t>
            </w:r>
            <w:r w:rsidR="005544D2" w:rsidRPr="007B45EC">
              <w:rPr>
                <w:rStyle w:val="Hyperlink"/>
              </w:rPr>
              <w:t>ABBREVIATIONS</w:t>
            </w:r>
            <w:r w:rsidR="005544D2" w:rsidRPr="007B45EC">
              <w:rPr>
                <w:rStyle w:val="Hyperlink"/>
                <w:bCs/>
              </w:rPr>
              <w:t xml:space="preserve"> </w:t>
            </w:r>
            <w:r w:rsidR="005544D2" w:rsidRPr="007B45EC">
              <w:rPr>
                <w:rStyle w:val="Hyperlink"/>
              </w:rPr>
              <w:t>USED</w:t>
            </w:r>
            <w:r w:rsidR="005544D2" w:rsidRPr="007B45EC">
              <w:rPr>
                <w:rStyle w:val="Hyperlink"/>
                <w:bCs/>
              </w:rPr>
              <w:t xml:space="preserve"> </w:t>
            </w:r>
            <w:r w:rsidR="005544D2" w:rsidRPr="007B45EC">
              <w:rPr>
                <w:rStyle w:val="Hyperlink"/>
              </w:rPr>
              <w:t>IN THE PRESENT</w:t>
            </w:r>
            <w:r w:rsidR="005544D2" w:rsidRPr="007B45EC">
              <w:rPr>
                <w:rStyle w:val="Hyperlink"/>
                <w:bCs/>
              </w:rPr>
              <w:t xml:space="preserve"> </w:t>
            </w:r>
            <w:r w:rsidR="005544D2" w:rsidRPr="007B45EC">
              <w:rPr>
                <w:rStyle w:val="Hyperlink"/>
              </w:rPr>
              <w:t>DOCUMENT</w:t>
            </w:r>
            <w:r w:rsidR="005544D2">
              <w:rPr>
                <w:webHidden/>
              </w:rPr>
              <w:tab/>
            </w:r>
            <w:r w:rsidR="005544D2">
              <w:rPr>
                <w:webHidden/>
              </w:rPr>
              <w:fldChar w:fldCharType="begin"/>
            </w:r>
            <w:r w:rsidR="005544D2">
              <w:rPr>
                <w:webHidden/>
              </w:rPr>
              <w:instrText xml:space="preserve"> PAGEREF _Toc427154451 \h </w:instrText>
            </w:r>
            <w:r w:rsidR="005544D2">
              <w:rPr>
                <w:webHidden/>
              </w:rPr>
            </w:r>
            <w:r w:rsidR="005544D2">
              <w:rPr>
                <w:webHidden/>
              </w:rPr>
              <w:fldChar w:fldCharType="separate"/>
            </w:r>
            <w:r w:rsidR="008F6661">
              <w:rPr>
                <w:webHidden/>
              </w:rPr>
              <w:t>249</w:t>
            </w:r>
            <w:r w:rsidR="005544D2">
              <w:rPr>
                <w:webHidden/>
              </w:rPr>
              <w:fldChar w:fldCharType="end"/>
            </w:r>
          </w:hyperlink>
        </w:p>
        <w:p w14:paraId="60FD5859" w14:textId="39748229" w:rsidR="00D656E4" w:rsidRPr="003F7D3D" w:rsidRDefault="00D42529" w:rsidP="003F7D3D">
          <w:pPr>
            <w:rPr>
              <w:rFonts w:ascii="Arial" w:hAnsi="Arial" w:cs="Arial"/>
              <w:sz w:val="18"/>
            </w:rPr>
          </w:pPr>
          <w:r>
            <w:rPr>
              <w:rFonts w:ascii="Arial" w:hAnsi="Arial" w:cs="Arial"/>
              <w:b/>
              <w:noProof/>
            </w:rPr>
            <w:fldChar w:fldCharType="end"/>
          </w:r>
        </w:p>
      </w:sdtContent>
    </w:sdt>
    <w:p w14:paraId="21F6A849" w14:textId="0EA2CF11" w:rsidR="00B64DA0" w:rsidRDefault="00B64DA0">
      <w:pPr>
        <w:rPr>
          <w:rFonts w:ascii="Arial" w:hAnsi="Arial" w:cs="Arial"/>
        </w:rPr>
      </w:pPr>
      <w:r>
        <w:rPr>
          <w:rFonts w:ascii="Arial" w:hAnsi="Arial" w:cs="Arial"/>
        </w:rPr>
        <w:br w:type="page"/>
      </w:r>
    </w:p>
    <w:p w14:paraId="53836FEB" w14:textId="77777777" w:rsidR="00B64DA0" w:rsidRPr="0058691D" w:rsidRDefault="00B64DA0" w:rsidP="00B64DA0">
      <w:pPr>
        <w:pStyle w:val="Heading1"/>
        <w:rPr>
          <w:szCs w:val="20"/>
        </w:rPr>
      </w:pPr>
      <w:bookmarkStart w:id="7" w:name="_Toc367350561"/>
      <w:bookmarkStart w:id="8" w:name="_Toc427154386"/>
      <w:r w:rsidRPr="0058691D">
        <w:rPr>
          <w:szCs w:val="20"/>
        </w:rPr>
        <w:lastRenderedPageBreak/>
        <w:t>FOREWORD BY THE DIRECTOR GENERAL</w:t>
      </w:r>
      <w:bookmarkEnd w:id="7"/>
      <w:bookmarkEnd w:id="8"/>
    </w:p>
    <w:p w14:paraId="74696E79" w14:textId="77777777" w:rsidR="00B64DA0" w:rsidRDefault="00B64DA0" w:rsidP="00B64DA0">
      <w:pPr>
        <w:jc w:val="both"/>
        <w:rPr>
          <w:rFonts w:ascii="Arial" w:hAnsi="Arial" w:cs="Arial"/>
          <w:i/>
          <w:iCs/>
          <w:sz w:val="20"/>
        </w:rPr>
      </w:pPr>
    </w:p>
    <w:p w14:paraId="768B988A" w14:textId="77777777" w:rsidR="00EE5E86" w:rsidRDefault="00EE5E86" w:rsidP="00EE5E86">
      <w:pPr>
        <w:spacing w:line="360" w:lineRule="auto"/>
        <w:rPr>
          <w:rFonts w:ascii="Arial" w:hAnsi="Arial" w:cs="Arial"/>
          <w:sz w:val="20"/>
          <w:szCs w:val="20"/>
        </w:rPr>
      </w:pPr>
    </w:p>
    <w:p w14:paraId="7D0F8690" w14:textId="77777777" w:rsidR="006F7033" w:rsidRPr="00AB228F" w:rsidRDefault="006F7033" w:rsidP="00EE5E86">
      <w:pPr>
        <w:spacing w:line="360" w:lineRule="auto"/>
        <w:rPr>
          <w:rFonts w:ascii="Arial" w:hAnsi="Arial" w:cs="Arial"/>
          <w:sz w:val="20"/>
          <w:szCs w:val="20"/>
        </w:rPr>
      </w:pPr>
    </w:p>
    <w:p w14:paraId="6467E955" w14:textId="77777777" w:rsidR="00EE5E86" w:rsidRPr="00AB228F" w:rsidRDefault="00EE5E86" w:rsidP="00B30215">
      <w:pPr>
        <w:jc w:val="both"/>
        <w:rPr>
          <w:rFonts w:ascii="Arial" w:hAnsi="Arial" w:cs="Arial"/>
          <w:sz w:val="20"/>
          <w:szCs w:val="20"/>
        </w:rPr>
      </w:pPr>
      <w:r w:rsidRPr="00AB228F">
        <w:rPr>
          <w:rFonts w:ascii="Arial" w:hAnsi="Arial" w:cs="Arial"/>
          <w:sz w:val="20"/>
          <w:szCs w:val="20"/>
        </w:rPr>
        <w:t>The Program and Budget provides an opportunity for the Member States to fix the results that they wish the Organization to achieve in the next biennium and for the Organization to design the programs that will enable those results to be delivered.</w:t>
      </w:r>
    </w:p>
    <w:p w14:paraId="016F3DD2" w14:textId="77777777" w:rsidR="00EE5E86" w:rsidRPr="00AB228F" w:rsidRDefault="00EE5E86" w:rsidP="00B30215">
      <w:pPr>
        <w:jc w:val="both"/>
        <w:rPr>
          <w:rFonts w:ascii="Arial" w:hAnsi="Arial" w:cs="Arial"/>
          <w:sz w:val="20"/>
          <w:szCs w:val="20"/>
        </w:rPr>
      </w:pPr>
    </w:p>
    <w:p w14:paraId="23A34FE6" w14:textId="339657B0" w:rsidR="00EE5E86" w:rsidRPr="00AB228F" w:rsidRDefault="00EE5E86" w:rsidP="00B30215">
      <w:pPr>
        <w:jc w:val="both"/>
        <w:rPr>
          <w:rFonts w:ascii="Arial" w:hAnsi="Arial" w:cs="Arial"/>
          <w:sz w:val="20"/>
          <w:szCs w:val="20"/>
        </w:rPr>
      </w:pPr>
      <w:r w:rsidRPr="00AB228F">
        <w:rPr>
          <w:rFonts w:ascii="Arial" w:hAnsi="Arial" w:cs="Arial"/>
          <w:sz w:val="20"/>
          <w:szCs w:val="20"/>
        </w:rPr>
        <w:t>The Organization is fortunate to enjoy a sound financial basis on which to plan and execute this process of defining results and designing programs for the delivery of the results.  We expect to complete the current biennium (2014-2015) with a moderate surplus.  Income over the next biennium (2016-2017) is expected to rise by 6</w:t>
      </w:r>
      <w:r w:rsidR="00633448">
        <w:rPr>
          <w:rFonts w:ascii="Arial" w:hAnsi="Arial" w:cs="Arial"/>
          <w:sz w:val="20"/>
          <w:szCs w:val="20"/>
        </w:rPr>
        <w:t xml:space="preserve"> per cent</w:t>
      </w:r>
      <w:r w:rsidRPr="00AB228F">
        <w:rPr>
          <w:rFonts w:ascii="Arial" w:hAnsi="Arial" w:cs="Arial"/>
          <w:sz w:val="20"/>
          <w:szCs w:val="20"/>
        </w:rPr>
        <w:t xml:space="preserve"> to 756.3 million </w:t>
      </w:r>
      <w:r w:rsidR="00633448">
        <w:rPr>
          <w:rFonts w:ascii="Arial" w:hAnsi="Arial" w:cs="Arial"/>
          <w:sz w:val="20"/>
          <w:szCs w:val="20"/>
        </w:rPr>
        <w:t xml:space="preserve">Swiss francs </w:t>
      </w:r>
      <w:r w:rsidRPr="00AB228F">
        <w:rPr>
          <w:rFonts w:ascii="Arial" w:hAnsi="Arial" w:cs="Arial"/>
          <w:sz w:val="20"/>
          <w:szCs w:val="20"/>
        </w:rPr>
        <w:t>as a result of growth in demand under the Global IP Systems (principally, the Patent Cooperation Treaty (PCT), the Madrid System for trademarks and the Hague System for designs).  We propose that expenditure should rise by 4.9</w:t>
      </w:r>
      <w:r w:rsidR="00633448">
        <w:rPr>
          <w:rFonts w:ascii="Arial" w:hAnsi="Arial" w:cs="Arial"/>
          <w:sz w:val="20"/>
          <w:szCs w:val="20"/>
        </w:rPr>
        <w:t xml:space="preserve"> per cent</w:t>
      </w:r>
      <w:r w:rsidRPr="00AB228F">
        <w:rPr>
          <w:rFonts w:ascii="Arial" w:hAnsi="Arial" w:cs="Arial"/>
          <w:sz w:val="20"/>
          <w:szCs w:val="20"/>
        </w:rPr>
        <w:t xml:space="preserve"> to 707 million</w:t>
      </w:r>
      <w:r w:rsidR="00633448">
        <w:rPr>
          <w:rFonts w:ascii="Arial" w:hAnsi="Arial" w:cs="Arial"/>
          <w:sz w:val="20"/>
          <w:szCs w:val="20"/>
        </w:rPr>
        <w:t xml:space="preserve"> Swiss francs</w:t>
      </w:r>
      <w:r w:rsidRPr="00AB228F">
        <w:rPr>
          <w:rFonts w:ascii="Arial" w:hAnsi="Arial" w:cs="Arial"/>
          <w:sz w:val="20"/>
          <w:szCs w:val="20"/>
        </w:rPr>
        <w:t>, delivering a projected surplus, after estimated adjustments for International Public Sector Accounting Standards (IPSAS), of 20.8 million</w:t>
      </w:r>
      <w:r w:rsidR="00633448">
        <w:rPr>
          <w:rFonts w:ascii="Arial" w:hAnsi="Arial" w:cs="Arial"/>
          <w:sz w:val="20"/>
          <w:szCs w:val="20"/>
        </w:rPr>
        <w:t xml:space="preserve"> Swiss francs</w:t>
      </w:r>
      <w:r w:rsidRPr="00AB228F">
        <w:rPr>
          <w:rFonts w:ascii="Arial" w:hAnsi="Arial" w:cs="Arial"/>
          <w:sz w:val="20"/>
          <w:szCs w:val="20"/>
        </w:rPr>
        <w:t>, which it is proposed would be used primarily for building the reserves to a more secure level.</w:t>
      </w:r>
    </w:p>
    <w:p w14:paraId="4B3CDD48" w14:textId="77777777" w:rsidR="00EE5E86" w:rsidRPr="00AB228F" w:rsidRDefault="00EE5E86" w:rsidP="00B30215">
      <w:pPr>
        <w:jc w:val="both"/>
        <w:rPr>
          <w:rFonts w:ascii="Arial" w:hAnsi="Arial" w:cs="Arial"/>
          <w:sz w:val="20"/>
          <w:szCs w:val="20"/>
        </w:rPr>
      </w:pPr>
    </w:p>
    <w:p w14:paraId="7901F75F" w14:textId="5FE198DE" w:rsidR="00EE5E86" w:rsidRPr="00AB228F" w:rsidRDefault="00EE5E86" w:rsidP="00B30215">
      <w:pPr>
        <w:jc w:val="both"/>
        <w:rPr>
          <w:rFonts w:ascii="Arial" w:hAnsi="Arial" w:cs="Arial"/>
          <w:sz w:val="20"/>
          <w:szCs w:val="20"/>
        </w:rPr>
      </w:pPr>
      <w:r w:rsidRPr="00AB228F">
        <w:rPr>
          <w:rFonts w:ascii="Arial" w:hAnsi="Arial" w:cs="Arial"/>
          <w:sz w:val="20"/>
          <w:szCs w:val="20"/>
        </w:rPr>
        <w:t>The healthy financial position of the Organization should not be taken for granted.  It has been underpinned by the expansion of the Global IP Systems.  While we expect both the Madrid System and the Hague System to expand quite rapidly in the coming years, the principal source of revenue remains the PCT (around 76</w:t>
      </w:r>
      <w:r w:rsidR="00633448">
        <w:rPr>
          <w:rFonts w:ascii="Arial" w:hAnsi="Arial" w:cs="Arial"/>
          <w:sz w:val="20"/>
          <w:szCs w:val="20"/>
        </w:rPr>
        <w:t xml:space="preserve"> per cent</w:t>
      </w:r>
      <w:r w:rsidRPr="00AB228F">
        <w:rPr>
          <w:rFonts w:ascii="Arial" w:hAnsi="Arial" w:cs="Arial"/>
          <w:sz w:val="20"/>
          <w:szCs w:val="20"/>
        </w:rPr>
        <w:t xml:space="preserve"> of total revenue).  Increase in demand under the PCT is influenced by a variety of factors, some of which suggest that the increase in demand experienced over recent years may not continue at the same level in the medium term.</w:t>
      </w:r>
    </w:p>
    <w:p w14:paraId="5B7BE26F" w14:textId="77777777" w:rsidR="00EE5E86" w:rsidRPr="00AB228F" w:rsidRDefault="00EE5E86" w:rsidP="00B30215">
      <w:pPr>
        <w:jc w:val="both"/>
        <w:rPr>
          <w:rFonts w:ascii="Arial" w:hAnsi="Arial" w:cs="Arial"/>
          <w:sz w:val="20"/>
          <w:szCs w:val="20"/>
        </w:rPr>
      </w:pPr>
    </w:p>
    <w:p w14:paraId="3AAA9DF5" w14:textId="77777777" w:rsidR="00EE5E86" w:rsidRPr="00AB228F" w:rsidRDefault="00EE5E86" w:rsidP="00B30215">
      <w:pPr>
        <w:jc w:val="both"/>
        <w:rPr>
          <w:rFonts w:ascii="Arial" w:hAnsi="Arial" w:cs="Arial"/>
          <w:sz w:val="20"/>
          <w:szCs w:val="20"/>
        </w:rPr>
      </w:pPr>
      <w:r w:rsidRPr="00AB228F">
        <w:rPr>
          <w:rFonts w:ascii="Arial" w:hAnsi="Arial" w:cs="Arial"/>
          <w:sz w:val="20"/>
          <w:szCs w:val="20"/>
        </w:rPr>
        <w:t>At the same time, the Organization is facing several major investment requirements.  The Global IP Systems rely for their income on high-quality and cost-effective services increasingly delivered through sophisticated IT platforms.  These IT platforms have enabled significant productivity gains and the containment of staff costs, but they require constant improvement and development.  In addition, like all other organizations and enterprises in the contemporary networked world, the Organization is exposed to the vulnerability of the online environment.  The mitigation of that vulnerability requires major investments in IT security and in business continuity and organizational resilience.</w:t>
      </w:r>
    </w:p>
    <w:p w14:paraId="3E7A8D7B" w14:textId="77777777" w:rsidR="00EE5E86" w:rsidRPr="00AB228F" w:rsidRDefault="00EE5E86" w:rsidP="00B30215">
      <w:pPr>
        <w:jc w:val="both"/>
        <w:rPr>
          <w:rFonts w:ascii="Arial" w:hAnsi="Arial" w:cs="Arial"/>
          <w:sz w:val="20"/>
          <w:szCs w:val="20"/>
        </w:rPr>
      </w:pPr>
    </w:p>
    <w:p w14:paraId="7E927A7A" w14:textId="77777777" w:rsidR="00EE5E86" w:rsidRPr="00AB228F" w:rsidRDefault="00EE5E86" w:rsidP="00B30215">
      <w:pPr>
        <w:jc w:val="both"/>
        <w:rPr>
          <w:rFonts w:ascii="Arial" w:hAnsi="Arial" w:cs="Arial"/>
          <w:sz w:val="20"/>
          <w:szCs w:val="20"/>
        </w:rPr>
      </w:pPr>
      <w:r w:rsidRPr="00AB228F">
        <w:rPr>
          <w:rFonts w:ascii="Arial" w:hAnsi="Arial" w:cs="Arial"/>
          <w:sz w:val="20"/>
          <w:szCs w:val="20"/>
        </w:rPr>
        <w:t>We are proposing that these additional major investments be absorbed in the next biennium without any fee increases in the Global IP Systems.  This continues the outstanding record of the past seven years of no fee increases.  This record is, however, unprecedented when compared to fee increases in national and regional IP offices and the time will come in the future, naturally, when reasonable fee increases will be needed.</w:t>
      </w:r>
    </w:p>
    <w:p w14:paraId="54718F82" w14:textId="77777777" w:rsidR="00EE5E86" w:rsidRPr="00AB228F" w:rsidRDefault="00EE5E86" w:rsidP="00B30215">
      <w:pPr>
        <w:jc w:val="both"/>
        <w:rPr>
          <w:rFonts w:ascii="Arial" w:hAnsi="Arial" w:cs="Arial"/>
          <w:sz w:val="20"/>
          <w:szCs w:val="20"/>
        </w:rPr>
      </w:pPr>
    </w:p>
    <w:p w14:paraId="239B4B5D" w14:textId="38297D82" w:rsidR="00EE5E86" w:rsidRPr="00AB228F" w:rsidRDefault="00EE5E86" w:rsidP="00B30215">
      <w:pPr>
        <w:jc w:val="both"/>
        <w:rPr>
          <w:rFonts w:ascii="Arial" w:hAnsi="Arial" w:cs="Arial"/>
          <w:sz w:val="20"/>
          <w:szCs w:val="20"/>
        </w:rPr>
      </w:pPr>
      <w:r w:rsidRPr="00AB228F">
        <w:rPr>
          <w:rFonts w:ascii="Arial" w:hAnsi="Arial" w:cs="Arial"/>
          <w:sz w:val="20"/>
          <w:szCs w:val="20"/>
        </w:rPr>
        <w:t xml:space="preserve">An additional financial challenge arises from the current volatile global economic environment and, in particular, from the incidence of negative interest rates.  Negative interest rates have arrived at the same time as the Organization is required to move from its traditional secure investment resource of the </w:t>
      </w:r>
      <w:r w:rsidRPr="00B30215">
        <w:rPr>
          <w:rFonts w:ascii="Arial" w:hAnsi="Arial" w:cs="Arial"/>
          <w:sz w:val="20"/>
          <w:szCs w:val="20"/>
        </w:rPr>
        <w:t xml:space="preserve">Federal </w:t>
      </w:r>
      <w:r w:rsidR="003714BA" w:rsidRPr="00B30215">
        <w:rPr>
          <w:rFonts w:ascii="Arial" w:hAnsi="Arial" w:cs="Arial"/>
          <w:sz w:val="20"/>
          <w:szCs w:val="20"/>
        </w:rPr>
        <w:t xml:space="preserve">Department of </w:t>
      </w:r>
      <w:r w:rsidRPr="00B30215">
        <w:rPr>
          <w:rFonts w:ascii="Arial" w:hAnsi="Arial" w:cs="Arial"/>
          <w:sz w:val="20"/>
          <w:szCs w:val="20"/>
        </w:rPr>
        <w:t>Finance of the Swiss Confederation.</w:t>
      </w:r>
      <w:r w:rsidRPr="00AB228F">
        <w:rPr>
          <w:rFonts w:ascii="Arial" w:hAnsi="Arial" w:cs="Arial"/>
          <w:sz w:val="20"/>
          <w:szCs w:val="20"/>
        </w:rPr>
        <w:t xml:space="preserve">  These factors will necessitate the adoption of a prudent and responsible investment policy that will enable the Organization to conserve capital, as well as the adoption of a prudent hedging policy in respect of the currency exposures engendered by the system of payment of PCT fees.</w:t>
      </w:r>
    </w:p>
    <w:p w14:paraId="17A70029" w14:textId="77777777" w:rsidR="00EE5E86" w:rsidRPr="00AB228F" w:rsidRDefault="00EE5E86" w:rsidP="00B30215">
      <w:pPr>
        <w:jc w:val="both"/>
        <w:rPr>
          <w:rFonts w:ascii="Arial" w:hAnsi="Arial" w:cs="Arial"/>
          <w:sz w:val="20"/>
          <w:szCs w:val="20"/>
        </w:rPr>
      </w:pPr>
    </w:p>
    <w:p w14:paraId="7CBDE268" w14:textId="77777777" w:rsidR="00EE5E86" w:rsidRPr="00AB228F" w:rsidRDefault="00EE5E86" w:rsidP="00B30215">
      <w:pPr>
        <w:jc w:val="both"/>
        <w:rPr>
          <w:rFonts w:ascii="Arial" w:hAnsi="Arial" w:cs="Arial"/>
          <w:sz w:val="20"/>
          <w:szCs w:val="20"/>
        </w:rPr>
      </w:pPr>
      <w:r w:rsidRPr="00AB228F">
        <w:rPr>
          <w:rFonts w:ascii="Arial" w:hAnsi="Arial" w:cs="Arial"/>
          <w:sz w:val="20"/>
          <w:szCs w:val="20"/>
        </w:rPr>
        <w:t>The key program priorities proposed for the next biennium are set out in paragraphs 17 to 39.  Please allow me to comment on four areas, in particular, in a larger perspective than the coming biennium.</w:t>
      </w:r>
    </w:p>
    <w:p w14:paraId="1BA3B4DB" w14:textId="77777777" w:rsidR="00EE5E86" w:rsidRPr="00AB228F" w:rsidRDefault="00EE5E86" w:rsidP="00B30215">
      <w:pPr>
        <w:jc w:val="both"/>
        <w:rPr>
          <w:rFonts w:ascii="Arial" w:hAnsi="Arial" w:cs="Arial"/>
          <w:sz w:val="20"/>
          <w:szCs w:val="20"/>
        </w:rPr>
      </w:pPr>
    </w:p>
    <w:p w14:paraId="725DFFCF" w14:textId="77777777" w:rsidR="00EE5E86" w:rsidRPr="00AB228F" w:rsidRDefault="00EE5E86" w:rsidP="00B30215">
      <w:pPr>
        <w:jc w:val="both"/>
        <w:rPr>
          <w:rFonts w:ascii="Arial" w:hAnsi="Arial" w:cs="Arial"/>
          <w:sz w:val="20"/>
          <w:szCs w:val="20"/>
        </w:rPr>
      </w:pPr>
      <w:r w:rsidRPr="00AB228F">
        <w:rPr>
          <w:rFonts w:ascii="Arial" w:hAnsi="Arial" w:cs="Arial"/>
          <w:sz w:val="20"/>
          <w:szCs w:val="20"/>
        </w:rPr>
        <w:t xml:space="preserve">The first area is the Organization’s normative agenda (Strategic Goal I).  Member States have concluded three international agreements in the past four years – the Beijing Treaty on Audiovisual Performances, the Marrakesh Treaty on Facilitating Access to Published Works for Person who are Blind, Visually Impaired or Otherwise Print Disabled and the Geneva Act of the Lisbon Agreement on Appellations of Origin and Geographical Indications.  The effect and legitimacy of these agreements will depend on their speedy and widespread ratification by Member States.  Important subjects on the normative agenda, including some that are very long-standing, remain unresolved.  In addition, in a globalized and complex world, characterized by very rapid and fundamental technological change, in which intellectual property plays an increasingly prominent role, it is timely that a dialogue commence about the future normative agenda of the Organization as the multilateral venue for the development </w:t>
      </w:r>
      <w:r w:rsidRPr="00AB228F">
        <w:rPr>
          <w:rFonts w:ascii="Arial" w:hAnsi="Arial" w:cs="Arial"/>
          <w:sz w:val="20"/>
          <w:szCs w:val="20"/>
        </w:rPr>
        <w:lastRenderedPageBreak/>
        <w:t xml:space="preserve">of international intellectual property policy.   These issues and the questions that they raise lie within the preserve of the Member States.  They require commitment to multilateralism, engagement and appropriate compromise from the Member States.  Without that, we can expect a static multilateral framework without any advancement. </w:t>
      </w:r>
    </w:p>
    <w:p w14:paraId="1B2BA8A1" w14:textId="77777777" w:rsidR="00EE5E86" w:rsidRPr="00AB228F" w:rsidRDefault="00EE5E86" w:rsidP="00B30215">
      <w:pPr>
        <w:jc w:val="both"/>
        <w:rPr>
          <w:rFonts w:ascii="Arial" w:hAnsi="Arial" w:cs="Arial"/>
          <w:sz w:val="20"/>
          <w:szCs w:val="20"/>
        </w:rPr>
      </w:pPr>
    </w:p>
    <w:p w14:paraId="74F0E8B3" w14:textId="117EA1A5" w:rsidR="00EE5E86" w:rsidRPr="00AB228F" w:rsidRDefault="00EE5E86" w:rsidP="00B30215">
      <w:pPr>
        <w:jc w:val="both"/>
        <w:rPr>
          <w:rFonts w:ascii="Arial" w:hAnsi="Arial" w:cs="Arial"/>
          <w:sz w:val="20"/>
          <w:szCs w:val="20"/>
        </w:rPr>
      </w:pPr>
      <w:r w:rsidRPr="00AB228F">
        <w:rPr>
          <w:rFonts w:ascii="Arial" w:hAnsi="Arial" w:cs="Arial"/>
          <w:sz w:val="20"/>
          <w:szCs w:val="20"/>
        </w:rPr>
        <w:t>The second area is the Organization’s Global IP Systems (Strategic Goal II).   They form the basis of the Organization’s revenue, accounting for about 95</w:t>
      </w:r>
      <w:r w:rsidR="00633448">
        <w:rPr>
          <w:rFonts w:ascii="Arial" w:hAnsi="Arial" w:cs="Arial"/>
          <w:sz w:val="20"/>
          <w:szCs w:val="20"/>
        </w:rPr>
        <w:t xml:space="preserve"> per cent</w:t>
      </w:r>
      <w:r w:rsidRPr="00AB228F">
        <w:rPr>
          <w:rFonts w:ascii="Arial" w:hAnsi="Arial" w:cs="Arial"/>
          <w:sz w:val="20"/>
          <w:szCs w:val="20"/>
        </w:rPr>
        <w:t xml:space="preserve"> of total revenue.  The membership of these Systems, particularly the Madrid System and the Hague System, is undergoing rapid geographical expansion from relatively limited bases (at present, 95 Contracting Parties for the Madrid System and 49 Contracting Parties for the latest Act of the Hague System).  It is important for the legitimacy and sustainability of these systems that they continue to expand and be embraced by an increasingly wide geographical participation.  It is also important that they continue to be modernized, work which is carried out in Working Groups of Member States convened under the respective treaties.  </w:t>
      </w:r>
    </w:p>
    <w:p w14:paraId="591C0E6A" w14:textId="77777777" w:rsidR="00EE5E86" w:rsidRPr="00AB228F" w:rsidRDefault="00EE5E86" w:rsidP="00B30215">
      <w:pPr>
        <w:jc w:val="both"/>
        <w:rPr>
          <w:rFonts w:ascii="Arial" w:hAnsi="Arial" w:cs="Arial"/>
          <w:sz w:val="20"/>
          <w:szCs w:val="20"/>
        </w:rPr>
      </w:pPr>
    </w:p>
    <w:p w14:paraId="2461EE39" w14:textId="2F8E288D" w:rsidR="00EE5E86" w:rsidRPr="00AB228F" w:rsidRDefault="00EE5E86" w:rsidP="00B30215">
      <w:pPr>
        <w:jc w:val="both"/>
        <w:rPr>
          <w:rFonts w:ascii="Arial" w:hAnsi="Arial" w:cs="Arial"/>
          <w:sz w:val="20"/>
          <w:szCs w:val="20"/>
        </w:rPr>
      </w:pPr>
      <w:r w:rsidRPr="00AB228F">
        <w:rPr>
          <w:rFonts w:ascii="Arial" w:hAnsi="Arial" w:cs="Arial"/>
          <w:sz w:val="20"/>
          <w:szCs w:val="20"/>
        </w:rPr>
        <w:t xml:space="preserve">A third area is the rich array of IT platforms that are managed by the Organization (Strategic Goal IV) and that underlie the operation of the intellectual property system worldwide.  Enormous progress had been made in this area in recent years.  With the IT platforms of the PCT, the Madrid System and the Hague System, together with the Global IP Databases </w:t>
      </w:r>
      <w:r w:rsidRPr="00B30215">
        <w:rPr>
          <w:rFonts w:ascii="Arial" w:hAnsi="Arial" w:cs="Arial"/>
          <w:sz w:val="20"/>
          <w:szCs w:val="20"/>
        </w:rPr>
        <w:t>(</w:t>
      </w:r>
      <w:r w:rsidR="001E6F3B" w:rsidRPr="00B30215">
        <w:rPr>
          <w:rFonts w:ascii="Arial" w:hAnsi="Arial" w:cs="Arial"/>
          <w:sz w:val="20"/>
          <w:szCs w:val="20"/>
        </w:rPr>
        <w:t>PATENTSCOPE</w:t>
      </w:r>
      <w:r w:rsidRPr="00AB228F">
        <w:rPr>
          <w:rFonts w:ascii="Arial" w:hAnsi="Arial" w:cs="Arial"/>
          <w:sz w:val="20"/>
          <w:szCs w:val="20"/>
        </w:rPr>
        <w:t>, the Global Brands Database and the Global Designs Database) and platforms such as the Digital Access Service (DAS), WIPO</w:t>
      </w:r>
      <w:r w:rsidR="001E6F3B">
        <w:rPr>
          <w:rFonts w:ascii="Arial" w:hAnsi="Arial" w:cs="Arial"/>
          <w:sz w:val="20"/>
          <w:szCs w:val="20"/>
        </w:rPr>
        <w:t> </w:t>
      </w:r>
      <w:r w:rsidRPr="00AB228F">
        <w:rPr>
          <w:rFonts w:ascii="Arial" w:hAnsi="Arial" w:cs="Arial"/>
          <w:sz w:val="20"/>
          <w:szCs w:val="20"/>
        </w:rPr>
        <w:t>CASE (Centralized Access to Search and Examination) and IPAS (Intellectual Property Automation System), which is used in over 80 countries, many of the elements of a true global IP infrastructure exist.  All these platforms enjoy widespread use throughout the developed and developing world, and extensive buy-in from diverse communities, whether IP Offices, industry, NGOs or the general public.  We hope to see these various platforms increasingly form part of an integrated global IP platform.</w:t>
      </w:r>
    </w:p>
    <w:p w14:paraId="5BFCC1E5" w14:textId="77777777" w:rsidR="00EE5E86" w:rsidRPr="00AB228F" w:rsidRDefault="00EE5E86" w:rsidP="00B30215">
      <w:pPr>
        <w:jc w:val="both"/>
        <w:rPr>
          <w:rFonts w:ascii="Arial" w:hAnsi="Arial" w:cs="Arial"/>
          <w:sz w:val="20"/>
          <w:szCs w:val="20"/>
        </w:rPr>
      </w:pPr>
    </w:p>
    <w:p w14:paraId="0AA74915" w14:textId="0BC0431B" w:rsidR="00EE5E86" w:rsidRPr="00AB228F" w:rsidRDefault="00EE5E86" w:rsidP="00B30215">
      <w:pPr>
        <w:jc w:val="both"/>
        <w:rPr>
          <w:rFonts w:ascii="Arial" w:hAnsi="Arial" w:cs="Arial"/>
          <w:sz w:val="20"/>
          <w:szCs w:val="20"/>
        </w:rPr>
      </w:pPr>
      <w:r w:rsidRPr="00AB228F">
        <w:rPr>
          <w:rFonts w:ascii="Arial" w:hAnsi="Arial" w:cs="Arial"/>
          <w:sz w:val="20"/>
          <w:szCs w:val="20"/>
        </w:rPr>
        <w:t>Finally, there is the area of the extensive programs of the Organization in respect of development.  Following the direction of the member States, development has been main-streamed in all substantive Strategic Goals of the Organization.  The programs dedicated exclusively to development, notably the regional bureau</w:t>
      </w:r>
      <w:r w:rsidR="00331368">
        <w:rPr>
          <w:rFonts w:ascii="Arial" w:hAnsi="Arial" w:cs="Arial"/>
          <w:sz w:val="20"/>
          <w:szCs w:val="20"/>
        </w:rPr>
        <w:t>s</w:t>
      </w:r>
      <w:r w:rsidR="001E6F3B" w:rsidRPr="00AB228F">
        <w:rPr>
          <w:rFonts w:ascii="Arial" w:hAnsi="Arial" w:cs="Arial"/>
          <w:sz w:val="20"/>
          <w:szCs w:val="20"/>
        </w:rPr>
        <w:t xml:space="preserve">, </w:t>
      </w:r>
      <w:r w:rsidRPr="00AB228F">
        <w:rPr>
          <w:rFonts w:ascii="Arial" w:hAnsi="Arial" w:cs="Arial"/>
          <w:sz w:val="20"/>
          <w:szCs w:val="20"/>
        </w:rPr>
        <w:t>the Academy and  Development Agenda Coordination, face increasing challenges in meeting the rise in demand for services that is a natural consequence of the increased prominence of intellectual property in the economy.  Part of the response to this challenge that we continue to work on is the achievement of greater coherence in the allocation of responsibilities for capacity building, which now permeates the whole program of the Organization.</w:t>
      </w:r>
    </w:p>
    <w:p w14:paraId="4EAB6AC4" w14:textId="77777777" w:rsidR="00EE5E86" w:rsidRPr="00AB228F" w:rsidRDefault="00EE5E86" w:rsidP="00B30215">
      <w:pPr>
        <w:jc w:val="both"/>
        <w:rPr>
          <w:rFonts w:ascii="Arial" w:hAnsi="Arial" w:cs="Arial"/>
          <w:sz w:val="20"/>
          <w:szCs w:val="20"/>
        </w:rPr>
      </w:pPr>
    </w:p>
    <w:p w14:paraId="56E22C4E" w14:textId="6EF33C2A" w:rsidR="00B64DA0" w:rsidRPr="00FB68E0" w:rsidRDefault="00B64DA0" w:rsidP="00B30215">
      <w:pPr>
        <w:jc w:val="both"/>
        <w:rPr>
          <w:rFonts w:ascii="Arial" w:hAnsi="Arial" w:cs="Arial"/>
          <w:sz w:val="20"/>
          <w:szCs w:val="20"/>
        </w:rPr>
      </w:pPr>
    </w:p>
    <w:p w14:paraId="6840C9F4" w14:textId="77777777" w:rsidR="004F2AD1" w:rsidRPr="00B038A3" w:rsidRDefault="004F2AD1" w:rsidP="004F2AD1">
      <w:pPr>
        <w:ind w:left="5387"/>
        <w:jc w:val="both"/>
        <w:rPr>
          <w:rFonts w:ascii="Arial" w:hAnsi="Arial" w:cs="Arial"/>
          <w:sz w:val="20"/>
        </w:rPr>
      </w:pPr>
    </w:p>
    <w:p w14:paraId="18907600" w14:textId="0735CF64" w:rsidR="004F2AD1" w:rsidRPr="00B30215" w:rsidRDefault="004F2AD1" w:rsidP="00B30215">
      <w:pPr>
        <w:ind w:left="5670"/>
        <w:rPr>
          <w:rFonts w:ascii="Arial" w:hAnsi="Arial" w:cs="Arial"/>
          <w:sz w:val="20"/>
          <w:szCs w:val="20"/>
          <w:lang w:val="en"/>
        </w:rPr>
      </w:pPr>
      <w:r>
        <w:rPr>
          <w:noProof/>
          <w:lang w:eastAsia="en-US"/>
        </w:rPr>
        <w:drawing>
          <wp:inline distT="0" distB="0" distL="0" distR="0" wp14:anchorId="15974BBA" wp14:editId="2F7BE870">
            <wp:extent cx="1598295" cy="5086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14:paraId="33DE6199" w14:textId="77777777" w:rsidR="004F2AD1" w:rsidRPr="00B30215" w:rsidRDefault="004F2AD1" w:rsidP="00B30215">
      <w:pPr>
        <w:ind w:left="5387"/>
        <w:jc w:val="right"/>
        <w:rPr>
          <w:rFonts w:ascii="Arial" w:hAnsi="Arial" w:cs="Arial"/>
          <w:sz w:val="20"/>
          <w:szCs w:val="20"/>
          <w:lang w:val="en"/>
        </w:rPr>
      </w:pPr>
    </w:p>
    <w:p w14:paraId="790BA81A" w14:textId="618A6884" w:rsidR="004F2AD1" w:rsidRPr="00B30215" w:rsidRDefault="004F2AD1" w:rsidP="004F2AD1">
      <w:pPr>
        <w:pStyle w:val="NormalWeb"/>
        <w:shd w:val="clear" w:color="auto" w:fill="FFFFFF"/>
        <w:rPr>
          <w:rFonts w:ascii="Arial" w:hAnsi="Arial" w:cs="Arial"/>
          <w:sz w:val="20"/>
          <w:szCs w:val="20"/>
          <w:lang w:val="en"/>
        </w:rPr>
      </w:pP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006748A0">
        <w:rPr>
          <w:rFonts w:ascii="Arial" w:hAnsi="Arial" w:cs="Arial"/>
          <w:sz w:val="20"/>
          <w:szCs w:val="20"/>
          <w:lang w:val="en"/>
        </w:rPr>
        <w:t xml:space="preserve">      </w:t>
      </w:r>
      <w:r w:rsidRPr="00B30215">
        <w:rPr>
          <w:rFonts w:ascii="Arial" w:hAnsi="Arial" w:cs="Arial"/>
          <w:sz w:val="20"/>
          <w:szCs w:val="20"/>
          <w:lang w:val="en"/>
        </w:rPr>
        <w:t>Francis Gurry</w:t>
      </w:r>
    </w:p>
    <w:p w14:paraId="063F9714" w14:textId="77777777" w:rsidR="004F2AD1" w:rsidRPr="00B30215" w:rsidRDefault="004F2AD1" w:rsidP="004F2AD1">
      <w:pPr>
        <w:pStyle w:val="NormalWeb"/>
        <w:shd w:val="clear" w:color="auto" w:fill="FFFFFF"/>
        <w:rPr>
          <w:rFonts w:ascii="Arial" w:hAnsi="Arial" w:cs="Arial"/>
          <w:sz w:val="20"/>
          <w:szCs w:val="20"/>
          <w:lang w:val="en"/>
        </w:rPr>
      </w:pPr>
    </w:p>
    <w:p w14:paraId="4F3CDFEF" w14:textId="5CE53E0D" w:rsidR="004F2AD1" w:rsidRPr="00B30215" w:rsidRDefault="004F2AD1" w:rsidP="004F2AD1">
      <w:pPr>
        <w:pStyle w:val="NormalWeb"/>
        <w:rPr>
          <w:rFonts w:ascii="Arial" w:hAnsi="Arial" w:cs="Arial"/>
          <w:sz w:val="20"/>
          <w:szCs w:val="20"/>
          <w:lang w:val="en"/>
        </w:rPr>
      </w:pP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Pr="00B30215">
        <w:rPr>
          <w:rFonts w:ascii="Arial" w:hAnsi="Arial" w:cs="Arial"/>
          <w:sz w:val="20"/>
          <w:szCs w:val="20"/>
          <w:lang w:val="en"/>
        </w:rPr>
        <w:tab/>
      </w:r>
      <w:r w:rsidR="006748A0">
        <w:rPr>
          <w:rFonts w:ascii="Arial" w:hAnsi="Arial" w:cs="Arial"/>
          <w:sz w:val="20"/>
          <w:szCs w:val="20"/>
          <w:lang w:val="en"/>
        </w:rPr>
        <w:t xml:space="preserve">      </w:t>
      </w:r>
      <w:r w:rsidRPr="00B30215">
        <w:rPr>
          <w:rFonts w:ascii="Arial" w:hAnsi="Arial" w:cs="Arial"/>
          <w:sz w:val="20"/>
          <w:szCs w:val="20"/>
          <w:lang w:val="en"/>
        </w:rPr>
        <w:t>Director General</w:t>
      </w:r>
    </w:p>
    <w:p w14:paraId="5411B473" w14:textId="77777777" w:rsidR="00824636" w:rsidRPr="00FB68E0" w:rsidRDefault="00824636" w:rsidP="00B64DA0">
      <w:pPr>
        <w:jc w:val="both"/>
        <w:rPr>
          <w:rFonts w:ascii="Arial" w:hAnsi="Arial" w:cs="Arial"/>
          <w:sz w:val="20"/>
          <w:szCs w:val="20"/>
        </w:rPr>
      </w:pPr>
    </w:p>
    <w:p w14:paraId="46447AF7" w14:textId="77777777" w:rsidR="00824636" w:rsidRPr="00FB68E0" w:rsidRDefault="00824636" w:rsidP="00B64DA0">
      <w:pPr>
        <w:jc w:val="both"/>
        <w:rPr>
          <w:rFonts w:ascii="Arial" w:hAnsi="Arial" w:cs="Arial"/>
          <w:sz w:val="20"/>
          <w:szCs w:val="20"/>
        </w:rPr>
      </w:pPr>
    </w:p>
    <w:p w14:paraId="4C2E31BE" w14:textId="77777777" w:rsidR="00824636" w:rsidRPr="00FB68E0" w:rsidRDefault="00824636" w:rsidP="00B64DA0">
      <w:pPr>
        <w:jc w:val="both"/>
        <w:rPr>
          <w:rFonts w:ascii="Arial" w:hAnsi="Arial" w:cs="Arial"/>
          <w:sz w:val="20"/>
          <w:szCs w:val="20"/>
        </w:rPr>
      </w:pPr>
    </w:p>
    <w:p w14:paraId="16EE6AC9" w14:textId="62A3630B" w:rsidR="00B64DA0" w:rsidRPr="00FB68E0" w:rsidRDefault="00B64DA0">
      <w:pPr>
        <w:rPr>
          <w:rFonts w:ascii="Arial" w:hAnsi="Arial" w:cs="Arial"/>
        </w:rPr>
      </w:pPr>
      <w:r w:rsidRPr="00FB68E0">
        <w:rPr>
          <w:rFonts w:ascii="Arial" w:hAnsi="Arial" w:cs="Arial"/>
        </w:rPr>
        <w:br w:type="page"/>
      </w:r>
    </w:p>
    <w:p w14:paraId="7C18EC8B" w14:textId="3022B612" w:rsidR="00B67D0A" w:rsidRPr="00B30215" w:rsidRDefault="00B64DA0" w:rsidP="00B67D0A">
      <w:pPr>
        <w:pStyle w:val="Heading1"/>
        <w:keepLines/>
        <w:rPr>
          <w:szCs w:val="20"/>
        </w:rPr>
      </w:pPr>
      <w:bookmarkStart w:id="9" w:name="_Toc367350562"/>
      <w:bookmarkStart w:id="10" w:name="_Toc427154387"/>
      <w:r w:rsidRPr="00B30215">
        <w:rPr>
          <w:szCs w:val="20"/>
        </w:rPr>
        <w:lastRenderedPageBreak/>
        <w:t>I.</w:t>
      </w:r>
      <w:r w:rsidRPr="00B30215">
        <w:rPr>
          <w:szCs w:val="20"/>
        </w:rPr>
        <w:tab/>
      </w:r>
      <w:r w:rsidR="00B67D0A" w:rsidRPr="00B30215">
        <w:rPr>
          <w:szCs w:val="20"/>
        </w:rPr>
        <w:t>FINANCIAL</w:t>
      </w:r>
      <w:r w:rsidRPr="00B30215">
        <w:rPr>
          <w:szCs w:val="20"/>
        </w:rPr>
        <w:t xml:space="preserve"> </w:t>
      </w:r>
      <w:r w:rsidR="00B67D0A" w:rsidRPr="00B30215">
        <w:rPr>
          <w:szCs w:val="20"/>
        </w:rPr>
        <w:t xml:space="preserve">AND RESULTS </w:t>
      </w:r>
      <w:r w:rsidRPr="00B30215">
        <w:rPr>
          <w:szCs w:val="20"/>
        </w:rPr>
        <w:t>OVERVIEW</w:t>
      </w:r>
      <w:bookmarkEnd w:id="9"/>
      <w:bookmarkEnd w:id="10"/>
    </w:p>
    <w:p w14:paraId="3EAFAFC6" w14:textId="77777777" w:rsidR="00B67D0A" w:rsidRDefault="00B67D0A" w:rsidP="00F02301">
      <w:pPr>
        <w:widowControl w:val="0"/>
        <w:jc w:val="both"/>
        <w:rPr>
          <w:rFonts w:ascii="Arial" w:hAnsi="Arial"/>
          <w:sz w:val="20"/>
        </w:rPr>
      </w:pPr>
    </w:p>
    <w:p w14:paraId="74F71399" w14:textId="77777777" w:rsidR="00B67D0A" w:rsidRDefault="00B67D0A" w:rsidP="00F02301">
      <w:pPr>
        <w:widowControl w:val="0"/>
        <w:jc w:val="both"/>
        <w:rPr>
          <w:rFonts w:ascii="Arial" w:hAnsi="Arial"/>
          <w:sz w:val="20"/>
        </w:rPr>
      </w:pPr>
    </w:p>
    <w:p w14:paraId="633795DE" w14:textId="77777777" w:rsidR="00B67D0A" w:rsidRPr="00B67D0A" w:rsidRDefault="00B67D0A" w:rsidP="00B66A4A">
      <w:pPr>
        <w:pStyle w:val="ListParagraph"/>
        <w:widowControl w:val="0"/>
        <w:numPr>
          <w:ilvl w:val="0"/>
          <w:numId w:val="33"/>
        </w:numPr>
        <w:tabs>
          <w:tab w:val="left" w:pos="567"/>
        </w:tabs>
        <w:ind w:left="0" w:firstLine="0"/>
        <w:jc w:val="both"/>
        <w:rPr>
          <w:rFonts w:ascii="Arial" w:hAnsi="Arial" w:cs="Arial"/>
          <w:bCs/>
          <w:sz w:val="20"/>
        </w:rPr>
      </w:pPr>
      <w:r w:rsidRPr="00B67D0A">
        <w:rPr>
          <w:rFonts w:ascii="Arial" w:hAnsi="Arial"/>
          <w:sz w:val="20"/>
        </w:rPr>
        <w:t xml:space="preserve">This Program and Budget provides the planning for the biennium 2016/17 guided by the inputs received from Member States.  </w:t>
      </w:r>
      <w:r w:rsidRPr="00B67D0A">
        <w:rPr>
          <w:rFonts w:ascii="Arial" w:hAnsi="Arial" w:cs="Arial"/>
          <w:sz w:val="20"/>
          <w:lang w:val="en-GB"/>
        </w:rPr>
        <w:t xml:space="preserve">Table 1 below provides an overview of the key financial planning parameters for 2016/17. </w:t>
      </w:r>
    </w:p>
    <w:p w14:paraId="667D4BC6" w14:textId="77777777" w:rsidR="00B67D0A" w:rsidRPr="00FA3F50" w:rsidRDefault="00B67D0A" w:rsidP="00F02301">
      <w:pPr>
        <w:widowControl w:val="0"/>
        <w:jc w:val="both"/>
        <w:rPr>
          <w:rFonts w:ascii="Arial" w:hAnsi="Arial" w:cs="Arial"/>
          <w:bCs/>
          <w:sz w:val="20"/>
        </w:rPr>
      </w:pPr>
    </w:p>
    <w:p w14:paraId="6FD0DADF" w14:textId="686E87AB" w:rsidR="00B67D0A" w:rsidRPr="00EA41D2" w:rsidRDefault="00B67D0A" w:rsidP="00B66A4A">
      <w:pPr>
        <w:pStyle w:val="ListParagraph"/>
        <w:widowControl w:val="0"/>
        <w:numPr>
          <w:ilvl w:val="0"/>
          <w:numId w:val="33"/>
        </w:numPr>
        <w:tabs>
          <w:tab w:val="left" w:pos="567"/>
        </w:tabs>
        <w:ind w:left="0" w:firstLine="0"/>
        <w:jc w:val="both"/>
        <w:rPr>
          <w:rFonts w:ascii="Arial" w:hAnsi="Arial" w:cs="Arial"/>
          <w:bCs/>
          <w:sz w:val="20"/>
        </w:rPr>
      </w:pPr>
      <w:r>
        <w:rPr>
          <w:rFonts w:ascii="Arial" w:hAnsi="Arial" w:cs="Arial"/>
          <w:sz w:val="20"/>
          <w:lang w:val="en-GB"/>
        </w:rPr>
        <w:t>Income in the biennium 2016/17 is estimated at 756.</w:t>
      </w:r>
      <w:r w:rsidR="009D7A18">
        <w:rPr>
          <w:rFonts w:ascii="Arial" w:hAnsi="Arial" w:cs="Arial"/>
          <w:sz w:val="20"/>
          <w:lang w:val="en-GB"/>
        </w:rPr>
        <w:t xml:space="preserve">3 </w:t>
      </w:r>
      <w:r>
        <w:rPr>
          <w:rFonts w:ascii="Arial" w:hAnsi="Arial" w:cs="Arial"/>
          <w:sz w:val="20"/>
          <w:lang w:val="en-GB"/>
        </w:rPr>
        <w:t xml:space="preserve">million Swiss francs with </w:t>
      </w:r>
      <w:r w:rsidR="00BE4112">
        <w:rPr>
          <w:rFonts w:ascii="Arial" w:hAnsi="Arial" w:cs="Arial"/>
          <w:sz w:val="20"/>
          <w:lang w:val="en-GB"/>
        </w:rPr>
        <w:t xml:space="preserve">the </w:t>
      </w:r>
      <w:r w:rsidRPr="00EA41D2">
        <w:rPr>
          <w:rFonts w:ascii="Arial" w:hAnsi="Arial" w:cs="Arial"/>
          <w:bCs/>
          <w:sz w:val="20"/>
        </w:rPr>
        <w:t xml:space="preserve">proposed </w:t>
      </w:r>
      <w:r w:rsidR="00BE4112">
        <w:rPr>
          <w:rFonts w:ascii="Arial" w:hAnsi="Arial" w:cs="Arial"/>
          <w:bCs/>
          <w:sz w:val="20"/>
        </w:rPr>
        <w:t xml:space="preserve">expenditure </w:t>
      </w:r>
      <w:r w:rsidRPr="00EA41D2">
        <w:rPr>
          <w:rFonts w:ascii="Arial" w:hAnsi="Arial" w:cs="Arial"/>
          <w:bCs/>
          <w:sz w:val="20"/>
        </w:rPr>
        <w:t xml:space="preserve">budget for the biennium at </w:t>
      </w:r>
      <w:r>
        <w:rPr>
          <w:rFonts w:ascii="Arial" w:hAnsi="Arial" w:cs="Arial"/>
          <w:bCs/>
          <w:sz w:val="20"/>
        </w:rPr>
        <w:t>707.0</w:t>
      </w:r>
      <w:r w:rsidRPr="00EA41D2">
        <w:rPr>
          <w:rFonts w:ascii="Arial" w:hAnsi="Arial" w:cs="Arial"/>
          <w:bCs/>
          <w:sz w:val="20"/>
        </w:rPr>
        <w:t xml:space="preserve"> million Swiss francs</w:t>
      </w:r>
      <w:r>
        <w:rPr>
          <w:rFonts w:ascii="Arial" w:hAnsi="Arial" w:cs="Arial"/>
          <w:bCs/>
          <w:sz w:val="20"/>
        </w:rPr>
        <w:t xml:space="preserve">.  After </w:t>
      </w:r>
      <w:r w:rsidRPr="00AE288C">
        <w:rPr>
          <w:rFonts w:ascii="Arial" w:hAnsi="Arial" w:cs="Arial"/>
          <w:bCs/>
          <w:sz w:val="20"/>
        </w:rPr>
        <w:t xml:space="preserve">estimated </w:t>
      </w:r>
      <w:r w:rsidR="00AE288C" w:rsidRPr="00DA3F93">
        <w:rPr>
          <w:rFonts w:ascii="Arial" w:hAnsi="Arial" w:cs="Arial"/>
          <w:bCs/>
          <w:sz w:val="20"/>
        </w:rPr>
        <w:t xml:space="preserve">International Public Sector Accounting Standards </w:t>
      </w:r>
      <w:r w:rsidR="00AE288C">
        <w:rPr>
          <w:rFonts w:ascii="Arial" w:hAnsi="Arial" w:cs="Arial"/>
          <w:bCs/>
          <w:sz w:val="20"/>
        </w:rPr>
        <w:t>(</w:t>
      </w:r>
      <w:r w:rsidRPr="00AE288C">
        <w:rPr>
          <w:rFonts w:ascii="Arial" w:hAnsi="Arial" w:cs="Arial"/>
          <w:bCs/>
          <w:sz w:val="20"/>
        </w:rPr>
        <w:t>IPSAS</w:t>
      </w:r>
      <w:r w:rsidR="00AE288C">
        <w:rPr>
          <w:rFonts w:ascii="Arial" w:hAnsi="Arial" w:cs="Arial"/>
          <w:bCs/>
          <w:sz w:val="20"/>
        </w:rPr>
        <w:t>)</w:t>
      </w:r>
      <w:r w:rsidRPr="00AE288C">
        <w:rPr>
          <w:rFonts w:ascii="Arial" w:hAnsi="Arial" w:cs="Arial"/>
          <w:bCs/>
          <w:sz w:val="20"/>
        </w:rPr>
        <w:t xml:space="preserve"> adjustments on both income a</w:t>
      </w:r>
      <w:r w:rsidRPr="00EA41D2">
        <w:rPr>
          <w:rFonts w:ascii="Arial" w:hAnsi="Arial" w:cs="Arial"/>
          <w:bCs/>
          <w:sz w:val="20"/>
        </w:rPr>
        <w:t xml:space="preserve">nd expenditure, </w:t>
      </w:r>
      <w:r>
        <w:rPr>
          <w:rFonts w:ascii="Arial" w:hAnsi="Arial" w:cs="Arial"/>
          <w:bCs/>
          <w:sz w:val="20"/>
        </w:rPr>
        <w:t xml:space="preserve">a </w:t>
      </w:r>
      <w:r w:rsidRPr="00EA41D2">
        <w:rPr>
          <w:rFonts w:ascii="Arial" w:hAnsi="Arial" w:cs="Arial"/>
          <w:bCs/>
          <w:sz w:val="20"/>
        </w:rPr>
        <w:t xml:space="preserve">surplus of approximately </w:t>
      </w:r>
      <w:r w:rsidR="009D7A18">
        <w:rPr>
          <w:rFonts w:ascii="Arial" w:hAnsi="Arial" w:cs="Arial"/>
          <w:bCs/>
          <w:sz w:val="20"/>
        </w:rPr>
        <w:t>20.8</w:t>
      </w:r>
      <w:r w:rsidRPr="00EA41D2">
        <w:rPr>
          <w:rFonts w:ascii="Arial" w:hAnsi="Arial" w:cs="Arial"/>
          <w:bCs/>
          <w:sz w:val="20"/>
        </w:rPr>
        <w:t xml:space="preserve"> million Swiss francs</w:t>
      </w:r>
      <w:r>
        <w:rPr>
          <w:rFonts w:ascii="Arial" w:hAnsi="Arial" w:cs="Arial"/>
          <w:bCs/>
          <w:sz w:val="20"/>
        </w:rPr>
        <w:t xml:space="preserve"> is predicted at the end of the biennium</w:t>
      </w:r>
      <w:r w:rsidRPr="00EA41D2">
        <w:rPr>
          <w:rFonts w:ascii="Arial" w:hAnsi="Arial" w:cs="Arial"/>
          <w:bCs/>
          <w:sz w:val="20"/>
        </w:rPr>
        <w:t xml:space="preserve">.  </w:t>
      </w:r>
    </w:p>
    <w:p w14:paraId="3A698516" w14:textId="77777777" w:rsidR="00B67D0A" w:rsidRPr="00751EA6" w:rsidRDefault="00B67D0A" w:rsidP="00F51335">
      <w:pPr>
        <w:pStyle w:val="Body1"/>
        <w:jc w:val="center"/>
        <w:rPr>
          <w:rFonts w:ascii="Arial" w:hAnsi="Arial" w:cs="Arial"/>
          <w:sz w:val="20"/>
        </w:rPr>
      </w:pPr>
    </w:p>
    <w:p w14:paraId="7D23825E" w14:textId="77777777" w:rsidR="00B67D0A" w:rsidRPr="00751EA6" w:rsidRDefault="00B67D0A" w:rsidP="00F51335">
      <w:pPr>
        <w:pStyle w:val="Body1"/>
        <w:jc w:val="center"/>
        <w:rPr>
          <w:rFonts w:ascii="Arial" w:hAnsi="Arial" w:cs="Arial"/>
          <w:b/>
          <w:sz w:val="20"/>
        </w:rPr>
      </w:pPr>
      <w:r w:rsidRPr="00751EA6">
        <w:rPr>
          <w:rFonts w:ascii="Arial" w:hAnsi="Arial" w:cs="Arial"/>
          <w:b/>
          <w:sz w:val="20"/>
        </w:rPr>
        <w:t>Table 1.  Proposed Budget for 2016/17 and Key Planning Parameters</w:t>
      </w:r>
    </w:p>
    <w:p w14:paraId="564D4722" w14:textId="77777777" w:rsidR="00B67D0A" w:rsidRPr="00751EA6" w:rsidRDefault="00B67D0A" w:rsidP="00F51335">
      <w:pPr>
        <w:pStyle w:val="Body1"/>
        <w:jc w:val="center"/>
        <w:rPr>
          <w:rFonts w:ascii="Arial" w:hAnsi="Arial" w:cs="Arial"/>
          <w:i/>
          <w:sz w:val="20"/>
        </w:rPr>
      </w:pPr>
      <w:r w:rsidRPr="00751EA6">
        <w:rPr>
          <w:rFonts w:ascii="Arial" w:hAnsi="Arial" w:cs="Arial"/>
          <w:i/>
          <w:sz w:val="20"/>
        </w:rPr>
        <w:t>(in millions of Swiss francs)</w:t>
      </w:r>
    </w:p>
    <w:p w14:paraId="6DAECE46" w14:textId="77777777" w:rsidR="00B67D0A" w:rsidRPr="00751EA6" w:rsidRDefault="00B67D0A" w:rsidP="00F51335">
      <w:pPr>
        <w:pStyle w:val="Body1"/>
        <w:jc w:val="center"/>
        <w:rPr>
          <w:rFonts w:ascii="Arial" w:hAnsi="Arial" w:cs="Arial"/>
          <w:sz w:val="20"/>
        </w:rPr>
      </w:pPr>
    </w:p>
    <w:p w14:paraId="662C34FC" w14:textId="6323D3C9" w:rsidR="00B67D0A" w:rsidRPr="00F51335" w:rsidRDefault="00AD1FB5" w:rsidP="00F51335">
      <w:pPr>
        <w:pStyle w:val="Body1"/>
        <w:jc w:val="center"/>
      </w:pPr>
      <w:r w:rsidRPr="00AD1FB5">
        <w:rPr>
          <w:noProof/>
        </w:rPr>
        <w:drawing>
          <wp:inline distT="0" distB="0" distL="0" distR="0" wp14:anchorId="2DF56D0F" wp14:editId="3BC9DC28">
            <wp:extent cx="4257675" cy="2363159"/>
            <wp:effectExtent l="0" t="0" r="0"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57675" cy="2363159"/>
                    </a:xfrm>
                    <a:prstGeom prst="rect">
                      <a:avLst/>
                    </a:prstGeom>
                    <a:noFill/>
                    <a:ln>
                      <a:noFill/>
                    </a:ln>
                  </pic:spPr>
                </pic:pic>
              </a:graphicData>
            </a:graphic>
          </wp:inline>
        </w:drawing>
      </w:r>
    </w:p>
    <w:p w14:paraId="37FB4AD5" w14:textId="77777777" w:rsidR="00B67D0A" w:rsidRPr="00751EA6" w:rsidRDefault="00B67D0A" w:rsidP="00F51335">
      <w:pPr>
        <w:pStyle w:val="Body1"/>
        <w:jc w:val="center"/>
        <w:rPr>
          <w:rFonts w:ascii="Arial" w:hAnsi="Arial" w:cs="Arial"/>
          <w:sz w:val="20"/>
        </w:rPr>
      </w:pPr>
    </w:p>
    <w:p w14:paraId="0608DC7A" w14:textId="77777777" w:rsidR="00B67D0A" w:rsidRPr="00751EA6" w:rsidRDefault="00B67D0A" w:rsidP="00F51335">
      <w:pPr>
        <w:pStyle w:val="Body1"/>
        <w:jc w:val="center"/>
        <w:rPr>
          <w:rFonts w:ascii="Arial" w:hAnsi="Arial" w:cs="Arial"/>
          <w:sz w:val="20"/>
        </w:rPr>
      </w:pPr>
    </w:p>
    <w:p w14:paraId="1F9E6890" w14:textId="5BA28D05" w:rsidR="00B67D0A" w:rsidRPr="00B67D0A" w:rsidRDefault="00B67D0A" w:rsidP="00B67D0A">
      <w:pPr>
        <w:pStyle w:val="StyleHeading3ComplexItalic"/>
        <w:tabs>
          <w:tab w:val="clear" w:pos="1985"/>
          <w:tab w:val="left" w:pos="1843"/>
        </w:tabs>
        <w:ind w:left="1843" w:hanging="1843"/>
        <w:rPr>
          <w:sz w:val="20"/>
        </w:rPr>
      </w:pPr>
      <w:bookmarkStart w:id="11" w:name="_Toc427154388"/>
      <w:r>
        <w:rPr>
          <w:sz w:val="20"/>
        </w:rPr>
        <w:t>INCOME</w:t>
      </w:r>
      <w:bookmarkEnd w:id="11"/>
    </w:p>
    <w:p w14:paraId="1B1E1A48" w14:textId="77777777" w:rsidR="00B67D0A" w:rsidRPr="00B67D0A" w:rsidRDefault="00B67D0A" w:rsidP="00B67D0A">
      <w:pPr>
        <w:pStyle w:val="ListParagraph"/>
        <w:widowControl w:val="0"/>
        <w:ind w:left="0"/>
        <w:rPr>
          <w:rFonts w:ascii="Arial" w:hAnsi="Arial" w:cs="Arial"/>
          <w:sz w:val="20"/>
        </w:rPr>
      </w:pPr>
    </w:p>
    <w:p w14:paraId="3E72AE09" w14:textId="77777777" w:rsidR="00B67D0A" w:rsidRPr="00490F0D" w:rsidRDefault="00B67D0A" w:rsidP="00B66A4A">
      <w:pPr>
        <w:pStyle w:val="ListParagraph"/>
        <w:widowControl w:val="0"/>
        <w:numPr>
          <w:ilvl w:val="0"/>
          <w:numId w:val="33"/>
        </w:numPr>
        <w:tabs>
          <w:tab w:val="left" w:pos="567"/>
        </w:tabs>
        <w:ind w:left="0" w:firstLine="0"/>
        <w:jc w:val="both"/>
        <w:rPr>
          <w:rFonts w:ascii="Arial" w:hAnsi="Arial" w:cs="Arial"/>
          <w:bCs/>
          <w:sz w:val="20"/>
        </w:rPr>
      </w:pPr>
      <w:r w:rsidRPr="00A61970">
        <w:rPr>
          <w:rFonts w:ascii="Arial" w:hAnsi="Arial"/>
          <w:sz w:val="20"/>
          <w:lang w:val="en-CA"/>
        </w:rPr>
        <w:t>The demand for the Organization’s international registration services is expected to continue to increase</w:t>
      </w:r>
      <w:r>
        <w:rPr>
          <w:rFonts w:ascii="Arial" w:hAnsi="Arial"/>
          <w:sz w:val="20"/>
          <w:lang w:val="en-CA"/>
        </w:rPr>
        <w:t>.</w:t>
      </w:r>
      <w:r w:rsidRPr="00A61970">
        <w:rPr>
          <w:rFonts w:ascii="Arial" w:hAnsi="Arial"/>
          <w:sz w:val="20"/>
        </w:rPr>
        <w:t xml:space="preserve"> </w:t>
      </w:r>
      <w:r>
        <w:rPr>
          <w:rFonts w:ascii="Arial" w:hAnsi="Arial"/>
          <w:sz w:val="20"/>
        </w:rPr>
        <w:t>T</w:t>
      </w:r>
      <w:r w:rsidRPr="00A61970">
        <w:rPr>
          <w:rFonts w:ascii="Arial" w:hAnsi="Arial" w:cs="Arial"/>
          <w:bCs/>
          <w:sz w:val="20"/>
        </w:rPr>
        <w:t xml:space="preserve">he </w:t>
      </w:r>
      <w:r>
        <w:rPr>
          <w:rFonts w:ascii="Arial" w:hAnsi="Arial" w:cs="Arial"/>
          <w:bCs/>
          <w:sz w:val="20"/>
        </w:rPr>
        <w:t xml:space="preserve">registration volume </w:t>
      </w:r>
      <w:r w:rsidRPr="00A61970">
        <w:rPr>
          <w:rFonts w:ascii="Arial" w:hAnsi="Arial" w:cs="Arial"/>
          <w:bCs/>
          <w:sz w:val="20"/>
        </w:rPr>
        <w:t>planning parameters for the 201</w:t>
      </w:r>
      <w:r>
        <w:rPr>
          <w:rFonts w:ascii="Arial" w:hAnsi="Arial" w:cs="Arial"/>
          <w:bCs/>
          <w:sz w:val="20"/>
        </w:rPr>
        <w:t>6</w:t>
      </w:r>
      <w:r w:rsidRPr="00A61970">
        <w:rPr>
          <w:rFonts w:ascii="Arial" w:hAnsi="Arial" w:cs="Arial"/>
          <w:bCs/>
          <w:sz w:val="20"/>
        </w:rPr>
        <w:t>/1</w:t>
      </w:r>
      <w:r>
        <w:rPr>
          <w:rFonts w:ascii="Arial" w:hAnsi="Arial" w:cs="Arial"/>
          <w:bCs/>
          <w:sz w:val="20"/>
        </w:rPr>
        <w:t>7</w:t>
      </w:r>
      <w:r w:rsidRPr="00A61970">
        <w:rPr>
          <w:rFonts w:ascii="Arial" w:hAnsi="Arial" w:cs="Arial"/>
          <w:bCs/>
          <w:sz w:val="20"/>
        </w:rPr>
        <w:t> budget</w:t>
      </w:r>
      <w:r w:rsidRPr="00A61970">
        <w:rPr>
          <w:rFonts w:ascii="Arial" w:hAnsi="Arial"/>
          <w:sz w:val="20"/>
        </w:rPr>
        <w:t xml:space="preserve"> </w:t>
      </w:r>
      <w:r>
        <w:rPr>
          <w:rFonts w:ascii="Arial" w:hAnsi="Arial"/>
          <w:sz w:val="20"/>
        </w:rPr>
        <w:t>are</w:t>
      </w:r>
      <w:r w:rsidRPr="00A61970">
        <w:rPr>
          <w:rFonts w:ascii="Arial" w:hAnsi="Arial"/>
          <w:sz w:val="20"/>
        </w:rPr>
        <w:t xml:space="preserve"> summarized in </w:t>
      </w:r>
      <w:r>
        <w:rPr>
          <w:rFonts w:ascii="Arial" w:hAnsi="Arial"/>
          <w:sz w:val="20"/>
        </w:rPr>
        <w:t>T</w:t>
      </w:r>
      <w:r w:rsidRPr="00A61970">
        <w:rPr>
          <w:rFonts w:ascii="Arial" w:hAnsi="Arial"/>
          <w:sz w:val="20"/>
        </w:rPr>
        <w:t xml:space="preserve">able 2.  </w:t>
      </w:r>
    </w:p>
    <w:p w14:paraId="508B753F" w14:textId="77777777" w:rsidR="00B67D0A" w:rsidRPr="00490F0D" w:rsidRDefault="00B67D0A" w:rsidP="00F02301">
      <w:pPr>
        <w:tabs>
          <w:tab w:val="left" w:pos="567"/>
        </w:tabs>
        <w:jc w:val="both"/>
        <w:rPr>
          <w:rFonts w:ascii="Arial" w:hAnsi="Arial" w:cs="Arial"/>
          <w:bCs/>
          <w:sz w:val="20"/>
        </w:rPr>
      </w:pPr>
    </w:p>
    <w:p w14:paraId="111DD3E5" w14:textId="5D22C9CC" w:rsidR="00B67D0A" w:rsidRPr="00A61970" w:rsidRDefault="00B67D0A" w:rsidP="00B66A4A">
      <w:pPr>
        <w:pStyle w:val="ListParagraph"/>
        <w:widowControl w:val="0"/>
        <w:numPr>
          <w:ilvl w:val="0"/>
          <w:numId w:val="33"/>
        </w:numPr>
        <w:tabs>
          <w:tab w:val="left" w:pos="567"/>
        </w:tabs>
        <w:ind w:left="0" w:firstLine="0"/>
        <w:jc w:val="both"/>
        <w:rPr>
          <w:rFonts w:ascii="Arial" w:hAnsi="Arial" w:cs="Arial"/>
          <w:bCs/>
          <w:sz w:val="20"/>
        </w:rPr>
      </w:pPr>
      <w:r w:rsidRPr="00A61970">
        <w:rPr>
          <w:rFonts w:ascii="Arial" w:hAnsi="Arial"/>
          <w:sz w:val="20"/>
        </w:rPr>
        <w:t>Projections for 2016/17 are, as in previous biennia, established based on the Chief Economist’s forecasts</w:t>
      </w:r>
      <w:r>
        <w:rPr>
          <w:rStyle w:val="FootnoteReference"/>
          <w:rFonts w:ascii="Arial" w:hAnsi="Arial"/>
        </w:rPr>
        <w:footnoteReference w:id="1"/>
      </w:r>
      <w:r w:rsidRPr="00A61970">
        <w:rPr>
          <w:rFonts w:ascii="Arial" w:hAnsi="Arial"/>
          <w:sz w:val="20"/>
        </w:rPr>
        <w:t xml:space="preserve">. </w:t>
      </w:r>
      <w:r>
        <w:rPr>
          <w:rFonts w:ascii="Arial" w:hAnsi="Arial" w:cs="Arial"/>
          <w:bCs/>
          <w:sz w:val="20"/>
        </w:rPr>
        <w:t>T</w:t>
      </w:r>
      <w:r w:rsidRPr="00A61970">
        <w:rPr>
          <w:rFonts w:ascii="Arial" w:hAnsi="Arial" w:cs="Arial"/>
          <w:bCs/>
          <w:sz w:val="20"/>
        </w:rPr>
        <w:t xml:space="preserve">he </w:t>
      </w:r>
      <w:r>
        <w:rPr>
          <w:rFonts w:ascii="Arial" w:hAnsi="Arial" w:cs="Arial"/>
          <w:bCs/>
          <w:sz w:val="20"/>
        </w:rPr>
        <w:t xml:space="preserve">Chief Economist’s </w:t>
      </w:r>
      <w:r w:rsidRPr="00A61970">
        <w:rPr>
          <w:rFonts w:ascii="Arial" w:hAnsi="Arial" w:cs="Arial"/>
          <w:bCs/>
          <w:sz w:val="20"/>
        </w:rPr>
        <w:t xml:space="preserve">base case </w:t>
      </w:r>
      <w:r>
        <w:rPr>
          <w:rFonts w:ascii="Arial" w:hAnsi="Arial" w:cs="Arial"/>
          <w:bCs/>
          <w:sz w:val="20"/>
        </w:rPr>
        <w:t xml:space="preserve">registration </w:t>
      </w:r>
      <w:r w:rsidRPr="00A61970">
        <w:rPr>
          <w:rFonts w:ascii="Arial" w:hAnsi="Arial" w:cs="Arial"/>
          <w:bCs/>
          <w:sz w:val="20"/>
        </w:rPr>
        <w:t xml:space="preserve">figures </w:t>
      </w:r>
      <w:r>
        <w:rPr>
          <w:rFonts w:ascii="Arial" w:hAnsi="Arial" w:cs="Arial"/>
          <w:bCs/>
          <w:sz w:val="20"/>
        </w:rPr>
        <w:t>serve as the planning parameter</w:t>
      </w:r>
      <w:r w:rsidR="003866D2">
        <w:rPr>
          <w:rFonts w:ascii="Arial" w:hAnsi="Arial" w:cs="Arial"/>
          <w:bCs/>
          <w:sz w:val="20"/>
        </w:rPr>
        <w:t>s</w:t>
      </w:r>
      <w:r>
        <w:rPr>
          <w:rFonts w:ascii="Arial" w:hAnsi="Arial" w:cs="Arial"/>
          <w:bCs/>
          <w:sz w:val="20"/>
        </w:rPr>
        <w:t xml:space="preserve"> </w:t>
      </w:r>
      <w:r w:rsidRPr="00A61970">
        <w:rPr>
          <w:rFonts w:ascii="Arial" w:hAnsi="Arial" w:cs="Arial"/>
          <w:bCs/>
          <w:sz w:val="20"/>
        </w:rPr>
        <w:t>for the PCT</w:t>
      </w:r>
      <w:r>
        <w:rPr>
          <w:rFonts w:ascii="Arial" w:hAnsi="Arial" w:cs="Arial"/>
          <w:bCs/>
          <w:sz w:val="20"/>
        </w:rPr>
        <w:t xml:space="preserve"> and Hague registration systems</w:t>
      </w:r>
      <w:r>
        <w:rPr>
          <w:rFonts w:ascii="Arial" w:hAnsi="Arial"/>
          <w:sz w:val="20"/>
        </w:rPr>
        <w:t xml:space="preserve"> in 2016/17.  T</w:t>
      </w:r>
      <w:r>
        <w:rPr>
          <w:rFonts w:ascii="Arial" w:hAnsi="Arial" w:cs="Arial"/>
          <w:bCs/>
          <w:sz w:val="20"/>
        </w:rPr>
        <w:t xml:space="preserve">he planning assumptions for the Madrid registration system are established </w:t>
      </w:r>
      <w:r w:rsidRPr="00A61970">
        <w:rPr>
          <w:rFonts w:ascii="Arial" w:hAnsi="Arial" w:cs="Arial"/>
          <w:bCs/>
          <w:sz w:val="20"/>
        </w:rPr>
        <w:t xml:space="preserve">slightly below the base case projected by the models.  </w:t>
      </w:r>
      <w:r>
        <w:rPr>
          <w:rFonts w:ascii="Arial" w:hAnsi="Arial" w:cs="Arial"/>
          <w:bCs/>
          <w:sz w:val="20"/>
        </w:rPr>
        <w:t xml:space="preserve">This takes into consideration multiple factors, including uncertainties as regards the application volumes from new members of those systems. </w:t>
      </w:r>
    </w:p>
    <w:p w14:paraId="4056C225" w14:textId="77777777" w:rsidR="00B67D0A" w:rsidRDefault="00B67D0A" w:rsidP="00F02301">
      <w:pPr>
        <w:tabs>
          <w:tab w:val="left" w:pos="567"/>
        </w:tabs>
        <w:jc w:val="center"/>
        <w:rPr>
          <w:rFonts w:ascii="Arial" w:hAnsi="Arial"/>
          <w:b/>
          <w:sz w:val="18"/>
          <w:szCs w:val="18"/>
        </w:rPr>
      </w:pPr>
    </w:p>
    <w:p w14:paraId="53BDA0F6" w14:textId="77777777" w:rsidR="00F51335" w:rsidRDefault="00F51335">
      <w:pPr>
        <w:rPr>
          <w:rFonts w:ascii="Arial" w:eastAsia="Times New Roman" w:hAnsi="Arial" w:cs="Arial"/>
          <w:b/>
          <w:sz w:val="20"/>
          <w:szCs w:val="20"/>
          <w:lang w:eastAsia="en-US"/>
        </w:rPr>
      </w:pPr>
      <w:r>
        <w:rPr>
          <w:b/>
          <w:sz w:val="20"/>
        </w:rPr>
        <w:br w:type="page"/>
      </w:r>
    </w:p>
    <w:p w14:paraId="5B62E9FE" w14:textId="3879980B" w:rsidR="00B67D0A" w:rsidRPr="00F51335" w:rsidRDefault="00B67D0A" w:rsidP="00F51335">
      <w:pPr>
        <w:pStyle w:val="BodyText"/>
        <w:jc w:val="center"/>
        <w:rPr>
          <w:b/>
        </w:rPr>
      </w:pPr>
      <w:r w:rsidRPr="00F51335">
        <w:rPr>
          <w:b/>
          <w:sz w:val="20"/>
        </w:rPr>
        <w:lastRenderedPageBreak/>
        <w:t>Table 2</w:t>
      </w:r>
      <w:r w:rsidR="003866D2">
        <w:rPr>
          <w:b/>
          <w:sz w:val="20"/>
        </w:rPr>
        <w:t>.</w:t>
      </w:r>
      <w:r w:rsidRPr="00F51335">
        <w:rPr>
          <w:b/>
          <w:sz w:val="20"/>
        </w:rPr>
        <w:t xml:space="preserve"> </w:t>
      </w:r>
      <w:r w:rsidR="00D54BE8">
        <w:rPr>
          <w:b/>
          <w:sz w:val="20"/>
        </w:rPr>
        <w:t xml:space="preserve"> </w:t>
      </w:r>
      <w:r w:rsidRPr="00F51335">
        <w:rPr>
          <w:b/>
          <w:sz w:val="20"/>
        </w:rPr>
        <w:t>Estimates for Demand for Services under the PCT, Madrid and Hague Systems</w:t>
      </w:r>
    </w:p>
    <w:p w14:paraId="2D5B2AC5" w14:textId="77777777" w:rsidR="00B67D0A" w:rsidRDefault="00055D38" w:rsidP="00F51335">
      <w:pPr>
        <w:pStyle w:val="BodyText"/>
        <w:rPr>
          <w:caps/>
        </w:rPr>
      </w:pPr>
      <w:bookmarkStart w:id="12" w:name="_Toc310950754"/>
      <w:bookmarkStart w:id="13" w:name="_Toc367350564"/>
      <w:r>
        <w:pict w14:anchorId="0A112D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5pt;height:178.5pt">
            <v:imagedata r:id="rId21" o:title=""/>
          </v:shape>
        </w:pict>
      </w:r>
    </w:p>
    <w:bookmarkEnd w:id="12"/>
    <w:bookmarkEnd w:id="13"/>
    <w:p w14:paraId="5DC12571" w14:textId="77777777" w:rsidR="00B67D0A" w:rsidRDefault="00B67D0A" w:rsidP="00F02301">
      <w:pPr>
        <w:jc w:val="both"/>
        <w:rPr>
          <w:rFonts w:ascii="Arial" w:hAnsi="Arial" w:cs="Arial"/>
          <w:sz w:val="20"/>
        </w:rPr>
      </w:pPr>
    </w:p>
    <w:p w14:paraId="1D84A501" w14:textId="012127D5" w:rsidR="00B67D0A" w:rsidRPr="00253056"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C324E1">
        <w:rPr>
          <w:rFonts w:ascii="Arial" w:hAnsi="Arial" w:cs="Arial"/>
          <w:sz w:val="20"/>
        </w:rPr>
        <w:t>Overall income in 201</w:t>
      </w:r>
      <w:r>
        <w:rPr>
          <w:rFonts w:ascii="Arial" w:hAnsi="Arial" w:cs="Arial"/>
          <w:sz w:val="20"/>
        </w:rPr>
        <w:t>6</w:t>
      </w:r>
      <w:r w:rsidRPr="00C324E1">
        <w:rPr>
          <w:rFonts w:ascii="Arial" w:hAnsi="Arial" w:cs="Arial"/>
          <w:sz w:val="20"/>
        </w:rPr>
        <w:t>/1</w:t>
      </w:r>
      <w:r>
        <w:rPr>
          <w:rFonts w:ascii="Arial" w:hAnsi="Arial" w:cs="Arial"/>
          <w:sz w:val="20"/>
        </w:rPr>
        <w:t>7</w:t>
      </w:r>
      <w:r w:rsidR="00BE4112">
        <w:rPr>
          <w:rFonts w:ascii="Arial" w:hAnsi="Arial" w:cs="Arial"/>
          <w:sz w:val="20"/>
        </w:rPr>
        <w:t>,</w:t>
      </w:r>
      <w:r w:rsidRPr="00C324E1">
        <w:rPr>
          <w:rFonts w:ascii="Arial" w:hAnsi="Arial" w:cs="Arial"/>
          <w:sz w:val="20"/>
        </w:rPr>
        <w:t xml:space="preserve"> projected at the level of </w:t>
      </w:r>
      <w:r>
        <w:rPr>
          <w:rFonts w:ascii="Arial" w:hAnsi="Arial" w:cs="Arial"/>
          <w:sz w:val="20"/>
        </w:rPr>
        <w:t>756.</w:t>
      </w:r>
      <w:r w:rsidR="009D7A18">
        <w:rPr>
          <w:rFonts w:ascii="Arial" w:hAnsi="Arial" w:cs="Arial"/>
          <w:sz w:val="20"/>
        </w:rPr>
        <w:t>3</w:t>
      </w:r>
      <w:r w:rsidR="009D7A18" w:rsidRPr="00C324E1">
        <w:rPr>
          <w:rFonts w:ascii="Arial" w:hAnsi="Arial" w:cs="Arial"/>
          <w:sz w:val="20"/>
        </w:rPr>
        <w:t xml:space="preserve"> </w:t>
      </w:r>
      <w:r w:rsidRPr="00C324E1">
        <w:rPr>
          <w:rFonts w:ascii="Arial" w:hAnsi="Arial" w:cs="Arial"/>
          <w:sz w:val="20"/>
        </w:rPr>
        <w:t xml:space="preserve">million Swiss francs, </w:t>
      </w:r>
      <w:r w:rsidR="00BE4112" w:rsidRPr="00C324E1">
        <w:rPr>
          <w:rFonts w:ascii="Arial" w:hAnsi="Arial" w:cs="Arial"/>
          <w:sz w:val="20"/>
        </w:rPr>
        <w:t>represent</w:t>
      </w:r>
      <w:r w:rsidR="00BE4112">
        <w:rPr>
          <w:rFonts w:ascii="Arial" w:hAnsi="Arial" w:cs="Arial"/>
          <w:sz w:val="20"/>
        </w:rPr>
        <w:t>s</w:t>
      </w:r>
      <w:r w:rsidR="00BE4112" w:rsidRPr="00C324E1">
        <w:rPr>
          <w:rFonts w:ascii="Arial" w:hAnsi="Arial" w:cs="Arial"/>
          <w:sz w:val="20"/>
        </w:rPr>
        <w:t xml:space="preserve"> </w:t>
      </w:r>
      <w:r w:rsidRPr="00C324E1">
        <w:rPr>
          <w:rFonts w:ascii="Arial" w:hAnsi="Arial" w:cs="Arial"/>
          <w:sz w:val="20"/>
        </w:rPr>
        <w:t xml:space="preserve">an increase of </w:t>
      </w:r>
      <w:r>
        <w:rPr>
          <w:rFonts w:ascii="Arial" w:hAnsi="Arial" w:cs="Arial"/>
          <w:sz w:val="20"/>
        </w:rPr>
        <w:t>6.</w:t>
      </w:r>
      <w:r w:rsidR="009D7A18">
        <w:rPr>
          <w:rFonts w:ascii="Arial" w:hAnsi="Arial" w:cs="Arial"/>
          <w:sz w:val="20"/>
        </w:rPr>
        <w:t>0</w:t>
      </w:r>
      <w:r w:rsidR="009D7A18" w:rsidRPr="00C324E1">
        <w:rPr>
          <w:rFonts w:ascii="Arial" w:hAnsi="Arial" w:cs="Arial"/>
          <w:sz w:val="20"/>
        </w:rPr>
        <w:t xml:space="preserve"> </w:t>
      </w:r>
      <w:r w:rsidRPr="00C324E1">
        <w:rPr>
          <w:rFonts w:ascii="Arial" w:hAnsi="Arial" w:cs="Arial"/>
          <w:sz w:val="20"/>
        </w:rPr>
        <w:t xml:space="preserve">per cent over the </w:t>
      </w:r>
      <w:r>
        <w:rPr>
          <w:rFonts w:ascii="Arial" w:hAnsi="Arial" w:cs="Arial"/>
          <w:sz w:val="20"/>
        </w:rPr>
        <w:t>budgeted income in 2014/15</w:t>
      </w:r>
      <w:r w:rsidRPr="00253056">
        <w:rPr>
          <w:rFonts w:ascii="Arial" w:hAnsi="Arial" w:cs="Arial"/>
          <w:sz w:val="20"/>
        </w:rPr>
        <w:t xml:space="preserve">. </w:t>
      </w:r>
      <w:r>
        <w:rPr>
          <w:rFonts w:ascii="Arial" w:hAnsi="Arial" w:cs="Arial"/>
          <w:sz w:val="20"/>
        </w:rPr>
        <w:t xml:space="preserve"> </w:t>
      </w:r>
      <w:r w:rsidRPr="00253056">
        <w:rPr>
          <w:rFonts w:ascii="Arial" w:hAnsi="Arial" w:cs="Arial"/>
          <w:sz w:val="20"/>
        </w:rPr>
        <w:t xml:space="preserve">Compared to the updated income forecasts for 2014/15 (as at April 2015) this represents an increase of </w:t>
      </w:r>
      <w:r>
        <w:rPr>
          <w:rFonts w:ascii="Arial" w:hAnsi="Arial" w:cs="Arial"/>
          <w:sz w:val="20"/>
        </w:rPr>
        <w:t>2.1</w:t>
      </w:r>
      <w:r w:rsidRPr="00253056">
        <w:rPr>
          <w:rFonts w:ascii="Arial" w:hAnsi="Arial" w:cs="Arial"/>
          <w:sz w:val="20"/>
        </w:rPr>
        <w:t xml:space="preserve"> per cent</w:t>
      </w:r>
      <w:r>
        <w:rPr>
          <w:rFonts w:ascii="Arial" w:hAnsi="Arial" w:cs="Arial"/>
          <w:sz w:val="20"/>
        </w:rPr>
        <w:t>.</w:t>
      </w:r>
    </w:p>
    <w:p w14:paraId="04BADE40" w14:textId="77777777" w:rsidR="00B67D0A" w:rsidRDefault="00B67D0A" w:rsidP="00F02301">
      <w:pPr>
        <w:jc w:val="both"/>
        <w:rPr>
          <w:rFonts w:ascii="Arial" w:hAnsi="Arial" w:cs="Arial"/>
          <w:sz w:val="20"/>
        </w:rPr>
      </w:pPr>
    </w:p>
    <w:p w14:paraId="0FECEA49" w14:textId="77777777" w:rsidR="00B67D0A" w:rsidRDefault="00B67D0A" w:rsidP="00F02301">
      <w:pPr>
        <w:jc w:val="both"/>
        <w:rPr>
          <w:rFonts w:ascii="Arial" w:hAnsi="Arial" w:cs="Arial"/>
          <w:sz w:val="20"/>
        </w:rPr>
      </w:pPr>
    </w:p>
    <w:p w14:paraId="0EE4AC5E" w14:textId="2BCABA29" w:rsidR="00B67D0A" w:rsidRPr="00B67D0A" w:rsidRDefault="00B67D0A" w:rsidP="00F02301">
      <w:pPr>
        <w:keepNext/>
        <w:keepLines/>
        <w:jc w:val="center"/>
        <w:rPr>
          <w:rFonts w:ascii="Arial" w:hAnsi="Arial" w:cs="Arial"/>
          <w:b/>
          <w:sz w:val="20"/>
          <w:szCs w:val="20"/>
        </w:rPr>
      </w:pPr>
      <w:r w:rsidRPr="00B67D0A">
        <w:rPr>
          <w:rFonts w:ascii="Arial" w:hAnsi="Arial" w:cs="Arial"/>
          <w:b/>
          <w:sz w:val="20"/>
          <w:szCs w:val="20"/>
        </w:rPr>
        <w:t>Table 3.</w:t>
      </w:r>
      <w:r w:rsidR="00D54BE8">
        <w:rPr>
          <w:rFonts w:ascii="Arial" w:hAnsi="Arial" w:cs="Arial"/>
          <w:b/>
          <w:sz w:val="20"/>
          <w:szCs w:val="20"/>
        </w:rPr>
        <w:t xml:space="preserve"> </w:t>
      </w:r>
      <w:r w:rsidRPr="00B67D0A">
        <w:rPr>
          <w:rFonts w:ascii="Arial" w:hAnsi="Arial" w:cs="Arial"/>
          <w:b/>
          <w:sz w:val="20"/>
          <w:szCs w:val="20"/>
        </w:rPr>
        <w:t xml:space="preserve"> Evolution of the Income of the Organization from 2006/07 to 2016/17</w:t>
      </w:r>
    </w:p>
    <w:p w14:paraId="75B54E50" w14:textId="77777777" w:rsidR="00B67D0A" w:rsidRPr="00B67D0A" w:rsidRDefault="00B67D0A" w:rsidP="00F02301">
      <w:pPr>
        <w:keepNext/>
        <w:keepLines/>
        <w:jc w:val="center"/>
        <w:rPr>
          <w:rFonts w:ascii="Arial" w:hAnsi="Arial" w:cs="Arial"/>
          <w:i/>
          <w:sz w:val="20"/>
          <w:szCs w:val="20"/>
        </w:rPr>
      </w:pPr>
      <w:r w:rsidRPr="00B67D0A">
        <w:rPr>
          <w:rFonts w:ascii="Arial" w:hAnsi="Arial" w:cs="Arial"/>
          <w:i/>
          <w:sz w:val="20"/>
          <w:szCs w:val="20"/>
        </w:rPr>
        <w:t>(in millions of Swiss francs)</w:t>
      </w:r>
    </w:p>
    <w:p w14:paraId="478A4DCB" w14:textId="77777777" w:rsidR="00B67D0A" w:rsidRPr="0065308A" w:rsidRDefault="00B67D0A" w:rsidP="00F02301">
      <w:pPr>
        <w:keepNext/>
        <w:keepLines/>
        <w:jc w:val="center"/>
        <w:rPr>
          <w:rFonts w:ascii="Arial" w:hAnsi="Arial" w:cs="Arial"/>
          <w:i/>
          <w:sz w:val="18"/>
          <w:szCs w:val="18"/>
        </w:rPr>
      </w:pPr>
    </w:p>
    <w:p w14:paraId="1FD752D1" w14:textId="2B3DE0B6" w:rsidR="00B67D0A" w:rsidRDefault="00C1764C" w:rsidP="00F02301">
      <w:pPr>
        <w:jc w:val="center"/>
        <w:rPr>
          <w:rFonts w:ascii="Arial" w:hAnsi="Arial"/>
          <w:sz w:val="20"/>
          <w:lang w:val="en-CA"/>
        </w:rPr>
      </w:pPr>
      <w:r w:rsidRPr="00C1764C">
        <w:rPr>
          <w:noProof/>
          <w:lang w:eastAsia="en-US"/>
        </w:rPr>
        <w:drawing>
          <wp:inline distT="0" distB="0" distL="0" distR="0" wp14:anchorId="3379C80C" wp14:editId="71901156">
            <wp:extent cx="5900468" cy="2438176"/>
            <wp:effectExtent l="0" t="0" r="5080" b="63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8674" cy="2437435"/>
                    </a:xfrm>
                    <a:prstGeom prst="rect">
                      <a:avLst/>
                    </a:prstGeom>
                    <a:noFill/>
                    <a:ln>
                      <a:noFill/>
                    </a:ln>
                  </pic:spPr>
                </pic:pic>
              </a:graphicData>
            </a:graphic>
          </wp:inline>
        </w:drawing>
      </w:r>
    </w:p>
    <w:p w14:paraId="2290EF40" w14:textId="2688CEC0" w:rsidR="00B67D0A" w:rsidRPr="006459EA" w:rsidRDefault="00B67D0A" w:rsidP="00F02301">
      <w:pPr>
        <w:widowControl w:val="0"/>
        <w:shd w:val="clear" w:color="auto" w:fill="FFFFFF"/>
        <w:jc w:val="both"/>
        <w:rPr>
          <w:rFonts w:ascii="Arial" w:hAnsi="Arial" w:cs="Arial"/>
          <w:i/>
          <w:sz w:val="16"/>
          <w:szCs w:val="16"/>
        </w:rPr>
      </w:pPr>
      <w:r w:rsidRPr="006459EA">
        <w:rPr>
          <w:rFonts w:ascii="Arial" w:hAnsi="Arial" w:cs="Arial"/>
          <w:i/>
          <w:sz w:val="16"/>
          <w:szCs w:val="16"/>
        </w:rPr>
        <w:t xml:space="preserve">*Note: Lisbon fee income (2014/15 budgeted </w:t>
      </w:r>
      <w:r w:rsidRPr="00104E6F">
        <w:rPr>
          <w:rFonts w:ascii="Arial" w:hAnsi="Arial" w:cs="Arial"/>
          <w:i/>
          <w:sz w:val="16"/>
          <w:szCs w:val="16"/>
        </w:rPr>
        <w:t>estimate:</w:t>
      </w:r>
      <w:r w:rsidRPr="006459EA">
        <w:rPr>
          <w:rFonts w:ascii="Arial" w:hAnsi="Arial" w:cs="Arial"/>
          <w:i/>
          <w:sz w:val="16"/>
          <w:szCs w:val="16"/>
        </w:rPr>
        <w:t xml:space="preserve"> 8,000 </w:t>
      </w:r>
      <w:r w:rsidR="003736E0">
        <w:rPr>
          <w:rFonts w:ascii="Arial" w:hAnsi="Arial" w:cs="Arial"/>
          <w:i/>
          <w:sz w:val="16"/>
          <w:szCs w:val="16"/>
        </w:rPr>
        <w:t>Swiss francs</w:t>
      </w:r>
      <w:r w:rsidRPr="006459EA">
        <w:rPr>
          <w:rFonts w:ascii="Arial" w:hAnsi="Arial" w:cs="Arial"/>
          <w:i/>
          <w:sz w:val="16"/>
          <w:szCs w:val="16"/>
        </w:rPr>
        <w:t xml:space="preserve">; 2016/17: 30,000 </w:t>
      </w:r>
      <w:r w:rsidR="003736E0">
        <w:rPr>
          <w:rFonts w:ascii="Arial" w:hAnsi="Arial" w:cs="Arial"/>
          <w:i/>
          <w:sz w:val="16"/>
          <w:szCs w:val="16"/>
        </w:rPr>
        <w:t>Swiss francs</w:t>
      </w:r>
      <w:r w:rsidRPr="006459EA">
        <w:rPr>
          <w:rFonts w:ascii="Arial" w:hAnsi="Arial" w:cs="Arial"/>
          <w:i/>
          <w:sz w:val="16"/>
          <w:szCs w:val="16"/>
        </w:rPr>
        <w:t>)</w:t>
      </w:r>
    </w:p>
    <w:p w14:paraId="2D371D21" w14:textId="77777777" w:rsidR="00B67D0A" w:rsidRDefault="00B67D0A" w:rsidP="00F02301">
      <w:pPr>
        <w:widowControl w:val="0"/>
        <w:shd w:val="clear" w:color="auto" w:fill="FFFFFF"/>
        <w:jc w:val="both"/>
        <w:rPr>
          <w:rFonts w:ascii="Arial" w:hAnsi="Arial" w:cs="Arial"/>
          <w:sz w:val="20"/>
        </w:rPr>
      </w:pPr>
    </w:p>
    <w:p w14:paraId="36653B47" w14:textId="77777777"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C06BE9">
        <w:rPr>
          <w:rFonts w:ascii="Arial" w:hAnsi="Arial" w:cs="Arial"/>
          <w:sz w:val="20"/>
        </w:rPr>
        <w:t xml:space="preserve">Income in 2016/17 is estimated to increase for all registration systems, with an increase of </w:t>
      </w:r>
      <w:r>
        <w:rPr>
          <w:rFonts w:ascii="Arial" w:hAnsi="Arial" w:cs="Arial"/>
          <w:sz w:val="20"/>
        </w:rPr>
        <w:t>5.5</w:t>
      </w:r>
      <w:r w:rsidRPr="00C06BE9">
        <w:rPr>
          <w:rFonts w:ascii="Arial" w:hAnsi="Arial" w:cs="Arial"/>
          <w:sz w:val="20"/>
        </w:rPr>
        <w:t xml:space="preserve"> per cent, 1</w:t>
      </w:r>
      <w:r>
        <w:rPr>
          <w:rFonts w:ascii="Arial" w:hAnsi="Arial" w:cs="Arial"/>
          <w:sz w:val="20"/>
        </w:rPr>
        <w:t>2</w:t>
      </w:r>
      <w:r w:rsidRPr="00C06BE9">
        <w:rPr>
          <w:rFonts w:ascii="Arial" w:hAnsi="Arial" w:cs="Arial"/>
          <w:sz w:val="20"/>
        </w:rPr>
        <w:t>.</w:t>
      </w:r>
      <w:r>
        <w:rPr>
          <w:rFonts w:ascii="Arial" w:hAnsi="Arial" w:cs="Arial"/>
          <w:sz w:val="20"/>
        </w:rPr>
        <w:t>3</w:t>
      </w:r>
      <w:r w:rsidRPr="00C06BE9">
        <w:rPr>
          <w:rFonts w:ascii="Arial" w:hAnsi="Arial" w:cs="Arial"/>
          <w:sz w:val="20"/>
        </w:rPr>
        <w:t xml:space="preserve"> per cent and </w:t>
      </w:r>
      <w:r>
        <w:rPr>
          <w:rFonts w:ascii="Arial" w:hAnsi="Arial" w:cs="Arial"/>
          <w:sz w:val="20"/>
        </w:rPr>
        <w:t>20.3</w:t>
      </w:r>
      <w:r w:rsidRPr="00C06BE9">
        <w:rPr>
          <w:rFonts w:ascii="Arial" w:hAnsi="Arial" w:cs="Arial"/>
          <w:sz w:val="20"/>
        </w:rPr>
        <w:t xml:space="preserve"> per cent respectively for the PCT, Madrid and the Hague Systems as compared to the </w:t>
      </w:r>
      <w:r>
        <w:rPr>
          <w:rFonts w:ascii="Arial" w:hAnsi="Arial" w:cs="Arial"/>
          <w:sz w:val="20"/>
        </w:rPr>
        <w:t>2014/15 budget</w:t>
      </w:r>
      <w:r w:rsidRPr="00B67D0A">
        <w:rPr>
          <w:rStyle w:val="FootnoteReference"/>
          <w:rFonts w:ascii="Arial" w:hAnsi="Arial" w:cs="Arial"/>
          <w:sz w:val="20"/>
          <w:szCs w:val="20"/>
        </w:rPr>
        <w:footnoteReference w:id="2"/>
      </w:r>
      <w:r w:rsidRPr="00B67D0A">
        <w:rPr>
          <w:rFonts w:ascii="Arial" w:hAnsi="Arial" w:cs="Arial"/>
          <w:sz w:val="20"/>
          <w:szCs w:val="20"/>
        </w:rPr>
        <w:t>.</w:t>
      </w:r>
      <w:r>
        <w:rPr>
          <w:rFonts w:ascii="Arial" w:hAnsi="Arial" w:cs="Arial"/>
          <w:sz w:val="20"/>
        </w:rPr>
        <w:t xml:space="preserve"> </w:t>
      </w:r>
    </w:p>
    <w:p w14:paraId="649FE6C9" w14:textId="77777777" w:rsidR="00B67D0A" w:rsidRDefault="00B67D0A" w:rsidP="00F02301">
      <w:pPr>
        <w:widowControl w:val="0"/>
        <w:shd w:val="clear" w:color="auto" w:fill="FFFFFF"/>
        <w:jc w:val="both"/>
        <w:rPr>
          <w:rFonts w:ascii="Arial" w:hAnsi="Arial" w:cs="Arial"/>
          <w:sz w:val="20"/>
        </w:rPr>
      </w:pPr>
    </w:p>
    <w:p w14:paraId="65659E9C" w14:textId="09A26D12" w:rsidR="00B67D0A" w:rsidRDefault="00B67D0A" w:rsidP="00B66A4A">
      <w:pPr>
        <w:pStyle w:val="ListParagraph"/>
        <w:widowControl w:val="0"/>
        <w:numPr>
          <w:ilvl w:val="0"/>
          <w:numId w:val="33"/>
        </w:numPr>
        <w:tabs>
          <w:tab w:val="left" w:pos="567"/>
        </w:tabs>
        <w:ind w:left="0" w:firstLine="0"/>
        <w:jc w:val="both"/>
        <w:rPr>
          <w:rFonts w:ascii="Arial" w:hAnsi="Arial" w:cs="Arial"/>
          <w:bCs/>
          <w:sz w:val="20"/>
        </w:rPr>
      </w:pPr>
      <w:r>
        <w:rPr>
          <w:rFonts w:ascii="Arial" w:hAnsi="Arial" w:cs="Arial"/>
          <w:bCs/>
          <w:sz w:val="20"/>
        </w:rPr>
        <w:t xml:space="preserve">Income from </w:t>
      </w:r>
      <w:r w:rsidRPr="00396718">
        <w:rPr>
          <w:rFonts w:ascii="Arial" w:hAnsi="Arial" w:cs="Arial"/>
          <w:bCs/>
          <w:sz w:val="20"/>
        </w:rPr>
        <w:t xml:space="preserve">Contributions of Member States </w:t>
      </w:r>
      <w:r w:rsidR="00097BBE">
        <w:rPr>
          <w:rFonts w:ascii="Arial" w:hAnsi="Arial" w:cs="Arial"/>
          <w:bCs/>
          <w:sz w:val="20"/>
        </w:rPr>
        <w:t>amounts to</w:t>
      </w:r>
      <w:r w:rsidRPr="00396718">
        <w:rPr>
          <w:rFonts w:ascii="Arial" w:hAnsi="Arial" w:cs="Arial"/>
          <w:bCs/>
          <w:sz w:val="20"/>
        </w:rPr>
        <w:t xml:space="preserve"> </w:t>
      </w:r>
      <w:r w:rsidR="00097BBE">
        <w:rPr>
          <w:rFonts w:ascii="Arial" w:hAnsi="Arial" w:cs="Arial"/>
          <w:bCs/>
          <w:sz w:val="20"/>
        </w:rPr>
        <w:t>34.7</w:t>
      </w:r>
      <w:r w:rsidRPr="00396718">
        <w:rPr>
          <w:rFonts w:ascii="Arial" w:hAnsi="Arial" w:cs="Arial"/>
          <w:bCs/>
          <w:sz w:val="20"/>
        </w:rPr>
        <w:t xml:space="preserve"> million Swiss francs for the 201</w:t>
      </w:r>
      <w:r>
        <w:rPr>
          <w:rFonts w:ascii="Arial" w:hAnsi="Arial" w:cs="Arial"/>
          <w:bCs/>
          <w:sz w:val="20"/>
        </w:rPr>
        <w:t>6</w:t>
      </w:r>
      <w:r w:rsidRPr="00396718">
        <w:rPr>
          <w:rFonts w:ascii="Arial" w:hAnsi="Arial" w:cs="Arial"/>
          <w:bCs/>
          <w:sz w:val="20"/>
        </w:rPr>
        <w:t>/1</w:t>
      </w:r>
      <w:r>
        <w:rPr>
          <w:rFonts w:ascii="Arial" w:hAnsi="Arial" w:cs="Arial"/>
          <w:bCs/>
          <w:sz w:val="20"/>
        </w:rPr>
        <w:t>7</w:t>
      </w:r>
      <w:r w:rsidRPr="00396718">
        <w:rPr>
          <w:rFonts w:ascii="Arial" w:hAnsi="Arial" w:cs="Arial"/>
          <w:bCs/>
          <w:sz w:val="20"/>
        </w:rPr>
        <w:t xml:space="preserve"> biennium</w:t>
      </w:r>
      <w:r w:rsidR="00097BBE">
        <w:rPr>
          <w:rFonts w:ascii="Arial" w:hAnsi="Arial" w:cs="Arial"/>
          <w:bCs/>
          <w:sz w:val="20"/>
        </w:rPr>
        <w:t>, a slight decrease as</w:t>
      </w:r>
      <w:r w:rsidRPr="00396718">
        <w:rPr>
          <w:rFonts w:ascii="Arial" w:hAnsi="Arial" w:cs="Arial"/>
          <w:bCs/>
          <w:sz w:val="20"/>
        </w:rPr>
        <w:t xml:space="preserve"> compared to 201</w:t>
      </w:r>
      <w:r>
        <w:rPr>
          <w:rFonts w:ascii="Arial" w:hAnsi="Arial" w:cs="Arial"/>
          <w:bCs/>
          <w:sz w:val="20"/>
        </w:rPr>
        <w:t>4</w:t>
      </w:r>
      <w:r w:rsidRPr="00396718">
        <w:rPr>
          <w:rFonts w:ascii="Arial" w:hAnsi="Arial" w:cs="Arial"/>
          <w:bCs/>
          <w:sz w:val="20"/>
        </w:rPr>
        <w:t>/1</w:t>
      </w:r>
      <w:r>
        <w:rPr>
          <w:rFonts w:ascii="Arial" w:hAnsi="Arial" w:cs="Arial"/>
          <w:bCs/>
          <w:sz w:val="20"/>
        </w:rPr>
        <w:t>5</w:t>
      </w:r>
      <w:r w:rsidRPr="00396718">
        <w:rPr>
          <w:rFonts w:ascii="Arial" w:hAnsi="Arial" w:cs="Arial"/>
          <w:bCs/>
          <w:sz w:val="20"/>
        </w:rPr>
        <w:t xml:space="preserve">. </w:t>
      </w:r>
      <w:r w:rsidR="00BE4112">
        <w:rPr>
          <w:rFonts w:ascii="Arial" w:hAnsi="Arial" w:cs="Arial"/>
          <w:bCs/>
          <w:sz w:val="20"/>
        </w:rPr>
        <w:t>The value of one unit of Member States’ contribution remains unchanged for 2016 and 2017</w:t>
      </w:r>
      <w:r w:rsidR="00BE4112">
        <w:rPr>
          <w:rStyle w:val="FootnoteReference"/>
          <w:rFonts w:ascii="Arial" w:hAnsi="Arial" w:cs="Arial"/>
          <w:bCs/>
          <w:sz w:val="20"/>
        </w:rPr>
        <w:footnoteReference w:id="3"/>
      </w:r>
      <w:r w:rsidR="00BE4112">
        <w:rPr>
          <w:rFonts w:ascii="Arial" w:hAnsi="Arial" w:cs="Arial"/>
          <w:bCs/>
          <w:sz w:val="20"/>
        </w:rPr>
        <w:t xml:space="preserve"> as compared to 2014 and 2015. </w:t>
      </w:r>
      <w:r w:rsidRPr="00396718">
        <w:rPr>
          <w:rFonts w:ascii="Arial" w:hAnsi="Arial" w:cs="Arial"/>
          <w:bCs/>
          <w:sz w:val="20"/>
        </w:rPr>
        <w:t xml:space="preserve"> </w:t>
      </w:r>
    </w:p>
    <w:p w14:paraId="0682AE9A" w14:textId="77777777" w:rsidR="00B67D0A" w:rsidRDefault="00B67D0A" w:rsidP="00F02301">
      <w:pPr>
        <w:widowControl w:val="0"/>
        <w:shd w:val="clear" w:color="auto" w:fill="FFFFFF"/>
        <w:jc w:val="both"/>
        <w:rPr>
          <w:rFonts w:ascii="Arial" w:hAnsi="Arial" w:cs="Arial"/>
          <w:sz w:val="20"/>
        </w:rPr>
      </w:pPr>
    </w:p>
    <w:p w14:paraId="5E70FAF2" w14:textId="373EF340"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Pr>
          <w:rFonts w:ascii="Arial" w:hAnsi="Arial" w:cs="Arial"/>
          <w:sz w:val="20"/>
        </w:rPr>
        <w:t xml:space="preserve">Income </w:t>
      </w:r>
      <w:r w:rsidR="001B3D70">
        <w:rPr>
          <w:rFonts w:ascii="Arial" w:hAnsi="Arial" w:cs="Arial"/>
          <w:sz w:val="20"/>
        </w:rPr>
        <w:t xml:space="preserve">from </w:t>
      </w:r>
      <w:r>
        <w:rPr>
          <w:rFonts w:ascii="Arial" w:hAnsi="Arial" w:cs="Arial"/>
          <w:sz w:val="20"/>
        </w:rPr>
        <w:t>other revenue streams</w:t>
      </w:r>
      <w:r w:rsidR="001B3D70">
        <w:rPr>
          <w:rStyle w:val="FootnoteReference"/>
          <w:rFonts w:ascii="Arial" w:hAnsi="Arial" w:cs="Arial"/>
          <w:sz w:val="20"/>
        </w:rPr>
        <w:footnoteReference w:id="4"/>
      </w:r>
      <w:r>
        <w:rPr>
          <w:rFonts w:ascii="Arial" w:hAnsi="Arial" w:cs="Arial"/>
          <w:sz w:val="20"/>
        </w:rPr>
        <w:t xml:space="preserve"> - </w:t>
      </w:r>
      <w:r w:rsidRPr="00396718">
        <w:rPr>
          <w:rFonts w:ascii="Arial" w:hAnsi="Arial" w:cs="Arial"/>
          <w:bCs/>
          <w:sz w:val="20"/>
        </w:rPr>
        <w:t>services provided by the Arbitration and Mediation Center</w:t>
      </w:r>
      <w:r>
        <w:rPr>
          <w:rFonts w:ascii="Arial" w:hAnsi="Arial" w:cs="Arial"/>
          <w:bCs/>
          <w:sz w:val="20"/>
        </w:rPr>
        <w:t xml:space="preserve"> (AMC), publications, and interest income -</w:t>
      </w:r>
      <w:r>
        <w:rPr>
          <w:rFonts w:ascii="Arial" w:hAnsi="Arial" w:cs="Arial"/>
          <w:sz w:val="20"/>
        </w:rPr>
        <w:t xml:space="preserve"> is estimated to decrease by 10.7 per cent, 74.2 per cent and 100 per cent respectively compared to the 2014/15 budget. </w:t>
      </w:r>
      <w:r>
        <w:rPr>
          <w:rFonts w:ascii="Arial" w:hAnsi="Arial" w:cs="Arial"/>
          <w:bCs/>
          <w:sz w:val="20"/>
        </w:rPr>
        <w:t>Miscellaneous income is expected to remain stable.</w:t>
      </w:r>
      <w:r>
        <w:rPr>
          <w:rFonts w:ascii="Arial" w:hAnsi="Arial" w:cs="Arial"/>
          <w:sz w:val="20"/>
        </w:rPr>
        <w:t xml:space="preserve">  </w:t>
      </w:r>
    </w:p>
    <w:p w14:paraId="60249C47" w14:textId="122531E2" w:rsidR="00B67D0A" w:rsidRPr="006459EA" w:rsidRDefault="00B67D0A" w:rsidP="00B66A4A">
      <w:pPr>
        <w:pStyle w:val="ListParagraph"/>
        <w:widowControl w:val="0"/>
        <w:numPr>
          <w:ilvl w:val="0"/>
          <w:numId w:val="33"/>
        </w:numPr>
        <w:tabs>
          <w:tab w:val="left" w:pos="567"/>
        </w:tabs>
        <w:ind w:left="0" w:firstLine="0"/>
        <w:jc w:val="both"/>
        <w:rPr>
          <w:rFonts w:ascii="Arial" w:hAnsi="Arial" w:cs="Arial"/>
          <w:bCs/>
          <w:sz w:val="20"/>
        </w:rPr>
      </w:pPr>
      <w:r w:rsidRPr="00197F86">
        <w:rPr>
          <w:rFonts w:ascii="Arial" w:hAnsi="Arial" w:cs="Arial"/>
          <w:bCs/>
          <w:sz w:val="20"/>
        </w:rPr>
        <w:lastRenderedPageBreak/>
        <w:t>The</w:t>
      </w:r>
      <w:r>
        <w:rPr>
          <w:rFonts w:ascii="Arial" w:hAnsi="Arial" w:cs="Arial"/>
          <w:bCs/>
          <w:sz w:val="20"/>
        </w:rPr>
        <w:t xml:space="preserve"> </w:t>
      </w:r>
      <w:r w:rsidRPr="00197F86">
        <w:rPr>
          <w:rFonts w:ascii="Arial" w:hAnsi="Arial" w:cs="Arial"/>
          <w:bCs/>
          <w:sz w:val="20"/>
        </w:rPr>
        <w:t>decrease in revenue</w:t>
      </w:r>
      <w:r>
        <w:rPr>
          <w:rFonts w:ascii="Arial" w:hAnsi="Arial" w:cs="Arial"/>
          <w:bCs/>
          <w:sz w:val="20"/>
        </w:rPr>
        <w:t xml:space="preserve"> estimates</w:t>
      </w:r>
      <w:r w:rsidRPr="00197F86">
        <w:rPr>
          <w:rFonts w:ascii="Arial" w:hAnsi="Arial" w:cs="Arial"/>
          <w:bCs/>
          <w:sz w:val="20"/>
        </w:rPr>
        <w:t xml:space="preserve"> from the AMC is primarily </w:t>
      </w:r>
      <w:r>
        <w:rPr>
          <w:rFonts w:ascii="Arial" w:hAnsi="Arial" w:cs="Arial"/>
          <w:bCs/>
          <w:sz w:val="20"/>
        </w:rPr>
        <w:t xml:space="preserve">related to the potential negative impact of increased market competition on the number of WIPO UDRP cases.  </w:t>
      </w:r>
      <w:r w:rsidRPr="006459EA">
        <w:rPr>
          <w:rFonts w:ascii="Arial" w:hAnsi="Arial" w:cs="Arial"/>
          <w:bCs/>
          <w:sz w:val="20"/>
        </w:rPr>
        <w:t xml:space="preserve">The income from </w:t>
      </w:r>
      <w:r w:rsidR="00457C73">
        <w:rPr>
          <w:rFonts w:ascii="Arial" w:hAnsi="Arial" w:cs="Arial"/>
          <w:bCs/>
          <w:sz w:val="20"/>
        </w:rPr>
        <w:t xml:space="preserve">sale of </w:t>
      </w:r>
      <w:r w:rsidRPr="006459EA">
        <w:rPr>
          <w:rFonts w:ascii="Arial" w:hAnsi="Arial" w:cs="Arial"/>
          <w:bCs/>
          <w:sz w:val="20"/>
        </w:rPr>
        <w:t xml:space="preserve">publications is expected to decrease </w:t>
      </w:r>
      <w:r>
        <w:rPr>
          <w:rFonts w:ascii="Arial" w:hAnsi="Arial" w:cs="Arial"/>
          <w:bCs/>
          <w:sz w:val="20"/>
        </w:rPr>
        <w:t xml:space="preserve">following the new data dissemination policy whereby WIPO publications will become available to the wider public at little or no cost.  </w:t>
      </w:r>
      <w:r w:rsidRPr="006459EA">
        <w:rPr>
          <w:rFonts w:ascii="Arial" w:hAnsi="Arial" w:cs="Arial"/>
          <w:bCs/>
          <w:sz w:val="20"/>
        </w:rPr>
        <w:t xml:space="preserve">The negative interest rates on the Swiss franc </w:t>
      </w:r>
      <w:r>
        <w:rPr>
          <w:rFonts w:ascii="Arial" w:hAnsi="Arial" w:cs="Arial"/>
          <w:bCs/>
          <w:sz w:val="20"/>
        </w:rPr>
        <w:t>are</w:t>
      </w:r>
      <w:r w:rsidRPr="006459EA">
        <w:rPr>
          <w:rFonts w:ascii="Arial" w:hAnsi="Arial" w:cs="Arial"/>
          <w:bCs/>
          <w:sz w:val="20"/>
        </w:rPr>
        <w:t xml:space="preserve"> expected to </w:t>
      </w:r>
      <w:r>
        <w:rPr>
          <w:rFonts w:ascii="Arial" w:hAnsi="Arial" w:cs="Arial"/>
          <w:bCs/>
          <w:sz w:val="20"/>
        </w:rPr>
        <w:t>potentially bring WIPO</w:t>
      </w:r>
      <w:r w:rsidRPr="006459EA">
        <w:rPr>
          <w:rFonts w:ascii="Arial" w:hAnsi="Arial" w:cs="Arial"/>
          <w:bCs/>
          <w:sz w:val="20"/>
        </w:rPr>
        <w:t xml:space="preserve"> interest income </w:t>
      </w:r>
      <w:r>
        <w:rPr>
          <w:rFonts w:ascii="Arial" w:hAnsi="Arial" w:cs="Arial"/>
          <w:bCs/>
          <w:sz w:val="20"/>
        </w:rPr>
        <w:t>t</w:t>
      </w:r>
      <w:r w:rsidRPr="006459EA">
        <w:rPr>
          <w:rFonts w:ascii="Arial" w:hAnsi="Arial" w:cs="Arial"/>
          <w:bCs/>
          <w:sz w:val="20"/>
        </w:rPr>
        <w:t>o zero</w:t>
      </w:r>
      <w:r>
        <w:rPr>
          <w:rFonts w:ascii="Arial" w:hAnsi="Arial" w:cs="Arial"/>
          <w:bCs/>
          <w:sz w:val="20"/>
        </w:rPr>
        <w:t xml:space="preserve">.  </w:t>
      </w:r>
      <w:r w:rsidRPr="006459EA">
        <w:rPr>
          <w:rFonts w:ascii="Arial" w:hAnsi="Arial" w:cs="Arial"/>
          <w:bCs/>
          <w:sz w:val="20"/>
        </w:rPr>
        <w:t>Miscellaneous income</w:t>
      </w:r>
      <w:r>
        <w:rPr>
          <w:rFonts w:ascii="Arial" w:hAnsi="Arial" w:cs="Arial"/>
          <w:bCs/>
          <w:sz w:val="20"/>
        </w:rPr>
        <w:t xml:space="preserve"> is budgeted in the next biennium at the same level as the 2014/15 Approved Budget.</w:t>
      </w:r>
    </w:p>
    <w:p w14:paraId="778C3804" w14:textId="77777777" w:rsidR="00B67D0A" w:rsidRPr="00197F86" w:rsidRDefault="00B67D0A" w:rsidP="00F02301">
      <w:pPr>
        <w:jc w:val="both"/>
        <w:rPr>
          <w:rFonts w:ascii="Arial" w:hAnsi="Arial" w:cs="Arial"/>
          <w:bCs/>
          <w:sz w:val="20"/>
        </w:rPr>
      </w:pPr>
    </w:p>
    <w:p w14:paraId="594DE4B1" w14:textId="112CBF41" w:rsidR="00B67D0A" w:rsidRDefault="00C614B4" w:rsidP="00B66A4A">
      <w:pPr>
        <w:pStyle w:val="ListParagraph"/>
        <w:widowControl w:val="0"/>
        <w:numPr>
          <w:ilvl w:val="0"/>
          <w:numId w:val="33"/>
        </w:numPr>
        <w:tabs>
          <w:tab w:val="left" w:pos="567"/>
        </w:tabs>
        <w:ind w:left="0" w:firstLine="0"/>
        <w:jc w:val="both"/>
        <w:rPr>
          <w:rFonts w:ascii="Arial" w:hAnsi="Arial" w:cs="Arial"/>
          <w:bCs/>
          <w:sz w:val="20"/>
        </w:rPr>
      </w:pPr>
      <w:r>
        <w:rPr>
          <w:rFonts w:ascii="Arial" w:hAnsi="Arial" w:cs="Arial"/>
          <w:bCs/>
          <w:sz w:val="20"/>
        </w:rPr>
        <w:t>O</w:t>
      </w:r>
      <w:r w:rsidR="00B67D0A" w:rsidRPr="002D7C1A">
        <w:rPr>
          <w:rFonts w:ascii="Arial" w:hAnsi="Arial" w:cs="Arial"/>
          <w:bCs/>
          <w:sz w:val="20"/>
        </w:rPr>
        <w:t>verall income levels have continued to increas</w:t>
      </w:r>
      <w:r w:rsidR="00B67D0A">
        <w:rPr>
          <w:rFonts w:ascii="Arial" w:hAnsi="Arial" w:cs="Arial"/>
          <w:bCs/>
          <w:sz w:val="20"/>
        </w:rPr>
        <w:t>e steadily over the past decade as illustrated in Chart 1 below.</w:t>
      </w:r>
    </w:p>
    <w:p w14:paraId="0E32C2B3" w14:textId="77777777" w:rsidR="00B67D0A" w:rsidRPr="00DE3C44" w:rsidRDefault="00B67D0A" w:rsidP="00F02301">
      <w:pPr>
        <w:jc w:val="center"/>
        <w:rPr>
          <w:rFonts w:ascii="Arial" w:hAnsi="Arial"/>
          <w:sz w:val="20"/>
        </w:rPr>
      </w:pPr>
    </w:p>
    <w:p w14:paraId="4C6400CD" w14:textId="340592D9" w:rsidR="00B67D0A" w:rsidRPr="00B67D0A" w:rsidRDefault="005412E8" w:rsidP="00F02301">
      <w:pPr>
        <w:keepNext/>
        <w:keepLines/>
        <w:jc w:val="center"/>
        <w:rPr>
          <w:rFonts w:ascii="Arial" w:hAnsi="Arial" w:cs="Arial"/>
          <w:b/>
          <w:sz w:val="20"/>
          <w:szCs w:val="16"/>
        </w:rPr>
      </w:pPr>
      <w:r>
        <w:rPr>
          <w:rFonts w:ascii="Arial" w:hAnsi="Arial" w:cs="Arial"/>
          <w:b/>
          <w:sz w:val="20"/>
          <w:szCs w:val="16"/>
        </w:rPr>
        <w:t xml:space="preserve">Chart 1.  </w:t>
      </w:r>
      <w:r w:rsidR="00B67D0A" w:rsidRPr="00B67D0A">
        <w:rPr>
          <w:rFonts w:ascii="Arial" w:hAnsi="Arial" w:cs="Arial"/>
          <w:b/>
          <w:sz w:val="20"/>
          <w:szCs w:val="16"/>
        </w:rPr>
        <w:t>Evolution of Income from 1990/91 to 2016/17*</w:t>
      </w:r>
    </w:p>
    <w:p w14:paraId="337FA605" w14:textId="77777777" w:rsidR="00B67D0A" w:rsidRDefault="00B67D0A" w:rsidP="00F02301">
      <w:pPr>
        <w:keepNext/>
        <w:keepLines/>
        <w:jc w:val="center"/>
        <w:rPr>
          <w:rFonts w:ascii="Arial" w:hAnsi="Arial" w:cs="Arial"/>
          <w:sz w:val="18"/>
          <w:szCs w:val="18"/>
        </w:rPr>
      </w:pPr>
    </w:p>
    <w:p w14:paraId="4310D6B9" w14:textId="485100AC" w:rsidR="00B67D0A" w:rsidRPr="00287707" w:rsidRDefault="00AE1093" w:rsidP="009D5750">
      <w:pPr>
        <w:keepNext/>
        <w:keepLines/>
        <w:rPr>
          <w:rFonts w:ascii="Arial" w:hAnsi="Arial" w:cs="Arial"/>
          <w:bCs/>
          <w:sz w:val="20"/>
        </w:rPr>
      </w:pPr>
      <w:r>
        <w:rPr>
          <w:rFonts w:ascii="Arial" w:hAnsi="Arial" w:cs="Arial"/>
          <w:bCs/>
          <w:noProof/>
          <w:sz w:val="20"/>
          <w:lang w:eastAsia="en-US"/>
        </w:rPr>
        <w:drawing>
          <wp:inline distT="0" distB="0" distL="0" distR="0" wp14:anchorId="67722740" wp14:editId="459E2FE8">
            <wp:extent cx="5676405" cy="3409529"/>
            <wp:effectExtent l="0" t="0" r="635" b="635"/>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81790" cy="3412763"/>
                    </a:xfrm>
                    <a:prstGeom prst="rect">
                      <a:avLst/>
                    </a:prstGeom>
                    <a:noFill/>
                  </pic:spPr>
                </pic:pic>
              </a:graphicData>
            </a:graphic>
          </wp:inline>
        </w:drawing>
      </w:r>
    </w:p>
    <w:p w14:paraId="780A46ED" w14:textId="77777777" w:rsidR="00B67D0A" w:rsidRPr="000F2480" w:rsidRDefault="00B67D0A" w:rsidP="00F02301">
      <w:pPr>
        <w:keepNext/>
        <w:keepLines/>
        <w:widowControl w:val="0"/>
        <w:rPr>
          <w:rFonts w:ascii="Arial" w:hAnsi="Arial" w:cs="Arial"/>
          <w:i/>
          <w:sz w:val="16"/>
          <w:szCs w:val="16"/>
        </w:rPr>
      </w:pPr>
      <w:r>
        <w:rPr>
          <w:rFonts w:ascii="Arial" w:hAnsi="Arial" w:cs="Arial"/>
          <w:i/>
          <w:sz w:val="16"/>
          <w:szCs w:val="16"/>
        </w:rPr>
        <w:tab/>
      </w:r>
      <w:r w:rsidRPr="000F2480">
        <w:rPr>
          <w:rFonts w:ascii="Arial" w:hAnsi="Arial" w:cs="Arial"/>
          <w:i/>
          <w:sz w:val="16"/>
          <w:szCs w:val="16"/>
        </w:rPr>
        <w:t>*Figures for 201</w:t>
      </w:r>
      <w:r>
        <w:rPr>
          <w:rFonts w:ascii="Arial" w:hAnsi="Arial" w:cs="Arial"/>
          <w:i/>
          <w:sz w:val="16"/>
          <w:szCs w:val="16"/>
        </w:rPr>
        <w:t>4</w:t>
      </w:r>
      <w:r w:rsidRPr="000F2480">
        <w:rPr>
          <w:rFonts w:ascii="Arial" w:hAnsi="Arial" w:cs="Arial"/>
          <w:i/>
          <w:sz w:val="16"/>
          <w:szCs w:val="16"/>
        </w:rPr>
        <w:t>/1</w:t>
      </w:r>
      <w:r>
        <w:rPr>
          <w:rFonts w:ascii="Arial" w:hAnsi="Arial" w:cs="Arial"/>
          <w:i/>
          <w:sz w:val="16"/>
          <w:szCs w:val="16"/>
        </w:rPr>
        <w:t>5</w:t>
      </w:r>
      <w:r w:rsidRPr="000F2480">
        <w:rPr>
          <w:rFonts w:ascii="Arial" w:hAnsi="Arial" w:cs="Arial"/>
          <w:i/>
          <w:sz w:val="16"/>
          <w:szCs w:val="16"/>
        </w:rPr>
        <w:t xml:space="preserve"> and 201</w:t>
      </w:r>
      <w:r>
        <w:rPr>
          <w:rFonts w:ascii="Arial" w:hAnsi="Arial" w:cs="Arial"/>
          <w:i/>
          <w:sz w:val="16"/>
          <w:szCs w:val="16"/>
        </w:rPr>
        <w:t>6</w:t>
      </w:r>
      <w:r w:rsidRPr="000F2480">
        <w:rPr>
          <w:rFonts w:ascii="Arial" w:hAnsi="Arial" w:cs="Arial"/>
          <w:i/>
          <w:sz w:val="16"/>
          <w:szCs w:val="16"/>
        </w:rPr>
        <w:t>/1</w:t>
      </w:r>
      <w:r>
        <w:rPr>
          <w:rFonts w:ascii="Arial" w:hAnsi="Arial" w:cs="Arial"/>
          <w:i/>
          <w:sz w:val="16"/>
          <w:szCs w:val="16"/>
        </w:rPr>
        <w:t>7</w:t>
      </w:r>
      <w:r w:rsidRPr="000F2480">
        <w:rPr>
          <w:rFonts w:ascii="Arial" w:hAnsi="Arial" w:cs="Arial"/>
          <w:i/>
          <w:sz w:val="16"/>
          <w:szCs w:val="16"/>
        </w:rPr>
        <w:t xml:space="preserve"> are </w:t>
      </w:r>
      <w:r>
        <w:rPr>
          <w:rFonts w:ascii="Arial" w:hAnsi="Arial" w:cs="Arial"/>
          <w:i/>
          <w:sz w:val="16"/>
          <w:szCs w:val="16"/>
        </w:rPr>
        <w:t>budgeted income estimates</w:t>
      </w:r>
    </w:p>
    <w:p w14:paraId="3D4FFC7E" w14:textId="77777777" w:rsidR="00B67D0A" w:rsidRDefault="00B67D0A" w:rsidP="00F02301">
      <w:pPr>
        <w:widowControl w:val="0"/>
        <w:rPr>
          <w:rFonts w:ascii="Arial" w:hAnsi="Arial" w:cs="Arial"/>
        </w:rPr>
      </w:pPr>
    </w:p>
    <w:p w14:paraId="40963422" w14:textId="739D0931" w:rsidR="00B67D0A" w:rsidRDefault="00B67D0A" w:rsidP="00B66A4A">
      <w:pPr>
        <w:pStyle w:val="ListParagraph"/>
        <w:widowControl w:val="0"/>
        <w:numPr>
          <w:ilvl w:val="0"/>
          <w:numId w:val="33"/>
        </w:numPr>
        <w:tabs>
          <w:tab w:val="left" w:pos="567"/>
        </w:tabs>
        <w:ind w:left="0" w:firstLine="0"/>
        <w:jc w:val="both"/>
        <w:rPr>
          <w:rFonts w:ascii="Arial" w:hAnsi="Arial" w:cs="Arial"/>
          <w:bCs/>
          <w:sz w:val="20"/>
        </w:rPr>
      </w:pPr>
      <w:r w:rsidRPr="002D7C1A">
        <w:rPr>
          <w:rFonts w:ascii="Arial" w:hAnsi="Arial" w:cs="Arial"/>
          <w:bCs/>
          <w:sz w:val="20"/>
        </w:rPr>
        <w:t>The main source of income for the Organization remains fee</w:t>
      </w:r>
      <w:r>
        <w:rPr>
          <w:rFonts w:ascii="Arial" w:hAnsi="Arial" w:cs="Arial"/>
          <w:bCs/>
          <w:sz w:val="20"/>
        </w:rPr>
        <w:t xml:space="preserve"> income</w:t>
      </w:r>
      <w:r w:rsidRPr="002D7C1A">
        <w:rPr>
          <w:rFonts w:ascii="Arial" w:hAnsi="Arial" w:cs="Arial"/>
          <w:bCs/>
          <w:sz w:val="20"/>
        </w:rPr>
        <w:t xml:space="preserve"> from </w:t>
      </w:r>
      <w:r>
        <w:rPr>
          <w:rFonts w:ascii="Arial" w:hAnsi="Arial" w:cs="Arial"/>
          <w:bCs/>
          <w:sz w:val="20"/>
        </w:rPr>
        <w:t>its international registration services. T</w:t>
      </w:r>
      <w:r w:rsidRPr="002D7C1A">
        <w:rPr>
          <w:rFonts w:ascii="Arial" w:hAnsi="Arial" w:cs="Arial"/>
          <w:bCs/>
          <w:sz w:val="20"/>
        </w:rPr>
        <w:t xml:space="preserve">he share of fee income </w:t>
      </w:r>
      <w:r>
        <w:rPr>
          <w:rFonts w:ascii="Arial" w:hAnsi="Arial" w:cs="Arial"/>
          <w:bCs/>
          <w:sz w:val="20"/>
        </w:rPr>
        <w:t xml:space="preserve">of the Organization’s total income </w:t>
      </w:r>
      <w:r w:rsidRPr="002D7C1A">
        <w:rPr>
          <w:rFonts w:ascii="Arial" w:hAnsi="Arial" w:cs="Arial"/>
          <w:bCs/>
          <w:sz w:val="20"/>
        </w:rPr>
        <w:t xml:space="preserve">has continued to grow </w:t>
      </w:r>
      <w:r>
        <w:rPr>
          <w:rFonts w:ascii="Arial" w:hAnsi="Arial" w:cs="Arial"/>
          <w:bCs/>
          <w:sz w:val="20"/>
        </w:rPr>
        <w:t xml:space="preserve">and is estimated at </w:t>
      </w:r>
      <w:r w:rsidR="0098497F">
        <w:rPr>
          <w:rFonts w:ascii="Arial" w:hAnsi="Arial" w:cs="Arial"/>
          <w:bCs/>
          <w:sz w:val="20"/>
        </w:rPr>
        <w:t>94.5</w:t>
      </w:r>
      <w:r w:rsidR="00D123FF" w:rsidRPr="002D7C1A">
        <w:rPr>
          <w:rFonts w:ascii="Arial" w:hAnsi="Arial" w:cs="Arial"/>
          <w:bCs/>
          <w:sz w:val="20"/>
        </w:rPr>
        <w:t xml:space="preserve"> </w:t>
      </w:r>
      <w:r w:rsidRPr="002D7C1A">
        <w:rPr>
          <w:rFonts w:ascii="Arial" w:hAnsi="Arial" w:cs="Arial"/>
          <w:bCs/>
          <w:sz w:val="20"/>
        </w:rPr>
        <w:t xml:space="preserve">per cent </w:t>
      </w:r>
      <w:r>
        <w:rPr>
          <w:rFonts w:ascii="Arial" w:hAnsi="Arial" w:cs="Arial"/>
          <w:bCs/>
          <w:sz w:val="20"/>
        </w:rPr>
        <w:t>in 2016/17</w:t>
      </w:r>
      <w:r w:rsidRPr="002D7C1A">
        <w:rPr>
          <w:rFonts w:ascii="Arial" w:hAnsi="Arial" w:cs="Arial"/>
          <w:bCs/>
          <w:sz w:val="20"/>
        </w:rPr>
        <w:t xml:space="preserve"> as </w:t>
      </w:r>
      <w:r>
        <w:rPr>
          <w:rFonts w:ascii="Arial" w:hAnsi="Arial" w:cs="Arial"/>
          <w:bCs/>
          <w:sz w:val="20"/>
        </w:rPr>
        <w:t xml:space="preserve">illustrated in the </w:t>
      </w:r>
      <w:r w:rsidRPr="002D7C1A">
        <w:rPr>
          <w:rFonts w:ascii="Arial" w:hAnsi="Arial" w:cs="Arial"/>
          <w:bCs/>
          <w:sz w:val="20"/>
        </w:rPr>
        <w:t xml:space="preserve">chart below.  </w:t>
      </w:r>
    </w:p>
    <w:p w14:paraId="5D5AC555" w14:textId="77777777" w:rsidR="00B67D0A" w:rsidRDefault="00B67D0A" w:rsidP="00F02301">
      <w:pPr>
        <w:jc w:val="both"/>
        <w:rPr>
          <w:rFonts w:ascii="Arial" w:hAnsi="Arial"/>
          <w:sz w:val="20"/>
        </w:rPr>
      </w:pPr>
    </w:p>
    <w:p w14:paraId="7E512491" w14:textId="19AE20EF" w:rsidR="00B67D0A" w:rsidRPr="00B67D0A" w:rsidRDefault="005412E8" w:rsidP="00F02301">
      <w:pPr>
        <w:keepNext/>
        <w:keepLines/>
        <w:jc w:val="center"/>
        <w:rPr>
          <w:rFonts w:ascii="Arial" w:hAnsi="Arial" w:cs="Arial"/>
          <w:b/>
          <w:sz w:val="20"/>
          <w:szCs w:val="16"/>
        </w:rPr>
      </w:pPr>
      <w:r>
        <w:rPr>
          <w:rFonts w:ascii="Arial" w:hAnsi="Arial" w:cs="Arial"/>
          <w:b/>
          <w:sz w:val="20"/>
          <w:szCs w:val="16"/>
        </w:rPr>
        <w:t xml:space="preserve">Chart 2.  </w:t>
      </w:r>
      <w:r w:rsidR="00B67D0A" w:rsidRPr="00B67D0A">
        <w:rPr>
          <w:rFonts w:ascii="Arial" w:hAnsi="Arial" w:cs="Arial"/>
          <w:b/>
          <w:sz w:val="20"/>
          <w:szCs w:val="16"/>
        </w:rPr>
        <w:t>Share of Fee Income / Total Income from 2004/05 to 2016/17</w:t>
      </w:r>
    </w:p>
    <w:p w14:paraId="09F4D4F3" w14:textId="77777777" w:rsidR="00B67D0A" w:rsidRDefault="00B67D0A" w:rsidP="00F02301">
      <w:pPr>
        <w:keepNext/>
        <w:keepLines/>
        <w:jc w:val="both"/>
        <w:rPr>
          <w:rFonts w:ascii="Arial" w:hAnsi="Arial"/>
          <w:sz w:val="20"/>
        </w:rPr>
      </w:pPr>
    </w:p>
    <w:p w14:paraId="06ED99AE" w14:textId="243F695C" w:rsidR="00B67D0A" w:rsidRPr="00DE3C44" w:rsidRDefault="00544380" w:rsidP="00B30215">
      <w:pPr>
        <w:rPr>
          <w:rFonts w:ascii="Arial" w:hAnsi="Arial"/>
          <w:sz w:val="20"/>
        </w:rPr>
      </w:pPr>
      <w:r>
        <w:rPr>
          <w:rFonts w:ascii="Arial" w:hAnsi="Arial"/>
          <w:noProof/>
          <w:sz w:val="20"/>
          <w:lang w:eastAsia="en-US"/>
        </w:rPr>
        <w:drawing>
          <wp:inline distT="0" distB="0" distL="0" distR="0" wp14:anchorId="76D27E6D" wp14:editId="3EB5B953">
            <wp:extent cx="4610765" cy="2755075"/>
            <wp:effectExtent l="0" t="0" r="0" b="762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
                      <a:extLst>
                        <a:ext uri="{28A0092B-C50C-407E-A947-70E740481C1C}">
                          <a14:useLocalDpi xmlns:a14="http://schemas.microsoft.com/office/drawing/2010/main" val="0"/>
                        </a:ext>
                      </a:extLst>
                    </a:blip>
                    <a:srcRect l="9487" t="7516" r="10475" b="9811"/>
                    <a:stretch/>
                  </pic:blipFill>
                  <pic:spPr bwMode="auto">
                    <a:xfrm>
                      <a:off x="0" y="0"/>
                      <a:ext cx="4622454" cy="2762059"/>
                    </a:xfrm>
                    <a:prstGeom prst="rect">
                      <a:avLst/>
                    </a:prstGeom>
                    <a:noFill/>
                    <a:ln>
                      <a:noFill/>
                    </a:ln>
                    <a:extLst>
                      <a:ext uri="{53640926-AAD7-44D8-BBD7-CCE9431645EC}">
                        <a14:shadowObscured xmlns:a14="http://schemas.microsoft.com/office/drawing/2010/main"/>
                      </a:ext>
                    </a:extLst>
                  </pic:spPr>
                </pic:pic>
              </a:graphicData>
            </a:graphic>
          </wp:inline>
        </w:drawing>
      </w:r>
    </w:p>
    <w:p w14:paraId="642D6E6B" w14:textId="6D0FA914" w:rsidR="00B67D0A" w:rsidRDefault="00B67D0A" w:rsidP="00B66A4A">
      <w:pPr>
        <w:pStyle w:val="ListParagraph"/>
        <w:widowControl w:val="0"/>
        <w:numPr>
          <w:ilvl w:val="0"/>
          <w:numId w:val="33"/>
        </w:numPr>
        <w:tabs>
          <w:tab w:val="left" w:pos="567"/>
        </w:tabs>
        <w:ind w:left="0" w:firstLine="0"/>
        <w:jc w:val="both"/>
        <w:rPr>
          <w:rFonts w:ascii="Arial" w:hAnsi="Arial" w:cs="Arial"/>
          <w:sz w:val="18"/>
          <w:szCs w:val="18"/>
        </w:rPr>
      </w:pPr>
      <w:r w:rsidRPr="00A63A75">
        <w:rPr>
          <w:rFonts w:ascii="Arial" w:hAnsi="Arial"/>
          <w:sz w:val="20"/>
          <w:lang w:val="en-CA"/>
        </w:rPr>
        <w:lastRenderedPageBreak/>
        <w:t>The Organization continues to rely on the PCT fees for approximately</w:t>
      </w:r>
      <w:r>
        <w:rPr>
          <w:rFonts w:ascii="Arial" w:hAnsi="Arial"/>
          <w:sz w:val="20"/>
          <w:lang w:val="en-CA"/>
        </w:rPr>
        <w:t xml:space="preserve"> 76</w:t>
      </w:r>
      <w:r w:rsidR="00466359">
        <w:rPr>
          <w:rFonts w:ascii="Arial" w:hAnsi="Arial"/>
          <w:sz w:val="20"/>
          <w:lang w:val="en-CA"/>
        </w:rPr>
        <w:t xml:space="preserve"> per cent</w:t>
      </w:r>
      <w:r>
        <w:rPr>
          <w:rFonts w:ascii="Arial" w:hAnsi="Arial"/>
          <w:sz w:val="20"/>
          <w:lang w:val="en-CA"/>
        </w:rPr>
        <w:t xml:space="preserve"> of its revenue (in</w:t>
      </w:r>
      <w:r w:rsidR="00466359">
        <w:rPr>
          <w:rFonts w:ascii="Arial" w:hAnsi="Arial"/>
          <w:sz w:val="20"/>
          <w:lang w:val="en-CA"/>
        </w:rPr>
        <w:t> </w:t>
      </w:r>
      <w:r>
        <w:rPr>
          <w:rFonts w:ascii="Arial" w:hAnsi="Arial"/>
          <w:sz w:val="20"/>
          <w:lang w:val="en-CA"/>
        </w:rPr>
        <w:t xml:space="preserve">2016/17), which is a </w:t>
      </w:r>
      <w:r w:rsidRPr="00A63A75">
        <w:rPr>
          <w:rFonts w:ascii="Arial" w:hAnsi="Arial"/>
          <w:sz w:val="20"/>
          <w:lang w:val="en-CA"/>
        </w:rPr>
        <w:t xml:space="preserve">high dependence on one income stream.  In response to this strategic risk, the Organization will continue to explore opportunities to improve financial sustainability through </w:t>
      </w:r>
      <w:r>
        <w:rPr>
          <w:rFonts w:ascii="Arial" w:hAnsi="Arial"/>
          <w:sz w:val="20"/>
          <w:lang w:val="en-CA"/>
        </w:rPr>
        <w:t xml:space="preserve">the </w:t>
      </w:r>
      <w:r w:rsidRPr="00A63A75">
        <w:rPr>
          <w:rFonts w:ascii="Arial" w:hAnsi="Arial"/>
          <w:sz w:val="20"/>
          <w:lang w:val="en-CA"/>
        </w:rPr>
        <w:t>expan</w:t>
      </w:r>
      <w:r>
        <w:rPr>
          <w:rFonts w:ascii="Arial" w:hAnsi="Arial"/>
          <w:sz w:val="20"/>
          <w:lang w:val="en-CA"/>
        </w:rPr>
        <w:t>sion</w:t>
      </w:r>
      <w:r w:rsidRPr="00A63A75">
        <w:rPr>
          <w:rFonts w:ascii="Arial" w:hAnsi="Arial"/>
          <w:sz w:val="20"/>
          <w:lang w:val="en-CA"/>
        </w:rPr>
        <w:t xml:space="preserve"> </w:t>
      </w:r>
      <w:r>
        <w:rPr>
          <w:rFonts w:ascii="Arial" w:hAnsi="Arial"/>
          <w:sz w:val="20"/>
          <w:lang w:val="en-CA"/>
        </w:rPr>
        <w:t xml:space="preserve">of </w:t>
      </w:r>
      <w:r w:rsidRPr="00A63A75">
        <w:rPr>
          <w:rFonts w:ascii="Arial" w:hAnsi="Arial"/>
          <w:sz w:val="20"/>
          <w:lang w:val="en-CA"/>
        </w:rPr>
        <w:t>other revenue streams</w:t>
      </w:r>
      <w:r>
        <w:rPr>
          <w:rFonts w:ascii="Arial" w:hAnsi="Arial"/>
          <w:sz w:val="20"/>
          <w:lang w:val="en-CA"/>
        </w:rPr>
        <w:t>, including cost recovery opportunities.</w:t>
      </w:r>
    </w:p>
    <w:p w14:paraId="3DF1E047" w14:textId="77777777" w:rsidR="00B67D0A" w:rsidRDefault="00B67D0A">
      <w:pPr>
        <w:widowControl w:val="0"/>
        <w:rPr>
          <w:rFonts w:ascii="Arial" w:hAnsi="Arial" w:cs="Arial"/>
        </w:rPr>
      </w:pPr>
    </w:p>
    <w:p w14:paraId="0335E2BB" w14:textId="4A4AC5BE" w:rsidR="00B67D0A" w:rsidRPr="00466359" w:rsidRDefault="005412E8" w:rsidP="00B30215">
      <w:pPr>
        <w:jc w:val="center"/>
        <w:rPr>
          <w:rFonts w:ascii="Arial" w:hAnsi="Arial" w:cs="Arial"/>
          <w:b/>
          <w:sz w:val="20"/>
          <w:szCs w:val="16"/>
        </w:rPr>
      </w:pPr>
      <w:r>
        <w:rPr>
          <w:rFonts w:ascii="Arial" w:hAnsi="Arial" w:cs="Arial"/>
          <w:b/>
          <w:sz w:val="20"/>
          <w:szCs w:val="16"/>
        </w:rPr>
        <w:t xml:space="preserve">Chart 3.  </w:t>
      </w:r>
      <w:r w:rsidR="00B67D0A" w:rsidRPr="00466359">
        <w:rPr>
          <w:rFonts w:ascii="Arial" w:hAnsi="Arial" w:cs="Arial"/>
          <w:b/>
          <w:sz w:val="20"/>
          <w:szCs w:val="16"/>
        </w:rPr>
        <w:t>Share of PCT Fee Income / Total Income from 2004/05 to 2016/17</w:t>
      </w:r>
    </w:p>
    <w:p w14:paraId="4547D8BB" w14:textId="77777777" w:rsidR="00B67D0A" w:rsidRPr="00851CC8" w:rsidRDefault="00B67D0A" w:rsidP="00B30215">
      <w:pPr>
        <w:widowControl w:val="0"/>
        <w:rPr>
          <w:rFonts w:ascii="Arial" w:hAnsi="Arial" w:cs="Arial"/>
          <w:sz w:val="20"/>
        </w:rPr>
      </w:pPr>
    </w:p>
    <w:p w14:paraId="70524BA2" w14:textId="1C5599B2" w:rsidR="00B67D0A" w:rsidRPr="00851CC8" w:rsidRDefault="00544380" w:rsidP="00B30215">
      <w:pPr>
        <w:keepNext/>
        <w:keepLines/>
        <w:widowControl w:val="0"/>
        <w:jc w:val="center"/>
        <w:rPr>
          <w:rFonts w:ascii="Arial" w:hAnsi="Arial" w:cs="Arial"/>
          <w:sz w:val="18"/>
        </w:rPr>
      </w:pPr>
      <w:r>
        <w:rPr>
          <w:rFonts w:ascii="Arial" w:hAnsi="Arial" w:cs="Arial"/>
          <w:noProof/>
          <w:sz w:val="18"/>
          <w:lang w:eastAsia="en-US"/>
        </w:rPr>
        <w:drawing>
          <wp:inline distT="0" distB="0" distL="0" distR="0" wp14:anchorId="38C1B348" wp14:editId="6FCD7572">
            <wp:extent cx="5035138" cy="3063833"/>
            <wp:effectExtent l="0" t="0" r="0" b="381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extLst>
                        <a:ext uri="{28A0092B-C50C-407E-A947-70E740481C1C}">
                          <a14:useLocalDpi xmlns:a14="http://schemas.microsoft.com/office/drawing/2010/main" val="0"/>
                        </a:ext>
                      </a:extLst>
                    </a:blip>
                    <a:srcRect l="10421" t="6804" r="6213" b="5442"/>
                    <a:stretch/>
                  </pic:blipFill>
                  <pic:spPr bwMode="auto">
                    <a:xfrm>
                      <a:off x="0" y="0"/>
                      <a:ext cx="5039686" cy="3066601"/>
                    </a:xfrm>
                    <a:prstGeom prst="rect">
                      <a:avLst/>
                    </a:prstGeom>
                    <a:noFill/>
                    <a:ln>
                      <a:noFill/>
                    </a:ln>
                    <a:extLst>
                      <a:ext uri="{53640926-AAD7-44D8-BBD7-CCE9431645EC}">
                        <a14:shadowObscured xmlns:a14="http://schemas.microsoft.com/office/drawing/2010/main"/>
                      </a:ext>
                    </a:extLst>
                  </pic:spPr>
                </pic:pic>
              </a:graphicData>
            </a:graphic>
          </wp:inline>
        </w:drawing>
      </w:r>
    </w:p>
    <w:p w14:paraId="202C848F" w14:textId="77777777" w:rsidR="00B67D0A" w:rsidRDefault="00B67D0A" w:rsidP="00466359">
      <w:pPr>
        <w:keepNext/>
        <w:keepLines/>
        <w:widowControl w:val="0"/>
        <w:rPr>
          <w:rFonts w:ascii="Arial" w:hAnsi="Arial" w:cs="Arial"/>
        </w:rPr>
      </w:pPr>
    </w:p>
    <w:p w14:paraId="67EFAC05" w14:textId="0192B285" w:rsidR="000404F6" w:rsidRDefault="00B67D0A" w:rsidP="00F02301">
      <w:pPr>
        <w:widowControl w:val="0"/>
        <w:tabs>
          <w:tab w:val="num" w:pos="690"/>
        </w:tabs>
        <w:rPr>
          <w:rFonts w:ascii="Arial" w:hAnsi="Arial"/>
          <w:caps/>
          <w:sz w:val="20"/>
        </w:rPr>
      </w:pPr>
      <w:bookmarkStart w:id="14" w:name="_Toc310950755"/>
      <w:bookmarkStart w:id="15" w:name="_Toc367350565"/>
      <w:r w:rsidRPr="00F310F2">
        <w:rPr>
          <w:rFonts w:ascii="Arial" w:hAnsi="Arial"/>
          <w:sz w:val="20"/>
        </w:rPr>
        <w:t xml:space="preserve">The income estimates by Union </w:t>
      </w:r>
      <w:r w:rsidR="00D123FF">
        <w:rPr>
          <w:rFonts w:ascii="Arial" w:hAnsi="Arial"/>
          <w:sz w:val="20"/>
        </w:rPr>
        <w:t>are</w:t>
      </w:r>
      <w:r w:rsidR="00D123FF" w:rsidRPr="00F310F2">
        <w:rPr>
          <w:rFonts w:ascii="Arial" w:hAnsi="Arial"/>
          <w:sz w:val="20"/>
        </w:rPr>
        <w:t xml:space="preserve"> </w:t>
      </w:r>
      <w:r w:rsidRPr="00F310F2">
        <w:rPr>
          <w:rFonts w:ascii="Arial" w:hAnsi="Arial"/>
          <w:sz w:val="20"/>
        </w:rPr>
        <w:t xml:space="preserve">contained in </w:t>
      </w:r>
      <w:r>
        <w:rPr>
          <w:rFonts w:ascii="Arial" w:hAnsi="Arial"/>
          <w:sz w:val="20"/>
        </w:rPr>
        <w:t>A</w:t>
      </w:r>
      <w:r w:rsidRPr="00F310F2">
        <w:rPr>
          <w:rFonts w:ascii="Arial" w:hAnsi="Arial"/>
          <w:sz w:val="20"/>
        </w:rPr>
        <w:t>nnex</w:t>
      </w:r>
      <w:r w:rsidRPr="00F310F2">
        <w:rPr>
          <w:rFonts w:ascii="Arial" w:hAnsi="Arial"/>
          <w:caps/>
          <w:sz w:val="20"/>
        </w:rPr>
        <w:t xml:space="preserve"> </w:t>
      </w:r>
      <w:r w:rsidR="00BD5F3D">
        <w:rPr>
          <w:rFonts w:ascii="Arial" w:hAnsi="Arial"/>
          <w:caps/>
          <w:sz w:val="20"/>
        </w:rPr>
        <w:t>III</w:t>
      </w:r>
      <w:r w:rsidR="00A1518B">
        <w:rPr>
          <w:rFonts w:ascii="Arial" w:hAnsi="Arial"/>
          <w:caps/>
          <w:sz w:val="20"/>
        </w:rPr>
        <w:t>.</w:t>
      </w:r>
    </w:p>
    <w:p w14:paraId="73D75694" w14:textId="64D929D2" w:rsidR="000404F6" w:rsidRDefault="000404F6">
      <w:pPr>
        <w:rPr>
          <w:rFonts w:ascii="Arial" w:hAnsi="Arial"/>
          <w:caps/>
          <w:sz w:val="20"/>
        </w:rPr>
      </w:pPr>
    </w:p>
    <w:p w14:paraId="4659E428" w14:textId="77777777" w:rsidR="00466359" w:rsidRDefault="00466359" w:rsidP="00F02301">
      <w:pPr>
        <w:widowControl w:val="0"/>
        <w:tabs>
          <w:tab w:val="num" w:pos="690"/>
        </w:tabs>
        <w:rPr>
          <w:rFonts w:ascii="Arial" w:hAnsi="Arial"/>
          <w:caps/>
          <w:sz w:val="20"/>
        </w:rPr>
      </w:pPr>
    </w:p>
    <w:p w14:paraId="5DC81764" w14:textId="77777777" w:rsidR="00F5497C" w:rsidRDefault="00F5497C" w:rsidP="00F02301">
      <w:pPr>
        <w:widowControl w:val="0"/>
        <w:tabs>
          <w:tab w:val="num" w:pos="690"/>
        </w:tabs>
        <w:rPr>
          <w:rFonts w:ascii="Arial" w:eastAsia="SimSun" w:hAnsi="Arial" w:cs="Arial"/>
          <w:b/>
          <w:color w:val="000000"/>
          <w:sz w:val="20"/>
          <w:highlight w:val="yellow"/>
          <w:lang w:eastAsia="zh-CN"/>
        </w:rPr>
        <w:sectPr w:rsidR="00F5497C" w:rsidSect="00160A9E">
          <w:headerReference w:type="even" r:id="rId26"/>
          <w:pgSz w:w="11907" w:h="16839" w:code="9"/>
          <w:pgMar w:top="624" w:right="1418" w:bottom="1361" w:left="1418" w:header="567" w:footer="851" w:gutter="0"/>
          <w:pgNumType w:start="3"/>
          <w:cols w:space="720"/>
          <w:docGrid w:linePitch="360"/>
        </w:sectPr>
      </w:pPr>
    </w:p>
    <w:p w14:paraId="66DC0292" w14:textId="2BF657B3" w:rsidR="00F5497C" w:rsidRPr="00F5497C" w:rsidRDefault="00F5497C" w:rsidP="00F5497C">
      <w:pPr>
        <w:widowControl w:val="0"/>
        <w:tabs>
          <w:tab w:val="num" w:pos="690"/>
        </w:tabs>
        <w:jc w:val="center"/>
        <w:rPr>
          <w:rFonts w:ascii="Arial" w:eastAsia="SimSun" w:hAnsi="Arial" w:cs="Arial"/>
          <w:b/>
          <w:color w:val="000000"/>
          <w:sz w:val="18"/>
          <w:lang w:eastAsia="zh-CN"/>
        </w:rPr>
      </w:pPr>
      <w:r w:rsidRPr="00F5497C">
        <w:rPr>
          <w:rFonts w:ascii="Arial" w:eastAsia="SimSun" w:hAnsi="Arial" w:cs="Arial"/>
          <w:b/>
          <w:color w:val="000000"/>
          <w:sz w:val="20"/>
          <w:lang w:eastAsia="zh-CN"/>
        </w:rPr>
        <w:lastRenderedPageBreak/>
        <w:t>RESULTS FRAMEWORK AND PROGRAM AND BUDGET 2016/17 INCLUDING DEVELOPMENT SHARE BY RESULT</w:t>
      </w:r>
      <w:r>
        <w:rPr>
          <w:rFonts w:ascii="Arial" w:eastAsia="SimSun" w:hAnsi="Arial" w:cs="Arial"/>
          <w:b/>
          <w:color w:val="000000"/>
          <w:sz w:val="20"/>
          <w:lang w:eastAsia="zh-CN"/>
        </w:rPr>
        <w:br/>
      </w:r>
      <w:r w:rsidRPr="00F5497C">
        <w:rPr>
          <w:rFonts w:ascii="Arial" w:eastAsia="SimSun" w:hAnsi="Arial" w:cs="Arial"/>
          <w:b/>
          <w:color w:val="000000"/>
          <w:sz w:val="18"/>
          <w:lang w:eastAsia="zh-CN"/>
        </w:rPr>
        <w:t xml:space="preserve"> (in thousands of Swiss francs)</w:t>
      </w: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F5497C" w:rsidRPr="0006760A" w14:paraId="23DB4BBF" w14:textId="77777777" w:rsidTr="009D7A18">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14:paraId="2384E062"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Mainstreaming Strategic Goal III - Facilitating the Use of IP for Development &amp; Development Agenda</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14:paraId="3BA0D36A" w14:textId="2904AED7" w:rsidR="00F5497C" w:rsidRPr="0006760A" w:rsidRDefault="00F5497C" w:rsidP="00A74116">
            <w:pPr>
              <w:tabs>
                <w:tab w:val="right" w:pos="2835"/>
              </w:tabs>
              <w:jc w:val="center"/>
              <w:rPr>
                <w:rFonts w:ascii="Arial" w:hAnsi="Arial" w:cs="Arial"/>
                <w:b/>
                <w:bCs/>
                <w:sz w:val="16"/>
                <w:szCs w:val="16"/>
              </w:rPr>
            </w:pPr>
            <w:r w:rsidRPr="0006760A">
              <w:rPr>
                <w:rFonts w:ascii="Arial" w:hAnsi="Arial" w:cs="Arial"/>
                <w:b/>
                <w:bCs/>
                <w:sz w:val="16"/>
                <w:szCs w:val="16"/>
              </w:rPr>
              <w:t>Strategic Goal VIII</w:t>
            </w:r>
            <w:r w:rsidR="00A74116">
              <w:rPr>
                <w:rFonts w:ascii="Arial" w:hAnsi="Arial" w:cs="Arial"/>
                <w:b/>
                <w:bCs/>
                <w:sz w:val="16"/>
                <w:szCs w:val="16"/>
              </w:rPr>
              <w:t>:</w:t>
            </w:r>
            <w:r w:rsidRPr="0006760A">
              <w:rPr>
                <w:rFonts w:ascii="Arial" w:hAnsi="Arial" w:cs="Arial"/>
                <w:b/>
                <w:bCs/>
                <w:sz w:val="16"/>
                <w:szCs w:val="16"/>
              </w:rPr>
              <w:t xml:space="preserve"> A Responsive Communications Interface between WIPO, its Member States and All Stakeholders</w:t>
            </w:r>
          </w:p>
        </w:tc>
      </w:tr>
      <w:tr w:rsidR="00F5497C" w:rsidRPr="0006760A" w14:paraId="6A6815D2"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2EF5A7BE" w14:textId="77777777" w:rsidR="00F5497C" w:rsidRPr="0018132B" w:rsidRDefault="00F5497C" w:rsidP="009D7A18">
            <w:pPr>
              <w:tabs>
                <w:tab w:val="right" w:pos="2835"/>
              </w:tabs>
              <w:rPr>
                <w:rFonts w:cs="Arial"/>
                <w:b/>
                <w:bCs/>
                <w:sz w:val="16"/>
                <w:szCs w:val="16"/>
              </w:rPr>
            </w:pPr>
          </w:p>
        </w:tc>
        <w:tc>
          <w:tcPr>
            <w:tcW w:w="3040" w:type="dxa"/>
            <w:tcBorders>
              <w:top w:val="nil"/>
              <w:left w:val="single" w:sz="4" w:space="0" w:color="auto"/>
              <w:bottom w:val="nil"/>
              <w:right w:val="nil"/>
            </w:tcBorders>
            <w:shd w:val="clear" w:color="auto" w:fill="auto"/>
            <w:vAlign w:val="center"/>
          </w:tcPr>
          <w:p w14:paraId="2130F732" w14:textId="77777777" w:rsidR="00F5497C" w:rsidRPr="0006760A" w:rsidRDefault="00F5497C" w:rsidP="009D7A18">
            <w:pPr>
              <w:tabs>
                <w:tab w:val="right" w:pos="2835"/>
              </w:tabs>
              <w:jc w:val="center"/>
              <w:rPr>
                <w:rFonts w:ascii="Arial" w:hAnsi="Arial" w:cs="Arial"/>
                <w:sz w:val="15"/>
                <w:szCs w:val="15"/>
              </w:rPr>
            </w:pPr>
            <w:r w:rsidRPr="0006760A">
              <w:rPr>
                <w:rFonts w:ascii="Arial" w:hAnsi="Arial" w:cs="Arial"/>
                <w:sz w:val="15"/>
                <w:szCs w:val="15"/>
              </w:rPr>
              <w:t> </w:t>
            </w:r>
          </w:p>
        </w:tc>
        <w:tc>
          <w:tcPr>
            <w:tcW w:w="3041" w:type="dxa"/>
            <w:tcBorders>
              <w:top w:val="nil"/>
              <w:left w:val="nil"/>
              <w:bottom w:val="nil"/>
              <w:right w:val="nil"/>
            </w:tcBorders>
            <w:shd w:val="clear" w:color="auto" w:fill="auto"/>
            <w:vAlign w:val="center"/>
          </w:tcPr>
          <w:p w14:paraId="6E880477" w14:textId="77777777" w:rsidR="00F5497C" w:rsidRPr="0006760A" w:rsidRDefault="00F5497C" w:rsidP="009D7A18">
            <w:pPr>
              <w:tabs>
                <w:tab w:val="right" w:pos="2835"/>
              </w:tabs>
              <w:rPr>
                <w:rFonts w:ascii="Arial" w:hAnsi="Arial" w:cs="Arial"/>
                <w:sz w:val="14"/>
                <w:szCs w:val="14"/>
              </w:rPr>
            </w:pPr>
          </w:p>
          <w:p w14:paraId="7320381F"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VIII.1. More effective communication to a broad public about intellectual property and WIPO’s role</w:t>
            </w:r>
          </w:p>
          <w:p w14:paraId="3615F6DF" w14:textId="77777777" w:rsidR="00F5497C" w:rsidRPr="0006760A" w:rsidRDefault="00F5497C" w:rsidP="009D7A18">
            <w:pPr>
              <w:tabs>
                <w:tab w:val="left" w:pos="335"/>
                <w:tab w:val="right" w:pos="2173"/>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 xml:space="preserve">:   </w:t>
            </w:r>
            <w:r w:rsidRPr="0006760A">
              <w:rPr>
                <w:rFonts w:ascii="Arial" w:hAnsi="Arial" w:cs="Arial"/>
                <w:i/>
                <w:iCs/>
                <w:sz w:val="14"/>
                <w:szCs w:val="14"/>
              </w:rPr>
              <w:tab/>
            </w:r>
            <w:r>
              <w:rPr>
                <w:rFonts w:ascii="Arial" w:hAnsi="Arial" w:cs="Arial"/>
                <w:i/>
                <w:iCs/>
                <w:sz w:val="14"/>
                <w:szCs w:val="14"/>
              </w:rPr>
              <w:t>12,033</w:t>
            </w:r>
          </w:p>
          <w:p w14:paraId="03AC9B5D" w14:textId="77777777" w:rsidR="00F5497C" w:rsidRPr="0006760A" w:rsidRDefault="00F5497C" w:rsidP="009D7A18">
            <w:pPr>
              <w:tabs>
                <w:tab w:val="left" w:pos="348"/>
                <w:tab w:val="right" w:pos="2173"/>
              </w:tabs>
              <w:rPr>
                <w:rFonts w:ascii="Arial" w:hAnsi="Arial" w:cs="Arial"/>
                <w:i/>
                <w:iCs/>
                <w:color w:val="0000FF"/>
                <w:sz w:val="14"/>
                <w:szCs w:val="14"/>
              </w:rPr>
            </w:pPr>
            <w:r>
              <w:rPr>
                <w:rFonts w:ascii="Arial" w:hAnsi="Arial" w:cs="Arial"/>
                <w:i/>
                <w:iCs/>
                <w:color w:val="0000FF"/>
                <w:sz w:val="14"/>
                <w:szCs w:val="14"/>
              </w:rPr>
              <w:tab/>
              <w:t>Development share:           4,268</w:t>
            </w:r>
            <w:r w:rsidRPr="0006760A">
              <w:rPr>
                <w:rFonts w:ascii="Arial" w:hAnsi="Arial" w:cs="Arial"/>
                <w:i/>
                <w:iCs/>
                <w:color w:val="0000FF"/>
                <w:sz w:val="14"/>
                <w:szCs w:val="14"/>
              </w:rPr>
              <w:t xml:space="preserve">          </w:t>
            </w:r>
            <w:r w:rsidRPr="0006760A">
              <w:rPr>
                <w:rFonts w:ascii="Arial" w:hAnsi="Arial" w:cs="Arial"/>
                <w:i/>
                <w:iCs/>
                <w:color w:val="0000FF"/>
                <w:sz w:val="14"/>
                <w:szCs w:val="14"/>
              </w:rPr>
              <w:tab/>
            </w:r>
          </w:p>
          <w:p w14:paraId="0FD0E3CE" w14:textId="77777777" w:rsidR="00F5497C" w:rsidRPr="0006760A" w:rsidRDefault="00F5497C" w:rsidP="009D7A18">
            <w:pPr>
              <w:tabs>
                <w:tab w:val="right" w:pos="2835"/>
              </w:tabs>
              <w:rPr>
                <w:rFonts w:ascii="Arial" w:hAnsi="Arial" w:cs="Arial"/>
                <w:sz w:val="14"/>
                <w:szCs w:val="14"/>
              </w:rPr>
            </w:pPr>
          </w:p>
        </w:tc>
        <w:tc>
          <w:tcPr>
            <w:tcW w:w="3042" w:type="dxa"/>
            <w:tcBorders>
              <w:top w:val="nil"/>
              <w:left w:val="nil"/>
              <w:bottom w:val="nil"/>
              <w:right w:val="nil"/>
            </w:tcBorders>
            <w:shd w:val="clear" w:color="auto" w:fill="auto"/>
          </w:tcPr>
          <w:p w14:paraId="5BBFFEF8" w14:textId="77777777" w:rsidR="00F5497C" w:rsidRPr="0006760A" w:rsidRDefault="00F5497C" w:rsidP="009D7A18">
            <w:pPr>
              <w:tabs>
                <w:tab w:val="right" w:pos="2835"/>
              </w:tabs>
              <w:rPr>
                <w:rFonts w:ascii="Arial" w:hAnsi="Arial" w:cs="Arial"/>
                <w:sz w:val="14"/>
                <w:szCs w:val="14"/>
              </w:rPr>
            </w:pPr>
          </w:p>
          <w:p w14:paraId="6FA56594"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VIII.2. Improved service orientation and responsiveness to inquiries</w:t>
            </w:r>
          </w:p>
          <w:p w14:paraId="3736D7C7" w14:textId="77777777" w:rsidR="00F5497C" w:rsidRPr="0006760A" w:rsidRDefault="00F5497C" w:rsidP="009D7A18">
            <w:pPr>
              <w:tabs>
                <w:tab w:val="left" w:pos="325"/>
                <w:tab w:val="right" w:pos="2040"/>
              </w:tabs>
              <w:rPr>
                <w:rFonts w:ascii="Arial" w:hAnsi="Arial" w:cs="Arial"/>
                <w:i/>
                <w:iCs/>
                <w:sz w:val="14"/>
                <w:szCs w:val="14"/>
              </w:rPr>
            </w:pPr>
            <w:r w:rsidRPr="0006760A">
              <w:rPr>
                <w:rFonts w:ascii="Arial" w:hAnsi="Arial" w:cs="Arial"/>
                <w:i/>
                <w:iCs/>
                <w:sz w:val="14"/>
                <w:szCs w:val="14"/>
              </w:rPr>
              <w:tab/>
            </w:r>
          </w:p>
          <w:p w14:paraId="4E00AE41" w14:textId="77777777" w:rsidR="00F5497C" w:rsidRPr="0006760A" w:rsidRDefault="00F5497C" w:rsidP="009D7A18">
            <w:pPr>
              <w:tabs>
                <w:tab w:val="left" w:pos="325"/>
                <w:tab w:val="right" w:pos="2189"/>
              </w:tabs>
              <w:rPr>
                <w:rFonts w:ascii="Arial" w:hAnsi="Arial" w:cs="Arial"/>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 xml:space="preserve">:  </w:t>
            </w:r>
            <w:r w:rsidRPr="0006760A">
              <w:rPr>
                <w:rFonts w:ascii="Arial" w:hAnsi="Arial" w:cs="Arial"/>
                <w:i/>
                <w:iCs/>
                <w:sz w:val="14"/>
                <w:szCs w:val="14"/>
              </w:rPr>
              <w:tab/>
            </w:r>
            <w:r>
              <w:rPr>
                <w:rFonts w:ascii="Arial" w:hAnsi="Arial" w:cs="Arial"/>
                <w:i/>
                <w:iCs/>
                <w:sz w:val="14"/>
                <w:szCs w:val="14"/>
              </w:rPr>
              <w:t>6,219</w:t>
            </w: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2,779</w:t>
            </w:r>
            <w:r w:rsidRPr="0006760A">
              <w:rPr>
                <w:rFonts w:ascii="Arial" w:hAnsi="Arial" w:cs="Arial"/>
                <w:i/>
                <w:iCs/>
                <w:color w:val="0000FF"/>
                <w:sz w:val="14"/>
                <w:szCs w:val="14"/>
              </w:rPr>
              <w:t xml:space="preserve">        </w:t>
            </w:r>
            <w:r w:rsidRPr="0006760A">
              <w:rPr>
                <w:rFonts w:ascii="Arial" w:hAnsi="Arial" w:cs="Arial"/>
                <w:i/>
                <w:iCs/>
                <w:color w:val="0000FF"/>
                <w:sz w:val="14"/>
                <w:szCs w:val="14"/>
              </w:rPr>
              <w:tab/>
            </w:r>
          </w:p>
        </w:tc>
        <w:tc>
          <w:tcPr>
            <w:tcW w:w="3041" w:type="dxa"/>
            <w:tcBorders>
              <w:top w:val="nil"/>
              <w:left w:val="nil"/>
              <w:bottom w:val="nil"/>
              <w:right w:val="nil"/>
            </w:tcBorders>
            <w:shd w:val="clear" w:color="auto" w:fill="auto"/>
          </w:tcPr>
          <w:p w14:paraId="0B29DFF7" w14:textId="77777777" w:rsidR="00F5497C" w:rsidRPr="0006760A" w:rsidRDefault="00F5497C" w:rsidP="009D7A18">
            <w:pPr>
              <w:tabs>
                <w:tab w:val="right" w:pos="2835"/>
              </w:tabs>
              <w:rPr>
                <w:rFonts w:ascii="Arial" w:hAnsi="Arial" w:cs="Arial"/>
                <w:sz w:val="14"/>
                <w:szCs w:val="14"/>
              </w:rPr>
            </w:pPr>
          </w:p>
          <w:p w14:paraId="6081ACDE" w14:textId="77777777" w:rsidR="00F5497C" w:rsidRPr="0006760A" w:rsidRDefault="00F5497C" w:rsidP="009D7A18">
            <w:pPr>
              <w:tabs>
                <w:tab w:val="right" w:pos="2835"/>
              </w:tabs>
              <w:rPr>
                <w:rFonts w:ascii="Arial" w:hAnsi="Arial" w:cs="Arial"/>
                <w:sz w:val="14"/>
                <w:szCs w:val="14"/>
              </w:rPr>
            </w:pPr>
            <w:r w:rsidRPr="0006760A">
              <w:rPr>
                <w:rFonts w:ascii="Arial" w:hAnsi="Arial" w:cs="Arial"/>
                <w:sz w:val="14"/>
                <w:szCs w:val="14"/>
              </w:rPr>
              <w:t>VIII.3. Effective engagement with Member States</w:t>
            </w:r>
          </w:p>
          <w:p w14:paraId="69D1ABF2" w14:textId="77777777" w:rsidR="00F5497C" w:rsidRPr="0006760A" w:rsidRDefault="00F5497C" w:rsidP="009D7A18">
            <w:pPr>
              <w:tabs>
                <w:tab w:val="left" w:pos="378"/>
                <w:tab w:val="right" w:pos="2040"/>
              </w:tabs>
              <w:rPr>
                <w:rFonts w:ascii="Arial" w:hAnsi="Arial" w:cs="Arial"/>
                <w:i/>
                <w:iCs/>
                <w:sz w:val="14"/>
                <w:szCs w:val="14"/>
              </w:rPr>
            </w:pPr>
            <w:r w:rsidRPr="0006760A">
              <w:rPr>
                <w:rFonts w:ascii="Arial" w:hAnsi="Arial" w:cs="Arial"/>
                <w:i/>
                <w:iCs/>
                <w:sz w:val="14"/>
                <w:szCs w:val="14"/>
              </w:rPr>
              <w:tab/>
            </w:r>
          </w:p>
          <w:p w14:paraId="2BBE40F3" w14:textId="77777777" w:rsidR="00F5497C" w:rsidRPr="0006760A" w:rsidRDefault="00F5497C" w:rsidP="009D7A18">
            <w:pPr>
              <w:tabs>
                <w:tab w:val="left" w:pos="378"/>
                <w:tab w:val="right" w:pos="2040"/>
              </w:tabs>
              <w:rPr>
                <w:rFonts w:ascii="Arial" w:hAnsi="Arial" w:cs="Arial"/>
                <w:i/>
                <w:iCs/>
                <w:sz w:val="14"/>
                <w:szCs w:val="14"/>
              </w:rPr>
            </w:pPr>
            <w:r w:rsidRPr="0006760A">
              <w:rPr>
                <w:rFonts w:ascii="Arial" w:hAnsi="Arial" w:cs="Arial"/>
                <w:i/>
                <w:iCs/>
                <w:sz w:val="14"/>
                <w:szCs w:val="14"/>
              </w:rPr>
              <w:tab/>
            </w:r>
          </w:p>
          <w:p w14:paraId="3CCE828B" w14:textId="77777777" w:rsidR="00F5497C" w:rsidRPr="0006760A" w:rsidRDefault="00F5497C" w:rsidP="009D7A18">
            <w:pPr>
              <w:tabs>
                <w:tab w:val="left" w:pos="378"/>
                <w:tab w:val="right" w:pos="220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 xml:space="preserve">16/17: </w:t>
            </w:r>
            <w:r>
              <w:rPr>
                <w:rFonts w:ascii="Arial" w:hAnsi="Arial" w:cs="Arial"/>
                <w:i/>
                <w:iCs/>
                <w:sz w:val="14"/>
                <w:szCs w:val="14"/>
              </w:rPr>
              <w:tab/>
              <w:t>7,099</w:t>
            </w:r>
            <w:r>
              <w:rPr>
                <w:rFonts w:ascii="Arial" w:hAnsi="Arial" w:cs="Arial"/>
                <w:i/>
                <w:iCs/>
                <w:sz w:val="14"/>
                <w:szCs w:val="14"/>
              </w:rPr>
              <w:tab/>
            </w:r>
          </w:p>
          <w:p w14:paraId="5972E749" w14:textId="77777777" w:rsidR="00F5497C" w:rsidRPr="0006760A" w:rsidRDefault="00F5497C" w:rsidP="009D7A18">
            <w:pPr>
              <w:tabs>
                <w:tab w:val="left" w:pos="353"/>
                <w:tab w:val="right" w:pos="1938"/>
              </w:tabs>
              <w:rPr>
                <w:rFonts w:ascii="Arial" w:hAnsi="Arial" w:cs="Arial"/>
                <w:color w:val="000000"/>
                <w:sz w:val="14"/>
                <w:szCs w:val="14"/>
              </w:rPr>
            </w:pPr>
            <w:r w:rsidRPr="0006760A">
              <w:rPr>
                <w:rFonts w:ascii="Arial" w:hAnsi="Arial" w:cs="Arial"/>
                <w:i/>
                <w:iCs/>
                <w:color w:val="0000FF"/>
                <w:sz w:val="14"/>
                <w:szCs w:val="14"/>
              </w:rPr>
              <w:tab/>
              <w:t xml:space="preserve">Development share : </w:t>
            </w:r>
            <w:r w:rsidRPr="0006760A">
              <w:rPr>
                <w:rFonts w:ascii="Arial" w:hAnsi="Arial" w:cs="Arial"/>
                <w:i/>
                <w:iCs/>
                <w:color w:val="0000FF"/>
                <w:sz w:val="14"/>
                <w:szCs w:val="14"/>
              </w:rPr>
              <w:tab/>
            </w:r>
            <w:r>
              <w:rPr>
                <w:rFonts w:ascii="Arial" w:hAnsi="Arial" w:cs="Arial"/>
                <w:i/>
                <w:iCs/>
                <w:color w:val="0000FF"/>
                <w:sz w:val="14"/>
                <w:szCs w:val="14"/>
              </w:rPr>
              <w:t xml:space="preserve">            </w:t>
            </w:r>
            <w:r w:rsidRPr="0006760A">
              <w:rPr>
                <w:rFonts w:ascii="Arial" w:hAnsi="Arial" w:cs="Arial"/>
                <w:i/>
                <w:iCs/>
                <w:color w:val="0000FF"/>
                <w:sz w:val="14"/>
                <w:szCs w:val="14"/>
              </w:rPr>
              <w:t xml:space="preserve"> </w:t>
            </w:r>
            <w:r>
              <w:rPr>
                <w:rFonts w:ascii="Arial" w:hAnsi="Arial" w:cs="Arial"/>
                <w:i/>
                <w:iCs/>
                <w:color w:val="0000FF"/>
                <w:sz w:val="14"/>
                <w:szCs w:val="14"/>
              </w:rPr>
              <w:t>-</w:t>
            </w:r>
            <w:r w:rsidRPr="0006760A">
              <w:rPr>
                <w:rFonts w:ascii="Arial" w:hAnsi="Arial" w:cs="Arial"/>
                <w:i/>
                <w:iCs/>
                <w:color w:val="0000FF"/>
                <w:sz w:val="14"/>
                <w:szCs w:val="14"/>
              </w:rPr>
              <w:t xml:space="preserve">               </w:t>
            </w:r>
          </w:p>
        </w:tc>
        <w:tc>
          <w:tcPr>
            <w:tcW w:w="3040" w:type="dxa"/>
            <w:tcBorders>
              <w:top w:val="nil"/>
              <w:left w:val="nil"/>
              <w:bottom w:val="nil"/>
              <w:right w:val="nil"/>
            </w:tcBorders>
            <w:shd w:val="clear" w:color="auto" w:fill="auto"/>
          </w:tcPr>
          <w:p w14:paraId="281FBEBA" w14:textId="77777777" w:rsidR="00F5497C" w:rsidRPr="0006760A" w:rsidRDefault="00F5497C" w:rsidP="009D7A18">
            <w:pPr>
              <w:tabs>
                <w:tab w:val="right" w:pos="2835"/>
              </w:tabs>
              <w:rPr>
                <w:rFonts w:ascii="Arial" w:hAnsi="Arial" w:cs="Arial"/>
                <w:sz w:val="14"/>
                <w:szCs w:val="14"/>
              </w:rPr>
            </w:pPr>
          </w:p>
          <w:p w14:paraId="64E4ABED" w14:textId="77777777" w:rsidR="00F5497C" w:rsidRPr="0006760A" w:rsidRDefault="00F5497C" w:rsidP="009D7A18">
            <w:pPr>
              <w:tabs>
                <w:tab w:val="right" w:pos="2835"/>
              </w:tabs>
              <w:rPr>
                <w:rFonts w:ascii="Arial" w:hAnsi="Arial" w:cs="Arial"/>
                <w:sz w:val="14"/>
                <w:szCs w:val="14"/>
              </w:rPr>
            </w:pPr>
            <w:r w:rsidRPr="0006760A">
              <w:rPr>
                <w:rFonts w:ascii="Arial" w:hAnsi="Arial" w:cs="Arial"/>
                <w:sz w:val="14"/>
                <w:szCs w:val="14"/>
              </w:rPr>
              <w:t>VIII.4. Open, transparent and responsive interaction with non-governmental stakeholders</w:t>
            </w:r>
          </w:p>
          <w:p w14:paraId="33A49271" w14:textId="77777777" w:rsidR="00F5497C" w:rsidRPr="0006760A" w:rsidRDefault="00F5497C" w:rsidP="009D7A18">
            <w:pPr>
              <w:tabs>
                <w:tab w:val="left" w:pos="368"/>
                <w:tab w:val="right" w:pos="2040"/>
              </w:tabs>
              <w:rPr>
                <w:rFonts w:ascii="Arial" w:hAnsi="Arial" w:cs="Arial"/>
                <w:i/>
                <w:iCs/>
                <w:sz w:val="14"/>
                <w:szCs w:val="14"/>
              </w:rPr>
            </w:pPr>
            <w:r w:rsidRPr="0006760A">
              <w:rPr>
                <w:rFonts w:ascii="Arial" w:hAnsi="Arial" w:cs="Arial"/>
                <w:i/>
                <w:iCs/>
                <w:sz w:val="14"/>
                <w:szCs w:val="14"/>
              </w:rPr>
              <w:tab/>
            </w:r>
          </w:p>
          <w:p w14:paraId="4B92CFBE" w14:textId="77777777" w:rsidR="00F5497C" w:rsidRPr="0006760A" w:rsidRDefault="00F5497C" w:rsidP="009D7A18">
            <w:pPr>
              <w:tabs>
                <w:tab w:val="left" w:pos="368"/>
                <w:tab w:val="right" w:pos="2221"/>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 xml:space="preserve">16/17:  </w:t>
            </w:r>
            <w:r>
              <w:rPr>
                <w:rFonts w:ascii="Arial" w:hAnsi="Arial" w:cs="Arial"/>
                <w:i/>
                <w:iCs/>
                <w:sz w:val="14"/>
                <w:szCs w:val="14"/>
              </w:rPr>
              <w:tab/>
              <w:t>1,128</w:t>
            </w:r>
          </w:p>
          <w:p w14:paraId="5A388BEE" w14:textId="77777777" w:rsidR="00F5497C" w:rsidRPr="0006760A" w:rsidRDefault="00F5497C" w:rsidP="009D7A18">
            <w:pPr>
              <w:tabs>
                <w:tab w:val="left" w:pos="368"/>
                <w:tab w:val="right" w:pos="1955"/>
              </w:tabs>
              <w:rPr>
                <w:rFonts w:ascii="Arial" w:hAnsi="Arial" w:cs="Arial"/>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 xml:space="preserve">                -</w:t>
            </w:r>
          </w:p>
        </w:tc>
        <w:tc>
          <w:tcPr>
            <w:tcW w:w="3041" w:type="dxa"/>
            <w:tcBorders>
              <w:top w:val="nil"/>
              <w:left w:val="nil"/>
              <w:bottom w:val="nil"/>
              <w:right w:val="nil"/>
            </w:tcBorders>
            <w:shd w:val="clear" w:color="auto" w:fill="auto"/>
          </w:tcPr>
          <w:p w14:paraId="465D167B" w14:textId="77777777" w:rsidR="00F5497C" w:rsidRPr="0006760A" w:rsidRDefault="00F5497C" w:rsidP="009D7A18">
            <w:pPr>
              <w:tabs>
                <w:tab w:val="right" w:pos="2835"/>
              </w:tabs>
              <w:rPr>
                <w:rFonts w:ascii="Arial" w:hAnsi="Arial" w:cs="Arial"/>
                <w:color w:val="000000"/>
                <w:sz w:val="14"/>
                <w:szCs w:val="14"/>
              </w:rPr>
            </w:pPr>
          </w:p>
          <w:p w14:paraId="7C345189" w14:textId="77777777" w:rsidR="00F5497C" w:rsidRPr="0006760A" w:rsidRDefault="00F5497C" w:rsidP="009D7A18">
            <w:pPr>
              <w:tabs>
                <w:tab w:val="right" w:pos="2835"/>
              </w:tabs>
              <w:spacing w:after="60"/>
              <w:rPr>
                <w:rFonts w:ascii="Arial" w:hAnsi="Arial" w:cs="Arial"/>
                <w:color w:val="000000"/>
                <w:sz w:val="14"/>
                <w:szCs w:val="14"/>
              </w:rPr>
            </w:pPr>
            <w:r w:rsidRPr="0006760A">
              <w:rPr>
                <w:rFonts w:ascii="Arial" w:hAnsi="Arial" w:cs="Arial"/>
                <w:sz w:val="14"/>
                <w:szCs w:val="14"/>
              </w:rPr>
              <w:t xml:space="preserve">VIII.5. </w:t>
            </w:r>
            <w:r w:rsidRPr="0006760A">
              <w:rPr>
                <w:rFonts w:ascii="Arial" w:hAnsi="Arial" w:cs="Arial"/>
                <w:color w:val="000000"/>
                <w:sz w:val="14"/>
                <w:szCs w:val="14"/>
              </w:rPr>
              <w:t>WIPO effectively interacts and partners with UN and other IGO processes and negotiations</w:t>
            </w:r>
          </w:p>
          <w:p w14:paraId="7E28E156" w14:textId="77777777" w:rsidR="00F5497C" w:rsidRPr="0006760A" w:rsidRDefault="00F5497C" w:rsidP="009D7A18">
            <w:pPr>
              <w:tabs>
                <w:tab w:val="left" w:pos="397"/>
                <w:tab w:val="right" w:pos="2237"/>
              </w:tabs>
              <w:rPr>
                <w:rFonts w:ascii="Arial" w:hAnsi="Arial" w:cs="Arial"/>
                <w:i/>
                <w:iCs/>
                <w:color w:val="000000"/>
                <w:sz w:val="14"/>
                <w:szCs w:val="14"/>
              </w:rPr>
            </w:pPr>
            <w:r w:rsidRPr="0006760A">
              <w:rPr>
                <w:rFonts w:ascii="Arial" w:hAnsi="Arial" w:cs="Arial"/>
                <w:i/>
                <w:iCs/>
                <w:color w:val="000000"/>
                <w:sz w:val="14"/>
                <w:szCs w:val="14"/>
              </w:rPr>
              <w:tab/>
              <w:t xml:space="preserve">Proposed Budget </w:t>
            </w:r>
            <w:r>
              <w:rPr>
                <w:rFonts w:ascii="Arial" w:hAnsi="Arial" w:cs="Arial"/>
                <w:i/>
                <w:iCs/>
                <w:sz w:val="14"/>
                <w:szCs w:val="14"/>
              </w:rPr>
              <w:t>16/17</w:t>
            </w:r>
            <w:r>
              <w:rPr>
                <w:rFonts w:ascii="Arial" w:hAnsi="Arial" w:cs="Arial"/>
                <w:i/>
                <w:iCs/>
                <w:color w:val="000000"/>
                <w:sz w:val="14"/>
                <w:szCs w:val="14"/>
              </w:rPr>
              <w:t xml:space="preserve">:  </w:t>
            </w:r>
            <w:r>
              <w:rPr>
                <w:rFonts w:ascii="Arial" w:hAnsi="Arial" w:cs="Arial"/>
                <w:i/>
                <w:iCs/>
                <w:color w:val="000000"/>
                <w:sz w:val="14"/>
                <w:szCs w:val="14"/>
              </w:rPr>
              <w:tab/>
              <w:t>6,196</w:t>
            </w:r>
          </w:p>
          <w:p w14:paraId="0159A817" w14:textId="77777777" w:rsidR="00F5497C" w:rsidRPr="0006760A" w:rsidRDefault="00F5497C" w:rsidP="009D7A18">
            <w:pPr>
              <w:tabs>
                <w:tab w:val="left" w:pos="409"/>
                <w:tab w:val="right" w:pos="2093"/>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 xml:space="preserve">        3,784</w:t>
            </w:r>
            <w:r w:rsidRPr="0006760A">
              <w:rPr>
                <w:rFonts w:ascii="Arial" w:hAnsi="Arial" w:cs="Arial"/>
                <w:i/>
                <w:iCs/>
                <w:color w:val="0000FF"/>
                <w:sz w:val="14"/>
                <w:szCs w:val="14"/>
              </w:rPr>
              <w:t xml:space="preserve">        </w:t>
            </w:r>
            <w:r w:rsidRPr="0006760A">
              <w:rPr>
                <w:rFonts w:ascii="Arial" w:hAnsi="Arial" w:cs="Arial"/>
                <w:i/>
                <w:iCs/>
                <w:color w:val="0000FF"/>
                <w:sz w:val="14"/>
                <w:szCs w:val="14"/>
              </w:rPr>
              <w:tab/>
            </w:r>
          </w:p>
        </w:tc>
        <w:tc>
          <w:tcPr>
            <w:tcW w:w="3044" w:type="dxa"/>
            <w:tcBorders>
              <w:top w:val="nil"/>
              <w:left w:val="nil"/>
              <w:bottom w:val="nil"/>
              <w:right w:val="single" w:sz="4" w:space="0" w:color="auto"/>
            </w:tcBorders>
            <w:shd w:val="clear" w:color="auto" w:fill="auto"/>
            <w:vAlign w:val="bottom"/>
          </w:tcPr>
          <w:p w14:paraId="679239F8" w14:textId="77777777" w:rsidR="00F5497C" w:rsidRPr="0006760A" w:rsidRDefault="00F5497C" w:rsidP="009D7A18">
            <w:pPr>
              <w:tabs>
                <w:tab w:val="right" w:pos="2253"/>
              </w:tabs>
              <w:rPr>
                <w:rFonts w:ascii="Arial" w:hAnsi="Arial" w:cs="Arial"/>
                <w:i/>
                <w:iCs/>
                <w:sz w:val="14"/>
                <w:szCs w:val="14"/>
              </w:rPr>
            </w:pPr>
            <w:r w:rsidRPr="0006760A">
              <w:rPr>
                <w:rFonts w:ascii="Arial" w:hAnsi="Arial" w:cs="Arial"/>
                <w:i/>
                <w:iCs/>
                <w:sz w:val="14"/>
                <w:szCs w:val="14"/>
              </w:rPr>
              <w:t>Total proposed budget SG VIII:</w:t>
            </w:r>
            <w:r w:rsidRPr="0006760A">
              <w:rPr>
                <w:rFonts w:ascii="Arial" w:hAnsi="Arial" w:cs="Arial"/>
                <w:i/>
                <w:iCs/>
                <w:sz w:val="14"/>
                <w:szCs w:val="14"/>
              </w:rPr>
              <w:tab/>
              <w:t xml:space="preserve">  </w:t>
            </w:r>
            <w:r>
              <w:rPr>
                <w:rFonts w:ascii="Arial" w:hAnsi="Arial" w:cs="Arial"/>
                <w:i/>
                <w:iCs/>
                <w:sz w:val="14"/>
                <w:szCs w:val="14"/>
              </w:rPr>
              <w:t xml:space="preserve">      32,675</w:t>
            </w:r>
            <w:r w:rsidRPr="0006760A">
              <w:rPr>
                <w:rFonts w:ascii="Arial" w:hAnsi="Arial" w:cs="Arial"/>
                <w:i/>
                <w:iCs/>
                <w:sz w:val="14"/>
                <w:szCs w:val="14"/>
              </w:rPr>
              <w:t xml:space="preserve">     </w:t>
            </w:r>
            <w:r w:rsidRPr="0006760A">
              <w:rPr>
                <w:rFonts w:ascii="Arial" w:hAnsi="Arial" w:cs="Arial"/>
                <w:i/>
                <w:iCs/>
                <w:sz w:val="14"/>
                <w:szCs w:val="14"/>
              </w:rPr>
              <w:tab/>
              <w:t xml:space="preserve">   </w:t>
            </w:r>
          </w:p>
          <w:p w14:paraId="6FC6C119" w14:textId="77777777" w:rsidR="00F5497C" w:rsidRPr="0006760A" w:rsidRDefault="00F5497C" w:rsidP="009D7A18">
            <w:pPr>
              <w:tabs>
                <w:tab w:val="right" w:pos="2350"/>
              </w:tabs>
              <w:rPr>
                <w:rFonts w:ascii="Arial" w:hAnsi="Arial" w:cs="Arial"/>
                <w:i/>
                <w:iCs/>
                <w:color w:val="0000FF"/>
                <w:sz w:val="14"/>
                <w:szCs w:val="14"/>
              </w:rPr>
            </w:pPr>
            <w:r w:rsidRPr="0006760A">
              <w:rPr>
                <w:rFonts w:ascii="Arial" w:hAnsi="Arial" w:cs="Arial"/>
                <w:i/>
                <w:iCs/>
                <w:color w:val="0000FF"/>
                <w:sz w:val="14"/>
                <w:szCs w:val="14"/>
              </w:rPr>
              <w:t>Total development share SG VIII:</w:t>
            </w:r>
            <w:r w:rsidRPr="0006760A">
              <w:rPr>
                <w:rFonts w:ascii="Arial" w:hAnsi="Arial" w:cs="Arial"/>
                <w:i/>
                <w:iCs/>
                <w:color w:val="0000FF"/>
                <w:sz w:val="14"/>
                <w:szCs w:val="14"/>
              </w:rPr>
              <w:tab/>
              <w:t xml:space="preserve">    </w:t>
            </w:r>
            <w:r>
              <w:rPr>
                <w:rFonts w:ascii="Arial" w:hAnsi="Arial" w:cs="Arial"/>
                <w:i/>
                <w:iCs/>
                <w:color w:val="0000FF"/>
                <w:sz w:val="14"/>
                <w:szCs w:val="14"/>
              </w:rPr>
              <w:t>10,831</w:t>
            </w:r>
          </w:p>
          <w:p w14:paraId="36EAD7DD" w14:textId="77777777" w:rsidR="00F5497C" w:rsidRPr="0006760A" w:rsidRDefault="00F5497C" w:rsidP="009D7A18">
            <w:pPr>
              <w:tabs>
                <w:tab w:val="right" w:pos="2350"/>
              </w:tabs>
              <w:rPr>
                <w:rFonts w:ascii="Arial" w:hAnsi="Arial" w:cs="Arial"/>
                <w:i/>
                <w:iCs/>
                <w:sz w:val="14"/>
                <w:szCs w:val="14"/>
              </w:rPr>
            </w:pPr>
          </w:p>
        </w:tc>
      </w:tr>
      <w:tr w:rsidR="00F5497C" w:rsidRPr="0006760A" w14:paraId="7A76E20F" w14:textId="77777777" w:rsidTr="009D7A18">
        <w:trPr>
          <w:trHeight w:val="559"/>
        </w:trPr>
        <w:tc>
          <w:tcPr>
            <w:tcW w:w="387" w:type="dxa"/>
            <w:vMerge/>
            <w:tcBorders>
              <w:top w:val="single" w:sz="8" w:space="0" w:color="auto"/>
              <w:left w:val="single" w:sz="8" w:space="0" w:color="auto"/>
              <w:bottom w:val="single" w:sz="4" w:space="0" w:color="000000"/>
              <w:right w:val="nil"/>
            </w:tcBorders>
            <w:vAlign w:val="center"/>
          </w:tcPr>
          <w:p w14:paraId="3619FFA4" w14:textId="77777777" w:rsidR="00F5497C" w:rsidRPr="0018132B" w:rsidRDefault="00F5497C" w:rsidP="009D7A18">
            <w:pPr>
              <w:tabs>
                <w:tab w:val="right" w:pos="2835"/>
              </w:tabs>
              <w:rPr>
                <w:rFonts w:cs="Arial"/>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14:paraId="1E711511"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I:</w:t>
            </w:r>
          </w:p>
          <w:p w14:paraId="7341E286"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Balanced Evolution of the International Normative</w:t>
            </w:r>
          </w:p>
          <w:p w14:paraId="419C151B"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Framework for IP</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1BE29257"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II:</w:t>
            </w:r>
          </w:p>
          <w:p w14:paraId="5E14CBCD"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Provision of Premier</w:t>
            </w:r>
          </w:p>
          <w:p w14:paraId="5EDB5A27"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Global IP Services</w:t>
            </w:r>
          </w:p>
        </w:tc>
        <w:tc>
          <w:tcPr>
            <w:tcW w:w="3042" w:type="dxa"/>
            <w:tcBorders>
              <w:top w:val="single" w:sz="4" w:space="0" w:color="auto"/>
              <w:left w:val="nil"/>
              <w:bottom w:val="single" w:sz="4" w:space="0" w:color="auto"/>
              <w:right w:val="single" w:sz="4" w:space="0" w:color="auto"/>
            </w:tcBorders>
            <w:shd w:val="clear" w:color="auto" w:fill="CCFFFF"/>
            <w:vAlign w:val="center"/>
          </w:tcPr>
          <w:p w14:paraId="201E6C7A"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III:</w:t>
            </w:r>
          </w:p>
          <w:p w14:paraId="4A3443C9"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 xml:space="preserve">Facilitating the Use of </w:t>
            </w:r>
          </w:p>
          <w:p w14:paraId="52194A17"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IP for Development</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2F3C268E"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IV:</w:t>
            </w:r>
          </w:p>
          <w:p w14:paraId="319FD307"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Coordination and Development of</w:t>
            </w:r>
          </w:p>
          <w:p w14:paraId="5B6F8B48"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Global IP Infrastructure</w:t>
            </w:r>
          </w:p>
        </w:tc>
        <w:tc>
          <w:tcPr>
            <w:tcW w:w="3040" w:type="dxa"/>
            <w:tcBorders>
              <w:top w:val="single" w:sz="4" w:space="0" w:color="auto"/>
              <w:left w:val="nil"/>
              <w:bottom w:val="single" w:sz="4" w:space="0" w:color="auto"/>
              <w:right w:val="single" w:sz="4" w:space="0" w:color="auto"/>
            </w:tcBorders>
            <w:shd w:val="clear" w:color="auto" w:fill="CCFFFF"/>
            <w:vAlign w:val="center"/>
          </w:tcPr>
          <w:p w14:paraId="613F3DE5"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V:</w:t>
            </w:r>
          </w:p>
          <w:p w14:paraId="523653E1"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 xml:space="preserve">World Reference Source for </w:t>
            </w:r>
          </w:p>
          <w:p w14:paraId="093CC8D7"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IP Information and Analysis</w:t>
            </w:r>
          </w:p>
        </w:tc>
        <w:tc>
          <w:tcPr>
            <w:tcW w:w="3041" w:type="dxa"/>
            <w:tcBorders>
              <w:top w:val="single" w:sz="4" w:space="0" w:color="auto"/>
              <w:left w:val="nil"/>
              <w:bottom w:val="single" w:sz="4" w:space="0" w:color="auto"/>
              <w:right w:val="single" w:sz="4" w:space="0" w:color="auto"/>
            </w:tcBorders>
            <w:shd w:val="clear" w:color="auto" w:fill="CCFFFF"/>
            <w:vAlign w:val="center"/>
          </w:tcPr>
          <w:p w14:paraId="7BF19B5F"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VI:</w:t>
            </w:r>
          </w:p>
          <w:p w14:paraId="7EE27F59"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International Cooperation on</w:t>
            </w:r>
          </w:p>
          <w:p w14:paraId="523C727E"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Building Respect for IP</w:t>
            </w:r>
          </w:p>
        </w:tc>
        <w:tc>
          <w:tcPr>
            <w:tcW w:w="3044" w:type="dxa"/>
            <w:tcBorders>
              <w:top w:val="single" w:sz="4" w:space="0" w:color="auto"/>
              <w:left w:val="nil"/>
              <w:bottom w:val="single" w:sz="4" w:space="0" w:color="auto"/>
              <w:right w:val="single" w:sz="4" w:space="0" w:color="auto"/>
            </w:tcBorders>
            <w:shd w:val="clear" w:color="auto" w:fill="CCFFFF"/>
            <w:vAlign w:val="center"/>
          </w:tcPr>
          <w:p w14:paraId="74011AAC"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Strategic Goal VII:</w:t>
            </w:r>
          </w:p>
          <w:p w14:paraId="69691C96"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Addressing IP in Relation</w:t>
            </w:r>
          </w:p>
          <w:p w14:paraId="007A9A1C" w14:textId="77777777" w:rsidR="00F5497C" w:rsidRPr="0006760A" w:rsidRDefault="00F5497C" w:rsidP="009D7A18">
            <w:pPr>
              <w:tabs>
                <w:tab w:val="right" w:pos="2835"/>
              </w:tabs>
              <w:jc w:val="center"/>
              <w:rPr>
                <w:rFonts w:ascii="Arial" w:hAnsi="Arial" w:cs="Arial"/>
                <w:b/>
                <w:bCs/>
                <w:sz w:val="16"/>
                <w:szCs w:val="16"/>
              </w:rPr>
            </w:pPr>
            <w:r w:rsidRPr="0006760A">
              <w:rPr>
                <w:rFonts w:ascii="Arial" w:hAnsi="Arial" w:cs="Arial"/>
                <w:b/>
                <w:bCs/>
                <w:sz w:val="16"/>
                <w:szCs w:val="16"/>
              </w:rPr>
              <w:t>to Global Policy Issues</w:t>
            </w:r>
          </w:p>
        </w:tc>
      </w:tr>
      <w:tr w:rsidR="00F5497C" w:rsidRPr="0006760A" w14:paraId="76D96B19"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3DCB5B00" w14:textId="77777777" w:rsidR="00F5497C" w:rsidRPr="0018132B" w:rsidRDefault="00F5497C" w:rsidP="009D7A18">
            <w:pPr>
              <w:tabs>
                <w:tab w:val="right" w:pos="2835"/>
              </w:tabs>
              <w:rPr>
                <w:rFonts w:cs="Arial"/>
                <w:b/>
                <w:bCs/>
                <w:sz w:val="16"/>
                <w:szCs w:val="16"/>
              </w:rPr>
            </w:pPr>
          </w:p>
        </w:tc>
        <w:tc>
          <w:tcPr>
            <w:tcW w:w="3040" w:type="dxa"/>
            <w:tcBorders>
              <w:top w:val="nil"/>
              <w:left w:val="single" w:sz="4" w:space="0" w:color="auto"/>
              <w:right w:val="nil"/>
            </w:tcBorders>
            <w:shd w:val="clear" w:color="auto" w:fill="auto"/>
          </w:tcPr>
          <w:p w14:paraId="3D6EF67A"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I.1.  Enhanced cooperation among Member States on development of balanced international normative frameworks for IP </w:t>
            </w:r>
          </w:p>
          <w:p w14:paraId="64F27A3D" w14:textId="77777777" w:rsidR="00F5497C" w:rsidRPr="0006760A" w:rsidRDefault="00F5497C" w:rsidP="009D7A18">
            <w:pPr>
              <w:tabs>
                <w:tab w:val="left" w:pos="307"/>
                <w:tab w:val="left" w:pos="215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13,976</w:t>
            </w:r>
            <w:r w:rsidRPr="0006760A">
              <w:rPr>
                <w:rFonts w:ascii="Arial" w:hAnsi="Arial" w:cs="Arial"/>
                <w:i/>
                <w:iCs/>
                <w:sz w:val="14"/>
                <w:szCs w:val="14"/>
              </w:rPr>
              <w:tab/>
            </w:r>
          </w:p>
          <w:p w14:paraId="454860C8" w14:textId="77777777" w:rsidR="00F5497C" w:rsidRPr="0006760A" w:rsidRDefault="00F5497C" w:rsidP="009D7A18">
            <w:pPr>
              <w:tabs>
                <w:tab w:val="left" w:pos="319"/>
                <w:tab w:val="left" w:pos="2157"/>
                <w:tab w:val="right" w:pos="2835"/>
              </w:tabs>
              <w:rPr>
                <w:rFonts w:ascii="Arial" w:hAnsi="Arial" w:cs="Arial"/>
                <w:i/>
                <w:iCs/>
                <w:color w:val="0000FF"/>
                <w:sz w:val="14"/>
                <w:szCs w:val="14"/>
              </w:rPr>
            </w:pPr>
            <w:r>
              <w:rPr>
                <w:rFonts w:ascii="Arial" w:hAnsi="Arial" w:cs="Arial"/>
                <w:i/>
                <w:iCs/>
                <w:color w:val="0000FF"/>
                <w:sz w:val="14"/>
                <w:szCs w:val="14"/>
              </w:rPr>
              <w:tab/>
              <w:t>Development share:</w:t>
            </w:r>
            <w:r>
              <w:rPr>
                <w:rFonts w:ascii="Arial" w:hAnsi="Arial" w:cs="Arial"/>
                <w:i/>
                <w:iCs/>
                <w:color w:val="0000FF"/>
                <w:sz w:val="14"/>
                <w:szCs w:val="14"/>
              </w:rPr>
              <w:tab/>
              <w:t>8,712</w:t>
            </w:r>
            <w:r w:rsidRPr="0006760A">
              <w:rPr>
                <w:rFonts w:ascii="Arial" w:hAnsi="Arial" w:cs="Arial"/>
                <w:i/>
                <w:iCs/>
                <w:color w:val="0000FF"/>
                <w:sz w:val="14"/>
                <w:szCs w:val="14"/>
              </w:rPr>
              <w:tab/>
            </w:r>
          </w:p>
          <w:p w14:paraId="04B5C4B5" w14:textId="77777777" w:rsidR="00F5497C" w:rsidRPr="0006760A" w:rsidRDefault="00F5497C" w:rsidP="009D7A18">
            <w:pPr>
              <w:tabs>
                <w:tab w:val="right" w:pos="2835"/>
              </w:tabs>
              <w:rPr>
                <w:rFonts w:ascii="Arial" w:hAnsi="Arial" w:cs="Arial"/>
                <w:sz w:val="14"/>
                <w:szCs w:val="14"/>
              </w:rPr>
            </w:pPr>
          </w:p>
          <w:p w14:paraId="4C480462" w14:textId="77777777" w:rsidR="00F5497C" w:rsidRPr="0006760A" w:rsidRDefault="00F5497C" w:rsidP="009D7A18">
            <w:pPr>
              <w:tabs>
                <w:tab w:val="right" w:pos="2835"/>
              </w:tabs>
              <w:rPr>
                <w:rFonts w:ascii="Arial" w:hAnsi="Arial" w:cs="Arial"/>
                <w:sz w:val="14"/>
                <w:szCs w:val="14"/>
              </w:rPr>
            </w:pPr>
          </w:p>
          <w:p w14:paraId="01DCF906"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I.2.  Tailored and balanced IP legislative, regulatory and policy frameworks</w:t>
            </w:r>
          </w:p>
          <w:p w14:paraId="154A115B" w14:textId="77777777" w:rsidR="00F5497C" w:rsidRPr="0006760A" w:rsidRDefault="00F5497C" w:rsidP="009D7A18">
            <w:pPr>
              <w:tabs>
                <w:tab w:val="left" w:pos="307"/>
                <w:tab w:val="left" w:pos="215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9,748</w:t>
            </w:r>
            <w:r w:rsidRPr="0006760A">
              <w:rPr>
                <w:rFonts w:ascii="Arial" w:hAnsi="Arial" w:cs="Arial"/>
                <w:i/>
                <w:iCs/>
                <w:sz w:val="14"/>
                <w:szCs w:val="14"/>
              </w:rPr>
              <w:tab/>
            </w:r>
          </w:p>
          <w:p w14:paraId="5588900C" w14:textId="77777777" w:rsidR="00F5497C" w:rsidRPr="0006760A" w:rsidRDefault="00F5497C" w:rsidP="009D7A18">
            <w:pPr>
              <w:tabs>
                <w:tab w:val="left" w:pos="307"/>
                <w:tab w:val="left" w:pos="2157"/>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8,292</w:t>
            </w:r>
            <w:r w:rsidRPr="0006760A">
              <w:rPr>
                <w:rFonts w:ascii="Arial" w:hAnsi="Arial" w:cs="Arial"/>
                <w:i/>
                <w:iCs/>
                <w:color w:val="0000FF"/>
                <w:sz w:val="14"/>
                <w:szCs w:val="14"/>
              </w:rPr>
              <w:tab/>
            </w:r>
          </w:p>
          <w:p w14:paraId="730B11D8" w14:textId="77777777" w:rsidR="00F5497C" w:rsidRPr="0006760A" w:rsidRDefault="00F5497C" w:rsidP="009D7A18">
            <w:pPr>
              <w:tabs>
                <w:tab w:val="right" w:pos="2835"/>
              </w:tabs>
              <w:rPr>
                <w:rFonts w:ascii="Arial" w:hAnsi="Arial" w:cs="Arial"/>
                <w:sz w:val="14"/>
                <w:szCs w:val="14"/>
              </w:rPr>
            </w:pPr>
          </w:p>
          <w:p w14:paraId="0AB8847B" w14:textId="77777777" w:rsidR="00F5497C" w:rsidRPr="0006760A" w:rsidRDefault="00F5497C" w:rsidP="009D7A18">
            <w:pPr>
              <w:tabs>
                <w:tab w:val="right" w:pos="2835"/>
              </w:tabs>
              <w:rPr>
                <w:rFonts w:ascii="Arial" w:hAnsi="Arial" w:cs="Arial"/>
                <w:sz w:val="14"/>
                <w:szCs w:val="14"/>
              </w:rPr>
            </w:pPr>
          </w:p>
          <w:p w14:paraId="63BF23A5"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I.3.  Increased protection of State emblems and names and emblems of International Intergovernmental Organizations</w:t>
            </w:r>
          </w:p>
          <w:p w14:paraId="36C75D4A" w14:textId="77777777" w:rsidR="00F5497C" w:rsidRPr="0006760A" w:rsidRDefault="00F5497C" w:rsidP="009D7A18">
            <w:pPr>
              <w:tabs>
                <w:tab w:val="left" w:pos="307"/>
                <w:tab w:val="left" w:pos="215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544</w:t>
            </w:r>
            <w:r w:rsidRPr="0006760A">
              <w:rPr>
                <w:rFonts w:ascii="Arial" w:hAnsi="Arial" w:cs="Arial"/>
                <w:i/>
                <w:iCs/>
                <w:sz w:val="14"/>
                <w:szCs w:val="14"/>
              </w:rPr>
              <w:tab/>
            </w:r>
          </w:p>
          <w:p w14:paraId="1952AC63" w14:textId="77777777" w:rsidR="00F5497C" w:rsidRPr="0006760A" w:rsidRDefault="00F5497C" w:rsidP="009D7A18">
            <w:pPr>
              <w:tabs>
                <w:tab w:val="left" w:pos="307"/>
                <w:tab w:val="left" w:pos="2157"/>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w:t>
            </w:r>
            <w:r w:rsidRPr="0006760A">
              <w:rPr>
                <w:rFonts w:ascii="Arial" w:hAnsi="Arial" w:cs="Arial"/>
                <w:i/>
                <w:iCs/>
                <w:color w:val="0000FF"/>
                <w:sz w:val="14"/>
                <w:szCs w:val="14"/>
              </w:rPr>
              <w:tab/>
              <w:t xml:space="preserve">  </w:t>
            </w:r>
          </w:p>
          <w:p w14:paraId="13AC16E7" w14:textId="77777777" w:rsidR="00F5497C" w:rsidRDefault="00F5497C" w:rsidP="009D7A18">
            <w:pPr>
              <w:tabs>
                <w:tab w:val="right" w:pos="2835"/>
              </w:tabs>
              <w:rPr>
                <w:rFonts w:ascii="Arial" w:hAnsi="Arial" w:cs="Arial"/>
                <w:color w:val="000000"/>
                <w:sz w:val="14"/>
                <w:szCs w:val="14"/>
              </w:rPr>
            </w:pPr>
            <w:r w:rsidRPr="0006760A">
              <w:rPr>
                <w:rFonts w:ascii="Arial" w:hAnsi="Arial" w:cs="Arial"/>
                <w:color w:val="000000"/>
                <w:sz w:val="14"/>
                <w:szCs w:val="14"/>
              </w:rPr>
              <w:t> </w:t>
            </w:r>
          </w:p>
          <w:p w14:paraId="4BF75397" w14:textId="5E54E38A" w:rsidR="00F5497C" w:rsidRDefault="00F5497C" w:rsidP="009D7A18">
            <w:pPr>
              <w:tabs>
                <w:tab w:val="left" w:pos="307"/>
                <w:tab w:val="left" w:pos="2157"/>
                <w:tab w:val="right" w:pos="2835"/>
              </w:tabs>
              <w:spacing w:after="80"/>
              <w:rPr>
                <w:rFonts w:ascii="Arial" w:hAnsi="Arial" w:cs="Arial"/>
                <w:sz w:val="14"/>
                <w:szCs w:val="14"/>
              </w:rPr>
            </w:pPr>
            <w:r w:rsidRPr="00E821AC">
              <w:rPr>
                <w:rFonts w:ascii="Arial" w:hAnsi="Arial" w:cs="Arial"/>
                <w:sz w:val="14"/>
                <w:szCs w:val="14"/>
              </w:rPr>
              <w:t xml:space="preserve">I.4 </w:t>
            </w:r>
            <w:r>
              <w:rPr>
                <w:rFonts w:ascii="Arial" w:hAnsi="Arial" w:cs="Arial"/>
                <w:sz w:val="14"/>
                <w:szCs w:val="14"/>
              </w:rPr>
              <w:t xml:space="preserve"> </w:t>
            </w:r>
            <w:r w:rsidRPr="00E821AC">
              <w:rPr>
                <w:rFonts w:ascii="Arial" w:hAnsi="Arial" w:cs="Arial"/>
                <w:sz w:val="14"/>
                <w:szCs w:val="14"/>
              </w:rPr>
              <w:t xml:space="preserve">Growing interest in WIPO as a forum for analysis of issues in relation to the international protection of </w:t>
            </w:r>
            <w:r w:rsidR="00FB0B18" w:rsidRPr="00FB0B18">
              <w:rPr>
                <w:rFonts w:ascii="Arial" w:hAnsi="Arial" w:cs="Arial"/>
                <w:sz w:val="14"/>
                <w:szCs w:val="14"/>
              </w:rPr>
              <w:t xml:space="preserve">patents, utility models, layout designs (topographies) of integrated circuits and </w:t>
            </w:r>
            <w:r w:rsidRPr="00E821AC">
              <w:rPr>
                <w:rFonts w:ascii="Arial" w:hAnsi="Arial" w:cs="Arial"/>
                <w:sz w:val="14"/>
                <w:szCs w:val="14"/>
              </w:rPr>
              <w:t>confidential information</w:t>
            </w:r>
          </w:p>
          <w:p w14:paraId="6A4EA01E" w14:textId="77777777" w:rsidR="00F5497C" w:rsidRPr="0006760A" w:rsidRDefault="00F5497C" w:rsidP="009D7A18">
            <w:pPr>
              <w:tabs>
                <w:tab w:val="left" w:pos="307"/>
                <w:tab w:val="left" w:pos="215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494</w:t>
            </w:r>
            <w:r w:rsidRPr="0006760A">
              <w:rPr>
                <w:rFonts w:ascii="Arial" w:hAnsi="Arial" w:cs="Arial"/>
                <w:i/>
                <w:iCs/>
                <w:sz w:val="14"/>
                <w:szCs w:val="14"/>
              </w:rPr>
              <w:tab/>
            </w:r>
          </w:p>
          <w:p w14:paraId="65619E0D" w14:textId="77777777" w:rsidR="00F5497C" w:rsidRPr="0006760A" w:rsidRDefault="00F5497C" w:rsidP="009D7A18">
            <w:pPr>
              <w:tabs>
                <w:tab w:val="left" w:pos="2157"/>
              </w:tabs>
              <w:rPr>
                <w:rFonts w:ascii="Arial" w:hAnsi="Arial" w:cs="Arial"/>
                <w:sz w:val="14"/>
                <w:szCs w:val="14"/>
              </w:rPr>
            </w:pPr>
            <w:r>
              <w:rPr>
                <w:rFonts w:ascii="Arial" w:hAnsi="Arial" w:cs="Arial"/>
                <w:i/>
                <w:iCs/>
                <w:color w:val="0000FF"/>
                <w:sz w:val="14"/>
                <w:szCs w:val="14"/>
              </w:rPr>
              <w:t xml:space="preserve">       </w:t>
            </w:r>
            <w:r w:rsidRPr="0006760A">
              <w:rPr>
                <w:rFonts w:ascii="Arial" w:hAnsi="Arial" w:cs="Arial"/>
                <w:i/>
                <w:iCs/>
                <w:color w:val="0000FF"/>
                <w:sz w:val="14"/>
                <w:szCs w:val="14"/>
              </w:rPr>
              <w:t>Development share:</w:t>
            </w:r>
            <w:r>
              <w:rPr>
                <w:rFonts w:ascii="Arial" w:hAnsi="Arial" w:cs="Arial"/>
                <w:i/>
                <w:iCs/>
                <w:color w:val="0000FF"/>
                <w:sz w:val="14"/>
                <w:szCs w:val="14"/>
              </w:rPr>
              <w:tab/>
              <w:t>-</w:t>
            </w:r>
          </w:p>
        </w:tc>
        <w:tc>
          <w:tcPr>
            <w:tcW w:w="3041" w:type="dxa"/>
            <w:tcBorders>
              <w:top w:val="nil"/>
              <w:left w:val="nil"/>
              <w:right w:val="nil"/>
            </w:tcBorders>
            <w:shd w:val="clear" w:color="auto" w:fill="auto"/>
          </w:tcPr>
          <w:p w14:paraId="6CF93BED"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II.1. </w:t>
            </w:r>
            <w:r>
              <w:rPr>
                <w:rFonts w:ascii="Arial" w:hAnsi="Arial" w:cs="Arial"/>
                <w:sz w:val="14"/>
                <w:szCs w:val="14"/>
              </w:rPr>
              <w:t xml:space="preserve">Wider and more effective use </w:t>
            </w:r>
            <w:r w:rsidRPr="0006760A">
              <w:rPr>
                <w:rFonts w:ascii="Arial" w:hAnsi="Arial" w:cs="Arial"/>
                <w:sz w:val="14"/>
                <w:szCs w:val="14"/>
              </w:rPr>
              <w:t xml:space="preserve">of the PCT </w:t>
            </w:r>
            <w:r>
              <w:rPr>
                <w:rFonts w:ascii="Arial" w:hAnsi="Arial" w:cs="Arial"/>
                <w:sz w:val="14"/>
                <w:szCs w:val="14"/>
              </w:rPr>
              <w:t>system</w:t>
            </w:r>
            <w:r w:rsidRPr="0006760A">
              <w:rPr>
                <w:rFonts w:ascii="Arial" w:hAnsi="Arial" w:cs="Arial"/>
                <w:sz w:val="14"/>
                <w:szCs w:val="14"/>
              </w:rPr>
              <w:t xml:space="preserve"> for filing international patent applications </w:t>
            </w:r>
          </w:p>
          <w:p w14:paraId="307CDFD2" w14:textId="77777777" w:rsidR="00F5497C" w:rsidRPr="0006760A" w:rsidRDefault="00F5497C" w:rsidP="009D7A18">
            <w:pPr>
              <w:tabs>
                <w:tab w:val="left" w:pos="348"/>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29,156</w:t>
            </w:r>
            <w:r w:rsidRPr="0006760A">
              <w:rPr>
                <w:rFonts w:ascii="Arial" w:hAnsi="Arial" w:cs="Arial"/>
                <w:i/>
                <w:iCs/>
                <w:sz w:val="14"/>
                <w:szCs w:val="14"/>
              </w:rPr>
              <w:tab/>
            </w:r>
          </w:p>
          <w:p w14:paraId="41A34458" w14:textId="77777777" w:rsidR="00F5497C" w:rsidRPr="0006760A" w:rsidRDefault="00F5497C" w:rsidP="009D7A18">
            <w:pPr>
              <w:tabs>
                <w:tab w:val="left" w:pos="348"/>
                <w:tab w:val="left" w:pos="2173"/>
                <w:tab w:val="right" w:pos="2835"/>
              </w:tabs>
              <w:rPr>
                <w:rFonts w:ascii="Arial" w:hAnsi="Arial" w:cs="Arial"/>
                <w:sz w:val="14"/>
                <w:szCs w:val="14"/>
              </w:rPr>
            </w:pPr>
            <w:r w:rsidRPr="0006760A">
              <w:rPr>
                <w:rFonts w:ascii="Arial" w:hAnsi="Arial" w:cs="Arial"/>
                <w:i/>
                <w:iCs/>
                <w:color w:val="0000FF"/>
                <w:sz w:val="14"/>
                <w:szCs w:val="14"/>
              </w:rPr>
              <w:tab/>
              <w:t>Development</w:t>
            </w:r>
            <w:r w:rsidRPr="0006760A">
              <w:rPr>
                <w:rFonts w:ascii="Arial" w:hAnsi="Arial" w:cs="Arial"/>
                <w:sz w:val="14"/>
                <w:szCs w:val="14"/>
              </w:rPr>
              <w:t xml:space="preserve"> </w:t>
            </w:r>
            <w:r w:rsidRPr="0006760A">
              <w:rPr>
                <w:rFonts w:ascii="Arial" w:hAnsi="Arial" w:cs="Arial"/>
                <w:i/>
                <w:iCs/>
                <w:color w:val="0000FF"/>
                <w:sz w:val="14"/>
                <w:szCs w:val="14"/>
              </w:rPr>
              <w:t>share</w:t>
            </w:r>
            <w:r w:rsidRPr="0006760A">
              <w:rPr>
                <w:rFonts w:ascii="Arial" w:hAnsi="Arial" w:cs="Arial"/>
                <w:sz w:val="14"/>
                <w:szCs w:val="14"/>
              </w:rPr>
              <w:t>:</w:t>
            </w:r>
            <w:r w:rsidRPr="0006760A">
              <w:rPr>
                <w:rFonts w:ascii="Arial" w:hAnsi="Arial" w:cs="Arial"/>
                <w:sz w:val="14"/>
                <w:szCs w:val="14"/>
              </w:rPr>
              <w:tab/>
            </w:r>
            <w:r w:rsidRPr="00A51607">
              <w:rPr>
                <w:rFonts w:ascii="Arial" w:hAnsi="Arial" w:cs="Arial"/>
                <w:i/>
                <w:iCs/>
                <w:color w:val="0000FF"/>
                <w:sz w:val="14"/>
                <w:szCs w:val="14"/>
              </w:rPr>
              <w:t>7,002</w:t>
            </w:r>
            <w:r w:rsidRPr="0006760A">
              <w:rPr>
                <w:rFonts w:ascii="Arial" w:hAnsi="Arial" w:cs="Arial"/>
                <w:i/>
                <w:iCs/>
                <w:color w:val="0000FF"/>
                <w:sz w:val="14"/>
                <w:szCs w:val="14"/>
              </w:rPr>
              <w:t xml:space="preserve">  </w:t>
            </w:r>
            <w:r w:rsidRPr="0006760A">
              <w:rPr>
                <w:rFonts w:ascii="Arial" w:hAnsi="Arial" w:cs="Arial"/>
                <w:sz w:val="14"/>
                <w:szCs w:val="14"/>
              </w:rPr>
              <w:t xml:space="preserve">  </w:t>
            </w:r>
            <w:r w:rsidRPr="0006760A">
              <w:rPr>
                <w:rFonts w:ascii="Arial" w:hAnsi="Arial" w:cs="Arial"/>
                <w:color w:val="0000FF"/>
                <w:sz w:val="14"/>
                <w:szCs w:val="14"/>
              </w:rPr>
              <w:t xml:space="preserve">   </w:t>
            </w:r>
          </w:p>
          <w:p w14:paraId="2F81C1A1" w14:textId="77777777" w:rsidR="00F5497C" w:rsidRPr="0006760A" w:rsidRDefault="00F5497C" w:rsidP="009D7A18">
            <w:pPr>
              <w:tabs>
                <w:tab w:val="right" w:pos="2835"/>
              </w:tabs>
              <w:rPr>
                <w:rFonts w:ascii="Arial" w:hAnsi="Arial" w:cs="Arial"/>
                <w:sz w:val="14"/>
                <w:szCs w:val="14"/>
              </w:rPr>
            </w:pPr>
          </w:p>
          <w:p w14:paraId="1FEE1947" w14:textId="77777777" w:rsidR="00F5497C" w:rsidRPr="0006760A" w:rsidRDefault="00F5497C" w:rsidP="009D7A18">
            <w:pPr>
              <w:autoSpaceDE w:val="0"/>
              <w:autoSpaceDN w:val="0"/>
              <w:adjustRightInd w:val="0"/>
              <w:rPr>
                <w:rFonts w:ascii="Arial" w:hAnsi="Arial" w:cs="Arial"/>
                <w:sz w:val="14"/>
                <w:szCs w:val="14"/>
                <w:lang w:eastAsia="zh-CN" w:bidi="th-TH"/>
              </w:rPr>
            </w:pPr>
            <w:r w:rsidRPr="0006760A">
              <w:rPr>
                <w:rFonts w:ascii="Arial" w:hAnsi="Arial" w:cs="Arial"/>
                <w:sz w:val="14"/>
                <w:szCs w:val="14"/>
              </w:rPr>
              <w:t xml:space="preserve">II.3. </w:t>
            </w:r>
            <w:r w:rsidRPr="0006760A">
              <w:rPr>
                <w:rFonts w:ascii="Arial" w:hAnsi="Arial" w:cs="Arial"/>
                <w:sz w:val="14"/>
                <w:szCs w:val="14"/>
                <w:lang w:eastAsia="zh-CN" w:bidi="th-TH"/>
              </w:rPr>
              <w:t>Improved productivity and service quality of PCT operations</w:t>
            </w:r>
          </w:p>
          <w:p w14:paraId="0C4C7FD4" w14:textId="77777777"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181,080</w:t>
            </w:r>
            <w:r w:rsidRPr="0006760A">
              <w:rPr>
                <w:rFonts w:ascii="Arial" w:hAnsi="Arial" w:cs="Arial"/>
                <w:i/>
                <w:iCs/>
                <w:sz w:val="14"/>
                <w:szCs w:val="14"/>
              </w:rPr>
              <w:tab/>
            </w:r>
          </w:p>
          <w:p w14:paraId="6DD0A2FB" w14:textId="77777777" w:rsidR="00F5497C" w:rsidRPr="00A51607" w:rsidRDefault="00F5497C" w:rsidP="009D7A18">
            <w:pPr>
              <w:tabs>
                <w:tab w:val="left" w:pos="335"/>
                <w:tab w:val="left" w:pos="2315"/>
                <w:tab w:val="right" w:pos="2835"/>
              </w:tabs>
              <w:rPr>
                <w:rFonts w:ascii="Arial" w:hAnsi="Arial" w:cs="Arial"/>
                <w:i/>
                <w:iCs/>
                <w:color w:val="0000FF"/>
                <w:sz w:val="14"/>
                <w:szCs w:val="14"/>
              </w:rPr>
            </w:pPr>
            <w:r w:rsidRPr="0006760A">
              <w:rPr>
                <w:rFonts w:ascii="Arial" w:hAnsi="Arial" w:cs="Arial"/>
                <w:i/>
                <w:iCs/>
                <w:color w:val="0000FF"/>
                <w:sz w:val="14"/>
                <w:szCs w:val="14"/>
              </w:rPr>
              <w:tab/>
              <w:t>Development</w:t>
            </w:r>
            <w:r w:rsidRPr="0006760A">
              <w:rPr>
                <w:rFonts w:ascii="Arial" w:hAnsi="Arial" w:cs="Arial"/>
                <w:sz w:val="14"/>
                <w:szCs w:val="14"/>
              </w:rPr>
              <w:t xml:space="preserve"> </w:t>
            </w:r>
            <w:r w:rsidRPr="0006760A">
              <w:rPr>
                <w:rFonts w:ascii="Arial" w:hAnsi="Arial" w:cs="Arial"/>
                <w:i/>
                <w:iCs/>
                <w:color w:val="0000FF"/>
                <w:sz w:val="14"/>
                <w:szCs w:val="14"/>
              </w:rPr>
              <w:t>share</w:t>
            </w:r>
            <w:r w:rsidRPr="0006760A">
              <w:rPr>
                <w:rFonts w:ascii="Arial" w:hAnsi="Arial" w:cs="Arial"/>
                <w:sz w:val="14"/>
                <w:szCs w:val="14"/>
              </w:rPr>
              <w:t xml:space="preserve">: </w:t>
            </w:r>
            <w:r w:rsidRPr="0006760A">
              <w:rPr>
                <w:rFonts w:ascii="Arial" w:hAnsi="Arial" w:cs="Arial"/>
                <w:sz w:val="14"/>
                <w:szCs w:val="14"/>
              </w:rPr>
              <w:tab/>
            </w:r>
            <w:r w:rsidRPr="00A51607">
              <w:rPr>
                <w:rFonts w:ascii="Arial" w:hAnsi="Arial" w:cs="Arial"/>
                <w:i/>
                <w:iCs/>
                <w:color w:val="0000FF"/>
                <w:sz w:val="14"/>
                <w:szCs w:val="14"/>
              </w:rPr>
              <w:t xml:space="preserve">-  </w:t>
            </w:r>
          </w:p>
          <w:p w14:paraId="78097582" w14:textId="77777777" w:rsidR="00F5497C" w:rsidRPr="0006760A" w:rsidRDefault="00F5497C" w:rsidP="009D7A18">
            <w:pPr>
              <w:tabs>
                <w:tab w:val="right" w:pos="2835"/>
              </w:tabs>
              <w:rPr>
                <w:rFonts w:ascii="Arial" w:hAnsi="Arial" w:cs="Arial"/>
                <w:sz w:val="14"/>
                <w:szCs w:val="14"/>
              </w:rPr>
            </w:pPr>
          </w:p>
          <w:p w14:paraId="1DEE05DF"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II.4. Wider and </w:t>
            </w:r>
            <w:r>
              <w:rPr>
                <w:rFonts w:ascii="Arial" w:hAnsi="Arial" w:cs="Arial"/>
                <w:sz w:val="14"/>
                <w:szCs w:val="14"/>
              </w:rPr>
              <w:t>more effective</w:t>
            </w:r>
            <w:r w:rsidRPr="0006760A">
              <w:rPr>
                <w:rFonts w:ascii="Arial" w:hAnsi="Arial" w:cs="Arial"/>
                <w:sz w:val="14"/>
                <w:szCs w:val="14"/>
              </w:rPr>
              <w:t xml:space="preserve"> use of the Hague system, including by developing countries and LDCs</w:t>
            </w:r>
          </w:p>
          <w:p w14:paraId="4F640969" w14:textId="77777777" w:rsidR="00F5497C" w:rsidRPr="0006760A" w:rsidRDefault="00F5497C" w:rsidP="009D7A18">
            <w:pPr>
              <w:tabs>
                <w:tab w:val="left" w:pos="323"/>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6,617</w:t>
            </w:r>
            <w:r w:rsidRPr="0006760A">
              <w:rPr>
                <w:rFonts w:ascii="Arial" w:hAnsi="Arial" w:cs="Arial"/>
                <w:i/>
                <w:iCs/>
                <w:sz w:val="14"/>
                <w:szCs w:val="14"/>
              </w:rPr>
              <w:tab/>
              <w:t xml:space="preserve"> </w:t>
            </w:r>
          </w:p>
          <w:p w14:paraId="4BC9F356" w14:textId="77777777" w:rsidR="00F5497C" w:rsidRPr="0006760A" w:rsidRDefault="00F5497C" w:rsidP="009D7A18">
            <w:pPr>
              <w:tabs>
                <w:tab w:val="left" w:pos="323"/>
                <w:tab w:val="left" w:pos="2315"/>
                <w:tab w:val="right" w:pos="2835"/>
              </w:tabs>
              <w:rPr>
                <w:rFonts w:ascii="Arial" w:hAnsi="Arial" w:cs="Arial"/>
                <w:i/>
                <w:iCs/>
                <w:color w:val="0000FF"/>
                <w:sz w:val="14"/>
                <w:szCs w:val="14"/>
              </w:rPr>
            </w:pPr>
            <w:r w:rsidRPr="0006760A">
              <w:rPr>
                <w:rFonts w:ascii="Arial" w:hAnsi="Arial" w:cs="Arial"/>
                <w:i/>
                <w:iCs/>
                <w:color w:val="0000FF"/>
                <w:sz w:val="14"/>
                <w:szCs w:val="14"/>
              </w:rPr>
              <w:tab/>
              <w:t>Development</w:t>
            </w:r>
            <w:r w:rsidRPr="0006760A">
              <w:rPr>
                <w:rFonts w:ascii="Arial" w:hAnsi="Arial" w:cs="Arial"/>
                <w:sz w:val="14"/>
                <w:szCs w:val="14"/>
              </w:rPr>
              <w:t xml:space="preserve"> </w:t>
            </w:r>
            <w:r w:rsidRPr="0006760A">
              <w:rPr>
                <w:rFonts w:ascii="Arial" w:hAnsi="Arial" w:cs="Arial"/>
                <w:i/>
                <w:iCs/>
                <w:color w:val="0000FF"/>
                <w:sz w:val="14"/>
                <w:szCs w:val="14"/>
              </w:rPr>
              <w:t>share</w:t>
            </w:r>
            <w:r>
              <w:rPr>
                <w:rFonts w:ascii="Arial" w:hAnsi="Arial" w:cs="Arial"/>
                <w:sz w:val="14"/>
                <w:szCs w:val="14"/>
              </w:rPr>
              <w:t xml:space="preserve">:               </w:t>
            </w:r>
            <w:r w:rsidRPr="00A51607">
              <w:rPr>
                <w:rFonts w:ascii="Arial" w:hAnsi="Arial" w:cs="Arial"/>
                <w:i/>
                <w:iCs/>
                <w:color w:val="0000FF"/>
                <w:sz w:val="14"/>
                <w:szCs w:val="14"/>
              </w:rPr>
              <w:t>1,085</w:t>
            </w:r>
            <w:r w:rsidRPr="0006760A">
              <w:rPr>
                <w:rFonts w:ascii="Arial" w:hAnsi="Arial" w:cs="Arial"/>
                <w:i/>
                <w:iCs/>
                <w:color w:val="0000FF"/>
                <w:sz w:val="14"/>
                <w:szCs w:val="14"/>
              </w:rPr>
              <w:t xml:space="preserve"> </w:t>
            </w:r>
          </w:p>
          <w:p w14:paraId="1D88FD31" w14:textId="77777777" w:rsidR="00F5497C" w:rsidRPr="0006760A" w:rsidRDefault="00F5497C" w:rsidP="009D7A18">
            <w:pPr>
              <w:tabs>
                <w:tab w:val="left" w:pos="1525"/>
                <w:tab w:val="right" w:pos="2835"/>
              </w:tabs>
              <w:rPr>
                <w:rFonts w:ascii="Arial" w:hAnsi="Arial" w:cs="Arial"/>
                <w:sz w:val="14"/>
                <w:szCs w:val="14"/>
              </w:rPr>
            </w:pPr>
          </w:p>
          <w:p w14:paraId="2B65F733"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II.5. </w:t>
            </w:r>
            <w:r w:rsidRPr="0006760A">
              <w:rPr>
                <w:rFonts w:ascii="Arial" w:hAnsi="Arial" w:cs="Arial"/>
                <w:sz w:val="14"/>
                <w:szCs w:val="14"/>
                <w:lang w:eastAsia="zh-CN" w:bidi="th-TH"/>
              </w:rPr>
              <w:t>Improved productivity and service quality of</w:t>
            </w:r>
            <w:r w:rsidRPr="0006760A">
              <w:rPr>
                <w:rFonts w:ascii="Arial" w:hAnsi="Arial" w:cs="Arial"/>
                <w:sz w:val="14"/>
                <w:szCs w:val="14"/>
              </w:rPr>
              <w:t xml:space="preserve"> the Hague operations</w:t>
            </w:r>
          </w:p>
          <w:p w14:paraId="01C9346D" w14:textId="77777777" w:rsidR="00F5497C" w:rsidRPr="0006760A" w:rsidRDefault="00F5497C" w:rsidP="009D7A18">
            <w:pPr>
              <w:tabs>
                <w:tab w:val="left" w:pos="360"/>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2,234</w:t>
            </w:r>
            <w:r w:rsidRPr="0006760A">
              <w:rPr>
                <w:rFonts w:ascii="Arial" w:hAnsi="Arial" w:cs="Arial"/>
                <w:i/>
                <w:iCs/>
                <w:sz w:val="14"/>
                <w:szCs w:val="14"/>
              </w:rPr>
              <w:tab/>
            </w:r>
          </w:p>
          <w:p w14:paraId="1EECE55C" w14:textId="77777777" w:rsidR="00F5497C" w:rsidRPr="0006760A" w:rsidRDefault="00F5497C" w:rsidP="009D7A18">
            <w:pPr>
              <w:tabs>
                <w:tab w:val="left" w:pos="360"/>
                <w:tab w:val="left" w:pos="2315"/>
                <w:tab w:val="right" w:pos="2835"/>
              </w:tabs>
              <w:rPr>
                <w:rFonts w:ascii="Arial" w:hAnsi="Arial" w:cs="Arial"/>
                <w:sz w:val="14"/>
                <w:szCs w:val="14"/>
              </w:rPr>
            </w:pPr>
            <w:r w:rsidRPr="0006760A">
              <w:rPr>
                <w:rFonts w:ascii="Arial" w:hAnsi="Arial" w:cs="Arial"/>
                <w:i/>
                <w:iCs/>
                <w:color w:val="0000FF"/>
                <w:sz w:val="14"/>
                <w:szCs w:val="14"/>
              </w:rPr>
              <w:tab/>
              <w:t>Development</w:t>
            </w:r>
            <w:r w:rsidRPr="0006760A">
              <w:rPr>
                <w:rFonts w:ascii="Arial" w:hAnsi="Arial" w:cs="Arial"/>
                <w:sz w:val="14"/>
                <w:szCs w:val="14"/>
              </w:rPr>
              <w:t xml:space="preserve"> </w:t>
            </w:r>
            <w:r w:rsidRPr="0006760A">
              <w:rPr>
                <w:rFonts w:ascii="Arial" w:hAnsi="Arial" w:cs="Arial"/>
                <w:i/>
                <w:iCs/>
                <w:color w:val="0000FF"/>
                <w:sz w:val="14"/>
                <w:szCs w:val="14"/>
              </w:rPr>
              <w:t>share</w:t>
            </w:r>
            <w:r w:rsidRPr="0006760A">
              <w:rPr>
                <w:rFonts w:ascii="Arial" w:hAnsi="Arial" w:cs="Arial"/>
                <w:sz w:val="14"/>
                <w:szCs w:val="14"/>
              </w:rPr>
              <w:t>:</w:t>
            </w:r>
            <w:r w:rsidRPr="0006760A">
              <w:rPr>
                <w:rFonts w:ascii="Arial" w:hAnsi="Arial" w:cs="Arial"/>
                <w:sz w:val="14"/>
                <w:szCs w:val="14"/>
              </w:rPr>
              <w:tab/>
            </w:r>
            <w:r w:rsidRPr="00A51607">
              <w:rPr>
                <w:rFonts w:ascii="Arial" w:hAnsi="Arial" w:cs="Arial"/>
                <w:i/>
                <w:iCs/>
                <w:color w:val="0000FF"/>
                <w:sz w:val="14"/>
                <w:szCs w:val="14"/>
              </w:rPr>
              <w:t xml:space="preserve">- </w:t>
            </w:r>
          </w:p>
          <w:p w14:paraId="0127B0E7" w14:textId="77777777" w:rsidR="00F5497C" w:rsidRPr="0006760A" w:rsidRDefault="00F5497C" w:rsidP="009D7A18">
            <w:pPr>
              <w:tabs>
                <w:tab w:val="left" w:pos="1525"/>
                <w:tab w:val="right" w:pos="2835"/>
              </w:tabs>
              <w:rPr>
                <w:rFonts w:ascii="Arial" w:hAnsi="Arial" w:cs="Arial"/>
                <w:sz w:val="14"/>
                <w:szCs w:val="14"/>
              </w:rPr>
            </w:pPr>
          </w:p>
          <w:p w14:paraId="6ABA340E" w14:textId="77777777" w:rsidR="00F5497C" w:rsidRPr="0006760A" w:rsidRDefault="00F5497C" w:rsidP="009D7A18">
            <w:pPr>
              <w:tabs>
                <w:tab w:val="left" w:pos="1525"/>
                <w:tab w:val="right" w:pos="2835"/>
              </w:tabs>
              <w:spacing w:after="60"/>
              <w:rPr>
                <w:rFonts w:ascii="Arial" w:hAnsi="Arial" w:cs="Arial"/>
                <w:sz w:val="14"/>
                <w:szCs w:val="14"/>
              </w:rPr>
            </w:pPr>
            <w:r w:rsidRPr="0006760A">
              <w:rPr>
                <w:rFonts w:ascii="Arial" w:hAnsi="Arial" w:cs="Arial"/>
                <w:sz w:val="14"/>
                <w:szCs w:val="14"/>
              </w:rPr>
              <w:t xml:space="preserve">II.6. Wider and </w:t>
            </w:r>
            <w:r>
              <w:rPr>
                <w:rFonts w:ascii="Arial" w:hAnsi="Arial" w:cs="Arial"/>
                <w:sz w:val="14"/>
                <w:szCs w:val="14"/>
              </w:rPr>
              <w:t>more effective</w:t>
            </w:r>
            <w:r w:rsidRPr="0006760A">
              <w:rPr>
                <w:rFonts w:ascii="Arial" w:hAnsi="Arial" w:cs="Arial"/>
                <w:sz w:val="14"/>
                <w:szCs w:val="14"/>
              </w:rPr>
              <w:t xml:space="preserve"> use of the Madrid &amp; Lisbon systems, including by developing countries and LDCs</w:t>
            </w:r>
          </w:p>
          <w:p w14:paraId="046BE863" w14:textId="69706D6B"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sidR="00F85ED0">
              <w:rPr>
                <w:rFonts w:ascii="Arial" w:hAnsi="Arial" w:cs="Arial"/>
                <w:i/>
                <w:iCs/>
                <w:sz w:val="14"/>
                <w:szCs w:val="14"/>
              </w:rPr>
              <w:t>17,966</w:t>
            </w:r>
            <w:r w:rsidRPr="0006760A">
              <w:rPr>
                <w:rFonts w:ascii="Arial" w:hAnsi="Arial" w:cs="Arial"/>
                <w:i/>
                <w:iCs/>
                <w:sz w:val="14"/>
                <w:szCs w:val="14"/>
              </w:rPr>
              <w:tab/>
            </w:r>
          </w:p>
          <w:p w14:paraId="3ABEE11A" w14:textId="1922A1A0" w:rsidR="00F5497C" w:rsidRPr="0006760A" w:rsidRDefault="00F5497C" w:rsidP="009D7A18">
            <w:pPr>
              <w:tabs>
                <w:tab w:val="left" w:pos="335"/>
                <w:tab w:val="left" w:pos="2173"/>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sidR="00F85ED0">
              <w:rPr>
                <w:rFonts w:ascii="Arial" w:hAnsi="Arial" w:cs="Arial"/>
                <w:i/>
                <w:iCs/>
                <w:color w:val="0000FF"/>
                <w:sz w:val="14"/>
                <w:szCs w:val="14"/>
              </w:rPr>
              <w:t>11,785</w:t>
            </w:r>
            <w:r w:rsidRPr="0006760A">
              <w:rPr>
                <w:rFonts w:ascii="Arial" w:hAnsi="Arial" w:cs="Arial"/>
                <w:i/>
                <w:iCs/>
                <w:color w:val="0000FF"/>
                <w:sz w:val="14"/>
                <w:szCs w:val="14"/>
              </w:rPr>
              <w:t xml:space="preserve"> </w:t>
            </w:r>
          </w:p>
          <w:p w14:paraId="47CE72B2" w14:textId="77777777" w:rsidR="00F5497C" w:rsidRPr="0006760A" w:rsidRDefault="00F5497C" w:rsidP="009D7A18">
            <w:pPr>
              <w:tabs>
                <w:tab w:val="left" w:pos="1525"/>
                <w:tab w:val="right" w:pos="2835"/>
              </w:tabs>
              <w:rPr>
                <w:rFonts w:ascii="Arial" w:hAnsi="Arial" w:cs="Arial"/>
                <w:sz w:val="14"/>
                <w:szCs w:val="14"/>
              </w:rPr>
            </w:pPr>
          </w:p>
          <w:p w14:paraId="5612DEBE" w14:textId="77777777" w:rsidR="00F5497C" w:rsidRPr="0006760A" w:rsidRDefault="00F5497C" w:rsidP="009D7A18">
            <w:pPr>
              <w:tabs>
                <w:tab w:val="left" w:pos="1525"/>
                <w:tab w:val="right" w:pos="2835"/>
              </w:tabs>
              <w:spacing w:after="60"/>
              <w:rPr>
                <w:rFonts w:ascii="Arial" w:hAnsi="Arial" w:cs="Arial"/>
                <w:sz w:val="14"/>
                <w:szCs w:val="14"/>
              </w:rPr>
            </w:pPr>
            <w:r w:rsidRPr="0006760A">
              <w:rPr>
                <w:rFonts w:ascii="Arial" w:hAnsi="Arial" w:cs="Arial"/>
                <w:sz w:val="14"/>
                <w:szCs w:val="14"/>
              </w:rPr>
              <w:t xml:space="preserve">II.7. </w:t>
            </w:r>
            <w:r w:rsidRPr="0006760A">
              <w:rPr>
                <w:rFonts w:ascii="Arial" w:hAnsi="Arial" w:cs="Arial"/>
                <w:sz w:val="14"/>
                <w:szCs w:val="14"/>
                <w:lang w:eastAsia="zh-CN" w:bidi="th-TH"/>
              </w:rPr>
              <w:t>Improved productivity and service quality of</w:t>
            </w:r>
            <w:r w:rsidRPr="0006760A">
              <w:rPr>
                <w:rFonts w:ascii="Arial" w:hAnsi="Arial" w:cs="Arial"/>
                <w:sz w:val="14"/>
                <w:szCs w:val="14"/>
              </w:rPr>
              <w:t xml:space="preserve"> Madrid &amp; Lisbon operations</w:t>
            </w:r>
          </w:p>
          <w:p w14:paraId="2CF81530" w14:textId="609F4559" w:rsidR="00F5497C" w:rsidRPr="0006760A" w:rsidRDefault="00F5497C" w:rsidP="009D7A18">
            <w:pPr>
              <w:tabs>
                <w:tab w:val="left" w:pos="331"/>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sidR="00F85ED0">
              <w:rPr>
                <w:rFonts w:ascii="Arial" w:hAnsi="Arial" w:cs="Arial"/>
                <w:i/>
                <w:iCs/>
                <w:sz w:val="14"/>
                <w:szCs w:val="14"/>
              </w:rPr>
              <w:t>42,901</w:t>
            </w:r>
            <w:r w:rsidRPr="0006760A">
              <w:rPr>
                <w:rFonts w:ascii="Arial" w:hAnsi="Arial" w:cs="Arial"/>
                <w:i/>
                <w:iCs/>
                <w:sz w:val="14"/>
                <w:szCs w:val="14"/>
              </w:rPr>
              <w:tab/>
            </w:r>
          </w:p>
          <w:p w14:paraId="44519712" w14:textId="59345972" w:rsidR="00F5497C" w:rsidRPr="0006760A" w:rsidRDefault="00F5497C" w:rsidP="009D7A18">
            <w:pPr>
              <w:tabs>
                <w:tab w:val="left" w:pos="331"/>
                <w:tab w:val="left" w:pos="2173"/>
                <w:tab w:val="right" w:pos="2835"/>
              </w:tabs>
              <w:rPr>
                <w:rFonts w:ascii="Arial" w:hAnsi="Arial" w:cs="Arial"/>
                <w:i/>
                <w:iCs/>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sidR="007120C6">
              <w:rPr>
                <w:rFonts w:ascii="Arial" w:hAnsi="Arial" w:cs="Arial"/>
                <w:i/>
                <w:iCs/>
                <w:color w:val="0000FF"/>
                <w:sz w:val="14"/>
                <w:szCs w:val="14"/>
              </w:rPr>
              <w:t>893</w:t>
            </w:r>
            <w:r w:rsidRPr="0006760A">
              <w:rPr>
                <w:rFonts w:ascii="Arial" w:hAnsi="Arial" w:cs="Arial"/>
                <w:i/>
                <w:iCs/>
                <w:color w:val="0000FF"/>
                <w:sz w:val="14"/>
                <w:szCs w:val="14"/>
              </w:rPr>
              <w:t xml:space="preserve">        </w:t>
            </w:r>
          </w:p>
          <w:p w14:paraId="091D7611" w14:textId="77777777" w:rsidR="00F5497C" w:rsidRPr="0006760A" w:rsidRDefault="00F5497C" w:rsidP="009D7A18">
            <w:pPr>
              <w:tabs>
                <w:tab w:val="left" w:pos="1525"/>
                <w:tab w:val="right" w:pos="2835"/>
              </w:tabs>
              <w:rPr>
                <w:rFonts w:ascii="Arial" w:hAnsi="Arial" w:cs="Arial"/>
                <w:i/>
                <w:iCs/>
                <w:sz w:val="14"/>
                <w:szCs w:val="14"/>
              </w:rPr>
            </w:pPr>
          </w:p>
          <w:p w14:paraId="4A472C90" w14:textId="77777777" w:rsidR="00F5497C" w:rsidRPr="0006760A" w:rsidRDefault="00F5497C" w:rsidP="009D7A18">
            <w:pPr>
              <w:tabs>
                <w:tab w:val="left" w:pos="1525"/>
                <w:tab w:val="right" w:pos="2835"/>
              </w:tabs>
              <w:spacing w:after="60"/>
              <w:rPr>
                <w:rFonts w:ascii="Arial" w:hAnsi="Arial" w:cs="Arial"/>
                <w:sz w:val="14"/>
                <w:szCs w:val="14"/>
              </w:rPr>
            </w:pPr>
            <w:r w:rsidRPr="0006760A">
              <w:rPr>
                <w:rFonts w:ascii="Arial" w:hAnsi="Arial" w:cs="Arial"/>
                <w:sz w:val="14"/>
                <w:szCs w:val="14"/>
              </w:rPr>
              <w:t>II.8. International and domestic intellectual property disputes are increasingly prevented or resolved through WIPO mediation, arbitration and other alternative dispute resolution methods</w:t>
            </w:r>
          </w:p>
          <w:p w14:paraId="2785679B" w14:textId="77777777" w:rsidR="00F5497C" w:rsidRPr="0006760A" w:rsidRDefault="00F5497C" w:rsidP="009D7A18">
            <w:pPr>
              <w:tabs>
                <w:tab w:val="left" w:pos="348"/>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4,802</w:t>
            </w:r>
            <w:r w:rsidRPr="0006760A">
              <w:rPr>
                <w:rFonts w:ascii="Arial" w:hAnsi="Arial" w:cs="Arial"/>
                <w:i/>
                <w:iCs/>
                <w:sz w:val="14"/>
                <w:szCs w:val="14"/>
              </w:rPr>
              <w:tab/>
            </w:r>
          </w:p>
          <w:p w14:paraId="43E4703D" w14:textId="77777777" w:rsidR="00F5497C" w:rsidRPr="0006760A" w:rsidRDefault="00F5497C" w:rsidP="009D7A18">
            <w:pPr>
              <w:tabs>
                <w:tab w:val="left" w:pos="335"/>
                <w:tab w:val="left" w:pos="2173"/>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661</w:t>
            </w:r>
            <w:r w:rsidRPr="0006760A">
              <w:rPr>
                <w:rFonts w:ascii="Arial" w:hAnsi="Arial" w:cs="Arial"/>
                <w:i/>
                <w:iCs/>
                <w:color w:val="0000FF"/>
                <w:sz w:val="14"/>
                <w:szCs w:val="14"/>
              </w:rPr>
              <w:t xml:space="preserve">        </w:t>
            </w:r>
          </w:p>
          <w:p w14:paraId="2DB2A037" w14:textId="77777777" w:rsidR="00F5497C" w:rsidRPr="0006760A" w:rsidRDefault="00F5497C" w:rsidP="009D7A18">
            <w:pPr>
              <w:tabs>
                <w:tab w:val="left" w:pos="1525"/>
                <w:tab w:val="right" w:pos="2835"/>
              </w:tabs>
              <w:rPr>
                <w:rFonts w:ascii="Arial" w:hAnsi="Arial" w:cs="Arial"/>
                <w:i/>
                <w:iCs/>
                <w:color w:val="0000FF"/>
                <w:sz w:val="14"/>
                <w:szCs w:val="14"/>
              </w:rPr>
            </w:pPr>
          </w:p>
          <w:p w14:paraId="38B91F78" w14:textId="77777777" w:rsidR="00F5497C" w:rsidRPr="0006760A" w:rsidRDefault="00F5497C" w:rsidP="009D7A18">
            <w:pPr>
              <w:tabs>
                <w:tab w:val="left" w:pos="1525"/>
                <w:tab w:val="right" w:pos="2835"/>
              </w:tabs>
              <w:spacing w:after="60"/>
              <w:rPr>
                <w:rFonts w:ascii="Arial" w:hAnsi="Arial" w:cs="Arial"/>
                <w:sz w:val="14"/>
                <w:szCs w:val="14"/>
              </w:rPr>
            </w:pPr>
            <w:r w:rsidRPr="0006760A">
              <w:rPr>
                <w:rFonts w:ascii="Arial" w:hAnsi="Arial" w:cs="Arial"/>
                <w:sz w:val="14"/>
                <w:szCs w:val="14"/>
              </w:rPr>
              <w:t>II.9. Effective intellectual property protection in the gTLDs and the ccTLDs</w:t>
            </w:r>
          </w:p>
          <w:p w14:paraId="30F90EFE" w14:textId="77777777"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6,899</w:t>
            </w:r>
            <w:r w:rsidRPr="0006760A">
              <w:rPr>
                <w:rFonts w:ascii="Arial" w:hAnsi="Arial" w:cs="Arial"/>
                <w:i/>
                <w:iCs/>
                <w:sz w:val="14"/>
                <w:szCs w:val="14"/>
              </w:rPr>
              <w:tab/>
            </w:r>
          </w:p>
          <w:p w14:paraId="5DC0FC4A" w14:textId="77777777" w:rsidR="00F5497C" w:rsidRPr="0006760A" w:rsidRDefault="00F5497C" w:rsidP="009D7A18">
            <w:pPr>
              <w:tabs>
                <w:tab w:val="left" w:pos="335"/>
                <w:tab w:val="left" w:pos="2173"/>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101</w:t>
            </w:r>
            <w:r w:rsidRPr="0006760A">
              <w:rPr>
                <w:rFonts w:ascii="Arial" w:hAnsi="Arial" w:cs="Arial"/>
                <w:i/>
                <w:iCs/>
                <w:color w:val="0000FF"/>
                <w:sz w:val="14"/>
                <w:szCs w:val="14"/>
              </w:rPr>
              <w:tab/>
              <w:t xml:space="preserve">   </w:t>
            </w:r>
          </w:p>
          <w:p w14:paraId="4F9B90CD" w14:textId="77777777" w:rsidR="00F5497C" w:rsidRPr="0006760A" w:rsidRDefault="00F5497C" w:rsidP="009D7A18">
            <w:pPr>
              <w:tabs>
                <w:tab w:val="left" w:pos="1525"/>
                <w:tab w:val="right" w:pos="2835"/>
              </w:tabs>
              <w:rPr>
                <w:rFonts w:ascii="Arial" w:hAnsi="Arial" w:cs="Arial"/>
                <w:i/>
                <w:iCs/>
                <w:color w:val="0000FF"/>
                <w:sz w:val="14"/>
                <w:szCs w:val="14"/>
              </w:rPr>
            </w:pPr>
          </w:p>
        </w:tc>
        <w:tc>
          <w:tcPr>
            <w:tcW w:w="3042" w:type="dxa"/>
            <w:tcBorders>
              <w:top w:val="nil"/>
              <w:left w:val="nil"/>
              <w:right w:val="nil"/>
            </w:tcBorders>
            <w:shd w:val="clear" w:color="auto" w:fill="auto"/>
          </w:tcPr>
          <w:p w14:paraId="1E0EF439"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III.1. National innovation and IP strategies and plans consistent with national development objectives </w:t>
            </w:r>
          </w:p>
          <w:p w14:paraId="3EBBE9D3" w14:textId="77777777" w:rsidR="00F5497C" w:rsidRPr="0006760A" w:rsidRDefault="00F5497C" w:rsidP="009D7A18">
            <w:pPr>
              <w:tabs>
                <w:tab w:val="left" w:pos="346"/>
                <w:tab w:val="left" w:pos="2189"/>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10,957</w:t>
            </w:r>
            <w:r w:rsidRPr="0006760A">
              <w:rPr>
                <w:rFonts w:ascii="Arial" w:hAnsi="Arial" w:cs="Arial"/>
                <w:i/>
                <w:iCs/>
                <w:sz w:val="14"/>
                <w:szCs w:val="14"/>
              </w:rPr>
              <w:tab/>
            </w:r>
          </w:p>
          <w:p w14:paraId="4A06298E" w14:textId="77777777" w:rsidR="00F5497C" w:rsidRPr="0006760A" w:rsidRDefault="00F5497C" w:rsidP="009D7A18">
            <w:pPr>
              <w:tabs>
                <w:tab w:val="left" w:pos="350"/>
                <w:tab w:val="left" w:pos="2189"/>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10,957</w:t>
            </w:r>
            <w:r w:rsidRPr="0006760A">
              <w:rPr>
                <w:rFonts w:ascii="Arial" w:hAnsi="Arial" w:cs="Arial"/>
                <w:i/>
                <w:iCs/>
                <w:color w:val="0000FF"/>
                <w:sz w:val="14"/>
                <w:szCs w:val="14"/>
              </w:rPr>
              <w:tab/>
            </w:r>
          </w:p>
          <w:p w14:paraId="6975079F" w14:textId="77777777" w:rsidR="00F5497C" w:rsidRPr="0006760A" w:rsidRDefault="00F5497C" w:rsidP="009D7A18">
            <w:pPr>
              <w:tabs>
                <w:tab w:val="right" w:pos="2835"/>
              </w:tabs>
              <w:rPr>
                <w:rFonts w:ascii="Arial" w:hAnsi="Arial" w:cs="Arial"/>
                <w:sz w:val="14"/>
                <w:szCs w:val="14"/>
              </w:rPr>
            </w:pPr>
          </w:p>
          <w:p w14:paraId="49B25333" w14:textId="77777777" w:rsidR="00F5497C" w:rsidRPr="0006760A" w:rsidRDefault="00F5497C" w:rsidP="009D7A18">
            <w:pPr>
              <w:tabs>
                <w:tab w:val="right" w:pos="2835"/>
              </w:tabs>
              <w:rPr>
                <w:rFonts w:ascii="Arial" w:hAnsi="Arial" w:cs="Arial"/>
                <w:sz w:val="14"/>
                <w:szCs w:val="14"/>
              </w:rPr>
            </w:pPr>
          </w:p>
          <w:p w14:paraId="592EAFB5"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III.2. Enhanced human resource capacities able to deal with the broad range of requirements for the effective use of IP for development in developing countries, LDCs and countries with economies in transition</w:t>
            </w:r>
          </w:p>
          <w:p w14:paraId="6F1786F9" w14:textId="77777777" w:rsidR="00F5497C" w:rsidRPr="0006760A" w:rsidRDefault="00F5497C" w:rsidP="009D7A18">
            <w:pPr>
              <w:tabs>
                <w:tab w:val="left" w:pos="325"/>
                <w:tab w:val="left" w:pos="2189"/>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39,734</w:t>
            </w:r>
            <w:r w:rsidRPr="0006760A">
              <w:rPr>
                <w:rFonts w:ascii="Arial" w:hAnsi="Arial" w:cs="Arial"/>
                <w:i/>
                <w:iCs/>
                <w:sz w:val="14"/>
                <w:szCs w:val="14"/>
              </w:rPr>
              <w:tab/>
            </w:r>
          </w:p>
          <w:p w14:paraId="74A1DE96" w14:textId="6A9802DC" w:rsidR="00F5497C" w:rsidRPr="0006760A" w:rsidRDefault="00F5497C" w:rsidP="009D7A18">
            <w:pPr>
              <w:tabs>
                <w:tab w:val="left" w:pos="350"/>
                <w:tab w:val="left" w:pos="2189"/>
                <w:tab w:val="right" w:pos="2835"/>
              </w:tabs>
              <w:rPr>
                <w:rFonts w:ascii="Arial" w:hAnsi="Arial" w:cs="Arial"/>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39,</w:t>
            </w:r>
            <w:r w:rsidR="00893F56">
              <w:rPr>
                <w:rFonts w:ascii="Arial" w:hAnsi="Arial" w:cs="Arial"/>
                <w:i/>
                <w:iCs/>
                <w:color w:val="0000FF"/>
                <w:sz w:val="14"/>
                <w:szCs w:val="14"/>
              </w:rPr>
              <w:t>322</w:t>
            </w:r>
            <w:r w:rsidRPr="0006760A">
              <w:rPr>
                <w:rFonts w:ascii="Arial" w:hAnsi="Arial" w:cs="Arial"/>
                <w:i/>
                <w:iCs/>
                <w:color w:val="0000FF"/>
                <w:sz w:val="14"/>
                <w:szCs w:val="14"/>
              </w:rPr>
              <w:tab/>
            </w:r>
          </w:p>
          <w:p w14:paraId="00E5227F" w14:textId="77777777" w:rsidR="00F5497C" w:rsidRPr="0006760A" w:rsidRDefault="00F5497C" w:rsidP="009D7A18">
            <w:pPr>
              <w:tabs>
                <w:tab w:val="right" w:pos="2835"/>
              </w:tabs>
              <w:rPr>
                <w:rFonts w:ascii="Arial" w:hAnsi="Arial" w:cs="Arial"/>
                <w:sz w:val="14"/>
                <w:szCs w:val="14"/>
              </w:rPr>
            </w:pPr>
          </w:p>
          <w:p w14:paraId="71691B4E"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III.3. Mainstreaming of </w:t>
            </w:r>
            <w:r>
              <w:rPr>
                <w:rFonts w:ascii="Arial" w:hAnsi="Arial" w:cs="Arial"/>
                <w:sz w:val="14"/>
                <w:szCs w:val="14"/>
              </w:rPr>
              <w:t xml:space="preserve">the </w:t>
            </w:r>
            <w:r w:rsidRPr="0006760A">
              <w:rPr>
                <w:rFonts w:ascii="Arial" w:hAnsi="Arial" w:cs="Arial"/>
                <w:sz w:val="14"/>
                <w:szCs w:val="14"/>
              </w:rPr>
              <w:t xml:space="preserve">DA </w:t>
            </w:r>
            <w:r>
              <w:rPr>
                <w:rFonts w:ascii="Arial" w:hAnsi="Arial" w:cs="Arial"/>
                <w:sz w:val="14"/>
                <w:szCs w:val="14"/>
              </w:rPr>
              <w:t>r</w:t>
            </w:r>
            <w:r w:rsidRPr="0006760A">
              <w:rPr>
                <w:rFonts w:ascii="Arial" w:hAnsi="Arial" w:cs="Arial"/>
                <w:sz w:val="14"/>
                <w:szCs w:val="14"/>
              </w:rPr>
              <w:t>ecommendations in the work of WIPO</w:t>
            </w:r>
          </w:p>
          <w:p w14:paraId="68496FE1" w14:textId="77777777" w:rsidR="00F5497C" w:rsidRPr="0006760A" w:rsidRDefault="00F5497C" w:rsidP="009D7A18">
            <w:pPr>
              <w:tabs>
                <w:tab w:val="left" w:pos="325"/>
                <w:tab w:val="left" w:pos="2189"/>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2,492</w:t>
            </w:r>
            <w:r w:rsidRPr="0006760A">
              <w:rPr>
                <w:rFonts w:ascii="Arial" w:hAnsi="Arial" w:cs="Arial"/>
                <w:i/>
                <w:iCs/>
                <w:sz w:val="14"/>
                <w:szCs w:val="14"/>
              </w:rPr>
              <w:tab/>
            </w:r>
          </w:p>
          <w:p w14:paraId="6455E95F" w14:textId="77777777" w:rsidR="00F5497C" w:rsidRPr="0006760A" w:rsidRDefault="00F5497C" w:rsidP="009D7A18">
            <w:pPr>
              <w:tabs>
                <w:tab w:val="left" w:pos="325"/>
                <w:tab w:val="left" w:pos="2189"/>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2,492</w:t>
            </w:r>
          </w:p>
          <w:p w14:paraId="4EE6CB29" w14:textId="77777777" w:rsidR="00F5497C" w:rsidRPr="00BA7A47" w:rsidRDefault="00F5497C" w:rsidP="009D7A18">
            <w:pPr>
              <w:tabs>
                <w:tab w:val="right" w:pos="2835"/>
              </w:tabs>
              <w:rPr>
                <w:rFonts w:ascii="Arial" w:hAnsi="Arial" w:cs="Arial"/>
                <w:color w:val="999999"/>
                <w:sz w:val="14"/>
                <w:szCs w:val="14"/>
              </w:rPr>
            </w:pPr>
          </w:p>
          <w:p w14:paraId="070CC215" w14:textId="77777777" w:rsidR="00F5497C" w:rsidRPr="00BA7A47" w:rsidRDefault="00F5497C" w:rsidP="009D7A18">
            <w:pPr>
              <w:tabs>
                <w:tab w:val="right" w:pos="2835"/>
              </w:tabs>
              <w:rPr>
                <w:rFonts w:ascii="Arial" w:hAnsi="Arial" w:cs="Arial"/>
                <w:color w:val="999999"/>
                <w:sz w:val="14"/>
                <w:szCs w:val="14"/>
              </w:rPr>
            </w:pPr>
          </w:p>
          <w:p w14:paraId="0F7E5F79" w14:textId="00EB3900"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III.4. Strengthened cooperation mechanisms and programs tailored to the needs of developing countries</w:t>
            </w:r>
            <w:r w:rsidR="000D3DC0">
              <w:rPr>
                <w:rFonts w:ascii="Arial" w:hAnsi="Arial" w:cs="Arial"/>
                <w:sz w:val="14"/>
                <w:szCs w:val="14"/>
              </w:rPr>
              <w:t xml:space="preserve">, </w:t>
            </w:r>
            <w:r w:rsidR="00B26CA4" w:rsidRPr="0006760A">
              <w:rPr>
                <w:rFonts w:ascii="Arial" w:hAnsi="Arial" w:cs="Arial"/>
                <w:sz w:val="14"/>
                <w:szCs w:val="14"/>
              </w:rPr>
              <w:t>LDCs</w:t>
            </w:r>
            <w:r w:rsidR="00B26CA4">
              <w:rPr>
                <w:rFonts w:ascii="Arial" w:hAnsi="Arial" w:cs="Arial"/>
                <w:sz w:val="14"/>
                <w:szCs w:val="14"/>
              </w:rPr>
              <w:t xml:space="preserve"> and countries with economies in transition</w:t>
            </w:r>
          </w:p>
          <w:p w14:paraId="7E214F23" w14:textId="77777777" w:rsidR="00F5497C" w:rsidRPr="0006760A" w:rsidRDefault="00F5497C" w:rsidP="009D7A18">
            <w:pPr>
              <w:tabs>
                <w:tab w:val="left" w:pos="338"/>
                <w:tab w:val="left" w:pos="2189"/>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6,273</w:t>
            </w:r>
            <w:r w:rsidRPr="0006760A">
              <w:rPr>
                <w:rFonts w:ascii="Arial" w:hAnsi="Arial" w:cs="Arial"/>
                <w:i/>
                <w:iCs/>
                <w:sz w:val="14"/>
                <w:szCs w:val="14"/>
              </w:rPr>
              <w:tab/>
            </w:r>
          </w:p>
          <w:p w14:paraId="5EE5FC08" w14:textId="77777777" w:rsidR="00F5497C" w:rsidRPr="0006760A" w:rsidRDefault="00F5497C" w:rsidP="009D7A18">
            <w:pPr>
              <w:tabs>
                <w:tab w:val="left" w:pos="338"/>
                <w:tab w:val="left" w:pos="2189"/>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5,853</w:t>
            </w:r>
          </w:p>
          <w:p w14:paraId="3802A496" w14:textId="77777777" w:rsidR="00F5497C" w:rsidRDefault="00F5497C" w:rsidP="009D7A18">
            <w:pPr>
              <w:tabs>
                <w:tab w:val="left" w:pos="1525"/>
                <w:tab w:val="right" w:pos="2835"/>
              </w:tabs>
              <w:rPr>
                <w:rFonts w:ascii="Arial" w:hAnsi="Arial" w:cs="Arial"/>
                <w:color w:val="0000FF"/>
                <w:sz w:val="14"/>
                <w:szCs w:val="14"/>
              </w:rPr>
            </w:pPr>
          </w:p>
          <w:p w14:paraId="5870D4A0" w14:textId="77777777" w:rsidR="00F5497C" w:rsidRPr="0006760A" w:rsidRDefault="00F5497C" w:rsidP="009D7A18">
            <w:pPr>
              <w:tabs>
                <w:tab w:val="left" w:pos="1525"/>
                <w:tab w:val="right" w:pos="2835"/>
              </w:tabs>
              <w:rPr>
                <w:rFonts w:ascii="Arial" w:hAnsi="Arial" w:cs="Arial"/>
                <w:color w:val="0000FF"/>
                <w:sz w:val="14"/>
                <w:szCs w:val="14"/>
              </w:rPr>
            </w:pPr>
          </w:p>
          <w:p w14:paraId="7B99D88F"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III.</w:t>
            </w:r>
            <w:r>
              <w:rPr>
                <w:rFonts w:ascii="Arial" w:hAnsi="Arial" w:cs="Arial"/>
                <w:sz w:val="14"/>
                <w:szCs w:val="14"/>
              </w:rPr>
              <w:t>5</w:t>
            </w:r>
            <w:r w:rsidRPr="0006760A">
              <w:rPr>
                <w:rFonts w:ascii="Arial" w:hAnsi="Arial" w:cs="Arial"/>
                <w:sz w:val="14"/>
                <w:szCs w:val="14"/>
              </w:rPr>
              <w:t xml:space="preserve">. </w:t>
            </w:r>
            <w:r>
              <w:rPr>
                <w:rFonts w:ascii="Arial" w:hAnsi="Arial" w:cs="Arial"/>
                <w:sz w:val="14"/>
                <w:szCs w:val="14"/>
              </w:rPr>
              <w:t>Enhanced understanding of the DA by Member States, IGOs, civil society and other stakeholders</w:t>
            </w:r>
          </w:p>
          <w:p w14:paraId="5815EF5E" w14:textId="77777777" w:rsidR="00F5497C" w:rsidRPr="0006760A" w:rsidRDefault="00F5497C" w:rsidP="009D7A18">
            <w:pPr>
              <w:tabs>
                <w:tab w:val="left" w:pos="338"/>
                <w:tab w:val="left" w:pos="2189"/>
                <w:tab w:val="right" w:pos="2835"/>
              </w:tabs>
              <w:rPr>
                <w:rFonts w:ascii="Arial" w:hAnsi="Arial" w:cs="Arial"/>
                <w:i/>
                <w:iCs/>
                <w:sz w:val="14"/>
                <w:szCs w:val="14"/>
              </w:rPr>
            </w:pPr>
            <w:r>
              <w:rPr>
                <w:rFonts w:ascii="Arial" w:hAnsi="Arial" w:cs="Arial"/>
                <w:i/>
                <w:iCs/>
                <w:sz w:val="14"/>
                <w:szCs w:val="14"/>
              </w:rPr>
              <w:tab/>
              <w:t xml:space="preserve">Proposed Budget 16/17:          1,393 </w:t>
            </w:r>
          </w:p>
          <w:p w14:paraId="5C8CC7EE" w14:textId="77777777" w:rsidR="00F5497C" w:rsidRPr="0006760A" w:rsidRDefault="00F5497C" w:rsidP="009D7A18">
            <w:pPr>
              <w:tabs>
                <w:tab w:val="left" w:pos="338"/>
                <w:tab w:val="left" w:pos="2189"/>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 xml:space="preserve">  1,393</w:t>
            </w:r>
          </w:p>
          <w:p w14:paraId="1FDEED0C" w14:textId="77777777" w:rsidR="00F5497C" w:rsidRDefault="00F5497C" w:rsidP="009D7A18">
            <w:pPr>
              <w:tabs>
                <w:tab w:val="right" w:pos="2835"/>
              </w:tabs>
              <w:spacing w:after="60"/>
              <w:rPr>
                <w:rFonts w:ascii="Arial" w:hAnsi="Arial" w:cs="Arial"/>
                <w:sz w:val="14"/>
                <w:szCs w:val="14"/>
              </w:rPr>
            </w:pPr>
          </w:p>
          <w:p w14:paraId="4638BB4D"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III.</w:t>
            </w:r>
            <w:r>
              <w:rPr>
                <w:rFonts w:ascii="Arial" w:hAnsi="Arial" w:cs="Arial"/>
                <w:sz w:val="14"/>
                <w:szCs w:val="14"/>
              </w:rPr>
              <w:t>6</w:t>
            </w:r>
            <w:r w:rsidRPr="0006760A">
              <w:rPr>
                <w:rFonts w:ascii="Arial" w:hAnsi="Arial" w:cs="Arial"/>
                <w:sz w:val="14"/>
                <w:szCs w:val="14"/>
              </w:rPr>
              <w:t xml:space="preserve">. </w:t>
            </w:r>
            <w:r>
              <w:rPr>
                <w:rFonts w:ascii="Arial" w:hAnsi="Arial" w:cs="Arial"/>
                <w:sz w:val="14"/>
                <w:szCs w:val="14"/>
              </w:rPr>
              <w:t>Increased capacity of SMEs to successfully use IP to support innovation</w:t>
            </w:r>
          </w:p>
          <w:p w14:paraId="09765FEE" w14:textId="64B2A263" w:rsidR="00F5497C" w:rsidRPr="0006760A" w:rsidRDefault="00F5497C" w:rsidP="009D7A18">
            <w:pPr>
              <w:tabs>
                <w:tab w:val="left" w:pos="338"/>
                <w:tab w:val="left" w:pos="2189"/>
                <w:tab w:val="right" w:pos="2835"/>
              </w:tabs>
              <w:rPr>
                <w:rFonts w:ascii="Arial" w:hAnsi="Arial" w:cs="Arial"/>
                <w:i/>
                <w:iCs/>
                <w:color w:val="0000FF"/>
                <w:sz w:val="14"/>
                <w:szCs w:val="14"/>
              </w:rPr>
            </w:pPr>
            <w:r>
              <w:rPr>
                <w:rFonts w:ascii="Arial" w:hAnsi="Arial" w:cs="Arial"/>
                <w:i/>
                <w:iCs/>
                <w:sz w:val="14"/>
                <w:szCs w:val="14"/>
              </w:rPr>
              <w:tab/>
              <w:t>Proposed Budget 16/17:           3,125</w:t>
            </w: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 xml:space="preserve">  3,</w:t>
            </w:r>
            <w:r w:rsidR="00893F56">
              <w:rPr>
                <w:rFonts w:ascii="Arial" w:hAnsi="Arial" w:cs="Arial"/>
                <w:i/>
                <w:iCs/>
                <w:color w:val="0000FF"/>
                <w:sz w:val="14"/>
                <w:szCs w:val="14"/>
              </w:rPr>
              <w:t>125</w:t>
            </w:r>
          </w:p>
          <w:p w14:paraId="1D4AD09B" w14:textId="77777777" w:rsidR="00F5497C" w:rsidRPr="0006760A" w:rsidRDefault="00F5497C" w:rsidP="009D7A18">
            <w:pPr>
              <w:tabs>
                <w:tab w:val="left" w:pos="346"/>
                <w:tab w:val="left" w:pos="1525"/>
                <w:tab w:val="right" w:pos="2835"/>
              </w:tabs>
              <w:rPr>
                <w:rFonts w:ascii="Arial" w:hAnsi="Arial" w:cs="Arial"/>
                <w:sz w:val="14"/>
                <w:szCs w:val="14"/>
              </w:rPr>
            </w:pPr>
          </w:p>
        </w:tc>
        <w:tc>
          <w:tcPr>
            <w:tcW w:w="3041" w:type="dxa"/>
            <w:tcBorders>
              <w:top w:val="nil"/>
              <w:left w:val="nil"/>
              <w:right w:val="nil"/>
            </w:tcBorders>
            <w:shd w:val="clear" w:color="auto" w:fill="auto"/>
          </w:tcPr>
          <w:p w14:paraId="5A31850D"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IV.1. Updated and globally accepted system of international classifications and WIPO standards to facilitate access, use and dissemination of IP information among stakeholders in the world</w:t>
            </w:r>
          </w:p>
          <w:p w14:paraId="38CA2D26" w14:textId="77777777" w:rsidR="00F5497C" w:rsidRPr="0006760A" w:rsidRDefault="00F5497C" w:rsidP="009D7A18">
            <w:pPr>
              <w:tabs>
                <w:tab w:val="left" w:pos="378"/>
                <w:tab w:val="left" w:pos="2205"/>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7,070</w:t>
            </w:r>
            <w:r w:rsidRPr="0006760A">
              <w:rPr>
                <w:rFonts w:ascii="Arial" w:hAnsi="Arial" w:cs="Arial"/>
                <w:i/>
                <w:iCs/>
                <w:sz w:val="14"/>
                <w:szCs w:val="14"/>
              </w:rPr>
              <w:tab/>
            </w:r>
          </w:p>
          <w:p w14:paraId="3F32D416" w14:textId="77777777" w:rsidR="00F5497C" w:rsidRPr="0006760A" w:rsidRDefault="00F5497C" w:rsidP="009D7A18">
            <w:pPr>
              <w:tabs>
                <w:tab w:val="left" w:pos="378"/>
                <w:tab w:val="left" w:pos="2205"/>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1,078</w:t>
            </w:r>
            <w:r w:rsidRPr="0006760A">
              <w:rPr>
                <w:rFonts w:ascii="Arial" w:hAnsi="Arial" w:cs="Arial"/>
                <w:i/>
                <w:iCs/>
                <w:color w:val="0000FF"/>
                <w:sz w:val="14"/>
                <w:szCs w:val="14"/>
              </w:rPr>
              <w:tab/>
              <w:t> </w:t>
            </w:r>
          </w:p>
          <w:p w14:paraId="1BFF1C32" w14:textId="77777777" w:rsidR="00F5497C" w:rsidRPr="0006760A" w:rsidRDefault="00F5497C" w:rsidP="009D7A18">
            <w:pPr>
              <w:tabs>
                <w:tab w:val="right" w:pos="2835"/>
              </w:tabs>
              <w:rPr>
                <w:rFonts w:ascii="Arial" w:hAnsi="Arial" w:cs="Arial"/>
                <w:sz w:val="14"/>
                <w:szCs w:val="14"/>
              </w:rPr>
            </w:pPr>
            <w:r>
              <w:rPr>
                <w:noProof/>
                <w:lang w:eastAsia="en-US"/>
              </w:rPr>
              <mc:AlternateContent>
                <mc:Choice Requires="wps">
                  <w:drawing>
                    <wp:anchor distT="4294967295" distB="4294967295" distL="114299" distR="114299" simplePos="0" relativeHeight="251671552" behindDoc="0" locked="0" layoutInCell="0" allowOverlap="1" wp14:anchorId="504F476F" wp14:editId="0C743BDA">
                      <wp:simplePos x="0" y="0"/>
                      <wp:positionH relativeFrom="column">
                        <wp:posOffset>8083549</wp:posOffset>
                      </wp:positionH>
                      <wp:positionV relativeFrom="paragraph">
                        <wp:posOffset>668654</wp:posOffset>
                      </wp:positionV>
                      <wp:extent cx="0" cy="0"/>
                      <wp:effectExtent l="0" t="0" r="0" b="0"/>
                      <wp:wrapNone/>
                      <wp:docPr id="964" name="Straight Connector 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64" o:spid="_x0000_s1026" style="position:absolute;z-index:251671552;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OHcQNkuAgAAVgQAAA4AAAAAAAAAAAAAAAAALgIAAGRy&#10;cy9lMm9Eb2MueG1sUEsBAi0AFAAGAAgAAAAhACvCgN/dAAAADQEAAA8AAAAAAAAAAAAAAAAAiAQA&#10;AGRycy9kb3ducmV2LnhtbFBLBQYAAAAABAAEAPMAAACSBQAAAAA=&#10;" o:allowincell="f">
                      <v:stroke endarrow="block"/>
                    </v:line>
                  </w:pict>
                </mc:Fallback>
              </mc:AlternateContent>
            </w:r>
          </w:p>
          <w:p w14:paraId="24E97997"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IV.2. Enhanced access to, and use of, IP information by IP institutions and the public to promote innovation and creativity </w:t>
            </w:r>
          </w:p>
          <w:p w14:paraId="2BEA5E03" w14:textId="77777777" w:rsidR="00F5497C" w:rsidRPr="0006760A" w:rsidRDefault="00F5497C" w:rsidP="009D7A18">
            <w:pPr>
              <w:tabs>
                <w:tab w:val="left" w:pos="378"/>
                <w:tab w:val="left" w:pos="2205"/>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22,539</w:t>
            </w:r>
          </w:p>
          <w:p w14:paraId="59256FDB" w14:textId="77777777" w:rsidR="00F5497C" w:rsidRPr="0006760A" w:rsidRDefault="00F5497C" w:rsidP="009D7A18">
            <w:pPr>
              <w:tabs>
                <w:tab w:val="left" w:pos="366"/>
                <w:tab w:val="left" w:pos="2205"/>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16,937</w:t>
            </w:r>
            <w:r w:rsidRPr="0006760A">
              <w:rPr>
                <w:rFonts w:ascii="Arial" w:hAnsi="Arial" w:cs="Arial"/>
                <w:i/>
                <w:iCs/>
                <w:color w:val="0000FF"/>
                <w:sz w:val="14"/>
                <w:szCs w:val="14"/>
              </w:rPr>
              <w:tab/>
            </w:r>
          </w:p>
          <w:p w14:paraId="0C410B70" w14:textId="77777777" w:rsidR="00F5497C" w:rsidRPr="0006760A" w:rsidRDefault="00F5497C" w:rsidP="009D7A18">
            <w:pPr>
              <w:tabs>
                <w:tab w:val="right" w:pos="2835"/>
              </w:tabs>
              <w:rPr>
                <w:rFonts w:ascii="Arial" w:hAnsi="Arial" w:cs="Arial"/>
                <w:sz w:val="14"/>
                <w:szCs w:val="14"/>
              </w:rPr>
            </w:pPr>
          </w:p>
          <w:p w14:paraId="36608A3A" w14:textId="77777777" w:rsidR="00F5497C" w:rsidRPr="0006760A" w:rsidRDefault="00F5497C" w:rsidP="009D7A18">
            <w:pPr>
              <w:tabs>
                <w:tab w:val="right" w:pos="2835"/>
              </w:tabs>
              <w:rPr>
                <w:rFonts w:ascii="Arial" w:hAnsi="Arial" w:cs="Arial"/>
                <w:sz w:val="14"/>
                <w:szCs w:val="14"/>
              </w:rPr>
            </w:pPr>
          </w:p>
          <w:p w14:paraId="30A391F0"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IV.3. Broad geographical coverage of the content and use of WIPO Global IP Databases </w:t>
            </w:r>
          </w:p>
          <w:p w14:paraId="0E2266E1" w14:textId="77777777" w:rsidR="00F5497C" w:rsidRPr="0006760A" w:rsidRDefault="00F5497C" w:rsidP="009D7A18">
            <w:pPr>
              <w:tabs>
                <w:tab w:val="left" w:pos="366"/>
                <w:tab w:val="left" w:pos="2205"/>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1,956</w:t>
            </w:r>
            <w:r w:rsidRPr="0006760A">
              <w:rPr>
                <w:rFonts w:ascii="Arial" w:hAnsi="Arial" w:cs="Arial"/>
                <w:i/>
                <w:iCs/>
                <w:sz w:val="14"/>
                <w:szCs w:val="14"/>
              </w:rPr>
              <w:tab/>
            </w:r>
          </w:p>
          <w:p w14:paraId="58D16C2D" w14:textId="77777777" w:rsidR="00F5497C" w:rsidRPr="0006760A" w:rsidRDefault="00F5497C" w:rsidP="009D7A18">
            <w:pPr>
              <w:tabs>
                <w:tab w:val="left" w:pos="378"/>
                <w:tab w:val="left" w:pos="2347"/>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489</w:t>
            </w:r>
            <w:r w:rsidRPr="0006760A">
              <w:rPr>
                <w:rFonts w:ascii="Arial" w:hAnsi="Arial" w:cs="Arial"/>
                <w:i/>
                <w:iCs/>
                <w:color w:val="0000FF"/>
                <w:sz w:val="14"/>
                <w:szCs w:val="14"/>
              </w:rPr>
              <w:tab/>
              <w:t xml:space="preserve">   </w:t>
            </w:r>
          </w:p>
          <w:p w14:paraId="752FDB27" w14:textId="77777777" w:rsidR="00F5497C" w:rsidRPr="0006760A" w:rsidRDefault="00F5497C" w:rsidP="009D7A18">
            <w:pPr>
              <w:tabs>
                <w:tab w:val="right" w:pos="2835"/>
              </w:tabs>
              <w:rPr>
                <w:rFonts w:ascii="Arial" w:hAnsi="Arial" w:cs="Arial"/>
                <w:sz w:val="14"/>
                <w:szCs w:val="14"/>
              </w:rPr>
            </w:pPr>
          </w:p>
          <w:p w14:paraId="47F75B15"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IV.4. Enhanced technical and knowledge infrastructure for IP Offices and other IP institutions leading to better services (cheaper, faster, higher quality) to their stakeholders</w:t>
            </w:r>
            <w:r>
              <w:rPr>
                <w:rFonts w:ascii="Arial" w:hAnsi="Arial" w:cs="Arial"/>
                <w:sz w:val="14"/>
                <w:szCs w:val="14"/>
              </w:rPr>
              <w:t xml:space="preserve"> and better outcome of IP administration</w:t>
            </w:r>
          </w:p>
          <w:p w14:paraId="776E0E77" w14:textId="77777777" w:rsidR="00F5497C" w:rsidRPr="0006760A" w:rsidRDefault="00F5497C" w:rsidP="009D7A18">
            <w:pPr>
              <w:tabs>
                <w:tab w:val="left" w:pos="353"/>
                <w:tab w:val="left" w:pos="2205"/>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15,409</w:t>
            </w:r>
            <w:r w:rsidRPr="0006760A">
              <w:rPr>
                <w:rFonts w:ascii="Arial" w:hAnsi="Arial" w:cs="Arial"/>
                <w:i/>
                <w:iCs/>
                <w:sz w:val="14"/>
                <w:szCs w:val="14"/>
              </w:rPr>
              <w:tab/>
            </w:r>
          </w:p>
          <w:p w14:paraId="542DE344" w14:textId="77777777" w:rsidR="00F5497C" w:rsidRPr="0006760A" w:rsidRDefault="00F5497C" w:rsidP="009D7A18">
            <w:pPr>
              <w:tabs>
                <w:tab w:val="left" w:pos="366"/>
                <w:tab w:val="left" w:pos="2205"/>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13,499</w:t>
            </w:r>
          </w:p>
        </w:tc>
        <w:tc>
          <w:tcPr>
            <w:tcW w:w="3040" w:type="dxa"/>
            <w:tcBorders>
              <w:top w:val="nil"/>
              <w:left w:val="nil"/>
              <w:right w:val="nil"/>
            </w:tcBorders>
            <w:shd w:val="clear" w:color="auto" w:fill="auto"/>
          </w:tcPr>
          <w:p w14:paraId="7F748117"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V.1. Wider and better use of WIPO IP statistical information </w:t>
            </w:r>
          </w:p>
          <w:p w14:paraId="338943F2" w14:textId="77777777" w:rsidR="00F5497C" w:rsidRPr="0006760A" w:rsidRDefault="00F5497C" w:rsidP="009D7A18">
            <w:pPr>
              <w:tabs>
                <w:tab w:val="left" w:pos="381"/>
                <w:tab w:val="left" w:pos="2221"/>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2,677</w:t>
            </w:r>
            <w:r w:rsidRPr="0006760A">
              <w:rPr>
                <w:rFonts w:ascii="Arial" w:hAnsi="Arial" w:cs="Arial"/>
                <w:i/>
                <w:iCs/>
                <w:sz w:val="14"/>
                <w:szCs w:val="14"/>
              </w:rPr>
              <w:tab/>
            </w:r>
          </w:p>
          <w:p w14:paraId="340066AB" w14:textId="77777777" w:rsidR="00F5497C" w:rsidRPr="0006760A" w:rsidRDefault="00F5497C" w:rsidP="009D7A18">
            <w:pPr>
              <w:tabs>
                <w:tab w:val="left" w:pos="368"/>
                <w:tab w:val="left" w:pos="2221"/>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w:t>
            </w:r>
          </w:p>
          <w:p w14:paraId="0E6F7A1A" w14:textId="77777777" w:rsidR="00F5497C" w:rsidRPr="0006760A" w:rsidRDefault="00F5497C" w:rsidP="009D7A18">
            <w:pPr>
              <w:tabs>
                <w:tab w:val="right" w:pos="2835"/>
              </w:tabs>
              <w:rPr>
                <w:rFonts w:ascii="Arial" w:hAnsi="Arial" w:cs="Arial"/>
                <w:sz w:val="14"/>
                <w:szCs w:val="14"/>
              </w:rPr>
            </w:pPr>
          </w:p>
          <w:p w14:paraId="65ABF1F6" w14:textId="77777777" w:rsidR="00F5497C" w:rsidRPr="0006760A" w:rsidRDefault="00F5497C" w:rsidP="009D7A18">
            <w:pPr>
              <w:tabs>
                <w:tab w:val="right" w:pos="2835"/>
              </w:tabs>
              <w:rPr>
                <w:rFonts w:ascii="Arial" w:hAnsi="Arial" w:cs="Arial"/>
                <w:sz w:val="14"/>
                <w:szCs w:val="14"/>
              </w:rPr>
            </w:pPr>
          </w:p>
          <w:p w14:paraId="106E6541" w14:textId="77777777" w:rsidR="00F5497C" w:rsidRPr="0006760A" w:rsidRDefault="00F5497C" w:rsidP="009D7A18">
            <w:pPr>
              <w:tabs>
                <w:tab w:val="right" w:pos="2835"/>
              </w:tabs>
              <w:rPr>
                <w:rFonts w:ascii="Arial" w:hAnsi="Arial" w:cs="Arial"/>
                <w:sz w:val="14"/>
                <w:szCs w:val="14"/>
              </w:rPr>
            </w:pPr>
          </w:p>
          <w:p w14:paraId="762F1DE4"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V.2. Wider and better use of WIPO economic analysis in policy formulation </w:t>
            </w:r>
          </w:p>
          <w:p w14:paraId="089AA546" w14:textId="77777777" w:rsidR="00F5497C" w:rsidRPr="0006760A" w:rsidRDefault="00F5497C" w:rsidP="009D7A18">
            <w:pPr>
              <w:tabs>
                <w:tab w:val="left" w:pos="381"/>
                <w:tab w:val="left" w:pos="2221"/>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3,395</w:t>
            </w:r>
            <w:r w:rsidRPr="0006760A">
              <w:rPr>
                <w:rFonts w:ascii="Arial" w:hAnsi="Arial" w:cs="Arial"/>
                <w:i/>
                <w:iCs/>
                <w:sz w:val="14"/>
                <w:szCs w:val="14"/>
              </w:rPr>
              <w:tab/>
            </w:r>
          </w:p>
          <w:p w14:paraId="2FC3220E" w14:textId="77777777" w:rsidR="00F5497C" w:rsidRPr="0006760A" w:rsidRDefault="00F5497C" w:rsidP="009D7A18">
            <w:pPr>
              <w:tabs>
                <w:tab w:val="left" w:pos="381"/>
                <w:tab w:val="left" w:pos="2221"/>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1,525</w:t>
            </w:r>
            <w:r w:rsidRPr="0006760A">
              <w:rPr>
                <w:rFonts w:ascii="Arial" w:hAnsi="Arial" w:cs="Arial"/>
                <w:i/>
                <w:iCs/>
                <w:color w:val="0000FF"/>
                <w:sz w:val="14"/>
                <w:szCs w:val="14"/>
              </w:rPr>
              <w:tab/>
            </w:r>
          </w:p>
          <w:p w14:paraId="6BFE52B1" w14:textId="77777777" w:rsidR="00F5497C" w:rsidRPr="0006760A" w:rsidRDefault="00F5497C" w:rsidP="009D7A18">
            <w:pPr>
              <w:tabs>
                <w:tab w:val="right" w:pos="2835"/>
              </w:tabs>
              <w:rPr>
                <w:rFonts w:ascii="Arial" w:hAnsi="Arial" w:cs="Arial"/>
                <w:sz w:val="14"/>
                <w:szCs w:val="14"/>
              </w:rPr>
            </w:pPr>
          </w:p>
          <w:p w14:paraId="16B747D0" w14:textId="77777777" w:rsidR="00F5497C" w:rsidRPr="0006760A" w:rsidRDefault="00F5497C" w:rsidP="009D7A18">
            <w:pPr>
              <w:tabs>
                <w:tab w:val="left" w:pos="1525"/>
                <w:tab w:val="right" w:pos="2835"/>
              </w:tabs>
              <w:rPr>
                <w:rFonts w:ascii="Arial" w:hAnsi="Arial" w:cs="Arial"/>
                <w:color w:val="0000FF"/>
                <w:sz w:val="14"/>
                <w:szCs w:val="14"/>
              </w:rPr>
            </w:pPr>
          </w:p>
        </w:tc>
        <w:tc>
          <w:tcPr>
            <w:tcW w:w="3041" w:type="dxa"/>
            <w:tcBorders>
              <w:top w:val="nil"/>
              <w:left w:val="nil"/>
              <w:right w:val="nil"/>
            </w:tcBorders>
            <w:shd w:val="clear" w:color="auto" w:fill="auto"/>
          </w:tcPr>
          <w:p w14:paraId="104AC59D" w14:textId="77777777" w:rsidR="00F5497C" w:rsidRPr="0006760A" w:rsidRDefault="00F5497C" w:rsidP="009D7A18">
            <w:pPr>
              <w:tabs>
                <w:tab w:val="left" w:pos="395"/>
                <w:tab w:val="right" w:pos="2835"/>
              </w:tabs>
              <w:spacing w:after="60"/>
              <w:rPr>
                <w:rFonts w:ascii="Arial" w:hAnsi="Arial" w:cs="Arial"/>
                <w:sz w:val="14"/>
                <w:szCs w:val="14"/>
              </w:rPr>
            </w:pPr>
            <w:r w:rsidRPr="0006760A">
              <w:rPr>
                <w:rFonts w:ascii="Arial" w:hAnsi="Arial" w:cs="Arial"/>
                <w:sz w:val="14"/>
                <w:szCs w:val="14"/>
              </w:rPr>
              <w:br/>
              <w:t>VI.1. Progress in the international policy dialogue among WIPO Member States on building respect for IP, guided by Recommendation 45 of the WIPO Development Agenda</w:t>
            </w:r>
          </w:p>
          <w:p w14:paraId="1F8BE3B7" w14:textId="77777777" w:rsidR="00F5497C" w:rsidRPr="0006760A" w:rsidRDefault="00F5497C" w:rsidP="009D7A18">
            <w:pPr>
              <w:tabs>
                <w:tab w:val="left" w:pos="384"/>
                <w:tab w:val="left" w:pos="223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756</w:t>
            </w:r>
            <w:r w:rsidRPr="0006760A">
              <w:rPr>
                <w:rFonts w:ascii="Arial" w:hAnsi="Arial" w:cs="Arial"/>
                <w:i/>
                <w:iCs/>
                <w:sz w:val="14"/>
                <w:szCs w:val="14"/>
              </w:rPr>
              <w:tab/>
            </w:r>
          </w:p>
          <w:p w14:paraId="54ABA87D" w14:textId="77777777" w:rsidR="00F5497C" w:rsidRPr="0006760A" w:rsidRDefault="00F5497C" w:rsidP="009D7A18">
            <w:pPr>
              <w:tabs>
                <w:tab w:val="left" w:pos="395"/>
                <w:tab w:val="left" w:pos="2237"/>
                <w:tab w:val="right" w:pos="2835"/>
              </w:tabs>
              <w:rPr>
                <w:rFonts w:ascii="Arial" w:hAnsi="Arial" w:cs="Arial"/>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507</w:t>
            </w:r>
          </w:p>
          <w:p w14:paraId="586BA86A" w14:textId="77777777" w:rsidR="00F5497C" w:rsidRPr="0006760A" w:rsidRDefault="00F5497C" w:rsidP="009D7A18">
            <w:pPr>
              <w:tabs>
                <w:tab w:val="right" w:pos="2835"/>
              </w:tabs>
              <w:rPr>
                <w:rFonts w:ascii="Arial" w:hAnsi="Arial" w:cs="Arial"/>
                <w:sz w:val="14"/>
                <w:szCs w:val="14"/>
              </w:rPr>
            </w:pPr>
          </w:p>
          <w:p w14:paraId="3528BEA7"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VI.2. Systematic</w:t>
            </w:r>
            <w:r>
              <w:rPr>
                <w:rFonts w:ascii="Arial" w:hAnsi="Arial" w:cs="Arial"/>
                <w:sz w:val="14"/>
                <w:szCs w:val="14"/>
              </w:rPr>
              <w:t xml:space="preserve">, </w:t>
            </w:r>
            <w:r w:rsidRPr="0006760A">
              <w:rPr>
                <w:rFonts w:ascii="Arial" w:hAnsi="Arial" w:cs="Arial"/>
                <w:sz w:val="14"/>
                <w:szCs w:val="14"/>
              </w:rPr>
              <w:t>effective</w:t>
            </w:r>
            <w:r>
              <w:rPr>
                <w:rFonts w:ascii="Arial" w:hAnsi="Arial" w:cs="Arial"/>
                <w:sz w:val="14"/>
                <w:szCs w:val="14"/>
              </w:rPr>
              <w:t xml:space="preserve"> and transparent</w:t>
            </w:r>
            <w:r w:rsidRPr="0006760A">
              <w:rPr>
                <w:rFonts w:ascii="Arial" w:hAnsi="Arial" w:cs="Arial"/>
                <w:sz w:val="14"/>
                <w:szCs w:val="14"/>
              </w:rPr>
              <w:t xml:space="preserve"> cooperation and coordination between the work of WIPO and other international organizations in the field of building respect for IP</w:t>
            </w:r>
          </w:p>
          <w:p w14:paraId="7726E5D4" w14:textId="77777777" w:rsidR="00F5497C" w:rsidRPr="0006760A" w:rsidRDefault="00F5497C" w:rsidP="009D7A18">
            <w:pPr>
              <w:tabs>
                <w:tab w:val="left" w:pos="397"/>
                <w:tab w:val="left" w:pos="223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1,308</w:t>
            </w:r>
            <w:r w:rsidRPr="0006760A">
              <w:rPr>
                <w:rFonts w:ascii="Arial" w:hAnsi="Arial" w:cs="Arial"/>
                <w:i/>
                <w:iCs/>
                <w:sz w:val="14"/>
                <w:szCs w:val="14"/>
              </w:rPr>
              <w:tab/>
            </w:r>
          </w:p>
          <w:p w14:paraId="2A4BFC10" w14:textId="77777777" w:rsidR="00F5497C" w:rsidRPr="0006760A" w:rsidRDefault="00F5497C" w:rsidP="009D7A18">
            <w:pPr>
              <w:tabs>
                <w:tab w:val="left" w:pos="384"/>
                <w:tab w:val="left" w:pos="2237"/>
                <w:tab w:val="right" w:pos="2835"/>
              </w:tabs>
              <w:rPr>
                <w:rFonts w:ascii="Arial" w:hAnsi="Arial" w:cs="Arial"/>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 xml:space="preserve">   981</w:t>
            </w:r>
            <w:r w:rsidRPr="0006760A">
              <w:rPr>
                <w:rFonts w:ascii="Arial" w:hAnsi="Arial" w:cs="Arial"/>
                <w:i/>
                <w:iCs/>
                <w:color w:val="0000FF"/>
                <w:sz w:val="14"/>
                <w:szCs w:val="14"/>
              </w:rPr>
              <w:t xml:space="preserve">   </w:t>
            </w:r>
          </w:p>
        </w:tc>
        <w:tc>
          <w:tcPr>
            <w:tcW w:w="3044" w:type="dxa"/>
            <w:tcBorders>
              <w:top w:val="nil"/>
              <w:left w:val="nil"/>
              <w:right w:val="single" w:sz="4" w:space="0" w:color="auto"/>
            </w:tcBorders>
            <w:shd w:val="clear" w:color="auto" w:fill="auto"/>
          </w:tcPr>
          <w:p w14:paraId="4011CA01" w14:textId="77777777" w:rsidR="00F5497C" w:rsidRPr="0006760A" w:rsidRDefault="00F5497C" w:rsidP="009D7A18">
            <w:pPr>
              <w:tabs>
                <w:tab w:val="right" w:pos="2835"/>
              </w:tabs>
              <w:rPr>
                <w:rFonts w:ascii="Arial" w:hAnsi="Arial" w:cs="Arial"/>
                <w:sz w:val="14"/>
                <w:szCs w:val="14"/>
              </w:rPr>
            </w:pPr>
            <w:r w:rsidRPr="0006760A">
              <w:rPr>
                <w:rFonts w:ascii="Arial" w:hAnsi="Arial" w:cs="Arial"/>
                <w:sz w:val="14"/>
                <w:szCs w:val="14"/>
              </w:rPr>
              <w:t> </w:t>
            </w:r>
          </w:p>
          <w:p w14:paraId="057F5A30"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t xml:space="preserve">VII.2. </w:t>
            </w:r>
            <w:r>
              <w:rPr>
                <w:rFonts w:ascii="Arial" w:hAnsi="Arial" w:cs="Arial"/>
                <w:sz w:val="14"/>
                <w:szCs w:val="14"/>
              </w:rPr>
              <w:t>IP-based platforms and tools for knowledge transfer, technology adaptation and diffusion from developed to developing countries, particularly least developed countries, to address global challenges</w:t>
            </w:r>
            <w:r w:rsidRPr="0006760A">
              <w:rPr>
                <w:rFonts w:ascii="Arial" w:hAnsi="Arial" w:cs="Arial"/>
                <w:sz w:val="14"/>
                <w:szCs w:val="14"/>
              </w:rPr>
              <w:t xml:space="preserve"> </w:t>
            </w:r>
          </w:p>
          <w:p w14:paraId="01B3A468" w14:textId="77777777" w:rsidR="00F5497C" w:rsidRPr="0006760A" w:rsidRDefault="00F5497C" w:rsidP="009D7A18">
            <w:pPr>
              <w:tabs>
                <w:tab w:val="left" w:pos="424"/>
                <w:tab w:val="left" w:pos="225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3,950</w:t>
            </w:r>
            <w:r w:rsidRPr="0006760A">
              <w:rPr>
                <w:rFonts w:ascii="Arial" w:hAnsi="Arial" w:cs="Arial"/>
                <w:i/>
                <w:iCs/>
                <w:sz w:val="14"/>
                <w:szCs w:val="14"/>
              </w:rPr>
              <w:tab/>
            </w:r>
          </w:p>
          <w:p w14:paraId="63B6C966" w14:textId="77777777" w:rsidR="00F5497C" w:rsidRPr="0006760A" w:rsidRDefault="00F5497C" w:rsidP="009D7A18">
            <w:pPr>
              <w:tabs>
                <w:tab w:val="left" w:pos="399"/>
                <w:tab w:val="left" w:pos="2253"/>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3,016</w:t>
            </w:r>
            <w:r w:rsidRPr="0006760A">
              <w:rPr>
                <w:rFonts w:ascii="Arial" w:hAnsi="Arial" w:cs="Arial"/>
                <w:i/>
                <w:iCs/>
                <w:color w:val="0000FF"/>
                <w:sz w:val="14"/>
                <w:szCs w:val="14"/>
              </w:rPr>
              <w:tab/>
            </w:r>
          </w:p>
          <w:p w14:paraId="765940EB" w14:textId="77777777" w:rsidR="00F5497C" w:rsidRPr="0006760A" w:rsidRDefault="00F5497C" w:rsidP="009D7A18">
            <w:pPr>
              <w:tabs>
                <w:tab w:val="right" w:pos="2835"/>
              </w:tabs>
              <w:rPr>
                <w:rFonts w:ascii="Arial" w:hAnsi="Arial" w:cs="Arial"/>
                <w:sz w:val="14"/>
                <w:szCs w:val="14"/>
              </w:rPr>
            </w:pPr>
          </w:p>
          <w:p w14:paraId="591C79AC" w14:textId="77777777" w:rsidR="00F5497C" w:rsidRPr="0006760A" w:rsidRDefault="00F5497C" w:rsidP="009D7A18">
            <w:pPr>
              <w:tabs>
                <w:tab w:val="right" w:pos="2835"/>
              </w:tabs>
              <w:rPr>
                <w:rFonts w:ascii="Arial" w:hAnsi="Arial" w:cs="Arial"/>
                <w:sz w:val="14"/>
                <w:szCs w:val="14"/>
              </w:rPr>
            </w:pPr>
          </w:p>
          <w:p w14:paraId="34749087" w14:textId="77777777" w:rsidR="00F5497C" w:rsidRPr="0006760A" w:rsidRDefault="00F5497C" w:rsidP="009D7A18">
            <w:pPr>
              <w:tabs>
                <w:tab w:val="left" w:pos="424"/>
                <w:tab w:val="left" w:pos="2253"/>
                <w:tab w:val="right" w:pos="2835"/>
              </w:tabs>
              <w:rPr>
                <w:rFonts w:ascii="Arial" w:hAnsi="Arial" w:cs="Arial"/>
                <w:color w:val="0000FF"/>
                <w:sz w:val="14"/>
                <w:szCs w:val="14"/>
              </w:rPr>
            </w:pPr>
            <w:r w:rsidRPr="0006760A">
              <w:rPr>
                <w:rFonts w:ascii="Arial" w:hAnsi="Arial" w:cs="Arial"/>
                <w:i/>
                <w:iCs/>
                <w:color w:val="0000FF"/>
                <w:sz w:val="14"/>
                <w:szCs w:val="14"/>
              </w:rPr>
              <w:tab/>
            </w:r>
            <w:r w:rsidRPr="0006760A">
              <w:rPr>
                <w:rFonts w:ascii="Arial" w:hAnsi="Arial" w:cs="Arial"/>
                <w:i/>
                <w:iCs/>
                <w:color w:val="0000FF"/>
                <w:sz w:val="14"/>
                <w:szCs w:val="14"/>
              </w:rPr>
              <w:tab/>
            </w:r>
          </w:p>
        </w:tc>
      </w:tr>
      <w:tr w:rsidR="00F5497C" w:rsidRPr="0006760A" w14:paraId="350DC59E" w14:textId="77777777" w:rsidTr="009D7A18">
        <w:trPr>
          <w:trHeight w:val="145"/>
        </w:trPr>
        <w:tc>
          <w:tcPr>
            <w:tcW w:w="387" w:type="dxa"/>
            <w:vMerge/>
            <w:tcBorders>
              <w:top w:val="single" w:sz="8" w:space="0" w:color="auto"/>
              <w:left w:val="single" w:sz="8" w:space="0" w:color="auto"/>
              <w:bottom w:val="single" w:sz="4" w:space="0" w:color="000000"/>
              <w:right w:val="nil"/>
            </w:tcBorders>
            <w:vAlign w:val="center"/>
          </w:tcPr>
          <w:p w14:paraId="0DEE990B" w14:textId="77777777" w:rsidR="00F5497C" w:rsidRPr="0018132B" w:rsidRDefault="00F5497C" w:rsidP="009D7A18">
            <w:pPr>
              <w:tabs>
                <w:tab w:val="right" w:pos="2835"/>
              </w:tabs>
              <w:rPr>
                <w:rFonts w:cs="Arial"/>
                <w:b/>
                <w:bCs/>
                <w:sz w:val="16"/>
                <w:szCs w:val="16"/>
              </w:rPr>
            </w:pPr>
          </w:p>
        </w:tc>
        <w:tc>
          <w:tcPr>
            <w:tcW w:w="3040" w:type="dxa"/>
            <w:tcBorders>
              <w:top w:val="nil"/>
              <w:left w:val="single" w:sz="4" w:space="0" w:color="auto"/>
              <w:bottom w:val="nil"/>
              <w:right w:val="nil"/>
            </w:tcBorders>
            <w:shd w:val="clear" w:color="auto" w:fill="auto"/>
          </w:tcPr>
          <w:p w14:paraId="1571F152" w14:textId="77777777" w:rsidR="00F5497C" w:rsidRPr="0006760A" w:rsidRDefault="00F5497C" w:rsidP="009D7A18">
            <w:pPr>
              <w:tabs>
                <w:tab w:val="left" w:pos="2157"/>
                <w:tab w:val="right" w:pos="2835"/>
              </w:tabs>
              <w:rPr>
                <w:rFonts w:ascii="Arial" w:hAnsi="Arial" w:cs="Arial"/>
                <w:i/>
                <w:iCs/>
                <w:sz w:val="14"/>
                <w:szCs w:val="14"/>
              </w:rPr>
            </w:pPr>
            <w:r w:rsidRPr="0006760A">
              <w:rPr>
                <w:rFonts w:ascii="Arial" w:hAnsi="Arial" w:cs="Arial"/>
                <w:i/>
                <w:iCs/>
                <w:sz w:val="14"/>
                <w:szCs w:val="14"/>
              </w:rPr>
              <w:t>Total proposed budget SG I:</w:t>
            </w:r>
            <w:r w:rsidRPr="0006760A">
              <w:rPr>
                <w:rFonts w:ascii="Arial" w:hAnsi="Arial" w:cs="Arial"/>
                <w:i/>
                <w:iCs/>
                <w:sz w:val="14"/>
                <w:szCs w:val="14"/>
              </w:rPr>
              <w:tab/>
            </w:r>
            <w:r>
              <w:rPr>
                <w:rFonts w:ascii="Arial" w:hAnsi="Arial" w:cs="Arial"/>
                <w:i/>
                <w:iCs/>
                <w:sz w:val="14"/>
                <w:szCs w:val="14"/>
              </w:rPr>
              <w:t>24,762</w:t>
            </w:r>
          </w:p>
          <w:p w14:paraId="4F43A4B7" w14:textId="77777777" w:rsidR="00F5497C" w:rsidRPr="0006760A" w:rsidRDefault="00F5497C" w:rsidP="009D7A18">
            <w:pPr>
              <w:tabs>
                <w:tab w:val="left" w:pos="2157"/>
                <w:tab w:val="right" w:pos="2835"/>
              </w:tabs>
              <w:rPr>
                <w:rFonts w:ascii="Arial" w:hAnsi="Arial" w:cs="Arial"/>
                <w:i/>
                <w:iCs/>
                <w:sz w:val="14"/>
                <w:szCs w:val="14"/>
              </w:rPr>
            </w:pPr>
            <w:r w:rsidRPr="0006760A">
              <w:rPr>
                <w:rFonts w:ascii="Arial" w:hAnsi="Arial" w:cs="Arial"/>
                <w:i/>
                <w:iCs/>
                <w:color w:val="0000FF"/>
                <w:sz w:val="14"/>
                <w:szCs w:val="14"/>
              </w:rPr>
              <w:t>Total development share SG I:</w:t>
            </w:r>
            <w:r w:rsidRPr="0006760A">
              <w:rPr>
                <w:rFonts w:ascii="Arial" w:hAnsi="Arial" w:cs="Arial"/>
                <w:i/>
                <w:iCs/>
                <w:color w:val="0000FF"/>
                <w:sz w:val="14"/>
                <w:szCs w:val="14"/>
              </w:rPr>
              <w:tab/>
            </w:r>
            <w:r>
              <w:rPr>
                <w:rFonts w:ascii="Arial" w:hAnsi="Arial" w:cs="Arial"/>
                <w:i/>
                <w:iCs/>
                <w:color w:val="0000FF"/>
                <w:sz w:val="14"/>
                <w:szCs w:val="14"/>
              </w:rPr>
              <w:t>17,005</w:t>
            </w:r>
            <w:r w:rsidRPr="0006760A">
              <w:rPr>
                <w:rFonts w:ascii="Arial" w:hAnsi="Arial" w:cs="Arial"/>
                <w:i/>
                <w:iCs/>
                <w:color w:val="0000FF"/>
                <w:sz w:val="14"/>
                <w:szCs w:val="14"/>
              </w:rPr>
              <w:br/>
            </w:r>
          </w:p>
        </w:tc>
        <w:tc>
          <w:tcPr>
            <w:tcW w:w="3041" w:type="dxa"/>
            <w:tcBorders>
              <w:top w:val="nil"/>
              <w:left w:val="nil"/>
              <w:bottom w:val="nil"/>
              <w:right w:val="nil"/>
            </w:tcBorders>
            <w:shd w:val="clear" w:color="auto" w:fill="auto"/>
          </w:tcPr>
          <w:p w14:paraId="7112D6B8" w14:textId="77777777" w:rsidR="00F5497C" w:rsidRPr="0006760A" w:rsidRDefault="00F5497C" w:rsidP="009D7A18">
            <w:pPr>
              <w:tabs>
                <w:tab w:val="left" w:pos="2173"/>
                <w:tab w:val="right" w:pos="2835"/>
              </w:tabs>
              <w:rPr>
                <w:rFonts w:ascii="Arial" w:hAnsi="Arial" w:cs="Arial"/>
                <w:i/>
                <w:iCs/>
                <w:sz w:val="14"/>
                <w:szCs w:val="14"/>
              </w:rPr>
            </w:pPr>
            <w:r w:rsidRPr="0006760A">
              <w:rPr>
                <w:rFonts w:ascii="Arial" w:hAnsi="Arial" w:cs="Arial"/>
                <w:i/>
                <w:iCs/>
                <w:sz w:val="14"/>
                <w:szCs w:val="14"/>
              </w:rPr>
              <w:t>Total proposed budget SG II:</w:t>
            </w:r>
            <w:r w:rsidRPr="0006760A">
              <w:rPr>
                <w:rFonts w:ascii="Arial" w:hAnsi="Arial" w:cs="Arial"/>
                <w:i/>
                <w:iCs/>
                <w:sz w:val="14"/>
                <w:szCs w:val="14"/>
              </w:rPr>
              <w:tab/>
            </w:r>
            <w:r>
              <w:rPr>
                <w:rFonts w:ascii="Arial" w:hAnsi="Arial" w:cs="Arial"/>
                <w:i/>
                <w:iCs/>
                <w:sz w:val="14"/>
                <w:szCs w:val="14"/>
              </w:rPr>
              <w:t>291,655</w:t>
            </w:r>
          </w:p>
          <w:p w14:paraId="7AC453AA" w14:textId="0AB823CE" w:rsidR="00F5497C" w:rsidRPr="0006760A" w:rsidRDefault="00F5497C">
            <w:pPr>
              <w:tabs>
                <w:tab w:val="left" w:pos="2173"/>
                <w:tab w:val="right" w:pos="2835"/>
              </w:tabs>
              <w:rPr>
                <w:rFonts w:ascii="Arial" w:hAnsi="Arial" w:cs="Arial"/>
                <w:i/>
                <w:iCs/>
                <w:sz w:val="14"/>
                <w:szCs w:val="14"/>
              </w:rPr>
            </w:pPr>
            <w:r w:rsidRPr="0006760A">
              <w:rPr>
                <w:rFonts w:ascii="Arial" w:hAnsi="Arial" w:cs="Arial"/>
                <w:i/>
                <w:iCs/>
                <w:color w:val="0000FF"/>
                <w:sz w:val="14"/>
                <w:szCs w:val="14"/>
              </w:rPr>
              <w:t>Total</w:t>
            </w:r>
            <w:r w:rsidRPr="004A1497">
              <w:rPr>
                <w:rFonts w:ascii="Arial" w:hAnsi="Arial" w:cs="Arial"/>
                <w:i/>
                <w:iCs/>
                <w:color w:val="0000FF"/>
                <w:sz w:val="14"/>
                <w:szCs w:val="14"/>
              </w:rPr>
              <w:t xml:space="preserve"> d</w:t>
            </w:r>
            <w:r w:rsidRPr="0006760A">
              <w:rPr>
                <w:rFonts w:ascii="Arial" w:hAnsi="Arial" w:cs="Arial"/>
                <w:i/>
                <w:iCs/>
                <w:color w:val="0000FF"/>
                <w:sz w:val="14"/>
                <w:szCs w:val="14"/>
              </w:rPr>
              <w:t>evelopment share SG II:</w:t>
            </w:r>
            <w:r w:rsidRPr="0006760A">
              <w:rPr>
                <w:rFonts w:ascii="Arial" w:hAnsi="Arial" w:cs="Arial"/>
                <w:i/>
                <w:iCs/>
                <w:color w:val="0000FF"/>
                <w:sz w:val="14"/>
                <w:szCs w:val="14"/>
              </w:rPr>
              <w:tab/>
            </w:r>
            <w:r w:rsidR="00C71CBF">
              <w:rPr>
                <w:rFonts w:ascii="Arial" w:hAnsi="Arial" w:cs="Arial"/>
                <w:i/>
                <w:iCs/>
                <w:color w:val="0000FF"/>
                <w:sz w:val="14"/>
                <w:szCs w:val="14"/>
              </w:rPr>
              <w:t>21</w:t>
            </w:r>
            <w:r>
              <w:rPr>
                <w:rFonts w:ascii="Arial" w:hAnsi="Arial" w:cs="Arial"/>
                <w:i/>
                <w:iCs/>
                <w:color w:val="0000FF"/>
                <w:sz w:val="14"/>
                <w:szCs w:val="14"/>
              </w:rPr>
              <w:t>,</w:t>
            </w:r>
            <w:r w:rsidR="00C71CBF">
              <w:rPr>
                <w:rFonts w:ascii="Arial" w:hAnsi="Arial" w:cs="Arial"/>
                <w:i/>
                <w:iCs/>
                <w:color w:val="0000FF"/>
                <w:sz w:val="14"/>
                <w:szCs w:val="14"/>
              </w:rPr>
              <w:t>527</w:t>
            </w:r>
            <w:r w:rsidRPr="0006760A">
              <w:rPr>
                <w:rFonts w:ascii="Arial" w:hAnsi="Arial" w:cs="Arial"/>
                <w:i/>
                <w:iCs/>
                <w:color w:val="0000FF"/>
                <w:sz w:val="14"/>
                <w:szCs w:val="14"/>
              </w:rPr>
              <w:t xml:space="preserve">  </w:t>
            </w:r>
            <w:r w:rsidRPr="0006760A">
              <w:rPr>
                <w:rFonts w:ascii="Arial" w:hAnsi="Arial" w:cs="Arial"/>
                <w:i/>
                <w:iCs/>
                <w:color w:val="0000FF"/>
                <w:sz w:val="14"/>
                <w:szCs w:val="14"/>
              </w:rPr>
              <w:tab/>
              <w:t xml:space="preserve"> </w:t>
            </w:r>
          </w:p>
        </w:tc>
        <w:tc>
          <w:tcPr>
            <w:tcW w:w="3042" w:type="dxa"/>
            <w:tcBorders>
              <w:top w:val="nil"/>
              <w:left w:val="nil"/>
              <w:bottom w:val="nil"/>
              <w:right w:val="nil"/>
            </w:tcBorders>
            <w:shd w:val="clear" w:color="auto" w:fill="auto"/>
          </w:tcPr>
          <w:p w14:paraId="58CAA681" w14:textId="77777777" w:rsidR="00F5497C" w:rsidRPr="0006760A" w:rsidRDefault="00F5497C" w:rsidP="009D7A18">
            <w:pPr>
              <w:tabs>
                <w:tab w:val="left" w:pos="2189"/>
                <w:tab w:val="right" w:pos="2835"/>
              </w:tabs>
              <w:rPr>
                <w:rFonts w:ascii="Arial" w:hAnsi="Arial" w:cs="Arial"/>
                <w:i/>
                <w:iCs/>
                <w:sz w:val="14"/>
                <w:szCs w:val="14"/>
              </w:rPr>
            </w:pPr>
            <w:r w:rsidRPr="0006760A">
              <w:rPr>
                <w:rFonts w:ascii="Arial" w:hAnsi="Arial" w:cs="Arial"/>
                <w:i/>
                <w:iCs/>
                <w:sz w:val="14"/>
                <w:szCs w:val="14"/>
              </w:rPr>
              <w:t>Total proposed budget SG III:</w:t>
            </w:r>
            <w:r w:rsidRPr="0006760A">
              <w:rPr>
                <w:rFonts w:ascii="Arial" w:hAnsi="Arial" w:cs="Arial"/>
                <w:i/>
                <w:iCs/>
                <w:sz w:val="14"/>
                <w:szCs w:val="14"/>
              </w:rPr>
              <w:tab/>
            </w:r>
            <w:r>
              <w:rPr>
                <w:rFonts w:ascii="Arial" w:hAnsi="Arial" w:cs="Arial"/>
                <w:i/>
                <w:iCs/>
                <w:sz w:val="14"/>
                <w:szCs w:val="14"/>
              </w:rPr>
              <w:t>63,974</w:t>
            </w:r>
          </w:p>
          <w:p w14:paraId="7162858B" w14:textId="77777777" w:rsidR="00F5497C" w:rsidRPr="0006760A" w:rsidRDefault="00F5497C" w:rsidP="009D7A18">
            <w:pPr>
              <w:tabs>
                <w:tab w:val="left" w:pos="2189"/>
                <w:tab w:val="right" w:pos="2835"/>
              </w:tabs>
              <w:rPr>
                <w:rFonts w:ascii="Arial" w:hAnsi="Arial" w:cs="Arial"/>
                <w:i/>
                <w:iCs/>
                <w:color w:val="0000FF"/>
                <w:sz w:val="14"/>
                <w:szCs w:val="14"/>
              </w:rPr>
            </w:pPr>
            <w:r w:rsidRPr="0006760A">
              <w:rPr>
                <w:rFonts w:ascii="Arial" w:hAnsi="Arial" w:cs="Arial"/>
                <w:i/>
                <w:iCs/>
                <w:color w:val="0000FF"/>
                <w:sz w:val="14"/>
                <w:szCs w:val="14"/>
              </w:rPr>
              <w:t xml:space="preserve">Total development share SG III: </w:t>
            </w:r>
            <w:r w:rsidRPr="0006760A">
              <w:rPr>
                <w:rFonts w:ascii="Arial" w:hAnsi="Arial" w:cs="Arial"/>
                <w:i/>
                <w:iCs/>
                <w:color w:val="0000FF"/>
                <w:sz w:val="14"/>
                <w:szCs w:val="14"/>
              </w:rPr>
              <w:tab/>
            </w:r>
            <w:r>
              <w:rPr>
                <w:rFonts w:ascii="Arial" w:hAnsi="Arial" w:cs="Arial"/>
                <w:i/>
                <w:iCs/>
                <w:color w:val="0000FF"/>
                <w:sz w:val="14"/>
                <w:szCs w:val="14"/>
              </w:rPr>
              <w:t>63,142</w:t>
            </w:r>
          </w:p>
        </w:tc>
        <w:tc>
          <w:tcPr>
            <w:tcW w:w="3041" w:type="dxa"/>
            <w:tcBorders>
              <w:top w:val="nil"/>
              <w:left w:val="nil"/>
              <w:bottom w:val="nil"/>
              <w:right w:val="nil"/>
            </w:tcBorders>
            <w:shd w:val="clear" w:color="auto" w:fill="auto"/>
          </w:tcPr>
          <w:p w14:paraId="6BAA07CD" w14:textId="77777777" w:rsidR="00F5497C" w:rsidRPr="0006760A" w:rsidRDefault="00F5497C" w:rsidP="009D7A18">
            <w:pPr>
              <w:tabs>
                <w:tab w:val="left" w:pos="2205"/>
                <w:tab w:val="right" w:pos="2835"/>
              </w:tabs>
              <w:rPr>
                <w:rFonts w:ascii="Arial" w:hAnsi="Arial" w:cs="Arial"/>
                <w:i/>
                <w:iCs/>
                <w:sz w:val="14"/>
                <w:szCs w:val="14"/>
              </w:rPr>
            </w:pPr>
            <w:r w:rsidRPr="0006760A">
              <w:rPr>
                <w:rFonts w:ascii="Arial" w:hAnsi="Arial" w:cs="Arial"/>
                <w:i/>
                <w:iCs/>
                <w:sz w:val="14"/>
                <w:szCs w:val="14"/>
              </w:rPr>
              <w:t>Total proposed budget SG IV:</w:t>
            </w:r>
            <w:r w:rsidRPr="0006760A">
              <w:rPr>
                <w:rFonts w:ascii="Arial" w:hAnsi="Arial" w:cs="Arial"/>
                <w:i/>
                <w:iCs/>
                <w:sz w:val="14"/>
                <w:szCs w:val="14"/>
              </w:rPr>
              <w:tab/>
            </w:r>
            <w:r>
              <w:rPr>
                <w:rFonts w:ascii="Arial" w:hAnsi="Arial" w:cs="Arial"/>
                <w:i/>
                <w:iCs/>
                <w:sz w:val="14"/>
                <w:szCs w:val="14"/>
              </w:rPr>
              <w:t>46,974</w:t>
            </w:r>
          </w:p>
          <w:p w14:paraId="74FA294C" w14:textId="77777777" w:rsidR="00F5497C" w:rsidRPr="0006760A" w:rsidRDefault="00F5497C" w:rsidP="009D7A18">
            <w:pPr>
              <w:tabs>
                <w:tab w:val="left" w:pos="2205"/>
                <w:tab w:val="right" w:pos="2835"/>
              </w:tabs>
              <w:rPr>
                <w:rFonts w:ascii="Arial" w:hAnsi="Arial" w:cs="Arial"/>
                <w:i/>
                <w:iCs/>
                <w:color w:val="0000FF"/>
                <w:sz w:val="14"/>
                <w:szCs w:val="14"/>
              </w:rPr>
            </w:pPr>
            <w:r w:rsidRPr="0006760A">
              <w:rPr>
                <w:rFonts w:ascii="Arial" w:hAnsi="Arial" w:cs="Arial"/>
                <w:i/>
                <w:iCs/>
                <w:color w:val="0000FF"/>
                <w:sz w:val="14"/>
                <w:szCs w:val="14"/>
              </w:rPr>
              <w:t>Total development share SG IV:</w:t>
            </w:r>
            <w:r w:rsidRPr="0006760A">
              <w:rPr>
                <w:rFonts w:ascii="Arial" w:hAnsi="Arial" w:cs="Arial"/>
                <w:i/>
                <w:iCs/>
                <w:color w:val="0000FF"/>
                <w:sz w:val="14"/>
                <w:szCs w:val="14"/>
              </w:rPr>
              <w:tab/>
            </w:r>
            <w:r>
              <w:rPr>
                <w:rFonts w:ascii="Arial" w:hAnsi="Arial" w:cs="Arial"/>
                <w:i/>
                <w:iCs/>
                <w:color w:val="0000FF"/>
                <w:sz w:val="14"/>
                <w:szCs w:val="14"/>
              </w:rPr>
              <w:t>32,003</w:t>
            </w:r>
            <w:r w:rsidRPr="0006760A">
              <w:rPr>
                <w:rFonts w:ascii="Arial" w:hAnsi="Arial" w:cs="Arial"/>
                <w:i/>
                <w:iCs/>
                <w:color w:val="0000FF"/>
                <w:sz w:val="14"/>
                <w:szCs w:val="14"/>
              </w:rPr>
              <w:tab/>
            </w:r>
          </w:p>
        </w:tc>
        <w:tc>
          <w:tcPr>
            <w:tcW w:w="3040" w:type="dxa"/>
            <w:tcBorders>
              <w:top w:val="nil"/>
              <w:left w:val="nil"/>
              <w:bottom w:val="nil"/>
              <w:right w:val="nil"/>
            </w:tcBorders>
            <w:shd w:val="clear" w:color="auto" w:fill="auto"/>
          </w:tcPr>
          <w:p w14:paraId="3C0F431E" w14:textId="77777777" w:rsidR="00F5497C" w:rsidRPr="0006760A" w:rsidRDefault="00F5497C" w:rsidP="009D7A18">
            <w:pPr>
              <w:tabs>
                <w:tab w:val="left" w:pos="2221"/>
                <w:tab w:val="right" w:pos="2835"/>
              </w:tabs>
              <w:rPr>
                <w:rFonts w:ascii="Arial" w:hAnsi="Arial" w:cs="Arial"/>
                <w:i/>
                <w:iCs/>
                <w:sz w:val="14"/>
                <w:szCs w:val="14"/>
              </w:rPr>
            </w:pPr>
            <w:r w:rsidRPr="0006760A">
              <w:rPr>
                <w:rFonts w:ascii="Arial" w:hAnsi="Arial" w:cs="Arial"/>
                <w:i/>
                <w:iCs/>
                <w:sz w:val="14"/>
                <w:szCs w:val="14"/>
              </w:rPr>
              <w:t>Total proposed budget SG V:</w:t>
            </w:r>
            <w:r w:rsidRPr="0006760A">
              <w:rPr>
                <w:rFonts w:ascii="Arial" w:hAnsi="Arial" w:cs="Arial"/>
                <w:i/>
                <w:iCs/>
                <w:sz w:val="14"/>
                <w:szCs w:val="14"/>
              </w:rPr>
              <w:tab/>
            </w:r>
            <w:r>
              <w:rPr>
                <w:rFonts w:ascii="Arial" w:hAnsi="Arial" w:cs="Arial"/>
                <w:i/>
                <w:iCs/>
                <w:sz w:val="14"/>
                <w:szCs w:val="14"/>
              </w:rPr>
              <w:t>6,072</w:t>
            </w:r>
          </w:p>
          <w:p w14:paraId="308EAF24" w14:textId="77777777" w:rsidR="00F5497C" w:rsidRPr="0006760A" w:rsidRDefault="00F5497C" w:rsidP="009D7A18">
            <w:pPr>
              <w:tabs>
                <w:tab w:val="left" w:pos="2221"/>
                <w:tab w:val="right" w:pos="2835"/>
              </w:tabs>
              <w:rPr>
                <w:rFonts w:ascii="Arial" w:hAnsi="Arial" w:cs="Arial"/>
                <w:i/>
                <w:iCs/>
                <w:color w:val="0000FF"/>
                <w:sz w:val="14"/>
                <w:szCs w:val="14"/>
              </w:rPr>
            </w:pPr>
            <w:r w:rsidRPr="0006760A">
              <w:rPr>
                <w:rFonts w:ascii="Arial" w:hAnsi="Arial" w:cs="Arial"/>
                <w:i/>
                <w:iCs/>
                <w:color w:val="0000FF"/>
                <w:sz w:val="14"/>
                <w:szCs w:val="14"/>
              </w:rPr>
              <w:t>Total development share SG V:</w:t>
            </w:r>
            <w:r w:rsidRPr="0006760A">
              <w:rPr>
                <w:rFonts w:ascii="Arial" w:hAnsi="Arial" w:cs="Arial"/>
                <w:i/>
                <w:iCs/>
                <w:color w:val="0000FF"/>
                <w:sz w:val="14"/>
                <w:szCs w:val="14"/>
              </w:rPr>
              <w:tab/>
            </w:r>
            <w:r>
              <w:rPr>
                <w:rFonts w:ascii="Arial" w:hAnsi="Arial" w:cs="Arial"/>
                <w:i/>
                <w:iCs/>
                <w:color w:val="0000FF"/>
                <w:sz w:val="14"/>
                <w:szCs w:val="14"/>
              </w:rPr>
              <w:t>1,525</w:t>
            </w:r>
            <w:r w:rsidRPr="0006760A">
              <w:rPr>
                <w:rFonts w:ascii="Arial" w:hAnsi="Arial" w:cs="Arial"/>
                <w:i/>
                <w:iCs/>
                <w:color w:val="0000FF"/>
                <w:sz w:val="14"/>
                <w:szCs w:val="14"/>
              </w:rPr>
              <w:tab/>
            </w:r>
          </w:p>
        </w:tc>
        <w:tc>
          <w:tcPr>
            <w:tcW w:w="3041" w:type="dxa"/>
            <w:tcBorders>
              <w:top w:val="nil"/>
              <w:left w:val="nil"/>
              <w:bottom w:val="nil"/>
              <w:right w:val="nil"/>
            </w:tcBorders>
            <w:shd w:val="clear" w:color="auto" w:fill="auto"/>
          </w:tcPr>
          <w:p w14:paraId="6CE1B85D" w14:textId="77777777" w:rsidR="00F5497C" w:rsidRPr="0006760A" w:rsidRDefault="00F5497C" w:rsidP="009D7A18">
            <w:pPr>
              <w:tabs>
                <w:tab w:val="left" w:pos="2237"/>
                <w:tab w:val="right" w:pos="2835"/>
              </w:tabs>
              <w:rPr>
                <w:rFonts w:ascii="Arial" w:hAnsi="Arial" w:cs="Arial"/>
                <w:i/>
                <w:iCs/>
                <w:sz w:val="14"/>
                <w:szCs w:val="14"/>
              </w:rPr>
            </w:pPr>
            <w:r w:rsidRPr="0006760A">
              <w:rPr>
                <w:rFonts w:ascii="Arial" w:hAnsi="Arial" w:cs="Arial"/>
                <w:i/>
                <w:iCs/>
                <w:sz w:val="14"/>
                <w:szCs w:val="14"/>
              </w:rPr>
              <w:t>Total proposed budget SG VI:</w:t>
            </w:r>
            <w:r w:rsidRPr="0006760A">
              <w:rPr>
                <w:rFonts w:ascii="Arial" w:hAnsi="Arial" w:cs="Arial"/>
                <w:i/>
                <w:iCs/>
                <w:sz w:val="14"/>
                <w:szCs w:val="14"/>
              </w:rPr>
              <w:tab/>
            </w:r>
            <w:r>
              <w:rPr>
                <w:rFonts w:ascii="Arial" w:hAnsi="Arial" w:cs="Arial"/>
                <w:i/>
                <w:iCs/>
                <w:sz w:val="14"/>
                <w:szCs w:val="14"/>
              </w:rPr>
              <w:t>2,064</w:t>
            </w:r>
          </w:p>
          <w:p w14:paraId="2A6AC225" w14:textId="77777777" w:rsidR="00F5497C" w:rsidRPr="0006760A" w:rsidRDefault="00F5497C" w:rsidP="009D7A18">
            <w:pPr>
              <w:tabs>
                <w:tab w:val="left" w:pos="2237"/>
                <w:tab w:val="right" w:pos="2835"/>
              </w:tabs>
              <w:rPr>
                <w:rFonts w:ascii="Arial" w:hAnsi="Arial" w:cs="Arial"/>
                <w:i/>
                <w:iCs/>
                <w:color w:val="0000FF"/>
                <w:sz w:val="14"/>
                <w:szCs w:val="14"/>
              </w:rPr>
            </w:pPr>
            <w:r w:rsidRPr="0006760A">
              <w:rPr>
                <w:rFonts w:ascii="Arial" w:hAnsi="Arial" w:cs="Arial"/>
                <w:i/>
                <w:iCs/>
                <w:color w:val="0000FF"/>
                <w:sz w:val="14"/>
                <w:szCs w:val="14"/>
              </w:rPr>
              <w:t>Total development share SG VI:</w:t>
            </w:r>
            <w:r w:rsidRPr="0006760A">
              <w:rPr>
                <w:rFonts w:ascii="Arial" w:hAnsi="Arial" w:cs="Arial"/>
                <w:i/>
                <w:iCs/>
                <w:color w:val="0000FF"/>
                <w:sz w:val="14"/>
                <w:szCs w:val="14"/>
              </w:rPr>
              <w:tab/>
            </w:r>
            <w:r>
              <w:rPr>
                <w:rFonts w:ascii="Arial" w:hAnsi="Arial" w:cs="Arial"/>
                <w:i/>
                <w:iCs/>
                <w:color w:val="0000FF"/>
                <w:sz w:val="14"/>
                <w:szCs w:val="14"/>
              </w:rPr>
              <w:t>1,488</w:t>
            </w:r>
            <w:r w:rsidRPr="0006760A">
              <w:rPr>
                <w:rFonts w:ascii="Arial" w:hAnsi="Arial" w:cs="Arial"/>
                <w:i/>
                <w:iCs/>
                <w:color w:val="0000FF"/>
                <w:sz w:val="14"/>
                <w:szCs w:val="14"/>
              </w:rPr>
              <w:tab/>
              <w:t xml:space="preserve">   </w:t>
            </w:r>
          </w:p>
        </w:tc>
        <w:tc>
          <w:tcPr>
            <w:tcW w:w="3044" w:type="dxa"/>
            <w:tcBorders>
              <w:top w:val="nil"/>
              <w:left w:val="nil"/>
              <w:bottom w:val="nil"/>
              <w:right w:val="single" w:sz="4" w:space="0" w:color="auto"/>
            </w:tcBorders>
            <w:shd w:val="clear" w:color="auto" w:fill="auto"/>
          </w:tcPr>
          <w:p w14:paraId="5CA6D0BE" w14:textId="77777777" w:rsidR="00F5497C" w:rsidRPr="0006760A" w:rsidRDefault="00F5497C" w:rsidP="009D7A18">
            <w:pPr>
              <w:tabs>
                <w:tab w:val="left" w:pos="2253"/>
                <w:tab w:val="right" w:pos="2835"/>
              </w:tabs>
              <w:rPr>
                <w:rFonts w:ascii="Arial" w:hAnsi="Arial" w:cs="Arial"/>
                <w:i/>
                <w:iCs/>
                <w:sz w:val="14"/>
                <w:szCs w:val="14"/>
              </w:rPr>
            </w:pPr>
            <w:r w:rsidRPr="0006760A">
              <w:rPr>
                <w:rFonts w:ascii="Arial" w:hAnsi="Arial" w:cs="Arial"/>
                <w:i/>
                <w:iCs/>
                <w:sz w:val="14"/>
                <w:szCs w:val="14"/>
              </w:rPr>
              <w:t>Total proposed budget SG VII:</w:t>
            </w:r>
            <w:r w:rsidRPr="0006760A">
              <w:rPr>
                <w:rFonts w:ascii="Arial" w:hAnsi="Arial" w:cs="Arial"/>
                <w:i/>
                <w:iCs/>
                <w:sz w:val="14"/>
                <w:szCs w:val="14"/>
              </w:rPr>
              <w:tab/>
            </w:r>
            <w:r>
              <w:rPr>
                <w:rFonts w:ascii="Arial" w:hAnsi="Arial" w:cs="Arial"/>
                <w:i/>
                <w:iCs/>
                <w:sz w:val="14"/>
                <w:szCs w:val="14"/>
              </w:rPr>
              <w:t>3,950</w:t>
            </w:r>
          </w:p>
          <w:p w14:paraId="06A2F7EC" w14:textId="77777777" w:rsidR="00F5497C" w:rsidRPr="0006760A" w:rsidRDefault="00F5497C" w:rsidP="009D7A18">
            <w:pPr>
              <w:tabs>
                <w:tab w:val="left" w:pos="2253"/>
                <w:tab w:val="right" w:pos="2835"/>
              </w:tabs>
              <w:rPr>
                <w:rFonts w:ascii="Arial" w:hAnsi="Arial" w:cs="Arial"/>
                <w:i/>
                <w:iCs/>
                <w:color w:val="0000FF"/>
                <w:sz w:val="14"/>
                <w:szCs w:val="14"/>
              </w:rPr>
            </w:pPr>
            <w:r w:rsidRPr="0006760A">
              <w:rPr>
                <w:rFonts w:ascii="Arial" w:hAnsi="Arial" w:cs="Arial"/>
                <w:i/>
                <w:iCs/>
                <w:color w:val="0000FF"/>
                <w:sz w:val="14"/>
                <w:szCs w:val="14"/>
              </w:rPr>
              <w:t>Total development share SG VII:</w:t>
            </w:r>
            <w:r w:rsidRPr="0006760A">
              <w:rPr>
                <w:rFonts w:ascii="Arial" w:hAnsi="Arial" w:cs="Arial"/>
                <w:i/>
                <w:iCs/>
                <w:color w:val="0000FF"/>
                <w:sz w:val="14"/>
                <w:szCs w:val="14"/>
              </w:rPr>
              <w:tab/>
            </w:r>
            <w:r>
              <w:rPr>
                <w:rFonts w:ascii="Arial" w:hAnsi="Arial" w:cs="Arial"/>
                <w:i/>
                <w:iCs/>
                <w:color w:val="0000FF"/>
                <w:sz w:val="14"/>
                <w:szCs w:val="14"/>
              </w:rPr>
              <w:t>3,016</w:t>
            </w:r>
            <w:r w:rsidRPr="0006760A">
              <w:rPr>
                <w:rFonts w:ascii="Arial" w:hAnsi="Arial" w:cs="Arial"/>
                <w:i/>
                <w:iCs/>
                <w:color w:val="0000FF"/>
                <w:sz w:val="14"/>
                <w:szCs w:val="14"/>
              </w:rPr>
              <w:tab/>
            </w:r>
          </w:p>
        </w:tc>
      </w:tr>
      <w:tr w:rsidR="00F5497C" w:rsidRPr="0006760A" w14:paraId="5D42D6E3" w14:textId="77777777" w:rsidTr="009D7A18">
        <w:trPr>
          <w:trHeight w:val="294"/>
        </w:trPr>
        <w:tc>
          <w:tcPr>
            <w:tcW w:w="387" w:type="dxa"/>
            <w:vMerge/>
            <w:tcBorders>
              <w:top w:val="single" w:sz="8" w:space="0" w:color="auto"/>
              <w:left w:val="single" w:sz="8" w:space="0" w:color="auto"/>
              <w:bottom w:val="single" w:sz="4" w:space="0" w:color="000000"/>
              <w:right w:val="nil"/>
            </w:tcBorders>
            <w:vAlign w:val="center"/>
          </w:tcPr>
          <w:p w14:paraId="6C6310AB" w14:textId="77777777" w:rsidR="00F5497C" w:rsidRPr="0018132B" w:rsidRDefault="00F5497C" w:rsidP="009D7A18">
            <w:pPr>
              <w:tabs>
                <w:tab w:val="right" w:pos="2835"/>
              </w:tabs>
              <w:rPr>
                <w:rFonts w:cs="Arial"/>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CFFFF"/>
            <w:vAlign w:val="center"/>
          </w:tcPr>
          <w:p w14:paraId="2F835AE5" w14:textId="773FC185" w:rsidR="00F5497C" w:rsidRPr="0006760A" w:rsidRDefault="00A74116" w:rsidP="009D7A18">
            <w:pPr>
              <w:tabs>
                <w:tab w:val="right" w:pos="2835"/>
              </w:tabs>
              <w:jc w:val="center"/>
              <w:rPr>
                <w:rFonts w:ascii="Arial" w:hAnsi="Arial" w:cs="Arial"/>
                <w:b/>
                <w:bCs/>
                <w:sz w:val="16"/>
                <w:szCs w:val="16"/>
              </w:rPr>
            </w:pPr>
            <w:r>
              <w:rPr>
                <w:rFonts w:ascii="Arial" w:hAnsi="Arial" w:cs="Arial"/>
                <w:b/>
                <w:bCs/>
                <w:sz w:val="16"/>
                <w:szCs w:val="16"/>
              </w:rPr>
              <w:t>Strategic Goal IX:</w:t>
            </w:r>
            <w:r w:rsidR="00F5497C" w:rsidRPr="0006760A">
              <w:rPr>
                <w:rFonts w:ascii="Arial" w:hAnsi="Arial" w:cs="Arial"/>
                <w:b/>
                <w:bCs/>
                <w:sz w:val="16"/>
                <w:szCs w:val="16"/>
              </w:rPr>
              <w:t xml:space="preserve"> Efficient Administrative and Financial Support Structure to enable WIPO to Deliver its Programs</w:t>
            </w:r>
          </w:p>
        </w:tc>
      </w:tr>
      <w:tr w:rsidR="00F5497C" w:rsidRPr="0006760A" w14:paraId="783D6AEA" w14:textId="77777777" w:rsidTr="009D7A18">
        <w:trPr>
          <w:trHeight w:val="1695"/>
        </w:trPr>
        <w:tc>
          <w:tcPr>
            <w:tcW w:w="387" w:type="dxa"/>
            <w:vMerge/>
            <w:tcBorders>
              <w:top w:val="single" w:sz="8" w:space="0" w:color="auto"/>
              <w:left w:val="single" w:sz="8" w:space="0" w:color="auto"/>
              <w:bottom w:val="single" w:sz="4" w:space="0" w:color="000000"/>
              <w:right w:val="nil"/>
            </w:tcBorders>
            <w:vAlign w:val="center"/>
          </w:tcPr>
          <w:p w14:paraId="683A982E" w14:textId="77777777" w:rsidR="00F5497C" w:rsidRPr="0018132B" w:rsidRDefault="00F5497C" w:rsidP="009D7A18">
            <w:pPr>
              <w:tabs>
                <w:tab w:val="right" w:pos="2835"/>
              </w:tabs>
              <w:rPr>
                <w:rFonts w:cs="Arial"/>
                <w:b/>
                <w:bCs/>
                <w:sz w:val="16"/>
                <w:szCs w:val="16"/>
              </w:rPr>
            </w:pPr>
          </w:p>
        </w:tc>
        <w:tc>
          <w:tcPr>
            <w:tcW w:w="3040" w:type="dxa"/>
            <w:tcBorders>
              <w:top w:val="nil"/>
              <w:left w:val="single" w:sz="4" w:space="0" w:color="auto"/>
              <w:bottom w:val="single" w:sz="4" w:space="0" w:color="auto"/>
              <w:right w:val="nil"/>
            </w:tcBorders>
            <w:shd w:val="clear" w:color="auto" w:fill="auto"/>
          </w:tcPr>
          <w:p w14:paraId="2AED151F" w14:textId="77777777" w:rsidR="00F5497C" w:rsidRPr="0006760A" w:rsidRDefault="00F5497C" w:rsidP="009D7A18">
            <w:pPr>
              <w:tabs>
                <w:tab w:val="left" w:pos="1525"/>
                <w:tab w:val="right" w:pos="2835"/>
              </w:tabs>
              <w:rPr>
                <w:rFonts w:ascii="Arial" w:hAnsi="Arial" w:cs="Arial"/>
                <w:color w:val="0000FF"/>
                <w:sz w:val="15"/>
                <w:szCs w:val="15"/>
              </w:rPr>
            </w:pPr>
            <w:r w:rsidRPr="0006760A">
              <w:rPr>
                <w:rFonts w:ascii="Arial" w:hAnsi="Arial" w:cs="Arial"/>
                <w:sz w:val="15"/>
                <w:szCs w:val="15"/>
              </w:rPr>
              <w:br/>
            </w:r>
          </w:p>
        </w:tc>
        <w:tc>
          <w:tcPr>
            <w:tcW w:w="3041" w:type="dxa"/>
            <w:tcBorders>
              <w:top w:val="nil"/>
              <w:left w:val="nil"/>
              <w:bottom w:val="single" w:sz="4" w:space="0" w:color="auto"/>
              <w:right w:val="nil"/>
            </w:tcBorders>
            <w:shd w:val="clear" w:color="auto" w:fill="auto"/>
          </w:tcPr>
          <w:p w14:paraId="64501C21" w14:textId="54A7FF03"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IX.1. Effective, efficient, quality and customer-oriented support services both to internal clients and </w:t>
            </w:r>
            <w:r w:rsidR="003751B8">
              <w:rPr>
                <w:rFonts w:ascii="Arial" w:hAnsi="Arial" w:cs="Arial"/>
                <w:sz w:val="14"/>
                <w:szCs w:val="14"/>
              </w:rPr>
              <w:t xml:space="preserve">to </w:t>
            </w:r>
            <w:r w:rsidRPr="0006760A">
              <w:rPr>
                <w:rFonts w:ascii="Arial" w:hAnsi="Arial" w:cs="Arial"/>
                <w:sz w:val="14"/>
                <w:szCs w:val="14"/>
              </w:rPr>
              <w:t xml:space="preserve">external stakeholders </w:t>
            </w:r>
          </w:p>
          <w:p w14:paraId="7053FDF8" w14:textId="77777777"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r>
          </w:p>
          <w:p w14:paraId="61430715" w14:textId="77777777"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r>
          </w:p>
          <w:p w14:paraId="6373915C" w14:textId="77777777" w:rsidR="00F5497C" w:rsidRPr="0006760A" w:rsidRDefault="00F5497C" w:rsidP="009D7A18">
            <w:pPr>
              <w:tabs>
                <w:tab w:val="left" w:pos="335"/>
                <w:tab w:val="left" w:pos="2173"/>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165,356</w:t>
            </w:r>
          </w:p>
          <w:p w14:paraId="639C635E" w14:textId="77777777" w:rsidR="00F5497C" w:rsidRPr="0006760A" w:rsidRDefault="00F5497C" w:rsidP="009D7A18">
            <w:pPr>
              <w:tabs>
                <w:tab w:val="left" w:pos="335"/>
                <w:tab w:val="left" w:pos="1525"/>
                <w:tab w:val="right" w:pos="2835"/>
              </w:tabs>
              <w:rPr>
                <w:rFonts w:ascii="Arial" w:hAnsi="Arial" w:cs="Arial"/>
                <w:color w:val="0000FF"/>
                <w:sz w:val="14"/>
                <w:szCs w:val="14"/>
              </w:rPr>
            </w:pPr>
            <w:r>
              <w:rPr>
                <w:rFonts w:ascii="Arial" w:hAnsi="Arial" w:cs="Arial"/>
                <w:i/>
                <w:iCs/>
                <w:color w:val="0000FF"/>
                <w:sz w:val="14"/>
                <w:szCs w:val="14"/>
              </w:rPr>
              <w:tab/>
              <w:t>Development share:                         -</w:t>
            </w:r>
            <w:r w:rsidRPr="0006760A">
              <w:rPr>
                <w:rFonts w:ascii="Arial" w:hAnsi="Arial" w:cs="Arial"/>
                <w:i/>
                <w:iCs/>
                <w:color w:val="0000FF"/>
                <w:sz w:val="14"/>
                <w:szCs w:val="14"/>
              </w:rPr>
              <w:t xml:space="preserve">   </w:t>
            </w:r>
          </w:p>
          <w:p w14:paraId="019CEB0A" w14:textId="77777777" w:rsidR="00F5497C" w:rsidRPr="0006760A" w:rsidRDefault="00F5497C" w:rsidP="009D7A18">
            <w:pPr>
              <w:tabs>
                <w:tab w:val="left" w:pos="1525"/>
                <w:tab w:val="right" w:pos="2835"/>
              </w:tabs>
              <w:rPr>
                <w:rFonts w:ascii="Arial" w:hAnsi="Arial" w:cs="Arial"/>
                <w:color w:val="0000FF"/>
                <w:sz w:val="14"/>
                <w:szCs w:val="14"/>
              </w:rPr>
            </w:pPr>
          </w:p>
        </w:tc>
        <w:tc>
          <w:tcPr>
            <w:tcW w:w="3042" w:type="dxa"/>
            <w:tcBorders>
              <w:top w:val="nil"/>
              <w:left w:val="nil"/>
              <w:bottom w:val="single" w:sz="4" w:space="0" w:color="auto"/>
              <w:right w:val="nil"/>
            </w:tcBorders>
            <w:shd w:val="clear" w:color="auto" w:fill="auto"/>
          </w:tcPr>
          <w:p w14:paraId="7BF18298" w14:textId="77777777" w:rsidR="00F5497C" w:rsidRPr="0006760A" w:rsidRDefault="00F5497C" w:rsidP="009D7A18">
            <w:pPr>
              <w:tabs>
                <w:tab w:val="right" w:pos="2835"/>
              </w:tabs>
              <w:spacing w:after="60"/>
              <w:rPr>
                <w:rFonts w:ascii="Arial" w:hAnsi="Arial" w:cs="Arial"/>
                <w:sz w:val="14"/>
                <w:szCs w:val="14"/>
              </w:rPr>
            </w:pPr>
            <w:r w:rsidRPr="0006760A">
              <w:rPr>
                <w:rFonts w:ascii="Arial" w:hAnsi="Arial" w:cs="Arial"/>
                <w:sz w:val="14"/>
                <w:szCs w:val="14"/>
              </w:rPr>
              <w:br/>
              <w:t xml:space="preserve">IX.2. An agile and smooth functioning Secretariat with a well managed and appropriately skilled workforce which is effectively delivering results </w:t>
            </w:r>
          </w:p>
          <w:p w14:paraId="7B2C089D" w14:textId="77777777" w:rsidR="00F5497C" w:rsidRPr="0006760A" w:rsidRDefault="00F5497C" w:rsidP="009D7A18">
            <w:pPr>
              <w:tabs>
                <w:tab w:val="left" w:pos="325"/>
                <w:tab w:val="left" w:pos="2189"/>
                <w:tab w:val="right" w:pos="2835"/>
              </w:tabs>
              <w:rPr>
                <w:rFonts w:ascii="Arial" w:hAnsi="Arial" w:cs="Arial"/>
                <w:i/>
                <w:iCs/>
                <w:sz w:val="14"/>
                <w:szCs w:val="14"/>
              </w:rPr>
            </w:pPr>
            <w:r w:rsidRPr="0006760A">
              <w:rPr>
                <w:rFonts w:ascii="Arial" w:hAnsi="Arial" w:cs="Arial"/>
                <w:i/>
                <w:iCs/>
                <w:sz w:val="14"/>
                <w:szCs w:val="14"/>
              </w:rPr>
              <w:tab/>
            </w:r>
          </w:p>
          <w:p w14:paraId="63535CF4" w14:textId="77777777" w:rsidR="00F5497C" w:rsidRPr="0006760A" w:rsidRDefault="00F5497C" w:rsidP="009D7A18">
            <w:pPr>
              <w:tabs>
                <w:tab w:val="left" w:pos="338"/>
                <w:tab w:val="left" w:pos="1525"/>
                <w:tab w:val="right" w:pos="2835"/>
              </w:tabs>
              <w:rPr>
                <w:rFonts w:ascii="Arial" w:hAnsi="Arial" w:cs="Arial"/>
                <w:color w:val="0000FF"/>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35,257</w:t>
            </w: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r>
            <w:r>
              <w:rPr>
                <w:rFonts w:ascii="Arial" w:hAnsi="Arial" w:cs="Arial"/>
                <w:i/>
                <w:iCs/>
                <w:color w:val="0000FF"/>
                <w:sz w:val="14"/>
                <w:szCs w:val="14"/>
              </w:rPr>
              <w:t>-</w:t>
            </w:r>
            <w:r w:rsidRPr="0006760A">
              <w:rPr>
                <w:rFonts w:ascii="Arial" w:hAnsi="Arial" w:cs="Arial"/>
                <w:i/>
                <w:iCs/>
                <w:color w:val="0000FF"/>
                <w:sz w:val="14"/>
                <w:szCs w:val="14"/>
              </w:rPr>
              <w:t xml:space="preserve">     </w:t>
            </w:r>
          </w:p>
        </w:tc>
        <w:tc>
          <w:tcPr>
            <w:tcW w:w="3041" w:type="dxa"/>
            <w:tcBorders>
              <w:top w:val="nil"/>
              <w:left w:val="nil"/>
              <w:bottom w:val="single" w:sz="4" w:space="0" w:color="auto"/>
              <w:right w:val="nil"/>
            </w:tcBorders>
            <w:shd w:val="clear" w:color="auto" w:fill="auto"/>
          </w:tcPr>
          <w:p w14:paraId="1021E877" w14:textId="77777777" w:rsidR="00F5497C" w:rsidRPr="0006760A" w:rsidRDefault="00F5497C" w:rsidP="009D7A18">
            <w:pPr>
              <w:tabs>
                <w:tab w:val="left" w:pos="1525"/>
                <w:tab w:val="right" w:pos="2835"/>
              </w:tabs>
              <w:spacing w:after="60"/>
              <w:rPr>
                <w:rFonts w:ascii="Arial" w:hAnsi="Arial" w:cs="Arial"/>
                <w:sz w:val="14"/>
                <w:szCs w:val="14"/>
              </w:rPr>
            </w:pPr>
            <w:r w:rsidRPr="0006760A">
              <w:rPr>
                <w:rFonts w:ascii="Arial" w:hAnsi="Arial" w:cs="Arial"/>
                <w:sz w:val="14"/>
                <w:szCs w:val="14"/>
              </w:rPr>
              <w:br/>
              <w:t>IX.3. An enabling working environment supported by an effective regulatory framework and appropriate channels to address staff concerns</w:t>
            </w:r>
          </w:p>
          <w:p w14:paraId="7FDFDF50" w14:textId="77777777" w:rsidR="00F5497C" w:rsidRPr="0006760A" w:rsidRDefault="00F5497C" w:rsidP="009D7A18">
            <w:pPr>
              <w:tabs>
                <w:tab w:val="left" w:pos="378"/>
                <w:tab w:val="left" w:pos="2205"/>
                <w:tab w:val="right" w:pos="2835"/>
              </w:tabs>
              <w:rPr>
                <w:rFonts w:ascii="Arial" w:hAnsi="Arial" w:cs="Arial"/>
                <w:i/>
                <w:iCs/>
                <w:sz w:val="14"/>
                <w:szCs w:val="14"/>
              </w:rPr>
            </w:pPr>
            <w:r w:rsidRPr="0006760A">
              <w:rPr>
                <w:rFonts w:ascii="Arial" w:hAnsi="Arial" w:cs="Arial"/>
                <w:i/>
                <w:iCs/>
                <w:sz w:val="14"/>
                <w:szCs w:val="14"/>
              </w:rPr>
              <w:tab/>
            </w:r>
          </w:p>
          <w:p w14:paraId="4A870835" w14:textId="77777777" w:rsidR="00F5497C" w:rsidRPr="0006760A" w:rsidRDefault="00F5497C" w:rsidP="009D7A18">
            <w:pPr>
              <w:tabs>
                <w:tab w:val="left" w:pos="378"/>
                <w:tab w:val="left" w:pos="2205"/>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2,540</w:t>
            </w:r>
            <w:r w:rsidRPr="0006760A">
              <w:rPr>
                <w:rFonts w:ascii="Arial" w:hAnsi="Arial" w:cs="Arial"/>
                <w:i/>
                <w:iCs/>
                <w:sz w:val="14"/>
                <w:szCs w:val="14"/>
              </w:rPr>
              <w:tab/>
            </w:r>
          </w:p>
          <w:p w14:paraId="3952B4BE" w14:textId="77777777" w:rsidR="00F5497C" w:rsidRPr="0006760A" w:rsidRDefault="00F5497C" w:rsidP="009D7A18">
            <w:pPr>
              <w:tabs>
                <w:tab w:val="left" w:pos="366"/>
                <w:tab w:val="right" w:pos="2835"/>
              </w:tabs>
              <w:rPr>
                <w:rFonts w:ascii="Arial" w:hAnsi="Arial" w:cs="Arial"/>
                <w:i/>
                <w:iCs/>
                <w:color w:val="0000FF"/>
                <w:sz w:val="14"/>
                <w:szCs w:val="14"/>
              </w:rPr>
            </w:pPr>
            <w:r w:rsidRPr="0006760A">
              <w:rPr>
                <w:rFonts w:ascii="Arial" w:hAnsi="Arial" w:cs="Arial"/>
                <w:i/>
                <w:iCs/>
                <w:color w:val="0000FF"/>
                <w:sz w:val="14"/>
                <w:szCs w:val="14"/>
              </w:rPr>
              <w:tab/>
              <w:t xml:space="preserve">Development share:                  </w:t>
            </w:r>
            <w:r>
              <w:rPr>
                <w:rFonts w:ascii="Arial" w:hAnsi="Arial" w:cs="Arial"/>
                <w:i/>
                <w:iCs/>
                <w:color w:val="0000FF"/>
                <w:sz w:val="14"/>
                <w:szCs w:val="14"/>
              </w:rPr>
              <w:t>-</w:t>
            </w:r>
          </w:p>
          <w:p w14:paraId="34ECAE8C" w14:textId="77777777" w:rsidR="00F5497C" w:rsidRPr="0006760A" w:rsidRDefault="00F5497C" w:rsidP="009D7A18">
            <w:pPr>
              <w:tabs>
                <w:tab w:val="left" w:pos="1525"/>
                <w:tab w:val="right" w:pos="2835"/>
              </w:tabs>
              <w:rPr>
                <w:rFonts w:ascii="Arial" w:hAnsi="Arial" w:cs="Arial"/>
                <w:i/>
                <w:iCs/>
                <w:color w:val="0000FF"/>
                <w:sz w:val="14"/>
                <w:szCs w:val="14"/>
              </w:rPr>
            </w:pPr>
          </w:p>
        </w:tc>
        <w:tc>
          <w:tcPr>
            <w:tcW w:w="3040" w:type="dxa"/>
            <w:tcBorders>
              <w:top w:val="nil"/>
              <w:left w:val="nil"/>
              <w:bottom w:val="single" w:sz="4" w:space="0" w:color="auto"/>
              <w:right w:val="nil"/>
            </w:tcBorders>
            <w:shd w:val="clear" w:color="auto" w:fill="auto"/>
          </w:tcPr>
          <w:p w14:paraId="76F0FC4F" w14:textId="340CA275" w:rsidR="00F5497C" w:rsidRPr="0006760A" w:rsidRDefault="00F5497C" w:rsidP="009D7A18">
            <w:pPr>
              <w:tabs>
                <w:tab w:val="right" w:pos="2835"/>
              </w:tabs>
              <w:spacing w:after="60"/>
              <w:rPr>
                <w:rFonts w:ascii="Arial" w:hAnsi="Arial" w:cs="Arial"/>
                <w:sz w:val="14"/>
                <w:szCs w:val="14"/>
              </w:rPr>
            </w:pPr>
            <w:r w:rsidRPr="00BA7A47">
              <w:rPr>
                <w:rFonts w:ascii="Arial" w:hAnsi="Arial" w:cs="Arial"/>
                <w:color w:val="999999"/>
                <w:sz w:val="14"/>
                <w:szCs w:val="14"/>
              </w:rPr>
              <w:br/>
            </w:r>
            <w:r w:rsidRPr="0006760A">
              <w:rPr>
                <w:rFonts w:ascii="Arial" w:hAnsi="Arial" w:cs="Arial"/>
                <w:sz w:val="14"/>
                <w:szCs w:val="14"/>
              </w:rPr>
              <w:t xml:space="preserve">IX.4. An environmentally and socially responsible </w:t>
            </w:r>
            <w:r w:rsidR="00356514">
              <w:rPr>
                <w:rFonts w:ascii="Arial" w:hAnsi="Arial" w:cs="Arial"/>
                <w:sz w:val="14"/>
                <w:szCs w:val="14"/>
              </w:rPr>
              <w:t>O</w:t>
            </w:r>
            <w:r w:rsidRPr="0006760A">
              <w:rPr>
                <w:rFonts w:ascii="Arial" w:hAnsi="Arial" w:cs="Arial"/>
                <w:sz w:val="14"/>
                <w:szCs w:val="14"/>
              </w:rPr>
              <w:t>rganization in which WIPO staff, delegates, visitors and information and physical assets are safe and secure</w:t>
            </w:r>
          </w:p>
          <w:p w14:paraId="160C5F88" w14:textId="77777777" w:rsidR="00F5497C" w:rsidRPr="0006760A" w:rsidRDefault="00F5497C" w:rsidP="009D7A18">
            <w:pPr>
              <w:tabs>
                <w:tab w:val="left" w:pos="368"/>
                <w:tab w:val="left" w:pos="2221"/>
                <w:tab w:val="right" w:pos="2835"/>
              </w:tabs>
              <w:rPr>
                <w:rFonts w:ascii="Arial" w:hAnsi="Arial" w:cs="Arial"/>
                <w:i/>
                <w:iCs/>
                <w:sz w:val="14"/>
                <w:szCs w:val="14"/>
              </w:rPr>
            </w:pPr>
            <w:r w:rsidRPr="0006760A">
              <w:rPr>
                <w:rFonts w:ascii="Arial" w:hAnsi="Arial" w:cs="Arial"/>
                <w:i/>
                <w:iCs/>
                <w:sz w:val="14"/>
                <w:szCs w:val="14"/>
              </w:rPr>
              <w:tab/>
            </w:r>
          </w:p>
          <w:p w14:paraId="73B9AF68" w14:textId="77777777" w:rsidR="00F5497C" w:rsidRPr="0006760A" w:rsidRDefault="00F5497C" w:rsidP="009D7A18">
            <w:pPr>
              <w:tabs>
                <w:tab w:val="left" w:pos="368"/>
                <w:tab w:val="left" w:pos="2221"/>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Pr>
                <w:rFonts w:ascii="Arial" w:hAnsi="Arial" w:cs="Arial"/>
                <w:i/>
                <w:iCs/>
                <w:sz w:val="14"/>
                <w:szCs w:val="14"/>
              </w:rPr>
              <w:tab/>
              <w:t>18,403</w:t>
            </w:r>
            <w:r w:rsidRPr="0006760A">
              <w:rPr>
                <w:rFonts w:ascii="Arial" w:hAnsi="Arial" w:cs="Arial"/>
                <w:i/>
                <w:iCs/>
                <w:sz w:val="14"/>
                <w:szCs w:val="14"/>
              </w:rPr>
              <w:tab/>
            </w:r>
          </w:p>
          <w:p w14:paraId="358B222B" w14:textId="77777777" w:rsidR="00F5497C" w:rsidRPr="0006760A" w:rsidRDefault="00F5497C" w:rsidP="009D7A18">
            <w:pPr>
              <w:tabs>
                <w:tab w:val="left" w:pos="356"/>
                <w:tab w:val="left" w:pos="1525"/>
                <w:tab w:val="right" w:pos="2835"/>
              </w:tabs>
              <w:rPr>
                <w:rFonts w:ascii="Arial" w:hAnsi="Arial" w:cs="Arial"/>
                <w:color w:val="0000FF"/>
                <w:sz w:val="14"/>
                <w:szCs w:val="14"/>
              </w:rPr>
            </w:pPr>
            <w:r w:rsidRPr="0006760A">
              <w:rPr>
                <w:rFonts w:ascii="Arial" w:hAnsi="Arial" w:cs="Arial"/>
                <w:i/>
                <w:iCs/>
                <w:color w:val="0000FF"/>
                <w:sz w:val="14"/>
                <w:szCs w:val="14"/>
              </w:rPr>
              <w:tab/>
              <w:t>Development</w:t>
            </w:r>
            <w:r w:rsidRPr="0006760A">
              <w:rPr>
                <w:rFonts w:ascii="Arial" w:hAnsi="Arial" w:cs="Arial"/>
                <w:color w:val="0000FF"/>
                <w:sz w:val="14"/>
                <w:szCs w:val="14"/>
              </w:rPr>
              <w:t xml:space="preserve"> share:</w:t>
            </w:r>
            <w:r w:rsidRPr="0006760A">
              <w:rPr>
                <w:rFonts w:ascii="Arial" w:hAnsi="Arial" w:cs="Arial"/>
                <w:color w:val="0000FF"/>
                <w:sz w:val="14"/>
                <w:szCs w:val="14"/>
              </w:rPr>
              <w:tab/>
            </w:r>
            <w:r w:rsidRPr="00290EC9">
              <w:rPr>
                <w:rFonts w:ascii="Arial" w:hAnsi="Arial" w:cs="Arial"/>
                <w:i/>
                <w:iCs/>
                <w:color w:val="0000FF"/>
                <w:sz w:val="14"/>
                <w:szCs w:val="14"/>
              </w:rPr>
              <w:t xml:space="preserve">-  </w:t>
            </w:r>
            <w:r w:rsidRPr="0006760A">
              <w:rPr>
                <w:rFonts w:ascii="Arial" w:hAnsi="Arial" w:cs="Arial"/>
                <w:color w:val="0000FF"/>
                <w:sz w:val="14"/>
                <w:szCs w:val="14"/>
              </w:rPr>
              <w:t xml:space="preserve">  </w:t>
            </w:r>
          </w:p>
          <w:p w14:paraId="35AA88FD" w14:textId="77777777" w:rsidR="00F5497C" w:rsidRPr="0006760A" w:rsidRDefault="00F5497C" w:rsidP="009D7A18">
            <w:pPr>
              <w:tabs>
                <w:tab w:val="left" w:pos="381"/>
                <w:tab w:val="left" w:pos="1525"/>
                <w:tab w:val="right" w:pos="2835"/>
              </w:tabs>
              <w:rPr>
                <w:rFonts w:ascii="Arial" w:hAnsi="Arial" w:cs="Arial"/>
                <w:i/>
                <w:iCs/>
                <w:color w:val="0000FF"/>
                <w:sz w:val="14"/>
                <w:szCs w:val="14"/>
              </w:rPr>
            </w:pPr>
          </w:p>
        </w:tc>
        <w:tc>
          <w:tcPr>
            <w:tcW w:w="3041" w:type="dxa"/>
            <w:tcBorders>
              <w:top w:val="nil"/>
              <w:left w:val="nil"/>
              <w:bottom w:val="single" w:sz="4" w:space="0" w:color="auto"/>
              <w:right w:val="nil"/>
            </w:tcBorders>
            <w:shd w:val="clear" w:color="auto" w:fill="auto"/>
          </w:tcPr>
          <w:p w14:paraId="6A5622AE" w14:textId="77777777" w:rsidR="00F5497C" w:rsidRPr="00BA7A47" w:rsidRDefault="00F5497C" w:rsidP="009D7A18">
            <w:pPr>
              <w:tabs>
                <w:tab w:val="left" w:pos="1525"/>
                <w:tab w:val="right" w:pos="2835"/>
              </w:tabs>
              <w:rPr>
                <w:rFonts w:ascii="Arial" w:hAnsi="Arial" w:cs="Arial"/>
                <w:i/>
                <w:iCs/>
                <w:color w:val="999999"/>
                <w:sz w:val="14"/>
                <w:szCs w:val="14"/>
              </w:rPr>
            </w:pPr>
          </w:p>
          <w:p w14:paraId="057D6613" w14:textId="77777777" w:rsidR="00F5497C" w:rsidRPr="0006760A" w:rsidRDefault="00F5497C" w:rsidP="009D7A18">
            <w:pPr>
              <w:spacing w:after="60"/>
              <w:rPr>
                <w:rFonts w:ascii="Arial" w:hAnsi="Arial" w:cs="Arial"/>
                <w:sz w:val="14"/>
                <w:szCs w:val="14"/>
                <w:lang w:eastAsia="zh-CN" w:bidi="th-TH"/>
              </w:rPr>
            </w:pPr>
            <w:r w:rsidRPr="0006760A">
              <w:rPr>
                <w:rFonts w:ascii="Arial" w:hAnsi="Arial" w:cs="Arial"/>
                <w:sz w:val="14"/>
                <w:szCs w:val="14"/>
              </w:rPr>
              <w:t xml:space="preserve">IX.8. </w:t>
            </w:r>
            <w:r w:rsidRPr="0006760A">
              <w:rPr>
                <w:rFonts w:ascii="Arial" w:hAnsi="Arial" w:cs="Arial"/>
                <w:sz w:val="14"/>
                <w:szCs w:val="14"/>
                <w:lang w:eastAsia="zh-CN" w:bidi="th-TH"/>
              </w:rPr>
              <w:t>Improved accountability, organizational learning, value for money, stewardship, internal control and corporate governance through assistance from effective and independent oversight</w:t>
            </w:r>
          </w:p>
          <w:p w14:paraId="36C199DB" w14:textId="77777777" w:rsidR="00F5497C" w:rsidRPr="0006760A" w:rsidRDefault="00F5497C" w:rsidP="009D7A18">
            <w:pPr>
              <w:tabs>
                <w:tab w:val="left" w:pos="412"/>
                <w:tab w:val="left" w:pos="2237"/>
                <w:tab w:val="right" w:pos="2835"/>
              </w:tabs>
              <w:rPr>
                <w:rFonts w:ascii="Arial" w:hAnsi="Arial" w:cs="Arial"/>
                <w:i/>
                <w:iCs/>
                <w:sz w:val="14"/>
                <w:szCs w:val="14"/>
              </w:rPr>
            </w:pPr>
            <w:r w:rsidRPr="0006760A">
              <w:rPr>
                <w:rFonts w:ascii="Arial" w:hAnsi="Arial" w:cs="Arial"/>
                <w:i/>
                <w:iCs/>
                <w:sz w:val="14"/>
                <w:szCs w:val="14"/>
              </w:rPr>
              <w:tab/>
              <w:t xml:space="preserve">Proposed Budget </w:t>
            </w:r>
            <w:r>
              <w:rPr>
                <w:rFonts w:ascii="Arial" w:hAnsi="Arial" w:cs="Arial"/>
                <w:i/>
                <w:iCs/>
                <w:sz w:val="14"/>
                <w:szCs w:val="14"/>
              </w:rPr>
              <w:t>16/17</w:t>
            </w:r>
            <w:r w:rsidRPr="0006760A">
              <w:rPr>
                <w:rFonts w:ascii="Arial" w:hAnsi="Arial" w:cs="Arial"/>
                <w:i/>
                <w:iCs/>
                <w:sz w:val="14"/>
                <w:szCs w:val="14"/>
              </w:rPr>
              <w:t>:</w:t>
            </w:r>
            <w:r w:rsidRPr="0006760A">
              <w:rPr>
                <w:rFonts w:ascii="Arial" w:hAnsi="Arial" w:cs="Arial"/>
                <w:i/>
                <w:iCs/>
                <w:sz w:val="14"/>
                <w:szCs w:val="14"/>
              </w:rPr>
              <w:tab/>
            </w:r>
            <w:r>
              <w:rPr>
                <w:rFonts w:ascii="Arial" w:hAnsi="Arial" w:cs="Arial"/>
                <w:i/>
                <w:iCs/>
                <w:sz w:val="14"/>
                <w:szCs w:val="14"/>
              </w:rPr>
              <w:t>7,035</w:t>
            </w:r>
            <w:r w:rsidRPr="0006760A">
              <w:rPr>
                <w:rFonts w:ascii="Arial" w:hAnsi="Arial" w:cs="Arial"/>
                <w:i/>
                <w:iCs/>
                <w:sz w:val="14"/>
                <w:szCs w:val="14"/>
              </w:rPr>
              <w:tab/>
            </w:r>
          </w:p>
          <w:p w14:paraId="3C382DD1" w14:textId="77777777" w:rsidR="00F5497C" w:rsidRPr="0006760A" w:rsidRDefault="00F5497C" w:rsidP="009D7A18">
            <w:pPr>
              <w:tabs>
                <w:tab w:val="left" w:pos="424"/>
                <w:tab w:val="left" w:pos="2237"/>
                <w:tab w:val="right" w:pos="2835"/>
              </w:tabs>
              <w:rPr>
                <w:rFonts w:ascii="Arial" w:hAnsi="Arial" w:cs="Arial"/>
                <w:i/>
                <w:iCs/>
                <w:color w:val="0000FF"/>
                <w:sz w:val="14"/>
                <w:szCs w:val="14"/>
              </w:rPr>
            </w:pPr>
            <w:r w:rsidRPr="0006760A">
              <w:rPr>
                <w:rFonts w:ascii="Arial" w:hAnsi="Arial" w:cs="Arial"/>
                <w:i/>
                <w:iCs/>
                <w:color w:val="0000FF"/>
                <w:sz w:val="14"/>
                <w:szCs w:val="14"/>
              </w:rPr>
              <w:tab/>
              <w:t>Development share:</w:t>
            </w:r>
            <w:r w:rsidRPr="0006760A">
              <w:rPr>
                <w:rFonts w:ascii="Arial" w:hAnsi="Arial" w:cs="Arial"/>
                <w:i/>
                <w:iCs/>
                <w:color w:val="0000FF"/>
                <w:sz w:val="14"/>
                <w:szCs w:val="14"/>
              </w:rPr>
              <w:tab/>
              <w:t xml:space="preserve">  </w:t>
            </w:r>
            <w:r>
              <w:rPr>
                <w:rFonts w:ascii="Arial" w:hAnsi="Arial" w:cs="Arial"/>
                <w:i/>
                <w:iCs/>
                <w:color w:val="0000FF"/>
                <w:sz w:val="14"/>
                <w:szCs w:val="14"/>
              </w:rPr>
              <w:t>963</w:t>
            </w:r>
          </w:p>
          <w:p w14:paraId="52427ACC" w14:textId="77777777" w:rsidR="00F5497C" w:rsidRPr="0006760A" w:rsidRDefault="00F5497C" w:rsidP="009D7A18">
            <w:pPr>
              <w:tabs>
                <w:tab w:val="left" w:pos="397"/>
                <w:tab w:val="right" w:pos="2835"/>
              </w:tabs>
              <w:rPr>
                <w:rFonts w:ascii="Arial" w:hAnsi="Arial" w:cs="Arial"/>
                <w:color w:val="0000FF"/>
                <w:sz w:val="14"/>
                <w:szCs w:val="14"/>
              </w:rPr>
            </w:pPr>
          </w:p>
        </w:tc>
        <w:tc>
          <w:tcPr>
            <w:tcW w:w="3044" w:type="dxa"/>
            <w:tcBorders>
              <w:top w:val="nil"/>
              <w:left w:val="nil"/>
              <w:bottom w:val="single" w:sz="4" w:space="0" w:color="auto"/>
              <w:right w:val="single" w:sz="4" w:space="0" w:color="auto"/>
            </w:tcBorders>
            <w:shd w:val="clear" w:color="auto" w:fill="auto"/>
          </w:tcPr>
          <w:p w14:paraId="5B6DD613" w14:textId="77777777" w:rsidR="00F5497C" w:rsidRPr="00BA7A47" w:rsidRDefault="00F5497C" w:rsidP="009D7A18">
            <w:pPr>
              <w:tabs>
                <w:tab w:val="right" w:pos="2835"/>
              </w:tabs>
              <w:rPr>
                <w:rFonts w:ascii="Arial" w:hAnsi="Arial" w:cs="Arial"/>
                <w:i/>
                <w:iCs/>
                <w:color w:val="999999"/>
                <w:sz w:val="14"/>
                <w:szCs w:val="14"/>
              </w:rPr>
            </w:pPr>
            <w:r w:rsidRPr="0006760A">
              <w:rPr>
                <w:rFonts w:ascii="Arial" w:hAnsi="Arial" w:cs="Arial"/>
                <w:sz w:val="14"/>
                <w:szCs w:val="14"/>
              </w:rPr>
              <w:br/>
            </w:r>
          </w:p>
          <w:p w14:paraId="1FBA7B4F" w14:textId="77777777" w:rsidR="00F5497C" w:rsidRPr="0006760A" w:rsidRDefault="00F5497C" w:rsidP="009D7A18">
            <w:pPr>
              <w:tabs>
                <w:tab w:val="left" w:pos="2040"/>
                <w:tab w:val="right" w:pos="2835"/>
              </w:tabs>
              <w:rPr>
                <w:rFonts w:ascii="Arial" w:hAnsi="Arial" w:cs="Arial"/>
                <w:i/>
                <w:iCs/>
                <w:sz w:val="14"/>
                <w:szCs w:val="14"/>
              </w:rPr>
            </w:pPr>
          </w:p>
          <w:p w14:paraId="50194876" w14:textId="77777777" w:rsidR="00F5497C" w:rsidRPr="0006760A" w:rsidRDefault="00F5497C" w:rsidP="009D7A18">
            <w:pPr>
              <w:tabs>
                <w:tab w:val="left" w:pos="2040"/>
                <w:tab w:val="right" w:pos="2835"/>
              </w:tabs>
              <w:rPr>
                <w:rFonts w:ascii="Arial" w:hAnsi="Arial" w:cs="Arial"/>
                <w:i/>
                <w:iCs/>
                <w:sz w:val="14"/>
                <w:szCs w:val="14"/>
              </w:rPr>
            </w:pPr>
          </w:p>
          <w:p w14:paraId="74FDAAA2" w14:textId="77777777" w:rsidR="00F5497C" w:rsidRPr="0006760A" w:rsidRDefault="00F5497C" w:rsidP="009D7A18">
            <w:pPr>
              <w:tabs>
                <w:tab w:val="left" w:pos="2253"/>
                <w:tab w:val="right" w:pos="2835"/>
              </w:tabs>
              <w:rPr>
                <w:rFonts w:ascii="Arial" w:hAnsi="Arial" w:cs="Arial"/>
                <w:i/>
                <w:iCs/>
                <w:sz w:val="14"/>
                <w:szCs w:val="14"/>
              </w:rPr>
            </w:pPr>
            <w:r>
              <w:rPr>
                <w:rFonts w:ascii="Arial" w:hAnsi="Arial" w:cs="Arial"/>
                <w:i/>
                <w:iCs/>
                <w:sz w:val="14"/>
                <w:szCs w:val="14"/>
              </w:rPr>
              <w:t>Total proposed budget SG IX:</w:t>
            </w:r>
            <w:r>
              <w:rPr>
                <w:rFonts w:ascii="Arial" w:hAnsi="Arial" w:cs="Arial"/>
                <w:i/>
                <w:iCs/>
                <w:sz w:val="14"/>
                <w:szCs w:val="14"/>
              </w:rPr>
              <w:tab/>
              <w:t xml:space="preserve"> </w:t>
            </w:r>
            <w:r w:rsidRPr="0006760A">
              <w:rPr>
                <w:rFonts w:ascii="Arial" w:hAnsi="Arial" w:cs="Arial"/>
                <w:i/>
                <w:iCs/>
                <w:sz w:val="14"/>
                <w:szCs w:val="14"/>
              </w:rPr>
              <w:t xml:space="preserve"> </w:t>
            </w:r>
            <w:r>
              <w:rPr>
                <w:rFonts w:ascii="Arial" w:hAnsi="Arial" w:cs="Arial"/>
                <w:i/>
                <w:iCs/>
                <w:sz w:val="14"/>
                <w:szCs w:val="14"/>
              </w:rPr>
              <w:t>228,591</w:t>
            </w:r>
          </w:p>
          <w:p w14:paraId="42880BE7" w14:textId="77777777" w:rsidR="00F5497C" w:rsidRPr="0006760A" w:rsidRDefault="00F5497C" w:rsidP="009D7A18">
            <w:pPr>
              <w:tabs>
                <w:tab w:val="left" w:pos="2040"/>
                <w:tab w:val="right" w:pos="2835"/>
              </w:tabs>
              <w:rPr>
                <w:rFonts w:ascii="Arial" w:hAnsi="Arial" w:cs="Arial"/>
                <w:color w:val="0000FF"/>
                <w:sz w:val="14"/>
                <w:szCs w:val="14"/>
              </w:rPr>
            </w:pPr>
            <w:r w:rsidRPr="0006760A">
              <w:rPr>
                <w:rFonts w:ascii="Arial" w:hAnsi="Arial" w:cs="Arial"/>
                <w:i/>
                <w:iCs/>
                <w:color w:val="0000FF"/>
                <w:sz w:val="14"/>
                <w:szCs w:val="14"/>
              </w:rPr>
              <w:t xml:space="preserve">Total development share SG IX:         </w:t>
            </w:r>
            <w:r>
              <w:rPr>
                <w:rFonts w:ascii="Arial" w:hAnsi="Arial" w:cs="Arial"/>
                <w:i/>
                <w:iCs/>
                <w:color w:val="0000FF"/>
                <w:sz w:val="14"/>
                <w:szCs w:val="14"/>
              </w:rPr>
              <w:t xml:space="preserve">    </w:t>
            </w:r>
            <w:r w:rsidRPr="0006760A">
              <w:rPr>
                <w:rFonts w:ascii="Arial" w:hAnsi="Arial" w:cs="Arial"/>
                <w:i/>
                <w:iCs/>
                <w:color w:val="0000FF"/>
                <w:sz w:val="14"/>
                <w:szCs w:val="14"/>
              </w:rPr>
              <w:t xml:space="preserve"> </w:t>
            </w:r>
            <w:r>
              <w:rPr>
                <w:rFonts w:ascii="Arial" w:hAnsi="Arial" w:cs="Arial"/>
                <w:i/>
                <w:iCs/>
                <w:color w:val="0000FF"/>
                <w:sz w:val="14"/>
                <w:szCs w:val="14"/>
              </w:rPr>
              <w:t>963</w:t>
            </w:r>
          </w:p>
        </w:tc>
      </w:tr>
      <w:tr w:rsidR="00F5497C" w:rsidRPr="0006760A" w14:paraId="26E59343" w14:textId="77777777" w:rsidTr="009D7A18">
        <w:trPr>
          <w:trHeight w:val="684"/>
        </w:trPr>
        <w:tc>
          <w:tcPr>
            <w:tcW w:w="387" w:type="dxa"/>
            <w:tcBorders>
              <w:top w:val="nil"/>
              <w:left w:val="nil"/>
              <w:bottom w:val="nil"/>
              <w:right w:val="nil"/>
            </w:tcBorders>
            <w:shd w:val="clear" w:color="auto" w:fill="auto"/>
            <w:noWrap/>
            <w:vAlign w:val="bottom"/>
          </w:tcPr>
          <w:p w14:paraId="673B9694" w14:textId="77777777" w:rsidR="00F5497C" w:rsidRPr="0018132B" w:rsidRDefault="00F5497C" w:rsidP="009D7A18">
            <w:pPr>
              <w:tabs>
                <w:tab w:val="right" w:pos="2835"/>
              </w:tabs>
              <w:rPr>
                <w:rFonts w:cs="Arial"/>
                <w:sz w:val="16"/>
                <w:szCs w:val="16"/>
              </w:rPr>
            </w:pPr>
          </w:p>
        </w:tc>
        <w:tc>
          <w:tcPr>
            <w:tcW w:w="9124" w:type="dxa"/>
            <w:gridSpan w:val="3"/>
            <w:tcBorders>
              <w:top w:val="single" w:sz="4" w:space="0" w:color="auto"/>
              <w:left w:val="nil"/>
              <w:bottom w:val="nil"/>
              <w:right w:val="nil"/>
            </w:tcBorders>
            <w:shd w:val="clear" w:color="auto" w:fill="auto"/>
            <w:vAlign w:val="center"/>
          </w:tcPr>
          <w:p w14:paraId="740CAA77" w14:textId="63EFF75C" w:rsidR="00F5497C" w:rsidRPr="0006760A" w:rsidRDefault="00F5497C" w:rsidP="009D7A18">
            <w:pPr>
              <w:tabs>
                <w:tab w:val="right" w:pos="2835"/>
              </w:tabs>
              <w:rPr>
                <w:rFonts w:ascii="Arial" w:hAnsi="Arial" w:cs="Arial"/>
                <w:i/>
                <w:iCs/>
                <w:sz w:val="12"/>
                <w:szCs w:val="12"/>
              </w:rPr>
            </w:pPr>
            <w:r w:rsidRPr="0006760A">
              <w:rPr>
                <w:rFonts w:ascii="Arial" w:hAnsi="Arial" w:cs="Arial"/>
                <w:i/>
                <w:iCs/>
                <w:sz w:val="12"/>
                <w:szCs w:val="12"/>
                <w:vertAlign w:val="superscript"/>
              </w:rPr>
              <w:t>1</w:t>
            </w:r>
            <w:r w:rsidRPr="0006760A">
              <w:rPr>
                <w:rFonts w:ascii="Arial" w:hAnsi="Arial" w:cs="Arial"/>
                <w:i/>
                <w:iCs/>
                <w:sz w:val="12"/>
                <w:szCs w:val="12"/>
              </w:rPr>
              <w:t xml:space="preserve"> The proposed budget by results does not include the proposed budget for unallocated: </w:t>
            </w:r>
            <w:r w:rsidR="00A74116">
              <w:rPr>
                <w:rFonts w:ascii="Arial" w:hAnsi="Arial" w:cs="Arial"/>
                <w:i/>
                <w:iCs/>
                <w:sz w:val="12"/>
                <w:szCs w:val="12"/>
              </w:rPr>
              <w:t>6.319 million Swiss francs</w:t>
            </w:r>
          </w:p>
          <w:p w14:paraId="24F49D5B" w14:textId="77777777" w:rsidR="00F5497C" w:rsidRPr="0006760A" w:rsidRDefault="00F5497C" w:rsidP="009D7A18">
            <w:pPr>
              <w:tabs>
                <w:tab w:val="right" w:pos="2835"/>
              </w:tabs>
              <w:rPr>
                <w:rFonts w:ascii="Arial" w:hAnsi="Arial" w:cs="Arial"/>
                <w:i/>
                <w:iCs/>
                <w:sz w:val="12"/>
                <w:szCs w:val="12"/>
              </w:rPr>
            </w:pPr>
            <w:r w:rsidRPr="0006760A">
              <w:rPr>
                <w:rFonts w:ascii="Arial" w:hAnsi="Arial" w:cs="Arial"/>
                <w:i/>
                <w:iCs/>
                <w:sz w:val="12"/>
                <w:szCs w:val="12"/>
                <w:vertAlign w:val="superscript"/>
              </w:rPr>
              <w:t>2</w:t>
            </w:r>
            <w:r w:rsidRPr="0006760A">
              <w:rPr>
                <w:rFonts w:ascii="Arial" w:hAnsi="Arial" w:cs="Arial"/>
                <w:i/>
                <w:iCs/>
                <w:sz w:val="12"/>
                <w:szCs w:val="12"/>
              </w:rPr>
              <w:t xml:space="preserve"> Development share: Expenditure is qualified as development expenditure only where the beneficiary is a developing country and the equivalent expenditure is not available for developed countries (consistent with past practice, countries with economies in transition are included for the purposes of the Program and Budget)</w:t>
            </w:r>
          </w:p>
          <w:p w14:paraId="574564C7" w14:textId="77777777" w:rsidR="00F5497C" w:rsidRPr="0006760A" w:rsidRDefault="00F5497C" w:rsidP="009D7A18">
            <w:pPr>
              <w:tabs>
                <w:tab w:val="right" w:pos="2835"/>
              </w:tabs>
              <w:rPr>
                <w:rFonts w:ascii="Arial" w:hAnsi="Arial" w:cs="Arial"/>
                <w:i/>
                <w:iCs/>
                <w:sz w:val="12"/>
                <w:szCs w:val="12"/>
              </w:rPr>
            </w:pPr>
            <w:r w:rsidRPr="0006760A">
              <w:rPr>
                <w:rFonts w:ascii="Arial" w:hAnsi="Arial" w:cs="Arial"/>
                <w:i/>
                <w:iCs/>
                <w:sz w:val="12"/>
                <w:szCs w:val="12"/>
                <w:vertAlign w:val="superscript"/>
              </w:rPr>
              <w:t xml:space="preserve">3 </w:t>
            </w:r>
            <w:r w:rsidRPr="0006760A">
              <w:rPr>
                <w:rFonts w:ascii="Arial" w:hAnsi="Arial" w:cs="Arial"/>
                <w:i/>
                <w:iCs/>
                <w:sz w:val="12"/>
                <w:szCs w:val="12"/>
              </w:rPr>
              <w:t>The figures for Development Share include Development Agenda project resources</w:t>
            </w:r>
          </w:p>
          <w:p w14:paraId="1C381364" w14:textId="77777777" w:rsidR="00F5497C" w:rsidRPr="0006760A" w:rsidRDefault="00F5497C" w:rsidP="009D7A18">
            <w:pPr>
              <w:tabs>
                <w:tab w:val="right" w:pos="2835"/>
              </w:tabs>
              <w:rPr>
                <w:rFonts w:ascii="Arial" w:hAnsi="Arial" w:cs="Arial"/>
                <w:i/>
                <w:iCs/>
                <w:sz w:val="12"/>
                <w:szCs w:val="12"/>
              </w:rPr>
            </w:pPr>
            <w:r w:rsidRPr="0006760A">
              <w:rPr>
                <w:rFonts w:ascii="Arial" w:hAnsi="Arial" w:cs="Arial"/>
                <w:i/>
                <w:iCs/>
                <w:sz w:val="12"/>
                <w:szCs w:val="12"/>
                <w:vertAlign w:val="superscript"/>
              </w:rPr>
              <w:t xml:space="preserve">4 </w:t>
            </w:r>
            <w:r w:rsidRPr="0006760A">
              <w:rPr>
                <w:rFonts w:ascii="Arial" w:hAnsi="Arial" w:cs="Arial"/>
                <w:i/>
                <w:iCs/>
                <w:sz w:val="12"/>
                <w:szCs w:val="12"/>
              </w:rPr>
              <w:t>Figures might not add up to total budget due to rounding</w:t>
            </w:r>
          </w:p>
        </w:tc>
        <w:tc>
          <w:tcPr>
            <w:tcW w:w="3041" w:type="dxa"/>
            <w:tcBorders>
              <w:top w:val="nil"/>
              <w:left w:val="nil"/>
              <w:bottom w:val="nil"/>
              <w:right w:val="nil"/>
            </w:tcBorders>
            <w:shd w:val="clear" w:color="auto" w:fill="auto"/>
            <w:noWrap/>
            <w:vAlign w:val="bottom"/>
          </w:tcPr>
          <w:p w14:paraId="2E4CA8CA" w14:textId="77777777" w:rsidR="00F5497C" w:rsidRPr="0006760A" w:rsidRDefault="00F5497C" w:rsidP="009D7A18">
            <w:pPr>
              <w:tabs>
                <w:tab w:val="right" w:pos="2835"/>
              </w:tabs>
              <w:rPr>
                <w:rFonts w:ascii="Arial" w:hAnsi="Arial" w:cs="Arial"/>
                <w:sz w:val="16"/>
                <w:szCs w:val="16"/>
              </w:rPr>
            </w:pPr>
          </w:p>
        </w:tc>
        <w:tc>
          <w:tcPr>
            <w:tcW w:w="3040" w:type="dxa"/>
            <w:tcBorders>
              <w:top w:val="nil"/>
              <w:left w:val="nil"/>
              <w:bottom w:val="nil"/>
              <w:right w:val="nil"/>
            </w:tcBorders>
            <w:shd w:val="clear" w:color="auto" w:fill="auto"/>
            <w:noWrap/>
            <w:vAlign w:val="bottom"/>
          </w:tcPr>
          <w:p w14:paraId="4DF40F78" w14:textId="77777777" w:rsidR="00F5497C" w:rsidRPr="0006760A" w:rsidRDefault="00F5497C" w:rsidP="009D7A18">
            <w:pPr>
              <w:tabs>
                <w:tab w:val="right" w:pos="2835"/>
              </w:tabs>
              <w:rPr>
                <w:rFonts w:ascii="Arial" w:hAnsi="Arial" w:cs="Arial"/>
                <w:sz w:val="16"/>
                <w:szCs w:val="16"/>
              </w:rPr>
            </w:pPr>
          </w:p>
        </w:tc>
        <w:tc>
          <w:tcPr>
            <w:tcW w:w="6086" w:type="dxa"/>
            <w:gridSpan w:val="2"/>
            <w:tcBorders>
              <w:top w:val="nil"/>
              <w:left w:val="nil"/>
              <w:bottom w:val="nil"/>
              <w:right w:val="nil"/>
            </w:tcBorders>
            <w:shd w:val="clear" w:color="auto" w:fill="auto"/>
            <w:noWrap/>
          </w:tcPr>
          <w:p w14:paraId="27025061" w14:textId="77777777" w:rsidR="00F5497C" w:rsidRPr="0006760A" w:rsidRDefault="00F5497C" w:rsidP="009D7A18">
            <w:pPr>
              <w:tabs>
                <w:tab w:val="right" w:pos="2835"/>
              </w:tabs>
              <w:rPr>
                <w:rFonts w:ascii="Arial" w:hAnsi="Arial" w:cs="Arial"/>
                <w:b/>
                <w:bCs/>
                <w:i/>
                <w:iCs/>
                <w:sz w:val="16"/>
                <w:szCs w:val="16"/>
              </w:rPr>
            </w:pPr>
          </w:p>
          <w:p w14:paraId="1ED24E4A" w14:textId="77777777" w:rsidR="00F5497C" w:rsidRPr="0006760A" w:rsidRDefault="00F5497C" w:rsidP="009D7A18">
            <w:pPr>
              <w:tabs>
                <w:tab w:val="right" w:pos="2835"/>
              </w:tabs>
              <w:rPr>
                <w:rFonts w:ascii="Arial" w:hAnsi="Arial" w:cs="Arial"/>
                <w:b/>
                <w:bCs/>
                <w:i/>
                <w:iCs/>
                <w:sz w:val="16"/>
                <w:szCs w:val="16"/>
              </w:rPr>
            </w:pPr>
            <w:r w:rsidRPr="0006760A">
              <w:rPr>
                <w:rFonts w:ascii="Arial" w:hAnsi="Arial" w:cs="Arial"/>
                <w:b/>
                <w:bCs/>
                <w:i/>
                <w:iCs/>
                <w:sz w:val="16"/>
                <w:szCs w:val="16"/>
              </w:rPr>
              <w:t>Total proposed budget 20</w:t>
            </w:r>
            <w:r>
              <w:rPr>
                <w:rFonts w:ascii="Arial" w:hAnsi="Arial" w:cs="Arial"/>
                <w:b/>
                <w:bCs/>
                <w:i/>
                <w:iCs/>
                <w:sz w:val="16"/>
                <w:szCs w:val="16"/>
              </w:rPr>
              <w:t>16/17</w:t>
            </w:r>
            <w:r w:rsidRPr="0006760A">
              <w:rPr>
                <w:rFonts w:ascii="Arial" w:hAnsi="Arial" w:cs="Arial"/>
                <w:b/>
                <w:bCs/>
                <w:i/>
                <w:iCs/>
                <w:sz w:val="16"/>
                <w:szCs w:val="16"/>
              </w:rPr>
              <w:t xml:space="preserve">: </w:t>
            </w:r>
            <w:r>
              <w:rPr>
                <w:rFonts w:ascii="Arial" w:hAnsi="Arial" w:cs="Arial"/>
                <w:b/>
                <w:bCs/>
                <w:i/>
                <w:iCs/>
                <w:sz w:val="16"/>
                <w:szCs w:val="16"/>
              </w:rPr>
              <w:t>707,036</w:t>
            </w:r>
            <w:r w:rsidRPr="0006760A">
              <w:rPr>
                <w:rFonts w:ascii="Arial" w:hAnsi="Arial" w:cs="Arial"/>
                <w:b/>
                <w:bCs/>
                <w:i/>
                <w:iCs/>
                <w:sz w:val="16"/>
                <w:szCs w:val="16"/>
              </w:rPr>
              <w:t xml:space="preserve">  </w:t>
            </w:r>
            <w:r w:rsidRPr="0006760A">
              <w:rPr>
                <w:rFonts w:ascii="Arial" w:hAnsi="Arial" w:cs="Arial"/>
                <w:b/>
                <w:bCs/>
                <w:i/>
                <w:iCs/>
                <w:sz w:val="16"/>
                <w:szCs w:val="16"/>
              </w:rPr>
              <w:tab/>
            </w:r>
            <w:r w:rsidRPr="0006760A">
              <w:rPr>
                <w:rFonts w:ascii="Arial" w:hAnsi="Arial" w:cs="Arial"/>
                <w:b/>
                <w:bCs/>
                <w:i/>
                <w:iCs/>
                <w:sz w:val="16"/>
                <w:szCs w:val="16"/>
              </w:rPr>
              <w:tab/>
              <w:t xml:space="preserve"> </w:t>
            </w:r>
          </w:p>
          <w:p w14:paraId="05123771" w14:textId="695FA69D" w:rsidR="00F5497C" w:rsidRPr="0006760A" w:rsidRDefault="00F5497C">
            <w:pPr>
              <w:tabs>
                <w:tab w:val="right" w:pos="2663"/>
              </w:tabs>
              <w:rPr>
                <w:rFonts w:ascii="Arial" w:hAnsi="Arial" w:cs="Arial"/>
                <w:b/>
                <w:bCs/>
                <w:i/>
                <w:iCs/>
                <w:color w:val="0000FF"/>
                <w:sz w:val="16"/>
                <w:szCs w:val="16"/>
              </w:rPr>
            </w:pPr>
            <w:r w:rsidRPr="0006760A">
              <w:rPr>
                <w:rFonts w:ascii="Arial" w:hAnsi="Arial" w:cs="Arial"/>
                <w:b/>
                <w:bCs/>
                <w:i/>
                <w:iCs/>
                <w:color w:val="0000FF"/>
                <w:sz w:val="16"/>
                <w:szCs w:val="16"/>
              </w:rPr>
              <w:t xml:space="preserve">Total development share:      </w:t>
            </w:r>
            <w:r w:rsidRPr="0006760A">
              <w:rPr>
                <w:rFonts w:ascii="Arial" w:hAnsi="Arial" w:cs="Arial"/>
                <w:b/>
                <w:bCs/>
                <w:i/>
                <w:iCs/>
                <w:color w:val="0000FF"/>
                <w:sz w:val="16"/>
                <w:szCs w:val="16"/>
              </w:rPr>
              <w:tab/>
            </w:r>
            <w:r>
              <w:rPr>
                <w:rFonts w:ascii="Arial" w:hAnsi="Arial" w:cs="Arial"/>
                <w:b/>
                <w:bCs/>
                <w:i/>
                <w:iCs/>
                <w:color w:val="0000FF"/>
                <w:sz w:val="16"/>
                <w:szCs w:val="16"/>
              </w:rPr>
              <w:t>15</w:t>
            </w:r>
            <w:r w:rsidR="00F85ED0">
              <w:rPr>
                <w:rFonts w:ascii="Arial" w:hAnsi="Arial" w:cs="Arial"/>
                <w:b/>
                <w:bCs/>
                <w:i/>
                <w:iCs/>
                <w:color w:val="0000FF"/>
                <w:sz w:val="16"/>
                <w:szCs w:val="16"/>
              </w:rPr>
              <w:t>1,500</w:t>
            </w:r>
            <w:r w:rsidRPr="0006760A">
              <w:rPr>
                <w:rFonts w:ascii="Arial" w:hAnsi="Arial" w:cs="Arial"/>
                <w:b/>
                <w:bCs/>
                <w:i/>
                <w:iCs/>
                <w:color w:val="0000FF"/>
                <w:sz w:val="16"/>
                <w:szCs w:val="16"/>
              </w:rPr>
              <w:t xml:space="preserve">  </w:t>
            </w:r>
            <w:r w:rsidRPr="0006760A">
              <w:rPr>
                <w:rFonts w:ascii="Arial" w:hAnsi="Arial" w:cs="Arial"/>
                <w:b/>
                <w:bCs/>
                <w:i/>
                <w:iCs/>
                <w:color w:val="0000FF"/>
                <w:sz w:val="16"/>
                <w:szCs w:val="16"/>
              </w:rPr>
              <w:tab/>
            </w:r>
            <w:r w:rsidRPr="0006760A">
              <w:rPr>
                <w:rFonts w:ascii="Arial" w:hAnsi="Arial" w:cs="Arial"/>
                <w:b/>
                <w:bCs/>
                <w:i/>
                <w:iCs/>
                <w:color w:val="0000FF"/>
                <w:sz w:val="16"/>
                <w:szCs w:val="16"/>
              </w:rPr>
              <w:tab/>
            </w:r>
          </w:p>
        </w:tc>
      </w:tr>
    </w:tbl>
    <w:p w14:paraId="5B7BCD35" w14:textId="108EA4BA" w:rsidR="00357038" w:rsidRDefault="00357038" w:rsidP="00F02301">
      <w:pPr>
        <w:widowControl w:val="0"/>
        <w:tabs>
          <w:tab w:val="num" w:pos="690"/>
        </w:tabs>
        <w:rPr>
          <w:rFonts w:ascii="Arial" w:eastAsia="SimSun" w:hAnsi="Arial" w:cs="Arial"/>
          <w:b/>
          <w:color w:val="000000"/>
          <w:sz w:val="20"/>
          <w:highlight w:val="yellow"/>
          <w:lang w:eastAsia="zh-CN"/>
        </w:rPr>
      </w:pPr>
    </w:p>
    <w:p w14:paraId="4B522B51" w14:textId="77777777" w:rsidR="00357038" w:rsidRDefault="00357038">
      <w:pPr>
        <w:rPr>
          <w:rFonts w:ascii="Arial" w:eastAsia="SimSun" w:hAnsi="Arial" w:cs="Arial"/>
          <w:b/>
          <w:color w:val="000000"/>
          <w:sz w:val="20"/>
          <w:highlight w:val="yellow"/>
          <w:lang w:eastAsia="zh-CN"/>
        </w:rPr>
      </w:pPr>
      <w:r>
        <w:rPr>
          <w:rFonts w:ascii="Arial" w:eastAsia="SimSun" w:hAnsi="Arial" w:cs="Arial"/>
          <w:b/>
          <w:color w:val="000000"/>
          <w:sz w:val="20"/>
          <w:highlight w:val="yellow"/>
          <w:lang w:eastAsia="zh-CN"/>
        </w:rPr>
        <w:br w:type="page"/>
      </w:r>
    </w:p>
    <w:p w14:paraId="65307F40" w14:textId="77777777" w:rsidR="005548F2" w:rsidRDefault="005548F2" w:rsidP="00F02301">
      <w:pPr>
        <w:widowControl w:val="0"/>
        <w:tabs>
          <w:tab w:val="num" w:pos="690"/>
        </w:tabs>
        <w:rPr>
          <w:rFonts w:ascii="Arial" w:eastAsia="SimSun" w:hAnsi="Arial" w:cs="Arial"/>
          <w:b/>
          <w:color w:val="000000"/>
          <w:sz w:val="20"/>
          <w:highlight w:val="yellow"/>
          <w:lang w:eastAsia="zh-CN"/>
        </w:rPr>
      </w:pPr>
    </w:p>
    <w:p w14:paraId="6228DB75" w14:textId="15296C90" w:rsidR="00F5497C" w:rsidRDefault="005548F2" w:rsidP="00F02301">
      <w:pPr>
        <w:widowControl w:val="0"/>
        <w:tabs>
          <w:tab w:val="num" w:pos="690"/>
        </w:tabs>
        <w:rPr>
          <w:rFonts w:ascii="Arial" w:eastAsia="SimSun" w:hAnsi="Arial" w:cs="Arial"/>
          <w:b/>
          <w:color w:val="000000"/>
          <w:sz w:val="20"/>
          <w:highlight w:val="yellow"/>
          <w:lang w:eastAsia="zh-CN"/>
        </w:rPr>
        <w:sectPr w:rsidR="00F5497C" w:rsidSect="00357038">
          <w:pgSz w:w="23814" w:h="16839" w:orient="landscape" w:code="8"/>
          <w:pgMar w:top="1077" w:right="624" w:bottom="964" w:left="1134" w:header="567" w:footer="851" w:gutter="0"/>
          <w:cols w:space="720"/>
          <w:docGrid w:linePitch="360"/>
        </w:sectPr>
      </w:pPr>
      <w:r>
        <w:rPr>
          <w:rFonts w:ascii="Arial" w:eastAsia="SimSun" w:hAnsi="Arial" w:cs="Arial"/>
          <w:b/>
          <w:color w:val="000000"/>
          <w:sz w:val="20"/>
          <w:highlight w:val="yellow"/>
          <w:lang w:eastAsia="zh-CN"/>
        </w:rPr>
        <w:br w:type="page"/>
      </w:r>
    </w:p>
    <w:p w14:paraId="6618DEF3" w14:textId="6CE5935A" w:rsidR="00B67D0A" w:rsidRPr="00F51335" w:rsidRDefault="00B67D0A" w:rsidP="00F51335">
      <w:pPr>
        <w:pStyle w:val="StyleHeading3ComplexItalic"/>
        <w:tabs>
          <w:tab w:val="clear" w:pos="1985"/>
          <w:tab w:val="left" w:pos="1843"/>
        </w:tabs>
        <w:ind w:left="1843" w:hanging="1843"/>
        <w:rPr>
          <w:sz w:val="20"/>
        </w:rPr>
      </w:pPr>
      <w:bookmarkStart w:id="16" w:name="_Toc427154389"/>
      <w:r w:rsidRPr="00F51335">
        <w:rPr>
          <w:sz w:val="20"/>
        </w:rPr>
        <w:lastRenderedPageBreak/>
        <w:t xml:space="preserve">RESULTS AND </w:t>
      </w:r>
      <w:bookmarkEnd w:id="14"/>
      <w:bookmarkEnd w:id="15"/>
      <w:r w:rsidRPr="00F51335">
        <w:rPr>
          <w:sz w:val="20"/>
        </w:rPr>
        <w:t>RESOURCES</w:t>
      </w:r>
      <w:bookmarkEnd w:id="16"/>
    </w:p>
    <w:p w14:paraId="3E52C2DB" w14:textId="77777777" w:rsidR="00466359" w:rsidRDefault="00466359" w:rsidP="00F02301">
      <w:pPr>
        <w:jc w:val="both"/>
        <w:rPr>
          <w:rFonts w:ascii="Arial" w:hAnsi="Arial"/>
          <w:sz w:val="20"/>
        </w:rPr>
      </w:pPr>
    </w:p>
    <w:p w14:paraId="080A1943" w14:textId="77777777" w:rsidR="00466359" w:rsidRDefault="00466359" w:rsidP="00F02301">
      <w:pPr>
        <w:jc w:val="both"/>
        <w:rPr>
          <w:rFonts w:ascii="Arial" w:hAnsi="Arial"/>
          <w:sz w:val="20"/>
        </w:rPr>
      </w:pPr>
    </w:p>
    <w:p w14:paraId="632DF534" w14:textId="053B6AED" w:rsidR="00B67D0A" w:rsidRPr="00F310F2" w:rsidRDefault="00B67D0A" w:rsidP="00B66A4A">
      <w:pPr>
        <w:pStyle w:val="ListParagraph"/>
        <w:widowControl w:val="0"/>
        <w:numPr>
          <w:ilvl w:val="0"/>
          <w:numId w:val="33"/>
        </w:numPr>
        <w:tabs>
          <w:tab w:val="left" w:pos="567"/>
        </w:tabs>
        <w:ind w:left="0" w:firstLine="0"/>
        <w:jc w:val="both"/>
        <w:rPr>
          <w:rFonts w:ascii="Arial" w:hAnsi="Arial"/>
          <w:sz w:val="20"/>
        </w:rPr>
      </w:pPr>
      <w:r w:rsidRPr="004E06D4">
        <w:rPr>
          <w:rFonts w:ascii="Arial" w:hAnsi="Arial"/>
          <w:sz w:val="20"/>
        </w:rPr>
        <w:t xml:space="preserve">The proposal for the biennium 2016/17 ensures that the Organization’s resources continue to be deployed towards the achievement of results that are of highest value to our Member States and stakeholders.  </w:t>
      </w:r>
      <w:r w:rsidRPr="004E06D4">
        <w:rPr>
          <w:rFonts w:ascii="Arial" w:eastAsia="SimSun" w:hAnsi="Arial" w:cs="Arial"/>
          <w:color w:val="000000"/>
          <w:sz w:val="20"/>
          <w:lang w:eastAsia="zh-CN"/>
        </w:rPr>
        <w:t>The total proposed expenditure for the 2016/17 biennium amount</w:t>
      </w:r>
      <w:r w:rsidR="003866D2">
        <w:rPr>
          <w:rFonts w:ascii="Arial" w:eastAsia="SimSun" w:hAnsi="Arial" w:cs="Arial"/>
          <w:color w:val="000000"/>
          <w:sz w:val="20"/>
          <w:lang w:eastAsia="zh-CN"/>
        </w:rPr>
        <w:t>s</w:t>
      </w:r>
      <w:r w:rsidRPr="004E06D4">
        <w:rPr>
          <w:rFonts w:ascii="Arial" w:eastAsia="SimSun" w:hAnsi="Arial" w:cs="Arial"/>
          <w:color w:val="000000"/>
          <w:sz w:val="20"/>
          <w:lang w:eastAsia="zh-CN"/>
        </w:rPr>
        <w:t xml:space="preserve"> to 707.0 million Swiss francs, representing an increase of 33 million Swiss francs or 4.9 per cent over the 2014/15 </w:t>
      </w:r>
      <w:r w:rsidR="003866D2">
        <w:rPr>
          <w:rFonts w:ascii="Arial" w:eastAsia="SimSun" w:hAnsi="Arial" w:cs="Arial"/>
          <w:color w:val="000000"/>
          <w:sz w:val="20"/>
          <w:lang w:eastAsia="zh-CN"/>
        </w:rPr>
        <w:t>A</w:t>
      </w:r>
      <w:r w:rsidR="003866D2" w:rsidRPr="004E06D4">
        <w:rPr>
          <w:rFonts w:ascii="Arial" w:eastAsia="SimSun" w:hAnsi="Arial" w:cs="Arial"/>
          <w:color w:val="000000"/>
          <w:sz w:val="20"/>
          <w:lang w:eastAsia="zh-CN"/>
        </w:rPr>
        <w:t xml:space="preserve">pproved </w:t>
      </w:r>
      <w:r w:rsidR="003866D2">
        <w:rPr>
          <w:rFonts w:ascii="Arial" w:eastAsia="SimSun" w:hAnsi="Arial" w:cs="Arial"/>
          <w:color w:val="000000"/>
          <w:sz w:val="20"/>
          <w:lang w:eastAsia="zh-CN"/>
        </w:rPr>
        <w:t>B</w:t>
      </w:r>
      <w:r w:rsidR="003866D2" w:rsidRPr="004E06D4">
        <w:rPr>
          <w:rFonts w:ascii="Arial" w:eastAsia="SimSun" w:hAnsi="Arial" w:cs="Arial"/>
          <w:color w:val="000000"/>
          <w:sz w:val="20"/>
          <w:lang w:eastAsia="zh-CN"/>
        </w:rPr>
        <w:t>udget</w:t>
      </w:r>
      <w:r w:rsidR="003866D2">
        <w:rPr>
          <w:rFonts w:ascii="Arial" w:eastAsia="SimSun" w:hAnsi="Arial" w:cs="Arial"/>
          <w:color w:val="000000"/>
          <w:sz w:val="20"/>
          <w:lang w:eastAsia="zh-CN"/>
        </w:rPr>
        <w:t xml:space="preserve"> of 674 million Swiss francs</w:t>
      </w:r>
      <w:r w:rsidRPr="004E06D4">
        <w:rPr>
          <w:rFonts w:ascii="Arial" w:eastAsia="SimSun" w:hAnsi="Arial" w:cs="Arial"/>
          <w:color w:val="000000"/>
          <w:sz w:val="20"/>
          <w:lang w:eastAsia="zh-CN"/>
        </w:rPr>
        <w:t xml:space="preserve">.  </w:t>
      </w:r>
      <w:r>
        <w:rPr>
          <w:rFonts w:ascii="Arial" w:eastAsia="SimSun" w:hAnsi="Arial" w:cs="Arial"/>
          <w:color w:val="000000"/>
          <w:sz w:val="20"/>
          <w:lang w:eastAsia="zh-CN"/>
        </w:rPr>
        <w:t>This should be seen in the context of an estimated increase in income of 6.</w:t>
      </w:r>
      <w:r w:rsidR="00123A82">
        <w:rPr>
          <w:rFonts w:ascii="Arial" w:eastAsia="SimSun" w:hAnsi="Arial" w:cs="Arial"/>
          <w:color w:val="000000"/>
          <w:sz w:val="20"/>
          <w:lang w:eastAsia="zh-CN"/>
        </w:rPr>
        <w:t xml:space="preserve">0 </w:t>
      </w:r>
      <w:r>
        <w:rPr>
          <w:rFonts w:ascii="Arial" w:eastAsia="SimSun" w:hAnsi="Arial" w:cs="Arial"/>
          <w:color w:val="000000"/>
          <w:sz w:val="20"/>
          <w:lang w:eastAsia="zh-CN"/>
        </w:rPr>
        <w:t xml:space="preserve">per cent compared to the 2014/15 Approved Budget. This illustrates the Secretariat’s efforts to contain costs in spite of increasing demands for its services. </w:t>
      </w:r>
    </w:p>
    <w:p w14:paraId="7524BF6D" w14:textId="77777777" w:rsidR="00B67D0A" w:rsidRPr="00F310F2" w:rsidRDefault="00B67D0A" w:rsidP="00F02301">
      <w:pPr>
        <w:jc w:val="both"/>
        <w:rPr>
          <w:rFonts w:ascii="Arial" w:hAnsi="Arial"/>
          <w:sz w:val="20"/>
        </w:rPr>
      </w:pPr>
    </w:p>
    <w:p w14:paraId="1DD0BC40" w14:textId="77777777" w:rsidR="00B67D0A" w:rsidRPr="00696159" w:rsidRDefault="00B67D0A" w:rsidP="00B66A4A">
      <w:pPr>
        <w:pStyle w:val="ListParagraph"/>
        <w:widowControl w:val="0"/>
        <w:numPr>
          <w:ilvl w:val="0"/>
          <w:numId w:val="33"/>
        </w:numPr>
        <w:tabs>
          <w:tab w:val="left" w:pos="567"/>
        </w:tabs>
        <w:ind w:left="0" w:firstLine="0"/>
        <w:jc w:val="both"/>
        <w:rPr>
          <w:rFonts w:ascii="Arial" w:hAnsi="Arial"/>
          <w:sz w:val="20"/>
        </w:rPr>
      </w:pPr>
      <w:r w:rsidRPr="00466359">
        <w:rPr>
          <w:rFonts w:ascii="Arial" w:hAnsi="Arial"/>
          <w:sz w:val="20"/>
          <w:lang w:val="en-CA"/>
        </w:rPr>
        <w:t>The</w:t>
      </w:r>
      <w:r w:rsidRPr="008754A4">
        <w:rPr>
          <w:rFonts w:ascii="Arial" w:hAnsi="Arial"/>
          <w:sz w:val="20"/>
        </w:rPr>
        <w:t xml:space="preserve"> </w:t>
      </w:r>
      <w:r>
        <w:rPr>
          <w:rFonts w:ascii="Arial" w:hAnsi="Arial"/>
          <w:sz w:val="20"/>
        </w:rPr>
        <w:t>Results Framework Chart</w:t>
      </w:r>
      <w:r w:rsidRPr="008754A4">
        <w:rPr>
          <w:rFonts w:ascii="Arial" w:hAnsi="Arial"/>
          <w:sz w:val="20"/>
        </w:rPr>
        <w:t xml:space="preserve"> </w:t>
      </w:r>
      <w:r>
        <w:rPr>
          <w:rFonts w:ascii="Arial" w:hAnsi="Arial"/>
          <w:sz w:val="20"/>
        </w:rPr>
        <w:t xml:space="preserve">sets out the 37 organizational Expected Results for the 2016/17 biennium providing the mandate for the Programs contributing to these results. The Chart also </w:t>
      </w:r>
      <w:r w:rsidRPr="008754A4">
        <w:rPr>
          <w:rFonts w:ascii="Arial" w:hAnsi="Arial"/>
          <w:sz w:val="20"/>
        </w:rPr>
        <w:t xml:space="preserve">provides the results-based view of the budget </w:t>
      </w:r>
      <w:r>
        <w:rPr>
          <w:rFonts w:ascii="Arial" w:hAnsi="Arial"/>
          <w:sz w:val="20"/>
        </w:rPr>
        <w:t xml:space="preserve">for the biennium </w:t>
      </w:r>
      <w:r w:rsidRPr="008754A4">
        <w:rPr>
          <w:rFonts w:ascii="Arial" w:hAnsi="Arial"/>
          <w:sz w:val="20"/>
        </w:rPr>
        <w:t>201</w:t>
      </w:r>
      <w:r>
        <w:rPr>
          <w:rFonts w:ascii="Arial" w:hAnsi="Arial"/>
          <w:sz w:val="20"/>
        </w:rPr>
        <w:t>6</w:t>
      </w:r>
      <w:r w:rsidRPr="008754A4">
        <w:rPr>
          <w:rFonts w:ascii="Arial" w:hAnsi="Arial"/>
          <w:sz w:val="20"/>
        </w:rPr>
        <w:t>/1</w:t>
      </w:r>
      <w:r>
        <w:rPr>
          <w:rFonts w:ascii="Arial" w:hAnsi="Arial"/>
          <w:sz w:val="20"/>
        </w:rPr>
        <w:t>7 and the development share of resources for each result</w:t>
      </w:r>
      <w:r w:rsidRPr="008754A4">
        <w:rPr>
          <w:rFonts w:ascii="Arial" w:hAnsi="Arial"/>
          <w:sz w:val="20"/>
        </w:rPr>
        <w:t>.</w:t>
      </w:r>
      <w:r>
        <w:rPr>
          <w:rFonts w:ascii="Arial" w:hAnsi="Arial"/>
          <w:sz w:val="20"/>
        </w:rPr>
        <w:t xml:space="preserve">  Furthermore, a breakdown of the extra-budgetary resources potentially available under each Program is reflected at the program level and in </w:t>
      </w:r>
      <w:r w:rsidRPr="00696159">
        <w:rPr>
          <w:rFonts w:ascii="Arial" w:hAnsi="Arial"/>
          <w:sz w:val="20"/>
        </w:rPr>
        <w:t xml:space="preserve">Annex </w:t>
      </w:r>
      <w:r w:rsidRPr="00DA3F93">
        <w:rPr>
          <w:rFonts w:ascii="Arial" w:hAnsi="Arial"/>
          <w:sz w:val="20"/>
        </w:rPr>
        <w:t>VIII</w:t>
      </w:r>
      <w:r w:rsidRPr="00696159">
        <w:rPr>
          <w:rFonts w:ascii="Arial" w:hAnsi="Arial"/>
          <w:sz w:val="20"/>
        </w:rPr>
        <w:t>.</w:t>
      </w:r>
    </w:p>
    <w:p w14:paraId="6BD29C45" w14:textId="77777777" w:rsidR="00B67D0A" w:rsidRDefault="00B67D0A" w:rsidP="00F02301">
      <w:pPr>
        <w:jc w:val="both"/>
        <w:rPr>
          <w:rFonts w:ascii="Arial" w:hAnsi="Arial"/>
          <w:sz w:val="20"/>
        </w:rPr>
      </w:pPr>
    </w:p>
    <w:p w14:paraId="09C1E5AD" w14:textId="022201AC" w:rsidR="00B67D0A" w:rsidRPr="00696159" w:rsidRDefault="00B67D0A" w:rsidP="00B66A4A">
      <w:pPr>
        <w:pStyle w:val="ListParagraph"/>
        <w:widowControl w:val="0"/>
        <w:numPr>
          <w:ilvl w:val="0"/>
          <w:numId w:val="33"/>
        </w:numPr>
        <w:tabs>
          <w:tab w:val="left" w:pos="567"/>
        </w:tabs>
        <w:ind w:left="0" w:firstLine="0"/>
        <w:jc w:val="both"/>
        <w:rPr>
          <w:rFonts w:ascii="Arial" w:hAnsi="Arial" w:cs="Arial"/>
          <w:sz w:val="20"/>
        </w:rPr>
      </w:pPr>
      <w:r>
        <w:rPr>
          <w:rFonts w:ascii="Arial" w:eastAsia="SimSun" w:hAnsi="Arial" w:cs="Arial"/>
          <w:color w:val="000000"/>
          <w:sz w:val="20"/>
          <w:lang w:eastAsia="zh-CN"/>
        </w:rPr>
        <w:t xml:space="preserve">The </w:t>
      </w:r>
      <w:r w:rsidRPr="00EA0FFC">
        <w:rPr>
          <w:rFonts w:ascii="Arial" w:eastAsia="SimSun" w:hAnsi="Arial" w:cs="Arial"/>
          <w:color w:val="000000"/>
          <w:sz w:val="20"/>
          <w:lang w:eastAsia="zh-CN"/>
        </w:rPr>
        <w:t>201</w:t>
      </w:r>
      <w:r>
        <w:rPr>
          <w:rFonts w:ascii="Arial" w:eastAsia="SimSun" w:hAnsi="Arial" w:cs="Arial"/>
          <w:color w:val="000000"/>
          <w:sz w:val="20"/>
          <w:lang w:eastAsia="zh-CN"/>
        </w:rPr>
        <w:t>6</w:t>
      </w:r>
      <w:r w:rsidRPr="00EA0FFC">
        <w:rPr>
          <w:rFonts w:ascii="Arial" w:eastAsia="SimSun" w:hAnsi="Arial" w:cs="Arial"/>
          <w:color w:val="000000"/>
          <w:sz w:val="20"/>
          <w:lang w:eastAsia="zh-CN"/>
        </w:rPr>
        <w:t>/1</w:t>
      </w:r>
      <w:r>
        <w:rPr>
          <w:rFonts w:ascii="Arial" w:eastAsia="SimSun" w:hAnsi="Arial" w:cs="Arial"/>
          <w:color w:val="000000"/>
          <w:sz w:val="20"/>
          <w:lang w:eastAsia="zh-CN"/>
        </w:rPr>
        <w:t>7</w:t>
      </w:r>
      <w:r w:rsidRPr="00EA0FFC">
        <w:rPr>
          <w:rFonts w:ascii="Arial" w:eastAsia="SimSun" w:hAnsi="Arial" w:cs="Arial"/>
          <w:color w:val="000000"/>
          <w:sz w:val="20"/>
          <w:lang w:eastAsia="zh-CN"/>
        </w:rPr>
        <w:t xml:space="preserve"> budget by </w:t>
      </w:r>
      <w:r>
        <w:rPr>
          <w:rFonts w:ascii="Arial" w:eastAsia="SimSun" w:hAnsi="Arial" w:cs="Arial"/>
          <w:color w:val="000000"/>
          <w:sz w:val="20"/>
          <w:lang w:eastAsia="zh-CN"/>
        </w:rPr>
        <w:t xml:space="preserve">Program and by </w:t>
      </w:r>
      <w:r w:rsidRPr="00EA0FFC">
        <w:rPr>
          <w:rFonts w:ascii="Arial" w:eastAsia="SimSun" w:hAnsi="Arial" w:cs="Arial"/>
          <w:color w:val="000000"/>
          <w:sz w:val="20"/>
          <w:lang w:eastAsia="zh-CN"/>
        </w:rPr>
        <w:t xml:space="preserve">cost </w:t>
      </w:r>
      <w:r w:rsidR="003866D2" w:rsidRPr="00EA0FFC">
        <w:rPr>
          <w:rFonts w:ascii="Arial" w:eastAsia="SimSun" w:hAnsi="Arial" w:cs="Arial"/>
          <w:color w:val="000000"/>
          <w:sz w:val="20"/>
          <w:lang w:eastAsia="zh-CN"/>
        </w:rPr>
        <w:t>categor</w:t>
      </w:r>
      <w:r w:rsidR="003866D2">
        <w:rPr>
          <w:rFonts w:ascii="Arial" w:eastAsia="SimSun" w:hAnsi="Arial" w:cs="Arial"/>
          <w:color w:val="000000"/>
          <w:sz w:val="20"/>
          <w:lang w:eastAsia="zh-CN"/>
        </w:rPr>
        <w:t xml:space="preserve">y is </w:t>
      </w:r>
      <w:r>
        <w:rPr>
          <w:rFonts w:ascii="Arial" w:eastAsia="SimSun" w:hAnsi="Arial" w:cs="Arial"/>
          <w:color w:val="000000"/>
          <w:sz w:val="20"/>
          <w:lang w:eastAsia="zh-CN"/>
        </w:rPr>
        <w:t xml:space="preserve">summarized in tables 4 and 5 below. </w:t>
      </w:r>
      <w:r w:rsidRPr="00EA0FFC">
        <w:rPr>
          <w:rFonts w:ascii="Arial" w:eastAsia="SimSun" w:hAnsi="Arial" w:cs="Arial"/>
          <w:color w:val="000000"/>
          <w:sz w:val="20"/>
          <w:lang w:eastAsia="zh-CN"/>
        </w:rPr>
        <w:t xml:space="preserve"> </w:t>
      </w:r>
      <w:r>
        <w:rPr>
          <w:rFonts w:ascii="Arial" w:eastAsia="SimSun" w:hAnsi="Arial" w:cs="Arial"/>
          <w:color w:val="000000"/>
          <w:sz w:val="20"/>
          <w:lang w:eastAsia="zh-CN"/>
        </w:rPr>
        <w:t xml:space="preserve">The program structure remains the same as in the biennium 2014/15, </w:t>
      </w:r>
      <w:r w:rsidR="00B1536A">
        <w:rPr>
          <w:rFonts w:ascii="Arial" w:eastAsia="SimSun" w:hAnsi="Arial" w:cs="Arial"/>
          <w:color w:val="000000"/>
          <w:sz w:val="20"/>
          <w:lang w:eastAsia="zh-CN"/>
        </w:rPr>
        <w:t xml:space="preserve">except </w:t>
      </w:r>
      <w:r>
        <w:rPr>
          <w:rFonts w:ascii="Arial" w:eastAsia="SimSun" w:hAnsi="Arial" w:cs="Arial"/>
          <w:color w:val="000000"/>
          <w:sz w:val="20"/>
          <w:lang w:eastAsia="zh-CN"/>
        </w:rPr>
        <w:t>for</w:t>
      </w:r>
      <w:r w:rsidR="00696159">
        <w:rPr>
          <w:rFonts w:ascii="Arial" w:eastAsia="SimSun" w:hAnsi="Arial" w:cs="Arial"/>
          <w:color w:val="000000"/>
          <w:sz w:val="20"/>
          <w:lang w:eastAsia="zh-CN"/>
        </w:rPr>
        <w:t xml:space="preserve"> (i)</w:t>
      </w:r>
      <w:r>
        <w:rPr>
          <w:rFonts w:ascii="Arial" w:eastAsia="SimSun" w:hAnsi="Arial" w:cs="Arial"/>
          <w:color w:val="000000"/>
          <w:sz w:val="20"/>
          <w:lang w:eastAsia="zh-CN"/>
        </w:rPr>
        <w:t xml:space="preserve"> Program 29 (New Conference Hall) which, following the completion of the construction, is not required in the biennium 2016/17</w:t>
      </w:r>
      <w:r w:rsidR="00696159">
        <w:rPr>
          <w:rFonts w:ascii="Arial" w:eastAsia="SimSun" w:hAnsi="Arial" w:cs="Arial"/>
          <w:color w:val="000000"/>
          <w:sz w:val="20"/>
          <w:lang w:eastAsia="zh-CN"/>
        </w:rPr>
        <w:t xml:space="preserve">, and (ii) Program 28 which now comprises </w:t>
      </w:r>
      <w:r w:rsidR="00696159" w:rsidRPr="00DA3F93">
        <w:rPr>
          <w:rFonts w:ascii="Arial" w:hAnsi="Arial" w:cs="Arial"/>
          <w:sz w:val="20"/>
          <w:lang w:val="en-GB"/>
        </w:rPr>
        <w:t xml:space="preserve">Information Assurance </w:t>
      </w:r>
      <w:r w:rsidR="00696159">
        <w:rPr>
          <w:rFonts w:ascii="Arial" w:hAnsi="Arial" w:cs="Arial"/>
          <w:sz w:val="20"/>
          <w:lang w:val="en-GB"/>
        </w:rPr>
        <w:t xml:space="preserve">(moved </w:t>
      </w:r>
      <w:r w:rsidR="00696159">
        <w:rPr>
          <w:rFonts w:ascii="Arial" w:hAnsi="Arial" w:cs="Arial"/>
          <w:sz w:val="20"/>
        </w:rPr>
        <w:t>from Program 25 (</w:t>
      </w:r>
      <w:r w:rsidR="00696159" w:rsidRPr="00DA3F93">
        <w:rPr>
          <w:rFonts w:ascii="Arial" w:hAnsi="Arial" w:cs="Arial"/>
          <w:sz w:val="20"/>
          <w:lang w:val="en-GB"/>
        </w:rPr>
        <w:t>Information and Communication Technology</w:t>
      </w:r>
      <w:r w:rsidR="00696159">
        <w:rPr>
          <w:rFonts w:ascii="Arial" w:hAnsi="Arial" w:cs="Arial"/>
          <w:sz w:val="20"/>
        </w:rPr>
        <w:t>)) as well as Safety and Security</w:t>
      </w:r>
      <w:r w:rsidR="00696159">
        <w:rPr>
          <w:rFonts w:ascii="Arial" w:hAnsi="Arial" w:cs="Arial"/>
          <w:sz w:val="20"/>
          <w:lang w:val="en-GB"/>
        </w:rPr>
        <w:t>.</w:t>
      </w:r>
      <w:r w:rsidR="00696159">
        <w:rPr>
          <w:rFonts w:ascii="Arial" w:eastAsia="SimSun" w:hAnsi="Arial" w:cs="Arial"/>
          <w:color w:val="000000"/>
          <w:sz w:val="20"/>
          <w:lang w:eastAsia="zh-CN"/>
        </w:rPr>
        <w:t xml:space="preserve"> </w:t>
      </w:r>
      <w:r>
        <w:rPr>
          <w:rFonts w:ascii="Arial" w:eastAsia="SimSun" w:hAnsi="Arial" w:cs="Arial"/>
          <w:color w:val="000000"/>
          <w:sz w:val="20"/>
          <w:lang w:eastAsia="zh-CN"/>
        </w:rPr>
        <w:t>T</w:t>
      </w:r>
      <w:r w:rsidRPr="00EA0FFC">
        <w:rPr>
          <w:rFonts w:ascii="Arial" w:eastAsia="SimSun" w:hAnsi="Arial" w:cs="Arial"/>
          <w:color w:val="000000"/>
          <w:sz w:val="20"/>
          <w:lang w:eastAsia="zh-CN"/>
        </w:rPr>
        <w:t xml:space="preserve">he comparison of the </w:t>
      </w:r>
      <w:r>
        <w:rPr>
          <w:rFonts w:ascii="Arial" w:eastAsia="SimSun" w:hAnsi="Arial" w:cs="Arial"/>
          <w:color w:val="000000"/>
          <w:sz w:val="20"/>
          <w:lang w:eastAsia="zh-CN"/>
        </w:rPr>
        <w:t xml:space="preserve">2016/17 budget by Program with the </w:t>
      </w:r>
      <w:r w:rsidRPr="00EA0FFC">
        <w:rPr>
          <w:rFonts w:ascii="Arial" w:eastAsia="SimSun" w:hAnsi="Arial" w:cs="Arial"/>
          <w:color w:val="000000"/>
          <w:sz w:val="20"/>
          <w:lang w:eastAsia="zh-CN"/>
        </w:rPr>
        <w:t>201</w:t>
      </w:r>
      <w:r>
        <w:rPr>
          <w:rFonts w:ascii="Arial" w:eastAsia="SimSun" w:hAnsi="Arial" w:cs="Arial"/>
          <w:color w:val="000000"/>
          <w:sz w:val="20"/>
          <w:lang w:eastAsia="zh-CN"/>
        </w:rPr>
        <w:t>4</w:t>
      </w:r>
      <w:r w:rsidRPr="00EA0FFC">
        <w:rPr>
          <w:rFonts w:ascii="Arial" w:eastAsia="SimSun" w:hAnsi="Arial" w:cs="Arial"/>
          <w:color w:val="000000"/>
          <w:sz w:val="20"/>
          <w:lang w:eastAsia="zh-CN"/>
        </w:rPr>
        <w:t>/1</w:t>
      </w:r>
      <w:r>
        <w:rPr>
          <w:rFonts w:ascii="Arial" w:eastAsia="SimSun" w:hAnsi="Arial" w:cs="Arial"/>
          <w:color w:val="000000"/>
          <w:sz w:val="20"/>
          <w:lang w:eastAsia="zh-CN"/>
        </w:rPr>
        <w:t>5</w:t>
      </w:r>
      <w:r w:rsidRPr="00EA0FFC">
        <w:rPr>
          <w:rFonts w:ascii="Arial" w:eastAsia="SimSun" w:hAnsi="Arial" w:cs="Arial"/>
          <w:color w:val="000000"/>
          <w:sz w:val="20"/>
          <w:lang w:eastAsia="zh-CN"/>
        </w:rPr>
        <w:t xml:space="preserve"> </w:t>
      </w:r>
      <w:r>
        <w:rPr>
          <w:rFonts w:ascii="Arial" w:eastAsia="SimSun" w:hAnsi="Arial" w:cs="Arial"/>
          <w:color w:val="000000"/>
          <w:sz w:val="20"/>
          <w:lang w:eastAsia="zh-CN"/>
        </w:rPr>
        <w:t xml:space="preserve">Approved </w:t>
      </w:r>
      <w:r w:rsidR="00BF5C6B">
        <w:rPr>
          <w:rFonts w:ascii="Arial" w:eastAsia="SimSun" w:hAnsi="Arial" w:cs="Arial"/>
          <w:color w:val="000000"/>
          <w:sz w:val="20"/>
          <w:lang w:eastAsia="zh-CN"/>
        </w:rPr>
        <w:t xml:space="preserve">Budget </w:t>
      </w:r>
      <w:r>
        <w:rPr>
          <w:rFonts w:ascii="Arial" w:eastAsia="SimSun" w:hAnsi="Arial" w:cs="Arial"/>
          <w:color w:val="000000"/>
          <w:sz w:val="20"/>
          <w:lang w:eastAsia="zh-CN"/>
        </w:rPr>
        <w:t>and B</w:t>
      </w:r>
      <w:r w:rsidRPr="00EA0FFC">
        <w:rPr>
          <w:rFonts w:ascii="Arial" w:eastAsia="SimSun" w:hAnsi="Arial" w:cs="Arial"/>
          <w:color w:val="000000"/>
          <w:sz w:val="20"/>
          <w:lang w:eastAsia="zh-CN"/>
        </w:rPr>
        <w:t xml:space="preserve">udget after </w:t>
      </w:r>
      <w:r w:rsidR="00BF5C6B">
        <w:rPr>
          <w:rFonts w:ascii="Arial" w:eastAsia="SimSun" w:hAnsi="Arial" w:cs="Arial"/>
          <w:color w:val="000000"/>
          <w:sz w:val="20"/>
          <w:lang w:eastAsia="zh-CN"/>
        </w:rPr>
        <w:t>T</w:t>
      </w:r>
      <w:r w:rsidR="00BF5C6B" w:rsidRPr="00EA0FFC">
        <w:rPr>
          <w:rFonts w:ascii="Arial" w:eastAsia="SimSun" w:hAnsi="Arial" w:cs="Arial"/>
          <w:color w:val="000000"/>
          <w:sz w:val="20"/>
          <w:lang w:eastAsia="zh-CN"/>
        </w:rPr>
        <w:t xml:space="preserve">ransfers </w:t>
      </w:r>
      <w:r w:rsidRPr="00EA0FFC">
        <w:rPr>
          <w:rFonts w:ascii="Arial" w:eastAsia="SimSun" w:hAnsi="Arial" w:cs="Arial"/>
          <w:color w:val="000000"/>
          <w:sz w:val="20"/>
          <w:lang w:eastAsia="zh-CN"/>
        </w:rPr>
        <w:t xml:space="preserve">is </w:t>
      </w:r>
      <w:r w:rsidRPr="00696159">
        <w:rPr>
          <w:rFonts w:ascii="Arial" w:eastAsia="SimSun" w:hAnsi="Arial" w:cs="Arial"/>
          <w:color w:val="000000"/>
          <w:sz w:val="20"/>
          <w:lang w:eastAsia="zh-CN"/>
        </w:rPr>
        <w:t xml:space="preserve">provided in </w:t>
      </w:r>
      <w:r w:rsidRPr="00DA3F93">
        <w:rPr>
          <w:rFonts w:ascii="Arial" w:eastAsia="SimSun" w:hAnsi="Arial" w:cs="Arial"/>
          <w:color w:val="000000"/>
          <w:sz w:val="20"/>
          <w:lang w:eastAsia="zh-CN"/>
        </w:rPr>
        <w:t>Annex I</w:t>
      </w:r>
      <w:r w:rsidRPr="00696159">
        <w:rPr>
          <w:rFonts w:ascii="Arial" w:eastAsia="SimSun" w:hAnsi="Arial" w:cs="Arial"/>
          <w:color w:val="000000"/>
          <w:sz w:val="20"/>
          <w:lang w:eastAsia="zh-CN"/>
        </w:rPr>
        <w:t>.</w:t>
      </w:r>
      <w:r w:rsidRPr="00696159">
        <w:rPr>
          <w:rFonts w:ascii="Arial" w:hAnsi="Arial" w:cs="Arial"/>
          <w:sz w:val="20"/>
        </w:rPr>
        <w:t xml:space="preserve"> </w:t>
      </w:r>
      <w:r w:rsidR="002F070A" w:rsidRPr="00696159">
        <w:rPr>
          <w:rFonts w:ascii="Arial" w:hAnsi="Arial" w:cs="Arial"/>
          <w:sz w:val="20"/>
        </w:rPr>
        <w:t xml:space="preserve"> </w:t>
      </w:r>
      <w:r w:rsidRPr="00696159">
        <w:rPr>
          <w:rFonts w:ascii="Arial" w:hAnsi="Arial" w:cs="Arial"/>
          <w:sz w:val="20"/>
        </w:rPr>
        <w:t xml:space="preserve">Annex </w:t>
      </w:r>
      <w:r w:rsidR="00851CC8" w:rsidRPr="00696159">
        <w:rPr>
          <w:rFonts w:ascii="Arial" w:hAnsi="Arial" w:cs="Arial"/>
          <w:sz w:val="20"/>
        </w:rPr>
        <w:t>III</w:t>
      </w:r>
      <w:r w:rsidR="00B1536A">
        <w:rPr>
          <w:rFonts w:ascii="Arial" w:hAnsi="Arial" w:cs="Arial"/>
          <w:sz w:val="20"/>
        </w:rPr>
        <w:t>, Table 1</w:t>
      </w:r>
      <w:r w:rsidR="00BF5C6B">
        <w:rPr>
          <w:rFonts w:ascii="Arial" w:hAnsi="Arial" w:cs="Arial"/>
          <w:sz w:val="20"/>
        </w:rPr>
        <w:t>3</w:t>
      </w:r>
      <w:r w:rsidR="00851CC8" w:rsidRPr="00696159">
        <w:rPr>
          <w:rFonts w:ascii="Arial" w:hAnsi="Arial" w:cs="Arial"/>
          <w:sz w:val="20"/>
        </w:rPr>
        <w:t xml:space="preserve"> </w:t>
      </w:r>
      <w:r w:rsidRPr="00696159">
        <w:rPr>
          <w:rFonts w:ascii="Arial" w:hAnsi="Arial" w:cs="Arial"/>
          <w:sz w:val="20"/>
        </w:rPr>
        <w:t xml:space="preserve">contains the 2016/17 Budget by Program and Union. </w:t>
      </w:r>
    </w:p>
    <w:p w14:paraId="6E94D2D2" w14:textId="77777777" w:rsidR="00B67D0A" w:rsidRPr="009C165B" w:rsidRDefault="00B67D0A" w:rsidP="002F070A">
      <w:pPr>
        <w:widowControl w:val="0"/>
        <w:tabs>
          <w:tab w:val="num" w:pos="690"/>
        </w:tabs>
        <w:jc w:val="both"/>
        <w:rPr>
          <w:rFonts w:ascii="Arial" w:hAnsi="Arial" w:cs="Arial"/>
          <w:sz w:val="20"/>
        </w:rPr>
      </w:pPr>
    </w:p>
    <w:p w14:paraId="5E68AC3C" w14:textId="6DA6D862" w:rsidR="00B67D0A" w:rsidRPr="00696159"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CD75A8">
        <w:rPr>
          <w:rFonts w:ascii="Arial" w:eastAsia="SimSun" w:hAnsi="Arial" w:cs="Arial"/>
          <w:color w:val="000000"/>
          <w:sz w:val="20"/>
          <w:lang w:eastAsia="zh-CN"/>
        </w:rPr>
        <w:t xml:space="preserve">The budget is prepared </w:t>
      </w:r>
      <w:r w:rsidRPr="004F09D6">
        <w:rPr>
          <w:rFonts w:ascii="Arial" w:hAnsi="Arial" w:cs="Arial"/>
          <w:sz w:val="20"/>
        </w:rPr>
        <w:t>on a modified accrual basis</w:t>
      </w:r>
      <w:r w:rsidR="00AE288C" w:rsidRPr="004F09D6">
        <w:rPr>
          <w:rStyle w:val="FootnoteReference"/>
          <w:rFonts w:ascii="Arial" w:hAnsi="Arial" w:cs="Arial"/>
        </w:rPr>
        <w:footnoteReference w:id="5"/>
      </w:r>
      <w:r w:rsidRPr="004F09D6">
        <w:rPr>
          <w:rFonts w:ascii="Arial" w:hAnsi="Arial" w:cs="Arial"/>
          <w:sz w:val="20"/>
        </w:rPr>
        <w:t xml:space="preserve"> in accordance with the Organization’s Financial Regulations and Rules.  WIPO’s budget continues to be presented and adopted by the Assemblies on a biennial basis.  </w:t>
      </w:r>
      <w:r w:rsidRPr="00350AA3">
        <w:rPr>
          <w:rFonts w:ascii="Arial" w:hAnsi="Arial" w:cs="Arial"/>
          <w:sz w:val="20"/>
        </w:rPr>
        <w:t>T</w:t>
      </w:r>
      <w:r w:rsidRPr="007A12FA">
        <w:rPr>
          <w:rFonts w:ascii="Arial" w:hAnsi="Arial" w:cs="Arial"/>
          <w:sz w:val="20"/>
        </w:rPr>
        <w:t xml:space="preserve">he IPSAS requirement for annual reporting </w:t>
      </w:r>
      <w:r w:rsidRPr="00B50DBE">
        <w:rPr>
          <w:rFonts w:ascii="Arial" w:hAnsi="Arial" w:cs="Arial"/>
          <w:sz w:val="20"/>
        </w:rPr>
        <w:t xml:space="preserve">of the Organization’s financial statements </w:t>
      </w:r>
      <w:r w:rsidRPr="00696159">
        <w:rPr>
          <w:rFonts w:ascii="Arial" w:hAnsi="Arial" w:cs="Arial"/>
          <w:sz w:val="20"/>
        </w:rPr>
        <w:t xml:space="preserve">also requires the Organization to present its budget on an annual basis.  For this purpose, annual budget figures are provided for both income and expenditure in Annex IX of this document. </w:t>
      </w:r>
    </w:p>
    <w:p w14:paraId="70A473DA" w14:textId="77777777" w:rsidR="00B67D0A" w:rsidRDefault="00B67D0A" w:rsidP="002F070A">
      <w:pPr>
        <w:widowControl w:val="0"/>
        <w:tabs>
          <w:tab w:val="num" w:pos="690"/>
        </w:tabs>
        <w:jc w:val="both"/>
        <w:rPr>
          <w:rFonts w:ascii="Arial" w:hAnsi="Arial" w:cs="Arial"/>
          <w:sz w:val="20"/>
        </w:rPr>
      </w:pPr>
    </w:p>
    <w:p w14:paraId="6FFD6E46" w14:textId="1F909ACD" w:rsidR="00B67D0A" w:rsidRPr="002F070A" w:rsidRDefault="005412E8" w:rsidP="002F070A">
      <w:pPr>
        <w:keepNext/>
        <w:keepLines/>
        <w:jc w:val="center"/>
        <w:rPr>
          <w:rFonts w:ascii="Arial" w:hAnsi="Arial" w:cs="Arial"/>
          <w:b/>
          <w:sz w:val="20"/>
          <w:szCs w:val="20"/>
        </w:rPr>
      </w:pPr>
      <w:r>
        <w:rPr>
          <w:rFonts w:ascii="Arial" w:hAnsi="Arial" w:cs="Arial"/>
          <w:b/>
          <w:sz w:val="20"/>
          <w:szCs w:val="20"/>
        </w:rPr>
        <w:lastRenderedPageBreak/>
        <w:t xml:space="preserve">Table 4.  </w:t>
      </w:r>
      <w:r w:rsidR="00B67D0A" w:rsidRPr="002F070A">
        <w:rPr>
          <w:rFonts w:ascii="Arial" w:hAnsi="Arial" w:cs="Arial"/>
          <w:b/>
          <w:sz w:val="20"/>
          <w:szCs w:val="20"/>
        </w:rPr>
        <w:t>2016/17 Proposed Budget by Program</w:t>
      </w:r>
    </w:p>
    <w:p w14:paraId="687C6BD6" w14:textId="77777777" w:rsidR="00B67D0A" w:rsidRPr="002F070A" w:rsidRDefault="00B67D0A" w:rsidP="002F070A">
      <w:pPr>
        <w:keepNext/>
        <w:keepLines/>
        <w:jc w:val="center"/>
        <w:rPr>
          <w:rFonts w:ascii="Arial" w:hAnsi="Arial" w:cs="Arial"/>
          <w:i/>
          <w:sz w:val="20"/>
          <w:szCs w:val="20"/>
        </w:rPr>
      </w:pPr>
      <w:r w:rsidRPr="002F070A">
        <w:rPr>
          <w:rFonts w:ascii="Arial" w:hAnsi="Arial" w:cs="Arial"/>
          <w:i/>
          <w:sz w:val="20"/>
          <w:szCs w:val="20"/>
        </w:rPr>
        <w:t>(in thousands of Swiss francs)</w:t>
      </w:r>
    </w:p>
    <w:p w14:paraId="0841ED0D" w14:textId="77777777" w:rsidR="00B67D0A" w:rsidRPr="002F070A" w:rsidRDefault="00B67D0A" w:rsidP="002F070A">
      <w:pPr>
        <w:keepNext/>
        <w:keepLines/>
        <w:widowControl w:val="0"/>
        <w:tabs>
          <w:tab w:val="num" w:pos="690"/>
        </w:tabs>
        <w:jc w:val="both"/>
        <w:rPr>
          <w:rFonts w:ascii="Arial" w:hAnsi="Arial" w:cs="Arial"/>
          <w:sz w:val="20"/>
          <w:szCs w:val="20"/>
        </w:rPr>
      </w:pPr>
    </w:p>
    <w:p w14:paraId="642FCC4F" w14:textId="49E83C06" w:rsidR="00B67D0A" w:rsidRDefault="00C1764C" w:rsidP="002F070A">
      <w:pPr>
        <w:keepNext/>
        <w:keepLines/>
        <w:widowControl w:val="0"/>
        <w:tabs>
          <w:tab w:val="num" w:pos="690"/>
        </w:tabs>
        <w:jc w:val="center"/>
      </w:pPr>
      <w:r w:rsidRPr="00C1764C">
        <w:rPr>
          <w:noProof/>
          <w:lang w:eastAsia="en-US"/>
        </w:rPr>
        <w:drawing>
          <wp:inline distT="0" distB="0" distL="0" distR="0" wp14:anchorId="3311B267" wp14:editId="6452D535">
            <wp:extent cx="5459618" cy="5512279"/>
            <wp:effectExtent l="0" t="0" r="8255"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61503" cy="5514182"/>
                    </a:xfrm>
                    <a:prstGeom prst="rect">
                      <a:avLst/>
                    </a:prstGeom>
                    <a:noFill/>
                    <a:ln>
                      <a:noFill/>
                    </a:ln>
                  </pic:spPr>
                </pic:pic>
              </a:graphicData>
            </a:graphic>
          </wp:inline>
        </w:drawing>
      </w:r>
    </w:p>
    <w:p w14:paraId="18BDE292" w14:textId="77777777" w:rsidR="00B67D0A" w:rsidRDefault="00B67D0A" w:rsidP="00F02301">
      <w:pPr>
        <w:widowControl w:val="0"/>
        <w:tabs>
          <w:tab w:val="num" w:pos="690"/>
        </w:tabs>
        <w:jc w:val="both"/>
        <w:rPr>
          <w:rFonts w:ascii="Arial" w:eastAsia="SimSun" w:hAnsi="Arial" w:cs="Arial"/>
          <w:b/>
          <w:color w:val="000000"/>
          <w:sz w:val="20"/>
          <w:lang w:eastAsia="zh-CN"/>
        </w:rPr>
      </w:pPr>
    </w:p>
    <w:p w14:paraId="47A9B5C8" w14:textId="77777777" w:rsidR="00B67D0A" w:rsidRDefault="00B67D0A" w:rsidP="00F02301">
      <w:pPr>
        <w:widowControl w:val="0"/>
        <w:tabs>
          <w:tab w:val="num" w:pos="690"/>
        </w:tabs>
        <w:jc w:val="both"/>
        <w:rPr>
          <w:rFonts w:ascii="Arial" w:eastAsia="SimSun" w:hAnsi="Arial" w:cs="Arial"/>
          <w:b/>
          <w:color w:val="000000"/>
          <w:sz w:val="20"/>
          <w:lang w:eastAsia="zh-CN"/>
        </w:rPr>
      </w:pPr>
    </w:p>
    <w:p w14:paraId="54AFA314" w14:textId="77777777" w:rsidR="00B67D0A" w:rsidRPr="00B874B8" w:rsidRDefault="00B67D0A" w:rsidP="00F02301">
      <w:pPr>
        <w:widowControl w:val="0"/>
        <w:tabs>
          <w:tab w:val="num" w:pos="690"/>
        </w:tabs>
        <w:jc w:val="both"/>
        <w:rPr>
          <w:rFonts w:ascii="Arial" w:eastAsia="SimSun" w:hAnsi="Arial" w:cs="Arial"/>
          <w:b/>
          <w:color w:val="000000"/>
          <w:sz w:val="20"/>
          <w:lang w:eastAsia="zh-CN"/>
        </w:rPr>
      </w:pPr>
      <w:r w:rsidRPr="00B874B8">
        <w:rPr>
          <w:rFonts w:ascii="Arial" w:eastAsia="SimSun" w:hAnsi="Arial" w:cs="Arial"/>
          <w:b/>
          <w:color w:val="000000"/>
          <w:sz w:val="20"/>
          <w:lang w:eastAsia="zh-CN"/>
        </w:rPr>
        <w:t>Key priorities in the biennium</w:t>
      </w:r>
    </w:p>
    <w:p w14:paraId="711025E8" w14:textId="77777777" w:rsidR="00B67D0A" w:rsidRDefault="00B67D0A" w:rsidP="00F02301">
      <w:pPr>
        <w:widowControl w:val="0"/>
        <w:tabs>
          <w:tab w:val="num" w:pos="690"/>
        </w:tabs>
        <w:jc w:val="both"/>
        <w:rPr>
          <w:rFonts w:ascii="Arial" w:eastAsia="SimSun" w:hAnsi="Arial" w:cs="Arial"/>
          <w:color w:val="000000"/>
          <w:sz w:val="20"/>
          <w:lang w:eastAsia="zh-CN"/>
        </w:rPr>
      </w:pPr>
    </w:p>
    <w:p w14:paraId="138B27DA" w14:textId="34C80A96" w:rsidR="00B67D0A" w:rsidRDefault="00B67D0A" w:rsidP="00B66A4A">
      <w:pPr>
        <w:pStyle w:val="ListParagraph"/>
        <w:widowControl w:val="0"/>
        <w:numPr>
          <w:ilvl w:val="0"/>
          <w:numId w:val="33"/>
        </w:numPr>
        <w:tabs>
          <w:tab w:val="left" w:pos="567"/>
        </w:tabs>
        <w:ind w:left="0" w:firstLine="0"/>
        <w:jc w:val="both"/>
        <w:rPr>
          <w:rFonts w:ascii="Arial" w:hAnsi="Arial"/>
          <w:sz w:val="20"/>
        </w:rPr>
      </w:pPr>
      <w:r w:rsidRPr="001D5533">
        <w:rPr>
          <w:rFonts w:ascii="Arial" w:hAnsi="Arial"/>
          <w:sz w:val="20"/>
        </w:rPr>
        <w:t>Ensuring a more widespread and better use of the services provided by WIPO’s global registration systems, in particular, the PCT, Madrid and the Hague, remains a key priority in 2016/17</w:t>
      </w:r>
      <w:r>
        <w:rPr>
          <w:rFonts w:ascii="Arial" w:hAnsi="Arial"/>
          <w:sz w:val="20"/>
        </w:rPr>
        <w:t>. Appropriate and adequate resourcing of the Programs that deliver registration services,</w:t>
      </w:r>
      <w:r w:rsidRPr="001D5533">
        <w:rPr>
          <w:rFonts w:ascii="Arial" w:hAnsi="Arial"/>
          <w:sz w:val="20"/>
        </w:rPr>
        <w:t xml:space="preserve"> being the main foundation for the Organization’s long term financial sustainability</w:t>
      </w:r>
      <w:r>
        <w:rPr>
          <w:rFonts w:ascii="Arial" w:hAnsi="Arial"/>
          <w:sz w:val="20"/>
        </w:rPr>
        <w:t>, is key to ensuring that WIPO meets its treaty obligations and continue</w:t>
      </w:r>
      <w:r w:rsidR="003866D2">
        <w:rPr>
          <w:rFonts w:ascii="Arial" w:hAnsi="Arial"/>
          <w:sz w:val="20"/>
        </w:rPr>
        <w:t>s</w:t>
      </w:r>
      <w:r>
        <w:rPr>
          <w:rFonts w:ascii="Arial" w:hAnsi="Arial"/>
          <w:sz w:val="20"/>
        </w:rPr>
        <w:t xml:space="preserve"> to satisfy applicants through high quality services.</w:t>
      </w:r>
      <w:r w:rsidRPr="001D5533">
        <w:rPr>
          <w:rFonts w:ascii="Arial" w:hAnsi="Arial"/>
          <w:sz w:val="20"/>
        </w:rPr>
        <w:t xml:space="preserve">  This will require meeting the challenges of the changing geographical composition of demand for such services, including the associated language skills requirements, and of the rapidly expanding membership of, in particular, the Madrid and the Hague System</w:t>
      </w:r>
      <w:r w:rsidR="003866D2">
        <w:rPr>
          <w:rFonts w:ascii="Arial" w:hAnsi="Arial"/>
          <w:sz w:val="20"/>
        </w:rPr>
        <w:t>s</w:t>
      </w:r>
      <w:r w:rsidRPr="001D5533">
        <w:rPr>
          <w:rFonts w:ascii="Arial" w:hAnsi="Arial"/>
          <w:sz w:val="20"/>
        </w:rPr>
        <w:t xml:space="preserve">.  Operational efficiency of the registration systems will also continue to be a priority </w:t>
      </w:r>
      <w:r w:rsidR="00457C73">
        <w:rPr>
          <w:rFonts w:ascii="Arial" w:hAnsi="Arial"/>
          <w:sz w:val="20"/>
        </w:rPr>
        <w:t xml:space="preserve">as WIPO continues </w:t>
      </w:r>
      <w:r w:rsidRPr="001D5533">
        <w:rPr>
          <w:rFonts w:ascii="Arial" w:hAnsi="Arial"/>
          <w:sz w:val="20"/>
        </w:rPr>
        <w:t xml:space="preserve">to move towards a fully electronic environment for the PCT, Madrid and the Hague.  </w:t>
      </w:r>
    </w:p>
    <w:p w14:paraId="2C98ABE8" w14:textId="77777777" w:rsidR="002F070A" w:rsidRDefault="002F070A" w:rsidP="002F070A">
      <w:pPr>
        <w:pStyle w:val="ListParagraph"/>
        <w:widowControl w:val="0"/>
        <w:tabs>
          <w:tab w:val="left" w:pos="567"/>
        </w:tabs>
        <w:ind w:left="0"/>
        <w:jc w:val="both"/>
        <w:rPr>
          <w:rFonts w:ascii="Arial" w:hAnsi="Arial"/>
          <w:sz w:val="20"/>
        </w:rPr>
      </w:pPr>
    </w:p>
    <w:p w14:paraId="5C847F54" w14:textId="1AC1CB68" w:rsidR="00B67D0A" w:rsidRPr="002F070A" w:rsidRDefault="00B67D0A" w:rsidP="00B66A4A">
      <w:pPr>
        <w:pStyle w:val="ListParagraph"/>
        <w:numPr>
          <w:ilvl w:val="0"/>
          <w:numId w:val="34"/>
        </w:numPr>
        <w:tabs>
          <w:tab w:val="right" w:pos="1134"/>
        </w:tabs>
        <w:ind w:left="1134" w:hanging="567"/>
        <w:jc w:val="both"/>
        <w:rPr>
          <w:rFonts w:ascii="Arial" w:hAnsi="Arial"/>
          <w:i/>
          <w:sz w:val="20"/>
        </w:rPr>
      </w:pPr>
      <w:r w:rsidRPr="002F070A">
        <w:rPr>
          <w:rFonts w:ascii="Arial" w:hAnsi="Arial"/>
          <w:i/>
          <w:sz w:val="20"/>
        </w:rPr>
        <w:t xml:space="preserve">The associated </w:t>
      </w:r>
      <w:r w:rsidR="00CB7861">
        <w:rPr>
          <w:rFonts w:ascii="Arial" w:hAnsi="Arial"/>
          <w:i/>
          <w:sz w:val="20"/>
        </w:rPr>
        <w:t xml:space="preserve">total resources for the Hague System are reflected in Program 31 </w:t>
      </w:r>
      <w:r w:rsidR="00CB7861" w:rsidRPr="002F070A">
        <w:rPr>
          <w:rFonts w:ascii="Arial" w:hAnsi="Arial"/>
          <w:i/>
          <w:sz w:val="20"/>
        </w:rPr>
        <w:t>(The Hague System)</w:t>
      </w:r>
      <w:r w:rsidR="00CB7861">
        <w:rPr>
          <w:rFonts w:ascii="Arial" w:hAnsi="Arial"/>
          <w:i/>
          <w:sz w:val="20"/>
        </w:rPr>
        <w:t xml:space="preserve"> and the associated </w:t>
      </w:r>
      <w:r w:rsidRPr="002F070A">
        <w:rPr>
          <w:rFonts w:ascii="Arial" w:hAnsi="Arial"/>
          <w:i/>
          <w:sz w:val="20"/>
        </w:rPr>
        <w:t xml:space="preserve">increases </w:t>
      </w:r>
      <w:r w:rsidR="00CB7861">
        <w:rPr>
          <w:rFonts w:ascii="Arial" w:hAnsi="Arial"/>
          <w:i/>
          <w:sz w:val="20"/>
        </w:rPr>
        <w:t>for the PCT and the Madrid Systems are</w:t>
      </w:r>
      <w:r w:rsidRPr="002F070A">
        <w:rPr>
          <w:rFonts w:ascii="Arial" w:hAnsi="Arial"/>
          <w:i/>
          <w:sz w:val="20"/>
        </w:rPr>
        <w:t xml:space="preserve"> reflected in Program 5 (PCT</w:t>
      </w:r>
      <w:r w:rsidR="00CB7861" w:rsidRPr="002F070A">
        <w:rPr>
          <w:rFonts w:ascii="Arial" w:hAnsi="Arial"/>
          <w:i/>
          <w:sz w:val="20"/>
        </w:rPr>
        <w:t>)</w:t>
      </w:r>
      <w:r w:rsidR="00CB7861">
        <w:rPr>
          <w:rFonts w:ascii="Arial" w:hAnsi="Arial"/>
          <w:i/>
          <w:sz w:val="20"/>
        </w:rPr>
        <w:t xml:space="preserve"> and</w:t>
      </w:r>
      <w:r w:rsidR="00CB7861" w:rsidRPr="002F070A">
        <w:rPr>
          <w:rFonts w:ascii="Arial" w:hAnsi="Arial"/>
          <w:i/>
          <w:sz w:val="20"/>
        </w:rPr>
        <w:t xml:space="preserve"> </w:t>
      </w:r>
      <w:r w:rsidRPr="002F070A">
        <w:rPr>
          <w:rFonts w:ascii="Arial" w:hAnsi="Arial"/>
          <w:i/>
          <w:sz w:val="20"/>
        </w:rPr>
        <w:t>Program 6 (Madrid and Lisbon System</w:t>
      </w:r>
      <w:r w:rsidR="00BF5C6B">
        <w:rPr>
          <w:rFonts w:ascii="Arial" w:hAnsi="Arial"/>
          <w:i/>
          <w:sz w:val="20"/>
        </w:rPr>
        <w:t>s</w:t>
      </w:r>
      <w:r w:rsidRPr="002F070A">
        <w:rPr>
          <w:rFonts w:ascii="Arial" w:hAnsi="Arial"/>
          <w:i/>
          <w:sz w:val="20"/>
        </w:rPr>
        <w:t xml:space="preserve">). </w:t>
      </w:r>
    </w:p>
    <w:p w14:paraId="6215AF00" w14:textId="77777777" w:rsidR="00B67D0A" w:rsidRDefault="00B67D0A" w:rsidP="00F02301">
      <w:pPr>
        <w:tabs>
          <w:tab w:val="left" w:pos="567"/>
        </w:tabs>
        <w:jc w:val="both"/>
        <w:rPr>
          <w:rFonts w:ascii="Arial" w:hAnsi="Arial"/>
          <w:sz w:val="20"/>
        </w:rPr>
      </w:pPr>
    </w:p>
    <w:p w14:paraId="2699FCBF" w14:textId="77777777" w:rsidR="00B70B7D" w:rsidRDefault="00B70B7D" w:rsidP="00F02301">
      <w:pPr>
        <w:tabs>
          <w:tab w:val="left" w:pos="567"/>
        </w:tabs>
        <w:jc w:val="both"/>
        <w:rPr>
          <w:rFonts w:ascii="Arial" w:hAnsi="Arial"/>
          <w:sz w:val="20"/>
        </w:rPr>
      </w:pPr>
    </w:p>
    <w:p w14:paraId="7C81F02B" w14:textId="77777777" w:rsidR="00B70B7D" w:rsidRPr="001D5533" w:rsidRDefault="00B70B7D" w:rsidP="00F02301">
      <w:pPr>
        <w:tabs>
          <w:tab w:val="left" w:pos="567"/>
        </w:tabs>
        <w:jc w:val="both"/>
        <w:rPr>
          <w:rFonts w:ascii="Arial" w:hAnsi="Arial"/>
          <w:sz w:val="20"/>
        </w:rPr>
      </w:pPr>
    </w:p>
    <w:p w14:paraId="50DF95B7" w14:textId="77777777" w:rsidR="005C0E4A" w:rsidRPr="006E3C1D" w:rsidRDefault="00B70B7D" w:rsidP="00B66A4A">
      <w:pPr>
        <w:pStyle w:val="ListParagraph"/>
        <w:widowControl w:val="0"/>
        <w:numPr>
          <w:ilvl w:val="0"/>
          <w:numId w:val="33"/>
        </w:numPr>
        <w:tabs>
          <w:tab w:val="left" w:pos="567"/>
        </w:tabs>
        <w:ind w:left="0" w:firstLine="0"/>
        <w:jc w:val="both"/>
        <w:rPr>
          <w:rFonts w:ascii="Arial" w:hAnsi="Arial"/>
          <w:sz w:val="20"/>
        </w:rPr>
      </w:pPr>
      <w:r w:rsidRPr="001D5533">
        <w:rPr>
          <w:rFonts w:ascii="Arial" w:hAnsi="Arial" w:cs="Arial"/>
          <w:bCs/>
          <w:sz w:val="20"/>
        </w:rPr>
        <w:lastRenderedPageBreak/>
        <w:t>As the external environment increasingly presents threats to WIPO’s operations</w:t>
      </w:r>
      <w:r>
        <w:rPr>
          <w:rFonts w:ascii="Arial" w:hAnsi="Arial" w:cs="Arial"/>
          <w:sz w:val="20"/>
        </w:rPr>
        <w:t xml:space="preserve">, </w:t>
      </w:r>
      <w:r w:rsidRPr="005F226D">
        <w:rPr>
          <w:rFonts w:ascii="Arial" w:hAnsi="Arial" w:cs="Arial"/>
          <w:sz w:val="20"/>
        </w:rPr>
        <w:t xml:space="preserve">WIPO’s contingency planning capabilities will be </w:t>
      </w:r>
      <w:r w:rsidRPr="006E3C1D">
        <w:rPr>
          <w:rFonts w:ascii="Arial" w:hAnsi="Arial" w:cs="Arial"/>
          <w:sz w:val="20"/>
        </w:rPr>
        <w:t>enhanced</w:t>
      </w:r>
      <w:r w:rsidRPr="00BF5C6B">
        <w:rPr>
          <w:rFonts w:ascii="Arial" w:hAnsi="Arial" w:cs="Arial"/>
          <w:i/>
          <w:sz w:val="20"/>
        </w:rPr>
        <w:t xml:space="preserve"> </w:t>
      </w:r>
      <w:r w:rsidRPr="00DA3F93">
        <w:rPr>
          <w:rFonts w:ascii="Arial" w:hAnsi="Arial" w:cs="Arial"/>
          <w:sz w:val="20"/>
        </w:rPr>
        <w:t xml:space="preserve">through the </w:t>
      </w:r>
      <w:r w:rsidRPr="006E3C1D">
        <w:rPr>
          <w:rFonts w:ascii="Arial" w:hAnsi="Arial" w:cs="Arial"/>
          <w:sz w:val="20"/>
        </w:rPr>
        <w:t>e</w:t>
      </w:r>
      <w:r w:rsidRPr="00DA3F93">
        <w:rPr>
          <w:rFonts w:ascii="Arial" w:hAnsi="Arial" w:cs="Arial"/>
          <w:sz w:val="20"/>
        </w:rPr>
        <w:t>stablish</w:t>
      </w:r>
      <w:r w:rsidRPr="006E3C1D">
        <w:rPr>
          <w:rFonts w:ascii="Arial" w:hAnsi="Arial" w:cs="Arial"/>
          <w:sz w:val="20"/>
        </w:rPr>
        <w:t>men</w:t>
      </w:r>
      <w:r w:rsidRPr="00BF5C6B">
        <w:rPr>
          <w:rFonts w:ascii="Arial" w:hAnsi="Arial" w:cs="Arial"/>
          <w:sz w:val="20"/>
        </w:rPr>
        <w:t>t</w:t>
      </w:r>
      <w:r>
        <w:rPr>
          <w:rFonts w:ascii="Arial" w:hAnsi="Arial" w:cs="Arial"/>
          <w:sz w:val="20"/>
        </w:rPr>
        <w:t xml:space="preserve"> of </w:t>
      </w:r>
      <w:r w:rsidRPr="00DA3F93">
        <w:rPr>
          <w:rFonts w:ascii="Arial" w:hAnsi="Arial" w:cs="Arial"/>
          <w:sz w:val="20"/>
        </w:rPr>
        <w:t>an Organizational Resilience Framework</w:t>
      </w:r>
      <w:r>
        <w:rPr>
          <w:rFonts w:ascii="Arial" w:hAnsi="Arial" w:cs="Arial"/>
          <w:sz w:val="20"/>
        </w:rPr>
        <w:t xml:space="preserve"> </w:t>
      </w:r>
      <w:r w:rsidRPr="005F226D">
        <w:rPr>
          <w:rFonts w:ascii="Arial" w:hAnsi="Arial" w:cs="Arial"/>
          <w:sz w:val="20"/>
        </w:rPr>
        <w:t>with a view to mitigating or minimizing, to the extent possible, the impact of disruptions to the Organization’s critical operations.</w:t>
      </w:r>
    </w:p>
    <w:p w14:paraId="28275ADB" w14:textId="2C7F66B9" w:rsidR="00B70B7D" w:rsidRPr="00B70B7D" w:rsidRDefault="00B70B7D" w:rsidP="00DA3F93">
      <w:pPr>
        <w:pStyle w:val="ListParagraph"/>
        <w:widowControl w:val="0"/>
        <w:tabs>
          <w:tab w:val="left" w:pos="567"/>
        </w:tabs>
        <w:ind w:left="0"/>
        <w:jc w:val="both"/>
        <w:rPr>
          <w:rFonts w:ascii="Arial" w:hAnsi="Arial"/>
          <w:sz w:val="20"/>
        </w:rPr>
      </w:pPr>
      <w:r w:rsidRPr="005F226D">
        <w:rPr>
          <w:rFonts w:ascii="Arial" w:hAnsi="Arial" w:cs="Arial"/>
          <w:sz w:val="20"/>
        </w:rPr>
        <w:t xml:space="preserve">  </w:t>
      </w:r>
    </w:p>
    <w:p w14:paraId="7443FC6F" w14:textId="02776798" w:rsidR="00B70B7D" w:rsidRPr="00DA3F93" w:rsidRDefault="00B70B7D" w:rsidP="00B66A4A">
      <w:pPr>
        <w:pStyle w:val="ListParagraph"/>
        <w:widowControl w:val="0"/>
        <w:numPr>
          <w:ilvl w:val="0"/>
          <w:numId w:val="34"/>
        </w:numPr>
        <w:tabs>
          <w:tab w:val="left" w:pos="567"/>
        </w:tabs>
        <w:ind w:left="1170" w:hanging="630"/>
        <w:jc w:val="both"/>
        <w:rPr>
          <w:rFonts w:ascii="Arial" w:hAnsi="Arial"/>
          <w:i/>
          <w:sz w:val="20"/>
        </w:rPr>
      </w:pPr>
      <w:r w:rsidRPr="00DA3F93">
        <w:rPr>
          <w:rFonts w:ascii="Arial" w:hAnsi="Arial"/>
          <w:i/>
          <w:sz w:val="20"/>
        </w:rPr>
        <w:t>The associated total resources are reflected in Program 21 (Executive Management)</w:t>
      </w:r>
    </w:p>
    <w:p w14:paraId="7B533066" w14:textId="77777777" w:rsidR="00B70B7D" w:rsidRPr="00B70B7D" w:rsidRDefault="00B70B7D" w:rsidP="00DA3F93">
      <w:pPr>
        <w:pStyle w:val="ListParagraph"/>
        <w:widowControl w:val="0"/>
        <w:tabs>
          <w:tab w:val="left" w:pos="567"/>
        </w:tabs>
        <w:ind w:left="0"/>
        <w:jc w:val="both"/>
        <w:rPr>
          <w:rFonts w:ascii="Arial" w:hAnsi="Arial"/>
          <w:sz w:val="20"/>
        </w:rPr>
      </w:pPr>
    </w:p>
    <w:p w14:paraId="1ED413EA" w14:textId="6481BB07" w:rsidR="00C87FF1" w:rsidRPr="00DA3F93" w:rsidRDefault="00B70B7D" w:rsidP="00B66A4A">
      <w:pPr>
        <w:pStyle w:val="ListParagraph"/>
        <w:widowControl w:val="0"/>
        <w:numPr>
          <w:ilvl w:val="0"/>
          <w:numId w:val="33"/>
        </w:numPr>
        <w:tabs>
          <w:tab w:val="left" w:pos="567"/>
        </w:tabs>
        <w:ind w:left="0" w:firstLine="0"/>
        <w:jc w:val="both"/>
        <w:rPr>
          <w:rFonts w:ascii="Arial" w:hAnsi="Arial"/>
          <w:sz w:val="20"/>
        </w:rPr>
      </w:pPr>
      <w:r>
        <w:rPr>
          <w:rFonts w:ascii="Arial" w:hAnsi="Arial" w:cs="Arial"/>
          <w:bCs/>
          <w:sz w:val="20"/>
        </w:rPr>
        <w:t>T</w:t>
      </w:r>
      <w:r w:rsidR="00B67D0A" w:rsidRPr="001D5533">
        <w:rPr>
          <w:rFonts w:ascii="Arial" w:hAnsi="Arial" w:cs="Arial"/>
          <w:bCs/>
          <w:sz w:val="20"/>
        </w:rPr>
        <w:t xml:space="preserve">he Organization is ever more dependent on reliable and effective ICT infrastructure and services. Global clients expect WIPO’s ICT services to be more responsive to their needs </w:t>
      </w:r>
      <w:r w:rsidR="00AD5F2C">
        <w:rPr>
          <w:rFonts w:ascii="Arial" w:hAnsi="Arial" w:cs="Arial"/>
          <w:bCs/>
          <w:sz w:val="20"/>
        </w:rPr>
        <w:t xml:space="preserve">and </w:t>
      </w:r>
      <w:r w:rsidR="00B67D0A" w:rsidRPr="001D5533">
        <w:rPr>
          <w:rFonts w:ascii="Arial" w:hAnsi="Arial" w:cs="Arial"/>
          <w:bCs/>
          <w:sz w:val="20"/>
        </w:rPr>
        <w:t xml:space="preserve">increasingly reliable, accessible and secure against </w:t>
      </w:r>
      <w:r w:rsidR="003866D2" w:rsidRPr="001D5533">
        <w:rPr>
          <w:rFonts w:ascii="Arial" w:hAnsi="Arial" w:cs="Arial"/>
          <w:bCs/>
          <w:sz w:val="20"/>
        </w:rPr>
        <w:t>natur</w:t>
      </w:r>
      <w:r w:rsidR="003866D2">
        <w:rPr>
          <w:rFonts w:ascii="Arial" w:hAnsi="Arial" w:cs="Arial"/>
          <w:bCs/>
          <w:sz w:val="20"/>
        </w:rPr>
        <w:t>al</w:t>
      </w:r>
      <w:r w:rsidR="003866D2" w:rsidRPr="001D5533">
        <w:rPr>
          <w:rFonts w:ascii="Arial" w:hAnsi="Arial" w:cs="Arial"/>
          <w:bCs/>
          <w:sz w:val="20"/>
        </w:rPr>
        <w:t xml:space="preserve"> </w:t>
      </w:r>
      <w:r w:rsidR="00B67D0A" w:rsidRPr="001D5533">
        <w:rPr>
          <w:rFonts w:ascii="Arial" w:hAnsi="Arial" w:cs="Arial"/>
          <w:bCs/>
          <w:sz w:val="20"/>
        </w:rPr>
        <w:t xml:space="preserve">and man-made disasters including cyber attacks. </w:t>
      </w:r>
      <w:r w:rsidR="00B67D0A" w:rsidRPr="001D5533">
        <w:rPr>
          <w:rFonts w:ascii="Arial" w:hAnsi="Arial"/>
          <w:sz w:val="20"/>
          <w:lang w:val="en-CA"/>
        </w:rPr>
        <w:t xml:space="preserve">Information security and business continuity therefore takes highest priority and will be the focus throughout the </w:t>
      </w:r>
      <w:r w:rsidR="00B67D0A" w:rsidRPr="001E593C">
        <w:rPr>
          <w:rFonts w:ascii="Arial" w:hAnsi="Arial"/>
          <w:sz w:val="20"/>
          <w:lang w:val="en-CA"/>
        </w:rPr>
        <w:t>next biennium.</w:t>
      </w:r>
    </w:p>
    <w:p w14:paraId="74E78C02" w14:textId="490CB96C" w:rsidR="00B67D0A" w:rsidRPr="004B3372" w:rsidRDefault="00B67D0A" w:rsidP="00DA3F93">
      <w:pPr>
        <w:pStyle w:val="ListParagraph"/>
        <w:widowControl w:val="0"/>
        <w:tabs>
          <w:tab w:val="left" w:pos="567"/>
        </w:tabs>
        <w:ind w:left="0"/>
        <w:jc w:val="both"/>
        <w:rPr>
          <w:rFonts w:ascii="Arial" w:hAnsi="Arial"/>
          <w:sz w:val="20"/>
        </w:rPr>
      </w:pPr>
      <w:r w:rsidRPr="001E593C">
        <w:rPr>
          <w:rFonts w:ascii="Arial" w:hAnsi="Arial"/>
          <w:sz w:val="20"/>
          <w:lang w:val="en-CA"/>
        </w:rPr>
        <w:t xml:space="preserve">  </w:t>
      </w:r>
    </w:p>
    <w:p w14:paraId="71F30FFA" w14:textId="77777777" w:rsidR="00B67D0A" w:rsidRPr="004B3372" w:rsidRDefault="00B67D0A" w:rsidP="00B66A4A">
      <w:pPr>
        <w:pStyle w:val="ListParagraph"/>
        <w:numPr>
          <w:ilvl w:val="0"/>
          <w:numId w:val="34"/>
        </w:numPr>
        <w:tabs>
          <w:tab w:val="right" w:pos="1134"/>
        </w:tabs>
        <w:ind w:left="1134" w:hanging="567"/>
        <w:jc w:val="both"/>
        <w:rPr>
          <w:rFonts w:ascii="Arial" w:hAnsi="Arial"/>
          <w:i/>
          <w:sz w:val="20"/>
        </w:rPr>
      </w:pPr>
      <w:r w:rsidRPr="002F070A">
        <w:rPr>
          <w:rFonts w:ascii="Arial" w:hAnsi="Arial"/>
          <w:i/>
          <w:sz w:val="20"/>
        </w:rPr>
        <w:t>The</w:t>
      </w:r>
      <w:r w:rsidRPr="004B3372">
        <w:rPr>
          <w:rFonts w:ascii="Arial" w:hAnsi="Arial"/>
          <w:i/>
          <w:sz w:val="20"/>
          <w:lang w:val="en-CA"/>
        </w:rPr>
        <w:t xml:space="preserve"> associated increases in </w:t>
      </w:r>
      <w:r>
        <w:rPr>
          <w:rFonts w:ascii="Arial" w:hAnsi="Arial"/>
          <w:i/>
          <w:sz w:val="20"/>
          <w:lang w:val="en-CA"/>
        </w:rPr>
        <w:t xml:space="preserve">total </w:t>
      </w:r>
      <w:r w:rsidRPr="004B3372">
        <w:rPr>
          <w:rFonts w:ascii="Arial" w:hAnsi="Arial"/>
          <w:i/>
          <w:sz w:val="20"/>
          <w:lang w:val="en-CA"/>
        </w:rPr>
        <w:t xml:space="preserve">resources are reflected in Programs 5 (PCT), Program 25 (ICTD) and 28 (Information Assurance, Safety and Security). </w:t>
      </w:r>
    </w:p>
    <w:p w14:paraId="14B8CF34" w14:textId="77777777" w:rsidR="00B67D0A" w:rsidRPr="004B3372" w:rsidRDefault="00B67D0A" w:rsidP="00F02301">
      <w:pPr>
        <w:tabs>
          <w:tab w:val="left" w:pos="567"/>
        </w:tabs>
        <w:jc w:val="both"/>
        <w:rPr>
          <w:rFonts w:ascii="Arial" w:hAnsi="Arial"/>
          <w:i/>
          <w:sz w:val="20"/>
        </w:rPr>
      </w:pPr>
    </w:p>
    <w:p w14:paraId="10F1A83A" w14:textId="7305CC9B" w:rsidR="00B67D0A" w:rsidRDefault="00B67D0A" w:rsidP="00B66A4A">
      <w:pPr>
        <w:pStyle w:val="ListParagraph"/>
        <w:widowControl w:val="0"/>
        <w:numPr>
          <w:ilvl w:val="0"/>
          <w:numId w:val="33"/>
        </w:numPr>
        <w:tabs>
          <w:tab w:val="left" w:pos="567"/>
        </w:tabs>
        <w:ind w:left="0" w:firstLine="0"/>
        <w:jc w:val="both"/>
        <w:rPr>
          <w:rFonts w:ascii="Arial" w:hAnsi="Arial"/>
          <w:sz w:val="20"/>
        </w:rPr>
      </w:pPr>
      <w:r w:rsidRPr="005331AC">
        <w:rPr>
          <w:rFonts w:ascii="Arial" w:hAnsi="Arial"/>
          <w:sz w:val="20"/>
        </w:rPr>
        <w:t xml:space="preserve">Facilitating enhanced cooperation and agreement among Member States on the further development of a balanced international normative framework for IP will </w:t>
      </w:r>
      <w:r>
        <w:rPr>
          <w:rFonts w:ascii="Arial" w:hAnsi="Arial"/>
          <w:sz w:val="20"/>
        </w:rPr>
        <w:t xml:space="preserve">continue </w:t>
      </w:r>
      <w:r w:rsidRPr="005331AC">
        <w:rPr>
          <w:rFonts w:ascii="Arial" w:hAnsi="Arial"/>
          <w:sz w:val="20"/>
        </w:rPr>
        <w:t>in 201</w:t>
      </w:r>
      <w:r>
        <w:rPr>
          <w:rFonts w:ascii="Arial" w:hAnsi="Arial"/>
          <w:sz w:val="20"/>
        </w:rPr>
        <w:t>6</w:t>
      </w:r>
      <w:r w:rsidRPr="005331AC">
        <w:rPr>
          <w:rFonts w:ascii="Arial" w:hAnsi="Arial"/>
          <w:sz w:val="20"/>
        </w:rPr>
        <w:t>/1</w:t>
      </w:r>
      <w:r>
        <w:rPr>
          <w:rFonts w:ascii="Arial" w:hAnsi="Arial"/>
          <w:sz w:val="20"/>
        </w:rPr>
        <w:t>7 based on the decisions by Member States.  The planning assumption for 2016/17 includes up to three sessions of the S</w:t>
      </w:r>
      <w:r w:rsidR="00BF5C6B">
        <w:rPr>
          <w:rFonts w:ascii="Arial" w:hAnsi="Arial"/>
          <w:sz w:val="20"/>
        </w:rPr>
        <w:t xml:space="preserve">tanding </w:t>
      </w:r>
      <w:r>
        <w:rPr>
          <w:rFonts w:ascii="Arial" w:hAnsi="Arial"/>
          <w:sz w:val="20"/>
        </w:rPr>
        <w:t>C</w:t>
      </w:r>
      <w:r w:rsidR="00BF5C6B">
        <w:rPr>
          <w:rFonts w:ascii="Arial" w:hAnsi="Arial"/>
          <w:sz w:val="20"/>
        </w:rPr>
        <w:t xml:space="preserve">ommittee on the Law of </w:t>
      </w:r>
      <w:r>
        <w:rPr>
          <w:rFonts w:ascii="Arial" w:hAnsi="Arial"/>
          <w:sz w:val="20"/>
        </w:rPr>
        <w:t>P</w:t>
      </w:r>
      <w:r w:rsidR="00BF5C6B">
        <w:rPr>
          <w:rFonts w:ascii="Arial" w:hAnsi="Arial"/>
          <w:sz w:val="20"/>
        </w:rPr>
        <w:t>atents (SCP)</w:t>
      </w:r>
      <w:r>
        <w:rPr>
          <w:rFonts w:ascii="Arial" w:hAnsi="Arial"/>
          <w:sz w:val="20"/>
        </w:rPr>
        <w:t xml:space="preserve"> and the </w:t>
      </w:r>
      <w:r w:rsidR="00BF5C6B">
        <w:rPr>
          <w:rFonts w:ascii="Arial" w:hAnsi="Arial"/>
          <w:sz w:val="20"/>
        </w:rPr>
        <w:t>Standing Committee on the Law of Trademarks, Industrial Designs and Geographical Indications (</w:t>
      </w:r>
      <w:r>
        <w:rPr>
          <w:rFonts w:ascii="Arial" w:hAnsi="Arial"/>
          <w:sz w:val="20"/>
        </w:rPr>
        <w:t>SCT</w:t>
      </w:r>
      <w:r w:rsidR="00BF5C6B">
        <w:rPr>
          <w:rFonts w:ascii="Arial" w:hAnsi="Arial"/>
          <w:sz w:val="20"/>
        </w:rPr>
        <w:t>)</w:t>
      </w:r>
      <w:r>
        <w:rPr>
          <w:rFonts w:ascii="Arial" w:hAnsi="Arial"/>
          <w:sz w:val="20"/>
        </w:rPr>
        <w:t xml:space="preserve"> and up to four sessions of the </w:t>
      </w:r>
      <w:r w:rsidR="00BF5C6B">
        <w:rPr>
          <w:rFonts w:ascii="Arial" w:hAnsi="Arial"/>
          <w:sz w:val="20"/>
        </w:rPr>
        <w:t xml:space="preserve">Standing Committee </w:t>
      </w:r>
      <w:r w:rsidR="000C4B20">
        <w:rPr>
          <w:rFonts w:ascii="Arial" w:hAnsi="Arial"/>
          <w:sz w:val="20"/>
        </w:rPr>
        <w:t>on Copyright and Related Rights (</w:t>
      </w:r>
      <w:r>
        <w:rPr>
          <w:rFonts w:ascii="Arial" w:hAnsi="Arial"/>
          <w:sz w:val="20"/>
        </w:rPr>
        <w:t>SCCR</w:t>
      </w:r>
      <w:r w:rsidR="000C4B20">
        <w:rPr>
          <w:rFonts w:ascii="Arial" w:hAnsi="Arial"/>
          <w:sz w:val="20"/>
        </w:rPr>
        <w:t>)</w:t>
      </w:r>
      <w:r>
        <w:rPr>
          <w:rFonts w:ascii="Arial" w:hAnsi="Arial"/>
          <w:sz w:val="20"/>
        </w:rPr>
        <w:t xml:space="preserve"> and the </w:t>
      </w:r>
      <w:r w:rsidR="000C4B20">
        <w:rPr>
          <w:rFonts w:ascii="Arial" w:hAnsi="Arial"/>
          <w:sz w:val="20"/>
        </w:rPr>
        <w:t>Intergovernmental Committee on Intellectual Property and Genetic Resources, Traditional Knowledge and Folklore (</w:t>
      </w:r>
      <w:r>
        <w:rPr>
          <w:rFonts w:ascii="Arial" w:hAnsi="Arial"/>
          <w:sz w:val="20"/>
        </w:rPr>
        <w:t>IGC</w:t>
      </w:r>
      <w:r w:rsidR="000C4B20">
        <w:rPr>
          <w:rFonts w:ascii="Arial" w:hAnsi="Arial"/>
          <w:sz w:val="20"/>
        </w:rPr>
        <w:t>)</w:t>
      </w:r>
      <w:r>
        <w:rPr>
          <w:rFonts w:ascii="Arial" w:hAnsi="Arial"/>
          <w:sz w:val="20"/>
        </w:rPr>
        <w:t>, reflected in Programs 1 (Patent Law), Program 2 (Trademark Law), Program 3 (Copyright and Related Rights) and 4 (Traditional Knowledge, Traditional Cultural Expressions and Genetic Resources).</w:t>
      </w:r>
      <w:r w:rsidRPr="005331AC">
        <w:rPr>
          <w:rFonts w:ascii="Arial" w:hAnsi="Arial"/>
          <w:sz w:val="20"/>
        </w:rPr>
        <w:t xml:space="preserve"> </w:t>
      </w:r>
      <w:r>
        <w:rPr>
          <w:rFonts w:ascii="Arial" w:hAnsi="Arial"/>
          <w:sz w:val="20"/>
        </w:rPr>
        <w:t xml:space="preserve"> </w:t>
      </w:r>
    </w:p>
    <w:p w14:paraId="43877E48" w14:textId="77777777" w:rsidR="002F070A" w:rsidRDefault="002F070A" w:rsidP="002F070A">
      <w:pPr>
        <w:pStyle w:val="ListParagraph"/>
        <w:widowControl w:val="0"/>
        <w:tabs>
          <w:tab w:val="left" w:pos="567"/>
        </w:tabs>
        <w:ind w:left="0"/>
        <w:jc w:val="both"/>
        <w:rPr>
          <w:rFonts w:ascii="Arial" w:hAnsi="Arial"/>
          <w:sz w:val="20"/>
        </w:rPr>
      </w:pPr>
    </w:p>
    <w:p w14:paraId="21CF849A" w14:textId="2E407187" w:rsidR="00B67D0A" w:rsidRPr="004B3372" w:rsidRDefault="00B67D0A" w:rsidP="00B66A4A">
      <w:pPr>
        <w:pStyle w:val="ListParagraph"/>
        <w:numPr>
          <w:ilvl w:val="0"/>
          <w:numId w:val="34"/>
        </w:numPr>
        <w:tabs>
          <w:tab w:val="right" w:pos="1134"/>
        </w:tabs>
        <w:ind w:left="1134" w:hanging="567"/>
        <w:jc w:val="both"/>
        <w:rPr>
          <w:rFonts w:ascii="Arial" w:hAnsi="Arial"/>
          <w:i/>
          <w:sz w:val="20"/>
        </w:rPr>
      </w:pPr>
      <w:r>
        <w:rPr>
          <w:rFonts w:ascii="Arial" w:hAnsi="Arial"/>
          <w:i/>
          <w:sz w:val="20"/>
        </w:rPr>
        <w:t>A p</w:t>
      </w:r>
      <w:r w:rsidRPr="004B3372">
        <w:rPr>
          <w:rFonts w:ascii="Arial" w:hAnsi="Arial"/>
          <w:i/>
          <w:sz w:val="20"/>
        </w:rPr>
        <w:t xml:space="preserve">rovision </w:t>
      </w:r>
      <w:r>
        <w:rPr>
          <w:rFonts w:ascii="Arial" w:hAnsi="Arial"/>
          <w:i/>
          <w:sz w:val="20"/>
        </w:rPr>
        <w:t xml:space="preserve">of 1 million Swiss francs </w:t>
      </w:r>
      <w:r w:rsidRPr="004B3372">
        <w:rPr>
          <w:rFonts w:ascii="Arial" w:hAnsi="Arial"/>
          <w:i/>
          <w:sz w:val="20"/>
        </w:rPr>
        <w:t>has been made in the budget for the possibility of a Diplomatic Conference should Member States decide to convene one in the biennium</w:t>
      </w:r>
      <w:r w:rsidR="00851CC8">
        <w:rPr>
          <w:rFonts w:ascii="Arial" w:hAnsi="Arial"/>
          <w:i/>
          <w:sz w:val="20"/>
        </w:rPr>
        <w:t> </w:t>
      </w:r>
      <w:r w:rsidRPr="004B3372">
        <w:rPr>
          <w:rFonts w:ascii="Arial" w:hAnsi="Arial"/>
          <w:i/>
          <w:sz w:val="20"/>
        </w:rPr>
        <w:t xml:space="preserve">2016/17. The provision is reflected in “Unallocated”.  </w:t>
      </w:r>
    </w:p>
    <w:p w14:paraId="311EBF05" w14:textId="77777777" w:rsidR="00B67D0A" w:rsidRDefault="00B67D0A" w:rsidP="00F02301">
      <w:pPr>
        <w:tabs>
          <w:tab w:val="left" w:pos="567"/>
        </w:tabs>
        <w:jc w:val="both"/>
        <w:rPr>
          <w:rFonts w:ascii="Arial" w:hAnsi="Arial"/>
          <w:sz w:val="20"/>
        </w:rPr>
      </w:pPr>
    </w:p>
    <w:p w14:paraId="0392E9B4" w14:textId="387E3C83" w:rsidR="00B67D0A" w:rsidRPr="004B3372" w:rsidRDefault="00B67D0A" w:rsidP="00B66A4A">
      <w:pPr>
        <w:pStyle w:val="ListParagraph"/>
        <w:widowControl w:val="0"/>
        <w:numPr>
          <w:ilvl w:val="0"/>
          <w:numId w:val="33"/>
        </w:numPr>
        <w:tabs>
          <w:tab w:val="left" w:pos="567"/>
        </w:tabs>
        <w:ind w:left="0" w:firstLine="0"/>
        <w:jc w:val="both"/>
        <w:rPr>
          <w:rFonts w:ascii="Arial" w:hAnsi="Arial"/>
          <w:sz w:val="20"/>
        </w:rPr>
      </w:pPr>
      <w:r w:rsidRPr="004B3372">
        <w:rPr>
          <w:rFonts w:ascii="Arial" w:hAnsi="Arial" w:cs="Arial"/>
          <w:sz w:val="20"/>
        </w:rPr>
        <w:t xml:space="preserve">Work will continue to encourage accession to and implementation of WIPO treaties, in particular, the Beijing Treaty, the Marrakesh Treaty, the WIPO Internet Treaties, the Singapore Treaty and the Patent Law Treaty. </w:t>
      </w:r>
      <w:r w:rsidRPr="004B3372">
        <w:rPr>
          <w:rFonts w:ascii="Arial" w:hAnsi="Arial"/>
          <w:sz w:val="20"/>
        </w:rPr>
        <w:t xml:space="preserve"> </w:t>
      </w:r>
    </w:p>
    <w:p w14:paraId="361C4B6C" w14:textId="77777777" w:rsidR="00B67D0A" w:rsidRPr="00B30856" w:rsidRDefault="00B67D0A" w:rsidP="00B66A4A">
      <w:pPr>
        <w:pStyle w:val="ListParagraph"/>
        <w:numPr>
          <w:ilvl w:val="0"/>
          <w:numId w:val="34"/>
        </w:numPr>
        <w:tabs>
          <w:tab w:val="right" w:pos="1134"/>
        </w:tabs>
        <w:ind w:left="1134" w:hanging="567"/>
        <w:jc w:val="both"/>
        <w:rPr>
          <w:rFonts w:ascii="Arial" w:hAnsi="Arial"/>
          <w:i/>
          <w:sz w:val="20"/>
        </w:rPr>
      </w:pPr>
      <w:r w:rsidRPr="002F070A">
        <w:rPr>
          <w:rFonts w:ascii="Arial" w:hAnsi="Arial"/>
          <w:i/>
          <w:sz w:val="20"/>
        </w:rPr>
        <w:t>The</w:t>
      </w:r>
      <w:r w:rsidRPr="004B3372">
        <w:rPr>
          <w:rFonts w:ascii="Arial" w:hAnsi="Arial"/>
          <w:i/>
          <w:sz w:val="20"/>
          <w:lang w:val="en-CA"/>
        </w:rPr>
        <w:t xml:space="preserve"> associated </w:t>
      </w:r>
      <w:r>
        <w:rPr>
          <w:rFonts w:ascii="Arial" w:hAnsi="Arial"/>
          <w:i/>
          <w:sz w:val="20"/>
          <w:lang w:val="en-CA"/>
        </w:rPr>
        <w:t xml:space="preserve">total </w:t>
      </w:r>
      <w:r w:rsidRPr="004B3372">
        <w:rPr>
          <w:rFonts w:ascii="Arial" w:hAnsi="Arial"/>
          <w:i/>
          <w:sz w:val="20"/>
          <w:lang w:val="en-CA"/>
        </w:rPr>
        <w:t xml:space="preserve">resources are reflected in Programs </w:t>
      </w:r>
      <w:r>
        <w:rPr>
          <w:rFonts w:ascii="Arial" w:hAnsi="Arial"/>
          <w:i/>
          <w:sz w:val="20"/>
          <w:lang w:val="en-CA"/>
        </w:rPr>
        <w:t>1</w:t>
      </w:r>
      <w:r w:rsidRPr="004B3372">
        <w:rPr>
          <w:rFonts w:ascii="Arial" w:hAnsi="Arial"/>
          <w:i/>
          <w:sz w:val="20"/>
          <w:lang w:val="en-CA"/>
        </w:rPr>
        <w:t xml:space="preserve"> (P</w:t>
      </w:r>
      <w:r>
        <w:rPr>
          <w:rFonts w:ascii="Arial" w:hAnsi="Arial"/>
          <w:i/>
          <w:sz w:val="20"/>
          <w:lang w:val="en-CA"/>
        </w:rPr>
        <w:t>atent Law</w:t>
      </w:r>
      <w:r w:rsidRPr="004B3372">
        <w:rPr>
          <w:rFonts w:ascii="Arial" w:hAnsi="Arial"/>
          <w:i/>
          <w:sz w:val="20"/>
          <w:lang w:val="en-CA"/>
        </w:rPr>
        <w:t>), Program 2 (</w:t>
      </w:r>
      <w:r>
        <w:rPr>
          <w:rFonts w:ascii="Arial" w:hAnsi="Arial"/>
          <w:i/>
          <w:sz w:val="20"/>
          <w:lang w:val="en-CA"/>
        </w:rPr>
        <w:t>Trademarks, Industrial designs and Geographical Indications</w:t>
      </w:r>
      <w:r w:rsidRPr="004B3372">
        <w:rPr>
          <w:rFonts w:ascii="Arial" w:hAnsi="Arial"/>
          <w:i/>
          <w:sz w:val="20"/>
          <w:lang w:val="en-CA"/>
        </w:rPr>
        <w:t xml:space="preserve">) and </w:t>
      </w:r>
      <w:r>
        <w:rPr>
          <w:rFonts w:ascii="Arial" w:hAnsi="Arial"/>
          <w:i/>
          <w:sz w:val="20"/>
          <w:lang w:val="en-CA"/>
        </w:rPr>
        <w:t>Program 3</w:t>
      </w:r>
      <w:r w:rsidRPr="004B3372">
        <w:rPr>
          <w:rFonts w:ascii="Arial" w:hAnsi="Arial"/>
          <w:i/>
          <w:sz w:val="20"/>
          <w:lang w:val="en-CA"/>
        </w:rPr>
        <w:t xml:space="preserve"> (</w:t>
      </w:r>
      <w:r>
        <w:rPr>
          <w:rFonts w:ascii="Arial" w:hAnsi="Arial"/>
          <w:i/>
          <w:sz w:val="20"/>
          <w:lang w:val="en-CA"/>
        </w:rPr>
        <w:t>Copyright and Related Rights</w:t>
      </w:r>
      <w:r w:rsidRPr="004B3372">
        <w:rPr>
          <w:rFonts w:ascii="Arial" w:hAnsi="Arial"/>
          <w:i/>
          <w:sz w:val="20"/>
          <w:lang w:val="en-CA"/>
        </w:rPr>
        <w:t xml:space="preserve">). </w:t>
      </w:r>
    </w:p>
    <w:p w14:paraId="76864E70" w14:textId="77777777" w:rsidR="00B67D0A" w:rsidRPr="004B3372" w:rsidRDefault="00B67D0A" w:rsidP="00F02301">
      <w:pPr>
        <w:tabs>
          <w:tab w:val="left" w:pos="567"/>
        </w:tabs>
        <w:ind w:left="1080"/>
        <w:jc w:val="both"/>
        <w:rPr>
          <w:rFonts w:ascii="Arial" w:hAnsi="Arial"/>
          <w:i/>
          <w:sz w:val="20"/>
        </w:rPr>
      </w:pPr>
    </w:p>
    <w:p w14:paraId="197C2796" w14:textId="7EC9F9FD"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rPr>
      </w:pPr>
      <w:r w:rsidRPr="00813D5D">
        <w:rPr>
          <w:rFonts w:ascii="Arial" w:hAnsi="Arial" w:cs="Arial"/>
          <w:sz w:val="20"/>
          <w:lang w:val="en-SG"/>
        </w:rPr>
        <w:t>The IP Statistics Data Center will continue to make available all statistics to users worldwide. Special efforts will be made to collect and report new statistics on geographical indications and copyright-related activities and to further improve the user-friendliness of WIPO statistics. In the area of economic analysis, WIPO will continue to be a co-publisher of the Global Innovation Index (GII), seeking to contribute to the measurement of innovation and providing policymakers with a tool to benchmark innovation performance.  WIPO’s World Intellectual Property Report series will equally continue, seeking to explore new themes and deepen the analysis on global IP topics provided to date.  In addition, a new line of research on policy and performance in copyright- related industries w</w:t>
      </w:r>
      <w:r w:rsidR="002F070A">
        <w:rPr>
          <w:rFonts w:ascii="Arial" w:hAnsi="Arial" w:cs="Arial"/>
          <w:sz w:val="20"/>
          <w:lang w:val="en-SG"/>
        </w:rPr>
        <w:t xml:space="preserve">ill be established in 2016/17. </w:t>
      </w:r>
    </w:p>
    <w:p w14:paraId="2588573F" w14:textId="77777777" w:rsidR="002F070A" w:rsidRPr="00813D5D" w:rsidRDefault="002F070A" w:rsidP="002F070A">
      <w:pPr>
        <w:pStyle w:val="ListParagraph"/>
        <w:widowControl w:val="0"/>
        <w:tabs>
          <w:tab w:val="left" w:pos="567"/>
        </w:tabs>
        <w:ind w:left="0"/>
        <w:jc w:val="both"/>
        <w:rPr>
          <w:rFonts w:ascii="Arial" w:hAnsi="Arial"/>
          <w:sz w:val="20"/>
        </w:rPr>
      </w:pPr>
    </w:p>
    <w:p w14:paraId="4B075393" w14:textId="77777777" w:rsidR="00B67D0A" w:rsidRDefault="00B67D0A" w:rsidP="00B66A4A">
      <w:pPr>
        <w:pStyle w:val="ListParagraph"/>
        <w:numPr>
          <w:ilvl w:val="0"/>
          <w:numId w:val="34"/>
        </w:numPr>
        <w:tabs>
          <w:tab w:val="right" w:pos="1134"/>
        </w:tabs>
        <w:ind w:left="1134" w:hanging="567"/>
        <w:jc w:val="both"/>
        <w:rPr>
          <w:rFonts w:ascii="Arial" w:hAnsi="Arial"/>
          <w:i/>
          <w:sz w:val="20"/>
        </w:rPr>
      </w:pPr>
      <w:r w:rsidRPr="00813D5D">
        <w:rPr>
          <w:rFonts w:ascii="Arial" w:hAnsi="Arial"/>
          <w:i/>
          <w:sz w:val="20"/>
        </w:rPr>
        <w:t xml:space="preserve">The associated increase in </w:t>
      </w:r>
      <w:r>
        <w:rPr>
          <w:rFonts w:ascii="Arial" w:hAnsi="Arial"/>
          <w:i/>
          <w:sz w:val="20"/>
        </w:rPr>
        <w:t xml:space="preserve">total </w:t>
      </w:r>
      <w:r w:rsidRPr="00813D5D">
        <w:rPr>
          <w:rFonts w:ascii="Arial" w:hAnsi="Arial"/>
          <w:i/>
          <w:sz w:val="20"/>
        </w:rPr>
        <w:t xml:space="preserve">resources is reflected in Program 16 (Economics and Statistics). </w:t>
      </w:r>
    </w:p>
    <w:p w14:paraId="731DFD13" w14:textId="77777777" w:rsidR="00B67D0A" w:rsidRPr="00813D5D" w:rsidRDefault="00B67D0A" w:rsidP="00F02301">
      <w:pPr>
        <w:tabs>
          <w:tab w:val="left" w:pos="567"/>
        </w:tabs>
        <w:ind w:left="1080"/>
        <w:jc w:val="both"/>
        <w:rPr>
          <w:rFonts w:ascii="Arial" w:hAnsi="Arial"/>
          <w:i/>
          <w:sz w:val="20"/>
        </w:rPr>
      </w:pPr>
    </w:p>
    <w:p w14:paraId="3A930B3A" w14:textId="71368522" w:rsidR="00B67D0A" w:rsidRDefault="00B67D0A" w:rsidP="00B66A4A">
      <w:pPr>
        <w:pStyle w:val="ListParagraph"/>
        <w:widowControl w:val="0"/>
        <w:numPr>
          <w:ilvl w:val="0"/>
          <w:numId w:val="33"/>
        </w:numPr>
        <w:tabs>
          <w:tab w:val="left" w:pos="567"/>
        </w:tabs>
        <w:ind w:left="0" w:firstLine="0"/>
        <w:jc w:val="both"/>
        <w:rPr>
          <w:rFonts w:ascii="Arial" w:hAnsi="Arial"/>
          <w:sz w:val="20"/>
        </w:rPr>
      </w:pPr>
      <w:r w:rsidRPr="00BE7822">
        <w:rPr>
          <w:rFonts w:ascii="Arial" w:hAnsi="Arial"/>
          <w:sz w:val="20"/>
        </w:rPr>
        <w:t xml:space="preserve">Development continues to be a priority in the biennium 2016/17. This </w:t>
      </w:r>
      <w:r w:rsidR="008B26BE">
        <w:rPr>
          <w:rFonts w:ascii="Arial" w:hAnsi="Arial"/>
          <w:sz w:val="20"/>
        </w:rPr>
        <w:t>has resulted in the</w:t>
      </w:r>
      <w:r w:rsidRPr="00BE7822">
        <w:rPr>
          <w:rFonts w:ascii="Arial" w:hAnsi="Arial"/>
          <w:sz w:val="20"/>
        </w:rPr>
        <w:t xml:space="preserve"> development share </w:t>
      </w:r>
      <w:r w:rsidR="008B26BE">
        <w:rPr>
          <w:rFonts w:ascii="Arial" w:hAnsi="Arial"/>
          <w:sz w:val="20"/>
        </w:rPr>
        <w:t>remaining stable at</w:t>
      </w:r>
      <w:r w:rsidR="008B26BE" w:rsidRPr="00BE7822">
        <w:rPr>
          <w:rFonts w:ascii="Arial" w:hAnsi="Arial"/>
          <w:sz w:val="20"/>
        </w:rPr>
        <w:t xml:space="preserve"> </w:t>
      </w:r>
      <w:r>
        <w:rPr>
          <w:rFonts w:ascii="Arial" w:hAnsi="Arial"/>
          <w:sz w:val="20"/>
        </w:rPr>
        <w:t>21.</w:t>
      </w:r>
      <w:r w:rsidR="00C71CBF">
        <w:rPr>
          <w:rFonts w:ascii="Arial" w:hAnsi="Arial"/>
          <w:sz w:val="20"/>
        </w:rPr>
        <w:t xml:space="preserve">1 </w:t>
      </w:r>
      <w:r>
        <w:rPr>
          <w:rFonts w:ascii="Arial" w:hAnsi="Arial"/>
          <w:sz w:val="20"/>
        </w:rPr>
        <w:t>per cent</w:t>
      </w:r>
      <w:r w:rsidRPr="00BE7822">
        <w:rPr>
          <w:rFonts w:ascii="Arial" w:hAnsi="Arial"/>
          <w:sz w:val="20"/>
        </w:rPr>
        <w:t xml:space="preserve"> </w:t>
      </w:r>
      <w:r w:rsidR="008B26BE">
        <w:rPr>
          <w:rFonts w:ascii="Arial" w:hAnsi="Arial"/>
          <w:sz w:val="20"/>
        </w:rPr>
        <w:t>for</w:t>
      </w:r>
      <w:r w:rsidR="008B26BE" w:rsidRPr="00BE7822">
        <w:rPr>
          <w:rFonts w:ascii="Arial" w:hAnsi="Arial"/>
          <w:sz w:val="20"/>
        </w:rPr>
        <w:t xml:space="preserve"> </w:t>
      </w:r>
      <w:r w:rsidRPr="00BE7822">
        <w:rPr>
          <w:rFonts w:ascii="Arial" w:hAnsi="Arial"/>
          <w:sz w:val="20"/>
        </w:rPr>
        <w:t>the next biennium</w:t>
      </w:r>
      <w:r w:rsidR="000C4B20">
        <w:rPr>
          <w:rStyle w:val="FootnoteReference"/>
          <w:rFonts w:ascii="Arial" w:hAnsi="Arial"/>
          <w:sz w:val="20"/>
        </w:rPr>
        <w:footnoteReference w:id="6"/>
      </w:r>
      <w:r w:rsidRPr="00851CC8">
        <w:rPr>
          <w:rFonts w:ascii="Arial" w:hAnsi="Arial"/>
          <w:sz w:val="20"/>
        </w:rPr>
        <w:t>.</w:t>
      </w:r>
      <w:r w:rsidRPr="00BE7822">
        <w:rPr>
          <w:rFonts w:ascii="Arial" w:hAnsi="Arial"/>
          <w:sz w:val="20"/>
        </w:rPr>
        <w:t xml:space="preserve"> </w:t>
      </w:r>
    </w:p>
    <w:p w14:paraId="15164AA2" w14:textId="77777777" w:rsidR="002F070A" w:rsidRDefault="002F070A" w:rsidP="002F070A">
      <w:pPr>
        <w:pStyle w:val="ListParagraph"/>
        <w:widowControl w:val="0"/>
        <w:tabs>
          <w:tab w:val="left" w:pos="567"/>
        </w:tabs>
        <w:ind w:left="0"/>
        <w:jc w:val="both"/>
        <w:rPr>
          <w:rFonts w:ascii="Arial" w:hAnsi="Arial"/>
          <w:sz w:val="20"/>
        </w:rPr>
      </w:pPr>
    </w:p>
    <w:p w14:paraId="36227D8C" w14:textId="7F979A81" w:rsidR="00B67D0A" w:rsidRPr="0059096A" w:rsidRDefault="00B67D0A" w:rsidP="00B66A4A">
      <w:pPr>
        <w:pStyle w:val="ListParagraph"/>
        <w:numPr>
          <w:ilvl w:val="0"/>
          <w:numId w:val="34"/>
        </w:numPr>
        <w:tabs>
          <w:tab w:val="right" w:pos="1134"/>
        </w:tabs>
        <w:ind w:left="1134" w:hanging="567"/>
        <w:jc w:val="both"/>
        <w:rPr>
          <w:rFonts w:ascii="Arial" w:hAnsi="Arial"/>
          <w:i/>
          <w:sz w:val="20"/>
        </w:rPr>
      </w:pPr>
      <w:r>
        <w:rPr>
          <w:rFonts w:ascii="Arial" w:hAnsi="Arial"/>
          <w:i/>
          <w:sz w:val="20"/>
        </w:rPr>
        <w:t xml:space="preserve">This represents </w:t>
      </w:r>
      <w:r w:rsidRPr="0059096A">
        <w:rPr>
          <w:rFonts w:ascii="Arial" w:hAnsi="Arial"/>
          <w:i/>
          <w:sz w:val="20"/>
        </w:rPr>
        <w:t xml:space="preserve">an absolute increase in estimated development expenditure of </w:t>
      </w:r>
      <w:r w:rsidR="006342AC">
        <w:rPr>
          <w:rFonts w:ascii="Arial" w:hAnsi="Arial"/>
          <w:i/>
          <w:sz w:val="20"/>
        </w:rPr>
        <w:t>4</w:t>
      </w:r>
      <w:r w:rsidRPr="0059096A">
        <w:rPr>
          <w:rFonts w:ascii="Arial" w:hAnsi="Arial"/>
          <w:i/>
          <w:sz w:val="20"/>
        </w:rPr>
        <w:t xml:space="preserve"> per cent compared to the </w:t>
      </w:r>
      <w:r w:rsidR="009C165B">
        <w:rPr>
          <w:rFonts w:ascii="Arial" w:hAnsi="Arial"/>
          <w:i/>
          <w:sz w:val="20"/>
        </w:rPr>
        <w:t>2014/15 A</w:t>
      </w:r>
      <w:r w:rsidR="009C165B" w:rsidRPr="0059096A">
        <w:rPr>
          <w:rFonts w:ascii="Arial" w:hAnsi="Arial"/>
          <w:i/>
          <w:sz w:val="20"/>
        </w:rPr>
        <w:t xml:space="preserve">pproved </w:t>
      </w:r>
      <w:r w:rsidR="009C165B">
        <w:rPr>
          <w:rFonts w:ascii="Arial" w:hAnsi="Arial"/>
          <w:i/>
          <w:sz w:val="20"/>
        </w:rPr>
        <w:t>B</w:t>
      </w:r>
      <w:r w:rsidR="009C165B" w:rsidRPr="0059096A">
        <w:rPr>
          <w:rFonts w:ascii="Arial" w:hAnsi="Arial"/>
          <w:i/>
          <w:sz w:val="20"/>
        </w:rPr>
        <w:t>udget</w:t>
      </w:r>
      <w:r w:rsidRPr="0059096A">
        <w:rPr>
          <w:rFonts w:ascii="Arial" w:hAnsi="Arial"/>
          <w:i/>
          <w:sz w:val="20"/>
        </w:rPr>
        <w:t xml:space="preserve">. </w:t>
      </w:r>
    </w:p>
    <w:p w14:paraId="643736A7" w14:textId="77777777" w:rsidR="00B67D0A" w:rsidRDefault="00B67D0A" w:rsidP="00F02301">
      <w:pPr>
        <w:jc w:val="both"/>
        <w:rPr>
          <w:rFonts w:ascii="Arial" w:hAnsi="Arial"/>
          <w:sz w:val="20"/>
        </w:rPr>
      </w:pPr>
    </w:p>
    <w:p w14:paraId="353899DB" w14:textId="77777777" w:rsidR="00B67D0A" w:rsidRPr="002F070A" w:rsidRDefault="00B67D0A" w:rsidP="00B66A4A">
      <w:pPr>
        <w:pStyle w:val="ListParagraph"/>
        <w:widowControl w:val="0"/>
        <w:numPr>
          <w:ilvl w:val="0"/>
          <w:numId w:val="33"/>
        </w:numPr>
        <w:tabs>
          <w:tab w:val="left" w:pos="567"/>
        </w:tabs>
        <w:ind w:left="0" w:firstLine="0"/>
        <w:jc w:val="both"/>
        <w:rPr>
          <w:rFonts w:ascii="Arial" w:hAnsi="Arial" w:cs="Arial"/>
          <w:bCs/>
          <w:color w:val="000000"/>
          <w:sz w:val="20"/>
        </w:rPr>
      </w:pPr>
      <w:r w:rsidRPr="00D01CA6">
        <w:rPr>
          <w:rFonts w:ascii="Arial" w:hAnsi="Arial"/>
          <w:sz w:val="20"/>
        </w:rPr>
        <w:t xml:space="preserve">The DA recommendations continue to guide WIPO development activities.  Program linkages to the DA recommendations continue to be substantively reflected in each relevant Program narrative.  DA projects have been mainstreamed, both in terms of substance and resources, in each Program in </w:t>
      </w:r>
      <w:r w:rsidRPr="00D01CA6">
        <w:rPr>
          <w:rFonts w:ascii="Arial" w:hAnsi="Arial"/>
          <w:sz w:val="20"/>
        </w:rPr>
        <w:lastRenderedPageBreak/>
        <w:t>line with the Budgetary Process for Projects Proposed by the Committee on Development and Intellectual Property (CDIP) for the Implementation of the DA recommendations approved by the WIPO Assemblies in 2010</w:t>
      </w:r>
      <w:r w:rsidRPr="00320DE7">
        <w:rPr>
          <w:rStyle w:val="FootnoteReference"/>
          <w:rFonts w:ascii="Arial" w:hAnsi="Arial"/>
        </w:rPr>
        <w:footnoteReference w:id="7"/>
      </w:r>
      <w:r w:rsidRPr="00D01CA6">
        <w:rPr>
          <w:rFonts w:ascii="Arial" w:hAnsi="Arial"/>
          <w:sz w:val="20"/>
        </w:rPr>
        <w:t xml:space="preserve">. </w:t>
      </w:r>
    </w:p>
    <w:p w14:paraId="1A8A4E3F" w14:textId="77777777" w:rsidR="002F070A" w:rsidRPr="003B1A5B" w:rsidRDefault="002F070A" w:rsidP="002F070A">
      <w:pPr>
        <w:pStyle w:val="ListParagraph"/>
        <w:widowControl w:val="0"/>
        <w:tabs>
          <w:tab w:val="left" w:pos="567"/>
        </w:tabs>
        <w:ind w:left="0"/>
        <w:jc w:val="both"/>
        <w:rPr>
          <w:rFonts w:ascii="Arial" w:hAnsi="Arial" w:cs="Arial"/>
          <w:bCs/>
          <w:color w:val="000000"/>
          <w:sz w:val="20"/>
        </w:rPr>
      </w:pPr>
    </w:p>
    <w:p w14:paraId="577343B1" w14:textId="2CC68954" w:rsidR="00B67D0A" w:rsidRPr="003B1A5B" w:rsidRDefault="00B67D0A" w:rsidP="00B66A4A">
      <w:pPr>
        <w:pStyle w:val="ListParagraph"/>
        <w:numPr>
          <w:ilvl w:val="0"/>
          <w:numId w:val="34"/>
        </w:numPr>
        <w:tabs>
          <w:tab w:val="right" w:pos="1134"/>
        </w:tabs>
        <w:ind w:left="1134" w:hanging="567"/>
        <w:jc w:val="both"/>
        <w:rPr>
          <w:rFonts w:ascii="Arial" w:hAnsi="Arial" w:cs="Arial"/>
          <w:bCs/>
          <w:i/>
          <w:color w:val="000000"/>
          <w:sz w:val="20"/>
        </w:rPr>
      </w:pPr>
      <w:r w:rsidRPr="003B1A5B">
        <w:rPr>
          <w:rFonts w:ascii="Arial" w:hAnsi="Arial"/>
          <w:i/>
          <w:sz w:val="20"/>
        </w:rPr>
        <w:t>A total of six DA Projects are proposed in the biennium 2016/17</w:t>
      </w:r>
      <w:r w:rsidRPr="00851CC8">
        <w:rPr>
          <w:rStyle w:val="FootnoteReference"/>
          <w:rFonts w:ascii="Arial" w:hAnsi="Arial"/>
          <w:i/>
          <w:sz w:val="20"/>
        </w:rPr>
        <w:footnoteReference w:id="8"/>
      </w:r>
      <w:r w:rsidR="008B26BE">
        <w:rPr>
          <w:rFonts w:ascii="Arial" w:hAnsi="Arial"/>
          <w:i/>
          <w:sz w:val="20"/>
        </w:rPr>
        <w:t>, subject to approval by the CDIP,</w:t>
      </w:r>
      <w:r w:rsidRPr="00851CC8">
        <w:rPr>
          <w:rFonts w:ascii="Arial" w:hAnsi="Arial"/>
          <w:i/>
          <w:sz w:val="18"/>
        </w:rPr>
        <w:t xml:space="preserve"> </w:t>
      </w:r>
      <w:r w:rsidRPr="003B1A5B">
        <w:rPr>
          <w:rFonts w:ascii="Arial" w:hAnsi="Arial"/>
          <w:i/>
          <w:sz w:val="20"/>
        </w:rPr>
        <w:t xml:space="preserve">with an associated </w:t>
      </w:r>
      <w:r>
        <w:rPr>
          <w:rFonts w:ascii="Arial" w:hAnsi="Arial"/>
          <w:i/>
          <w:sz w:val="20"/>
        </w:rPr>
        <w:t xml:space="preserve">total </w:t>
      </w:r>
      <w:r w:rsidRPr="003B1A5B">
        <w:rPr>
          <w:rFonts w:ascii="Arial" w:hAnsi="Arial"/>
          <w:i/>
          <w:sz w:val="20"/>
        </w:rPr>
        <w:t>resource envelope of 2.5 million Swiss francs</w:t>
      </w:r>
      <w:r w:rsidR="009C165B">
        <w:rPr>
          <w:rStyle w:val="FootnoteReference"/>
          <w:rFonts w:ascii="Arial" w:hAnsi="Arial"/>
          <w:i/>
          <w:sz w:val="20"/>
        </w:rPr>
        <w:footnoteReference w:id="9"/>
      </w:r>
      <w:r w:rsidRPr="003B1A5B">
        <w:rPr>
          <w:rFonts w:ascii="Arial" w:hAnsi="Arial"/>
          <w:i/>
          <w:sz w:val="20"/>
        </w:rPr>
        <w:t xml:space="preserve">.  </w:t>
      </w:r>
    </w:p>
    <w:p w14:paraId="7BF8D508" w14:textId="77777777" w:rsidR="00B67D0A" w:rsidRPr="003B1A5B" w:rsidRDefault="00B67D0A" w:rsidP="00F02301">
      <w:pPr>
        <w:jc w:val="both"/>
        <w:rPr>
          <w:rFonts w:ascii="Arial" w:hAnsi="Arial"/>
          <w:i/>
          <w:sz w:val="20"/>
        </w:rPr>
      </w:pPr>
    </w:p>
    <w:p w14:paraId="14119E27" w14:textId="77777777"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2F070A">
        <w:rPr>
          <w:rFonts w:ascii="Arial" w:hAnsi="Arial"/>
          <w:sz w:val="20"/>
        </w:rPr>
        <w:t>With</w:t>
      </w:r>
      <w:r>
        <w:rPr>
          <w:rFonts w:ascii="Arial" w:hAnsi="Arial" w:cs="Arial"/>
          <w:sz w:val="20"/>
        </w:rPr>
        <w:t xml:space="preserve"> the anticipated adoption by UN Member States of the Post 2015 Development Agenda and a new international climate change agreement, the UN is set to shift from negotiation to action. WIPO as a strongly committed member of the UN family, and embracing both the spirit and recommendations of the WIPO Development Agenda, will play its full part in the Global Partnership for Development to support implementation of all elements of the post 2015 Development Agenda.</w:t>
      </w:r>
    </w:p>
    <w:p w14:paraId="1B8CE3E6" w14:textId="77777777" w:rsidR="002F070A" w:rsidRDefault="002F070A" w:rsidP="002F070A">
      <w:pPr>
        <w:pStyle w:val="ListParagraph"/>
        <w:widowControl w:val="0"/>
        <w:tabs>
          <w:tab w:val="left" w:pos="567"/>
        </w:tabs>
        <w:ind w:left="0"/>
        <w:jc w:val="both"/>
        <w:rPr>
          <w:rFonts w:ascii="Arial" w:hAnsi="Arial" w:cs="Arial"/>
          <w:sz w:val="20"/>
        </w:rPr>
      </w:pPr>
    </w:p>
    <w:p w14:paraId="02ECF698" w14:textId="5B5B07AB" w:rsidR="00B67D0A" w:rsidRPr="0069662E" w:rsidRDefault="00B67D0A" w:rsidP="00B66A4A">
      <w:pPr>
        <w:pStyle w:val="ListParagraph"/>
        <w:numPr>
          <w:ilvl w:val="0"/>
          <w:numId w:val="34"/>
        </w:numPr>
        <w:tabs>
          <w:tab w:val="right" w:pos="1134"/>
        </w:tabs>
        <w:ind w:left="1134" w:hanging="567"/>
        <w:jc w:val="both"/>
        <w:rPr>
          <w:rFonts w:ascii="Arial" w:hAnsi="Arial" w:cs="Arial"/>
          <w:sz w:val="20"/>
        </w:rPr>
      </w:pPr>
      <w:r w:rsidRPr="002F070A">
        <w:rPr>
          <w:rFonts w:ascii="Arial" w:hAnsi="Arial"/>
          <w:i/>
          <w:sz w:val="20"/>
        </w:rPr>
        <w:t>The</w:t>
      </w:r>
      <w:r w:rsidRPr="00D2204A">
        <w:rPr>
          <w:rFonts w:ascii="Arial" w:hAnsi="Arial" w:cs="Arial"/>
          <w:i/>
          <w:sz w:val="20"/>
        </w:rPr>
        <w:t xml:space="preserve"> associated </w:t>
      </w:r>
      <w:r>
        <w:rPr>
          <w:rFonts w:ascii="Arial" w:hAnsi="Arial" w:cs="Arial"/>
          <w:i/>
          <w:sz w:val="20"/>
        </w:rPr>
        <w:t xml:space="preserve">total </w:t>
      </w:r>
      <w:r w:rsidRPr="00D2204A">
        <w:rPr>
          <w:rFonts w:ascii="Arial" w:hAnsi="Arial" w:cs="Arial"/>
          <w:i/>
          <w:sz w:val="20"/>
        </w:rPr>
        <w:t>resources are</w:t>
      </w:r>
      <w:r>
        <w:rPr>
          <w:rFonts w:ascii="Arial" w:hAnsi="Arial" w:cs="Arial"/>
          <w:i/>
          <w:sz w:val="20"/>
        </w:rPr>
        <w:t>, primarily,</w:t>
      </w:r>
      <w:r w:rsidRPr="00D2204A">
        <w:rPr>
          <w:rFonts w:ascii="Arial" w:hAnsi="Arial" w:cs="Arial"/>
          <w:i/>
          <w:sz w:val="20"/>
        </w:rPr>
        <w:t xml:space="preserve"> reflected in </w:t>
      </w:r>
      <w:r w:rsidRPr="00D2204A">
        <w:rPr>
          <w:rFonts w:ascii="Arial" w:hAnsi="Arial"/>
          <w:i/>
          <w:sz w:val="20"/>
        </w:rPr>
        <w:t>Program</w:t>
      </w:r>
      <w:r>
        <w:rPr>
          <w:rFonts w:ascii="Arial" w:hAnsi="Arial"/>
          <w:i/>
          <w:sz w:val="20"/>
        </w:rPr>
        <w:t>s 9 (</w:t>
      </w:r>
      <w:r w:rsidRPr="00D2204A">
        <w:rPr>
          <w:rFonts w:ascii="Arial" w:hAnsi="Arial"/>
          <w:i/>
          <w:sz w:val="20"/>
        </w:rPr>
        <w:t>Africa, Arab, Asia and the Pacific, Latin America and the Caribbean Countries, Least Developed Countries)</w:t>
      </w:r>
      <w:r>
        <w:rPr>
          <w:rFonts w:ascii="Arial" w:hAnsi="Arial"/>
          <w:i/>
          <w:sz w:val="20"/>
        </w:rPr>
        <w:t xml:space="preserve">, 10 </w:t>
      </w:r>
      <w:r w:rsidRPr="00D2204A">
        <w:rPr>
          <w:rFonts w:ascii="Arial" w:hAnsi="Arial"/>
          <w:i/>
          <w:sz w:val="20"/>
        </w:rPr>
        <w:t>(Tran</w:t>
      </w:r>
      <w:r>
        <w:rPr>
          <w:rFonts w:ascii="Arial" w:hAnsi="Arial"/>
          <w:i/>
          <w:sz w:val="20"/>
        </w:rPr>
        <w:t>sition and Developed Countries), 18 (IP and Global Challenges) and 20</w:t>
      </w:r>
      <w:r w:rsidRPr="00D2204A">
        <w:rPr>
          <w:rFonts w:ascii="Arial" w:hAnsi="Arial"/>
          <w:i/>
          <w:sz w:val="20"/>
        </w:rPr>
        <w:t xml:space="preserve"> (</w:t>
      </w:r>
      <w:r>
        <w:rPr>
          <w:rFonts w:ascii="Arial" w:hAnsi="Arial"/>
          <w:i/>
          <w:sz w:val="20"/>
        </w:rPr>
        <w:t>External Relations, Partnerships and External Offices)</w:t>
      </w:r>
      <w:r w:rsidR="000C4B20">
        <w:rPr>
          <w:rFonts w:ascii="Arial" w:hAnsi="Arial"/>
          <w:i/>
          <w:sz w:val="20"/>
        </w:rPr>
        <w:t>.</w:t>
      </w:r>
      <w:r>
        <w:rPr>
          <w:rFonts w:ascii="Arial" w:hAnsi="Arial"/>
          <w:i/>
          <w:sz w:val="20"/>
        </w:rPr>
        <w:t xml:space="preserve"> </w:t>
      </w:r>
    </w:p>
    <w:p w14:paraId="57BCD014" w14:textId="77777777" w:rsidR="00B67D0A" w:rsidRDefault="00B67D0A" w:rsidP="00F02301">
      <w:pPr>
        <w:tabs>
          <w:tab w:val="left" w:pos="567"/>
        </w:tabs>
        <w:jc w:val="both"/>
        <w:rPr>
          <w:rFonts w:ascii="Arial" w:hAnsi="Arial"/>
          <w:sz w:val="20"/>
        </w:rPr>
      </w:pPr>
    </w:p>
    <w:p w14:paraId="01876537" w14:textId="77777777"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rPr>
      </w:pPr>
      <w:r w:rsidRPr="00881C7F">
        <w:rPr>
          <w:rFonts w:ascii="Arial" w:hAnsi="Arial"/>
          <w:sz w:val="20"/>
        </w:rPr>
        <w:t>Enhancing access to, and use of, IP information by IP institutions and the public to promote innovation and creativity</w:t>
      </w:r>
      <w:r>
        <w:rPr>
          <w:rFonts w:ascii="Arial" w:hAnsi="Arial"/>
          <w:sz w:val="20"/>
        </w:rPr>
        <w:t xml:space="preserve"> will continue</w:t>
      </w:r>
      <w:r w:rsidRPr="00881C7F">
        <w:rPr>
          <w:rFonts w:ascii="Arial" w:hAnsi="Arial"/>
          <w:sz w:val="20"/>
        </w:rPr>
        <w:t xml:space="preserve">.  </w:t>
      </w:r>
      <w:r>
        <w:rPr>
          <w:rFonts w:ascii="Arial" w:hAnsi="Arial"/>
          <w:sz w:val="20"/>
        </w:rPr>
        <w:t>The</w:t>
      </w:r>
      <w:r w:rsidRPr="00881C7F">
        <w:rPr>
          <w:rFonts w:ascii="Arial" w:hAnsi="Arial" w:cs="Arial"/>
          <w:color w:val="000000"/>
          <w:sz w:val="20"/>
        </w:rPr>
        <w:t xml:space="preserve"> global databases </w:t>
      </w:r>
      <w:r>
        <w:rPr>
          <w:rFonts w:ascii="Arial" w:hAnsi="Arial" w:cs="Arial"/>
          <w:color w:val="000000"/>
          <w:sz w:val="20"/>
        </w:rPr>
        <w:t xml:space="preserve">will be expanded </w:t>
      </w:r>
      <w:r w:rsidRPr="00881C7F">
        <w:rPr>
          <w:rFonts w:ascii="Arial" w:hAnsi="Arial" w:cs="Arial"/>
          <w:color w:val="000000"/>
          <w:sz w:val="20"/>
        </w:rPr>
        <w:t>in terms of their geographical coverage of national data collections</w:t>
      </w:r>
      <w:r>
        <w:rPr>
          <w:rFonts w:ascii="Arial" w:hAnsi="Arial" w:cs="Arial"/>
          <w:color w:val="000000"/>
          <w:sz w:val="20"/>
        </w:rPr>
        <w:t>, including for the G</w:t>
      </w:r>
      <w:r w:rsidRPr="00881C7F">
        <w:rPr>
          <w:rFonts w:ascii="Arial" w:hAnsi="Arial" w:cs="Arial"/>
          <w:color w:val="000000"/>
          <w:sz w:val="20"/>
        </w:rPr>
        <w:t xml:space="preserve">lobal </w:t>
      </w:r>
      <w:r>
        <w:rPr>
          <w:rFonts w:ascii="Arial" w:hAnsi="Arial" w:cs="Arial"/>
          <w:color w:val="000000"/>
          <w:sz w:val="20"/>
        </w:rPr>
        <w:t>Designs D</w:t>
      </w:r>
      <w:r w:rsidRPr="00881C7F">
        <w:rPr>
          <w:rFonts w:ascii="Arial" w:hAnsi="Arial" w:cs="Arial"/>
          <w:color w:val="000000"/>
          <w:sz w:val="20"/>
        </w:rPr>
        <w:t xml:space="preserve">atabase </w:t>
      </w:r>
      <w:r>
        <w:rPr>
          <w:rFonts w:ascii="Arial" w:hAnsi="Arial" w:cs="Arial"/>
          <w:color w:val="000000"/>
          <w:sz w:val="20"/>
        </w:rPr>
        <w:t xml:space="preserve">developed in the biennium 2014/15. </w:t>
      </w:r>
    </w:p>
    <w:p w14:paraId="070FA75B" w14:textId="77777777" w:rsidR="002F070A" w:rsidRPr="004B3372" w:rsidRDefault="002F070A" w:rsidP="002F070A">
      <w:pPr>
        <w:pStyle w:val="ListParagraph"/>
        <w:widowControl w:val="0"/>
        <w:tabs>
          <w:tab w:val="left" w:pos="567"/>
        </w:tabs>
        <w:ind w:left="0"/>
        <w:jc w:val="both"/>
        <w:rPr>
          <w:rFonts w:ascii="Arial" w:hAnsi="Arial"/>
          <w:sz w:val="20"/>
        </w:rPr>
      </w:pPr>
    </w:p>
    <w:p w14:paraId="4242A035" w14:textId="77777777" w:rsidR="00B67D0A" w:rsidRPr="004F5E83" w:rsidRDefault="00B67D0A" w:rsidP="00B66A4A">
      <w:pPr>
        <w:pStyle w:val="ListParagraph"/>
        <w:numPr>
          <w:ilvl w:val="0"/>
          <w:numId w:val="34"/>
        </w:numPr>
        <w:tabs>
          <w:tab w:val="right" w:pos="1134"/>
        </w:tabs>
        <w:ind w:left="1134" w:hanging="567"/>
        <w:jc w:val="both"/>
        <w:rPr>
          <w:rFonts w:ascii="Arial" w:hAnsi="Arial"/>
          <w:sz w:val="20"/>
        </w:rPr>
      </w:pPr>
      <w:r>
        <w:rPr>
          <w:rFonts w:ascii="Arial" w:hAnsi="Arial"/>
          <w:i/>
          <w:sz w:val="20"/>
          <w:lang w:val="en-CA"/>
        </w:rPr>
        <w:t>The associated increase</w:t>
      </w:r>
      <w:r w:rsidRPr="004B3372">
        <w:rPr>
          <w:rFonts w:ascii="Arial" w:hAnsi="Arial"/>
          <w:i/>
          <w:sz w:val="20"/>
          <w:lang w:val="en-CA"/>
        </w:rPr>
        <w:t xml:space="preserve"> in </w:t>
      </w:r>
      <w:r>
        <w:rPr>
          <w:rFonts w:ascii="Arial" w:hAnsi="Arial"/>
          <w:i/>
          <w:sz w:val="20"/>
          <w:lang w:val="en-CA"/>
        </w:rPr>
        <w:t xml:space="preserve">total </w:t>
      </w:r>
      <w:r w:rsidRPr="004B3372">
        <w:rPr>
          <w:rFonts w:ascii="Arial" w:hAnsi="Arial"/>
          <w:i/>
          <w:sz w:val="20"/>
          <w:lang w:val="en-CA"/>
        </w:rPr>
        <w:t xml:space="preserve">resources </w:t>
      </w:r>
      <w:r>
        <w:rPr>
          <w:rFonts w:ascii="Arial" w:hAnsi="Arial"/>
          <w:i/>
          <w:sz w:val="20"/>
          <w:lang w:val="en-CA"/>
        </w:rPr>
        <w:t>is</w:t>
      </w:r>
      <w:r w:rsidRPr="004B3372">
        <w:rPr>
          <w:rFonts w:ascii="Arial" w:hAnsi="Arial"/>
          <w:i/>
          <w:sz w:val="20"/>
          <w:lang w:val="en-CA"/>
        </w:rPr>
        <w:t xml:space="preserve"> reflected in Program 13</w:t>
      </w:r>
      <w:r>
        <w:rPr>
          <w:rFonts w:ascii="Arial" w:hAnsi="Arial"/>
          <w:i/>
          <w:sz w:val="20"/>
          <w:lang w:val="en-CA"/>
        </w:rPr>
        <w:t xml:space="preserve"> (Global databases)</w:t>
      </w:r>
      <w:r>
        <w:rPr>
          <w:rFonts w:ascii="Arial" w:hAnsi="Arial"/>
          <w:sz w:val="20"/>
          <w:lang w:val="en-CA"/>
        </w:rPr>
        <w:t xml:space="preserve">. </w:t>
      </w:r>
    </w:p>
    <w:p w14:paraId="1108F80F" w14:textId="77777777" w:rsidR="00B67D0A" w:rsidRDefault="00B67D0A" w:rsidP="00F02301">
      <w:pPr>
        <w:tabs>
          <w:tab w:val="left" w:pos="567"/>
        </w:tabs>
        <w:jc w:val="both"/>
        <w:rPr>
          <w:rFonts w:ascii="Arial" w:hAnsi="Arial"/>
          <w:sz w:val="20"/>
        </w:rPr>
      </w:pPr>
    </w:p>
    <w:p w14:paraId="65E2D940" w14:textId="43AEE36B" w:rsidR="008B26BE" w:rsidRDefault="008B26BE" w:rsidP="00B66A4A">
      <w:pPr>
        <w:pStyle w:val="ListParagraph"/>
        <w:widowControl w:val="0"/>
        <w:numPr>
          <w:ilvl w:val="0"/>
          <w:numId w:val="33"/>
        </w:numPr>
        <w:tabs>
          <w:tab w:val="left" w:pos="567"/>
        </w:tabs>
        <w:ind w:left="0" w:firstLine="0"/>
        <w:jc w:val="both"/>
        <w:rPr>
          <w:rFonts w:ascii="Arial" w:hAnsi="Arial"/>
          <w:sz w:val="20"/>
        </w:rPr>
      </w:pPr>
      <w:r>
        <w:rPr>
          <w:rFonts w:ascii="Arial" w:hAnsi="Arial"/>
          <w:sz w:val="20"/>
        </w:rPr>
        <w:t xml:space="preserve">Enhanced access to IP knowledge content will continue to be facilitated through the creation and/or strengthening of sustainable Technology Innovation Support Center (TICS) networks and special projects facilitating access to commercial databases. </w:t>
      </w:r>
    </w:p>
    <w:p w14:paraId="27576002" w14:textId="77777777" w:rsidR="008B26BE" w:rsidRDefault="008B26BE" w:rsidP="00DA3F93">
      <w:pPr>
        <w:pStyle w:val="ListParagraph"/>
        <w:widowControl w:val="0"/>
        <w:tabs>
          <w:tab w:val="left" w:pos="567"/>
        </w:tabs>
        <w:ind w:left="0"/>
        <w:jc w:val="both"/>
        <w:rPr>
          <w:rFonts w:ascii="Arial" w:hAnsi="Arial"/>
          <w:sz w:val="20"/>
        </w:rPr>
      </w:pPr>
    </w:p>
    <w:p w14:paraId="21EF969C" w14:textId="4C700764" w:rsidR="008B26BE" w:rsidRPr="004F5E83" w:rsidRDefault="008B26BE" w:rsidP="00B66A4A">
      <w:pPr>
        <w:pStyle w:val="ListParagraph"/>
        <w:numPr>
          <w:ilvl w:val="0"/>
          <w:numId w:val="34"/>
        </w:numPr>
        <w:tabs>
          <w:tab w:val="right" w:pos="1134"/>
        </w:tabs>
        <w:ind w:left="1134" w:hanging="567"/>
        <w:jc w:val="both"/>
        <w:rPr>
          <w:rFonts w:ascii="Arial" w:hAnsi="Arial"/>
          <w:sz w:val="20"/>
        </w:rPr>
      </w:pPr>
      <w:r>
        <w:rPr>
          <w:rFonts w:ascii="Arial" w:hAnsi="Arial"/>
          <w:i/>
          <w:sz w:val="20"/>
          <w:lang w:val="en-CA"/>
        </w:rPr>
        <w:t xml:space="preserve">The associated total </w:t>
      </w:r>
      <w:r w:rsidRPr="004B3372">
        <w:rPr>
          <w:rFonts w:ascii="Arial" w:hAnsi="Arial"/>
          <w:i/>
          <w:sz w:val="20"/>
          <w:lang w:val="en-CA"/>
        </w:rPr>
        <w:t xml:space="preserve">resources </w:t>
      </w:r>
      <w:r>
        <w:rPr>
          <w:rFonts w:ascii="Arial" w:hAnsi="Arial"/>
          <w:i/>
          <w:sz w:val="20"/>
          <w:lang w:val="en-CA"/>
        </w:rPr>
        <w:t>are</w:t>
      </w:r>
      <w:r w:rsidRPr="004B3372">
        <w:rPr>
          <w:rFonts w:ascii="Arial" w:hAnsi="Arial"/>
          <w:i/>
          <w:sz w:val="20"/>
          <w:lang w:val="en-CA"/>
        </w:rPr>
        <w:t xml:space="preserve"> reflected in Program 1</w:t>
      </w:r>
      <w:r w:rsidR="00DA0D82">
        <w:rPr>
          <w:rFonts w:ascii="Arial" w:hAnsi="Arial"/>
          <w:i/>
          <w:sz w:val="20"/>
          <w:lang w:val="en-CA"/>
        </w:rPr>
        <w:t>4</w:t>
      </w:r>
      <w:r>
        <w:rPr>
          <w:rFonts w:ascii="Arial" w:hAnsi="Arial"/>
          <w:i/>
          <w:sz w:val="20"/>
          <w:lang w:val="en-CA"/>
        </w:rPr>
        <w:t xml:space="preserve"> (</w:t>
      </w:r>
      <w:r w:rsidR="00DA0D82">
        <w:rPr>
          <w:rFonts w:ascii="Arial" w:hAnsi="Arial"/>
          <w:i/>
          <w:sz w:val="20"/>
          <w:lang w:val="en-CA"/>
        </w:rPr>
        <w:t>Services for Access to Information and Knowledge</w:t>
      </w:r>
      <w:r>
        <w:rPr>
          <w:rFonts w:ascii="Arial" w:hAnsi="Arial"/>
          <w:i/>
          <w:sz w:val="20"/>
          <w:lang w:val="en-CA"/>
        </w:rPr>
        <w:t>)</w:t>
      </w:r>
      <w:r>
        <w:rPr>
          <w:rFonts w:ascii="Arial" w:hAnsi="Arial"/>
          <w:sz w:val="20"/>
          <w:lang w:val="en-CA"/>
        </w:rPr>
        <w:t xml:space="preserve">. </w:t>
      </w:r>
    </w:p>
    <w:p w14:paraId="578F21F2" w14:textId="481A8192" w:rsidR="008B26BE" w:rsidRDefault="008B26BE" w:rsidP="00DA3F93">
      <w:pPr>
        <w:pStyle w:val="ListParagraph"/>
        <w:widowControl w:val="0"/>
        <w:tabs>
          <w:tab w:val="left" w:pos="567"/>
        </w:tabs>
        <w:ind w:left="0"/>
        <w:jc w:val="both"/>
        <w:rPr>
          <w:rFonts w:ascii="Arial" w:hAnsi="Arial"/>
          <w:sz w:val="20"/>
        </w:rPr>
      </w:pPr>
      <w:r>
        <w:rPr>
          <w:rFonts w:ascii="Arial" w:hAnsi="Arial"/>
          <w:sz w:val="20"/>
        </w:rPr>
        <w:t xml:space="preserve"> </w:t>
      </w:r>
    </w:p>
    <w:p w14:paraId="20211E7C" w14:textId="55608790"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rPr>
      </w:pPr>
      <w:r w:rsidRPr="004F5E83">
        <w:rPr>
          <w:rFonts w:ascii="Arial" w:hAnsi="Arial"/>
          <w:sz w:val="20"/>
        </w:rPr>
        <w:t>T</w:t>
      </w:r>
      <w:r w:rsidRPr="004F5E83">
        <w:rPr>
          <w:rFonts w:ascii="Arial" w:hAnsi="Arial"/>
          <w:color w:val="000000"/>
          <w:sz w:val="20"/>
        </w:rPr>
        <w:t xml:space="preserve">he strengthening of the technical infrastructure of IP offices through the </w:t>
      </w:r>
      <w:r w:rsidRPr="004F5E83">
        <w:rPr>
          <w:rFonts w:ascii="Arial" w:hAnsi="Arial" w:cs="Arial"/>
          <w:sz w:val="20"/>
          <w:lang w:val="en-SG"/>
        </w:rPr>
        <w:t xml:space="preserve">revised technical assistance model, focusing on sustainable results at the country level, will continue in 2016/17. </w:t>
      </w:r>
      <w:r>
        <w:rPr>
          <w:rFonts w:ascii="Arial" w:hAnsi="Arial" w:cs="Arial"/>
          <w:sz w:val="20"/>
          <w:lang w:val="en-SG"/>
        </w:rPr>
        <w:t xml:space="preserve">In addition, </w:t>
      </w:r>
      <w:r>
        <w:rPr>
          <w:rFonts w:ascii="Arial" w:hAnsi="Arial" w:cs="Arial"/>
          <w:color w:val="000000"/>
          <w:sz w:val="20"/>
          <w:szCs w:val="21"/>
        </w:rPr>
        <w:t>a</w:t>
      </w:r>
      <w:r w:rsidRPr="004F5E83">
        <w:rPr>
          <w:rFonts w:ascii="Arial" w:hAnsi="Arial" w:cs="Arial"/>
          <w:color w:val="000000"/>
          <w:sz w:val="20"/>
          <w:szCs w:val="21"/>
        </w:rPr>
        <w:t xml:space="preserve"> first version of the WCC (WIPO Copyright Connection) system will be made available to a first group of </w:t>
      </w:r>
      <w:r w:rsidRPr="00B30856">
        <w:rPr>
          <w:rFonts w:ascii="Arial" w:hAnsi="Arial" w:cs="Arial"/>
          <w:sz w:val="20"/>
        </w:rPr>
        <w:t>collective management organizations</w:t>
      </w:r>
      <w:r w:rsidRPr="004F5E83">
        <w:rPr>
          <w:rFonts w:ascii="Arial" w:hAnsi="Arial" w:cs="Arial"/>
          <w:color w:val="000000"/>
          <w:sz w:val="20"/>
          <w:szCs w:val="21"/>
        </w:rPr>
        <w:t xml:space="preserve"> CMOs in developing countries or LDCs</w:t>
      </w:r>
      <w:r>
        <w:rPr>
          <w:rFonts w:ascii="Arial" w:hAnsi="Arial" w:cs="Arial"/>
          <w:color w:val="000000"/>
          <w:sz w:val="20"/>
          <w:szCs w:val="21"/>
        </w:rPr>
        <w:t xml:space="preserve">. </w:t>
      </w:r>
    </w:p>
    <w:p w14:paraId="7E93F564" w14:textId="77777777" w:rsidR="002F070A" w:rsidRPr="004B3372" w:rsidRDefault="002F070A" w:rsidP="002F070A">
      <w:pPr>
        <w:pStyle w:val="ListParagraph"/>
        <w:widowControl w:val="0"/>
        <w:tabs>
          <w:tab w:val="left" w:pos="567"/>
        </w:tabs>
        <w:ind w:left="0"/>
        <w:jc w:val="both"/>
        <w:rPr>
          <w:rFonts w:ascii="Arial" w:hAnsi="Arial"/>
          <w:sz w:val="20"/>
        </w:rPr>
      </w:pPr>
    </w:p>
    <w:p w14:paraId="319B3604" w14:textId="77777777" w:rsidR="00B67D0A" w:rsidRPr="004B3372" w:rsidRDefault="00B67D0A" w:rsidP="00B66A4A">
      <w:pPr>
        <w:pStyle w:val="ListParagraph"/>
        <w:numPr>
          <w:ilvl w:val="0"/>
          <w:numId w:val="34"/>
        </w:numPr>
        <w:tabs>
          <w:tab w:val="right" w:pos="1134"/>
        </w:tabs>
        <w:ind w:left="1134" w:hanging="567"/>
        <w:jc w:val="both"/>
        <w:rPr>
          <w:rFonts w:ascii="Arial" w:hAnsi="Arial"/>
          <w:i/>
          <w:sz w:val="20"/>
        </w:rPr>
      </w:pPr>
      <w:r w:rsidRPr="004B3372">
        <w:rPr>
          <w:rFonts w:ascii="Arial" w:hAnsi="Arial"/>
          <w:i/>
          <w:sz w:val="20"/>
          <w:lang w:val="en-CA"/>
        </w:rPr>
        <w:t xml:space="preserve">The associated increase in </w:t>
      </w:r>
      <w:r>
        <w:rPr>
          <w:rFonts w:ascii="Arial" w:hAnsi="Arial"/>
          <w:i/>
          <w:sz w:val="20"/>
          <w:lang w:val="en-CA"/>
        </w:rPr>
        <w:t xml:space="preserve">total </w:t>
      </w:r>
      <w:r w:rsidRPr="004B3372">
        <w:rPr>
          <w:rFonts w:ascii="Arial" w:hAnsi="Arial"/>
          <w:i/>
          <w:sz w:val="20"/>
          <w:lang w:val="en-CA"/>
        </w:rPr>
        <w:t xml:space="preserve">resources </w:t>
      </w:r>
      <w:r>
        <w:rPr>
          <w:rFonts w:ascii="Arial" w:hAnsi="Arial"/>
          <w:i/>
          <w:sz w:val="20"/>
          <w:lang w:val="en-CA"/>
        </w:rPr>
        <w:t>is</w:t>
      </w:r>
      <w:r w:rsidRPr="004B3372">
        <w:rPr>
          <w:rFonts w:ascii="Arial" w:hAnsi="Arial"/>
          <w:i/>
          <w:sz w:val="20"/>
          <w:lang w:val="en-CA"/>
        </w:rPr>
        <w:t xml:space="preserve"> reflected in Program 15</w:t>
      </w:r>
      <w:r>
        <w:rPr>
          <w:rFonts w:ascii="Arial" w:hAnsi="Arial"/>
          <w:i/>
          <w:sz w:val="20"/>
          <w:lang w:val="en-CA"/>
        </w:rPr>
        <w:t xml:space="preserve"> (Business Solutions for IP Offices)</w:t>
      </w:r>
      <w:r w:rsidRPr="004B3372">
        <w:rPr>
          <w:rFonts w:ascii="Arial" w:hAnsi="Arial"/>
          <w:i/>
          <w:sz w:val="20"/>
          <w:lang w:val="en-CA"/>
        </w:rPr>
        <w:t>.</w:t>
      </w:r>
      <w:r w:rsidRPr="004B3372">
        <w:rPr>
          <w:rFonts w:ascii="Arial" w:hAnsi="Arial" w:cs="Arial"/>
          <w:i/>
          <w:color w:val="000000"/>
          <w:sz w:val="20"/>
          <w:szCs w:val="21"/>
        </w:rPr>
        <w:t xml:space="preserve"> </w:t>
      </w:r>
    </w:p>
    <w:p w14:paraId="2A740F6C" w14:textId="77777777" w:rsidR="00B67D0A" w:rsidRPr="004B3372" w:rsidRDefault="00B67D0A" w:rsidP="00F02301">
      <w:pPr>
        <w:tabs>
          <w:tab w:val="left" w:pos="567"/>
        </w:tabs>
        <w:jc w:val="both"/>
        <w:rPr>
          <w:rFonts w:ascii="Arial" w:hAnsi="Arial" w:cs="Arial"/>
          <w:sz w:val="20"/>
        </w:rPr>
      </w:pPr>
    </w:p>
    <w:p w14:paraId="41805F27" w14:textId="0D450B42"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B30856">
        <w:rPr>
          <w:rFonts w:ascii="Arial" w:hAnsi="Arial" w:cs="Arial"/>
          <w:sz w:val="20"/>
        </w:rPr>
        <w:t xml:space="preserve">Work in the area of copyright and related rights infrastructure, </w:t>
      </w:r>
      <w:r w:rsidRPr="00B30856">
        <w:rPr>
          <w:rFonts w:ascii="Arial" w:eastAsia="Calibri" w:hAnsi="Arial" w:cs="Arial"/>
          <w:sz w:val="20"/>
        </w:rPr>
        <w:t xml:space="preserve">will focus on </w:t>
      </w:r>
      <w:r w:rsidRPr="00B30856">
        <w:rPr>
          <w:rFonts w:ascii="Arial" w:hAnsi="Arial" w:cs="Arial"/>
          <w:sz w:val="20"/>
        </w:rPr>
        <w:t xml:space="preserve">establishing the </w:t>
      </w:r>
      <w:r w:rsidRPr="00B30856">
        <w:rPr>
          <w:rFonts w:ascii="Arial" w:hAnsi="Arial" w:cs="Arial"/>
          <w:i/>
          <w:sz w:val="20"/>
        </w:rPr>
        <w:t xml:space="preserve">TAG of Excellence </w:t>
      </w:r>
      <w:r w:rsidRPr="00B30856">
        <w:rPr>
          <w:rFonts w:ascii="Arial" w:hAnsi="Arial" w:cs="Arial"/>
          <w:sz w:val="20"/>
        </w:rPr>
        <w:t xml:space="preserve">international quality assurance standard for (CMOs) as well as a </w:t>
      </w:r>
      <w:r w:rsidRPr="00B30856">
        <w:rPr>
          <w:rFonts w:ascii="Arial" w:hAnsi="Arial" w:cs="Arial"/>
          <w:i/>
          <w:sz w:val="20"/>
        </w:rPr>
        <w:t>TAG</w:t>
      </w:r>
      <w:r w:rsidRPr="00B30856">
        <w:rPr>
          <w:rFonts w:ascii="Arial" w:hAnsi="Arial" w:cs="Arial"/>
          <w:sz w:val="20"/>
        </w:rPr>
        <w:t xml:space="preserve"> education program on the transparency, accountability and governance of CMOs. To complement the TAG-related activities, a new portal will be designed and developed to deliver many of WIPO’s copyright infrastructure projects via the Internet and in partnership with third parties. </w:t>
      </w:r>
      <w:r w:rsidR="005D60B3">
        <w:rPr>
          <w:rFonts w:ascii="Arial" w:hAnsi="Arial" w:cs="Arial"/>
          <w:sz w:val="20"/>
        </w:rPr>
        <w:t xml:space="preserve"> </w:t>
      </w:r>
      <w:r w:rsidRPr="00B30856">
        <w:rPr>
          <w:rFonts w:ascii="Arial" w:hAnsi="Arial" w:cs="Arial"/>
          <w:sz w:val="20"/>
        </w:rPr>
        <w:t xml:space="preserve">Work will also continue towards making the Accessible Books Consortium (ABC) the premier global entity for facilitating access to books by the print disabled around the world. </w:t>
      </w:r>
    </w:p>
    <w:p w14:paraId="0D3A0B65" w14:textId="77777777" w:rsidR="002F070A" w:rsidRDefault="002F070A" w:rsidP="002F070A">
      <w:pPr>
        <w:pStyle w:val="ListParagraph"/>
        <w:widowControl w:val="0"/>
        <w:tabs>
          <w:tab w:val="left" w:pos="567"/>
        </w:tabs>
        <w:ind w:left="0"/>
        <w:jc w:val="both"/>
        <w:rPr>
          <w:rFonts w:ascii="Arial" w:hAnsi="Arial" w:cs="Arial"/>
          <w:sz w:val="20"/>
        </w:rPr>
      </w:pPr>
    </w:p>
    <w:p w14:paraId="74CF287E" w14:textId="77777777" w:rsidR="00B67D0A" w:rsidRPr="00B30856" w:rsidRDefault="00B67D0A" w:rsidP="00B66A4A">
      <w:pPr>
        <w:pStyle w:val="ListParagraph"/>
        <w:numPr>
          <w:ilvl w:val="0"/>
          <w:numId w:val="34"/>
        </w:numPr>
        <w:tabs>
          <w:tab w:val="right" w:pos="1134"/>
        </w:tabs>
        <w:ind w:left="1134" w:hanging="567"/>
        <w:jc w:val="both"/>
        <w:rPr>
          <w:rFonts w:ascii="Arial" w:hAnsi="Arial" w:cs="Arial"/>
          <w:i/>
          <w:sz w:val="20"/>
        </w:rPr>
      </w:pPr>
      <w:r w:rsidRPr="00B30856">
        <w:rPr>
          <w:rFonts w:ascii="Arial" w:hAnsi="Arial" w:cs="Arial"/>
          <w:i/>
          <w:sz w:val="20"/>
        </w:rPr>
        <w:t xml:space="preserve">The associated </w:t>
      </w:r>
      <w:r>
        <w:rPr>
          <w:rFonts w:ascii="Arial" w:hAnsi="Arial" w:cs="Arial"/>
          <w:i/>
          <w:sz w:val="20"/>
        </w:rPr>
        <w:t xml:space="preserve">total </w:t>
      </w:r>
      <w:r w:rsidRPr="00B30856">
        <w:rPr>
          <w:rFonts w:ascii="Arial" w:hAnsi="Arial" w:cs="Arial"/>
          <w:i/>
          <w:sz w:val="20"/>
        </w:rPr>
        <w:t>resources are reflected in Program 3</w:t>
      </w:r>
      <w:r>
        <w:rPr>
          <w:rFonts w:ascii="Arial" w:hAnsi="Arial" w:cs="Arial"/>
          <w:i/>
          <w:sz w:val="20"/>
        </w:rPr>
        <w:t xml:space="preserve"> (Copyright and Related Rights)</w:t>
      </w:r>
      <w:r w:rsidRPr="00B30856">
        <w:rPr>
          <w:rFonts w:ascii="Arial" w:hAnsi="Arial" w:cs="Arial"/>
          <w:i/>
          <w:sz w:val="20"/>
        </w:rPr>
        <w:t>.</w:t>
      </w:r>
    </w:p>
    <w:p w14:paraId="4A5154FF" w14:textId="77777777" w:rsidR="00B67D0A" w:rsidRPr="00DF1376" w:rsidRDefault="00B67D0A" w:rsidP="00F02301">
      <w:pPr>
        <w:autoSpaceDE w:val="0"/>
        <w:autoSpaceDN w:val="0"/>
        <w:adjustRightInd w:val="0"/>
        <w:jc w:val="both"/>
        <w:rPr>
          <w:rFonts w:ascii="Arial" w:hAnsi="Arial" w:cs="Arial"/>
          <w:sz w:val="20"/>
        </w:rPr>
      </w:pPr>
    </w:p>
    <w:p w14:paraId="2D3691C8" w14:textId="3ACB6EBF" w:rsidR="00B67D0A" w:rsidRDefault="00B67D0A" w:rsidP="00B66A4A">
      <w:pPr>
        <w:pStyle w:val="ListParagraph"/>
        <w:widowControl w:val="0"/>
        <w:numPr>
          <w:ilvl w:val="0"/>
          <w:numId w:val="33"/>
        </w:numPr>
        <w:tabs>
          <w:tab w:val="left" w:pos="567"/>
        </w:tabs>
        <w:ind w:left="0" w:firstLine="0"/>
        <w:jc w:val="both"/>
        <w:rPr>
          <w:rFonts w:ascii="Arial" w:hAnsi="Arial" w:cs="Arial"/>
          <w:color w:val="000000"/>
          <w:sz w:val="20"/>
          <w:szCs w:val="21"/>
        </w:rPr>
      </w:pPr>
      <w:r w:rsidRPr="002F070A">
        <w:rPr>
          <w:rFonts w:ascii="Arial" w:hAnsi="Arial"/>
          <w:sz w:val="20"/>
        </w:rPr>
        <w:t>Improved</w:t>
      </w:r>
      <w:r w:rsidRPr="006B66A9">
        <w:rPr>
          <w:rFonts w:ascii="Arial" w:hAnsi="Arial" w:cs="Arial"/>
          <w:color w:val="000000"/>
          <w:sz w:val="20"/>
          <w:szCs w:val="21"/>
        </w:rPr>
        <w:t xml:space="preserve"> delivery and coherence of WIPO’s technical cooperation </w:t>
      </w:r>
      <w:r w:rsidRPr="006B66A9">
        <w:rPr>
          <w:rFonts w:ascii="Arial" w:hAnsi="Arial"/>
          <w:sz w:val="20"/>
        </w:rPr>
        <w:t>in developing countries, least developed countries (LDCs) and countries with economies in transition</w:t>
      </w:r>
      <w:r w:rsidRPr="006B66A9">
        <w:rPr>
          <w:rFonts w:ascii="Arial" w:hAnsi="Arial" w:cs="Arial"/>
          <w:color w:val="000000"/>
          <w:sz w:val="20"/>
          <w:szCs w:val="21"/>
        </w:rPr>
        <w:t xml:space="preserve"> will receive particular attention in 2016/17</w:t>
      </w:r>
      <w:r w:rsidR="000C4B20">
        <w:rPr>
          <w:rFonts w:ascii="Arial" w:hAnsi="Arial" w:cs="Arial"/>
          <w:color w:val="000000"/>
          <w:sz w:val="20"/>
          <w:szCs w:val="21"/>
        </w:rPr>
        <w:t>,</w:t>
      </w:r>
      <w:r w:rsidRPr="006B66A9">
        <w:rPr>
          <w:rFonts w:ascii="Arial" w:hAnsi="Arial" w:cs="Arial"/>
          <w:color w:val="000000"/>
          <w:sz w:val="20"/>
          <w:szCs w:val="21"/>
        </w:rPr>
        <w:t xml:space="preserve"> building on progress made in developing national IP strategies in 2014/15.  To this end, country plans, developed and maintained by the Regional Bureaus on the basis of the needs and realities of the recipient countries, and containing all projects and activities that will take place in each country, will be institutionalized. Technical cooperation will also increasingly be delivered through </w:t>
      </w:r>
      <w:r w:rsidRPr="006B66A9">
        <w:rPr>
          <w:rFonts w:ascii="Arial" w:hAnsi="Arial" w:cs="Arial"/>
          <w:color w:val="000000"/>
          <w:sz w:val="20"/>
          <w:szCs w:val="21"/>
        </w:rPr>
        <w:lastRenderedPageBreak/>
        <w:t>project-based approaches, leveraging the experience gained in recent years through the implementation of DA and other special development projects.</w:t>
      </w:r>
      <w:r w:rsidRPr="00D2204A">
        <w:rPr>
          <w:rFonts w:ascii="Arial" w:hAnsi="Arial" w:cs="Arial"/>
          <w:color w:val="000000"/>
          <w:sz w:val="20"/>
          <w:szCs w:val="21"/>
        </w:rPr>
        <w:t xml:space="preserve"> A coherent planning and reporting of South-South activities at the Organizational level and interface with all internal and external stakeholders</w:t>
      </w:r>
      <w:r>
        <w:rPr>
          <w:rFonts w:ascii="Arial" w:hAnsi="Arial" w:cs="Arial"/>
          <w:color w:val="000000"/>
          <w:sz w:val="20"/>
          <w:szCs w:val="21"/>
        </w:rPr>
        <w:t xml:space="preserve"> will also be ensured. </w:t>
      </w:r>
    </w:p>
    <w:p w14:paraId="0F0FE06A" w14:textId="77777777" w:rsidR="002F070A" w:rsidRPr="00D2204A" w:rsidRDefault="002F070A" w:rsidP="002F070A">
      <w:pPr>
        <w:pStyle w:val="ListParagraph"/>
        <w:widowControl w:val="0"/>
        <w:tabs>
          <w:tab w:val="left" w:pos="567"/>
        </w:tabs>
        <w:ind w:left="0"/>
        <w:jc w:val="both"/>
        <w:rPr>
          <w:rFonts w:ascii="Arial" w:hAnsi="Arial" w:cs="Arial"/>
          <w:color w:val="000000"/>
          <w:sz w:val="20"/>
          <w:szCs w:val="21"/>
        </w:rPr>
      </w:pPr>
    </w:p>
    <w:p w14:paraId="218362A6" w14:textId="77777777" w:rsidR="00B67D0A" w:rsidRPr="00D2204A" w:rsidRDefault="00B67D0A" w:rsidP="00B66A4A">
      <w:pPr>
        <w:pStyle w:val="ListParagraph"/>
        <w:numPr>
          <w:ilvl w:val="0"/>
          <w:numId w:val="34"/>
        </w:numPr>
        <w:tabs>
          <w:tab w:val="right" w:pos="1134"/>
        </w:tabs>
        <w:ind w:left="1134" w:hanging="567"/>
        <w:jc w:val="both"/>
        <w:rPr>
          <w:rFonts w:ascii="Arial" w:hAnsi="Arial" w:cs="Arial"/>
          <w:i/>
          <w:sz w:val="20"/>
        </w:rPr>
      </w:pPr>
      <w:r w:rsidRPr="00D2204A">
        <w:rPr>
          <w:rFonts w:ascii="Arial" w:hAnsi="Arial" w:cs="Arial"/>
          <w:i/>
          <w:sz w:val="20"/>
        </w:rPr>
        <w:t xml:space="preserve">The associated </w:t>
      </w:r>
      <w:r>
        <w:rPr>
          <w:rFonts w:ascii="Arial" w:hAnsi="Arial" w:cs="Arial"/>
          <w:i/>
          <w:sz w:val="20"/>
        </w:rPr>
        <w:t xml:space="preserve">total </w:t>
      </w:r>
      <w:r w:rsidRPr="00D2204A">
        <w:rPr>
          <w:rFonts w:ascii="Arial" w:hAnsi="Arial" w:cs="Arial"/>
          <w:i/>
          <w:sz w:val="20"/>
        </w:rPr>
        <w:t xml:space="preserve">resources are reflected in </w:t>
      </w:r>
      <w:r w:rsidRPr="00D2204A">
        <w:rPr>
          <w:rFonts w:ascii="Arial" w:hAnsi="Arial"/>
          <w:i/>
          <w:sz w:val="20"/>
        </w:rPr>
        <w:t>Programs 9 (Africa, Arab, Asia and the Pacific, Latin America and the Caribbean Countries, Least Developed Countries) and 10 (Tran</w:t>
      </w:r>
      <w:r>
        <w:rPr>
          <w:rFonts w:ascii="Arial" w:hAnsi="Arial"/>
          <w:i/>
          <w:sz w:val="20"/>
        </w:rPr>
        <w:t>sition and Developed Countries)</w:t>
      </w:r>
      <w:r w:rsidRPr="00D2204A">
        <w:rPr>
          <w:rFonts w:ascii="Arial" w:hAnsi="Arial"/>
          <w:i/>
          <w:sz w:val="20"/>
        </w:rPr>
        <w:t xml:space="preserve">. </w:t>
      </w:r>
    </w:p>
    <w:p w14:paraId="486C4E99" w14:textId="77777777" w:rsidR="00B67D0A" w:rsidRPr="00DB00E8" w:rsidRDefault="00B67D0A" w:rsidP="00F02301">
      <w:pPr>
        <w:tabs>
          <w:tab w:val="left" w:pos="567"/>
        </w:tabs>
        <w:jc w:val="both"/>
        <w:rPr>
          <w:rFonts w:ascii="Arial" w:hAnsi="Arial" w:cs="Arial"/>
          <w:color w:val="000000"/>
          <w:sz w:val="20"/>
          <w:szCs w:val="21"/>
          <w:highlight w:val="yellow"/>
        </w:rPr>
      </w:pPr>
    </w:p>
    <w:p w14:paraId="7E102AAE" w14:textId="2DB81F10" w:rsidR="00B67D0A" w:rsidRPr="002F070A" w:rsidRDefault="00B67D0A" w:rsidP="00B66A4A">
      <w:pPr>
        <w:pStyle w:val="ListParagraph"/>
        <w:widowControl w:val="0"/>
        <w:numPr>
          <w:ilvl w:val="0"/>
          <w:numId w:val="33"/>
        </w:numPr>
        <w:tabs>
          <w:tab w:val="left" w:pos="567"/>
        </w:tabs>
        <w:ind w:left="0" w:firstLine="0"/>
        <w:jc w:val="both"/>
        <w:rPr>
          <w:rFonts w:ascii="Arial" w:hAnsi="Arial" w:cs="Arial"/>
          <w:color w:val="000000"/>
          <w:sz w:val="20"/>
          <w:szCs w:val="21"/>
        </w:rPr>
      </w:pPr>
      <w:r w:rsidRPr="00726E37">
        <w:rPr>
          <w:rFonts w:ascii="Arial" w:hAnsi="Arial"/>
          <w:sz w:val="20"/>
        </w:rPr>
        <w:t xml:space="preserve">The special focus on LDCs will be reinforced in order to respond to increasing individual and common needs. </w:t>
      </w:r>
      <w:r w:rsidR="003866D2">
        <w:rPr>
          <w:rFonts w:ascii="Arial" w:hAnsi="Arial"/>
          <w:sz w:val="20"/>
        </w:rPr>
        <w:t>S</w:t>
      </w:r>
      <w:r w:rsidR="003866D2" w:rsidRPr="00726E37">
        <w:rPr>
          <w:rFonts w:ascii="Arial" w:hAnsi="Arial"/>
          <w:sz w:val="20"/>
        </w:rPr>
        <w:t xml:space="preserve">pecial </w:t>
      </w:r>
      <w:r w:rsidRPr="00726E37">
        <w:rPr>
          <w:rFonts w:ascii="Arial" w:hAnsi="Arial"/>
          <w:sz w:val="20"/>
        </w:rPr>
        <w:t xml:space="preserve">emphasis will be given to develop their national and technological IP capacity to assist in their main goals such </w:t>
      </w:r>
      <w:r w:rsidR="00D337E0">
        <w:rPr>
          <w:rFonts w:ascii="Arial" w:hAnsi="Arial"/>
          <w:sz w:val="20"/>
        </w:rPr>
        <w:t xml:space="preserve">as </w:t>
      </w:r>
      <w:r w:rsidRPr="00726E37">
        <w:rPr>
          <w:rFonts w:ascii="Arial" w:hAnsi="Arial"/>
          <w:sz w:val="20"/>
        </w:rPr>
        <w:t xml:space="preserve">poverty alleviation and economic growth and other development policies. The DA project on </w:t>
      </w:r>
      <w:r w:rsidR="000C4B20">
        <w:rPr>
          <w:rFonts w:ascii="Arial" w:hAnsi="Arial"/>
          <w:sz w:val="20"/>
        </w:rPr>
        <w:t>C</w:t>
      </w:r>
      <w:r w:rsidR="000C4B20" w:rsidRPr="00726E37">
        <w:rPr>
          <w:rFonts w:ascii="Arial" w:hAnsi="Arial"/>
          <w:sz w:val="20"/>
        </w:rPr>
        <w:t>apacity</w:t>
      </w:r>
      <w:r w:rsidRPr="00726E37">
        <w:rPr>
          <w:rFonts w:ascii="Arial" w:hAnsi="Arial"/>
          <w:sz w:val="20"/>
        </w:rPr>
        <w:t xml:space="preserve">-building in the </w:t>
      </w:r>
      <w:r w:rsidR="000C4B20">
        <w:rPr>
          <w:rFonts w:ascii="Arial" w:hAnsi="Arial"/>
          <w:sz w:val="20"/>
        </w:rPr>
        <w:t>U</w:t>
      </w:r>
      <w:r w:rsidR="000C4B20" w:rsidRPr="00726E37">
        <w:rPr>
          <w:rFonts w:ascii="Arial" w:hAnsi="Arial"/>
          <w:sz w:val="20"/>
        </w:rPr>
        <w:t xml:space="preserve">se </w:t>
      </w:r>
      <w:r w:rsidRPr="00726E37">
        <w:rPr>
          <w:rFonts w:ascii="Arial" w:hAnsi="Arial"/>
          <w:sz w:val="20"/>
        </w:rPr>
        <w:t xml:space="preserve">of </w:t>
      </w:r>
      <w:r w:rsidR="000C4B20">
        <w:rPr>
          <w:rFonts w:ascii="Arial" w:hAnsi="Arial"/>
          <w:sz w:val="20"/>
        </w:rPr>
        <w:t>A</w:t>
      </w:r>
      <w:r w:rsidR="000C4B20" w:rsidRPr="00726E37">
        <w:rPr>
          <w:rFonts w:ascii="Arial" w:hAnsi="Arial"/>
          <w:sz w:val="20"/>
        </w:rPr>
        <w:t xml:space="preserve">ppropriate </w:t>
      </w:r>
      <w:r w:rsidR="000C4B20">
        <w:rPr>
          <w:rFonts w:ascii="Arial" w:hAnsi="Arial"/>
          <w:sz w:val="20"/>
        </w:rPr>
        <w:t>T</w:t>
      </w:r>
      <w:r w:rsidR="000C4B20" w:rsidRPr="00726E37">
        <w:rPr>
          <w:rFonts w:ascii="Arial" w:hAnsi="Arial"/>
          <w:sz w:val="20"/>
        </w:rPr>
        <w:t>echnology</w:t>
      </w:r>
      <w:r w:rsidRPr="00726E37">
        <w:rPr>
          <w:rFonts w:ascii="Arial" w:hAnsi="Arial"/>
          <w:sz w:val="20"/>
        </w:rPr>
        <w:t xml:space="preserve">-specific </w:t>
      </w:r>
      <w:r w:rsidR="000C4B20">
        <w:rPr>
          <w:rFonts w:ascii="Arial" w:hAnsi="Arial"/>
          <w:sz w:val="20"/>
        </w:rPr>
        <w:t>T</w:t>
      </w:r>
      <w:r w:rsidR="000C4B20" w:rsidRPr="00726E37">
        <w:rPr>
          <w:rFonts w:ascii="Arial" w:hAnsi="Arial"/>
          <w:sz w:val="20"/>
        </w:rPr>
        <w:t xml:space="preserve">echnical </w:t>
      </w:r>
      <w:r w:rsidRPr="00726E37">
        <w:rPr>
          <w:rFonts w:ascii="Arial" w:hAnsi="Arial"/>
          <w:sz w:val="20"/>
        </w:rPr>
        <w:t xml:space="preserve">and </w:t>
      </w:r>
      <w:r w:rsidR="000C4B20">
        <w:rPr>
          <w:rFonts w:ascii="Arial" w:hAnsi="Arial"/>
          <w:sz w:val="20"/>
        </w:rPr>
        <w:t>S</w:t>
      </w:r>
      <w:r w:rsidR="000C4B20" w:rsidRPr="00726E37">
        <w:rPr>
          <w:rFonts w:ascii="Arial" w:hAnsi="Arial"/>
          <w:sz w:val="20"/>
        </w:rPr>
        <w:t xml:space="preserve">cientific </w:t>
      </w:r>
      <w:r w:rsidR="000C4B20">
        <w:rPr>
          <w:rFonts w:ascii="Arial" w:hAnsi="Arial"/>
          <w:sz w:val="20"/>
        </w:rPr>
        <w:t>I</w:t>
      </w:r>
      <w:r w:rsidR="000C4B20" w:rsidRPr="00726E37">
        <w:rPr>
          <w:rFonts w:ascii="Arial" w:hAnsi="Arial"/>
          <w:sz w:val="20"/>
        </w:rPr>
        <w:t xml:space="preserve">nformation </w:t>
      </w:r>
      <w:r w:rsidRPr="00726E37">
        <w:rPr>
          <w:rFonts w:ascii="Arial" w:hAnsi="Arial"/>
          <w:sz w:val="20"/>
        </w:rPr>
        <w:t xml:space="preserve">as a solution for identified development challenges is the main vehicle of support in this area. Furthermore, WIPO will, in particular, continue supporting activities within the priority areas identified in the WIPO Deliverables, adopted on the occasion of the Fourth United Nations Conference on the LDCs (LDC IV) and designed to contribute towards the implementation of the Istanbul Programme of Action (IPoA). </w:t>
      </w:r>
    </w:p>
    <w:p w14:paraId="62AFD875" w14:textId="77777777" w:rsidR="002F070A" w:rsidRPr="00D2204A" w:rsidRDefault="002F070A" w:rsidP="002F070A">
      <w:pPr>
        <w:pStyle w:val="ListParagraph"/>
        <w:widowControl w:val="0"/>
        <w:tabs>
          <w:tab w:val="left" w:pos="567"/>
        </w:tabs>
        <w:ind w:left="0"/>
        <w:jc w:val="both"/>
        <w:rPr>
          <w:rFonts w:ascii="Arial" w:hAnsi="Arial" w:cs="Arial"/>
          <w:color w:val="000000"/>
          <w:sz w:val="20"/>
          <w:szCs w:val="21"/>
        </w:rPr>
      </w:pPr>
    </w:p>
    <w:p w14:paraId="4D425304" w14:textId="77777777" w:rsidR="00B67D0A" w:rsidRDefault="00B67D0A" w:rsidP="00B66A4A">
      <w:pPr>
        <w:pStyle w:val="ListParagraph"/>
        <w:numPr>
          <w:ilvl w:val="0"/>
          <w:numId w:val="34"/>
        </w:numPr>
        <w:tabs>
          <w:tab w:val="right" w:pos="1134"/>
        </w:tabs>
        <w:ind w:left="1134" w:hanging="567"/>
        <w:jc w:val="both"/>
        <w:rPr>
          <w:rFonts w:ascii="Arial" w:hAnsi="Arial" w:cs="Arial"/>
          <w:color w:val="000000"/>
          <w:sz w:val="20"/>
          <w:szCs w:val="21"/>
        </w:rPr>
      </w:pPr>
      <w:r w:rsidRPr="00D2204A">
        <w:rPr>
          <w:rFonts w:ascii="Arial" w:hAnsi="Arial" w:cs="Arial"/>
          <w:i/>
          <w:sz w:val="20"/>
        </w:rPr>
        <w:t xml:space="preserve">The </w:t>
      </w:r>
      <w:r w:rsidRPr="002F070A">
        <w:rPr>
          <w:rFonts w:ascii="Arial" w:hAnsi="Arial"/>
          <w:i/>
          <w:sz w:val="20"/>
        </w:rPr>
        <w:t>associated</w:t>
      </w:r>
      <w:r w:rsidRPr="00D2204A">
        <w:rPr>
          <w:rFonts w:ascii="Arial" w:hAnsi="Arial" w:cs="Arial"/>
          <w:i/>
          <w:sz w:val="20"/>
        </w:rPr>
        <w:t xml:space="preserve"> </w:t>
      </w:r>
      <w:r>
        <w:rPr>
          <w:rFonts w:ascii="Arial" w:hAnsi="Arial" w:cs="Arial"/>
          <w:i/>
          <w:sz w:val="20"/>
        </w:rPr>
        <w:t xml:space="preserve">total </w:t>
      </w:r>
      <w:r w:rsidRPr="00D2204A">
        <w:rPr>
          <w:rFonts w:ascii="Arial" w:hAnsi="Arial" w:cs="Arial"/>
          <w:i/>
          <w:sz w:val="20"/>
        </w:rPr>
        <w:t xml:space="preserve">resources are reflected in </w:t>
      </w:r>
      <w:r w:rsidRPr="00D2204A">
        <w:rPr>
          <w:rFonts w:ascii="Arial" w:hAnsi="Arial"/>
          <w:i/>
          <w:sz w:val="20"/>
        </w:rPr>
        <w:t>Programs 9 (Africa, Arab, Asia and the Pacific, Latin America and the Caribbean Countries, Least Developed Countries)</w:t>
      </w:r>
      <w:r>
        <w:rPr>
          <w:rFonts w:ascii="Arial" w:hAnsi="Arial"/>
          <w:i/>
          <w:sz w:val="20"/>
        </w:rPr>
        <w:t>.</w:t>
      </w:r>
    </w:p>
    <w:p w14:paraId="04779966" w14:textId="77777777" w:rsidR="00B67D0A" w:rsidRDefault="00B67D0A" w:rsidP="00F02301">
      <w:pPr>
        <w:pStyle w:val="ListParagraph"/>
        <w:tabs>
          <w:tab w:val="left" w:pos="567"/>
          <w:tab w:val="left" w:pos="709"/>
        </w:tabs>
        <w:ind w:left="0"/>
        <w:jc w:val="both"/>
        <w:rPr>
          <w:rFonts w:ascii="Arial" w:hAnsi="Arial"/>
          <w:sz w:val="20"/>
        </w:rPr>
      </w:pPr>
    </w:p>
    <w:p w14:paraId="7B448277" w14:textId="797131F0" w:rsidR="00B67D0A" w:rsidRPr="002F07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6221AA">
        <w:rPr>
          <w:rFonts w:ascii="Arial" w:hAnsi="Arial"/>
          <w:sz w:val="20"/>
        </w:rPr>
        <w:t xml:space="preserve">In order to </w:t>
      </w:r>
      <w:r w:rsidRPr="006221AA">
        <w:rPr>
          <w:rFonts w:ascii="Arial" w:hAnsi="Arial" w:cs="Arial"/>
          <w:sz w:val="20"/>
        </w:rPr>
        <w:t xml:space="preserve">achieve a more integrated planning and delivery of WIPO training and capacity building activities, </w:t>
      </w:r>
      <w:r w:rsidR="00B07684">
        <w:rPr>
          <w:rFonts w:ascii="Arial" w:hAnsi="Arial" w:cs="Arial"/>
          <w:sz w:val="20"/>
        </w:rPr>
        <w:t xml:space="preserve">and to </w:t>
      </w:r>
      <w:r w:rsidRPr="006221AA">
        <w:rPr>
          <w:rFonts w:ascii="Arial" w:hAnsi="Arial" w:cs="Arial"/>
          <w:sz w:val="20"/>
        </w:rPr>
        <w:t xml:space="preserve">enhance quality and </w:t>
      </w:r>
      <w:r w:rsidRPr="006221AA">
        <w:rPr>
          <w:rFonts w:ascii="Arial" w:hAnsi="Arial"/>
          <w:sz w:val="20"/>
        </w:rPr>
        <w:t>cost-effectiveness</w:t>
      </w:r>
      <w:r w:rsidRPr="006221AA">
        <w:rPr>
          <w:rFonts w:ascii="Arial" w:hAnsi="Arial" w:cs="Arial"/>
          <w:sz w:val="20"/>
        </w:rPr>
        <w:t xml:space="preserve">, the WIPO Academy </w:t>
      </w:r>
      <w:r w:rsidRPr="006221AA">
        <w:rPr>
          <w:rFonts w:ascii="Arial" w:hAnsi="Arial" w:cs="Arial"/>
          <w:sz w:val="20"/>
          <w:szCs w:val="20"/>
        </w:rPr>
        <w:t>embarked, in 2014/15, on a gradual and consistent reform process to reposition the Academy as the organization-wide vehicle for professional training and capacity-building.  This process will continue in 2016/17.</w:t>
      </w:r>
    </w:p>
    <w:p w14:paraId="1F42E857" w14:textId="77777777" w:rsidR="002F070A" w:rsidRPr="00D2204A" w:rsidRDefault="002F070A" w:rsidP="002F070A">
      <w:pPr>
        <w:pStyle w:val="ListParagraph"/>
        <w:widowControl w:val="0"/>
        <w:tabs>
          <w:tab w:val="left" w:pos="567"/>
        </w:tabs>
        <w:ind w:left="0"/>
        <w:jc w:val="both"/>
        <w:rPr>
          <w:rFonts w:ascii="Arial" w:hAnsi="Arial" w:cs="Arial"/>
          <w:sz w:val="20"/>
        </w:rPr>
      </w:pPr>
    </w:p>
    <w:p w14:paraId="0E4E1A13" w14:textId="77777777" w:rsidR="00B67D0A" w:rsidRPr="00EB438B" w:rsidRDefault="00B67D0A" w:rsidP="00B66A4A">
      <w:pPr>
        <w:pStyle w:val="ListParagraph"/>
        <w:numPr>
          <w:ilvl w:val="0"/>
          <w:numId w:val="34"/>
        </w:numPr>
        <w:tabs>
          <w:tab w:val="right" w:pos="1134"/>
        </w:tabs>
        <w:ind w:left="1134" w:hanging="567"/>
        <w:jc w:val="both"/>
        <w:rPr>
          <w:rFonts w:ascii="Arial" w:hAnsi="Arial" w:cs="Arial"/>
          <w:sz w:val="20"/>
        </w:rPr>
      </w:pPr>
      <w:r w:rsidRPr="00D2204A">
        <w:rPr>
          <w:rFonts w:ascii="Arial" w:hAnsi="Arial" w:cs="Arial"/>
          <w:i/>
          <w:sz w:val="20"/>
        </w:rPr>
        <w:t xml:space="preserve">The associated </w:t>
      </w:r>
      <w:r>
        <w:rPr>
          <w:rFonts w:ascii="Arial" w:hAnsi="Arial" w:cs="Arial"/>
          <w:i/>
          <w:sz w:val="20"/>
        </w:rPr>
        <w:t xml:space="preserve">total </w:t>
      </w:r>
      <w:r w:rsidRPr="00D2204A">
        <w:rPr>
          <w:rFonts w:ascii="Arial" w:hAnsi="Arial" w:cs="Arial"/>
          <w:i/>
          <w:sz w:val="20"/>
        </w:rPr>
        <w:t xml:space="preserve">resources are reflected in </w:t>
      </w:r>
      <w:r w:rsidRPr="00D2204A">
        <w:rPr>
          <w:rFonts w:ascii="Arial" w:hAnsi="Arial"/>
          <w:i/>
          <w:sz w:val="20"/>
        </w:rPr>
        <w:t xml:space="preserve">Program </w:t>
      </w:r>
      <w:r>
        <w:rPr>
          <w:rFonts w:ascii="Arial" w:hAnsi="Arial"/>
          <w:i/>
          <w:sz w:val="20"/>
        </w:rPr>
        <w:t>11</w:t>
      </w:r>
      <w:r w:rsidRPr="00D2204A">
        <w:rPr>
          <w:rFonts w:ascii="Arial" w:hAnsi="Arial"/>
          <w:i/>
          <w:sz w:val="20"/>
        </w:rPr>
        <w:t xml:space="preserve"> (</w:t>
      </w:r>
      <w:r>
        <w:rPr>
          <w:rFonts w:ascii="Arial" w:hAnsi="Arial"/>
          <w:i/>
          <w:sz w:val="20"/>
        </w:rPr>
        <w:t>The WIPO Academy).</w:t>
      </w:r>
    </w:p>
    <w:p w14:paraId="654B14B4" w14:textId="77777777" w:rsidR="00B67D0A" w:rsidRDefault="00B67D0A" w:rsidP="00F02301">
      <w:pPr>
        <w:pStyle w:val="ListParagraph"/>
        <w:tabs>
          <w:tab w:val="left" w:pos="567"/>
          <w:tab w:val="left" w:pos="709"/>
        </w:tabs>
        <w:ind w:left="0"/>
        <w:jc w:val="both"/>
        <w:rPr>
          <w:rFonts w:ascii="Arial" w:hAnsi="Arial" w:cs="Arial"/>
          <w:sz w:val="20"/>
          <w:szCs w:val="20"/>
        </w:rPr>
      </w:pPr>
    </w:p>
    <w:p w14:paraId="3542CE67" w14:textId="760F4231" w:rsidR="00F968FD" w:rsidRDefault="00F968FD" w:rsidP="00B66A4A">
      <w:pPr>
        <w:pStyle w:val="ListParagraph"/>
        <w:widowControl w:val="0"/>
        <w:numPr>
          <w:ilvl w:val="0"/>
          <w:numId w:val="33"/>
        </w:numPr>
        <w:tabs>
          <w:tab w:val="left" w:pos="567"/>
        </w:tabs>
        <w:ind w:left="0" w:firstLine="0"/>
        <w:jc w:val="both"/>
        <w:rPr>
          <w:rFonts w:ascii="Arial" w:hAnsi="Arial" w:cs="Arial"/>
          <w:sz w:val="20"/>
        </w:rPr>
      </w:pPr>
      <w:r w:rsidRPr="00785BEE">
        <w:rPr>
          <w:rFonts w:ascii="Arial" w:hAnsi="Arial" w:cs="Arial"/>
          <w:sz w:val="20"/>
        </w:rPr>
        <w:t>Building upon initiatives</w:t>
      </w:r>
      <w:r>
        <w:rPr>
          <w:rFonts w:ascii="Arial" w:hAnsi="Arial" w:cs="Arial"/>
          <w:sz w:val="20"/>
        </w:rPr>
        <w:t xml:space="preserve"> launched in 2014/15 to </w:t>
      </w:r>
      <w:r w:rsidR="00DA0D82">
        <w:rPr>
          <w:rFonts w:ascii="Arial" w:hAnsi="Arial" w:cs="Arial"/>
          <w:sz w:val="20"/>
        </w:rPr>
        <w:t xml:space="preserve">enhance the </w:t>
      </w:r>
      <w:r w:rsidR="00A84144">
        <w:rPr>
          <w:rFonts w:ascii="Arial" w:hAnsi="Arial" w:cs="Arial"/>
          <w:sz w:val="20"/>
        </w:rPr>
        <w:t>added value</w:t>
      </w:r>
      <w:r w:rsidR="00DA0D82">
        <w:rPr>
          <w:rFonts w:ascii="Arial" w:hAnsi="Arial" w:cs="Arial"/>
          <w:sz w:val="20"/>
        </w:rPr>
        <w:t xml:space="preserve"> and </w:t>
      </w:r>
      <w:r w:rsidRPr="00785BEE">
        <w:rPr>
          <w:rFonts w:ascii="Arial" w:hAnsi="Arial" w:cs="Arial"/>
          <w:sz w:val="20"/>
        </w:rPr>
        <w:t xml:space="preserve">further improve the productivity and efficiency of the External Offices, efforts </w:t>
      </w:r>
      <w:r>
        <w:rPr>
          <w:rFonts w:ascii="Arial" w:hAnsi="Arial" w:cs="Arial"/>
          <w:sz w:val="20"/>
        </w:rPr>
        <w:t xml:space="preserve">will continue in 2016/17 </w:t>
      </w:r>
      <w:r w:rsidRPr="00785BEE">
        <w:rPr>
          <w:rFonts w:ascii="Arial" w:hAnsi="Arial" w:cs="Arial"/>
          <w:sz w:val="20"/>
        </w:rPr>
        <w:t xml:space="preserve">to </w:t>
      </w:r>
      <w:r>
        <w:rPr>
          <w:rFonts w:ascii="Arial" w:hAnsi="Arial" w:cs="Arial"/>
          <w:sz w:val="20"/>
        </w:rPr>
        <w:t>enhance</w:t>
      </w:r>
      <w:r w:rsidRPr="00785BEE">
        <w:rPr>
          <w:rFonts w:ascii="Arial" w:hAnsi="Arial" w:cs="Arial"/>
          <w:sz w:val="20"/>
        </w:rPr>
        <w:t xml:space="preserve"> the seamless integration of </w:t>
      </w:r>
      <w:r>
        <w:rPr>
          <w:rFonts w:ascii="Arial" w:hAnsi="Arial" w:cs="Arial"/>
          <w:sz w:val="20"/>
        </w:rPr>
        <w:t xml:space="preserve">existing </w:t>
      </w:r>
      <w:r w:rsidRPr="00785BEE">
        <w:rPr>
          <w:rFonts w:ascii="Arial" w:hAnsi="Arial" w:cs="Arial"/>
          <w:sz w:val="20"/>
        </w:rPr>
        <w:t>External Offices into all aspects of the functioning of the Organization.</w:t>
      </w:r>
      <w:r w:rsidR="00DA0D82">
        <w:rPr>
          <w:rFonts w:ascii="Arial" w:hAnsi="Arial" w:cs="Arial"/>
          <w:sz w:val="20"/>
        </w:rPr>
        <w:t xml:space="preserve"> This will be supported by the roll-out of a standard Global Office system and architecture. </w:t>
      </w:r>
      <w:r w:rsidRPr="00785BEE">
        <w:rPr>
          <w:rFonts w:ascii="Arial" w:hAnsi="Arial" w:cs="Arial"/>
          <w:sz w:val="20"/>
        </w:rPr>
        <w:t>This will be critical to ensuring that WIPO continues to evolve as a truly global Organization that is responsive to its Member States and stakeholders and is able to reali</w:t>
      </w:r>
      <w:r>
        <w:rPr>
          <w:rFonts w:ascii="Arial" w:hAnsi="Arial" w:cs="Arial"/>
          <w:sz w:val="20"/>
        </w:rPr>
        <w:t>z</w:t>
      </w:r>
      <w:r w:rsidRPr="00785BEE">
        <w:rPr>
          <w:rFonts w:ascii="Arial" w:hAnsi="Arial" w:cs="Arial"/>
          <w:sz w:val="20"/>
        </w:rPr>
        <w:t xml:space="preserve">e its ambitious goals of delivering its services more efficiently through closer co-operation.  </w:t>
      </w:r>
    </w:p>
    <w:p w14:paraId="42BF0580" w14:textId="77777777" w:rsidR="00F968FD" w:rsidRPr="00E10842" w:rsidRDefault="00F968FD" w:rsidP="002F070A">
      <w:pPr>
        <w:pStyle w:val="ListParagraph"/>
        <w:widowControl w:val="0"/>
        <w:tabs>
          <w:tab w:val="left" w:pos="567"/>
        </w:tabs>
        <w:ind w:left="0"/>
        <w:jc w:val="both"/>
        <w:rPr>
          <w:rFonts w:ascii="Arial" w:hAnsi="Arial" w:cs="Arial"/>
          <w:sz w:val="20"/>
        </w:rPr>
      </w:pPr>
    </w:p>
    <w:p w14:paraId="48DA2774" w14:textId="5D653DB4" w:rsidR="00B67D0A" w:rsidRPr="00F968FD" w:rsidRDefault="00F968FD" w:rsidP="00B66A4A">
      <w:pPr>
        <w:pStyle w:val="ListParagraph"/>
        <w:numPr>
          <w:ilvl w:val="0"/>
          <w:numId w:val="34"/>
        </w:numPr>
        <w:tabs>
          <w:tab w:val="right" w:pos="1134"/>
        </w:tabs>
        <w:ind w:left="1134" w:hanging="567"/>
        <w:jc w:val="both"/>
        <w:rPr>
          <w:rFonts w:ascii="Arial" w:hAnsi="Arial" w:cs="Arial"/>
          <w:i/>
          <w:sz w:val="20"/>
        </w:rPr>
      </w:pPr>
      <w:r w:rsidRPr="00F968FD">
        <w:rPr>
          <w:rFonts w:ascii="Arial" w:hAnsi="Arial"/>
          <w:i/>
          <w:sz w:val="20"/>
        </w:rPr>
        <w:t>The associated total resources are reflected in Program 20 (External Relations, Partnerships and External Offices</w:t>
      </w:r>
      <w:r w:rsidRPr="00632222">
        <w:rPr>
          <w:rFonts w:ascii="Arial" w:hAnsi="Arial"/>
          <w:i/>
          <w:sz w:val="20"/>
        </w:rPr>
        <w:t xml:space="preserve">). </w:t>
      </w:r>
      <w:r w:rsidR="00B67D0A" w:rsidRPr="00F968FD">
        <w:rPr>
          <w:rFonts w:ascii="Arial" w:hAnsi="Arial" w:cs="Arial"/>
          <w:i/>
          <w:sz w:val="20"/>
        </w:rPr>
        <w:t>Should Member States agree on the opening of new External Offices in 2016/17, these could be funded from the provision of 1 million Swiss francs under non-personnel resources in “Unallocated”</w:t>
      </w:r>
      <w:r w:rsidR="00994F76">
        <w:rPr>
          <w:rFonts w:ascii="Arial" w:hAnsi="Arial" w:cs="Arial"/>
          <w:i/>
          <w:sz w:val="20"/>
        </w:rPr>
        <w:t>.</w:t>
      </w:r>
      <w:r w:rsidR="00D537BC">
        <w:rPr>
          <w:rFonts w:ascii="Arial" w:hAnsi="Arial" w:cs="Arial"/>
          <w:i/>
          <w:sz w:val="20"/>
        </w:rPr>
        <w:t xml:space="preserve"> </w:t>
      </w:r>
    </w:p>
    <w:p w14:paraId="742857EB" w14:textId="77777777" w:rsidR="00B67D0A" w:rsidRPr="00EB438B" w:rsidRDefault="00B67D0A" w:rsidP="00F02301">
      <w:pPr>
        <w:pStyle w:val="ListParagraph"/>
        <w:tabs>
          <w:tab w:val="left" w:pos="567"/>
          <w:tab w:val="left" w:pos="709"/>
        </w:tabs>
        <w:ind w:left="0"/>
        <w:jc w:val="both"/>
        <w:rPr>
          <w:rFonts w:ascii="Arial" w:hAnsi="Arial" w:cs="Arial"/>
          <w:sz w:val="20"/>
        </w:rPr>
      </w:pPr>
    </w:p>
    <w:p w14:paraId="4AC1B6D9" w14:textId="77777777" w:rsidR="00B67D0A" w:rsidRPr="002F07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36691E">
        <w:rPr>
          <w:rFonts w:ascii="Arial" w:hAnsi="Arial"/>
          <w:sz w:val="20"/>
        </w:rPr>
        <w:t xml:space="preserve">Efforts to achieve an agile and smooth functioning Secretariat with a well-managed and appropriately skilled workforce which is effectively delivering results will continue to be pursued under Strategic Goal IX.  Gender balance and geographical diversity will receive particular attention in the biennium.  Further efforts will be made to develop managerial and leadership skills of women in the Organization, with a view to enabling them to take up positions at higher levels, while continuing the outreach to potential women candidates.  As regards geographical diversity, proactive and increased efforts will be made, with support from Member States, to reach out to potential candidates from countries that are not well represented among staff in the professional and higher categories. Following the implementation of the revised Staff Regulations and Rules (SRR), approved by the Coordination Committee in 2012 and 2013, including the strengthening of the internal justice system, an important focus area in 2016/17 will be conflict prevention and mitigation and the effective management of cases through the internal justice system.  The Organization will also continue to engage with the Review of the UN common system compensation package.  </w:t>
      </w:r>
    </w:p>
    <w:p w14:paraId="5E91E59A" w14:textId="77777777" w:rsidR="002F070A" w:rsidRPr="00713CE6" w:rsidRDefault="002F070A" w:rsidP="002F070A">
      <w:pPr>
        <w:pStyle w:val="ListParagraph"/>
        <w:widowControl w:val="0"/>
        <w:tabs>
          <w:tab w:val="left" w:pos="567"/>
        </w:tabs>
        <w:ind w:left="0"/>
        <w:jc w:val="both"/>
        <w:rPr>
          <w:rFonts w:ascii="Arial" w:hAnsi="Arial" w:cs="Arial"/>
          <w:sz w:val="20"/>
        </w:rPr>
      </w:pPr>
    </w:p>
    <w:p w14:paraId="04909301" w14:textId="77777777" w:rsidR="00B67D0A" w:rsidRPr="00713CE6" w:rsidRDefault="00B67D0A" w:rsidP="00B66A4A">
      <w:pPr>
        <w:pStyle w:val="ListParagraph"/>
        <w:numPr>
          <w:ilvl w:val="0"/>
          <w:numId w:val="34"/>
        </w:numPr>
        <w:tabs>
          <w:tab w:val="right" w:pos="1134"/>
        </w:tabs>
        <w:ind w:left="1134" w:hanging="567"/>
        <w:jc w:val="both"/>
        <w:rPr>
          <w:rFonts w:ascii="Arial" w:hAnsi="Arial" w:cs="Arial"/>
          <w:sz w:val="20"/>
        </w:rPr>
      </w:pPr>
      <w:r w:rsidRPr="00713CE6">
        <w:rPr>
          <w:rFonts w:ascii="Arial" w:hAnsi="Arial" w:cs="Arial"/>
          <w:i/>
          <w:sz w:val="20"/>
        </w:rPr>
        <w:t xml:space="preserve">The associated </w:t>
      </w:r>
      <w:r>
        <w:rPr>
          <w:rFonts w:ascii="Arial" w:hAnsi="Arial" w:cs="Arial"/>
          <w:i/>
          <w:sz w:val="20"/>
        </w:rPr>
        <w:t xml:space="preserve">total </w:t>
      </w:r>
      <w:r w:rsidRPr="00713CE6">
        <w:rPr>
          <w:rFonts w:ascii="Arial" w:hAnsi="Arial" w:cs="Arial"/>
          <w:i/>
          <w:sz w:val="20"/>
        </w:rPr>
        <w:t xml:space="preserve">resources are reflected in </w:t>
      </w:r>
      <w:r w:rsidRPr="00713CE6">
        <w:rPr>
          <w:rFonts w:ascii="Arial" w:hAnsi="Arial"/>
          <w:i/>
          <w:sz w:val="20"/>
        </w:rPr>
        <w:t>Program 23 (Human Resources Management and Development)</w:t>
      </w:r>
      <w:r>
        <w:rPr>
          <w:rFonts w:ascii="Arial" w:hAnsi="Arial"/>
          <w:i/>
          <w:sz w:val="20"/>
        </w:rPr>
        <w:t>.</w:t>
      </w:r>
      <w:r w:rsidRPr="00713CE6">
        <w:rPr>
          <w:rFonts w:ascii="Arial" w:hAnsi="Arial"/>
          <w:i/>
          <w:sz w:val="20"/>
        </w:rPr>
        <w:t xml:space="preserve"> </w:t>
      </w:r>
    </w:p>
    <w:p w14:paraId="39643D9E" w14:textId="77777777" w:rsidR="00B67D0A" w:rsidRDefault="00B67D0A" w:rsidP="00F02301">
      <w:pPr>
        <w:pStyle w:val="ListParagraph"/>
        <w:tabs>
          <w:tab w:val="left" w:pos="567"/>
          <w:tab w:val="left" w:pos="709"/>
        </w:tabs>
        <w:ind w:left="0"/>
        <w:jc w:val="both"/>
        <w:rPr>
          <w:rFonts w:ascii="Arial" w:hAnsi="Arial" w:cs="Arial"/>
          <w:sz w:val="20"/>
        </w:rPr>
      </w:pPr>
    </w:p>
    <w:p w14:paraId="559CAF56" w14:textId="70987804" w:rsidR="00B67D0A" w:rsidRDefault="00B67D0A" w:rsidP="00B66A4A">
      <w:pPr>
        <w:pStyle w:val="ListParagraph"/>
        <w:keepNext/>
        <w:keepLines/>
        <w:numPr>
          <w:ilvl w:val="0"/>
          <w:numId w:val="33"/>
        </w:numPr>
        <w:tabs>
          <w:tab w:val="left" w:pos="567"/>
        </w:tabs>
        <w:ind w:left="0" w:firstLine="0"/>
        <w:jc w:val="both"/>
        <w:rPr>
          <w:rFonts w:ascii="Arial" w:hAnsi="Arial" w:cs="Arial"/>
          <w:sz w:val="20"/>
          <w:lang w:val="en-GB"/>
        </w:rPr>
      </w:pPr>
      <w:r w:rsidRPr="002F070A">
        <w:rPr>
          <w:rFonts w:ascii="Arial" w:hAnsi="Arial"/>
          <w:sz w:val="20"/>
        </w:rPr>
        <w:lastRenderedPageBreak/>
        <w:t>With</w:t>
      </w:r>
      <w:r w:rsidRPr="00F21AC6">
        <w:rPr>
          <w:rFonts w:ascii="Arial" w:hAnsi="Arial" w:cs="Arial"/>
          <w:sz w:val="20"/>
          <w:lang w:val="en-GB"/>
        </w:rPr>
        <w:t xml:space="preserve"> the adoption of the Language Policy by Member States in 2011, and the extension of the six-language cover to all documentation for WIPO Committees and Main Bodies in the 2012/13 biennium, similar coverage was extended to </w:t>
      </w:r>
      <w:r w:rsidR="000C4B20">
        <w:rPr>
          <w:rFonts w:ascii="Arial" w:hAnsi="Arial" w:cs="Arial"/>
          <w:sz w:val="20"/>
          <w:lang w:val="en-GB"/>
        </w:rPr>
        <w:t>several</w:t>
      </w:r>
      <w:r w:rsidRPr="00F21AC6">
        <w:rPr>
          <w:rFonts w:ascii="Arial" w:hAnsi="Arial" w:cs="Arial"/>
          <w:sz w:val="20"/>
          <w:lang w:val="en-GB"/>
        </w:rPr>
        <w:t xml:space="preserve"> Working Groups in the 2014/15 biennium.  It is expected that the remaining Working Groups will be covered in the 2016/17 biennium.  </w:t>
      </w:r>
      <w:r>
        <w:rPr>
          <w:rFonts w:ascii="Arial" w:hAnsi="Arial" w:cs="Arial"/>
          <w:sz w:val="20"/>
          <w:lang w:val="en-GB"/>
        </w:rPr>
        <w:t xml:space="preserve">In order to contain translation costs, </w:t>
      </w:r>
      <w:r w:rsidRPr="00F21AC6">
        <w:rPr>
          <w:rFonts w:ascii="Arial" w:hAnsi="Arial" w:cs="Arial"/>
          <w:sz w:val="20"/>
          <w:lang w:val="en-GB"/>
        </w:rPr>
        <w:t xml:space="preserve">the network of external individual translators and translation companies has been strengthened to ensure the ‘right-sourcing’ of translation work and new </w:t>
      </w:r>
      <w:r>
        <w:rPr>
          <w:rFonts w:ascii="Arial" w:hAnsi="Arial" w:cs="Arial"/>
          <w:sz w:val="20"/>
          <w:lang w:val="en-GB"/>
        </w:rPr>
        <w:t>technology</w:t>
      </w:r>
      <w:r w:rsidRPr="00F21AC6">
        <w:rPr>
          <w:rFonts w:ascii="Arial" w:hAnsi="Arial" w:cs="Arial"/>
          <w:sz w:val="20"/>
          <w:lang w:val="en-GB"/>
        </w:rPr>
        <w:t xml:space="preserve"> tools have been deployed to improve the translation environment, build terminology databases and ensure quality control. </w:t>
      </w:r>
      <w:r>
        <w:rPr>
          <w:rFonts w:ascii="Arial" w:hAnsi="Arial" w:cs="Arial"/>
          <w:sz w:val="20"/>
          <w:lang w:val="en-GB"/>
        </w:rPr>
        <w:t xml:space="preserve">The length and number of documents will also continue to be closely monitored. These rationalization measures have resulted in a containment of translation costs. </w:t>
      </w:r>
    </w:p>
    <w:p w14:paraId="5E97AB05" w14:textId="77777777" w:rsidR="002F070A" w:rsidRDefault="002F070A" w:rsidP="002F070A">
      <w:pPr>
        <w:pStyle w:val="ListParagraph"/>
        <w:widowControl w:val="0"/>
        <w:tabs>
          <w:tab w:val="left" w:pos="567"/>
        </w:tabs>
        <w:ind w:left="0"/>
        <w:jc w:val="both"/>
        <w:rPr>
          <w:rFonts w:ascii="Arial" w:hAnsi="Arial" w:cs="Arial"/>
          <w:sz w:val="20"/>
          <w:lang w:val="en-GB"/>
        </w:rPr>
      </w:pPr>
    </w:p>
    <w:p w14:paraId="76FF6762" w14:textId="1B715DD8" w:rsidR="00B67D0A" w:rsidRPr="00FC7B2B" w:rsidRDefault="00B67D0A" w:rsidP="00B66A4A">
      <w:pPr>
        <w:pStyle w:val="ListParagraph"/>
        <w:numPr>
          <w:ilvl w:val="0"/>
          <w:numId w:val="34"/>
        </w:numPr>
        <w:tabs>
          <w:tab w:val="right" w:pos="1134"/>
        </w:tabs>
        <w:ind w:left="1134" w:hanging="567"/>
        <w:jc w:val="both"/>
        <w:rPr>
          <w:rFonts w:ascii="Arial" w:hAnsi="Arial" w:cs="Arial"/>
          <w:i/>
          <w:sz w:val="20"/>
          <w:lang w:val="en-GB"/>
        </w:rPr>
      </w:pPr>
      <w:r w:rsidRPr="00713CE6">
        <w:rPr>
          <w:rFonts w:ascii="Arial" w:hAnsi="Arial" w:cs="Arial"/>
          <w:i/>
          <w:sz w:val="20"/>
        </w:rPr>
        <w:t xml:space="preserve">The associated </w:t>
      </w:r>
      <w:r>
        <w:rPr>
          <w:rFonts w:ascii="Arial" w:hAnsi="Arial" w:cs="Arial"/>
          <w:i/>
          <w:sz w:val="20"/>
        </w:rPr>
        <w:t xml:space="preserve">total </w:t>
      </w:r>
      <w:r w:rsidRPr="00713CE6">
        <w:rPr>
          <w:rFonts w:ascii="Arial" w:hAnsi="Arial" w:cs="Arial"/>
          <w:i/>
          <w:sz w:val="20"/>
        </w:rPr>
        <w:t xml:space="preserve">resources are reflected in </w:t>
      </w:r>
      <w:r w:rsidRPr="00713CE6">
        <w:rPr>
          <w:rFonts w:ascii="Arial" w:hAnsi="Arial"/>
          <w:i/>
          <w:sz w:val="20"/>
        </w:rPr>
        <w:t xml:space="preserve">Program </w:t>
      </w:r>
      <w:r>
        <w:rPr>
          <w:rFonts w:ascii="Arial" w:hAnsi="Arial"/>
          <w:i/>
          <w:sz w:val="20"/>
        </w:rPr>
        <w:t>27</w:t>
      </w:r>
      <w:r w:rsidR="000C4B20">
        <w:rPr>
          <w:rFonts w:ascii="Arial" w:hAnsi="Arial"/>
          <w:i/>
          <w:sz w:val="20"/>
        </w:rPr>
        <w:t xml:space="preserve"> (Conference and Language Services)</w:t>
      </w:r>
      <w:r>
        <w:rPr>
          <w:rFonts w:ascii="Arial" w:hAnsi="Arial"/>
          <w:i/>
          <w:sz w:val="20"/>
        </w:rPr>
        <w:t xml:space="preserve">. </w:t>
      </w:r>
      <w:r w:rsidRPr="00FC7B2B">
        <w:rPr>
          <w:rFonts w:ascii="Arial" w:hAnsi="Arial" w:cs="Arial"/>
          <w:i/>
          <w:sz w:val="20"/>
          <w:lang w:val="en-GB"/>
        </w:rPr>
        <w:t>Part of the increase in the non-</w:t>
      </w:r>
      <w:r w:rsidRPr="002F070A">
        <w:rPr>
          <w:rFonts w:ascii="Arial" w:hAnsi="Arial" w:cs="Arial"/>
          <w:i/>
          <w:sz w:val="20"/>
        </w:rPr>
        <w:t>personnel</w:t>
      </w:r>
      <w:r w:rsidRPr="00FC7B2B">
        <w:rPr>
          <w:rFonts w:ascii="Arial" w:hAnsi="Arial" w:cs="Arial"/>
          <w:i/>
          <w:sz w:val="20"/>
          <w:lang w:val="en-GB"/>
        </w:rPr>
        <w:t xml:space="preserve"> budget approved for </w:t>
      </w:r>
      <w:r>
        <w:rPr>
          <w:rFonts w:ascii="Arial" w:hAnsi="Arial" w:cs="Arial"/>
          <w:i/>
          <w:sz w:val="20"/>
          <w:lang w:val="en-GB"/>
        </w:rPr>
        <w:t>the Program</w:t>
      </w:r>
      <w:r w:rsidRPr="00FC7B2B">
        <w:rPr>
          <w:rFonts w:ascii="Arial" w:hAnsi="Arial" w:cs="Arial"/>
          <w:i/>
          <w:sz w:val="20"/>
          <w:lang w:val="en-GB"/>
        </w:rPr>
        <w:t xml:space="preserve"> in the 2014/15 biennium, is therefore estimated not to be required in 2016/17. </w:t>
      </w:r>
    </w:p>
    <w:p w14:paraId="3F2DFF15" w14:textId="77777777" w:rsidR="00B67D0A" w:rsidRDefault="00B67D0A" w:rsidP="00F02301">
      <w:pPr>
        <w:pStyle w:val="ListParagraph"/>
        <w:tabs>
          <w:tab w:val="left" w:pos="709"/>
        </w:tabs>
        <w:autoSpaceDE w:val="0"/>
        <w:autoSpaceDN w:val="0"/>
        <w:adjustRightInd w:val="0"/>
        <w:ind w:left="0"/>
        <w:jc w:val="both"/>
        <w:rPr>
          <w:rFonts w:ascii="Arial" w:hAnsi="Arial" w:cs="Arial"/>
          <w:sz w:val="20"/>
          <w:lang w:val="en-GB"/>
        </w:rPr>
      </w:pPr>
    </w:p>
    <w:p w14:paraId="629F926E" w14:textId="77777777" w:rsidR="00B67D0A" w:rsidRDefault="00B67D0A" w:rsidP="00B66A4A">
      <w:pPr>
        <w:pStyle w:val="ListParagraph"/>
        <w:widowControl w:val="0"/>
        <w:numPr>
          <w:ilvl w:val="0"/>
          <w:numId w:val="33"/>
        </w:numPr>
        <w:tabs>
          <w:tab w:val="left" w:pos="567"/>
        </w:tabs>
        <w:ind w:left="0" w:firstLine="0"/>
        <w:jc w:val="both"/>
        <w:rPr>
          <w:rFonts w:ascii="Arial" w:hAnsi="Arial" w:cs="Arial"/>
          <w:sz w:val="20"/>
          <w:lang w:val="en-GB"/>
        </w:rPr>
      </w:pPr>
      <w:r w:rsidRPr="00713CE6">
        <w:rPr>
          <w:rFonts w:ascii="Arial" w:hAnsi="Arial" w:cs="Arial"/>
          <w:sz w:val="20"/>
          <w:lang w:val="en-GB"/>
        </w:rPr>
        <w:t xml:space="preserve">The </w:t>
      </w:r>
      <w:r w:rsidRPr="002F070A">
        <w:rPr>
          <w:rFonts w:ascii="Arial" w:hAnsi="Arial"/>
          <w:sz w:val="20"/>
        </w:rPr>
        <w:t>next</w:t>
      </w:r>
      <w:r w:rsidRPr="00713CE6">
        <w:rPr>
          <w:rFonts w:ascii="Arial" w:hAnsi="Arial" w:cs="Arial"/>
          <w:sz w:val="20"/>
          <w:lang w:val="en-GB"/>
        </w:rPr>
        <w:t xml:space="preserve"> biennium will be characterized by several changes in the banking and investment domain on account of the current advantageous banking facility provided to WIPO by the Swiss Federal Department of Finance coming to an end in December 2015 and the introduction of negative interest rates on Swiss franc deposits.  There will therefore be a need to ensure a more active and yet prudent investment planning and management approach guided by a revised investment policy approved by Member States. </w:t>
      </w:r>
    </w:p>
    <w:p w14:paraId="7B88B55B" w14:textId="77777777" w:rsidR="002F070A" w:rsidRDefault="002F070A" w:rsidP="002F070A">
      <w:pPr>
        <w:pStyle w:val="ListParagraph"/>
        <w:widowControl w:val="0"/>
        <w:tabs>
          <w:tab w:val="left" w:pos="567"/>
        </w:tabs>
        <w:ind w:left="0"/>
        <w:jc w:val="both"/>
        <w:rPr>
          <w:rFonts w:ascii="Arial" w:hAnsi="Arial" w:cs="Arial"/>
          <w:sz w:val="20"/>
          <w:lang w:val="en-GB"/>
        </w:rPr>
      </w:pPr>
    </w:p>
    <w:p w14:paraId="1EC182F2" w14:textId="244119FB" w:rsidR="00B67D0A" w:rsidRPr="00FC7B2B" w:rsidRDefault="00B67D0A" w:rsidP="00B66A4A">
      <w:pPr>
        <w:pStyle w:val="ListParagraph"/>
        <w:numPr>
          <w:ilvl w:val="0"/>
          <w:numId w:val="34"/>
        </w:numPr>
        <w:tabs>
          <w:tab w:val="right" w:pos="1134"/>
        </w:tabs>
        <w:ind w:left="1134" w:hanging="567"/>
        <w:jc w:val="both"/>
        <w:rPr>
          <w:rFonts w:ascii="Arial" w:hAnsi="Arial" w:cs="Arial"/>
          <w:i/>
          <w:sz w:val="20"/>
          <w:lang w:val="en-GB"/>
        </w:rPr>
      </w:pPr>
      <w:r w:rsidRPr="00FC7B2B">
        <w:rPr>
          <w:rFonts w:ascii="Arial" w:hAnsi="Arial" w:cs="Arial"/>
          <w:i/>
          <w:sz w:val="20"/>
          <w:lang w:val="en-GB"/>
        </w:rPr>
        <w:t xml:space="preserve">A </w:t>
      </w:r>
      <w:r w:rsidRPr="002F070A">
        <w:rPr>
          <w:rFonts w:ascii="Arial" w:hAnsi="Arial" w:cs="Arial"/>
          <w:i/>
          <w:sz w:val="20"/>
        </w:rPr>
        <w:t>provision</w:t>
      </w:r>
      <w:r w:rsidRPr="00FC7B2B">
        <w:rPr>
          <w:rFonts w:ascii="Arial" w:hAnsi="Arial" w:cs="Arial"/>
          <w:i/>
          <w:sz w:val="20"/>
          <w:lang w:val="en-GB"/>
        </w:rPr>
        <w:t xml:space="preserve"> of 2.4 million Swiss francs has been made in the </w:t>
      </w:r>
      <w:r>
        <w:rPr>
          <w:rFonts w:ascii="Arial" w:hAnsi="Arial" w:cs="Arial"/>
          <w:i/>
          <w:sz w:val="20"/>
          <w:lang w:val="en-GB"/>
        </w:rPr>
        <w:t xml:space="preserve">non-personnel </w:t>
      </w:r>
      <w:r w:rsidRPr="00FC7B2B">
        <w:rPr>
          <w:rFonts w:ascii="Arial" w:hAnsi="Arial" w:cs="Arial"/>
          <w:i/>
          <w:sz w:val="20"/>
          <w:lang w:val="en-GB"/>
        </w:rPr>
        <w:t>budget for the payment of the negative interest rates on WIPO deposits.</w:t>
      </w:r>
    </w:p>
    <w:p w14:paraId="00C9307F" w14:textId="77777777" w:rsidR="00B67D0A" w:rsidRPr="00713CE6" w:rsidRDefault="00B67D0A" w:rsidP="00F02301">
      <w:pPr>
        <w:pStyle w:val="ListParagraph"/>
        <w:tabs>
          <w:tab w:val="left" w:pos="567"/>
          <w:tab w:val="left" w:pos="709"/>
        </w:tabs>
        <w:ind w:left="0"/>
        <w:jc w:val="both"/>
        <w:rPr>
          <w:rFonts w:ascii="Arial" w:hAnsi="Arial" w:cs="Arial"/>
          <w:sz w:val="20"/>
        </w:rPr>
      </w:pPr>
    </w:p>
    <w:p w14:paraId="41561C8D" w14:textId="708E74A4"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2F070A">
        <w:rPr>
          <w:rFonts w:ascii="Arial" w:hAnsi="Arial"/>
          <w:sz w:val="20"/>
        </w:rPr>
        <w:t>Absorption</w:t>
      </w:r>
      <w:r>
        <w:rPr>
          <w:rFonts w:ascii="Arial" w:hAnsi="Arial" w:cs="Arial"/>
          <w:sz w:val="20"/>
        </w:rPr>
        <w:t xml:space="preserve"> into operations of the new modules and capabilities of the ERP system will intensify in 2016/17, resulting in the need to support and sustain a complex and fully integrated ERP system in a cost-effective and service–oriented manner.  Outsourcing of support, maintenance and technical development under a robust management and quality assurance framework will remain a key strategy. </w:t>
      </w:r>
    </w:p>
    <w:p w14:paraId="46A25C65" w14:textId="77777777" w:rsidR="002F070A" w:rsidRDefault="002F070A" w:rsidP="002F070A">
      <w:pPr>
        <w:pStyle w:val="ListParagraph"/>
        <w:widowControl w:val="0"/>
        <w:tabs>
          <w:tab w:val="left" w:pos="567"/>
        </w:tabs>
        <w:ind w:left="0"/>
        <w:jc w:val="both"/>
        <w:rPr>
          <w:rFonts w:ascii="Arial" w:hAnsi="Arial" w:cs="Arial"/>
          <w:sz w:val="20"/>
        </w:rPr>
      </w:pPr>
    </w:p>
    <w:p w14:paraId="1F9231B4" w14:textId="241DBC34" w:rsidR="00B67D0A" w:rsidRPr="00FC7B2B" w:rsidRDefault="00B67D0A" w:rsidP="00B66A4A">
      <w:pPr>
        <w:pStyle w:val="ListParagraph"/>
        <w:numPr>
          <w:ilvl w:val="0"/>
          <w:numId w:val="34"/>
        </w:numPr>
        <w:tabs>
          <w:tab w:val="right" w:pos="1134"/>
        </w:tabs>
        <w:ind w:left="1134" w:hanging="567"/>
        <w:jc w:val="both"/>
        <w:rPr>
          <w:rFonts w:ascii="Arial" w:hAnsi="Arial" w:cs="Arial"/>
          <w:i/>
          <w:sz w:val="20"/>
        </w:rPr>
      </w:pPr>
      <w:r w:rsidRPr="00FC7B2B">
        <w:rPr>
          <w:rFonts w:ascii="Arial" w:hAnsi="Arial" w:cs="Arial"/>
          <w:i/>
          <w:sz w:val="20"/>
        </w:rPr>
        <w:t xml:space="preserve">A provision of 1.6 million Swiss francs has been made for the increased </w:t>
      </w:r>
      <w:r w:rsidR="00D337E0">
        <w:rPr>
          <w:rFonts w:ascii="Arial" w:hAnsi="Arial" w:cs="Arial"/>
          <w:i/>
          <w:sz w:val="20"/>
        </w:rPr>
        <w:t xml:space="preserve">ERP </w:t>
      </w:r>
      <w:r w:rsidRPr="00FC7B2B">
        <w:rPr>
          <w:rFonts w:ascii="Arial" w:hAnsi="Arial" w:cs="Arial"/>
          <w:i/>
          <w:sz w:val="20"/>
        </w:rPr>
        <w:t xml:space="preserve">footprint under the </w:t>
      </w:r>
      <w:r>
        <w:rPr>
          <w:rFonts w:ascii="Arial" w:hAnsi="Arial" w:cs="Arial"/>
          <w:i/>
          <w:sz w:val="20"/>
        </w:rPr>
        <w:t xml:space="preserve">non-personnel </w:t>
      </w:r>
      <w:r w:rsidRPr="00FC7B2B">
        <w:rPr>
          <w:rFonts w:ascii="Arial" w:hAnsi="Arial" w:cs="Arial"/>
          <w:i/>
          <w:sz w:val="20"/>
        </w:rPr>
        <w:t>budget of Program 22</w:t>
      </w:r>
      <w:r w:rsidR="000C4B20">
        <w:rPr>
          <w:rFonts w:ascii="Arial" w:hAnsi="Arial" w:cs="Arial"/>
          <w:i/>
          <w:sz w:val="20"/>
        </w:rPr>
        <w:t xml:space="preserve"> (Program and Resource Management)</w:t>
      </w:r>
      <w:r w:rsidRPr="00FC7B2B">
        <w:rPr>
          <w:rFonts w:ascii="Arial" w:hAnsi="Arial" w:cs="Arial"/>
          <w:i/>
          <w:sz w:val="20"/>
        </w:rPr>
        <w:t xml:space="preserve">. </w:t>
      </w:r>
    </w:p>
    <w:p w14:paraId="46899B96" w14:textId="77777777" w:rsidR="00B67D0A" w:rsidRPr="00FC7B2B" w:rsidRDefault="00B67D0A" w:rsidP="00F02301">
      <w:pPr>
        <w:pStyle w:val="ListParagraph"/>
        <w:tabs>
          <w:tab w:val="left" w:pos="567"/>
          <w:tab w:val="left" w:pos="709"/>
        </w:tabs>
        <w:ind w:left="0"/>
        <w:jc w:val="both"/>
        <w:rPr>
          <w:rFonts w:ascii="Arial" w:hAnsi="Arial" w:cs="Arial"/>
          <w:i/>
          <w:sz w:val="20"/>
        </w:rPr>
      </w:pPr>
    </w:p>
    <w:p w14:paraId="28229120" w14:textId="359A73C0" w:rsidR="00B67D0A" w:rsidRPr="004E2E48" w:rsidRDefault="00B67D0A" w:rsidP="00B66A4A">
      <w:pPr>
        <w:pStyle w:val="ListParagraph"/>
        <w:widowControl w:val="0"/>
        <w:numPr>
          <w:ilvl w:val="0"/>
          <w:numId w:val="33"/>
        </w:numPr>
        <w:tabs>
          <w:tab w:val="left" w:pos="567"/>
        </w:tabs>
        <w:ind w:left="0" w:firstLine="0"/>
        <w:jc w:val="both"/>
        <w:rPr>
          <w:rFonts w:ascii="Arial" w:hAnsi="Arial"/>
          <w:sz w:val="20"/>
        </w:rPr>
      </w:pPr>
      <w:r w:rsidRPr="002F070A">
        <w:rPr>
          <w:rFonts w:ascii="Arial" w:hAnsi="Arial"/>
          <w:sz w:val="20"/>
        </w:rPr>
        <w:t>Further</w:t>
      </w:r>
      <w:r>
        <w:rPr>
          <w:rFonts w:ascii="Arial" w:hAnsi="Arial" w:cs="Arial"/>
          <w:bCs/>
          <w:color w:val="000000"/>
          <w:sz w:val="20"/>
        </w:rPr>
        <w:t xml:space="preserve"> improvements have been made to the measurements metrics, i.e. </w:t>
      </w:r>
      <w:r w:rsidRPr="000267E5">
        <w:rPr>
          <w:rFonts w:ascii="Arial" w:hAnsi="Arial"/>
          <w:sz w:val="20"/>
        </w:rPr>
        <w:t>performance indicators</w:t>
      </w:r>
      <w:r>
        <w:rPr>
          <w:rFonts w:ascii="Arial" w:hAnsi="Arial"/>
          <w:sz w:val="20"/>
        </w:rPr>
        <w:t>,</w:t>
      </w:r>
      <w:r w:rsidRPr="000267E5">
        <w:rPr>
          <w:rFonts w:ascii="Arial" w:hAnsi="Arial"/>
          <w:sz w:val="20"/>
        </w:rPr>
        <w:t xml:space="preserve"> baselines and targets </w:t>
      </w:r>
      <w:r>
        <w:rPr>
          <w:rFonts w:ascii="Arial" w:hAnsi="Arial"/>
          <w:sz w:val="20"/>
        </w:rPr>
        <w:t xml:space="preserve">in line with the recommendations made by the independent validation carried out by </w:t>
      </w:r>
      <w:r w:rsidR="000C4B20">
        <w:rPr>
          <w:rFonts w:ascii="Arial" w:hAnsi="Arial"/>
          <w:sz w:val="20"/>
        </w:rPr>
        <w:t xml:space="preserve">the </w:t>
      </w:r>
      <w:r>
        <w:rPr>
          <w:rFonts w:ascii="Arial" w:hAnsi="Arial"/>
          <w:sz w:val="20"/>
        </w:rPr>
        <w:t xml:space="preserve">Internal Oversight Division (IOD) and the call for improvements made by Member States in respect of the Program Performance Report (PPR). Baselines in the Program and Budget have, to the extent possible, been aligned with the performance data in the </w:t>
      </w:r>
      <w:r w:rsidR="00D337E0">
        <w:rPr>
          <w:rFonts w:ascii="Arial" w:hAnsi="Arial"/>
          <w:sz w:val="20"/>
        </w:rPr>
        <w:t xml:space="preserve">2014 </w:t>
      </w:r>
      <w:r>
        <w:rPr>
          <w:rFonts w:ascii="Arial" w:hAnsi="Arial"/>
          <w:sz w:val="20"/>
        </w:rPr>
        <w:t>PPR.</w:t>
      </w:r>
      <w:r>
        <w:rPr>
          <w:rStyle w:val="FootnoteReference"/>
          <w:rFonts w:ascii="Arial" w:hAnsi="Arial"/>
        </w:rPr>
        <w:footnoteReference w:id="10"/>
      </w:r>
      <w:r>
        <w:rPr>
          <w:rFonts w:ascii="Arial" w:hAnsi="Arial"/>
          <w:sz w:val="20"/>
        </w:rPr>
        <w:t xml:space="preserve"> </w:t>
      </w:r>
    </w:p>
    <w:p w14:paraId="512644FA" w14:textId="77777777" w:rsidR="00B67D0A" w:rsidRDefault="00B67D0A" w:rsidP="00F02301"/>
    <w:p w14:paraId="4431082E" w14:textId="77777777"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sidRPr="00DB43C0">
        <w:rPr>
          <w:rFonts w:ascii="Arial" w:hAnsi="Arial"/>
          <w:sz w:val="20"/>
          <w:lang w:val="en-CA"/>
        </w:rPr>
        <w:t xml:space="preserve">The </w:t>
      </w:r>
      <w:r w:rsidRPr="002F070A">
        <w:rPr>
          <w:rFonts w:ascii="Arial" w:hAnsi="Arial"/>
          <w:sz w:val="20"/>
        </w:rPr>
        <w:t>implementation</w:t>
      </w:r>
      <w:r w:rsidRPr="00DB43C0">
        <w:rPr>
          <w:rFonts w:ascii="Arial" w:hAnsi="Arial"/>
          <w:sz w:val="20"/>
          <w:lang w:val="en-CA"/>
        </w:rPr>
        <w:t xml:space="preserve"> of a structured and periodical Risk Management process across the Organization has resulted in improved planning and understanding of events that could hinder the achievement of Expected Results.  All Programs now undertake risk assessments as part of biennial planning and annual work planning.  Throughout this document, the key risks and mitigation strategies for each Program are detailed at the end of each Program narrative.</w:t>
      </w:r>
    </w:p>
    <w:p w14:paraId="2813B2FD" w14:textId="77777777" w:rsidR="00B67D0A" w:rsidRDefault="00B67D0A" w:rsidP="00F02301">
      <w:pPr>
        <w:widowControl w:val="0"/>
        <w:tabs>
          <w:tab w:val="num" w:pos="690"/>
        </w:tabs>
        <w:jc w:val="center"/>
        <w:rPr>
          <w:rFonts w:ascii="Arial" w:hAnsi="Arial" w:cs="Arial"/>
          <w:b/>
          <w:sz w:val="18"/>
          <w:szCs w:val="18"/>
        </w:rPr>
      </w:pPr>
    </w:p>
    <w:p w14:paraId="11764DF6" w14:textId="77777777" w:rsidR="002F070A" w:rsidRDefault="002F070A">
      <w:pPr>
        <w:rPr>
          <w:rFonts w:ascii="Arial" w:hAnsi="Arial" w:cs="Arial"/>
          <w:b/>
          <w:sz w:val="16"/>
          <w:szCs w:val="16"/>
        </w:rPr>
      </w:pPr>
      <w:r>
        <w:rPr>
          <w:rFonts w:ascii="Arial" w:hAnsi="Arial" w:cs="Arial"/>
          <w:b/>
          <w:sz w:val="16"/>
          <w:szCs w:val="16"/>
        </w:rPr>
        <w:br w:type="page"/>
      </w:r>
    </w:p>
    <w:p w14:paraId="16C66B6E" w14:textId="0C580732" w:rsidR="00B67D0A" w:rsidRPr="002F070A" w:rsidRDefault="00B67D0A" w:rsidP="00F02301">
      <w:pPr>
        <w:widowControl w:val="0"/>
        <w:tabs>
          <w:tab w:val="num" w:pos="690"/>
        </w:tabs>
        <w:jc w:val="center"/>
        <w:rPr>
          <w:rFonts w:ascii="Arial" w:hAnsi="Arial" w:cs="Arial"/>
          <w:b/>
          <w:sz w:val="20"/>
          <w:szCs w:val="16"/>
        </w:rPr>
      </w:pPr>
      <w:r w:rsidRPr="002F070A">
        <w:rPr>
          <w:rFonts w:ascii="Arial" w:hAnsi="Arial" w:cs="Arial"/>
          <w:b/>
          <w:sz w:val="20"/>
          <w:szCs w:val="16"/>
        </w:rPr>
        <w:lastRenderedPageBreak/>
        <w:t>Table 5.</w:t>
      </w:r>
      <w:r w:rsidR="00972CF5">
        <w:rPr>
          <w:rFonts w:ascii="Arial" w:hAnsi="Arial" w:cs="Arial"/>
          <w:b/>
          <w:sz w:val="20"/>
          <w:szCs w:val="16"/>
        </w:rPr>
        <w:t xml:space="preserve"> </w:t>
      </w:r>
      <w:r w:rsidRPr="002F070A">
        <w:rPr>
          <w:rFonts w:ascii="Arial" w:hAnsi="Arial" w:cs="Arial"/>
          <w:b/>
          <w:sz w:val="20"/>
          <w:szCs w:val="16"/>
        </w:rPr>
        <w:t xml:space="preserve"> 2016/17 Proposed Budget by Object of Expenditure</w:t>
      </w:r>
    </w:p>
    <w:p w14:paraId="5514146E" w14:textId="77777777" w:rsidR="00B67D0A" w:rsidRPr="002F070A" w:rsidRDefault="00B67D0A" w:rsidP="00F02301">
      <w:pPr>
        <w:widowControl w:val="0"/>
        <w:tabs>
          <w:tab w:val="num" w:pos="690"/>
        </w:tabs>
        <w:jc w:val="center"/>
        <w:rPr>
          <w:rFonts w:ascii="Arial" w:hAnsi="Arial" w:cs="Arial"/>
          <w:i/>
          <w:sz w:val="20"/>
          <w:szCs w:val="16"/>
        </w:rPr>
      </w:pPr>
      <w:r w:rsidRPr="002F070A">
        <w:rPr>
          <w:rFonts w:ascii="Arial" w:hAnsi="Arial" w:cs="Arial"/>
          <w:i/>
          <w:sz w:val="20"/>
          <w:szCs w:val="16"/>
        </w:rPr>
        <w:t>(in thousands of Swiss francs)</w:t>
      </w:r>
    </w:p>
    <w:p w14:paraId="7E60A603" w14:textId="77777777" w:rsidR="00B67D0A" w:rsidRDefault="00B67D0A" w:rsidP="00F02301">
      <w:pPr>
        <w:widowControl w:val="0"/>
        <w:tabs>
          <w:tab w:val="num" w:pos="690"/>
        </w:tabs>
        <w:jc w:val="both"/>
        <w:rPr>
          <w:rFonts w:ascii="Arial" w:eastAsia="SimSun" w:hAnsi="Arial" w:cs="Arial"/>
          <w:color w:val="000000"/>
          <w:sz w:val="20"/>
          <w:lang w:eastAsia="zh-CN"/>
        </w:rPr>
      </w:pPr>
    </w:p>
    <w:p w14:paraId="5CCDAA10" w14:textId="19C90842" w:rsidR="00B67D0A" w:rsidRDefault="00420790" w:rsidP="00F02301">
      <w:pPr>
        <w:widowControl w:val="0"/>
        <w:tabs>
          <w:tab w:val="num" w:pos="690"/>
        </w:tabs>
        <w:jc w:val="center"/>
        <w:rPr>
          <w:rFonts w:eastAsia="SimSun"/>
        </w:rPr>
      </w:pPr>
      <w:r w:rsidRPr="00420790">
        <w:rPr>
          <w:noProof/>
          <w:lang w:eastAsia="en-US"/>
        </w:rPr>
        <w:drawing>
          <wp:inline distT="0" distB="0" distL="0" distR="0" wp14:anchorId="5A3813A1" wp14:editId="67AC73BE">
            <wp:extent cx="5233933" cy="6392173"/>
            <wp:effectExtent l="0" t="0" r="5080" b="889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34553" cy="6392930"/>
                    </a:xfrm>
                    <a:prstGeom prst="rect">
                      <a:avLst/>
                    </a:prstGeom>
                    <a:noFill/>
                    <a:ln>
                      <a:noFill/>
                    </a:ln>
                  </pic:spPr>
                </pic:pic>
              </a:graphicData>
            </a:graphic>
          </wp:inline>
        </w:drawing>
      </w:r>
    </w:p>
    <w:p w14:paraId="59021415" w14:textId="77777777" w:rsidR="00B67D0A" w:rsidRPr="00584485" w:rsidRDefault="00B67D0A" w:rsidP="00F02301">
      <w:pPr>
        <w:widowControl w:val="0"/>
        <w:tabs>
          <w:tab w:val="num" w:pos="690"/>
        </w:tabs>
        <w:rPr>
          <w:rFonts w:ascii="Arial" w:eastAsia="SimSun" w:hAnsi="Arial" w:cs="Arial"/>
          <w:i/>
          <w:sz w:val="16"/>
          <w:szCs w:val="14"/>
        </w:rPr>
      </w:pPr>
      <w:r w:rsidRPr="00584485">
        <w:rPr>
          <w:rFonts w:ascii="Arial" w:eastAsia="SimSun" w:hAnsi="Arial" w:cs="Arial"/>
          <w:i/>
          <w:sz w:val="16"/>
          <w:szCs w:val="14"/>
        </w:rPr>
        <w:t xml:space="preserve">Notes: </w:t>
      </w:r>
    </w:p>
    <w:p w14:paraId="526BA6F9" w14:textId="10BCC3E5" w:rsidR="00CD75A8" w:rsidRDefault="00B67D0A" w:rsidP="00B66A4A">
      <w:pPr>
        <w:pStyle w:val="ListParagraph"/>
        <w:widowControl w:val="0"/>
        <w:numPr>
          <w:ilvl w:val="0"/>
          <w:numId w:val="71"/>
        </w:numPr>
        <w:spacing w:after="60"/>
        <w:ind w:left="181" w:hanging="181"/>
        <w:rPr>
          <w:rFonts w:ascii="Arial" w:eastAsia="SimSun" w:hAnsi="Arial" w:cs="Arial"/>
          <w:i/>
          <w:sz w:val="16"/>
          <w:szCs w:val="14"/>
        </w:rPr>
      </w:pPr>
      <w:r w:rsidRPr="00DA3F93">
        <w:rPr>
          <w:rFonts w:ascii="Arial" w:eastAsia="SimSun" w:hAnsi="Arial" w:cs="Arial"/>
          <w:i/>
          <w:sz w:val="16"/>
          <w:szCs w:val="14"/>
        </w:rPr>
        <w:t xml:space="preserve">The 2014/15 Budget after Transfers reflects transfers </w:t>
      </w:r>
      <w:r w:rsidR="00744022">
        <w:rPr>
          <w:rFonts w:ascii="Arial" w:eastAsia="SimSun" w:hAnsi="Arial" w:cs="Arial"/>
          <w:i/>
          <w:sz w:val="16"/>
          <w:szCs w:val="14"/>
        </w:rPr>
        <w:t xml:space="preserve">to address needs </w:t>
      </w:r>
      <w:r w:rsidRPr="00DA3F93">
        <w:rPr>
          <w:rFonts w:ascii="Arial" w:eastAsia="SimSun" w:hAnsi="Arial" w:cs="Arial"/>
          <w:i/>
          <w:sz w:val="16"/>
          <w:szCs w:val="14"/>
        </w:rPr>
        <w:t>during the 2014/15 biennium in line with Financial Regulation 5.5</w:t>
      </w:r>
      <w:r w:rsidR="007737CF">
        <w:rPr>
          <w:rFonts w:ascii="Arial" w:eastAsia="SimSun" w:hAnsi="Arial" w:cs="Arial"/>
          <w:i/>
          <w:sz w:val="16"/>
          <w:szCs w:val="14"/>
        </w:rPr>
        <w:t>:</w:t>
      </w:r>
      <w:r w:rsidRPr="00DA3F93">
        <w:rPr>
          <w:rFonts w:ascii="Arial" w:eastAsia="SimSun" w:hAnsi="Arial" w:cs="Arial"/>
          <w:i/>
          <w:sz w:val="16"/>
          <w:szCs w:val="14"/>
        </w:rPr>
        <w:t xml:space="preserve"> </w:t>
      </w:r>
      <w:r w:rsidR="007737CF">
        <w:rPr>
          <w:rFonts w:ascii="Arial" w:eastAsia="SimSun" w:hAnsi="Arial" w:cs="Arial"/>
          <w:i/>
          <w:sz w:val="16"/>
          <w:szCs w:val="14"/>
        </w:rPr>
        <w:t>“</w:t>
      </w:r>
      <w:r w:rsidRPr="00DA3F93">
        <w:rPr>
          <w:rFonts w:ascii="Arial" w:eastAsia="SimSun" w:hAnsi="Arial" w:cs="Arial"/>
          <w:i/>
          <w:sz w:val="16"/>
          <w:szCs w:val="14"/>
        </w:rPr>
        <w:t>The Director General may make transfers from one program of the program and budget to another for any given financial period, up to the limit of five per cent of the amount corresponding to the biennial appropriation of the receiving program, or to one per cent of the total budget, whichever is higher, when such transfers are necessary to ensure the proper functioning of the services</w:t>
      </w:r>
      <w:r w:rsidR="007737CF">
        <w:rPr>
          <w:rFonts w:ascii="Arial" w:eastAsia="SimSun" w:hAnsi="Arial" w:cs="Arial"/>
          <w:i/>
          <w:sz w:val="16"/>
          <w:szCs w:val="14"/>
        </w:rPr>
        <w:t>”</w:t>
      </w:r>
      <w:r w:rsidR="007737CF" w:rsidRPr="00DA3F93">
        <w:rPr>
          <w:rFonts w:ascii="Arial" w:eastAsia="SimSun" w:hAnsi="Arial" w:cs="Arial"/>
          <w:i/>
          <w:sz w:val="16"/>
          <w:szCs w:val="14"/>
        </w:rPr>
        <w:t>.</w:t>
      </w:r>
      <w:r w:rsidR="00AE1093">
        <w:rPr>
          <w:rFonts w:ascii="Arial" w:eastAsia="SimSun" w:hAnsi="Arial" w:cs="Arial"/>
          <w:i/>
          <w:sz w:val="16"/>
          <w:szCs w:val="14"/>
        </w:rPr>
        <w:t xml:space="preserve">  The 2014/15 Budget after Transfers is as of March 31, 2015.</w:t>
      </w:r>
    </w:p>
    <w:p w14:paraId="3FC95587" w14:textId="3149E171" w:rsidR="00B67D0A" w:rsidRPr="00DA3F93" w:rsidRDefault="00CD75A8" w:rsidP="00B66A4A">
      <w:pPr>
        <w:pStyle w:val="ListParagraph"/>
        <w:widowControl w:val="0"/>
        <w:numPr>
          <w:ilvl w:val="0"/>
          <w:numId w:val="71"/>
        </w:numPr>
        <w:ind w:left="180" w:hanging="180"/>
        <w:rPr>
          <w:rFonts w:ascii="Arial" w:eastAsia="SimSun" w:hAnsi="Arial" w:cs="Arial"/>
          <w:i/>
          <w:sz w:val="16"/>
          <w:szCs w:val="14"/>
        </w:rPr>
      </w:pPr>
      <w:r>
        <w:rPr>
          <w:rFonts w:ascii="Arial" w:eastAsia="SimSun" w:hAnsi="Arial" w:cs="Arial"/>
          <w:i/>
          <w:sz w:val="16"/>
          <w:szCs w:val="14"/>
        </w:rPr>
        <w:t xml:space="preserve">Changes in cost categories between the biennium 2014/15 and 2016/17are explained in the section “Cost Category Changes” below.  </w:t>
      </w:r>
      <w:r w:rsidR="00B67D0A" w:rsidRPr="00DA3F93">
        <w:rPr>
          <w:rFonts w:ascii="Arial" w:eastAsia="SimSun" w:hAnsi="Arial" w:cs="Arial"/>
          <w:i/>
          <w:sz w:val="16"/>
          <w:szCs w:val="14"/>
        </w:rPr>
        <w:t xml:space="preserve">    </w:t>
      </w:r>
    </w:p>
    <w:p w14:paraId="2DF9064E" w14:textId="77777777" w:rsidR="00584485" w:rsidRPr="00584485" w:rsidRDefault="00584485" w:rsidP="00F02301">
      <w:pPr>
        <w:widowControl w:val="0"/>
        <w:tabs>
          <w:tab w:val="num" w:pos="690"/>
        </w:tabs>
        <w:rPr>
          <w:rFonts w:ascii="Arial" w:eastAsia="SimSun" w:hAnsi="Arial" w:cs="Arial"/>
          <w:i/>
          <w:sz w:val="20"/>
          <w:szCs w:val="14"/>
        </w:rPr>
      </w:pPr>
    </w:p>
    <w:p w14:paraId="1E2754E6" w14:textId="77777777" w:rsidR="00CB11FC" w:rsidRPr="00584485" w:rsidRDefault="00CB11FC" w:rsidP="00F02301">
      <w:pPr>
        <w:widowControl w:val="0"/>
        <w:tabs>
          <w:tab w:val="num" w:pos="690"/>
        </w:tabs>
        <w:rPr>
          <w:rFonts w:ascii="Arial" w:eastAsia="SimSun" w:hAnsi="Arial" w:cs="Arial"/>
          <w:i/>
          <w:sz w:val="20"/>
          <w:szCs w:val="14"/>
        </w:rPr>
      </w:pPr>
    </w:p>
    <w:p w14:paraId="007BCDBF" w14:textId="34B3D347" w:rsidR="00B67D0A" w:rsidRPr="00F66122" w:rsidRDefault="00744022" w:rsidP="00972CF5">
      <w:pPr>
        <w:pStyle w:val="StyleHeading3ComplexItalic"/>
        <w:keepLines/>
        <w:tabs>
          <w:tab w:val="clear" w:pos="1985"/>
          <w:tab w:val="left" w:pos="1843"/>
        </w:tabs>
        <w:ind w:left="1843" w:hanging="1843"/>
        <w:rPr>
          <w:sz w:val="20"/>
        </w:rPr>
      </w:pPr>
      <w:bookmarkStart w:id="17" w:name="_Toc427154390"/>
      <w:r w:rsidRPr="00F66122">
        <w:rPr>
          <w:sz w:val="20"/>
        </w:rPr>
        <w:lastRenderedPageBreak/>
        <w:t>NON</w:t>
      </w:r>
      <w:r>
        <w:rPr>
          <w:sz w:val="20"/>
        </w:rPr>
        <w:t>-</w:t>
      </w:r>
      <w:r w:rsidR="00B67D0A" w:rsidRPr="00F66122">
        <w:rPr>
          <w:sz w:val="20"/>
        </w:rPr>
        <w:t>PERSONNEL RESOURCES</w:t>
      </w:r>
      <w:bookmarkEnd w:id="17"/>
    </w:p>
    <w:p w14:paraId="2890CDD0" w14:textId="77777777" w:rsidR="00B67D0A" w:rsidRDefault="00B67D0A" w:rsidP="00972CF5">
      <w:pPr>
        <w:keepNext/>
        <w:keepLines/>
        <w:widowControl w:val="0"/>
        <w:tabs>
          <w:tab w:val="num" w:pos="690"/>
        </w:tabs>
        <w:autoSpaceDE w:val="0"/>
        <w:autoSpaceDN w:val="0"/>
        <w:adjustRightInd w:val="0"/>
        <w:jc w:val="both"/>
        <w:rPr>
          <w:rFonts w:ascii="Arial" w:eastAsia="SimSun" w:hAnsi="Arial" w:cs="Arial"/>
          <w:b/>
          <w:color w:val="000000"/>
          <w:sz w:val="20"/>
          <w:lang w:eastAsia="zh-CN"/>
        </w:rPr>
      </w:pPr>
    </w:p>
    <w:p w14:paraId="56346B98" w14:textId="2FB9A472" w:rsidR="00B67D0A" w:rsidRDefault="00B67D0A" w:rsidP="00B66A4A">
      <w:pPr>
        <w:pStyle w:val="ListParagraph"/>
        <w:keepNext/>
        <w:keepLines/>
        <w:widowControl w:val="0"/>
        <w:numPr>
          <w:ilvl w:val="0"/>
          <w:numId w:val="33"/>
        </w:numPr>
        <w:tabs>
          <w:tab w:val="left" w:pos="567"/>
        </w:tabs>
        <w:ind w:left="0" w:firstLine="0"/>
        <w:jc w:val="both"/>
        <w:rPr>
          <w:rFonts w:ascii="Arial" w:eastAsia="SimSun" w:hAnsi="Arial" w:cs="Arial"/>
          <w:color w:val="000000"/>
          <w:sz w:val="20"/>
          <w:lang w:eastAsia="zh-CN"/>
        </w:rPr>
      </w:pPr>
      <w:r w:rsidRPr="00292FCD">
        <w:rPr>
          <w:rFonts w:ascii="Arial" w:hAnsi="Arial"/>
          <w:sz w:val="20"/>
          <w:lang w:val="en-CA"/>
        </w:rPr>
        <w:t>The</w:t>
      </w:r>
      <w:r w:rsidRPr="00C25744">
        <w:rPr>
          <w:rFonts w:ascii="Arial" w:eastAsia="SimSun" w:hAnsi="Arial" w:cs="Arial"/>
          <w:color w:val="000000"/>
          <w:sz w:val="20"/>
          <w:lang w:eastAsia="zh-CN"/>
        </w:rPr>
        <w:t xml:space="preserve"> increase in non-personnel </w:t>
      </w:r>
      <w:r>
        <w:rPr>
          <w:rFonts w:ascii="Arial" w:eastAsia="SimSun" w:hAnsi="Arial" w:cs="Arial"/>
          <w:color w:val="000000"/>
          <w:sz w:val="20"/>
          <w:lang w:eastAsia="zh-CN"/>
        </w:rPr>
        <w:t>resources</w:t>
      </w:r>
      <w:r w:rsidRPr="00C25744">
        <w:rPr>
          <w:rFonts w:ascii="Arial" w:eastAsia="SimSun" w:hAnsi="Arial" w:cs="Arial"/>
          <w:color w:val="000000"/>
          <w:sz w:val="20"/>
          <w:lang w:eastAsia="zh-CN"/>
        </w:rPr>
        <w:t xml:space="preserve"> in 2016/17 </w:t>
      </w:r>
      <w:r>
        <w:rPr>
          <w:rFonts w:ascii="Arial" w:eastAsia="SimSun" w:hAnsi="Arial" w:cs="Arial"/>
          <w:color w:val="000000"/>
          <w:sz w:val="20"/>
          <w:lang w:eastAsia="zh-CN"/>
        </w:rPr>
        <w:t xml:space="preserve">amounts to 22.8 million Swiss francs, </w:t>
      </w:r>
      <w:r w:rsidRPr="00C25744">
        <w:rPr>
          <w:rFonts w:ascii="Arial" w:eastAsia="SimSun" w:hAnsi="Arial" w:cs="Arial"/>
          <w:color w:val="000000"/>
          <w:sz w:val="20"/>
          <w:lang w:eastAsia="zh-CN"/>
        </w:rPr>
        <w:t>or 10</w:t>
      </w:r>
      <w:r w:rsidR="00C2153C">
        <w:rPr>
          <w:rFonts w:ascii="Arial" w:eastAsia="SimSun" w:hAnsi="Arial" w:cs="Arial"/>
          <w:color w:val="000000"/>
          <w:sz w:val="20"/>
          <w:lang w:eastAsia="zh-CN"/>
        </w:rPr>
        <w:t> </w:t>
      </w:r>
      <w:r w:rsidRPr="00C25744">
        <w:rPr>
          <w:rFonts w:ascii="Arial" w:eastAsia="SimSun" w:hAnsi="Arial" w:cs="Arial"/>
          <w:color w:val="000000"/>
          <w:sz w:val="20"/>
          <w:lang w:eastAsia="zh-CN"/>
        </w:rPr>
        <w:t>per cent</w:t>
      </w:r>
      <w:r>
        <w:rPr>
          <w:rFonts w:ascii="Arial" w:eastAsia="SimSun" w:hAnsi="Arial" w:cs="Arial"/>
          <w:color w:val="000000"/>
          <w:sz w:val="20"/>
          <w:lang w:eastAsia="zh-CN"/>
        </w:rPr>
        <w:t>,</w:t>
      </w:r>
      <w:r w:rsidRPr="00C25744">
        <w:rPr>
          <w:rFonts w:ascii="Arial" w:eastAsia="SimSun" w:hAnsi="Arial" w:cs="Arial"/>
          <w:color w:val="000000"/>
          <w:sz w:val="20"/>
          <w:lang w:eastAsia="zh-CN"/>
        </w:rPr>
        <w:t xml:space="preserve"> compared to the </w:t>
      </w:r>
      <w:r w:rsidR="008E7FF2">
        <w:rPr>
          <w:rFonts w:ascii="Arial" w:eastAsia="SimSun" w:hAnsi="Arial" w:cs="Arial"/>
          <w:color w:val="000000"/>
          <w:sz w:val="20"/>
          <w:lang w:eastAsia="zh-CN"/>
        </w:rPr>
        <w:t xml:space="preserve">Approved </w:t>
      </w:r>
      <w:r>
        <w:rPr>
          <w:rFonts w:ascii="Arial" w:eastAsia="SimSun" w:hAnsi="Arial" w:cs="Arial"/>
          <w:color w:val="000000"/>
          <w:sz w:val="20"/>
          <w:lang w:eastAsia="zh-CN"/>
        </w:rPr>
        <w:t>B</w:t>
      </w:r>
      <w:r w:rsidRPr="00C25744">
        <w:rPr>
          <w:rFonts w:ascii="Arial" w:eastAsia="SimSun" w:hAnsi="Arial" w:cs="Arial"/>
          <w:color w:val="000000"/>
          <w:sz w:val="20"/>
          <w:lang w:eastAsia="zh-CN"/>
        </w:rPr>
        <w:t xml:space="preserve">udget for 2014/15. </w:t>
      </w:r>
      <w:r>
        <w:rPr>
          <w:rFonts w:ascii="Arial" w:eastAsia="SimSun" w:hAnsi="Arial" w:cs="Arial"/>
          <w:color w:val="000000"/>
          <w:sz w:val="20"/>
          <w:lang w:eastAsia="zh-CN"/>
        </w:rPr>
        <w:t xml:space="preserve">However, compared to </w:t>
      </w:r>
      <w:r w:rsidRPr="00C25744">
        <w:rPr>
          <w:rFonts w:ascii="Arial" w:eastAsia="SimSun" w:hAnsi="Arial" w:cs="Arial"/>
          <w:color w:val="000000"/>
          <w:sz w:val="20"/>
          <w:lang w:eastAsia="zh-CN"/>
        </w:rPr>
        <w:t>the</w:t>
      </w:r>
      <w:r>
        <w:rPr>
          <w:rFonts w:ascii="Arial" w:eastAsia="SimSun" w:hAnsi="Arial" w:cs="Arial"/>
          <w:color w:val="000000"/>
          <w:sz w:val="20"/>
          <w:lang w:eastAsia="zh-CN"/>
        </w:rPr>
        <w:t xml:space="preserve"> 2012/13 non-personnel Approved Budget</w:t>
      </w:r>
      <w:r w:rsidR="004F09D6">
        <w:rPr>
          <w:rStyle w:val="FootnoteReference"/>
          <w:rFonts w:ascii="Arial" w:eastAsia="SimSun" w:hAnsi="Arial" w:cs="Arial"/>
          <w:color w:val="000000"/>
          <w:sz w:val="20"/>
          <w:lang w:eastAsia="zh-CN"/>
        </w:rPr>
        <w:footnoteReference w:id="11"/>
      </w:r>
      <w:r>
        <w:rPr>
          <w:rFonts w:ascii="Arial" w:eastAsia="SimSun" w:hAnsi="Arial" w:cs="Arial"/>
          <w:color w:val="000000"/>
          <w:sz w:val="20"/>
          <w:lang w:eastAsia="zh-CN"/>
        </w:rPr>
        <w:t xml:space="preserve">, </w:t>
      </w:r>
      <w:r w:rsidRPr="00C25744">
        <w:rPr>
          <w:rFonts w:ascii="Arial" w:eastAsia="SimSun" w:hAnsi="Arial" w:cs="Arial"/>
          <w:color w:val="000000"/>
          <w:sz w:val="20"/>
          <w:lang w:eastAsia="zh-CN"/>
        </w:rPr>
        <w:t xml:space="preserve">the </w:t>
      </w:r>
      <w:r>
        <w:rPr>
          <w:rFonts w:ascii="Arial" w:eastAsia="SimSun" w:hAnsi="Arial" w:cs="Arial"/>
          <w:color w:val="000000"/>
          <w:sz w:val="20"/>
          <w:lang w:eastAsia="zh-CN"/>
        </w:rPr>
        <w:t>n</w:t>
      </w:r>
      <w:r w:rsidRPr="00C25744">
        <w:rPr>
          <w:rFonts w:ascii="Arial" w:eastAsia="SimSun" w:hAnsi="Arial" w:cs="Arial"/>
          <w:color w:val="000000"/>
          <w:sz w:val="20"/>
          <w:lang w:eastAsia="zh-CN"/>
        </w:rPr>
        <w:t xml:space="preserve">on-personnel budget </w:t>
      </w:r>
      <w:r>
        <w:rPr>
          <w:rFonts w:ascii="Arial" w:eastAsia="SimSun" w:hAnsi="Arial" w:cs="Arial"/>
          <w:color w:val="000000"/>
          <w:sz w:val="20"/>
          <w:lang w:eastAsia="zh-CN"/>
        </w:rPr>
        <w:t xml:space="preserve">for 2016/17 </w:t>
      </w:r>
      <w:r w:rsidRPr="00C25744">
        <w:rPr>
          <w:rFonts w:ascii="Arial" w:eastAsia="SimSun" w:hAnsi="Arial" w:cs="Arial"/>
          <w:color w:val="000000"/>
          <w:sz w:val="20"/>
          <w:lang w:eastAsia="zh-CN"/>
        </w:rPr>
        <w:t xml:space="preserve">represents an increase of </w:t>
      </w:r>
      <w:r>
        <w:rPr>
          <w:rFonts w:ascii="Arial" w:eastAsia="SimSun" w:hAnsi="Arial" w:cs="Arial"/>
          <w:color w:val="000000"/>
          <w:sz w:val="20"/>
          <w:lang w:eastAsia="zh-CN"/>
        </w:rPr>
        <w:t>4.9</w:t>
      </w:r>
      <w:r w:rsidR="00C2153C">
        <w:rPr>
          <w:rFonts w:ascii="Arial" w:eastAsia="SimSun" w:hAnsi="Arial" w:cs="Arial"/>
          <w:color w:val="000000"/>
          <w:sz w:val="20"/>
          <w:lang w:eastAsia="zh-CN"/>
        </w:rPr>
        <w:t> </w:t>
      </w:r>
      <w:r>
        <w:rPr>
          <w:rFonts w:ascii="Arial" w:eastAsia="SimSun" w:hAnsi="Arial" w:cs="Arial"/>
          <w:color w:val="000000"/>
          <w:sz w:val="20"/>
          <w:lang w:eastAsia="zh-CN"/>
        </w:rPr>
        <w:t>per cent</w:t>
      </w:r>
      <w:r w:rsidR="00632222">
        <w:rPr>
          <w:rFonts w:ascii="Arial" w:eastAsia="SimSun" w:hAnsi="Arial" w:cs="Arial"/>
          <w:color w:val="000000"/>
          <w:sz w:val="20"/>
          <w:lang w:eastAsia="zh-CN"/>
        </w:rPr>
        <w:t xml:space="preserve"> only. </w:t>
      </w:r>
    </w:p>
    <w:p w14:paraId="3410930E" w14:textId="77777777" w:rsidR="00B67D0A" w:rsidRDefault="00B67D0A" w:rsidP="00BB4CB0">
      <w:pPr>
        <w:widowControl w:val="0"/>
        <w:tabs>
          <w:tab w:val="num" w:pos="690"/>
        </w:tabs>
        <w:autoSpaceDE w:val="0"/>
        <w:autoSpaceDN w:val="0"/>
        <w:adjustRightInd w:val="0"/>
        <w:jc w:val="both"/>
        <w:rPr>
          <w:rFonts w:ascii="Arial" w:eastAsia="SimSun" w:hAnsi="Arial" w:cs="Arial"/>
          <w:color w:val="000000"/>
          <w:sz w:val="20"/>
          <w:lang w:eastAsia="zh-CN"/>
        </w:rPr>
      </w:pPr>
    </w:p>
    <w:p w14:paraId="06F90B5F" w14:textId="77777777" w:rsidR="00744022" w:rsidRDefault="00744022" w:rsidP="00B66A4A">
      <w:pPr>
        <w:pStyle w:val="ListParagraph"/>
        <w:widowControl w:val="0"/>
        <w:numPr>
          <w:ilvl w:val="0"/>
          <w:numId w:val="33"/>
        </w:numPr>
        <w:tabs>
          <w:tab w:val="left" w:pos="567"/>
        </w:tabs>
        <w:ind w:left="0" w:firstLine="0"/>
        <w:jc w:val="both"/>
        <w:rPr>
          <w:rFonts w:ascii="Arial" w:eastAsia="SimSun" w:hAnsi="Arial" w:cs="Arial"/>
          <w:color w:val="000000"/>
          <w:sz w:val="20"/>
          <w:lang w:eastAsia="zh-CN"/>
        </w:rPr>
      </w:pPr>
      <w:r w:rsidRPr="009F6D10">
        <w:rPr>
          <w:rFonts w:ascii="Arial" w:eastAsia="SimSun" w:hAnsi="Arial" w:cs="Arial"/>
          <w:color w:val="000000"/>
          <w:sz w:val="20"/>
          <w:lang w:eastAsia="zh-CN"/>
        </w:rPr>
        <w:t>The i</w:t>
      </w:r>
      <w:r>
        <w:rPr>
          <w:rFonts w:ascii="Arial" w:eastAsia="SimSun" w:hAnsi="Arial" w:cs="Arial"/>
          <w:color w:val="000000"/>
          <w:sz w:val="20"/>
          <w:lang w:eastAsia="zh-CN"/>
        </w:rPr>
        <w:t>ncrease in non-personnel costs has been enabled through a c</w:t>
      </w:r>
      <w:r w:rsidRPr="009F6D10">
        <w:rPr>
          <w:rFonts w:ascii="Arial" w:eastAsia="SimSun" w:hAnsi="Arial" w:cs="Arial"/>
          <w:color w:val="000000"/>
          <w:sz w:val="20"/>
          <w:lang w:eastAsia="zh-CN"/>
        </w:rPr>
        <w:t xml:space="preserve">onscious strategy of moving to </w:t>
      </w:r>
      <w:r>
        <w:rPr>
          <w:rFonts w:ascii="Arial" w:eastAsia="SimSun" w:hAnsi="Arial" w:cs="Arial"/>
          <w:color w:val="000000"/>
          <w:sz w:val="20"/>
          <w:lang w:eastAsia="zh-CN"/>
        </w:rPr>
        <w:t xml:space="preserve">a </w:t>
      </w:r>
      <w:r w:rsidRPr="009F6D10">
        <w:rPr>
          <w:rFonts w:ascii="Arial" w:eastAsia="SimSun" w:hAnsi="Arial" w:cs="Arial"/>
          <w:color w:val="000000"/>
          <w:sz w:val="20"/>
          <w:lang w:eastAsia="zh-CN"/>
        </w:rPr>
        <w:t xml:space="preserve">more flexible resourcing </w:t>
      </w:r>
      <w:r>
        <w:rPr>
          <w:rFonts w:ascii="Arial" w:eastAsia="SimSun" w:hAnsi="Arial" w:cs="Arial"/>
          <w:color w:val="000000"/>
          <w:sz w:val="20"/>
          <w:lang w:eastAsia="zh-CN"/>
        </w:rPr>
        <w:t xml:space="preserve">model resulting in a </w:t>
      </w:r>
      <w:r w:rsidRPr="009F6D10">
        <w:rPr>
          <w:rFonts w:ascii="Arial" w:eastAsia="SimSun" w:hAnsi="Arial" w:cs="Arial"/>
          <w:color w:val="000000"/>
          <w:sz w:val="20"/>
          <w:lang w:eastAsia="zh-CN"/>
        </w:rPr>
        <w:t>contain</w:t>
      </w:r>
      <w:r>
        <w:rPr>
          <w:rFonts w:ascii="Arial" w:eastAsia="SimSun" w:hAnsi="Arial" w:cs="Arial"/>
          <w:color w:val="000000"/>
          <w:sz w:val="20"/>
          <w:lang w:eastAsia="zh-CN"/>
        </w:rPr>
        <w:t xml:space="preserve">ment of </w:t>
      </w:r>
      <w:r w:rsidRPr="009F6D10">
        <w:rPr>
          <w:rFonts w:ascii="Arial" w:eastAsia="SimSun" w:hAnsi="Arial" w:cs="Arial"/>
          <w:color w:val="000000"/>
          <w:sz w:val="20"/>
          <w:lang w:eastAsia="zh-CN"/>
        </w:rPr>
        <w:t>personnel costs</w:t>
      </w:r>
      <w:r>
        <w:rPr>
          <w:rFonts w:ascii="Arial" w:eastAsia="SimSun" w:hAnsi="Arial" w:cs="Arial"/>
          <w:color w:val="000000"/>
          <w:sz w:val="20"/>
          <w:lang w:eastAsia="zh-CN"/>
        </w:rPr>
        <w:t xml:space="preserve">. </w:t>
      </w:r>
    </w:p>
    <w:p w14:paraId="7CE07B5D" w14:textId="77777777" w:rsidR="000F6BE2" w:rsidRPr="00B30215" w:rsidRDefault="000F6BE2" w:rsidP="00B30215">
      <w:pPr>
        <w:pStyle w:val="ListParagraph"/>
        <w:rPr>
          <w:rFonts w:ascii="Arial" w:eastAsia="SimSun" w:hAnsi="Arial" w:cs="Arial"/>
          <w:color w:val="000000"/>
          <w:sz w:val="20"/>
          <w:lang w:eastAsia="zh-CN"/>
        </w:rPr>
      </w:pPr>
    </w:p>
    <w:p w14:paraId="00CC934C" w14:textId="77777777" w:rsidR="00B67D0A" w:rsidRDefault="00B67D0A" w:rsidP="00B66A4A">
      <w:pPr>
        <w:pStyle w:val="ListParagraph"/>
        <w:widowControl w:val="0"/>
        <w:numPr>
          <w:ilvl w:val="0"/>
          <w:numId w:val="33"/>
        </w:numPr>
        <w:tabs>
          <w:tab w:val="left" w:pos="567"/>
        </w:tabs>
        <w:ind w:left="0" w:firstLine="0"/>
        <w:jc w:val="both"/>
        <w:rPr>
          <w:rFonts w:ascii="Arial" w:eastAsia="SimSun" w:hAnsi="Arial" w:cs="Arial"/>
          <w:color w:val="000000"/>
          <w:sz w:val="20"/>
          <w:lang w:eastAsia="zh-CN"/>
        </w:rPr>
      </w:pPr>
      <w:r>
        <w:rPr>
          <w:rFonts w:ascii="Arial" w:eastAsia="SimSun" w:hAnsi="Arial" w:cs="Arial"/>
          <w:color w:val="000000"/>
          <w:sz w:val="20"/>
          <w:lang w:eastAsia="zh-CN"/>
        </w:rPr>
        <w:t>The increase in non-personnel costs is driven primarily by:</w:t>
      </w:r>
    </w:p>
    <w:p w14:paraId="433B7458" w14:textId="77777777" w:rsidR="00B67D0A" w:rsidRDefault="00B67D0A" w:rsidP="00F02301">
      <w:pPr>
        <w:pStyle w:val="ListParagraph"/>
        <w:rPr>
          <w:rFonts w:ascii="Arial" w:eastAsia="SimSun" w:hAnsi="Arial" w:cs="Arial"/>
          <w:color w:val="000000"/>
          <w:sz w:val="20"/>
          <w:lang w:eastAsia="zh-CN"/>
        </w:rPr>
      </w:pPr>
    </w:p>
    <w:p w14:paraId="5AEB347A" w14:textId="77777777" w:rsidR="00B67D0A" w:rsidRDefault="00B67D0A" w:rsidP="00B66A4A">
      <w:pPr>
        <w:pStyle w:val="ListParagraph"/>
        <w:widowControl w:val="0"/>
        <w:numPr>
          <w:ilvl w:val="0"/>
          <w:numId w:val="34"/>
        </w:numPr>
        <w:tabs>
          <w:tab w:val="right" w:pos="1134"/>
        </w:tabs>
        <w:spacing w:after="240"/>
        <w:ind w:left="1134" w:hanging="567"/>
        <w:jc w:val="both"/>
        <w:rPr>
          <w:rFonts w:ascii="Arial" w:eastAsia="SimSun" w:hAnsi="Arial" w:cs="Arial"/>
          <w:color w:val="000000"/>
          <w:sz w:val="20"/>
          <w:lang w:eastAsia="zh-CN"/>
        </w:rPr>
      </w:pPr>
      <w:r w:rsidRPr="0099282B">
        <w:rPr>
          <w:rFonts w:ascii="Arial" w:eastAsia="SimSun" w:hAnsi="Arial" w:cs="Arial"/>
          <w:color w:val="000000"/>
          <w:sz w:val="20"/>
          <w:lang w:eastAsia="zh-CN"/>
        </w:rPr>
        <w:t xml:space="preserve">Increase in the PCT translation volumes </w:t>
      </w:r>
    </w:p>
    <w:p w14:paraId="1B5D9183" w14:textId="77777777" w:rsidR="0099282B" w:rsidRPr="0099282B" w:rsidRDefault="0099282B" w:rsidP="0099282B">
      <w:pPr>
        <w:pStyle w:val="ListParagraph"/>
        <w:widowControl w:val="0"/>
        <w:tabs>
          <w:tab w:val="right" w:pos="1134"/>
        </w:tabs>
        <w:spacing w:after="220"/>
        <w:ind w:left="1134"/>
        <w:jc w:val="both"/>
        <w:rPr>
          <w:rFonts w:ascii="Arial" w:eastAsia="SimSun" w:hAnsi="Arial" w:cs="Arial"/>
          <w:color w:val="000000"/>
          <w:sz w:val="20"/>
          <w:lang w:eastAsia="zh-CN"/>
        </w:rPr>
      </w:pPr>
    </w:p>
    <w:p w14:paraId="0C490FD4" w14:textId="382B55CE" w:rsidR="00B67D0A" w:rsidRDefault="00B67D0A" w:rsidP="00B66A4A">
      <w:pPr>
        <w:pStyle w:val="ListParagraph"/>
        <w:widowControl w:val="0"/>
        <w:numPr>
          <w:ilvl w:val="0"/>
          <w:numId w:val="35"/>
        </w:numPr>
        <w:spacing w:after="120"/>
        <w:ind w:left="1985" w:hanging="425"/>
        <w:jc w:val="both"/>
        <w:rPr>
          <w:rFonts w:ascii="Arial" w:eastAsia="SimSun" w:hAnsi="Arial" w:cs="Arial"/>
          <w:i/>
          <w:color w:val="000000"/>
          <w:sz w:val="20"/>
          <w:lang w:eastAsia="zh-CN"/>
        </w:rPr>
      </w:pPr>
      <w:r w:rsidRPr="0099282B">
        <w:rPr>
          <w:rFonts w:ascii="Arial" w:eastAsia="SimSun" w:hAnsi="Arial" w:cs="Arial"/>
          <w:i/>
          <w:color w:val="000000"/>
          <w:sz w:val="20"/>
          <w:lang w:eastAsia="zh-CN"/>
        </w:rPr>
        <w:t>Additional estimated translation costs of 4.2 million Swiss francs (reflected in Program 5</w:t>
      </w:r>
      <w:r w:rsidR="007737CF">
        <w:rPr>
          <w:rFonts w:ascii="Arial" w:eastAsia="SimSun" w:hAnsi="Arial" w:cs="Arial"/>
          <w:i/>
          <w:color w:val="000000"/>
          <w:sz w:val="20"/>
          <w:lang w:eastAsia="zh-CN"/>
        </w:rPr>
        <w:t xml:space="preserve"> – The PCT System</w:t>
      </w:r>
      <w:r w:rsidRPr="0099282B">
        <w:rPr>
          <w:rFonts w:ascii="Arial" w:eastAsia="SimSun" w:hAnsi="Arial" w:cs="Arial"/>
          <w:i/>
          <w:color w:val="000000"/>
          <w:sz w:val="20"/>
          <w:lang w:eastAsia="zh-CN"/>
        </w:rPr>
        <w:t>)</w:t>
      </w:r>
    </w:p>
    <w:p w14:paraId="28CEE90F" w14:textId="77777777" w:rsidR="0099282B" w:rsidRPr="0099282B" w:rsidRDefault="0099282B" w:rsidP="0099282B">
      <w:pPr>
        <w:pStyle w:val="ListParagraph"/>
        <w:widowControl w:val="0"/>
        <w:spacing w:after="120"/>
        <w:ind w:left="1985"/>
        <w:jc w:val="both"/>
        <w:rPr>
          <w:rFonts w:ascii="Arial" w:eastAsia="SimSun" w:hAnsi="Arial" w:cs="Arial"/>
          <w:i/>
          <w:color w:val="000000"/>
          <w:sz w:val="20"/>
          <w:lang w:eastAsia="zh-CN"/>
        </w:rPr>
      </w:pPr>
    </w:p>
    <w:p w14:paraId="5BC903F6" w14:textId="77777777" w:rsidR="00B67D0A" w:rsidRDefault="00B67D0A" w:rsidP="00B66A4A">
      <w:pPr>
        <w:pStyle w:val="ListParagraph"/>
        <w:widowControl w:val="0"/>
        <w:numPr>
          <w:ilvl w:val="0"/>
          <w:numId w:val="34"/>
        </w:numPr>
        <w:tabs>
          <w:tab w:val="right" w:pos="1134"/>
        </w:tabs>
        <w:ind w:left="1134" w:hanging="567"/>
        <w:jc w:val="both"/>
        <w:rPr>
          <w:rFonts w:ascii="Arial" w:eastAsia="SimSun" w:hAnsi="Arial" w:cs="Arial"/>
          <w:color w:val="000000"/>
          <w:sz w:val="20"/>
          <w:lang w:eastAsia="zh-CN"/>
        </w:rPr>
      </w:pPr>
      <w:r w:rsidRPr="00BE49CE">
        <w:rPr>
          <w:rFonts w:ascii="Arial" w:eastAsia="SimSun" w:hAnsi="Arial" w:cs="Arial"/>
          <w:color w:val="000000"/>
          <w:sz w:val="20"/>
          <w:lang w:eastAsia="zh-CN"/>
        </w:rPr>
        <w:t xml:space="preserve">Expanding membership of the Madrid System and enhancement of the operational efficiencies of the system </w:t>
      </w:r>
    </w:p>
    <w:p w14:paraId="24CFA873" w14:textId="77777777" w:rsidR="0099282B" w:rsidRPr="00BE49CE" w:rsidRDefault="0099282B" w:rsidP="0099282B">
      <w:pPr>
        <w:pStyle w:val="ListParagraph"/>
        <w:widowControl w:val="0"/>
        <w:tabs>
          <w:tab w:val="right" w:pos="1134"/>
        </w:tabs>
        <w:spacing w:after="220"/>
        <w:ind w:left="1134"/>
        <w:jc w:val="both"/>
        <w:rPr>
          <w:rFonts w:ascii="Arial" w:eastAsia="SimSun" w:hAnsi="Arial" w:cs="Arial"/>
          <w:color w:val="000000"/>
          <w:sz w:val="20"/>
          <w:lang w:eastAsia="zh-CN"/>
        </w:rPr>
      </w:pPr>
    </w:p>
    <w:p w14:paraId="49A9CC8F" w14:textId="175BC17A" w:rsidR="00B67D0A" w:rsidRDefault="00B67D0A" w:rsidP="00B66A4A">
      <w:pPr>
        <w:pStyle w:val="ListParagraph"/>
        <w:widowControl w:val="0"/>
        <w:numPr>
          <w:ilvl w:val="0"/>
          <w:numId w:val="35"/>
        </w:numPr>
        <w:spacing w:after="120"/>
        <w:ind w:left="1985" w:hanging="425"/>
        <w:jc w:val="both"/>
        <w:rPr>
          <w:rFonts w:ascii="Arial" w:eastAsia="SimSun" w:hAnsi="Arial" w:cs="Arial"/>
          <w:i/>
          <w:color w:val="000000"/>
          <w:sz w:val="20"/>
          <w:lang w:eastAsia="zh-CN"/>
        </w:rPr>
      </w:pPr>
      <w:r w:rsidRPr="00BE49CE">
        <w:rPr>
          <w:rFonts w:ascii="Arial" w:eastAsia="SimSun" w:hAnsi="Arial" w:cs="Arial"/>
          <w:i/>
          <w:color w:val="000000"/>
          <w:sz w:val="20"/>
          <w:lang w:eastAsia="zh-CN"/>
        </w:rPr>
        <w:t>Additional estimated non-personnel resources requirements for the Madrid System of 2.5 million Swiss francs (reflected in Program 6</w:t>
      </w:r>
      <w:r w:rsidR="007737CF">
        <w:rPr>
          <w:rFonts w:ascii="Arial" w:eastAsia="SimSun" w:hAnsi="Arial" w:cs="Arial"/>
          <w:i/>
          <w:color w:val="000000"/>
          <w:sz w:val="20"/>
          <w:lang w:eastAsia="zh-CN"/>
        </w:rPr>
        <w:t xml:space="preserve"> – Madrid and Lisbon Systems</w:t>
      </w:r>
      <w:r w:rsidRPr="00BE49CE">
        <w:rPr>
          <w:rFonts w:ascii="Arial" w:eastAsia="SimSun" w:hAnsi="Arial" w:cs="Arial"/>
          <w:i/>
          <w:color w:val="000000"/>
          <w:sz w:val="20"/>
          <w:lang w:eastAsia="zh-CN"/>
        </w:rPr>
        <w:t>)</w:t>
      </w:r>
    </w:p>
    <w:p w14:paraId="4D7E0441" w14:textId="77777777" w:rsidR="0099282B" w:rsidRPr="00BE49CE" w:rsidRDefault="0099282B" w:rsidP="0099282B">
      <w:pPr>
        <w:pStyle w:val="ListParagraph"/>
        <w:widowControl w:val="0"/>
        <w:spacing w:after="120"/>
        <w:ind w:left="1985"/>
        <w:jc w:val="both"/>
        <w:rPr>
          <w:rFonts w:ascii="Arial" w:eastAsia="SimSun" w:hAnsi="Arial" w:cs="Arial"/>
          <w:i/>
          <w:color w:val="000000"/>
          <w:sz w:val="20"/>
          <w:lang w:eastAsia="zh-CN"/>
        </w:rPr>
      </w:pPr>
    </w:p>
    <w:p w14:paraId="71E27BE4" w14:textId="77777777" w:rsidR="00B67D0A" w:rsidRDefault="00B67D0A" w:rsidP="00B66A4A">
      <w:pPr>
        <w:pStyle w:val="ListParagraph"/>
        <w:widowControl w:val="0"/>
        <w:numPr>
          <w:ilvl w:val="0"/>
          <w:numId w:val="34"/>
        </w:numPr>
        <w:tabs>
          <w:tab w:val="right" w:pos="1134"/>
        </w:tabs>
        <w:spacing w:after="220"/>
        <w:ind w:left="1134" w:hanging="567"/>
        <w:jc w:val="both"/>
        <w:rPr>
          <w:rFonts w:ascii="Arial" w:eastAsia="SimSun" w:hAnsi="Arial" w:cs="Arial"/>
          <w:color w:val="000000"/>
          <w:sz w:val="20"/>
          <w:lang w:eastAsia="zh-CN"/>
        </w:rPr>
      </w:pPr>
      <w:r w:rsidRPr="00BE49CE">
        <w:rPr>
          <w:rFonts w:ascii="Arial" w:eastAsia="SimSun" w:hAnsi="Arial" w:cs="Arial"/>
          <w:color w:val="000000"/>
          <w:sz w:val="20"/>
          <w:lang w:eastAsia="zh-CN"/>
        </w:rPr>
        <w:t>Increased dependencies on Information and Communication Technologies, and need for enhanced PCT resilience and ICT security</w:t>
      </w:r>
    </w:p>
    <w:p w14:paraId="767603D8" w14:textId="77777777" w:rsidR="0099282B" w:rsidRPr="00BE49CE" w:rsidRDefault="0099282B" w:rsidP="0099282B">
      <w:pPr>
        <w:pStyle w:val="ListParagraph"/>
        <w:widowControl w:val="0"/>
        <w:tabs>
          <w:tab w:val="right" w:pos="1134"/>
        </w:tabs>
        <w:spacing w:after="220"/>
        <w:ind w:left="1134"/>
        <w:jc w:val="both"/>
        <w:rPr>
          <w:rFonts w:ascii="Arial" w:eastAsia="SimSun" w:hAnsi="Arial" w:cs="Arial"/>
          <w:color w:val="000000"/>
          <w:sz w:val="20"/>
          <w:lang w:eastAsia="zh-CN"/>
        </w:rPr>
      </w:pPr>
    </w:p>
    <w:p w14:paraId="18B7C62D" w14:textId="0A915229" w:rsidR="00B67D0A" w:rsidRPr="0099282B" w:rsidRDefault="00B67D0A" w:rsidP="00B66A4A">
      <w:pPr>
        <w:pStyle w:val="ListParagraph"/>
        <w:widowControl w:val="0"/>
        <w:numPr>
          <w:ilvl w:val="0"/>
          <w:numId w:val="35"/>
        </w:numPr>
        <w:spacing w:after="120"/>
        <w:ind w:left="1985" w:hanging="425"/>
        <w:jc w:val="both"/>
        <w:rPr>
          <w:rFonts w:ascii="Arial" w:eastAsia="SimSun" w:hAnsi="Arial" w:cs="Arial"/>
          <w:color w:val="000000"/>
          <w:sz w:val="20"/>
          <w:lang w:eastAsia="zh-CN"/>
        </w:rPr>
      </w:pPr>
      <w:r w:rsidRPr="00BE49CE">
        <w:rPr>
          <w:rFonts w:ascii="Arial" w:eastAsia="SimSun" w:hAnsi="Arial" w:cs="Arial"/>
          <w:i/>
          <w:color w:val="000000"/>
          <w:sz w:val="20"/>
          <w:lang w:eastAsia="zh-CN"/>
        </w:rPr>
        <w:t>Additional estimated non-personnel resources requirements of 1.4 million Swiss francs (reflected under Program 5</w:t>
      </w:r>
      <w:r w:rsidR="007737CF">
        <w:rPr>
          <w:rFonts w:ascii="Arial" w:eastAsia="SimSun" w:hAnsi="Arial" w:cs="Arial"/>
          <w:i/>
          <w:color w:val="000000"/>
          <w:sz w:val="20"/>
          <w:lang w:eastAsia="zh-CN"/>
        </w:rPr>
        <w:t xml:space="preserve"> – The PCT System</w:t>
      </w:r>
      <w:r w:rsidRPr="00BE49CE">
        <w:rPr>
          <w:rFonts w:ascii="Arial" w:eastAsia="SimSun" w:hAnsi="Arial" w:cs="Arial"/>
          <w:i/>
          <w:color w:val="000000"/>
          <w:sz w:val="20"/>
          <w:lang w:eastAsia="zh-CN"/>
        </w:rPr>
        <w:t>), 6.9 million Swiss francs (reflected in Program 25</w:t>
      </w:r>
      <w:r w:rsidR="007737CF">
        <w:rPr>
          <w:rFonts w:ascii="Arial" w:eastAsia="SimSun" w:hAnsi="Arial" w:cs="Arial"/>
          <w:i/>
          <w:color w:val="000000"/>
          <w:sz w:val="20"/>
          <w:lang w:eastAsia="zh-CN"/>
        </w:rPr>
        <w:t xml:space="preserve"> – Information and Communication Technology</w:t>
      </w:r>
      <w:r w:rsidRPr="00BE49CE">
        <w:rPr>
          <w:rFonts w:ascii="Arial" w:eastAsia="SimSun" w:hAnsi="Arial" w:cs="Arial"/>
          <w:i/>
          <w:color w:val="000000"/>
          <w:sz w:val="20"/>
          <w:lang w:eastAsia="zh-CN"/>
        </w:rPr>
        <w:t>) and 3.9 million Swiss francs (reflected in Program 28</w:t>
      </w:r>
      <w:r w:rsidR="007737CF">
        <w:rPr>
          <w:rFonts w:ascii="Arial" w:eastAsia="SimSun" w:hAnsi="Arial" w:cs="Arial"/>
          <w:i/>
          <w:color w:val="000000"/>
          <w:sz w:val="20"/>
          <w:lang w:eastAsia="zh-CN"/>
        </w:rPr>
        <w:t xml:space="preserve"> – Information Assurance, Safety and Security</w:t>
      </w:r>
      <w:r w:rsidRPr="00BE49CE">
        <w:rPr>
          <w:rFonts w:ascii="Arial" w:eastAsia="SimSun" w:hAnsi="Arial" w:cs="Arial"/>
          <w:i/>
          <w:color w:val="000000"/>
          <w:sz w:val="20"/>
          <w:lang w:eastAsia="zh-CN"/>
        </w:rPr>
        <w:t xml:space="preserve">) </w:t>
      </w:r>
    </w:p>
    <w:p w14:paraId="287E6FFA" w14:textId="77777777" w:rsidR="0099282B" w:rsidRPr="00BE49CE" w:rsidRDefault="0099282B" w:rsidP="0099282B">
      <w:pPr>
        <w:pStyle w:val="ListParagraph"/>
        <w:widowControl w:val="0"/>
        <w:spacing w:after="120"/>
        <w:ind w:left="1985"/>
        <w:jc w:val="both"/>
        <w:rPr>
          <w:rFonts w:ascii="Arial" w:eastAsia="SimSun" w:hAnsi="Arial" w:cs="Arial"/>
          <w:color w:val="000000"/>
          <w:sz w:val="20"/>
          <w:lang w:eastAsia="zh-CN"/>
        </w:rPr>
      </w:pPr>
    </w:p>
    <w:p w14:paraId="273B0822" w14:textId="77777777" w:rsidR="00B67D0A" w:rsidRDefault="00B67D0A" w:rsidP="00B66A4A">
      <w:pPr>
        <w:pStyle w:val="ListParagraph"/>
        <w:widowControl w:val="0"/>
        <w:numPr>
          <w:ilvl w:val="0"/>
          <w:numId w:val="34"/>
        </w:numPr>
        <w:tabs>
          <w:tab w:val="right" w:pos="1134"/>
        </w:tabs>
        <w:spacing w:after="220"/>
        <w:ind w:left="1134" w:hanging="567"/>
        <w:jc w:val="both"/>
        <w:rPr>
          <w:rFonts w:ascii="Arial" w:eastAsia="SimSun" w:hAnsi="Arial" w:cs="Arial"/>
          <w:color w:val="000000"/>
          <w:sz w:val="20"/>
          <w:lang w:eastAsia="zh-CN"/>
        </w:rPr>
      </w:pPr>
      <w:r w:rsidRPr="00BE49CE">
        <w:rPr>
          <w:rFonts w:ascii="Arial" w:eastAsia="SimSun" w:hAnsi="Arial" w:cs="Arial"/>
          <w:color w:val="000000"/>
          <w:sz w:val="20"/>
          <w:lang w:eastAsia="zh-CN"/>
        </w:rPr>
        <w:t xml:space="preserve">Increased ERP footprint in operations </w:t>
      </w:r>
    </w:p>
    <w:p w14:paraId="159AA310" w14:textId="77777777" w:rsidR="0099282B" w:rsidRPr="00BE49CE" w:rsidRDefault="0099282B" w:rsidP="0099282B">
      <w:pPr>
        <w:pStyle w:val="ListParagraph"/>
        <w:widowControl w:val="0"/>
        <w:tabs>
          <w:tab w:val="right" w:pos="1134"/>
        </w:tabs>
        <w:spacing w:after="220"/>
        <w:ind w:left="1134"/>
        <w:jc w:val="both"/>
        <w:rPr>
          <w:rFonts w:ascii="Arial" w:eastAsia="SimSun" w:hAnsi="Arial" w:cs="Arial"/>
          <w:color w:val="000000"/>
          <w:sz w:val="20"/>
          <w:lang w:eastAsia="zh-CN"/>
        </w:rPr>
      </w:pPr>
    </w:p>
    <w:p w14:paraId="1EB3B807" w14:textId="0EFA3F9E" w:rsidR="00B67D0A" w:rsidRPr="0099282B" w:rsidRDefault="00B67D0A" w:rsidP="00B66A4A">
      <w:pPr>
        <w:pStyle w:val="ListParagraph"/>
        <w:widowControl w:val="0"/>
        <w:numPr>
          <w:ilvl w:val="0"/>
          <w:numId w:val="35"/>
        </w:numPr>
        <w:spacing w:after="120"/>
        <w:ind w:left="1985" w:hanging="425"/>
        <w:jc w:val="both"/>
        <w:rPr>
          <w:rFonts w:ascii="Arial" w:eastAsia="SimSun" w:hAnsi="Arial" w:cs="Arial"/>
          <w:color w:val="000000"/>
          <w:sz w:val="20"/>
          <w:lang w:eastAsia="zh-CN"/>
        </w:rPr>
      </w:pPr>
      <w:r w:rsidRPr="00BE49CE">
        <w:rPr>
          <w:rFonts w:ascii="Arial" w:eastAsia="SimSun" w:hAnsi="Arial" w:cs="Arial"/>
          <w:i/>
          <w:color w:val="000000"/>
          <w:sz w:val="20"/>
          <w:lang w:eastAsia="zh-CN"/>
        </w:rPr>
        <w:t>Additional estimated non-personnel resources requirements of 1.6 million Swiss francs (reflected under Program 22</w:t>
      </w:r>
      <w:r w:rsidR="007737CF">
        <w:rPr>
          <w:rFonts w:ascii="Arial" w:eastAsia="SimSun" w:hAnsi="Arial" w:cs="Arial"/>
          <w:i/>
          <w:color w:val="000000"/>
          <w:sz w:val="20"/>
          <w:lang w:eastAsia="zh-CN"/>
        </w:rPr>
        <w:t xml:space="preserve"> – Program and Resource Management</w:t>
      </w:r>
      <w:r w:rsidRPr="00BE49CE">
        <w:rPr>
          <w:rFonts w:ascii="Arial" w:eastAsia="SimSun" w:hAnsi="Arial" w:cs="Arial"/>
          <w:i/>
          <w:color w:val="000000"/>
          <w:sz w:val="20"/>
          <w:lang w:eastAsia="zh-CN"/>
        </w:rPr>
        <w:t>)</w:t>
      </w:r>
    </w:p>
    <w:p w14:paraId="686E5D19" w14:textId="77777777" w:rsidR="0099282B" w:rsidRPr="00BE49CE" w:rsidRDefault="0099282B" w:rsidP="0099282B">
      <w:pPr>
        <w:pStyle w:val="ListParagraph"/>
        <w:widowControl w:val="0"/>
        <w:spacing w:after="120"/>
        <w:ind w:left="1985"/>
        <w:jc w:val="both"/>
        <w:rPr>
          <w:rFonts w:ascii="Arial" w:eastAsia="SimSun" w:hAnsi="Arial" w:cs="Arial"/>
          <w:color w:val="000000"/>
          <w:sz w:val="20"/>
          <w:lang w:eastAsia="zh-CN"/>
        </w:rPr>
      </w:pPr>
    </w:p>
    <w:p w14:paraId="0B436C35" w14:textId="77777777" w:rsidR="00B67D0A" w:rsidRDefault="00B67D0A" w:rsidP="00B66A4A">
      <w:pPr>
        <w:pStyle w:val="ListParagraph"/>
        <w:widowControl w:val="0"/>
        <w:numPr>
          <w:ilvl w:val="0"/>
          <w:numId w:val="34"/>
        </w:numPr>
        <w:tabs>
          <w:tab w:val="right" w:pos="1134"/>
        </w:tabs>
        <w:spacing w:after="220"/>
        <w:ind w:left="1134" w:hanging="567"/>
        <w:jc w:val="both"/>
        <w:rPr>
          <w:rFonts w:ascii="Arial" w:eastAsia="SimSun" w:hAnsi="Arial" w:cs="Arial"/>
          <w:color w:val="000000"/>
          <w:sz w:val="20"/>
          <w:lang w:eastAsia="zh-CN"/>
        </w:rPr>
      </w:pPr>
      <w:r w:rsidRPr="00BE49CE">
        <w:rPr>
          <w:rFonts w:ascii="Arial" w:eastAsia="SimSun" w:hAnsi="Arial" w:cs="Arial"/>
          <w:color w:val="000000"/>
          <w:sz w:val="20"/>
          <w:lang w:eastAsia="zh-CN"/>
        </w:rPr>
        <w:t>Negative interest rates on Swiss franc deposits</w:t>
      </w:r>
    </w:p>
    <w:p w14:paraId="6CF68270" w14:textId="77777777" w:rsidR="0099282B" w:rsidRPr="00BE49CE" w:rsidRDefault="0099282B" w:rsidP="0099282B">
      <w:pPr>
        <w:pStyle w:val="ListParagraph"/>
        <w:widowControl w:val="0"/>
        <w:tabs>
          <w:tab w:val="right" w:pos="1134"/>
        </w:tabs>
        <w:spacing w:after="220"/>
        <w:ind w:left="1134"/>
        <w:jc w:val="both"/>
        <w:rPr>
          <w:rFonts w:ascii="Arial" w:eastAsia="SimSun" w:hAnsi="Arial" w:cs="Arial"/>
          <w:color w:val="000000"/>
          <w:sz w:val="20"/>
          <w:lang w:eastAsia="zh-CN"/>
        </w:rPr>
      </w:pPr>
    </w:p>
    <w:p w14:paraId="349AEA2C" w14:textId="765DB77D" w:rsidR="00B67D0A" w:rsidRPr="00BE49CE" w:rsidRDefault="00B67D0A" w:rsidP="00B66A4A">
      <w:pPr>
        <w:pStyle w:val="ListParagraph"/>
        <w:widowControl w:val="0"/>
        <w:numPr>
          <w:ilvl w:val="0"/>
          <w:numId w:val="35"/>
        </w:numPr>
        <w:spacing w:after="120"/>
        <w:ind w:left="1985" w:hanging="425"/>
        <w:jc w:val="both"/>
        <w:rPr>
          <w:rFonts w:ascii="Arial" w:eastAsia="SimSun" w:hAnsi="Arial" w:cs="Arial"/>
          <w:color w:val="000000"/>
          <w:sz w:val="20"/>
          <w:lang w:eastAsia="zh-CN"/>
        </w:rPr>
      </w:pPr>
      <w:r w:rsidRPr="00BE49CE">
        <w:rPr>
          <w:rFonts w:ascii="Arial" w:eastAsia="SimSun" w:hAnsi="Arial" w:cs="Arial"/>
          <w:i/>
          <w:color w:val="000000"/>
          <w:sz w:val="20"/>
          <w:lang w:eastAsia="zh-CN"/>
        </w:rPr>
        <w:t>Estimated non-personnel resources requirements of 2.4 million Swiss francs (reflected under Program 22</w:t>
      </w:r>
      <w:r w:rsidR="007737CF">
        <w:rPr>
          <w:rFonts w:ascii="Arial" w:eastAsia="SimSun" w:hAnsi="Arial" w:cs="Arial"/>
          <w:i/>
          <w:color w:val="000000"/>
          <w:sz w:val="20"/>
          <w:lang w:eastAsia="zh-CN"/>
        </w:rPr>
        <w:t xml:space="preserve"> – Program and Resource Management</w:t>
      </w:r>
      <w:r w:rsidRPr="00BE49CE">
        <w:rPr>
          <w:rFonts w:ascii="Arial" w:eastAsia="SimSun" w:hAnsi="Arial" w:cs="Arial"/>
          <w:i/>
          <w:color w:val="000000"/>
          <w:sz w:val="20"/>
          <w:lang w:eastAsia="zh-CN"/>
        </w:rPr>
        <w:t>)</w:t>
      </w:r>
    </w:p>
    <w:p w14:paraId="3B18FCE4" w14:textId="77777777" w:rsidR="005925B1" w:rsidRDefault="005925B1" w:rsidP="00DA3F93">
      <w:pPr>
        <w:pStyle w:val="ListParagraph"/>
        <w:keepNext/>
        <w:keepLines/>
        <w:widowControl w:val="0"/>
        <w:tabs>
          <w:tab w:val="left" w:pos="567"/>
        </w:tabs>
        <w:ind w:left="0"/>
        <w:jc w:val="both"/>
        <w:rPr>
          <w:rFonts w:ascii="Arial" w:eastAsia="SimSun" w:hAnsi="Arial" w:cs="Arial"/>
          <w:color w:val="000000"/>
          <w:sz w:val="20"/>
          <w:lang w:eastAsia="zh-CN"/>
        </w:rPr>
      </w:pPr>
    </w:p>
    <w:p w14:paraId="20E26409" w14:textId="4A8180C4" w:rsidR="0048537A" w:rsidRDefault="0048537A" w:rsidP="00B66A4A">
      <w:pPr>
        <w:pStyle w:val="ListParagraph"/>
        <w:widowControl w:val="0"/>
        <w:numPr>
          <w:ilvl w:val="0"/>
          <w:numId w:val="33"/>
        </w:numPr>
        <w:tabs>
          <w:tab w:val="left" w:pos="567"/>
        </w:tabs>
        <w:ind w:left="0" w:firstLine="0"/>
        <w:jc w:val="both"/>
        <w:rPr>
          <w:rFonts w:ascii="Arial" w:eastAsia="SimSun" w:hAnsi="Arial" w:cs="Arial"/>
          <w:color w:val="000000"/>
          <w:sz w:val="20"/>
          <w:lang w:eastAsia="zh-CN"/>
        </w:rPr>
      </w:pPr>
      <w:r>
        <w:rPr>
          <w:rFonts w:ascii="Arial" w:hAnsi="Arial"/>
          <w:sz w:val="20"/>
          <w:lang w:val="en-CA"/>
        </w:rPr>
        <w:t>T</w:t>
      </w:r>
      <w:r w:rsidRPr="00FF2ABC">
        <w:rPr>
          <w:rFonts w:ascii="Arial" w:hAnsi="Arial" w:cs="Arial"/>
          <w:sz w:val="20"/>
        </w:rPr>
        <w:t xml:space="preserve">he Secretariat has budgeted for </w:t>
      </w:r>
      <w:r>
        <w:rPr>
          <w:rFonts w:ascii="Arial" w:hAnsi="Arial" w:cs="Arial"/>
          <w:sz w:val="20"/>
        </w:rPr>
        <w:t>requirements</w:t>
      </w:r>
      <w:r w:rsidRPr="00FF2ABC">
        <w:rPr>
          <w:rFonts w:ascii="Arial" w:hAnsi="Arial" w:cs="Arial"/>
          <w:sz w:val="20"/>
        </w:rPr>
        <w:t xml:space="preserve"> </w:t>
      </w:r>
      <w:r>
        <w:rPr>
          <w:rFonts w:ascii="Arial" w:hAnsi="Arial" w:cs="Arial"/>
          <w:sz w:val="20"/>
        </w:rPr>
        <w:t xml:space="preserve">related to </w:t>
      </w:r>
      <w:r w:rsidRPr="00774682">
        <w:rPr>
          <w:rFonts w:ascii="Arial" w:hAnsi="Arial" w:cs="Arial"/>
          <w:sz w:val="20"/>
        </w:rPr>
        <w:t>renovations, transformations and/or modernization of premises</w:t>
      </w:r>
      <w:r>
        <w:rPr>
          <w:rFonts w:ascii="Arial" w:hAnsi="Arial" w:cs="Arial"/>
          <w:sz w:val="20"/>
        </w:rPr>
        <w:t xml:space="preserve"> </w:t>
      </w:r>
      <w:r w:rsidRPr="00FF2ABC">
        <w:rPr>
          <w:rFonts w:ascii="Arial" w:hAnsi="Arial" w:cs="Arial"/>
          <w:sz w:val="20"/>
        </w:rPr>
        <w:t>within the regular budget</w:t>
      </w:r>
      <w:r>
        <w:rPr>
          <w:rFonts w:ascii="Arial" w:hAnsi="Arial" w:cs="Arial"/>
          <w:sz w:val="20"/>
        </w:rPr>
        <w:t xml:space="preserve"> of Program 24 (General Support Services). </w:t>
      </w:r>
    </w:p>
    <w:p w14:paraId="282479A0" w14:textId="77777777" w:rsidR="0048537A" w:rsidRDefault="0048537A" w:rsidP="0048537A">
      <w:pPr>
        <w:widowControl w:val="0"/>
        <w:tabs>
          <w:tab w:val="num" w:pos="690"/>
        </w:tabs>
        <w:jc w:val="both"/>
        <w:rPr>
          <w:rFonts w:ascii="Arial" w:eastAsia="SimSun" w:hAnsi="Arial" w:cs="Arial"/>
          <w:color w:val="000000"/>
          <w:sz w:val="20"/>
          <w:lang w:eastAsia="zh-CN"/>
        </w:rPr>
      </w:pPr>
    </w:p>
    <w:p w14:paraId="7738CD25" w14:textId="7DBE9223" w:rsidR="00744022" w:rsidRDefault="00744022" w:rsidP="00B66A4A">
      <w:pPr>
        <w:pStyle w:val="ListParagraph"/>
        <w:keepNext/>
        <w:keepLines/>
        <w:widowControl w:val="0"/>
        <w:numPr>
          <w:ilvl w:val="0"/>
          <w:numId w:val="33"/>
        </w:numPr>
        <w:tabs>
          <w:tab w:val="left" w:pos="567"/>
        </w:tabs>
        <w:ind w:left="0" w:firstLine="0"/>
        <w:jc w:val="both"/>
        <w:rPr>
          <w:rFonts w:ascii="Arial" w:eastAsia="SimSun" w:hAnsi="Arial" w:cs="Arial"/>
          <w:color w:val="000000"/>
          <w:sz w:val="20"/>
          <w:lang w:eastAsia="zh-CN"/>
        </w:rPr>
      </w:pPr>
      <w:r w:rsidRPr="00C25744">
        <w:rPr>
          <w:rFonts w:ascii="Arial" w:eastAsia="SimSun" w:hAnsi="Arial" w:cs="Arial"/>
          <w:color w:val="000000"/>
          <w:sz w:val="20"/>
          <w:lang w:eastAsia="zh-CN"/>
        </w:rPr>
        <w:t xml:space="preserve">Cost efficiency measures identified in the biennium 2014/15 are baselined into the </w:t>
      </w:r>
      <w:r>
        <w:rPr>
          <w:rFonts w:ascii="Arial" w:eastAsia="SimSun" w:hAnsi="Arial" w:cs="Arial"/>
          <w:color w:val="000000"/>
          <w:sz w:val="20"/>
          <w:lang w:eastAsia="zh-CN"/>
        </w:rPr>
        <w:t>P</w:t>
      </w:r>
      <w:r w:rsidRPr="00C25744">
        <w:rPr>
          <w:rFonts w:ascii="Arial" w:eastAsia="SimSun" w:hAnsi="Arial" w:cs="Arial"/>
          <w:color w:val="000000"/>
          <w:sz w:val="20"/>
          <w:lang w:eastAsia="zh-CN"/>
        </w:rPr>
        <w:t xml:space="preserve">rogram and </w:t>
      </w:r>
      <w:r>
        <w:rPr>
          <w:rFonts w:ascii="Arial" w:eastAsia="SimSun" w:hAnsi="Arial" w:cs="Arial"/>
          <w:color w:val="000000"/>
          <w:sz w:val="20"/>
          <w:lang w:eastAsia="zh-CN"/>
        </w:rPr>
        <w:t>B</w:t>
      </w:r>
      <w:r w:rsidRPr="00C25744">
        <w:rPr>
          <w:rFonts w:ascii="Arial" w:eastAsia="SimSun" w:hAnsi="Arial" w:cs="Arial"/>
          <w:color w:val="000000"/>
          <w:sz w:val="20"/>
          <w:lang w:eastAsia="zh-CN"/>
        </w:rPr>
        <w:t>udget 2016/17 (i.e. travel cost</w:t>
      </w:r>
      <w:r>
        <w:rPr>
          <w:rFonts w:ascii="Arial" w:eastAsia="SimSun" w:hAnsi="Arial" w:cs="Arial"/>
          <w:color w:val="000000"/>
          <w:sz w:val="20"/>
          <w:lang w:eastAsia="zh-CN"/>
        </w:rPr>
        <w:t xml:space="preserve"> and </w:t>
      </w:r>
      <w:r w:rsidRPr="00C25744">
        <w:rPr>
          <w:rFonts w:ascii="Arial" w:eastAsia="SimSun" w:hAnsi="Arial" w:cs="Arial"/>
          <w:color w:val="000000"/>
          <w:sz w:val="20"/>
          <w:lang w:eastAsia="zh-CN"/>
        </w:rPr>
        <w:t>contract efficiencies, reduction in printing costs, right sourcing of translation,</w:t>
      </w:r>
      <w:r w:rsidR="007737CF">
        <w:rPr>
          <w:rFonts w:ascii="Arial" w:eastAsia="SimSun" w:hAnsi="Arial" w:cs="Arial"/>
          <w:color w:val="000000"/>
          <w:sz w:val="20"/>
          <w:lang w:eastAsia="zh-CN"/>
        </w:rPr>
        <w:t xml:space="preserve"> etc). Further cost efficiency</w:t>
      </w:r>
      <w:r w:rsidRPr="00C25744">
        <w:rPr>
          <w:rFonts w:ascii="Arial" w:eastAsia="SimSun" w:hAnsi="Arial" w:cs="Arial"/>
          <w:color w:val="000000"/>
          <w:sz w:val="20"/>
          <w:lang w:eastAsia="zh-CN"/>
        </w:rPr>
        <w:t xml:space="preserve"> measures will continue to be identified and implemented during the biennium</w:t>
      </w:r>
      <w:r>
        <w:rPr>
          <w:rFonts w:ascii="Arial" w:eastAsia="SimSun" w:hAnsi="Arial" w:cs="Arial"/>
          <w:color w:val="000000"/>
          <w:sz w:val="20"/>
          <w:lang w:eastAsia="zh-CN"/>
        </w:rPr>
        <w:t>,</w:t>
      </w:r>
      <w:r w:rsidRPr="00C25744">
        <w:rPr>
          <w:rFonts w:ascii="Arial" w:eastAsia="SimSun" w:hAnsi="Arial" w:cs="Arial"/>
          <w:color w:val="000000"/>
          <w:sz w:val="20"/>
          <w:lang w:eastAsia="zh-CN"/>
        </w:rPr>
        <w:t xml:space="preserve"> including through the Geneva International Collaboration Group, an informal group of Geneva-based international organizations established in 2014. The Group aims at achieving economies of scale in areas including insurance, conference and printing services and host country services.  </w:t>
      </w:r>
    </w:p>
    <w:p w14:paraId="5E6F8471" w14:textId="77777777" w:rsidR="00744022" w:rsidRDefault="00744022" w:rsidP="00292FCD">
      <w:pPr>
        <w:widowControl w:val="0"/>
        <w:tabs>
          <w:tab w:val="num" w:pos="690"/>
        </w:tabs>
        <w:jc w:val="both"/>
        <w:rPr>
          <w:rFonts w:ascii="Arial" w:hAnsi="Arial" w:cs="Arial"/>
          <w:sz w:val="20"/>
        </w:rPr>
      </w:pPr>
    </w:p>
    <w:p w14:paraId="59230C6F" w14:textId="77777777" w:rsidR="00744022" w:rsidRPr="00C25744" w:rsidRDefault="00744022" w:rsidP="00292FCD">
      <w:pPr>
        <w:widowControl w:val="0"/>
        <w:tabs>
          <w:tab w:val="num" w:pos="690"/>
        </w:tabs>
        <w:jc w:val="both"/>
        <w:rPr>
          <w:rFonts w:ascii="Arial" w:hAnsi="Arial" w:cs="Arial"/>
          <w:sz w:val="20"/>
        </w:rPr>
      </w:pPr>
    </w:p>
    <w:p w14:paraId="14862CED" w14:textId="77777777" w:rsidR="00B67D0A" w:rsidRPr="0012075E" w:rsidRDefault="00B67D0A" w:rsidP="00972CF5">
      <w:pPr>
        <w:keepNext/>
        <w:keepLines/>
        <w:jc w:val="both"/>
        <w:rPr>
          <w:rFonts w:ascii="Arial" w:hAnsi="Arial"/>
          <w:b/>
          <w:sz w:val="20"/>
          <w:lang w:val="en-CA"/>
        </w:rPr>
      </w:pPr>
      <w:r w:rsidRPr="0012075E">
        <w:rPr>
          <w:rFonts w:ascii="Arial" w:hAnsi="Arial"/>
          <w:b/>
          <w:sz w:val="20"/>
          <w:lang w:val="en-CA"/>
        </w:rPr>
        <w:lastRenderedPageBreak/>
        <w:t>Cost category changes</w:t>
      </w:r>
    </w:p>
    <w:p w14:paraId="7A7630CC" w14:textId="77777777" w:rsidR="00B67D0A" w:rsidRDefault="00B67D0A" w:rsidP="00972CF5">
      <w:pPr>
        <w:keepNext/>
        <w:keepLines/>
        <w:jc w:val="both"/>
        <w:rPr>
          <w:rFonts w:ascii="Arial" w:hAnsi="Arial"/>
          <w:sz w:val="20"/>
          <w:lang w:val="en-CA"/>
        </w:rPr>
      </w:pPr>
    </w:p>
    <w:p w14:paraId="233B04DD" w14:textId="77777777" w:rsidR="00B67D0A" w:rsidRDefault="00B67D0A" w:rsidP="00B66A4A">
      <w:pPr>
        <w:pStyle w:val="ListParagraph"/>
        <w:keepNext/>
        <w:keepLines/>
        <w:widowControl w:val="0"/>
        <w:numPr>
          <w:ilvl w:val="0"/>
          <w:numId w:val="33"/>
        </w:numPr>
        <w:tabs>
          <w:tab w:val="left" w:pos="567"/>
        </w:tabs>
        <w:ind w:left="0" w:firstLine="0"/>
        <w:jc w:val="both"/>
        <w:rPr>
          <w:rFonts w:ascii="Arial" w:hAnsi="Arial"/>
          <w:sz w:val="20"/>
          <w:lang w:val="en-CA"/>
        </w:rPr>
      </w:pPr>
      <w:r>
        <w:rPr>
          <w:rFonts w:ascii="Arial" w:hAnsi="Arial"/>
          <w:sz w:val="20"/>
          <w:lang w:val="en-CA"/>
        </w:rPr>
        <w:t>The changes in cost categories for 2016/17</w:t>
      </w:r>
      <w:r w:rsidRPr="00292FCD">
        <w:rPr>
          <w:rStyle w:val="FootnoteReference"/>
          <w:rFonts w:ascii="Arial" w:hAnsi="Arial"/>
          <w:sz w:val="20"/>
          <w:lang w:val="en-CA"/>
        </w:rPr>
        <w:footnoteReference w:id="12"/>
      </w:r>
      <w:r>
        <w:rPr>
          <w:rFonts w:ascii="Arial" w:hAnsi="Arial"/>
          <w:sz w:val="20"/>
          <w:lang w:val="en-CA"/>
        </w:rPr>
        <w:t xml:space="preserve"> are as follows:</w:t>
      </w:r>
    </w:p>
    <w:p w14:paraId="2A36446A" w14:textId="77777777" w:rsidR="00B67D0A" w:rsidRDefault="00B67D0A" w:rsidP="00972CF5">
      <w:pPr>
        <w:keepNext/>
        <w:keepLines/>
        <w:jc w:val="both"/>
        <w:rPr>
          <w:rFonts w:ascii="Arial" w:hAnsi="Arial"/>
          <w:sz w:val="20"/>
          <w:lang w:val="en-CA"/>
        </w:rPr>
      </w:pPr>
    </w:p>
    <w:p w14:paraId="7EEB5DD6" w14:textId="04099962"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A new cost category “Finance Cost” has been created following the recommendation of the External Auditor to report separately the interest payments on the loan on the New Building (budgeted in Program</w:t>
      </w:r>
      <w:r w:rsidR="00292FCD">
        <w:rPr>
          <w:rFonts w:ascii="Arial" w:hAnsi="Arial"/>
          <w:sz w:val="20"/>
          <w:lang w:val="en-CA"/>
        </w:rPr>
        <w:t> </w:t>
      </w:r>
      <w:r>
        <w:rPr>
          <w:rFonts w:ascii="Arial" w:hAnsi="Arial"/>
          <w:sz w:val="20"/>
          <w:lang w:val="en-CA"/>
        </w:rPr>
        <w:t>24) and bank charges, including the payment of negative interest rates on Swiss franc deposits (budgeted in Program 22). As a result, an increase of 6.4 million Swiss francs can be observed under “Finance Costs” partially offset by a decrease of 3.5 million Swiss francs under “Premises and Maintenance” (the interest payments on the loan w</w:t>
      </w:r>
      <w:r w:rsidR="003E0261">
        <w:rPr>
          <w:rFonts w:ascii="Arial" w:hAnsi="Arial"/>
          <w:sz w:val="20"/>
          <w:lang w:val="en-CA"/>
        </w:rPr>
        <w:t>ere</w:t>
      </w:r>
      <w:r>
        <w:rPr>
          <w:rFonts w:ascii="Arial" w:hAnsi="Arial"/>
          <w:sz w:val="20"/>
          <w:lang w:val="en-CA"/>
        </w:rPr>
        <w:t xml:space="preserve"> previously budgeted under the latter cost category).  In 2016 /17, the former “Admin and Bank Charges” cost category is therefore replaced by “Finance Costs”. </w:t>
      </w:r>
    </w:p>
    <w:p w14:paraId="267BD7F3" w14:textId="77777777" w:rsidR="00B67D0A" w:rsidRDefault="00B67D0A" w:rsidP="00F02301">
      <w:pPr>
        <w:jc w:val="both"/>
        <w:rPr>
          <w:rFonts w:ascii="Arial" w:hAnsi="Arial"/>
          <w:sz w:val="20"/>
          <w:lang w:val="en-CA"/>
        </w:rPr>
      </w:pPr>
    </w:p>
    <w:p w14:paraId="78184CD5" w14:textId="48220EF0"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The new cost category “Representation and other operating expenses”, groups representation cost</w:t>
      </w:r>
      <w:r w:rsidR="003E0261">
        <w:rPr>
          <w:rFonts w:ascii="Arial" w:hAnsi="Arial"/>
          <w:sz w:val="20"/>
          <w:lang w:val="en-CA"/>
        </w:rPr>
        <w:t>s</w:t>
      </w:r>
      <w:r>
        <w:rPr>
          <w:rFonts w:ascii="Arial" w:hAnsi="Arial"/>
          <w:sz w:val="20"/>
          <w:lang w:val="en-CA"/>
        </w:rPr>
        <w:t xml:space="preserve"> and other operating expenses (budgeted in 2014/15 under “Admin and Bank Charges”). This results in an increase of 0.3 million Swiss francs for 2016/17.</w:t>
      </w:r>
    </w:p>
    <w:p w14:paraId="57487320" w14:textId="77777777" w:rsidR="00B67D0A" w:rsidRDefault="00B67D0A" w:rsidP="00F02301">
      <w:pPr>
        <w:jc w:val="both"/>
        <w:rPr>
          <w:rFonts w:ascii="Arial" w:hAnsi="Arial"/>
          <w:sz w:val="20"/>
          <w:lang w:val="en-CA"/>
        </w:rPr>
      </w:pPr>
    </w:p>
    <w:p w14:paraId="1175741C" w14:textId="77777777"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 xml:space="preserve">The former cost category “Course Fellowships” has been renamed “Training and related travel grants” to better distinguish the nature of this expenditure from the “WIPO Fellowships”. Although the decrease in this category compared to the 2014/15 Budget after Transfers amounts to 0.8 million Swiss francs, the decrease compared to the 2014/15 Approved Budget amounts only to 0.2 million </w:t>
      </w:r>
      <w:r w:rsidRPr="000647AC">
        <w:rPr>
          <w:rFonts w:ascii="Arial" w:hAnsi="Arial"/>
          <w:sz w:val="20"/>
          <w:lang w:val="en-CA"/>
        </w:rPr>
        <w:t>Swiss francs. The observed changes reflect a redistribution of resources within the WIPO Academy and Program 3 (Copyright and Related Rights).</w:t>
      </w:r>
    </w:p>
    <w:p w14:paraId="61F415B6" w14:textId="77777777" w:rsidR="00B67D0A" w:rsidRDefault="00B67D0A" w:rsidP="00F02301">
      <w:pPr>
        <w:jc w:val="both"/>
        <w:rPr>
          <w:rFonts w:ascii="Arial" w:hAnsi="Arial"/>
          <w:sz w:val="20"/>
          <w:lang w:val="en-CA"/>
        </w:rPr>
      </w:pPr>
    </w:p>
    <w:p w14:paraId="6BF1C227" w14:textId="0DAF4CFE"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The increase in “Other Contractual Services” of 21.4 million, or 21.6 per cent, compared to the 2014/15 Budget after Transfers primarily relate</w:t>
      </w:r>
      <w:r w:rsidR="003866D2">
        <w:rPr>
          <w:rFonts w:ascii="Arial" w:hAnsi="Arial"/>
          <w:sz w:val="20"/>
          <w:lang w:val="en-CA"/>
        </w:rPr>
        <w:t>s</w:t>
      </w:r>
      <w:r>
        <w:rPr>
          <w:rFonts w:ascii="Arial" w:hAnsi="Arial"/>
          <w:sz w:val="20"/>
          <w:lang w:val="en-CA"/>
        </w:rPr>
        <w:t xml:space="preserve"> to the increase in PCT translation volumes, the need for enhanced PCT resilience, increased dependencies on ICT and information security. The latter also results in an increase in “Supplies and Materials” (notably the increased cost of software and licenses). </w:t>
      </w:r>
    </w:p>
    <w:p w14:paraId="34B2469C" w14:textId="77777777" w:rsidR="00B67D0A" w:rsidRDefault="00B67D0A" w:rsidP="00F02301">
      <w:pPr>
        <w:jc w:val="both"/>
        <w:rPr>
          <w:rFonts w:ascii="Arial" w:hAnsi="Arial"/>
          <w:sz w:val="20"/>
          <w:lang w:val="en-CA"/>
        </w:rPr>
      </w:pPr>
    </w:p>
    <w:p w14:paraId="364B8C7D" w14:textId="77777777" w:rsidR="00B67D0A" w:rsidRPr="00EB73D7"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 xml:space="preserve">Increased operational needs under the international registration systems result in increased resources of 0.7 million Swiss francs budgeted for “WIPO Fellowships” in 2016/17 compared to the 2014/15 Budget after Transfers. </w:t>
      </w:r>
    </w:p>
    <w:p w14:paraId="0B596BA2" w14:textId="77777777" w:rsidR="00B67D0A" w:rsidRDefault="00B67D0A" w:rsidP="00F02301">
      <w:pPr>
        <w:jc w:val="both"/>
        <w:rPr>
          <w:rFonts w:ascii="Arial" w:hAnsi="Arial"/>
          <w:b/>
          <w:sz w:val="20"/>
          <w:lang w:val="en-CA"/>
        </w:rPr>
      </w:pPr>
    </w:p>
    <w:p w14:paraId="0082DFA0" w14:textId="77777777"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sidRPr="00651456">
        <w:rPr>
          <w:rFonts w:ascii="Arial" w:hAnsi="Arial"/>
          <w:sz w:val="20"/>
          <w:lang w:val="en-CA"/>
        </w:rPr>
        <w:t xml:space="preserve">The decrease of 0.5 million in budgeted resources under “Conferences” is due to the provision for two diplomatic conferences in 2014/15 </w:t>
      </w:r>
      <w:r>
        <w:rPr>
          <w:rFonts w:ascii="Arial" w:hAnsi="Arial"/>
          <w:sz w:val="20"/>
          <w:lang w:val="en-CA"/>
        </w:rPr>
        <w:t xml:space="preserve">under Programs 2 and 4, </w:t>
      </w:r>
      <w:r w:rsidRPr="00651456">
        <w:rPr>
          <w:rFonts w:ascii="Arial" w:hAnsi="Arial"/>
          <w:sz w:val="20"/>
          <w:lang w:val="en-CA"/>
        </w:rPr>
        <w:t xml:space="preserve">as compared to a provision for one </w:t>
      </w:r>
      <w:r>
        <w:rPr>
          <w:rFonts w:ascii="Arial" w:hAnsi="Arial"/>
          <w:sz w:val="20"/>
          <w:lang w:val="en-CA"/>
        </w:rPr>
        <w:t xml:space="preserve">possible </w:t>
      </w:r>
      <w:r w:rsidRPr="00651456">
        <w:rPr>
          <w:rFonts w:ascii="Arial" w:hAnsi="Arial"/>
          <w:sz w:val="20"/>
          <w:lang w:val="en-CA"/>
        </w:rPr>
        <w:t>diplomatic conference</w:t>
      </w:r>
      <w:r>
        <w:rPr>
          <w:rFonts w:ascii="Arial" w:hAnsi="Arial"/>
          <w:sz w:val="20"/>
          <w:lang w:val="en-CA"/>
        </w:rPr>
        <w:t xml:space="preserve"> in 2016/17 budgeted under “Unallocated Non-personnel”.   </w:t>
      </w:r>
    </w:p>
    <w:p w14:paraId="37C9B253" w14:textId="77777777" w:rsidR="00B67D0A" w:rsidRPr="00DD778D" w:rsidRDefault="00B67D0A" w:rsidP="00F02301">
      <w:pPr>
        <w:jc w:val="both"/>
        <w:rPr>
          <w:rFonts w:ascii="Arial" w:hAnsi="Arial"/>
          <w:sz w:val="20"/>
          <w:lang w:val="en-CA"/>
        </w:rPr>
      </w:pPr>
    </w:p>
    <w:p w14:paraId="4FCAF2A5" w14:textId="77777777" w:rsidR="00B67D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Pr>
          <w:rFonts w:ascii="Arial" w:hAnsi="Arial"/>
          <w:sz w:val="20"/>
          <w:lang w:val="en-CA"/>
        </w:rPr>
        <w:t>In the biennium 2016/17 i</w:t>
      </w:r>
      <w:r w:rsidRPr="00AD61C7">
        <w:rPr>
          <w:rFonts w:ascii="Arial" w:hAnsi="Arial"/>
          <w:sz w:val="20"/>
          <w:lang w:val="en-CA"/>
        </w:rPr>
        <w:t>nternships</w:t>
      </w:r>
      <w:r>
        <w:rPr>
          <w:rFonts w:ascii="Arial" w:hAnsi="Arial"/>
          <w:sz w:val="20"/>
          <w:lang w:val="en-CA"/>
        </w:rPr>
        <w:t xml:space="preserve"> are no longer budgeted centrally in Program 23 (Human Resources Management and Development) but have been decentralized to Programs. The budgeted provision for 2016/17 represents an increase of 0.1 million Swiss francs compared to the 2014/15 Approved Budget which reflects a more realistic planning assumption based on expected needs.</w:t>
      </w:r>
    </w:p>
    <w:p w14:paraId="1396FF7D" w14:textId="77777777" w:rsidR="00B67D0A" w:rsidRPr="00AD61C7" w:rsidRDefault="00B67D0A" w:rsidP="00F02301">
      <w:pPr>
        <w:jc w:val="both"/>
        <w:rPr>
          <w:rFonts w:ascii="Arial" w:hAnsi="Arial"/>
          <w:sz w:val="20"/>
          <w:lang w:val="en-CA"/>
        </w:rPr>
      </w:pPr>
      <w:r>
        <w:rPr>
          <w:rFonts w:ascii="Arial" w:hAnsi="Arial"/>
          <w:sz w:val="20"/>
          <w:lang w:val="en-CA"/>
        </w:rPr>
        <w:t xml:space="preserve"> </w:t>
      </w:r>
    </w:p>
    <w:p w14:paraId="22D4152F" w14:textId="77777777" w:rsidR="00B67D0A" w:rsidRDefault="00B67D0A" w:rsidP="00F02301">
      <w:pPr>
        <w:jc w:val="both"/>
        <w:rPr>
          <w:rFonts w:ascii="Arial" w:hAnsi="Arial"/>
          <w:b/>
          <w:sz w:val="20"/>
          <w:lang w:val="en-CA"/>
        </w:rPr>
      </w:pPr>
    </w:p>
    <w:p w14:paraId="7B02624A" w14:textId="1D7B489E" w:rsidR="00B67D0A" w:rsidRPr="005546DD" w:rsidRDefault="00B67D0A" w:rsidP="005546DD">
      <w:pPr>
        <w:pStyle w:val="StyleHeading3ComplexItalic"/>
        <w:tabs>
          <w:tab w:val="clear" w:pos="1985"/>
          <w:tab w:val="left" w:pos="1843"/>
        </w:tabs>
        <w:ind w:left="1843" w:hanging="1843"/>
        <w:rPr>
          <w:sz w:val="20"/>
        </w:rPr>
      </w:pPr>
      <w:bookmarkStart w:id="18" w:name="_Toc427154391"/>
      <w:r w:rsidRPr="00F66122">
        <w:rPr>
          <w:sz w:val="20"/>
        </w:rPr>
        <w:t>PERSONNEL COSTS</w:t>
      </w:r>
      <w:bookmarkEnd w:id="18"/>
    </w:p>
    <w:p w14:paraId="1D9DA546" w14:textId="77777777" w:rsidR="005546DD" w:rsidRDefault="005546DD" w:rsidP="00F02301">
      <w:pPr>
        <w:pStyle w:val="NormalWeb"/>
        <w:shd w:val="clear" w:color="auto" w:fill="FFFFFF"/>
        <w:jc w:val="both"/>
        <w:rPr>
          <w:rFonts w:ascii="Arial" w:hAnsi="Arial" w:cs="Arial"/>
          <w:b/>
          <w:color w:val="000000"/>
          <w:sz w:val="20"/>
          <w:szCs w:val="20"/>
        </w:rPr>
      </w:pPr>
    </w:p>
    <w:p w14:paraId="2581B5F5" w14:textId="77777777" w:rsidR="00B67D0A" w:rsidRDefault="00B67D0A" w:rsidP="00F02301">
      <w:pPr>
        <w:pStyle w:val="NormalWeb"/>
        <w:shd w:val="clear" w:color="auto" w:fill="FFFFFF"/>
        <w:jc w:val="both"/>
        <w:rPr>
          <w:rFonts w:ascii="Arial" w:hAnsi="Arial" w:cs="Arial"/>
          <w:b/>
          <w:color w:val="000000"/>
          <w:sz w:val="20"/>
          <w:szCs w:val="20"/>
        </w:rPr>
      </w:pPr>
      <w:r w:rsidRPr="00F51335">
        <w:rPr>
          <w:rFonts w:ascii="Arial" w:hAnsi="Arial" w:cs="Arial"/>
          <w:b/>
          <w:color w:val="000000"/>
          <w:sz w:val="20"/>
          <w:szCs w:val="20"/>
        </w:rPr>
        <w:t xml:space="preserve">Methodology </w:t>
      </w:r>
    </w:p>
    <w:p w14:paraId="5F8C7A32" w14:textId="77777777" w:rsidR="00F51335" w:rsidRPr="00F51335" w:rsidRDefault="00F51335" w:rsidP="00F02301">
      <w:pPr>
        <w:pStyle w:val="NormalWeb"/>
        <w:shd w:val="clear" w:color="auto" w:fill="FFFFFF"/>
        <w:jc w:val="both"/>
        <w:rPr>
          <w:rFonts w:ascii="Arial" w:hAnsi="Arial" w:cs="Arial"/>
          <w:b/>
          <w:color w:val="000000"/>
          <w:sz w:val="20"/>
          <w:szCs w:val="20"/>
        </w:rPr>
      </w:pPr>
    </w:p>
    <w:p w14:paraId="7C2E4241" w14:textId="5DA3F902" w:rsidR="00B67D0A" w:rsidRDefault="00B67D0A" w:rsidP="00B66A4A">
      <w:pPr>
        <w:pStyle w:val="ListParagraph"/>
        <w:widowControl w:val="0"/>
        <w:numPr>
          <w:ilvl w:val="0"/>
          <w:numId w:val="33"/>
        </w:numPr>
        <w:tabs>
          <w:tab w:val="left" w:pos="567"/>
        </w:tabs>
        <w:ind w:left="0" w:firstLine="0"/>
        <w:jc w:val="both"/>
        <w:rPr>
          <w:rFonts w:ascii="Arial" w:hAnsi="Arial" w:cs="Arial"/>
          <w:color w:val="000000"/>
          <w:sz w:val="20"/>
          <w:szCs w:val="20"/>
        </w:rPr>
      </w:pPr>
      <w:r w:rsidRPr="00F51335">
        <w:rPr>
          <w:rFonts w:ascii="Arial" w:hAnsi="Arial" w:cs="Arial"/>
          <w:color w:val="000000"/>
          <w:sz w:val="20"/>
          <w:szCs w:val="20"/>
        </w:rPr>
        <w:t xml:space="preserve">A change in the costing methodology has been adopted for the personnel resources budget by moving from a methodology based on average standard costs to actuals based costing.  The new methodology is aimed at enhancing the solidity of personnel cost assumptions based on </w:t>
      </w:r>
      <w:r w:rsidR="003E0261">
        <w:rPr>
          <w:rFonts w:ascii="Arial" w:hAnsi="Arial" w:cs="Arial"/>
          <w:color w:val="000000"/>
          <w:sz w:val="20"/>
          <w:szCs w:val="20"/>
        </w:rPr>
        <w:t xml:space="preserve">the </w:t>
      </w:r>
      <w:r w:rsidRPr="00F51335">
        <w:rPr>
          <w:rFonts w:ascii="Arial" w:hAnsi="Arial" w:cs="Arial"/>
          <w:color w:val="000000"/>
          <w:sz w:val="20"/>
          <w:szCs w:val="20"/>
        </w:rPr>
        <w:t xml:space="preserve">actual entitlements of incumbents on board.  </w:t>
      </w:r>
    </w:p>
    <w:p w14:paraId="7D916B7F" w14:textId="77777777" w:rsidR="00F51335" w:rsidRPr="00F51335" w:rsidRDefault="00F51335" w:rsidP="00F51335">
      <w:pPr>
        <w:pStyle w:val="ListParagraph"/>
        <w:widowControl w:val="0"/>
        <w:tabs>
          <w:tab w:val="left" w:pos="567"/>
        </w:tabs>
        <w:ind w:left="0"/>
        <w:jc w:val="both"/>
        <w:rPr>
          <w:rFonts w:ascii="Arial" w:hAnsi="Arial" w:cs="Arial"/>
          <w:color w:val="000000"/>
          <w:sz w:val="20"/>
          <w:szCs w:val="20"/>
        </w:rPr>
      </w:pPr>
    </w:p>
    <w:p w14:paraId="71EAB6D6" w14:textId="7F4DF7B3" w:rsidR="00F51335" w:rsidRDefault="00B67D0A" w:rsidP="00B66A4A">
      <w:pPr>
        <w:pStyle w:val="ListParagraph"/>
        <w:widowControl w:val="0"/>
        <w:numPr>
          <w:ilvl w:val="0"/>
          <w:numId w:val="33"/>
        </w:numPr>
        <w:tabs>
          <w:tab w:val="left" w:pos="567"/>
        </w:tabs>
        <w:ind w:left="0" w:firstLine="0"/>
        <w:jc w:val="both"/>
        <w:rPr>
          <w:rFonts w:ascii="Arial" w:hAnsi="Arial" w:cs="Arial"/>
          <w:color w:val="000000"/>
          <w:sz w:val="20"/>
          <w:szCs w:val="20"/>
        </w:rPr>
      </w:pPr>
      <w:r w:rsidRPr="00292FCD">
        <w:rPr>
          <w:rFonts w:ascii="Arial" w:hAnsi="Arial"/>
          <w:sz w:val="20"/>
          <w:lang w:val="en-CA"/>
        </w:rPr>
        <w:t>While</w:t>
      </w:r>
      <w:r w:rsidRPr="00F51335">
        <w:rPr>
          <w:rFonts w:ascii="Arial" w:hAnsi="Arial" w:cs="Arial"/>
          <w:color w:val="000000"/>
          <w:sz w:val="20"/>
          <w:szCs w:val="20"/>
        </w:rPr>
        <w:t xml:space="preserve"> costs for occupied positions are based on the latest available UN salary and pensionable remuneration scales</w:t>
      </w:r>
      <w:r w:rsidR="00632222">
        <w:rPr>
          <w:rFonts w:ascii="Arial" w:hAnsi="Arial" w:cs="Arial"/>
          <w:color w:val="000000"/>
          <w:sz w:val="20"/>
          <w:szCs w:val="20"/>
        </w:rPr>
        <w:t xml:space="preserve">, </w:t>
      </w:r>
      <w:r w:rsidRPr="00F51335">
        <w:rPr>
          <w:rFonts w:ascii="Arial" w:hAnsi="Arial" w:cs="Arial"/>
          <w:color w:val="000000"/>
          <w:sz w:val="20"/>
          <w:szCs w:val="20"/>
        </w:rPr>
        <w:t>benefits and entitlements (in line with the applicable policies and applicable entitlements), the cost for positions that are vacant is based on average standard costs.</w:t>
      </w:r>
    </w:p>
    <w:p w14:paraId="15B0B80B" w14:textId="5475132C" w:rsidR="00B67D0A" w:rsidRPr="00F51335" w:rsidRDefault="00B67D0A" w:rsidP="00F51335">
      <w:pPr>
        <w:pStyle w:val="ListParagraph"/>
        <w:widowControl w:val="0"/>
        <w:tabs>
          <w:tab w:val="left" w:pos="567"/>
        </w:tabs>
        <w:ind w:left="0"/>
        <w:jc w:val="both"/>
        <w:rPr>
          <w:rFonts w:ascii="Arial" w:hAnsi="Arial" w:cs="Arial"/>
          <w:color w:val="000000"/>
          <w:sz w:val="20"/>
          <w:szCs w:val="20"/>
        </w:rPr>
      </w:pPr>
      <w:r w:rsidRPr="00F51335">
        <w:rPr>
          <w:rFonts w:ascii="Arial" w:hAnsi="Arial" w:cs="Arial"/>
          <w:color w:val="000000"/>
          <w:sz w:val="20"/>
          <w:szCs w:val="20"/>
        </w:rPr>
        <w:t xml:space="preserve"> </w:t>
      </w:r>
    </w:p>
    <w:p w14:paraId="37913E36" w14:textId="77777777" w:rsidR="00B67D0A" w:rsidRPr="00F51335" w:rsidRDefault="00B67D0A" w:rsidP="00B66A4A">
      <w:pPr>
        <w:pStyle w:val="ListParagraph"/>
        <w:widowControl w:val="0"/>
        <w:numPr>
          <w:ilvl w:val="0"/>
          <w:numId w:val="33"/>
        </w:numPr>
        <w:tabs>
          <w:tab w:val="left" w:pos="567"/>
        </w:tabs>
        <w:ind w:left="0" w:firstLine="0"/>
        <w:jc w:val="both"/>
        <w:rPr>
          <w:rFonts w:ascii="Arial" w:hAnsi="Arial" w:cs="Arial"/>
          <w:color w:val="000000"/>
          <w:sz w:val="20"/>
          <w:szCs w:val="20"/>
        </w:rPr>
      </w:pPr>
      <w:r w:rsidRPr="00292FCD">
        <w:rPr>
          <w:rFonts w:ascii="Arial" w:hAnsi="Arial"/>
          <w:sz w:val="20"/>
          <w:lang w:val="en-CA"/>
        </w:rPr>
        <w:t>The</w:t>
      </w:r>
      <w:r w:rsidRPr="00F51335">
        <w:rPr>
          <w:rFonts w:ascii="Arial" w:hAnsi="Arial" w:cs="Arial"/>
          <w:color w:val="000000"/>
          <w:sz w:val="20"/>
          <w:szCs w:val="20"/>
        </w:rPr>
        <w:t xml:space="preserve"> implementation of the new methodology has been facilitated by the ERP at the planning stage and will enable the Secretariat to better monitor actual personnel expenditure at position level during implementation. </w:t>
      </w:r>
    </w:p>
    <w:p w14:paraId="5A0C6AA4" w14:textId="77777777" w:rsidR="00B67D0A" w:rsidRPr="00F51335" w:rsidRDefault="00B67D0A" w:rsidP="00F02301">
      <w:pPr>
        <w:pStyle w:val="NormalWeb"/>
        <w:shd w:val="clear" w:color="auto" w:fill="FFFFFF"/>
        <w:jc w:val="both"/>
        <w:rPr>
          <w:rFonts w:ascii="Arial" w:hAnsi="Arial" w:cs="Arial"/>
          <w:b/>
          <w:color w:val="000000"/>
          <w:sz w:val="20"/>
          <w:szCs w:val="20"/>
          <w:u w:val="single"/>
        </w:rPr>
      </w:pPr>
    </w:p>
    <w:p w14:paraId="29640B4B" w14:textId="77777777" w:rsidR="00B67D0A" w:rsidRDefault="00B67D0A" w:rsidP="00292FCD">
      <w:pPr>
        <w:pStyle w:val="NormalWeb"/>
        <w:keepNext/>
        <w:keepLines/>
        <w:shd w:val="clear" w:color="auto" w:fill="FFFFFF"/>
        <w:jc w:val="both"/>
        <w:rPr>
          <w:rFonts w:ascii="Arial" w:hAnsi="Arial" w:cs="Arial"/>
          <w:b/>
          <w:color w:val="000000"/>
          <w:sz w:val="20"/>
          <w:szCs w:val="20"/>
        </w:rPr>
      </w:pPr>
      <w:r w:rsidRPr="00F51335">
        <w:rPr>
          <w:rFonts w:ascii="Arial" w:hAnsi="Arial" w:cs="Arial"/>
          <w:b/>
          <w:color w:val="000000"/>
          <w:sz w:val="20"/>
          <w:szCs w:val="20"/>
        </w:rPr>
        <w:lastRenderedPageBreak/>
        <w:t>Planning Assumptions</w:t>
      </w:r>
    </w:p>
    <w:p w14:paraId="2B38AC2D" w14:textId="77777777" w:rsidR="00F51335" w:rsidRPr="00F51335" w:rsidRDefault="00F51335" w:rsidP="00292FCD">
      <w:pPr>
        <w:pStyle w:val="NormalWeb"/>
        <w:keepNext/>
        <w:keepLines/>
        <w:shd w:val="clear" w:color="auto" w:fill="FFFFFF"/>
        <w:jc w:val="both"/>
        <w:rPr>
          <w:rFonts w:ascii="Arial" w:hAnsi="Arial" w:cs="Arial"/>
          <w:b/>
          <w:color w:val="000000"/>
          <w:sz w:val="20"/>
          <w:szCs w:val="20"/>
        </w:rPr>
      </w:pPr>
    </w:p>
    <w:p w14:paraId="7E11FD6E" w14:textId="0D2E677B" w:rsidR="00B67D0A" w:rsidRDefault="00B67D0A" w:rsidP="00B66A4A">
      <w:pPr>
        <w:keepNext/>
        <w:keepLines/>
        <w:numPr>
          <w:ilvl w:val="0"/>
          <w:numId w:val="32"/>
        </w:numPr>
        <w:shd w:val="clear" w:color="auto" w:fill="FFFFFF"/>
        <w:ind w:left="714" w:hanging="357"/>
        <w:jc w:val="both"/>
        <w:rPr>
          <w:rFonts w:ascii="Arial" w:hAnsi="Arial" w:cs="Arial"/>
          <w:color w:val="000000"/>
          <w:sz w:val="20"/>
        </w:rPr>
      </w:pPr>
      <w:r>
        <w:rPr>
          <w:rFonts w:ascii="Arial" w:hAnsi="Arial" w:cs="Arial"/>
          <w:color w:val="000000"/>
          <w:sz w:val="20"/>
        </w:rPr>
        <w:t>F</w:t>
      </w:r>
      <w:r w:rsidRPr="00C74EEF">
        <w:rPr>
          <w:rFonts w:ascii="Arial" w:hAnsi="Arial" w:cs="Arial"/>
          <w:color w:val="000000"/>
          <w:sz w:val="20"/>
        </w:rPr>
        <w:t xml:space="preserve">or occupied positions </w:t>
      </w:r>
      <w:r>
        <w:rPr>
          <w:rFonts w:ascii="Arial" w:hAnsi="Arial" w:cs="Arial"/>
          <w:color w:val="000000"/>
          <w:sz w:val="20"/>
        </w:rPr>
        <w:t>t</w:t>
      </w:r>
      <w:r w:rsidRPr="00C74EEF">
        <w:rPr>
          <w:rFonts w:ascii="Arial" w:hAnsi="Arial" w:cs="Arial"/>
          <w:color w:val="000000"/>
          <w:sz w:val="20"/>
        </w:rPr>
        <w:t xml:space="preserve">he costing </w:t>
      </w:r>
      <w:r>
        <w:rPr>
          <w:rFonts w:ascii="Arial" w:hAnsi="Arial" w:cs="Arial"/>
          <w:color w:val="000000"/>
          <w:sz w:val="20"/>
        </w:rPr>
        <w:t xml:space="preserve">of salaries </w:t>
      </w:r>
      <w:r w:rsidRPr="00C74EEF">
        <w:rPr>
          <w:rFonts w:ascii="Arial" w:hAnsi="Arial" w:cs="Arial"/>
          <w:color w:val="000000"/>
          <w:sz w:val="20"/>
        </w:rPr>
        <w:t xml:space="preserve">for 2016/17 takes into account the step increment (within grade) as per </w:t>
      </w:r>
      <w:r>
        <w:rPr>
          <w:rFonts w:ascii="Arial" w:hAnsi="Arial" w:cs="Arial"/>
          <w:color w:val="000000"/>
          <w:sz w:val="20"/>
        </w:rPr>
        <w:t xml:space="preserve">the applicable </w:t>
      </w:r>
      <w:r w:rsidR="003E0261">
        <w:rPr>
          <w:rFonts w:ascii="Arial" w:hAnsi="Arial" w:cs="Arial"/>
          <w:color w:val="000000"/>
          <w:sz w:val="20"/>
        </w:rPr>
        <w:t>International Civil Service Commission (</w:t>
      </w:r>
      <w:r>
        <w:rPr>
          <w:rFonts w:ascii="Arial" w:hAnsi="Arial" w:cs="Arial"/>
          <w:color w:val="000000"/>
          <w:sz w:val="20"/>
        </w:rPr>
        <w:t>ICSC</w:t>
      </w:r>
      <w:r w:rsidR="003E0261">
        <w:rPr>
          <w:rFonts w:ascii="Arial" w:hAnsi="Arial" w:cs="Arial"/>
          <w:color w:val="000000"/>
          <w:sz w:val="20"/>
        </w:rPr>
        <w:t>)</w:t>
      </w:r>
      <w:r>
        <w:rPr>
          <w:rFonts w:ascii="Arial" w:hAnsi="Arial" w:cs="Arial"/>
          <w:color w:val="000000"/>
          <w:sz w:val="20"/>
        </w:rPr>
        <w:t xml:space="preserve"> salary scale at the time of costing and the </w:t>
      </w:r>
      <w:r w:rsidRPr="00C74EEF">
        <w:rPr>
          <w:rFonts w:ascii="Arial" w:hAnsi="Arial" w:cs="Arial"/>
          <w:color w:val="000000"/>
          <w:sz w:val="20"/>
        </w:rPr>
        <w:t>Staff Regulation</w:t>
      </w:r>
      <w:r w:rsidR="003E0261">
        <w:rPr>
          <w:rFonts w:ascii="Arial" w:hAnsi="Arial" w:cs="Arial"/>
          <w:color w:val="000000"/>
          <w:sz w:val="20"/>
        </w:rPr>
        <w:t>s</w:t>
      </w:r>
      <w:r w:rsidRPr="00C74EEF">
        <w:rPr>
          <w:rFonts w:ascii="Arial" w:hAnsi="Arial" w:cs="Arial"/>
          <w:color w:val="000000"/>
          <w:sz w:val="20"/>
        </w:rPr>
        <w:t xml:space="preserve"> and Rules</w:t>
      </w:r>
      <w:r>
        <w:rPr>
          <w:rFonts w:ascii="Arial" w:hAnsi="Arial" w:cs="Arial"/>
          <w:color w:val="000000"/>
          <w:sz w:val="20"/>
        </w:rPr>
        <w:t xml:space="preserve"> (SRR);</w:t>
      </w:r>
    </w:p>
    <w:p w14:paraId="09254FD7" w14:textId="77777777" w:rsidR="00F51335" w:rsidRPr="00C74EEF" w:rsidRDefault="00F51335" w:rsidP="00F51335">
      <w:pPr>
        <w:shd w:val="clear" w:color="auto" w:fill="FFFFFF"/>
        <w:ind w:left="714"/>
        <w:jc w:val="both"/>
        <w:rPr>
          <w:rFonts w:ascii="Arial" w:hAnsi="Arial" w:cs="Arial"/>
          <w:color w:val="000000"/>
          <w:sz w:val="20"/>
        </w:rPr>
      </w:pPr>
    </w:p>
    <w:p w14:paraId="13346637" w14:textId="2DBF0733" w:rsidR="00B67D0A" w:rsidRDefault="00632222" w:rsidP="00B66A4A">
      <w:pPr>
        <w:numPr>
          <w:ilvl w:val="0"/>
          <w:numId w:val="32"/>
        </w:numPr>
        <w:shd w:val="clear" w:color="auto" w:fill="FFFFFF"/>
        <w:ind w:left="714" w:hanging="357"/>
        <w:jc w:val="both"/>
        <w:rPr>
          <w:rFonts w:ascii="Arial" w:hAnsi="Arial" w:cs="Arial"/>
          <w:color w:val="000000"/>
          <w:sz w:val="20"/>
        </w:rPr>
      </w:pPr>
      <w:r>
        <w:rPr>
          <w:rFonts w:ascii="Arial" w:hAnsi="Arial" w:cs="Arial"/>
          <w:color w:val="000000"/>
          <w:sz w:val="20"/>
        </w:rPr>
        <w:t>The e</w:t>
      </w:r>
      <w:r w:rsidR="00B67D0A" w:rsidRPr="00C74EEF">
        <w:rPr>
          <w:rFonts w:ascii="Arial" w:hAnsi="Arial" w:cs="Arial"/>
          <w:color w:val="000000"/>
          <w:sz w:val="20"/>
        </w:rPr>
        <w:t xml:space="preserve">xchange rate and </w:t>
      </w:r>
      <w:r w:rsidR="00B67D0A">
        <w:rPr>
          <w:rFonts w:ascii="Arial" w:hAnsi="Arial" w:cs="Arial"/>
          <w:color w:val="000000"/>
          <w:sz w:val="20"/>
        </w:rPr>
        <w:t>p</w:t>
      </w:r>
      <w:r w:rsidR="00B67D0A" w:rsidRPr="00C74EEF">
        <w:rPr>
          <w:rFonts w:ascii="Arial" w:hAnsi="Arial" w:cs="Arial"/>
          <w:color w:val="000000"/>
          <w:sz w:val="20"/>
        </w:rPr>
        <w:t xml:space="preserve">ost adjustment multiplier (PAM) </w:t>
      </w:r>
      <w:r w:rsidR="00B67D0A">
        <w:rPr>
          <w:rFonts w:ascii="Arial" w:hAnsi="Arial" w:cs="Arial"/>
          <w:color w:val="000000"/>
          <w:sz w:val="20"/>
        </w:rPr>
        <w:t xml:space="preserve">are </w:t>
      </w:r>
      <w:r w:rsidR="00B67D0A" w:rsidRPr="00C74EEF">
        <w:rPr>
          <w:rFonts w:ascii="Arial" w:hAnsi="Arial" w:cs="Arial"/>
          <w:color w:val="000000"/>
          <w:sz w:val="20"/>
        </w:rPr>
        <w:t>applied as of February 2015, where applicable (for salaries of professional and higher categories)</w:t>
      </w:r>
      <w:r w:rsidR="00B67D0A">
        <w:rPr>
          <w:rFonts w:ascii="Arial" w:hAnsi="Arial" w:cs="Arial"/>
          <w:color w:val="000000"/>
          <w:sz w:val="20"/>
        </w:rPr>
        <w:t>;</w:t>
      </w:r>
    </w:p>
    <w:p w14:paraId="52531083" w14:textId="77777777" w:rsidR="00F51335" w:rsidRDefault="00F51335" w:rsidP="00F51335">
      <w:pPr>
        <w:pStyle w:val="ListParagraph"/>
        <w:rPr>
          <w:rFonts w:ascii="Arial" w:hAnsi="Arial" w:cs="Arial"/>
          <w:color w:val="000000"/>
          <w:sz w:val="20"/>
        </w:rPr>
      </w:pPr>
    </w:p>
    <w:p w14:paraId="5C420C31" w14:textId="7FA47BFC" w:rsidR="00B67D0A" w:rsidRPr="00125302" w:rsidRDefault="00B67D0A" w:rsidP="00B66A4A">
      <w:pPr>
        <w:numPr>
          <w:ilvl w:val="0"/>
          <w:numId w:val="32"/>
        </w:numPr>
        <w:shd w:val="clear" w:color="auto" w:fill="FFFFFF"/>
        <w:ind w:left="714" w:hanging="357"/>
        <w:jc w:val="both"/>
        <w:rPr>
          <w:rFonts w:ascii="Arial" w:hAnsi="Arial" w:cs="Arial"/>
          <w:color w:val="000000"/>
          <w:sz w:val="20"/>
        </w:rPr>
      </w:pPr>
      <w:r w:rsidRPr="00C74EEF">
        <w:rPr>
          <w:rFonts w:ascii="Arial" w:hAnsi="Arial" w:cs="Arial"/>
          <w:color w:val="000000"/>
          <w:sz w:val="20"/>
        </w:rPr>
        <w:t xml:space="preserve">USD/CHF is applied at </w:t>
      </w:r>
      <w:r w:rsidR="00632222">
        <w:rPr>
          <w:rFonts w:ascii="Arial" w:hAnsi="Arial" w:cs="Arial"/>
          <w:color w:val="000000"/>
          <w:sz w:val="20"/>
        </w:rPr>
        <w:t xml:space="preserve">a </w:t>
      </w:r>
      <w:r w:rsidRPr="00C74EEF">
        <w:rPr>
          <w:rFonts w:ascii="Arial" w:hAnsi="Arial" w:cs="Arial"/>
          <w:color w:val="000000"/>
          <w:sz w:val="20"/>
        </w:rPr>
        <w:t xml:space="preserve">1:1 </w:t>
      </w:r>
      <w:r w:rsidR="00632222">
        <w:rPr>
          <w:rFonts w:ascii="Arial" w:hAnsi="Arial" w:cs="Arial"/>
          <w:color w:val="000000"/>
          <w:sz w:val="20"/>
        </w:rPr>
        <w:t xml:space="preserve">ratio </w:t>
      </w:r>
      <w:r w:rsidRPr="00C74EEF">
        <w:rPr>
          <w:rFonts w:ascii="Arial" w:hAnsi="Arial" w:cs="Arial"/>
          <w:color w:val="000000"/>
          <w:sz w:val="20"/>
        </w:rPr>
        <w:t>for pensionable remuneration</w:t>
      </w:r>
      <w:r>
        <w:rPr>
          <w:rFonts w:ascii="Arial" w:hAnsi="Arial" w:cs="Arial"/>
          <w:color w:val="000000"/>
          <w:sz w:val="20"/>
        </w:rPr>
        <w:t>s at the applicable ICSC</w:t>
      </w:r>
      <w:r w:rsidRPr="00C74EEF">
        <w:rPr>
          <w:rFonts w:ascii="Arial" w:hAnsi="Arial" w:cs="Arial"/>
          <w:color w:val="000000"/>
          <w:sz w:val="20"/>
        </w:rPr>
        <w:t xml:space="preserve"> </w:t>
      </w:r>
      <w:r w:rsidR="00632222">
        <w:rPr>
          <w:rFonts w:ascii="Arial" w:hAnsi="Arial" w:cs="Arial"/>
          <w:color w:val="000000"/>
          <w:sz w:val="20"/>
        </w:rPr>
        <w:t xml:space="preserve">salary </w:t>
      </w:r>
      <w:r w:rsidRPr="00125302">
        <w:rPr>
          <w:rFonts w:ascii="Arial" w:hAnsi="Arial" w:cs="Arial"/>
          <w:color w:val="000000"/>
          <w:sz w:val="20"/>
        </w:rPr>
        <w:t xml:space="preserve">scale at the time of costing; </w:t>
      </w:r>
    </w:p>
    <w:p w14:paraId="3010B72A" w14:textId="77777777" w:rsidR="00F51335" w:rsidRDefault="00F51335" w:rsidP="00F51335">
      <w:pPr>
        <w:pStyle w:val="ListParagraph"/>
        <w:rPr>
          <w:rFonts w:ascii="Arial" w:hAnsi="Arial" w:cs="Arial"/>
          <w:color w:val="000000"/>
          <w:sz w:val="20"/>
        </w:rPr>
      </w:pPr>
    </w:p>
    <w:p w14:paraId="6CDAA730" w14:textId="77777777" w:rsidR="00B67D0A" w:rsidRDefault="00B67D0A" w:rsidP="00B66A4A">
      <w:pPr>
        <w:numPr>
          <w:ilvl w:val="0"/>
          <w:numId w:val="32"/>
        </w:numPr>
        <w:shd w:val="clear" w:color="auto" w:fill="FFFFFF"/>
        <w:ind w:left="714" w:hanging="357"/>
        <w:jc w:val="both"/>
        <w:rPr>
          <w:rFonts w:ascii="Arial" w:hAnsi="Arial" w:cs="Arial"/>
          <w:color w:val="000000"/>
          <w:sz w:val="20"/>
        </w:rPr>
      </w:pPr>
      <w:r w:rsidRPr="00C74EEF">
        <w:rPr>
          <w:rFonts w:ascii="Arial" w:hAnsi="Arial" w:cs="Arial"/>
          <w:color w:val="000000"/>
          <w:sz w:val="20"/>
        </w:rPr>
        <w:t>Benefits and entitlements are estimated at position level as per latest payroll information for occupied positions</w:t>
      </w:r>
      <w:r>
        <w:rPr>
          <w:rFonts w:ascii="Arial" w:hAnsi="Arial" w:cs="Arial"/>
          <w:color w:val="000000"/>
          <w:sz w:val="20"/>
        </w:rPr>
        <w:t>.</w:t>
      </w:r>
      <w:r w:rsidRPr="00C74EEF">
        <w:rPr>
          <w:rFonts w:ascii="Arial" w:hAnsi="Arial" w:cs="Arial"/>
          <w:color w:val="000000"/>
          <w:sz w:val="20"/>
        </w:rPr>
        <w:t xml:space="preserve"> </w:t>
      </w:r>
      <w:r>
        <w:rPr>
          <w:rFonts w:ascii="Arial" w:hAnsi="Arial" w:cs="Arial"/>
          <w:color w:val="000000"/>
          <w:sz w:val="20"/>
        </w:rPr>
        <w:t>A</w:t>
      </w:r>
      <w:r w:rsidRPr="00C74EEF">
        <w:rPr>
          <w:rFonts w:ascii="Arial" w:hAnsi="Arial" w:cs="Arial"/>
          <w:color w:val="000000"/>
          <w:sz w:val="20"/>
        </w:rPr>
        <w:t>n average cost has been determined</w:t>
      </w:r>
      <w:r>
        <w:rPr>
          <w:rFonts w:ascii="Arial" w:hAnsi="Arial" w:cs="Arial"/>
          <w:color w:val="000000"/>
          <w:sz w:val="20"/>
        </w:rPr>
        <w:t xml:space="preserve"> f</w:t>
      </w:r>
      <w:r w:rsidRPr="00C74EEF">
        <w:rPr>
          <w:rFonts w:ascii="Arial" w:hAnsi="Arial" w:cs="Arial"/>
          <w:color w:val="000000"/>
          <w:sz w:val="20"/>
        </w:rPr>
        <w:t>or vacant positions</w:t>
      </w:r>
      <w:r>
        <w:rPr>
          <w:rFonts w:ascii="Arial" w:hAnsi="Arial" w:cs="Arial"/>
          <w:color w:val="000000"/>
          <w:sz w:val="20"/>
        </w:rPr>
        <w:t>;</w:t>
      </w:r>
    </w:p>
    <w:p w14:paraId="66A3A668" w14:textId="77777777" w:rsidR="00F51335" w:rsidRDefault="00F51335" w:rsidP="00F51335">
      <w:pPr>
        <w:pStyle w:val="ListParagraph"/>
        <w:rPr>
          <w:rFonts w:ascii="Arial" w:hAnsi="Arial" w:cs="Arial"/>
          <w:color w:val="000000"/>
          <w:sz w:val="20"/>
        </w:rPr>
      </w:pPr>
    </w:p>
    <w:p w14:paraId="1B4CD227" w14:textId="77777777" w:rsidR="00B67D0A" w:rsidRDefault="00B67D0A" w:rsidP="00B66A4A">
      <w:pPr>
        <w:numPr>
          <w:ilvl w:val="0"/>
          <w:numId w:val="32"/>
        </w:numPr>
        <w:shd w:val="clear" w:color="auto" w:fill="FFFFFF"/>
        <w:ind w:left="714" w:hanging="357"/>
        <w:jc w:val="both"/>
        <w:rPr>
          <w:rFonts w:ascii="Arial" w:hAnsi="Arial" w:cs="Arial"/>
          <w:color w:val="000000"/>
          <w:sz w:val="20"/>
        </w:rPr>
      </w:pPr>
      <w:r w:rsidRPr="00C74EEF">
        <w:rPr>
          <w:rFonts w:ascii="Arial" w:hAnsi="Arial" w:cs="Arial"/>
          <w:color w:val="000000"/>
          <w:sz w:val="20"/>
        </w:rPr>
        <w:t>Provisions for home leave have been decreased to take into account the estimated savings of approximately 4</w:t>
      </w:r>
      <w:r>
        <w:rPr>
          <w:rFonts w:ascii="Arial" w:hAnsi="Arial" w:cs="Arial"/>
          <w:color w:val="000000"/>
          <w:sz w:val="20"/>
        </w:rPr>
        <w:t xml:space="preserve"> </w:t>
      </w:r>
      <w:r w:rsidRPr="00C74EEF">
        <w:rPr>
          <w:rFonts w:ascii="Arial" w:hAnsi="Arial" w:cs="Arial"/>
          <w:color w:val="000000"/>
          <w:sz w:val="20"/>
        </w:rPr>
        <w:t xml:space="preserve">million Swiss francs for the biennium resulting from the </w:t>
      </w:r>
      <w:r>
        <w:rPr>
          <w:rFonts w:ascii="Arial" w:hAnsi="Arial" w:cs="Arial"/>
          <w:color w:val="000000"/>
          <w:sz w:val="20"/>
        </w:rPr>
        <w:t xml:space="preserve">full </w:t>
      </w:r>
      <w:r w:rsidRPr="00C74EEF">
        <w:rPr>
          <w:rFonts w:ascii="Arial" w:hAnsi="Arial" w:cs="Arial"/>
          <w:color w:val="000000"/>
          <w:sz w:val="20"/>
        </w:rPr>
        <w:t xml:space="preserve">implementation of </w:t>
      </w:r>
      <w:r>
        <w:rPr>
          <w:rFonts w:ascii="Arial" w:hAnsi="Arial" w:cs="Arial"/>
          <w:color w:val="000000"/>
          <w:sz w:val="20"/>
        </w:rPr>
        <w:t xml:space="preserve">the </w:t>
      </w:r>
      <w:r w:rsidRPr="00C74EEF">
        <w:rPr>
          <w:rFonts w:ascii="Arial" w:hAnsi="Arial" w:cs="Arial"/>
          <w:color w:val="000000"/>
          <w:sz w:val="20"/>
        </w:rPr>
        <w:t>new policy on home leave</w:t>
      </w:r>
      <w:r>
        <w:rPr>
          <w:rFonts w:ascii="Arial" w:hAnsi="Arial" w:cs="Arial"/>
          <w:color w:val="000000"/>
          <w:sz w:val="20"/>
        </w:rPr>
        <w:t>;</w:t>
      </w:r>
    </w:p>
    <w:p w14:paraId="7BBF6392" w14:textId="77777777" w:rsidR="00350AA3" w:rsidRDefault="00350AA3" w:rsidP="00DA3F93">
      <w:pPr>
        <w:pStyle w:val="ListParagraph"/>
        <w:rPr>
          <w:rFonts w:ascii="Arial" w:hAnsi="Arial" w:cs="Arial"/>
          <w:color w:val="000000"/>
          <w:sz w:val="20"/>
        </w:rPr>
      </w:pPr>
    </w:p>
    <w:p w14:paraId="6D26E36E" w14:textId="148402ED" w:rsidR="00B67D0A" w:rsidRDefault="00B67D0A" w:rsidP="00B66A4A">
      <w:pPr>
        <w:numPr>
          <w:ilvl w:val="0"/>
          <w:numId w:val="32"/>
        </w:numPr>
        <w:shd w:val="clear" w:color="auto" w:fill="FFFFFF"/>
        <w:ind w:left="714" w:hanging="357"/>
        <w:jc w:val="both"/>
        <w:rPr>
          <w:rFonts w:ascii="Arial" w:hAnsi="Arial" w:cs="Arial"/>
          <w:color w:val="000000"/>
          <w:sz w:val="20"/>
        </w:rPr>
      </w:pPr>
      <w:r>
        <w:rPr>
          <w:rFonts w:ascii="Arial" w:hAnsi="Arial" w:cs="Arial"/>
          <w:color w:val="000000"/>
          <w:sz w:val="20"/>
        </w:rPr>
        <w:t xml:space="preserve">No new positions are foreseen in 2016/17. </w:t>
      </w:r>
      <w:r w:rsidRPr="00C74EEF">
        <w:rPr>
          <w:rFonts w:ascii="Arial" w:hAnsi="Arial" w:cs="Arial"/>
          <w:color w:val="000000"/>
          <w:sz w:val="20"/>
        </w:rPr>
        <w:t xml:space="preserve">An overall vacancy rate of </w:t>
      </w:r>
      <w:r>
        <w:rPr>
          <w:rFonts w:ascii="Arial" w:hAnsi="Arial" w:cs="Arial"/>
          <w:color w:val="000000"/>
          <w:sz w:val="20"/>
        </w:rPr>
        <w:t>3 per cent</w:t>
      </w:r>
      <w:r w:rsidRPr="00C74EEF">
        <w:rPr>
          <w:rFonts w:ascii="Arial" w:hAnsi="Arial" w:cs="Arial"/>
          <w:color w:val="000000"/>
          <w:sz w:val="20"/>
        </w:rPr>
        <w:t xml:space="preserve"> has been applied to the overall costing</w:t>
      </w:r>
      <w:r>
        <w:rPr>
          <w:rFonts w:ascii="Arial" w:hAnsi="Arial" w:cs="Arial"/>
          <w:color w:val="000000"/>
          <w:sz w:val="20"/>
        </w:rPr>
        <w:t xml:space="preserve"> based on the assumption that </w:t>
      </w:r>
      <w:r w:rsidRPr="00C74EEF">
        <w:rPr>
          <w:rFonts w:ascii="Arial" w:hAnsi="Arial" w:cs="Arial"/>
          <w:color w:val="000000"/>
          <w:sz w:val="20"/>
        </w:rPr>
        <w:t xml:space="preserve">productivity improvements and automation will result in </w:t>
      </w:r>
      <w:r>
        <w:rPr>
          <w:rFonts w:ascii="Arial" w:hAnsi="Arial" w:cs="Arial"/>
          <w:color w:val="000000"/>
          <w:sz w:val="20"/>
        </w:rPr>
        <w:t xml:space="preserve">the </w:t>
      </w:r>
      <w:r w:rsidRPr="00C74EEF">
        <w:rPr>
          <w:rFonts w:ascii="Arial" w:hAnsi="Arial" w:cs="Arial"/>
          <w:color w:val="000000"/>
          <w:sz w:val="20"/>
        </w:rPr>
        <w:t>non-filling of 20 posts during the biennium</w:t>
      </w:r>
      <w:r>
        <w:rPr>
          <w:rFonts w:ascii="Arial" w:hAnsi="Arial" w:cs="Arial"/>
          <w:color w:val="000000"/>
          <w:sz w:val="20"/>
        </w:rPr>
        <w:t xml:space="preserve"> without affecting the achievement of Expected Results.</w:t>
      </w:r>
      <w:r w:rsidRPr="00C74EEF">
        <w:rPr>
          <w:rFonts w:ascii="Arial" w:hAnsi="Arial" w:cs="Arial"/>
          <w:color w:val="000000"/>
          <w:sz w:val="20"/>
        </w:rPr>
        <w:t xml:space="preserve"> </w:t>
      </w:r>
      <w:r>
        <w:rPr>
          <w:rFonts w:ascii="Arial" w:hAnsi="Arial" w:cs="Arial"/>
          <w:color w:val="000000"/>
          <w:sz w:val="20"/>
        </w:rPr>
        <w:t xml:space="preserve"> Recruitments will also be prudently managed to ensure that an additional 10 positions remain vacant at any point in time</w:t>
      </w:r>
      <w:r w:rsidR="003E0261">
        <w:rPr>
          <w:rFonts w:ascii="Arial" w:hAnsi="Arial" w:cs="Arial"/>
          <w:color w:val="000000"/>
          <w:sz w:val="20"/>
        </w:rPr>
        <w:t>;</w:t>
      </w:r>
      <w:r>
        <w:rPr>
          <w:rFonts w:ascii="Arial" w:hAnsi="Arial" w:cs="Arial"/>
          <w:color w:val="000000"/>
          <w:sz w:val="20"/>
        </w:rPr>
        <w:t xml:space="preserve"> </w:t>
      </w:r>
    </w:p>
    <w:p w14:paraId="2F33CCC2" w14:textId="77777777" w:rsidR="00F51335" w:rsidRPr="00C74EEF" w:rsidRDefault="00F51335" w:rsidP="00F51335">
      <w:pPr>
        <w:shd w:val="clear" w:color="auto" w:fill="FFFFFF"/>
        <w:ind w:left="714"/>
        <w:jc w:val="both"/>
        <w:rPr>
          <w:rFonts w:ascii="Arial" w:hAnsi="Arial" w:cs="Arial"/>
          <w:color w:val="000000"/>
          <w:sz w:val="20"/>
        </w:rPr>
      </w:pPr>
    </w:p>
    <w:p w14:paraId="07EFD4D2" w14:textId="2770F7F2" w:rsidR="00B67D0A" w:rsidRDefault="00B67D0A" w:rsidP="00B66A4A">
      <w:pPr>
        <w:numPr>
          <w:ilvl w:val="0"/>
          <w:numId w:val="32"/>
        </w:numPr>
        <w:shd w:val="clear" w:color="auto" w:fill="FFFFFF"/>
        <w:jc w:val="both"/>
        <w:rPr>
          <w:rFonts w:ascii="Arial" w:hAnsi="Arial" w:cs="Arial"/>
          <w:color w:val="000000"/>
          <w:sz w:val="20"/>
        </w:rPr>
      </w:pPr>
      <w:r w:rsidRPr="00C74EEF">
        <w:rPr>
          <w:rFonts w:ascii="Arial" w:hAnsi="Arial" w:cs="Arial"/>
          <w:color w:val="000000"/>
          <w:sz w:val="20"/>
        </w:rPr>
        <w:t>Provisions for ASHI have been maintained at 6</w:t>
      </w:r>
      <w:r w:rsidR="00125302">
        <w:rPr>
          <w:rFonts w:ascii="Arial" w:hAnsi="Arial" w:cs="Arial"/>
          <w:color w:val="000000"/>
          <w:sz w:val="20"/>
        </w:rPr>
        <w:t>.0</w:t>
      </w:r>
      <w:r>
        <w:rPr>
          <w:rFonts w:ascii="Arial" w:hAnsi="Arial" w:cs="Arial"/>
          <w:color w:val="000000"/>
          <w:sz w:val="20"/>
        </w:rPr>
        <w:t xml:space="preserve"> per cent</w:t>
      </w:r>
      <w:r w:rsidRPr="00C74EEF">
        <w:rPr>
          <w:rFonts w:ascii="Arial" w:hAnsi="Arial" w:cs="Arial"/>
          <w:color w:val="000000"/>
          <w:sz w:val="20"/>
        </w:rPr>
        <w:t xml:space="preserve"> for fixed term and continuing positions</w:t>
      </w:r>
      <w:r w:rsidR="003E0261">
        <w:rPr>
          <w:rFonts w:ascii="Arial" w:hAnsi="Arial" w:cs="Arial"/>
          <w:color w:val="000000"/>
          <w:sz w:val="20"/>
        </w:rPr>
        <w:t>;</w:t>
      </w:r>
      <w:r w:rsidR="003E0261" w:rsidRPr="00C74EEF">
        <w:rPr>
          <w:rFonts w:ascii="Arial" w:hAnsi="Arial" w:cs="Arial"/>
          <w:color w:val="000000"/>
          <w:sz w:val="20"/>
        </w:rPr>
        <w:t xml:space="preserve"> </w:t>
      </w:r>
    </w:p>
    <w:p w14:paraId="6BB6B30C" w14:textId="77777777" w:rsidR="00F51335" w:rsidRPr="00C74EEF" w:rsidRDefault="00F51335" w:rsidP="00F51335">
      <w:pPr>
        <w:shd w:val="clear" w:color="auto" w:fill="FFFFFF"/>
        <w:ind w:left="720"/>
        <w:jc w:val="both"/>
        <w:rPr>
          <w:rFonts w:ascii="Arial" w:hAnsi="Arial" w:cs="Arial"/>
          <w:color w:val="000000"/>
          <w:sz w:val="20"/>
        </w:rPr>
      </w:pPr>
    </w:p>
    <w:p w14:paraId="16C4384F" w14:textId="323F75DD" w:rsidR="00B67D0A" w:rsidRPr="00F51335" w:rsidRDefault="00B67D0A" w:rsidP="00B66A4A">
      <w:pPr>
        <w:numPr>
          <w:ilvl w:val="0"/>
          <w:numId w:val="32"/>
        </w:numPr>
        <w:shd w:val="clear" w:color="auto" w:fill="FFFFFF"/>
        <w:jc w:val="both"/>
        <w:rPr>
          <w:rFonts w:ascii="Arial" w:hAnsi="Arial" w:cs="Arial"/>
          <w:color w:val="000000"/>
          <w:sz w:val="20"/>
        </w:rPr>
      </w:pPr>
      <w:r w:rsidRPr="00C74EEF">
        <w:rPr>
          <w:rFonts w:ascii="Arial" w:eastAsia="SimSun" w:hAnsi="Arial" w:cs="Arial"/>
          <w:color w:val="000000"/>
          <w:sz w:val="20"/>
          <w:lang w:eastAsia="zh-CN"/>
        </w:rPr>
        <w:t xml:space="preserve">Other Staff Costs include the budgeted </w:t>
      </w:r>
      <w:r w:rsidR="00125302">
        <w:rPr>
          <w:rFonts w:ascii="Arial" w:eastAsia="SimSun" w:hAnsi="Arial" w:cs="Arial"/>
          <w:color w:val="000000"/>
          <w:sz w:val="20"/>
          <w:lang w:eastAsia="zh-CN"/>
        </w:rPr>
        <w:t xml:space="preserve">biennial </w:t>
      </w:r>
      <w:r w:rsidRPr="00C74EEF">
        <w:rPr>
          <w:rFonts w:ascii="Arial" w:eastAsia="SimSun" w:hAnsi="Arial" w:cs="Arial"/>
          <w:color w:val="000000"/>
          <w:sz w:val="20"/>
          <w:lang w:eastAsia="zh-CN"/>
        </w:rPr>
        <w:t xml:space="preserve">provisions for </w:t>
      </w:r>
      <w:r>
        <w:rPr>
          <w:rFonts w:ascii="Arial" w:eastAsia="SimSun" w:hAnsi="Arial" w:cs="Arial"/>
          <w:color w:val="000000"/>
          <w:sz w:val="20"/>
          <w:lang w:eastAsia="zh-CN"/>
        </w:rPr>
        <w:t>P</w:t>
      </w:r>
      <w:r w:rsidRPr="00C74EEF">
        <w:rPr>
          <w:rFonts w:ascii="Arial" w:eastAsia="SimSun" w:hAnsi="Arial" w:cs="Arial"/>
          <w:color w:val="000000"/>
          <w:sz w:val="20"/>
          <w:lang w:eastAsia="zh-CN"/>
        </w:rPr>
        <w:t xml:space="preserve">rofessional </w:t>
      </w:r>
      <w:r>
        <w:rPr>
          <w:rFonts w:ascii="Arial" w:eastAsia="SimSun" w:hAnsi="Arial" w:cs="Arial"/>
          <w:color w:val="000000"/>
          <w:sz w:val="20"/>
          <w:lang w:eastAsia="zh-CN"/>
        </w:rPr>
        <w:t>A</w:t>
      </w:r>
      <w:r w:rsidRPr="00C74EEF">
        <w:rPr>
          <w:rFonts w:ascii="Arial" w:eastAsia="SimSun" w:hAnsi="Arial" w:cs="Arial"/>
          <w:color w:val="000000"/>
          <w:sz w:val="20"/>
          <w:lang w:eastAsia="zh-CN"/>
        </w:rPr>
        <w:t xml:space="preserve">ccident </w:t>
      </w:r>
      <w:r>
        <w:rPr>
          <w:rFonts w:ascii="Arial" w:eastAsia="SimSun" w:hAnsi="Arial" w:cs="Arial"/>
          <w:color w:val="000000"/>
          <w:sz w:val="20"/>
          <w:lang w:eastAsia="zh-CN"/>
        </w:rPr>
        <w:t>I</w:t>
      </w:r>
      <w:r w:rsidRPr="00C74EEF">
        <w:rPr>
          <w:rFonts w:ascii="Arial" w:eastAsia="SimSun" w:hAnsi="Arial" w:cs="Arial"/>
          <w:color w:val="000000"/>
          <w:sz w:val="20"/>
          <w:lang w:eastAsia="zh-CN"/>
        </w:rPr>
        <w:t>nsurance (PAI)</w:t>
      </w:r>
      <w:r>
        <w:rPr>
          <w:rFonts w:ascii="Arial" w:eastAsia="SimSun" w:hAnsi="Arial" w:cs="Arial"/>
          <w:color w:val="000000"/>
          <w:sz w:val="20"/>
          <w:lang w:eastAsia="zh-CN"/>
        </w:rPr>
        <w:t xml:space="preserve"> (</w:t>
      </w:r>
      <w:r w:rsidRPr="00A64BD7">
        <w:rPr>
          <w:rFonts w:ascii="Arial" w:eastAsia="SimSun" w:hAnsi="Arial" w:cs="Arial"/>
          <w:color w:val="000000"/>
          <w:sz w:val="20"/>
          <w:lang w:eastAsia="zh-CN"/>
        </w:rPr>
        <w:t>900,000</w:t>
      </w:r>
      <w:r>
        <w:rPr>
          <w:rFonts w:ascii="Arial" w:eastAsia="SimSun" w:hAnsi="Arial" w:cs="Arial"/>
          <w:color w:val="000000"/>
          <w:sz w:val="20"/>
          <w:lang w:eastAsia="zh-CN"/>
        </w:rPr>
        <w:t xml:space="preserve"> Swiss francs)</w:t>
      </w:r>
      <w:r w:rsidRPr="00C74EEF">
        <w:rPr>
          <w:rFonts w:ascii="Arial" w:eastAsia="SimSun" w:hAnsi="Arial" w:cs="Arial"/>
          <w:color w:val="000000"/>
          <w:sz w:val="20"/>
          <w:lang w:eastAsia="zh-CN"/>
        </w:rPr>
        <w:t>, the Closed Pension Fund</w:t>
      </w:r>
      <w:r>
        <w:rPr>
          <w:rFonts w:ascii="Arial" w:eastAsia="SimSun" w:hAnsi="Arial" w:cs="Arial"/>
          <w:color w:val="000000"/>
          <w:sz w:val="20"/>
          <w:lang w:eastAsia="zh-CN"/>
        </w:rPr>
        <w:t xml:space="preserve"> (</w:t>
      </w:r>
      <w:r w:rsidRPr="00A64BD7">
        <w:rPr>
          <w:rFonts w:ascii="Arial" w:eastAsia="SimSun" w:hAnsi="Arial" w:cs="Arial"/>
          <w:color w:val="000000"/>
          <w:sz w:val="20"/>
          <w:lang w:eastAsia="zh-CN"/>
        </w:rPr>
        <w:t>700,000 Sw</w:t>
      </w:r>
      <w:r>
        <w:rPr>
          <w:rFonts w:ascii="Arial" w:eastAsia="SimSun" w:hAnsi="Arial" w:cs="Arial"/>
          <w:color w:val="000000"/>
          <w:sz w:val="20"/>
          <w:lang w:eastAsia="zh-CN"/>
        </w:rPr>
        <w:t>iss francs)</w:t>
      </w:r>
      <w:r w:rsidRPr="00C74EEF">
        <w:rPr>
          <w:rFonts w:ascii="Arial" w:eastAsia="SimSun" w:hAnsi="Arial" w:cs="Arial"/>
          <w:color w:val="000000"/>
          <w:sz w:val="20"/>
          <w:lang w:eastAsia="zh-CN"/>
        </w:rPr>
        <w:t xml:space="preserve">, litigation costs </w:t>
      </w:r>
      <w:r>
        <w:rPr>
          <w:rFonts w:ascii="Arial" w:eastAsia="SimSun" w:hAnsi="Arial" w:cs="Arial"/>
          <w:color w:val="000000"/>
          <w:sz w:val="20"/>
          <w:lang w:eastAsia="zh-CN"/>
        </w:rPr>
        <w:t xml:space="preserve">(400,000 Swiss francs) </w:t>
      </w:r>
      <w:r w:rsidRPr="00C74EEF">
        <w:rPr>
          <w:rFonts w:ascii="Arial" w:eastAsia="SimSun" w:hAnsi="Arial" w:cs="Arial"/>
          <w:color w:val="000000"/>
          <w:sz w:val="20"/>
          <w:lang w:eastAsia="zh-CN"/>
        </w:rPr>
        <w:t>and the WIPO Rewards and Recognition Program</w:t>
      </w:r>
      <w:r>
        <w:rPr>
          <w:rFonts w:ascii="Arial" w:eastAsia="SimSun" w:hAnsi="Arial" w:cs="Arial"/>
          <w:color w:val="000000"/>
          <w:sz w:val="20"/>
          <w:lang w:eastAsia="zh-CN"/>
        </w:rPr>
        <w:t xml:space="preserve"> (120,000 Swiss francs)</w:t>
      </w:r>
      <w:r w:rsidR="00125302">
        <w:rPr>
          <w:rFonts w:ascii="Arial" w:eastAsia="SimSun" w:hAnsi="Arial" w:cs="Arial"/>
          <w:color w:val="000000"/>
          <w:sz w:val="20"/>
          <w:lang w:eastAsia="zh-CN"/>
        </w:rPr>
        <w:t>;</w:t>
      </w:r>
      <w:r w:rsidRPr="00C74EEF">
        <w:rPr>
          <w:rFonts w:ascii="Arial" w:eastAsia="SimSun" w:hAnsi="Arial" w:cs="Arial"/>
          <w:color w:val="000000"/>
          <w:sz w:val="20"/>
          <w:lang w:eastAsia="zh-CN"/>
        </w:rPr>
        <w:t xml:space="preserve"> </w:t>
      </w:r>
      <w:r w:rsidR="00125302">
        <w:rPr>
          <w:rFonts w:ascii="Arial" w:eastAsia="SimSun" w:hAnsi="Arial" w:cs="Arial"/>
          <w:color w:val="000000"/>
          <w:sz w:val="20"/>
          <w:lang w:eastAsia="zh-CN"/>
        </w:rPr>
        <w:t xml:space="preserve">the latter </w:t>
      </w:r>
      <w:r>
        <w:rPr>
          <w:rFonts w:ascii="Arial" w:eastAsia="SimSun" w:hAnsi="Arial" w:cs="Arial"/>
          <w:color w:val="000000"/>
          <w:sz w:val="20"/>
          <w:lang w:eastAsia="zh-CN"/>
        </w:rPr>
        <w:t>w</w:t>
      </w:r>
      <w:r w:rsidRPr="00C74EEF">
        <w:rPr>
          <w:rFonts w:ascii="Arial" w:eastAsia="SimSun" w:hAnsi="Arial" w:cs="Arial"/>
          <w:color w:val="000000"/>
          <w:sz w:val="20"/>
          <w:lang w:eastAsia="zh-CN"/>
        </w:rPr>
        <w:t xml:space="preserve">as introduced </w:t>
      </w:r>
      <w:r>
        <w:rPr>
          <w:rFonts w:ascii="Arial" w:eastAsia="SimSun" w:hAnsi="Arial" w:cs="Arial"/>
          <w:color w:val="000000"/>
          <w:sz w:val="20"/>
          <w:lang w:eastAsia="zh-CN"/>
        </w:rPr>
        <w:t>in</w:t>
      </w:r>
      <w:r w:rsidRPr="00C74EEF">
        <w:rPr>
          <w:rFonts w:ascii="Arial" w:eastAsia="SimSun" w:hAnsi="Arial" w:cs="Arial"/>
          <w:color w:val="000000"/>
          <w:sz w:val="20"/>
          <w:lang w:eastAsia="zh-CN"/>
        </w:rPr>
        <w:t xml:space="preserve"> 2014</w:t>
      </w:r>
      <w:r w:rsidR="003E0261">
        <w:rPr>
          <w:rFonts w:ascii="Arial" w:eastAsia="SimSun" w:hAnsi="Arial" w:cs="Arial"/>
          <w:color w:val="000000"/>
          <w:sz w:val="20"/>
          <w:lang w:eastAsia="zh-CN"/>
        </w:rPr>
        <w:t>;</w:t>
      </w:r>
      <w:r w:rsidR="003E0261" w:rsidRPr="00C74EEF">
        <w:rPr>
          <w:rFonts w:ascii="Arial" w:eastAsia="SimSun" w:hAnsi="Arial" w:cs="Arial"/>
          <w:color w:val="000000"/>
          <w:sz w:val="20"/>
          <w:lang w:eastAsia="zh-CN"/>
        </w:rPr>
        <w:t xml:space="preserve"> </w:t>
      </w:r>
    </w:p>
    <w:p w14:paraId="2F384C34" w14:textId="77777777" w:rsidR="00F51335" w:rsidRPr="00F51335" w:rsidRDefault="00F51335" w:rsidP="00F51335">
      <w:pPr>
        <w:shd w:val="clear" w:color="auto" w:fill="FFFFFF"/>
        <w:ind w:left="720"/>
        <w:jc w:val="both"/>
        <w:rPr>
          <w:rFonts w:ascii="Arial" w:hAnsi="Arial" w:cs="Arial"/>
          <w:color w:val="000000"/>
          <w:sz w:val="20"/>
        </w:rPr>
      </w:pPr>
    </w:p>
    <w:p w14:paraId="00B0F523" w14:textId="479976A7" w:rsidR="00B67D0A" w:rsidRPr="00C74EEF" w:rsidRDefault="00B67D0A" w:rsidP="00B66A4A">
      <w:pPr>
        <w:numPr>
          <w:ilvl w:val="0"/>
          <w:numId w:val="32"/>
        </w:numPr>
        <w:shd w:val="clear" w:color="auto" w:fill="FFFFFF"/>
        <w:jc w:val="both"/>
        <w:rPr>
          <w:rFonts w:ascii="Arial" w:hAnsi="Arial" w:cs="Arial"/>
          <w:color w:val="000000"/>
          <w:sz w:val="20"/>
        </w:rPr>
      </w:pPr>
      <w:r w:rsidRPr="00C74EEF">
        <w:rPr>
          <w:rFonts w:ascii="Arial" w:hAnsi="Arial" w:cs="Arial"/>
          <w:color w:val="000000"/>
          <w:sz w:val="20"/>
        </w:rPr>
        <w:t xml:space="preserve">Provisions for reclassification </w:t>
      </w:r>
      <w:r>
        <w:rPr>
          <w:rFonts w:ascii="Arial" w:hAnsi="Arial" w:cs="Arial"/>
          <w:color w:val="000000"/>
          <w:sz w:val="20"/>
        </w:rPr>
        <w:t xml:space="preserve">are budgeted at the </w:t>
      </w:r>
      <w:r w:rsidRPr="00C74EEF">
        <w:rPr>
          <w:rFonts w:ascii="Arial" w:hAnsi="Arial" w:cs="Arial"/>
          <w:color w:val="000000"/>
          <w:sz w:val="20"/>
        </w:rPr>
        <w:t xml:space="preserve">level of </w:t>
      </w:r>
      <w:r>
        <w:rPr>
          <w:rFonts w:ascii="Arial" w:hAnsi="Arial" w:cs="Arial"/>
          <w:color w:val="000000"/>
          <w:sz w:val="20"/>
        </w:rPr>
        <w:t>1.5</w:t>
      </w:r>
      <w:r w:rsidRPr="00C74EEF">
        <w:rPr>
          <w:rFonts w:ascii="Arial" w:hAnsi="Arial" w:cs="Arial"/>
          <w:color w:val="000000"/>
          <w:sz w:val="20"/>
        </w:rPr>
        <w:t xml:space="preserve"> million Swiss francs </w:t>
      </w:r>
      <w:r>
        <w:rPr>
          <w:rFonts w:ascii="Arial" w:eastAsia="SimSun" w:hAnsi="Arial" w:cs="Arial"/>
          <w:color w:val="000000"/>
          <w:sz w:val="20"/>
          <w:lang w:eastAsia="zh-CN"/>
        </w:rPr>
        <w:t>in “Unallocated (Personnel)”</w:t>
      </w:r>
      <w:r>
        <w:rPr>
          <w:rFonts w:ascii="Arial" w:hAnsi="Arial" w:cs="Arial"/>
          <w:color w:val="000000"/>
          <w:sz w:val="20"/>
        </w:rPr>
        <w:t xml:space="preserve"> based on actual reclassification costs in 2014/15</w:t>
      </w:r>
      <w:r w:rsidR="003E0261">
        <w:rPr>
          <w:rFonts w:ascii="Arial" w:hAnsi="Arial" w:cs="Arial"/>
          <w:color w:val="000000"/>
          <w:sz w:val="20"/>
        </w:rPr>
        <w:t>;</w:t>
      </w:r>
    </w:p>
    <w:p w14:paraId="1FB8E94D" w14:textId="77777777" w:rsidR="00B67D0A" w:rsidRDefault="00B67D0A" w:rsidP="00F02301">
      <w:pPr>
        <w:widowControl w:val="0"/>
        <w:ind w:left="720"/>
        <w:jc w:val="both"/>
        <w:rPr>
          <w:rFonts w:ascii="Arial" w:eastAsia="SimSun" w:hAnsi="Arial" w:cs="Arial"/>
          <w:color w:val="000000"/>
          <w:sz w:val="20"/>
          <w:lang w:eastAsia="zh-CN"/>
        </w:rPr>
      </w:pPr>
    </w:p>
    <w:p w14:paraId="13DB018C" w14:textId="6569B690" w:rsidR="00B67D0A" w:rsidRPr="000A7A1B" w:rsidRDefault="00B67D0A" w:rsidP="00B66A4A">
      <w:pPr>
        <w:widowControl w:val="0"/>
        <w:numPr>
          <w:ilvl w:val="0"/>
          <w:numId w:val="32"/>
        </w:numPr>
        <w:tabs>
          <w:tab w:val="num" w:pos="690"/>
        </w:tabs>
        <w:jc w:val="both"/>
        <w:rPr>
          <w:rFonts w:ascii="Arial" w:eastAsia="SimSun" w:hAnsi="Arial" w:cs="Arial"/>
          <w:color w:val="000000"/>
          <w:sz w:val="20"/>
          <w:lang w:eastAsia="zh-CN"/>
        </w:rPr>
      </w:pPr>
      <w:r w:rsidRPr="00F25AA5">
        <w:rPr>
          <w:rFonts w:ascii="Arial" w:eastAsia="SimSun" w:hAnsi="Arial" w:cs="Arial"/>
          <w:color w:val="000000"/>
          <w:sz w:val="20"/>
          <w:lang w:eastAsia="zh-CN"/>
        </w:rPr>
        <w:t xml:space="preserve">The 2014/15 biennium will see the near completion of the regularization of long serving temporary staff and continuing functions, establishing a solid base for the Organization’s personnel needs. In the upcoming biennia, the emphasis will be on ensuring that increasing demands are met through more innovative and sustainable resourcing models. </w:t>
      </w:r>
      <w:r w:rsidRPr="000A7A1B">
        <w:rPr>
          <w:rFonts w:ascii="Arial" w:hAnsi="Arial" w:cs="Arial"/>
          <w:color w:val="000000"/>
          <w:sz w:val="20"/>
        </w:rPr>
        <w:t xml:space="preserve">A provision of 800,000 Swiss francs has been </w:t>
      </w:r>
      <w:r w:rsidRPr="000A7A1B">
        <w:rPr>
          <w:rFonts w:ascii="Arial" w:eastAsia="SimSun" w:hAnsi="Arial" w:cs="Arial"/>
          <w:color w:val="000000"/>
          <w:sz w:val="20"/>
          <w:lang w:eastAsia="zh-CN"/>
        </w:rPr>
        <w:t xml:space="preserve">earmarked </w:t>
      </w:r>
      <w:r>
        <w:rPr>
          <w:rFonts w:ascii="Arial" w:eastAsia="SimSun" w:hAnsi="Arial" w:cs="Arial"/>
          <w:color w:val="000000"/>
          <w:sz w:val="20"/>
          <w:lang w:eastAsia="zh-CN"/>
        </w:rPr>
        <w:t>in “Unallocated (Personnel)”</w:t>
      </w:r>
      <w:r w:rsidRPr="000A7A1B">
        <w:rPr>
          <w:rFonts w:ascii="Arial" w:eastAsia="SimSun" w:hAnsi="Arial" w:cs="Arial"/>
          <w:color w:val="000000"/>
          <w:sz w:val="20"/>
          <w:lang w:eastAsia="zh-CN"/>
        </w:rPr>
        <w:t xml:space="preserve"> for the remaining regularization of continuing functions, within the framework of the 156 regularization posts approved in principle by Member States at their Assemblies in 2010 (reference document WO/CC/63/5). </w:t>
      </w:r>
      <w:r>
        <w:rPr>
          <w:rFonts w:ascii="Arial" w:eastAsia="SimSun" w:hAnsi="Arial" w:cs="Arial"/>
          <w:color w:val="000000"/>
          <w:sz w:val="20"/>
          <w:lang w:eastAsia="zh-CN"/>
        </w:rPr>
        <w:t xml:space="preserve">A total of </w:t>
      </w:r>
      <w:r w:rsidRPr="000A7A1B">
        <w:rPr>
          <w:rFonts w:ascii="Arial" w:eastAsia="SimSun" w:hAnsi="Arial" w:cs="Arial"/>
          <w:color w:val="000000"/>
          <w:sz w:val="20"/>
          <w:lang w:eastAsia="zh-CN"/>
        </w:rPr>
        <w:t xml:space="preserve">41 regularizations </w:t>
      </w:r>
      <w:r>
        <w:rPr>
          <w:rFonts w:ascii="Arial" w:eastAsia="SimSun" w:hAnsi="Arial" w:cs="Arial"/>
          <w:color w:val="000000"/>
          <w:sz w:val="20"/>
          <w:lang w:eastAsia="zh-CN"/>
        </w:rPr>
        <w:t>are currently</w:t>
      </w:r>
      <w:r w:rsidRPr="000A7A1B">
        <w:rPr>
          <w:rFonts w:ascii="Arial" w:eastAsia="SimSun" w:hAnsi="Arial" w:cs="Arial"/>
          <w:color w:val="000000"/>
          <w:sz w:val="20"/>
          <w:lang w:eastAsia="zh-CN"/>
        </w:rPr>
        <w:t xml:space="preserve"> pending</w:t>
      </w:r>
      <w:r w:rsidR="003E0261">
        <w:rPr>
          <w:rFonts w:ascii="Arial" w:eastAsia="SimSun" w:hAnsi="Arial" w:cs="Arial"/>
          <w:color w:val="000000"/>
          <w:sz w:val="20"/>
          <w:lang w:eastAsia="zh-CN"/>
        </w:rPr>
        <w:t>;</w:t>
      </w:r>
      <w:r w:rsidR="003E0261" w:rsidRPr="000A7A1B">
        <w:rPr>
          <w:rFonts w:ascii="Arial" w:eastAsia="SimSun" w:hAnsi="Arial" w:cs="Arial"/>
          <w:color w:val="000000"/>
          <w:sz w:val="20"/>
          <w:lang w:eastAsia="zh-CN"/>
        </w:rPr>
        <w:t xml:space="preserve"> </w:t>
      </w:r>
    </w:p>
    <w:p w14:paraId="53D71D48" w14:textId="77777777" w:rsidR="00B67D0A" w:rsidRPr="0089240D" w:rsidRDefault="00B67D0A" w:rsidP="00F02301">
      <w:pPr>
        <w:shd w:val="clear" w:color="auto" w:fill="FFFFFF"/>
        <w:ind w:left="720"/>
        <w:jc w:val="both"/>
        <w:rPr>
          <w:rFonts w:ascii="Arial" w:hAnsi="Arial" w:cs="Arial"/>
          <w:color w:val="000000"/>
          <w:sz w:val="20"/>
        </w:rPr>
      </w:pPr>
    </w:p>
    <w:p w14:paraId="7E8B24F0" w14:textId="77777777" w:rsidR="00B67D0A" w:rsidRPr="00C74EEF" w:rsidRDefault="00B67D0A" w:rsidP="00B66A4A">
      <w:pPr>
        <w:numPr>
          <w:ilvl w:val="0"/>
          <w:numId w:val="32"/>
        </w:numPr>
        <w:shd w:val="clear" w:color="auto" w:fill="FFFFFF"/>
        <w:jc w:val="both"/>
        <w:rPr>
          <w:rFonts w:ascii="Arial" w:hAnsi="Arial" w:cs="Arial"/>
          <w:color w:val="000000"/>
          <w:sz w:val="20"/>
        </w:rPr>
      </w:pPr>
      <w:r w:rsidRPr="00C74EEF">
        <w:rPr>
          <w:rFonts w:ascii="Arial" w:eastAsia="SimSun" w:hAnsi="Arial" w:cs="Arial"/>
          <w:color w:val="000000"/>
          <w:sz w:val="20"/>
          <w:lang w:eastAsia="zh-CN"/>
        </w:rPr>
        <w:t xml:space="preserve">In </w:t>
      </w:r>
      <w:r>
        <w:rPr>
          <w:rFonts w:ascii="Arial" w:eastAsia="SimSun" w:hAnsi="Arial" w:cs="Arial"/>
          <w:color w:val="000000"/>
          <w:sz w:val="20"/>
          <w:lang w:eastAsia="zh-CN"/>
        </w:rPr>
        <w:t xml:space="preserve">order to enable the Secretariat to better </w:t>
      </w:r>
      <w:r w:rsidRPr="00C74EEF">
        <w:rPr>
          <w:rFonts w:ascii="Arial" w:eastAsia="SimSun" w:hAnsi="Arial" w:cs="Arial"/>
          <w:color w:val="000000"/>
          <w:sz w:val="20"/>
          <w:lang w:eastAsia="zh-CN"/>
        </w:rPr>
        <w:t>monitor and control overtime expenses, the</w:t>
      </w:r>
      <w:r>
        <w:rPr>
          <w:rFonts w:ascii="Arial" w:eastAsia="SimSun" w:hAnsi="Arial" w:cs="Arial"/>
          <w:color w:val="000000"/>
          <w:sz w:val="20"/>
          <w:lang w:eastAsia="zh-CN"/>
        </w:rPr>
        <w:t xml:space="preserve"> estimated overtime </w:t>
      </w:r>
      <w:r w:rsidRPr="00C74EEF">
        <w:rPr>
          <w:rFonts w:ascii="Arial" w:eastAsia="SimSun" w:hAnsi="Arial" w:cs="Arial"/>
          <w:color w:val="000000"/>
          <w:sz w:val="20"/>
          <w:lang w:eastAsia="zh-CN"/>
        </w:rPr>
        <w:t xml:space="preserve">costs </w:t>
      </w:r>
      <w:r>
        <w:rPr>
          <w:rFonts w:ascii="Arial" w:eastAsia="SimSun" w:hAnsi="Arial" w:cs="Arial"/>
          <w:color w:val="000000"/>
          <w:sz w:val="20"/>
          <w:lang w:eastAsia="zh-CN"/>
        </w:rPr>
        <w:t>are budgeted in a separate provision in “Unallocated (Personnel)”</w:t>
      </w:r>
      <w:r w:rsidRPr="00C74EEF">
        <w:rPr>
          <w:rFonts w:ascii="Arial" w:eastAsia="SimSun" w:hAnsi="Arial" w:cs="Arial"/>
          <w:color w:val="000000"/>
          <w:sz w:val="20"/>
          <w:lang w:eastAsia="zh-CN"/>
        </w:rPr>
        <w:t>. On the basis of past expenditure pattern</w:t>
      </w:r>
      <w:r>
        <w:rPr>
          <w:rFonts w:ascii="Arial" w:eastAsia="SimSun" w:hAnsi="Arial" w:cs="Arial"/>
          <w:color w:val="000000"/>
          <w:sz w:val="20"/>
          <w:lang w:eastAsia="zh-CN"/>
        </w:rPr>
        <w:t>s</w:t>
      </w:r>
      <w:r w:rsidRPr="00C74EEF">
        <w:rPr>
          <w:rFonts w:ascii="Arial" w:eastAsia="SimSun" w:hAnsi="Arial" w:cs="Arial"/>
          <w:color w:val="000000"/>
          <w:sz w:val="20"/>
          <w:lang w:eastAsia="zh-CN"/>
        </w:rPr>
        <w:t xml:space="preserve">, </w:t>
      </w:r>
      <w:r>
        <w:rPr>
          <w:rFonts w:ascii="Arial" w:eastAsia="SimSun" w:hAnsi="Arial" w:cs="Arial"/>
          <w:color w:val="000000"/>
          <w:sz w:val="20"/>
          <w:lang w:eastAsia="zh-CN"/>
        </w:rPr>
        <w:t>the</w:t>
      </w:r>
      <w:r w:rsidRPr="00C74EEF">
        <w:rPr>
          <w:rFonts w:ascii="Arial" w:eastAsia="SimSun" w:hAnsi="Arial" w:cs="Arial"/>
          <w:color w:val="000000"/>
          <w:sz w:val="20"/>
          <w:lang w:eastAsia="zh-CN"/>
        </w:rPr>
        <w:t xml:space="preserve"> provision </w:t>
      </w:r>
      <w:r>
        <w:rPr>
          <w:rFonts w:ascii="Arial" w:eastAsia="SimSun" w:hAnsi="Arial" w:cs="Arial"/>
          <w:color w:val="000000"/>
          <w:sz w:val="20"/>
          <w:lang w:eastAsia="zh-CN"/>
        </w:rPr>
        <w:t xml:space="preserve">amounts to </w:t>
      </w:r>
      <w:r w:rsidRPr="00C74EEF">
        <w:rPr>
          <w:rFonts w:ascii="Arial" w:eastAsia="SimSun" w:hAnsi="Arial" w:cs="Arial"/>
          <w:color w:val="000000"/>
          <w:sz w:val="20"/>
          <w:lang w:eastAsia="zh-CN"/>
        </w:rPr>
        <w:t>2 million Swiss francs. Th</w:t>
      </w:r>
      <w:r>
        <w:rPr>
          <w:rFonts w:ascii="Arial" w:eastAsia="SimSun" w:hAnsi="Arial" w:cs="Arial"/>
          <w:color w:val="000000"/>
          <w:sz w:val="20"/>
          <w:lang w:eastAsia="zh-CN"/>
        </w:rPr>
        <w:t>e</w:t>
      </w:r>
      <w:r w:rsidRPr="00C74EEF">
        <w:rPr>
          <w:rFonts w:ascii="Arial" w:eastAsia="SimSun" w:hAnsi="Arial" w:cs="Arial"/>
          <w:color w:val="000000"/>
          <w:sz w:val="20"/>
          <w:lang w:eastAsia="zh-CN"/>
        </w:rPr>
        <w:t xml:space="preserve"> </w:t>
      </w:r>
      <w:r>
        <w:rPr>
          <w:rFonts w:ascii="Arial" w:eastAsia="SimSun" w:hAnsi="Arial" w:cs="Arial"/>
          <w:color w:val="000000"/>
          <w:sz w:val="20"/>
          <w:lang w:eastAsia="zh-CN"/>
        </w:rPr>
        <w:t xml:space="preserve">overtime </w:t>
      </w:r>
      <w:r w:rsidRPr="00C74EEF">
        <w:rPr>
          <w:rFonts w:ascii="Arial" w:eastAsia="SimSun" w:hAnsi="Arial" w:cs="Arial"/>
          <w:color w:val="000000"/>
          <w:sz w:val="20"/>
          <w:lang w:eastAsia="zh-CN"/>
        </w:rPr>
        <w:t>cost</w:t>
      </w:r>
      <w:r>
        <w:rPr>
          <w:rFonts w:ascii="Arial" w:eastAsia="SimSun" w:hAnsi="Arial" w:cs="Arial"/>
          <w:color w:val="000000"/>
          <w:sz w:val="20"/>
          <w:lang w:eastAsia="zh-CN"/>
        </w:rPr>
        <w:t>s</w:t>
      </w:r>
      <w:r w:rsidRPr="00C74EEF">
        <w:rPr>
          <w:rFonts w:ascii="Arial" w:eastAsia="SimSun" w:hAnsi="Arial" w:cs="Arial"/>
          <w:color w:val="000000"/>
          <w:sz w:val="20"/>
          <w:lang w:eastAsia="zh-CN"/>
        </w:rPr>
        <w:t xml:space="preserve"> will be closely monitored in coordination with </w:t>
      </w:r>
      <w:r>
        <w:rPr>
          <w:rFonts w:ascii="Arial" w:eastAsia="SimSun" w:hAnsi="Arial" w:cs="Arial"/>
          <w:color w:val="000000"/>
          <w:sz w:val="20"/>
          <w:lang w:eastAsia="zh-CN"/>
        </w:rPr>
        <w:t>Program 23 (Human Resources Management and Development)</w:t>
      </w:r>
      <w:r w:rsidRPr="00C74EEF">
        <w:rPr>
          <w:rFonts w:ascii="Arial" w:eastAsia="SimSun" w:hAnsi="Arial" w:cs="Arial"/>
          <w:color w:val="000000"/>
          <w:sz w:val="20"/>
          <w:lang w:eastAsia="zh-CN"/>
        </w:rPr>
        <w:t xml:space="preserve"> and </w:t>
      </w:r>
      <w:r>
        <w:rPr>
          <w:rFonts w:ascii="Arial" w:eastAsia="SimSun" w:hAnsi="Arial" w:cs="Arial"/>
          <w:color w:val="000000"/>
          <w:sz w:val="20"/>
          <w:lang w:eastAsia="zh-CN"/>
        </w:rPr>
        <w:t>concerned P</w:t>
      </w:r>
      <w:r w:rsidRPr="00C74EEF">
        <w:rPr>
          <w:rFonts w:ascii="Arial" w:eastAsia="SimSun" w:hAnsi="Arial" w:cs="Arial"/>
          <w:color w:val="000000"/>
          <w:sz w:val="20"/>
          <w:lang w:eastAsia="zh-CN"/>
        </w:rPr>
        <w:t>rogram areas.</w:t>
      </w:r>
    </w:p>
    <w:p w14:paraId="3B150240" w14:textId="77777777" w:rsidR="00B67D0A" w:rsidRDefault="00B67D0A" w:rsidP="00F02301">
      <w:pPr>
        <w:widowControl w:val="0"/>
        <w:tabs>
          <w:tab w:val="num" w:pos="690"/>
        </w:tabs>
        <w:jc w:val="both"/>
        <w:rPr>
          <w:rFonts w:ascii="Arial" w:hAnsi="Arial" w:cs="Arial"/>
          <w:color w:val="000000"/>
          <w:sz w:val="20"/>
        </w:rPr>
      </w:pPr>
    </w:p>
    <w:p w14:paraId="30041CDB" w14:textId="238DA09C" w:rsidR="00B67D0A" w:rsidRPr="00813EC7" w:rsidRDefault="00B67D0A" w:rsidP="00B66A4A">
      <w:pPr>
        <w:pStyle w:val="ListParagraph"/>
        <w:widowControl w:val="0"/>
        <w:numPr>
          <w:ilvl w:val="0"/>
          <w:numId w:val="33"/>
        </w:numPr>
        <w:tabs>
          <w:tab w:val="left" w:pos="567"/>
        </w:tabs>
        <w:ind w:left="0" w:firstLine="0"/>
        <w:jc w:val="both"/>
        <w:rPr>
          <w:rFonts w:ascii="Arial" w:hAnsi="Arial" w:cs="Arial"/>
          <w:color w:val="000000"/>
          <w:sz w:val="20"/>
        </w:rPr>
      </w:pPr>
      <w:r w:rsidRPr="00292FCD">
        <w:rPr>
          <w:rFonts w:ascii="Arial" w:hAnsi="Arial"/>
          <w:sz w:val="20"/>
          <w:lang w:val="en-CA"/>
        </w:rPr>
        <w:t>Based</w:t>
      </w:r>
      <w:r>
        <w:rPr>
          <w:rFonts w:ascii="Arial" w:eastAsia="SimSun" w:hAnsi="Arial" w:cs="Arial"/>
          <w:color w:val="000000"/>
          <w:sz w:val="20"/>
          <w:lang w:eastAsia="zh-CN"/>
        </w:rPr>
        <w:t xml:space="preserve"> on the above planning assumptions, the increase in personnel costs in 2016/17 has been contained at </w:t>
      </w:r>
      <w:r w:rsidRPr="00C74EEF">
        <w:rPr>
          <w:rFonts w:ascii="Arial" w:hAnsi="Arial" w:cs="Arial"/>
          <w:color w:val="000000"/>
          <w:sz w:val="20"/>
        </w:rPr>
        <w:t>9.</w:t>
      </w:r>
      <w:r w:rsidR="00125302">
        <w:rPr>
          <w:rFonts w:ascii="Arial" w:hAnsi="Arial" w:cs="Arial"/>
          <w:color w:val="000000"/>
          <w:sz w:val="20"/>
        </w:rPr>
        <w:t>6</w:t>
      </w:r>
      <w:r w:rsidRPr="00C74EEF">
        <w:rPr>
          <w:rFonts w:ascii="Arial" w:hAnsi="Arial" w:cs="Arial"/>
          <w:color w:val="000000"/>
          <w:sz w:val="20"/>
        </w:rPr>
        <w:t xml:space="preserve"> million Swiss francs</w:t>
      </w:r>
      <w:r>
        <w:rPr>
          <w:rFonts w:ascii="Arial" w:hAnsi="Arial" w:cs="Arial"/>
          <w:color w:val="000000"/>
          <w:sz w:val="20"/>
        </w:rPr>
        <w:t>,</w:t>
      </w:r>
      <w:r w:rsidRPr="00C74EEF">
        <w:rPr>
          <w:rFonts w:ascii="Arial" w:hAnsi="Arial" w:cs="Arial"/>
          <w:color w:val="000000"/>
          <w:sz w:val="20"/>
        </w:rPr>
        <w:t xml:space="preserve"> or 2.1 percent</w:t>
      </w:r>
      <w:r>
        <w:rPr>
          <w:rFonts w:ascii="Arial" w:hAnsi="Arial" w:cs="Arial"/>
          <w:color w:val="000000"/>
          <w:sz w:val="20"/>
        </w:rPr>
        <w:t>,</w:t>
      </w:r>
      <w:r w:rsidRPr="00C74EEF">
        <w:rPr>
          <w:rFonts w:ascii="Arial" w:hAnsi="Arial" w:cs="Arial"/>
          <w:color w:val="000000"/>
          <w:sz w:val="20"/>
        </w:rPr>
        <w:t xml:space="preserve"> compared to the </w:t>
      </w:r>
      <w:r>
        <w:rPr>
          <w:rFonts w:ascii="Arial" w:hAnsi="Arial" w:cs="Arial"/>
          <w:color w:val="000000"/>
          <w:sz w:val="20"/>
        </w:rPr>
        <w:t xml:space="preserve">2014/15 Approved Budget. Compared to the 2014/15 Budget after Transfers, the increase amounts to </w:t>
      </w:r>
      <w:r w:rsidRPr="005E1E37">
        <w:rPr>
          <w:rFonts w:ascii="Arial" w:eastAsia="SimSun" w:hAnsi="Arial" w:cs="Arial"/>
          <w:color w:val="000000"/>
          <w:sz w:val="20"/>
          <w:lang w:eastAsia="zh-CN"/>
        </w:rPr>
        <w:t>10.3 million or 2.3</w:t>
      </w:r>
      <w:r>
        <w:rPr>
          <w:rFonts w:ascii="Arial" w:eastAsia="SimSun" w:hAnsi="Arial" w:cs="Arial"/>
          <w:color w:val="000000"/>
          <w:sz w:val="20"/>
          <w:lang w:eastAsia="zh-CN"/>
        </w:rPr>
        <w:t xml:space="preserve"> per cent. T</w:t>
      </w:r>
      <w:r w:rsidRPr="00813EC7">
        <w:rPr>
          <w:rFonts w:ascii="Arial" w:eastAsia="SimSun" w:hAnsi="Arial" w:cs="Arial"/>
          <w:color w:val="000000"/>
          <w:sz w:val="20"/>
          <w:lang w:eastAsia="zh-CN"/>
        </w:rPr>
        <w:t>he share of budgeted personnel costs compared to the total budget has decreased from 66.3 per cent in 2014/15 to 64.6 per cent in 2016/17.</w:t>
      </w:r>
      <w:r>
        <w:rPr>
          <w:rFonts w:ascii="Arial" w:eastAsia="SimSun" w:hAnsi="Arial" w:cs="Arial"/>
          <w:color w:val="000000"/>
          <w:sz w:val="20"/>
          <w:lang w:eastAsia="zh-CN"/>
        </w:rPr>
        <w:t xml:space="preserve"> This is the result of a conscious strategy to contain personnel costs as well as the share of the personnel cost of the total expenditure of the Organization and move towards a more agile and flexible workforce which can easily adapt to business needs.  </w:t>
      </w:r>
    </w:p>
    <w:p w14:paraId="28D3BB9A" w14:textId="77777777" w:rsidR="00B67D0A" w:rsidRDefault="00B67D0A" w:rsidP="00F02301">
      <w:pPr>
        <w:widowControl w:val="0"/>
        <w:tabs>
          <w:tab w:val="num" w:pos="690"/>
        </w:tabs>
        <w:jc w:val="both"/>
        <w:rPr>
          <w:rFonts w:ascii="Arial" w:eastAsia="SimSun" w:hAnsi="Arial" w:cs="Arial"/>
          <w:color w:val="000000"/>
          <w:sz w:val="20"/>
          <w:lang w:eastAsia="zh-CN"/>
        </w:rPr>
      </w:pPr>
    </w:p>
    <w:p w14:paraId="5DD0C5B4" w14:textId="77777777"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sidRPr="002F070A">
        <w:rPr>
          <w:rFonts w:ascii="Arial" w:hAnsi="Arial"/>
          <w:sz w:val="20"/>
          <w:lang w:val="en-CA"/>
        </w:rPr>
        <w:lastRenderedPageBreak/>
        <w:t>The overall increase in 2016/17 under “Posts”</w:t>
      </w:r>
      <w:r w:rsidRPr="00DA3F93">
        <w:rPr>
          <w:rFonts w:ascii="Arial" w:hAnsi="Arial"/>
          <w:sz w:val="20"/>
          <w:vertAlign w:val="superscript"/>
          <w:lang w:val="en-CA"/>
        </w:rPr>
        <w:footnoteReference w:id="13"/>
      </w:r>
      <w:r w:rsidRPr="002F070A">
        <w:rPr>
          <w:rFonts w:ascii="Arial" w:hAnsi="Arial"/>
          <w:sz w:val="20"/>
          <w:lang w:val="en-CA"/>
        </w:rPr>
        <w:t xml:space="preserve"> compared to the 2014/15 Approved Budget relates primarily to statutory increases. It also reflects completed regularizations offset by a reduction under “Temporary Staff”</w:t>
      </w:r>
      <w:r w:rsidRPr="00DA3F93">
        <w:rPr>
          <w:rFonts w:ascii="Arial" w:hAnsi="Arial"/>
          <w:sz w:val="18"/>
          <w:vertAlign w:val="superscript"/>
          <w:lang w:val="en-CA"/>
        </w:rPr>
        <w:footnoteReference w:id="14"/>
      </w:r>
      <w:r w:rsidRPr="0099282B">
        <w:rPr>
          <w:rFonts w:ascii="Arial" w:hAnsi="Arial"/>
          <w:sz w:val="18"/>
          <w:lang w:val="en-CA"/>
        </w:rPr>
        <w:t>.</w:t>
      </w:r>
      <w:r w:rsidRPr="002F070A">
        <w:rPr>
          <w:rFonts w:ascii="Arial" w:hAnsi="Arial"/>
          <w:sz w:val="20"/>
          <w:lang w:val="en-CA"/>
        </w:rPr>
        <w:t xml:space="preserve">  </w:t>
      </w:r>
    </w:p>
    <w:p w14:paraId="2D3D8486" w14:textId="77777777" w:rsidR="00B67D0A" w:rsidRDefault="00B67D0A" w:rsidP="00F02301">
      <w:pPr>
        <w:pStyle w:val="NormalWeb"/>
        <w:shd w:val="clear" w:color="auto" w:fill="FFFFFF"/>
        <w:jc w:val="both"/>
        <w:rPr>
          <w:color w:val="000000"/>
          <w:sz w:val="20"/>
          <w:szCs w:val="20"/>
        </w:rPr>
      </w:pPr>
    </w:p>
    <w:p w14:paraId="2C11E55E" w14:textId="0B57428A"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sidRPr="002F070A">
        <w:rPr>
          <w:rFonts w:ascii="Arial" w:hAnsi="Arial"/>
          <w:sz w:val="20"/>
          <w:lang w:val="en-CA"/>
        </w:rPr>
        <w:t>The net reduction under “Other Staff Costs” is due to estimated savings of 400,000 Swiss francs in respect of Professional Accident Insurance (PAI), partly offset by an increase of 50,000 Swiss francs for the Closed Pension Fund and an increase of approximately 120,000</w:t>
      </w:r>
      <w:r w:rsidR="006A08A2">
        <w:rPr>
          <w:rFonts w:ascii="Arial" w:hAnsi="Arial"/>
          <w:sz w:val="20"/>
          <w:lang w:val="en-CA"/>
        </w:rPr>
        <w:t xml:space="preserve"> Swiss francs</w:t>
      </w:r>
      <w:r w:rsidRPr="002F070A">
        <w:rPr>
          <w:rFonts w:ascii="Arial" w:hAnsi="Arial"/>
          <w:sz w:val="20"/>
          <w:lang w:val="en-CA"/>
        </w:rPr>
        <w:t xml:space="preserve"> under the WIPO Rewards and Recognition program.</w:t>
      </w:r>
    </w:p>
    <w:p w14:paraId="45991513" w14:textId="77777777" w:rsidR="00B67D0A" w:rsidRDefault="00B67D0A" w:rsidP="00F02301">
      <w:pPr>
        <w:pStyle w:val="NormalWeb"/>
        <w:shd w:val="clear" w:color="auto" w:fill="FFFFFF"/>
        <w:jc w:val="both"/>
        <w:rPr>
          <w:sz w:val="20"/>
          <w:szCs w:val="20"/>
        </w:rPr>
      </w:pPr>
    </w:p>
    <w:p w14:paraId="1CCA5026" w14:textId="79F5F7B7" w:rsidR="00B67D0A" w:rsidRPr="002F070A" w:rsidRDefault="00B67D0A" w:rsidP="00B66A4A">
      <w:pPr>
        <w:pStyle w:val="ListParagraph"/>
        <w:widowControl w:val="0"/>
        <w:numPr>
          <w:ilvl w:val="0"/>
          <w:numId w:val="33"/>
        </w:numPr>
        <w:tabs>
          <w:tab w:val="left" w:pos="567"/>
        </w:tabs>
        <w:ind w:left="0" w:firstLine="0"/>
        <w:jc w:val="both"/>
        <w:rPr>
          <w:rFonts w:ascii="Arial" w:hAnsi="Arial"/>
          <w:sz w:val="20"/>
          <w:lang w:val="en-CA"/>
        </w:rPr>
      </w:pPr>
      <w:r w:rsidRPr="002F070A">
        <w:rPr>
          <w:rFonts w:ascii="Arial" w:hAnsi="Arial"/>
          <w:sz w:val="20"/>
          <w:lang w:val="en-CA"/>
        </w:rPr>
        <w:t xml:space="preserve">The net increase under “Unallocated (Personnel)” is mainly due to the provisioning of overtime expenses of 2 million Swiss francs, </w:t>
      </w:r>
      <w:r w:rsidR="00D05C3F">
        <w:rPr>
          <w:rFonts w:ascii="Arial" w:hAnsi="Arial"/>
          <w:sz w:val="20"/>
          <w:lang w:val="en-CA"/>
        </w:rPr>
        <w:t xml:space="preserve">previously budgeted under “Posts”, </w:t>
      </w:r>
      <w:r w:rsidRPr="002F070A">
        <w:rPr>
          <w:rFonts w:ascii="Arial" w:hAnsi="Arial"/>
          <w:sz w:val="20"/>
          <w:lang w:val="en-CA"/>
        </w:rPr>
        <w:t xml:space="preserve">partly offset by an overall reduction of 500,000 Swiss francs for </w:t>
      </w:r>
      <w:r w:rsidR="00350AA3">
        <w:rPr>
          <w:rFonts w:ascii="Arial" w:hAnsi="Arial"/>
          <w:sz w:val="20"/>
          <w:lang w:val="en-CA"/>
        </w:rPr>
        <w:t>r</w:t>
      </w:r>
      <w:r w:rsidR="00350AA3" w:rsidRPr="002F070A">
        <w:rPr>
          <w:rFonts w:ascii="Arial" w:hAnsi="Arial"/>
          <w:sz w:val="20"/>
          <w:lang w:val="en-CA"/>
        </w:rPr>
        <w:t>eclassification</w:t>
      </w:r>
      <w:r w:rsidR="00350AA3">
        <w:rPr>
          <w:rFonts w:ascii="Arial" w:hAnsi="Arial"/>
          <w:sz w:val="20"/>
          <w:lang w:val="en-CA"/>
        </w:rPr>
        <w:t>s</w:t>
      </w:r>
      <w:r w:rsidR="00350AA3" w:rsidRPr="002F070A">
        <w:rPr>
          <w:rFonts w:ascii="Arial" w:hAnsi="Arial"/>
          <w:sz w:val="20"/>
          <w:lang w:val="en-CA"/>
        </w:rPr>
        <w:t xml:space="preserve"> </w:t>
      </w:r>
      <w:r w:rsidRPr="002F070A">
        <w:rPr>
          <w:rFonts w:ascii="Arial" w:hAnsi="Arial"/>
          <w:sz w:val="20"/>
          <w:lang w:val="en-CA"/>
        </w:rPr>
        <w:t>and approximately 500,000</w:t>
      </w:r>
      <w:r w:rsidR="006A08A2">
        <w:rPr>
          <w:rFonts w:ascii="Arial" w:hAnsi="Arial"/>
          <w:sz w:val="20"/>
          <w:lang w:val="en-CA"/>
        </w:rPr>
        <w:t xml:space="preserve"> Swiss francs</w:t>
      </w:r>
      <w:r w:rsidRPr="002F070A">
        <w:rPr>
          <w:rFonts w:ascii="Arial" w:hAnsi="Arial"/>
          <w:sz w:val="20"/>
          <w:lang w:val="en-CA"/>
        </w:rPr>
        <w:t xml:space="preserve"> for </w:t>
      </w:r>
      <w:r w:rsidR="00350AA3">
        <w:rPr>
          <w:rFonts w:ascii="Arial" w:hAnsi="Arial"/>
          <w:sz w:val="20"/>
          <w:lang w:val="en-CA"/>
        </w:rPr>
        <w:t>r</w:t>
      </w:r>
      <w:r w:rsidR="00350AA3" w:rsidRPr="002F070A">
        <w:rPr>
          <w:rFonts w:ascii="Arial" w:hAnsi="Arial"/>
          <w:sz w:val="20"/>
          <w:lang w:val="en-CA"/>
        </w:rPr>
        <w:t>egularization</w:t>
      </w:r>
      <w:r w:rsidR="00350AA3">
        <w:rPr>
          <w:rFonts w:ascii="Arial" w:hAnsi="Arial"/>
          <w:sz w:val="20"/>
          <w:lang w:val="en-CA"/>
        </w:rPr>
        <w:t>s</w:t>
      </w:r>
      <w:r w:rsidR="00350AA3" w:rsidRPr="002F070A">
        <w:rPr>
          <w:rFonts w:ascii="Arial" w:hAnsi="Arial"/>
          <w:sz w:val="20"/>
          <w:lang w:val="en-CA"/>
        </w:rPr>
        <w:t xml:space="preserve"> </w:t>
      </w:r>
      <w:r w:rsidRPr="002F070A">
        <w:rPr>
          <w:rFonts w:ascii="Arial" w:hAnsi="Arial"/>
          <w:sz w:val="20"/>
          <w:lang w:val="en-CA"/>
        </w:rPr>
        <w:t>as compared to the 2014/15 Approved Budget.</w:t>
      </w:r>
    </w:p>
    <w:p w14:paraId="187177E8" w14:textId="77777777" w:rsidR="00B67D0A" w:rsidRDefault="00B67D0A" w:rsidP="00F02301">
      <w:pPr>
        <w:widowControl w:val="0"/>
        <w:tabs>
          <w:tab w:val="num" w:pos="690"/>
        </w:tabs>
        <w:jc w:val="both"/>
        <w:rPr>
          <w:rFonts w:ascii="Arial" w:eastAsia="SimSun" w:hAnsi="Arial" w:cs="Arial"/>
          <w:color w:val="000000"/>
          <w:sz w:val="20"/>
          <w:lang w:eastAsia="zh-CN"/>
        </w:rPr>
      </w:pPr>
    </w:p>
    <w:p w14:paraId="5411B84D" w14:textId="6132C9FA" w:rsidR="00B67D0A" w:rsidRPr="00F51335" w:rsidRDefault="005412E8" w:rsidP="00F51335">
      <w:pPr>
        <w:keepNext/>
        <w:keepLines/>
        <w:jc w:val="center"/>
        <w:rPr>
          <w:rFonts w:ascii="Arial" w:hAnsi="Arial" w:cs="Arial"/>
          <w:b/>
          <w:sz w:val="20"/>
          <w:szCs w:val="16"/>
        </w:rPr>
      </w:pPr>
      <w:r>
        <w:rPr>
          <w:rFonts w:ascii="Arial" w:hAnsi="Arial" w:cs="Arial"/>
          <w:b/>
          <w:sz w:val="20"/>
          <w:szCs w:val="16"/>
        </w:rPr>
        <w:t xml:space="preserve">Chart 4.  </w:t>
      </w:r>
      <w:r w:rsidR="00B67D0A" w:rsidRPr="00F51335">
        <w:rPr>
          <w:rFonts w:ascii="Arial" w:hAnsi="Arial" w:cs="Arial"/>
          <w:b/>
          <w:sz w:val="20"/>
          <w:szCs w:val="16"/>
        </w:rPr>
        <w:t>Cost Structure Evolution 1990/91-2016/17</w:t>
      </w:r>
    </w:p>
    <w:p w14:paraId="46D84494" w14:textId="77777777" w:rsidR="00B67D0A" w:rsidRDefault="00B67D0A" w:rsidP="00F51335">
      <w:pPr>
        <w:keepNext/>
        <w:keepLines/>
        <w:widowControl w:val="0"/>
        <w:tabs>
          <w:tab w:val="num" w:pos="690"/>
        </w:tabs>
        <w:jc w:val="both"/>
        <w:rPr>
          <w:rFonts w:ascii="Arial" w:eastAsia="SimSun" w:hAnsi="Arial" w:cs="Arial"/>
          <w:color w:val="000000"/>
          <w:sz w:val="20"/>
          <w:lang w:eastAsia="zh-CN"/>
        </w:rPr>
      </w:pPr>
    </w:p>
    <w:p w14:paraId="71CBBD1A" w14:textId="5D6340F5" w:rsidR="00B67D0A" w:rsidRDefault="00123A82" w:rsidP="00F51335">
      <w:pPr>
        <w:keepNext/>
        <w:keepLines/>
        <w:widowControl w:val="0"/>
        <w:tabs>
          <w:tab w:val="num" w:pos="690"/>
        </w:tabs>
        <w:jc w:val="both"/>
        <w:rPr>
          <w:rFonts w:ascii="Arial" w:eastAsia="SimSun" w:hAnsi="Arial" w:cs="Arial"/>
          <w:color w:val="000000"/>
          <w:sz w:val="20"/>
          <w:lang w:eastAsia="zh-CN"/>
        </w:rPr>
      </w:pPr>
      <w:r>
        <w:rPr>
          <w:rFonts w:ascii="Arial" w:eastAsia="SimSun" w:hAnsi="Arial" w:cs="Arial"/>
          <w:noProof/>
          <w:color w:val="000000"/>
          <w:sz w:val="20"/>
          <w:lang w:eastAsia="en-US"/>
        </w:rPr>
        <w:drawing>
          <wp:inline distT="0" distB="0" distL="0" distR="0" wp14:anchorId="14191FFA" wp14:editId="2ED855BB">
            <wp:extent cx="5986732" cy="2339340"/>
            <wp:effectExtent l="0" t="0" r="0" b="381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97155" cy="2343413"/>
                    </a:xfrm>
                    <a:prstGeom prst="rect">
                      <a:avLst/>
                    </a:prstGeom>
                    <a:noFill/>
                  </pic:spPr>
                </pic:pic>
              </a:graphicData>
            </a:graphic>
          </wp:inline>
        </w:drawing>
      </w:r>
    </w:p>
    <w:p w14:paraId="30227865" w14:textId="77777777" w:rsidR="00B67D0A" w:rsidRDefault="00B67D0A" w:rsidP="00F02301">
      <w:pPr>
        <w:widowControl w:val="0"/>
        <w:tabs>
          <w:tab w:val="num" w:pos="690"/>
        </w:tabs>
        <w:jc w:val="both"/>
        <w:rPr>
          <w:rFonts w:ascii="Arial" w:eastAsia="SimSun" w:hAnsi="Arial" w:cs="Arial"/>
          <w:color w:val="000000"/>
          <w:sz w:val="20"/>
          <w:lang w:eastAsia="zh-CN"/>
        </w:rPr>
      </w:pPr>
    </w:p>
    <w:p w14:paraId="5CA0ED5C" w14:textId="77777777" w:rsidR="004D21CD" w:rsidRDefault="004D21CD" w:rsidP="00F02301">
      <w:pPr>
        <w:widowControl w:val="0"/>
        <w:tabs>
          <w:tab w:val="num" w:pos="690"/>
        </w:tabs>
        <w:jc w:val="both"/>
        <w:rPr>
          <w:rFonts w:ascii="Arial" w:eastAsia="SimSun" w:hAnsi="Arial" w:cs="Arial"/>
          <w:color w:val="000000"/>
          <w:sz w:val="20"/>
          <w:lang w:eastAsia="zh-CN"/>
        </w:rPr>
      </w:pPr>
    </w:p>
    <w:p w14:paraId="35718E63" w14:textId="77777777" w:rsidR="00B67D0A" w:rsidRPr="00F66122" w:rsidRDefault="00B67D0A" w:rsidP="00F66122">
      <w:pPr>
        <w:pStyle w:val="StyleHeading3ComplexItalic"/>
        <w:tabs>
          <w:tab w:val="clear" w:pos="1985"/>
          <w:tab w:val="left" w:pos="1843"/>
        </w:tabs>
        <w:ind w:left="1843" w:hanging="1843"/>
        <w:rPr>
          <w:sz w:val="20"/>
        </w:rPr>
      </w:pPr>
      <w:bookmarkStart w:id="19" w:name="_Toc367350569"/>
      <w:bookmarkStart w:id="20" w:name="_Toc427154392"/>
      <w:r w:rsidRPr="00F66122">
        <w:rPr>
          <w:sz w:val="20"/>
        </w:rPr>
        <w:t>DEVELOPMENT ACTIVITIES AND DEVELOPMENT AGENDA RESOURCES</w:t>
      </w:r>
      <w:bookmarkEnd w:id="19"/>
      <w:bookmarkEnd w:id="20"/>
    </w:p>
    <w:p w14:paraId="607041AE" w14:textId="77777777" w:rsidR="00B67D0A" w:rsidRDefault="00B67D0A" w:rsidP="00F02301">
      <w:pPr>
        <w:widowControl w:val="0"/>
        <w:jc w:val="both"/>
        <w:rPr>
          <w:rFonts w:ascii="Arial" w:hAnsi="Arial" w:cs="Arial"/>
          <w:bCs/>
          <w:sz w:val="20"/>
        </w:rPr>
      </w:pPr>
    </w:p>
    <w:p w14:paraId="4D94A89F" w14:textId="1CA469A0" w:rsidR="00B67D0A" w:rsidRPr="009960A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292FCD">
        <w:rPr>
          <w:rFonts w:ascii="Arial" w:hAnsi="Arial"/>
          <w:sz w:val="20"/>
          <w:lang w:val="en-CA"/>
        </w:rPr>
        <w:t>Development</w:t>
      </w:r>
      <w:r w:rsidRPr="00BE7822">
        <w:rPr>
          <w:rFonts w:ascii="Arial" w:hAnsi="Arial"/>
          <w:sz w:val="20"/>
        </w:rPr>
        <w:t xml:space="preserve"> continues to be a priority in the biennium 2016/17</w:t>
      </w:r>
      <w:r>
        <w:rPr>
          <w:rFonts w:ascii="Arial" w:hAnsi="Arial"/>
          <w:sz w:val="20"/>
        </w:rPr>
        <w:t xml:space="preserve"> </w:t>
      </w:r>
      <w:r w:rsidRPr="00BE7822">
        <w:rPr>
          <w:rFonts w:ascii="Arial" w:hAnsi="Arial"/>
          <w:sz w:val="20"/>
        </w:rPr>
        <w:t xml:space="preserve">reflected by a stable development share of </w:t>
      </w:r>
      <w:r>
        <w:rPr>
          <w:rFonts w:ascii="Arial" w:hAnsi="Arial"/>
          <w:sz w:val="20"/>
        </w:rPr>
        <w:t>21.</w:t>
      </w:r>
      <w:r w:rsidR="006342AC">
        <w:rPr>
          <w:rFonts w:ascii="Arial" w:hAnsi="Arial"/>
          <w:sz w:val="20"/>
        </w:rPr>
        <w:t xml:space="preserve">1 </w:t>
      </w:r>
      <w:r>
        <w:rPr>
          <w:rFonts w:ascii="Arial" w:hAnsi="Arial"/>
          <w:sz w:val="20"/>
        </w:rPr>
        <w:t>per cent</w:t>
      </w:r>
      <w:r w:rsidRPr="00BE7822">
        <w:rPr>
          <w:rFonts w:ascii="Arial" w:hAnsi="Arial"/>
          <w:sz w:val="20"/>
        </w:rPr>
        <w:t xml:space="preserve"> in the next biennium</w:t>
      </w:r>
      <w:r>
        <w:rPr>
          <w:rFonts w:ascii="Arial" w:hAnsi="Arial"/>
          <w:sz w:val="20"/>
        </w:rPr>
        <w:t>.</w:t>
      </w:r>
      <w:r w:rsidRPr="00BE7822">
        <w:rPr>
          <w:rFonts w:ascii="Arial" w:hAnsi="Arial"/>
          <w:sz w:val="20"/>
        </w:rPr>
        <w:t xml:space="preserve"> </w:t>
      </w:r>
      <w:r w:rsidR="00D05C3F">
        <w:rPr>
          <w:rFonts w:ascii="Arial" w:hAnsi="Arial"/>
          <w:sz w:val="20"/>
        </w:rPr>
        <w:t xml:space="preserve">The absolute increase in development expenditure in 2016/17 represents </w:t>
      </w:r>
      <w:r w:rsidR="006342AC">
        <w:rPr>
          <w:rFonts w:ascii="Arial" w:hAnsi="Arial"/>
          <w:sz w:val="20"/>
        </w:rPr>
        <w:t>5.8</w:t>
      </w:r>
      <w:r w:rsidR="00D05C3F">
        <w:rPr>
          <w:rFonts w:ascii="Arial" w:hAnsi="Arial"/>
          <w:sz w:val="20"/>
        </w:rPr>
        <w:t xml:space="preserve"> million Swiss francs, or </w:t>
      </w:r>
      <w:r w:rsidR="006342AC">
        <w:rPr>
          <w:rFonts w:ascii="Arial" w:hAnsi="Arial"/>
          <w:sz w:val="20"/>
        </w:rPr>
        <w:t>4</w:t>
      </w:r>
      <w:r w:rsidR="00D05C3F">
        <w:rPr>
          <w:rFonts w:ascii="Arial" w:hAnsi="Arial"/>
          <w:sz w:val="20"/>
        </w:rPr>
        <w:t xml:space="preserve"> per cent, compared to the 2014/15 Approved Budget. </w:t>
      </w:r>
      <w:r w:rsidRPr="009825DD">
        <w:rPr>
          <w:rFonts w:ascii="Arial" w:hAnsi="Arial" w:cs="Arial"/>
          <w:sz w:val="20"/>
        </w:rPr>
        <w:t>The table below provides</w:t>
      </w:r>
      <w:r>
        <w:rPr>
          <w:rFonts w:ascii="Arial" w:hAnsi="Arial" w:cs="Arial"/>
          <w:sz w:val="20"/>
        </w:rPr>
        <w:t xml:space="preserve"> details of the development expenditure for 2016/17 by Program.  Expenditure is qualified as </w:t>
      </w:r>
      <w:r w:rsidRPr="00A31D54">
        <w:rPr>
          <w:rFonts w:ascii="Arial" w:hAnsi="Arial" w:cs="Arial"/>
          <w:i/>
          <w:iCs/>
          <w:sz w:val="20"/>
        </w:rPr>
        <w:t>development expenditure</w:t>
      </w:r>
      <w:r w:rsidRPr="00A31D54">
        <w:rPr>
          <w:rFonts w:ascii="Arial" w:hAnsi="Arial" w:cs="Arial"/>
          <w:sz w:val="20"/>
        </w:rPr>
        <w:t>,</w:t>
      </w:r>
      <w:r>
        <w:rPr>
          <w:rFonts w:ascii="Arial" w:hAnsi="Arial" w:cs="Arial"/>
          <w:sz w:val="20"/>
        </w:rPr>
        <w:t xml:space="preserve"> only where the beneficiary is a developing country and the equivalent expenditure is not available for developed countries.  </w:t>
      </w:r>
      <w:r w:rsidRPr="009825DD">
        <w:rPr>
          <w:rFonts w:ascii="Arial" w:hAnsi="Arial" w:cs="Arial"/>
          <w:sz w:val="20"/>
        </w:rPr>
        <w:t xml:space="preserve">These </w:t>
      </w:r>
      <w:r>
        <w:rPr>
          <w:rFonts w:ascii="Arial" w:hAnsi="Arial" w:cs="Arial"/>
          <w:sz w:val="20"/>
        </w:rPr>
        <w:t>amounts</w:t>
      </w:r>
      <w:r w:rsidRPr="009825DD">
        <w:rPr>
          <w:rFonts w:ascii="Arial" w:hAnsi="Arial" w:cs="Arial"/>
          <w:sz w:val="20"/>
        </w:rPr>
        <w:t xml:space="preserve"> exclude foregone revenues resulting from the fee reductions accorded under the international registration systems </w:t>
      </w:r>
      <w:r>
        <w:rPr>
          <w:rFonts w:ascii="Arial" w:hAnsi="Arial" w:cs="Arial"/>
          <w:sz w:val="20"/>
        </w:rPr>
        <w:t>for</w:t>
      </w:r>
      <w:r w:rsidRPr="009825DD">
        <w:rPr>
          <w:rFonts w:ascii="Arial" w:hAnsi="Arial" w:cs="Arial"/>
          <w:sz w:val="20"/>
        </w:rPr>
        <w:t xml:space="preserve"> applicants from </w:t>
      </w:r>
      <w:r>
        <w:rPr>
          <w:rFonts w:ascii="Arial" w:hAnsi="Arial" w:cs="Arial"/>
          <w:sz w:val="20"/>
        </w:rPr>
        <w:t>developing countries</w:t>
      </w:r>
      <w:r>
        <w:rPr>
          <w:rStyle w:val="FootnoteReference"/>
          <w:rFonts w:ascii="Arial" w:hAnsi="Arial" w:cs="Arial"/>
        </w:rPr>
        <w:footnoteReference w:id="15"/>
      </w:r>
      <w:r w:rsidRPr="009825DD">
        <w:rPr>
          <w:rFonts w:ascii="Arial" w:hAnsi="Arial" w:cs="Arial"/>
          <w:sz w:val="20"/>
        </w:rPr>
        <w:t>.</w:t>
      </w:r>
      <w:r>
        <w:rPr>
          <w:rFonts w:ascii="Arial" w:hAnsi="Arial" w:cs="Arial"/>
          <w:sz w:val="20"/>
        </w:rPr>
        <w:t xml:space="preserve">  If such expenditure were to be included, the overall figure for </w:t>
      </w:r>
      <w:r w:rsidRPr="00A31D54">
        <w:rPr>
          <w:rFonts w:ascii="Arial" w:hAnsi="Arial" w:cs="Arial"/>
          <w:i/>
          <w:iCs/>
          <w:sz w:val="20"/>
        </w:rPr>
        <w:t>development expenditure</w:t>
      </w:r>
      <w:r>
        <w:rPr>
          <w:rFonts w:ascii="Arial" w:hAnsi="Arial" w:cs="Arial"/>
          <w:sz w:val="20"/>
        </w:rPr>
        <w:t xml:space="preserve"> would be higher. </w:t>
      </w:r>
    </w:p>
    <w:p w14:paraId="5B15B1A1" w14:textId="77777777" w:rsidR="00B67D0A" w:rsidRDefault="00B67D0A" w:rsidP="00F02301">
      <w:pPr>
        <w:ind w:left="-426"/>
      </w:pPr>
    </w:p>
    <w:p w14:paraId="6A4C4D78" w14:textId="77777777" w:rsidR="00B67D0A" w:rsidRPr="00F51335" w:rsidRDefault="00B67D0A" w:rsidP="0099282B">
      <w:pPr>
        <w:keepNext/>
        <w:keepLines/>
        <w:ind w:left="-425"/>
        <w:jc w:val="center"/>
        <w:rPr>
          <w:rFonts w:ascii="Arial" w:hAnsi="Arial" w:cs="Arial"/>
          <w:b/>
          <w:sz w:val="20"/>
          <w:szCs w:val="20"/>
        </w:rPr>
      </w:pPr>
      <w:r w:rsidRPr="00F51335">
        <w:rPr>
          <w:rFonts w:ascii="Arial" w:hAnsi="Arial" w:cs="Arial"/>
          <w:b/>
          <w:sz w:val="20"/>
          <w:szCs w:val="20"/>
        </w:rPr>
        <w:lastRenderedPageBreak/>
        <w:t>Table 6.  Development Expenditures in 2016/17 by Program</w:t>
      </w:r>
    </w:p>
    <w:p w14:paraId="0C44E896" w14:textId="77777777" w:rsidR="00B67D0A" w:rsidRPr="00F51335" w:rsidRDefault="00B67D0A" w:rsidP="0099282B">
      <w:pPr>
        <w:keepNext/>
        <w:keepLines/>
        <w:ind w:left="-425"/>
        <w:jc w:val="center"/>
        <w:rPr>
          <w:rFonts w:ascii="Arial" w:hAnsi="Arial" w:cs="Arial"/>
          <w:i/>
          <w:sz w:val="20"/>
          <w:szCs w:val="20"/>
        </w:rPr>
      </w:pPr>
      <w:r w:rsidRPr="00F51335">
        <w:rPr>
          <w:rFonts w:ascii="Arial" w:hAnsi="Arial" w:cs="Arial"/>
          <w:i/>
          <w:sz w:val="20"/>
          <w:szCs w:val="20"/>
        </w:rPr>
        <w:t>(in thousands of Swiss francs)</w:t>
      </w:r>
    </w:p>
    <w:p w14:paraId="4A11F0DE" w14:textId="6A74E57B" w:rsidR="00B67D0A" w:rsidRPr="002B2C77" w:rsidRDefault="00FA1094" w:rsidP="00FA1094">
      <w:pPr>
        <w:keepNext/>
        <w:keepLines/>
        <w:ind w:left="-142"/>
        <w:jc w:val="center"/>
        <w:rPr>
          <w:rFonts w:ascii="Arial" w:hAnsi="Arial" w:cs="Arial"/>
          <w:i/>
          <w:sz w:val="18"/>
          <w:szCs w:val="18"/>
        </w:rPr>
      </w:pPr>
      <w:r w:rsidRPr="00FA1094">
        <w:rPr>
          <w:sz w:val="20"/>
          <w:szCs w:val="20"/>
        </w:rPr>
        <w:t xml:space="preserve"> </w:t>
      </w:r>
      <w:r w:rsidRPr="00FA1094">
        <w:rPr>
          <w:noProof/>
          <w:lang w:eastAsia="en-US"/>
        </w:rPr>
        <w:drawing>
          <wp:inline distT="0" distB="0" distL="0" distR="0" wp14:anchorId="7A207F3A" wp14:editId="393372A0">
            <wp:extent cx="6007555" cy="4019107"/>
            <wp:effectExtent l="0" t="0" r="0" b="635"/>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07555" cy="4019107"/>
                    </a:xfrm>
                    <a:prstGeom prst="rect">
                      <a:avLst/>
                    </a:prstGeom>
                    <a:noFill/>
                    <a:ln>
                      <a:noFill/>
                    </a:ln>
                  </pic:spPr>
                </pic:pic>
              </a:graphicData>
            </a:graphic>
          </wp:inline>
        </w:drawing>
      </w:r>
    </w:p>
    <w:p w14:paraId="4A351C19" w14:textId="68DC8F73" w:rsidR="00B67D0A" w:rsidRDefault="00055D38" w:rsidP="002F75BB">
      <w:pPr>
        <w:jc w:val="center"/>
        <w:rPr>
          <w:rFonts w:ascii="Arial" w:hAnsi="Arial" w:cs="Arial"/>
          <w:sz w:val="20"/>
        </w:rPr>
      </w:pPr>
      <w:r>
        <w:pict w14:anchorId="3EF274FA">
          <v:shape id="_x0000_i1026" type="#_x0000_t75" style="width:50.25pt;height:12.75pt">
            <v:imagedata r:id="rId31" o:title=""/>
          </v:shape>
        </w:pict>
      </w:r>
    </w:p>
    <w:p w14:paraId="7283CC1D" w14:textId="77777777"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sidRPr="00292FCD">
        <w:rPr>
          <w:rFonts w:ascii="Arial" w:hAnsi="Arial"/>
          <w:sz w:val="20"/>
          <w:lang w:val="en-CA"/>
        </w:rPr>
        <w:t>The</w:t>
      </w:r>
      <w:r w:rsidRPr="00220DEC">
        <w:rPr>
          <w:rFonts w:ascii="Arial" w:hAnsi="Arial" w:cs="Arial"/>
          <w:sz w:val="20"/>
        </w:rPr>
        <w:t xml:space="preserve"> methodology </w:t>
      </w:r>
      <w:r>
        <w:rPr>
          <w:rFonts w:ascii="Arial" w:hAnsi="Arial" w:cs="Arial"/>
          <w:sz w:val="20"/>
        </w:rPr>
        <w:t xml:space="preserve">applied to estimate </w:t>
      </w:r>
      <w:r w:rsidRPr="00220DEC">
        <w:rPr>
          <w:rFonts w:ascii="Arial" w:hAnsi="Arial" w:cs="Arial"/>
          <w:sz w:val="20"/>
        </w:rPr>
        <w:t xml:space="preserve">the development share of the budget </w:t>
      </w:r>
      <w:r>
        <w:rPr>
          <w:rFonts w:ascii="Arial" w:hAnsi="Arial" w:cs="Arial"/>
          <w:sz w:val="20"/>
        </w:rPr>
        <w:t xml:space="preserve">for 2016/17 is fully in line and consistent with the methodology adopted in 2014/15.  </w:t>
      </w:r>
    </w:p>
    <w:p w14:paraId="453A56FE" w14:textId="77777777" w:rsidR="00B67D0A" w:rsidRDefault="00B67D0A" w:rsidP="00F02301">
      <w:pPr>
        <w:widowControl w:val="0"/>
        <w:jc w:val="both"/>
        <w:rPr>
          <w:rFonts w:ascii="Arial" w:hAnsi="Arial" w:cs="Arial"/>
          <w:sz w:val="20"/>
        </w:rPr>
      </w:pPr>
    </w:p>
    <w:p w14:paraId="6A281BAC" w14:textId="77777777" w:rsidR="00B67D0A" w:rsidRDefault="00B67D0A" w:rsidP="00B66A4A">
      <w:pPr>
        <w:pStyle w:val="ListParagraph"/>
        <w:widowControl w:val="0"/>
        <w:numPr>
          <w:ilvl w:val="0"/>
          <w:numId w:val="33"/>
        </w:numPr>
        <w:tabs>
          <w:tab w:val="left" w:pos="567"/>
        </w:tabs>
        <w:ind w:left="0" w:firstLine="0"/>
        <w:jc w:val="both"/>
        <w:rPr>
          <w:rFonts w:ascii="Arial" w:hAnsi="Arial" w:cs="Arial"/>
          <w:sz w:val="20"/>
        </w:rPr>
      </w:pPr>
      <w:r>
        <w:rPr>
          <w:rFonts w:ascii="Arial" w:hAnsi="Arial" w:cs="Arial"/>
          <w:sz w:val="20"/>
        </w:rPr>
        <w:t>A</w:t>
      </w:r>
      <w:r w:rsidRPr="00C100D2">
        <w:rPr>
          <w:rFonts w:ascii="Arial" w:hAnsi="Arial" w:cs="Arial"/>
          <w:sz w:val="20"/>
        </w:rPr>
        <w:t xml:space="preserve"> total </w:t>
      </w:r>
      <w:r>
        <w:rPr>
          <w:rFonts w:ascii="Arial" w:hAnsi="Arial" w:cs="Arial"/>
          <w:sz w:val="20"/>
        </w:rPr>
        <w:t>o</w:t>
      </w:r>
      <w:r w:rsidRPr="00C100D2">
        <w:rPr>
          <w:rFonts w:ascii="Arial" w:hAnsi="Arial" w:cs="Arial"/>
          <w:sz w:val="20"/>
        </w:rPr>
        <w:t xml:space="preserve">f </w:t>
      </w:r>
      <w:r>
        <w:rPr>
          <w:rFonts w:ascii="Arial" w:hAnsi="Arial" w:cs="Arial"/>
          <w:sz w:val="20"/>
        </w:rPr>
        <w:t>2.5</w:t>
      </w:r>
      <w:r w:rsidRPr="00C100D2">
        <w:rPr>
          <w:rFonts w:ascii="Arial" w:hAnsi="Arial" w:cs="Arial"/>
          <w:sz w:val="20"/>
        </w:rPr>
        <w:t xml:space="preserve"> million Swiss francs have been </w:t>
      </w:r>
      <w:r>
        <w:rPr>
          <w:rFonts w:ascii="Arial" w:hAnsi="Arial" w:cs="Arial"/>
          <w:sz w:val="20"/>
        </w:rPr>
        <w:t xml:space="preserve">specifically earmarked </w:t>
      </w:r>
      <w:r w:rsidRPr="00C100D2">
        <w:rPr>
          <w:rFonts w:ascii="Arial" w:hAnsi="Arial" w:cs="Arial"/>
          <w:sz w:val="20"/>
        </w:rPr>
        <w:t xml:space="preserve">within the </w:t>
      </w:r>
      <w:r>
        <w:rPr>
          <w:rFonts w:ascii="Arial" w:hAnsi="Arial" w:cs="Arial"/>
          <w:sz w:val="20"/>
        </w:rPr>
        <w:t xml:space="preserve">budget for </w:t>
      </w:r>
      <w:r w:rsidRPr="00C100D2">
        <w:rPr>
          <w:rFonts w:ascii="Arial" w:hAnsi="Arial" w:cs="Arial"/>
          <w:sz w:val="20"/>
        </w:rPr>
        <w:t>201</w:t>
      </w:r>
      <w:r>
        <w:rPr>
          <w:rFonts w:ascii="Arial" w:hAnsi="Arial" w:cs="Arial"/>
          <w:sz w:val="20"/>
        </w:rPr>
        <w:t>6</w:t>
      </w:r>
      <w:r w:rsidRPr="00C100D2">
        <w:rPr>
          <w:rFonts w:ascii="Arial" w:hAnsi="Arial" w:cs="Arial"/>
          <w:sz w:val="20"/>
        </w:rPr>
        <w:t>/1</w:t>
      </w:r>
      <w:r>
        <w:rPr>
          <w:rFonts w:ascii="Arial" w:hAnsi="Arial" w:cs="Arial"/>
          <w:sz w:val="20"/>
        </w:rPr>
        <w:t xml:space="preserve">7 for the </w:t>
      </w:r>
      <w:r w:rsidRPr="00C100D2">
        <w:rPr>
          <w:rFonts w:ascii="Arial" w:hAnsi="Arial" w:cs="Arial"/>
          <w:sz w:val="20"/>
        </w:rPr>
        <w:t>implementation of D</w:t>
      </w:r>
      <w:r>
        <w:rPr>
          <w:rFonts w:ascii="Arial" w:hAnsi="Arial" w:cs="Arial"/>
          <w:sz w:val="20"/>
        </w:rPr>
        <w:t>A</w:t>
      </w:r>
      <w:r w:rsidRPr="00C100D2">
        <w:rPr>
          <w:rFonts w:ascii="Arial" w:hAnsi="Arial" w:cs="Arial"/>
          <w:sz w:val="20"/>
        </w:rPr>
        <w:t xml:space="preserve"> </w:t>
      </w:r>
      <w:r>
        <w:rPr>
          <w:rFonts w:ascii="Arial" w:hAnsi="Arial" w:cs="Arial"/>
          <w:sz w:val="20"/>
        </w:rPr>
        <w:t>projects, subject to approval by the CDIP.</w:t>
      </w:r>
      <w:r w:rsidRPr="00C100D2">
        <w:rPr>
          <w:rFonts w:ascii="Arial" w:hAnsi="Arial" w:cs="Arial"/>
          <w:sz w:val="20"/>
        </w:rPr>
        <w:t> </w:t>
      </w:r>
    </w:p>
    <w:p w14:paraId="2FF51A28" w14:textId="77777777" w:rsidR="0099282B" w:rsidRDefault="0099282B" w:rsidP="00F02301">
      <w:pPr>
        <w:widowControl w:val="0"/>
        <w:jc w:val="both"/>
        <w:rPr>
          <w:rFonts w:ascii="Arial" w:hAnsi="Arial" w:cs="Arial"/>
          <w:sz w:val="20"/>
        </w:rPr>
      </w:pPr>
    </w:p>
    <w:p w14:paraId="51F3CACB" w14:textId="77777777" w:rsidR="00B67D0A" w:rsidRPr="0099282B" w:rsidRDefault="00B67D0A" w:rsidP="0099282B">
      <w:pPr>
        <w:keepNext/>
        <w:keepLines/>
        <w:jc w:val="center"/>
        <w:rPr>
          <w:rFonts w:ascii="Arial" w:hAnsi="Arial" w:cs="Arial"/>
          <w:b/>
          <w:sz w:val="20"/>
          <w:szCs w:val="20"/>
        </w:rPr>
      </w:pPr>
      <w:r w:rsidRPr="0099282B">
        <w:rPr>
          <w:rFonts w:ascii="Arial" w:hAnsi="Arial" w:cs="Arial"/>
          <w:b/>
          <w:sz w:val="20"/>
          <w:szCs w:val="20"/>
        </w:rPr>
        <w:t>Table 7.  Development Agenda Projects in 2016/17</w:t>
      </w:r>
    </w:p>
    <w:p w14:paraId="10B7AA83" w14:textId="77777777" w:rsidR="00B67D0A" w:rsidRPr="0099282B" w:rsidRDefault="00B67D0A" w:rsidP="0099282B">
      <w:pPr>
        <w:keepNext/>
        <w:keepLines/>
        <w:jc w:val="center"/>
        <w:rPr>
          <w:rFonts w:ascii="Arial" w:hAnsi="Arial" w:cs="Arial"/>
          <w:i/>
          <w:sz w:val="20"/>
          <w:szCs w:val="20"/>
        </w:rPr>
      </w:pPr>
      <w:r w:rsidRPr="0099282B">
        <w:rPr>
          <w:rFonts w:ascii="Arial" w:hAnsi="Arial" w:cs="Arial"/>
          <w:i/>
          <w:sz w:val="20"/>
          <w:szCs w:val="20"/>
        </w:rPr>
        <w:t>(in thousands of Swiss francs)</w:t>
      </w:r>
    </w:p>
    <w:p w14:paraId="7115121E" w14:textId="77777777" w:rsidR="00B67D0A" w:rsidRPr="0099282B" w:rsidRDefault="00B67D0A" w:rsidP="0099282B">
      <w:pPr>
        <w:keepNext/>
        <w:keepLines/>
        <w:jc w:val="center"/>
        <w:rPr>
          <w:rFonts w:ascii="Arial" w:hAnsi="Arial" w:cs="Arial"/>
          <w:i/>
          <w:sz w:val="20"/>
          <w:szCs w:val="20"/>
        </w:rPr>
      </w:pPr>
    </w:p>
    <w:p w14:paraId="50650162" w14:textId="2BF0EE59" w:rsidR="00B67D0A" w:rsidRDefault="00C67B65" w:rsidP="0099282B">
      <w:pPr>
        <w:keepNext/>
        <w:keepLines/>
        <w:jc w:val="center"/>
        <w:rPr>
          <w:sz w:val="20"/>
          <w:szCs w:val="20"/>
        </w:rPr>
      </w:pPr>
      <w:r w:rsidRPr="00C67B65">
        <w:rPr>
          <w:noProof/>
          <w:lang w:eastAsia="en-US"/>
        </w:rPr>
        <w:drawing>
          <wp:inline distT="0" distB="0" distL="0" distR="0" wp14:anchorId="47CC98CE" wp14:editId="19DE827C">
            <wp:extent cx="4904509" cy="2448609"/>
            <wp:effectExtent l="0" t="0" r="0" b="889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11638" cy="2452168"/>
                    </a:xfrm>
                    <a:prstGeom prst="rect">
                      <a:avLst/>
                    </a:prstGeom>
                    <a:noFill/>
                    <a:ln>
                      <a:noFill/>
                    </a:ln>
                  </pic:spPr>
                </pic:pic>
              </a:graphicData>
            </a:graphic>
          </wp:inline>
        </w:drawing>
      </w:r>
    </w:p>
    <w:p w14:paraId="2A281DDD" w14:textId="77777777" w:rsidR="0099282B" w:rsidRPr="00E26CFF" w:rsidRDefault="0099282B" w:rsidP="0099282B">
      <w:pPr>
        <w:keepNext/>
        <w:keepLines/>
        <w:jc w:val="center"/>
        <w:rPr>
          <w:rFonts w:ascii="Arial" w:hAnsi="Arial" w:cs="Arial"/>
          <w:sz w:val="18"/>
          <w:szCs w:val="18"/>
        </w:rPr>
      </w:pPr>
    </w:p>
    <w:p w14:paraId="600E822C" w14:textId="77777777" w:rsidR="0099282B" w:rsidRDefault="00B67D0A" w:rsidP="00F02301">
      <w:pPr>
        <w:widowControl w:val="0"/>
        <w:jc w:val="both"/>
        <w:rPr>
          <w:rFonts w:ascii="Arial" w:hAnsi="Arial" w:cs="Arial"/>
          <w:i/>
          <w:sz w:val="16"/>
          <w:szCs w:val="14"/>
        </w:rPr>
      </w:pPr>
      <w:r w:rsidRPr="0099282B">
        <w:rPr>
          <w:rFonts w:ascii="Arial" w:hAnsi="Arial" w:cs="Arial"/>
          <w:i/>
          <w:sz w:val="16"/>
          <w:szCs w:val="14"/>
        </w:rPr>
        <w:t xml:space="preserve">*Subject to CDIP approval.  Total estimated cost of the project is 540,000 Swiss francs.  Implementation timeframe: 2016-2018. </w:t>
      </w:r>
    </w:p>
    <w:p w14:paraId="7AF2498C" w14:textId="21948F07" w:rsidR="00B67D0A" w:rsidRDefault="00B67D0A" w:rsidP="00F02301">
      <w:pPr>
        <w:widowControl w:val="0"/>
        <w:jc w:val="both"/>
        <w:rPr>
          <w:rFonts w:ascii="Arial" w:hAnsi="Arial" w:cs="Arial"/>
          <w:i/>
          <w:sz w:val="16"/>
          <w:szCs w:val="14"/>
        </w:rPr>
      </w:pPr>
      <w:r w:rsidRPr="0099282B">
        <w:rPr>
          <w:rFonts w:ascii="Arial" w:hAnsi="Arial" w:cs="Arial"/>
          <w:i/>
          <w:sz w:val="16"/>
          <w:szCs w:val="14"/>
        </w:rPr>
        <w:t>**Subject to CDIP approval.  Total estimated cost of the project is 800,000 Swiss francs.  Implementation timeframe: 2016-2018.</w:t>
      </w:r>
    </w:p>
    <w:p w14:paraId="3BFC7439" w14:textId="77777777" w:rsidR="00B67D0A" w:rsidRPr="0099282B" w:rsidRDefault="00B67D0A" w:rsidP="00F02301">
      <w:pPr>
        <w:widowControl w:val="0"/>
        <w:jc w:val="both"/>
        <w:rPr>
          <w:rFonts w:ascii="Arial" w:hAnsi="Arial" w:cs="Arial"/>
          <w:i/>
          <w:sz w:val="16"/>
          <w:szCs w:val="14"/>
        </w:rPr>
      </w:pPr>
      <w:r w:rsidRPr="0099282B">
        <w:rPr>
          <w:rFonts w:ascii="Arial" w:hAnsi="Arial" w:cs="Arial"/>
          <w:i/>
          <w:sz w:val="16"/>
          <w:szCs w:val="14"/>
        </w:rPr>
        <w:t>***Subject to CDIP approval.</w:t>
      </w:r>
    </w:p>
    <w:p w14:paraId="0C22066D" w14:textId="5B3FD63C" w:rsidR="005546DD" w:rsidRDefault="002F070A" w:rsidP="008D4CE9">
      <w:pPr>
        <w:widowControl w:val="0"/>
        <w:jc w:val="both"/>
        <w:rPr>
          <w:rFonts w:ascii="Arial" w:hAnsi="Arial" w:cs="Arial"/>
          <w:sz w:val="16"/>
          <w:szCs w:val="16"/>
        </w:rPr>
      </w:pPr>
      <w:r>
        <w:rPr>
          <w:rFonts w:ascii="Arial" w:hAnsi="Arial" w:cs="Arial"/>
          <w:sz w:val="16"/>
          <w:szCs w:val="16"/>
        </w:rPr>
        <w:t xml:space="preserve"> </w:t>
      </w:r>
      <w:r w:rsidR="005546DD">
        <w:rPr>
          <w:rFonts w:ascii="Arial" w:hAnsi="Arial" w:cs="Arial"/>
          <w:sz w:val="16"/>
          <w:szCs w:val="16"/>
        </w:rPr>
        <w:br w:type="page"/>
      </w:r>
    </w:p>
    <w:p w14:paraId="0C0CCC91" w14:textId="3BF1DD90" w:rsidR="00A42BFB" w:rsidRPr="00B30215" w:rsidRDefault="00A42BFB" w:rsidP="00E27FBC">
      <w:pPr>
        <w:pStyle w:val="Heading1"/>
        <w:keepNext w:val="0"/>
        <w:tabs>
          <w:tab w:val="num" w:pos="0"/>
          <w:tab w:val="left" w:pos="851"/>
        </w:tabs>
        <w:spacing w:before="120"/>
        <w:rPr>
          <w:szCs w:val="22"/>
        </w:rPr>
      </w:pPr>
      <w:bookmarkStart w:id="21" w:name="_Toc367350570"/>
      <w:bookmarkStart w:id="22" w:name="_Toc427154393"/>
      <w:r w:rsidRPr="00B30215">
        <w:rPr>
          <w:szCs w:val="22"/>
        </w:rPr>
        <w:lastRenderedPageBreak/>
        <w:t>II.</w:t>
      </w:r>
      <w:r w:rsidRPr="00B30215">
        <w:rPr>
          <w:szCs w:val="22"/>
        </w:rPr>
        <w:tab/>
        <w:t>PROGRAM NARRATIVES BY STRATEGIC GOAL</w:t>
      </w:r>
      <w:bookmarkEnd w:id="21"/>
      <w:bookmarkEnd w:id="22"/>
    </w:p>
    <w:p w14:paraId="7CD62A55" w14:textId="77777777" w:rsidR="00552612" w:rsidRPr="00552612" w:rsidRDefault="00552612">
      <w:pPr>
        <w:rPr>
          <w:rFonts w:ascii="Arial" w:hAnsi="Arial" w:cs="Arial"/>
        </w:rPr>
      </w:pPr>
    </w:p>
    <w:p w14:paraId="3F230287" w14:textId="77777777" w:rsidR="00552612" w:rsidRPr="00552612" w:rsidRDefault="00552612">
      <w:pPr>
        <w:rPr>
          <w:rFonts w:ascii="Arial" w:hAnsi="Arial" w:cs="Arial"/>
        </w:rPr>
      </w:pPr>
    </w:p>
    <w:p w14:paraId="5F852290" w14:textId="4A90C03E" w:rsidR="00901665" w:rsidRPr="00B30215" w:rsidRDefault="004264B7" w:rsidP="004264B7">
      <w:pPr>
        <w:pStyle w:val="StyleHeading3ComplexItalic"/>
        <w:tabs>
          <w:tab w:val="clear" w:pos="1985"/>
          <w:tab w:val="left" w:pos="2835"/>
        </w:tabs>
        <w:ind w:left="2835" w:hanging="2835"/>
        <w:rPr>
          <w:rStyle w:val="StyleStyleHeading3ComplexItalicLatin12ptChar"/>
          <w:rFonts w:eastAsia="SimSun"/>
          <w:b/>
        </w:rPr>
      </w:pPr>
      <w:bookmarkStart w:id="23" w:name="_Toc367350571"/>
      <w:bookmarkStart w:id="24" w:name="_Toc427154394"/>
      <w:r w:rsidRPr="00B30215">
        <w:rPr>
          <w:rStyle w:val="StyleStyleHeading3ComplexItalicLatin12ptChar"/>
          <w:rFonts w:eastAsia="SimSun"/>
          <w:b/>
        </w:rPr>
        <w:t>STRATEGIC GOAL I</w:t>
      </w:r>
      <w:r w:rsidRPr="00B30215">
        <w:rPr>
          <w:rStyle w:val="StyleStyleHeading3ComplexItalicLatin12ptChar"/>
          <w:rFonts w:eastAsia="SimSun"/>
          <w:b/>
        </w:rPr>
        <w:tab/>
        <w:t>BALANCED EVOLUTION OF THE INTERNATIONAL NORMATIVE FRAMEWORK FOR IP</w:t>
      </w:r>
      <w:bookmarkEnd w:id="23"/>
      <w:bookmarkEnd w:id="24"/>
    </w:p>
    <w:p w14:paraId="1BE4922F" w14:textId="77777777" w:rsidR="00901665" w:rsidRPr="00B30215" w:rsidRDefault="00901665" w:rsidP="00901665">
      <w:pPr>
        <w:autoSpaceDE w:val="0"/>
        <w:autoSpaceDN w:val="0"/>
        <w:adjustRightInd w:val="0"/>
        <w:jc w:val="both"/>
        <w:rPr>
          <w:rFonts w:ascii="Arial" w:hAnsi="Arial" w:cs="Arial"/>
        </w:rPr>
      </w:pPr>
    </w:p>
    <w:p w14:paraId="5F38F7C8" w14:textId="77777777" w:rsidR="004264B7" w:rsidRDefault="004264B7" w:rsidP="00901665">
      <w:pPr>
        <w:autoSpaceDE w:val="0"/>
        <w:autoSpaceDN w:val="0"/>
        <w:adjustRightInd w:val="0"/>
        <w:jc w:val="both"/>
        <w:rPr>
          <w:rFonts w:ascii="Arial" w:hAnsi="Arial" w:cs="Arial"/>
          <w:sz w:val="20"/>
        </w:rPr>
      </w:pPr>
    </w:p>
    <w:p w14:paraId="3EE2BFCB" w14:textId="77777777" w:rsidR="00901665" w:rsidRPr="00FA331B" w:rsidRDefault="00901665" w:rsidP="00901665">
      <w:pPr>
        <w:autoSpaceDE w:val="0"/>
        <w:autoSpaceDN w:val="0"/>
        <w:adjustRightInd w:val="0"/>
        <w:jc w:val="both"/>
        <w:rPr>
          <w:rFonts w:ascii="Arial" w:hAnsi="Arial" w:cs="Arial"/>
          <w:sz w:val="20"/>
        </w:rPr>
      </w:pPr>
      <w:r w:rsidRPr="00FA331B">
        <w:rPr>
          <w:rFonts w:ascii="Arial" w:hAnsi="Arial" w:cs="Arial"/>
          <w:sz w:val="20"/>
        </w:rPr>
        <w:t>This Strategic Goal aims to ensure that the development of international IP law keeps pace with the rapidly evolving global technological, geo-economic, social and cultural environment, while taking into account implementation of the recommendations of the Development Agenda on norm</w:t>
      </w:r>
      <w:r w:rsidRPr="00FA331B">
        <w:rPr>
          <w:rFonts w:ascii="Arial" w:hAnsi="Arial" w:cs="Arial"/>
          <w:sz w:val="20"/>
        </w:rPr>
        <w:noBreakHyphen/>
        <w:t>setting. A</w:t>
      </w:r>
      <w:r>
        <w:rPr>
          <w:rFonts w:ascii="Arial" w:hAnsi="Arial" w:cs="Arial"/>
          <w:sz w:val="20"/>
        </w:rPr>
        <w:t> </w:t>
      </w:r>
      <w:r w:rsidRPr="00FA331B">
        <w:rPr>
          <w:rFonts w:ascii="Arial" w:hAnsi="Arial" w:cs="Arial"/>
          <w:sz w:val="20"/>
        </w:rPr>
        <w:t>balanced evolution is critical to ensuring that the international intellectual property system continues to serve its fundamental purpose of encouraging innovation and creativity;  that it takes into account the needs and interests of countries at different stages of development, including through the flexibilities within international IP agreements;  and that it strikes the right balance between (i)  the rights of creators and IP owners and the rights of users and the public;  and (ii) the encouragement of innovation and creativity and the diffusion of the social benefit of innovation and creative works.</w:t>
      </w:r>
    </w:p>
    <w:p w14:paraId="6B42EB04" w14:textId="7839836A" w:rsidR="00901665" w:rsidRDefault="00901665">
      <w:pPr>
        <w:rPr>
          <w:rFonts w:ascii="Arial" w:hAnsi="Arial" w:cs="Arial"/>
        </w:rPr>
      </w:pPr>
    </w:p>
    <w:p w14:paraId="5D448FB3" w14:textId="77777777" w:rsidR="00E33078" w:rsidRDefault="00E33078">
      <w:pPr>
        <w:rPr>
          <w:rFonts w:ascii="Arial" w:hAnsi="Arial" w:cs="Aria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90"/>
        <w:gridCol w:w="2915"/>
        <w:gridCol w:w="2913"/>
      </w:tblGrid>
      <w:tr w:rsidR="00E33078" w:rsidRPr="00AF5E7C" w14:paraId="34253D0B" w14:textId="77777777" w:rsidTr="00E33078">
        <w:trPr>
          <w:cantSplit/>
          <w:tblHeader/>
        </w:trPr>
        <w:tc>
          <w:tcPr>
            <w:tcW w:w="1769"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0AEB762D" w14:textId="77777777" w:rsidR="00E33078" w:rsidRPr="007B07A4" w:rsidRDefault="00E33078" w:rsidP="005A1F7F">
            <w:pPr>
              <w:spacing w:after="120"/>
              <w:jc w:val="center"/>
              <w:rPr>
                <w:rFonts w:ascii="Arial" w:hAnsi="Arial" w:cs="Arial"/>
                <w:b/>
                <w:bCs/>
                <w:sz w:val="18"/>
                <w:szCs w:val="18"/>
              </w:rPr>
            </w:pPr>
            <w:r w:rsidRPr="007B07A4">
              <w:rPr>
                <w:rFonts w:ascii="Arial" w:hAnsi="Arial" w:cs="Arial"/>
                <w:b/>
                <w:bCs/>
                <w:sz w:val="18"/>
                <w:szCs w:val="18"/>
              </w:rPr>
              <w:t>Expected Results</w:t>
            </w:r>
          </w:p>
        </w:tc>
        <w:tc>
          <w:tcPr>
            <w:tcW w:w="1616"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0621523A" w14:textId="77777777" w:rsidR="00E33078" w:rsidRPr="007B07A4" w:rsidRDefault="00E33078" w:rsidP="005A1F7F">
            <w:pPr>
              <w:spacing w:after="120"/>
              <w:jc w:val="center"/>
              <w:rPr>
                <w:rFonts w:ascii="Arial" w:hAnsi="Arial" w:cs="Arial"/>
                <w:b/>
                <w:sz w:val="18"/>
                <w:szCs w:val="18"/>
              </w:rPr>
            </w:pPr>
            <w:r w:rsidRPr="007B07A4">
              <w:rPr>
                <w:rFonts w:ascii="Arial" w:hAnsi="Arial" w:cs="Arial"/>
                <w:b/>
                <w:sz w:val="18"/>
                <w:szCs w:val="18"/>
              </w:rPr>
              <w:t>Performance Indicators</w:t>
            </w:r>
          </w:p>
        </w:tc>
        <w:tc>
          <w:tcPr>
            <w:tcW w:w="1615" w:type="pct"/>
            <w:tcBorders>
              <w:top w:val="single" w:sz="4" w:space="0" w:color="auto"/>
              <w:bottom w:val="single" w:sz="4" w:space="0" w:color="auto"/>
            </w:tcBorders>
            <w:shd w:val="clear" w:color="auto" w:fill="C6D9F1" w:themeFill="text2" w:themeFillTint="33"/>
            <w:tcMar>
              <w:top w:w="113" w:type="dxa"/>
              <w:bottom w:w="113" w:type="dxa"/>
            </w:tcMar>
            <w:vAlign w:val="center"/>
          </w:tcPr>
          <w:p w14:paraId="475C1F30" w14:textId="77777777" w:rsidR="00E33078" w:rsidRPr="007B07A4" w:rsidRDefault="00E33078" w:rsidP="005A1F7F">
            <w:pPr>
              <w:spacing w:after="120"/>
              <w:ind w:left="85"/>
              <w:jc w:val="center"/>
              <w:rPr>
                <w:rFonts w:ascii="Arial" w:hAnsi="Arial" w:cs="Arial"/>
                <w:sz w:val="18"/>
                <w:szCs w:val="18"/>
              </w:rPr>
            </w:pPr>
            <w:r w:rsidRPr="007B07A4">
              <w:rPr>
                <w:rFonts w:ascii="Arial" w:hAnsi="Arial" w:cs="Arial"/>
                <w:b/>
                <w:bCs/>
                <w:sz w:val="18"/>
                <w:szCs w:val="18"/>
              </w:rPr>
              <w:t>Responsible Program(s)</w:t>
            </w:r>
          </w:p>
        </w:tc>
      </w:tr>
      <w:tr w:rsidR="00E33078" w:rsidRPr="00AF5E7C" w14:paraId="552648CB" w14:textId="77777777" w:rsidTr="00DA3F93">
        <w:trPr>
          <w:cantSplit/>
          <w:trHeight w:val="475"/>
        </w:trPr>
        <w:tc>
          <w:tcPr>
            <w:tcW w:w="1769" w:type="pct"/>
            <w:tcBorders>
              <w:top w:val="single" w:sz="4" w:space="0" w:color="auto"/>
            </w:tcBorders>
            <w:shd w:val="clear" w:color="auto" w:fill="auto"/>
            <w:tcMar>
              <w:top w:w="113" w:type="dxa"/>
              <w:bottom w:w="113" w:type="dxa"/>
            </w:tcMar>
          </w:tcPr>
          <w:p w14:paraId="13A3A936" w14:textId="77777777" w:rsidR="00E33078" w:rsidRPr="00A27611" w:rsidRDefault="00E33078" w:rsidP="005A1F7F">
            <w:pPr>
              <w:rPr>
                <w:rFonts w:ascii="Arial" w:hAnsi="Arial" w:cs="Arial"/>
                <w:sz w:val="16"/>
                <w:szCs w:val="16"/>
              </w:rPr>
            </w:pPr>
            <w:r w:rsidRPr="00A27611">
              <w:rPr>
                <w:rFonts w:ascii="Arial" w:hAnsi="Arial" w:cs="Arial"/>
                <w:sz w:val="16"/>
                <w:szCs w:val="16"/>
              </w:rPr>
              <w:t xml:space="preserve">I.1 </w:t>
            </w:r>
            <w:r>
              <w:rPr>
                <w:rFonts w:ascii="Arial" w:hAnsi="Arial" w:cs="Arial"/>
                <w:sz w:val="16"/>
                <w:szCs w:val="16"/>
              </w:rPr>
              <w:t xml:space="preserve"> </w:t>
            </w:r>
            <w:r w:rsidRPr="00D85DF9">
              <w:rPr>
                <w:rFonts w:ascii="Arial" w:hAnsi="Arial" w:cs="Arial"/>
                <w:sz w:val="16"/>
                <w:szCs w:val="16"/>
              </w:rPr>
              <w:t xml:space="preserve">Enhanced cooperation among Member States on development of balanced international normative frameworks for IP </w:t>
            </w:r>
          </w:p>
        </w:tc>
        <w:tc>
          <w:tcPr>
            <w:tcW w:w="1616" w:type="pct"/>
            <w:tcBorders>
              <w:top w:val="single" w:sz="4" w:space="0" w:color="auto"/>
            </w:tcBorders>
            <w:shd w:val="clear" w:color="auto" w:fill="auto"/>
            <w:tcMar>
              <w:top w:w="113" w:type="dxa"/>
              <w:bottom w:w="113" w:type="dxa"/>
            </w:tcMar>
          </w:tcPr>
          <w:p w14:paraId="089F4AC5" w14:textId="77777777" w:rsidR="00E33078" w:rsidRPr="00A27611" w:rsidRDefault="00E33078" w:rsidP="005A1F7F">
            <w:pPr>
              <w:rPr>
                <w:rFonts w:ascii="Arial" w:hAnsi="Arial" w:cs="Arial"/>
                <w:sz w:val="16"/>
                <w:szCs w:val="16"/>
              </w:rPr>
            </w:pPr>
            <w:r>
              <w:rPr>
                <w:rFonts w:ascii="Arial" w:hAnsi="Arial" w:cs="Arial"/>
                <w:color w:val="000000"/>
                <w:sz w:val="16"/>
                <w:szCs w:val="16"/>
              </w:rPr>
              <w:t>Progress on the implementation of agreed work according to SCP Agenda</w:t>
            </w:r>
          </w:p>
        </w:tc>
        <w:tc>
          <w:tcPr>
            <w:tcW w:w="1615" w:type="pct"/>
            <w:tcBorders>
              <w:top w:val="single" w:sz="4" w:space="0" w:color="auto"/>
            </w:tcBorders>
            <w:shd w:val="clear" w:color="auto" w:fill="FFFFFF"/>
            <w:tcMar>
              <w:top w:w="113" w:type="dxa"/>
              <w:bottom w:w="113" w:type="dxa"/>
            </w:tcMar>
          </w:tcPr>
          <w:p w14:paraId="62042C59" w14:textId="77777777" w:rsidR="00E33078" w:rsidRPr="00AF5E7C" w:rsidRDefault="00E33078" w:rsidP="005A1F7F">
            <w:pPr>
              <w:ind w:left="591"/>
              <w:rPr>
                <w:rFonts w:ascii="Arial" w:hAnsi="Arial" w:cs="Arial"/>
                <w:sz w:val="16"/>
                <w:szCs w:val="16"/>
              </w:rPr>
            </w:pPr>
            <w:r>
              <w:rPr>
                <w:rFonts w:ascii="Arial" w:hAnsi="Arial" w:cs="Arial"/>
                <w:sz w:val="16"/>
                <w:szCs w:val="16"/>
                <w:lang w:bidi="th-TH"/>
              </w:rPr>
              <w:t>Program 1</w:t>
            </w:r>
          </w:p>
        </w:tc>
      </w:tr>
      <w:tr w:rsidR="00E33078" w:rsidRPr="00AF5E7C" w14:paraId="1FC57194" w14:textId="77777777" w:rsidTr="005A1F7F">
        <w:trPr>
          <w:cantSplit/>
          <w:trHeight w:val="600"/>
        </w:trPr>
        <w:tc>
          <w:tcPr>
            <w:tcW w:w="1769" w:type="pct"/>
            <w:shd w:val="clear" w:color="auto" w:fill="auto"/>
            <w:tcMar>
              <w:top w:w="113" w:type="dxa"/>
              <w:bottom w:w="113" w:type="dxa"/>
            </w:tcMar>
          </w:tcPr>
          <w:p w14:paraId="38C37441" w14:textId="77777777" w:rsidR="00E33078" w:rsidRPr="00AF5E7C" w:rsidRDefault="00E33078" w:rsidP="005A1F7F">
            <w:pPr>
              <w:rPr>
                <w:rFonts w:ascii="Arial" w:hAnsi="Arial" w:cs="Arial"/>
                <w:sz w:val="16"/>
                <w:szCs w:val="16"/>
              </w:rPr>
            </w:pPr>
          </w:p>
        </w:tc>
        <w:tc>
          <w:tcPr>
            <w:tcW w:w="1616" w:type="pct"/>
            <w:shd w:val="clear" w:color="auto" w:fill="auto"/>
            <w:tcMar>
              <w:top w:w="113" w:type="dxa"/>
              <w:bottom w:w="113" w:type="dxa"/>
            </w:tcMar>
          </w:tcPr>
          <w:p w14:paraId="3D4FB9A8" w14:textId="77777777" w:rsidR="00E33078" w:rsidRPr="00AF5E7C" w:rsidRDefault="00E33078" w:rsidP="005A1F7F">
            <w:pPr>
              <w:rPr>
                <w:rFonts w:ascii="Arial" w:hAnsi="Arial" w:cs="Arial"/>
                <w:sz w:val="16"/>
                <w:szCs w:val="16"/>
              </w:rPr>
            </w:pPr>
            <w:r>
              <w:rPr>
                <w:rFonts w:ascii="Arial" w:hAnsi="Arial" w:cs="Arial"/>
                <w:color w:val="000000"/>
                <w:sz w:val="16"/>
                <w:szCs w:val="16"/>
              </w:rPr>
              <w:t>Level of satisfaction of participants in targeted workshops/seminars held on specific patent related topics</w:t>
            </w:r>
          </w:p>
        </w:tc>
        <w:tc>
          <w:tcPr>
            <w:tcW w:w="1615" w:type="pct"/>
            <w:shd w:val="clear" w:color="auto" w:fill="FFFFFF"/>
            <w:tcMar>
              <w:top w:w="113" w:type="dxa"/>
              <w:bottom w:w="113" w:type="dxa"/>
            </w:tcMar>
          </w:tcPr>
          <w:p w14:paraId="369225EB" w14:textId="77777777" w:rsidR="00E33078" w:rsidRPr="00AF5E7C" w:rsidRDefault="00E33078" w:rsidP="005A1F7F">
            <w:pPr>
              <w:ind w:left="591"/>
              <w:rPr>
                <w:rFonts w:ascii="Arial" w:hAnsi="Arial" w:cs="Arial"/>
                <w:sz w:val="16"/>
                <w:szCs w:val="16"/>
              </w:rPr>
            </w:pPr>
            <w:r>
              <w:rPr>
                <w:rFonts w:ascii="Arial" w:hAnsi="Arial" w:cs="Arial"/>
                <w:sz w:val="16"/>
                <w:szCs w:val="16"/>
              </w:rPr>
              <w:t>Program 1</w:t>
            </w:r>
          </w:p>
        </w:tc>
      </w:tr>
      <w:tr w:rsidR="00E33078" w:rsidRPr="00AF5E7C" w14:paraId="3A3F72BD" w14:textId="77777777" w:rsidTr="008D4CE9">
        <w:trPr>
          <w:cantSplit/>
          <w:trHeight w:val="521"/>
        </w:trPr>
        <w:tc>
          <w:tcPr>
            <w:tcW w:w="1769" w:type="pct"/>
            <w:shd w:val="clear" w:color="auto" w:fill="auto"/>
            <w:tcMar>
              <w:top w:w="113" w:type="dxa"/>
              <w:bottom w:w="113" w:type="dxa"/>
            </w:tcMar>
          </w:tcPr>
          <w:p w14:paraId="74A2FFFF" w14:textId="77777777" w:rsidR="00E33078" w:rsidRPr="00AF5E7C" w:rsidRDefault="00E33078" w:rsidP="005A1F7F">
            <w:pPr>
              <w:rPr>
                <w:rFonts w:ascii="Arial" w:hAnsi="Arial" w:cs="Arial"/>
                <w:sz w:val="16"/>
                <w:szCs w:val="16"/>
              </w:rPr>
            </w:pPr>
          </w:p>
        </w:tc>
        <w:tc>
          <w:tcPr>
            <w:tcW w:w="1616" w:type="pct"/>
            <w:shd w:val="clear" w:color="auto" w:fill="auto"/>
            <w:tcMar>
              <w:top w:w="113" w:type="dxa"/>
              <w:bottom w:w="113" w:type="dxa"/>
            </w:tcMar>
          </w:tcPr>
          <w:p w14:paraId="2C43D38C" w14:textId="77777777" w:rsidR="00E33078" w:rsidRDefault="00E33078" w:rsidP="005A1F7F">
            <w:pPr>
              <w:rPr>
                <w:rFonts w:ascii="Arial" w:hAnsi="Arial" w:cs="Arial"/>
                <w:color w:val="000000"/>
                <w:sz w:val="16"/>
                <w:szCs w:val="16"/>
              </w:rPr>
            </w:pPr>
            <w:r>
              <w:rPr>
                <w:rFonts w:ascii="Arial" w:hAnsi="Arial" w:cs="Arial"/>
                <w:color w:val="000000"/>
                <w:sz w:val="16"/>
                <w:szCs w:val="16"/>
              </w:rPr>
              <w:t>Level of satisfaction of participants in the Inventor Assistant Program (IAP)</w:t>
            </w:r>
          </w:p>
        </w:tc>
        <w:tc>
          <w:tcPr>
            <w:tcW w:w="1615" w:type="pct"/>
            <w:shd w:val="clear" w:color="auto" w:fill="FFFFFF"/>
            <w:tcMar>
              <w:top w:w="113" w:type="dxa"/>
              <w:bottom w:w="113" w:type="dxa"/>
            </w:tcMar>
          </w:tcPr>
          <w:p w14:paraId="411769B7" w14:textId="77777777" w:rsidR="00E33078" w:rsidRDefault="00E33078" w:rsidP="005A1F7F">
            <w:pPr>
              <w:ind w:left="591"/>
              <w:rPr>
                <w:rFonts w:ascii="Arial" w:hAnsi="Arial" w:cs="Arial"/>
                <w:sz w:val="16"/>
                <w:szCs w:val="16"/>
              </w:rPr>
            </w:pPr>
            <w:r>
              <w:rPr>
                <w:rFonts w:ascii="Arial" w:hAnsi="Arial" w:cs="Arial"/>
                <w:sz w:val="16"/>
                <w:szCs w:val="16"/>
              </w:rPr>
              <w:t>Program 1</w:t>
            </w:r>
          </w:p>
        </w:tc>
      </w:tr>
      <w:tr w:rsidR="00E33078" w:rsidRPr="00AF5E7C" w14:paraId="202A67A9" w14:textId="77777777" w:rsidTr="005A1F7F">
        <w:trPr>
          <w:cantSplit/>
          <w:trHeight w:val="578"/>
        </w:trPr>
        <w:tc>
          <w:tcPr>
            <w:tcW w:w="1769" w:type="pct"/>
            <w:shd w:val="clear" w:color="auto" w:fill="auto"/>
            <w:tcMar>
              <w:top w:w="113" w:type="dxa"/>
              <w:bottom w:w="113" w:type="dxa"/>
            </w:tcMar>
          </w:tcPr>
          <w:p w14:paraId="2F218DA9" w14:textId="77777777" w:rsidR="00E33078" w:rsidRPr="00AF5E7C" w:rsidRDefault="00E33078" w:rsidP="005A1F7F">
            <w:pPr>
              <w:rPr>
                <w:rFonts w:ascii="Arial" w:hAnsi="Arial" w:cs="Arial"/>
                <w:sz w:val="16"/>
                <w:szCs w:val="16"/>
              </w:rPr>
            </w:pPr>
          </w:p>
        </w:tc>
        <w:tc>
          <w:tcPr>
            <w:tcW w:w="1616" w:type="pct"/>
            <w:shd w:val="clear" w:color="auto" w:fill="auto"/>
            <w:tcMar>
              <w:top w:w="113" w:type="dxa"/>
              <w:bottom w:w="113" w:type="dxa"/>
            </w:tcMar>
          </w:tcPr>
          <w:p w14:paraId="35444D6F" w14:textId="77777777" w:rsidR="00E33078" w:rsidRDefault="00E33078" w:rsidP="005A1F7F">
            <w:pPr>
              <w:rPr>
                <w:rFonts w:ascii="Arial" w:hAnsi="Arial" w:cs="Arial"/>
                <w:sz w:val="16"/>
                <w:szCs w:val="16"/>
                <w:lang w:bidi="th-TH"/>
              </w:rPr>
            </w:pPr>
            <w:r>
              <w:rPr>
                <w:rFonts w:ascii="Arial" w:hAnsi="Arial" w:cs="Arial"/>
                <w:sz w:val="16"/>
                <w:szCs w:val="16"/>
                <w:lang w:bidi="th-TH"/>
              </w:rPr>
              <w:t>Progress towards agreement on current issues on the SCT Agenda</w:t>
            </w:r>
          </w:p>
          <w:p w14:paraId="185B6847" w14:textId="77777777" w:rsidR="00E33078" w:rsidRPr="00AF5E7C" w:rsidRDefault="00E33078" w:rsidP="005A1F7F">
            <w:pPr>
              <w:rPr>
                <w:rFonts w:ascii="Arial" w:hAnsi="Arial" w:cs="Arial"/>
                <w:i/>
                <w:sz w:val="16"/>
                <w:szCs w:val="16"/>
              </w:rPr>
            </w:pPr>
          </w:p>
        </w:tc>
        <w:tc>
          <w:tcPr>
            <w:tcW w:w="1615" w:type="pct"/>
            <w:shd w:val="clear" w:color="auto" w:fill="FFFFFF"/>
            <w:tcMar>
              <w:top w:w="113" w:type="dxa"/>
              <w:bottom w:w="113" w:type="dxa"/>
            </w:tcMar>
          </w:tcPr>
          <w:p w14:paraId="05BC342D" w14:textId="77777777" w:rsidR="00E33078" w:rsidRPr="00AF5E7C" w:rsidRDefault="00E33078" w:rsidP="005A1F7F">
            <w:pPr>
              <w:ind w:left="591"/>
              <w:rPr>
                <w:rFonts w:ascii="Arial" w:hAnsi="Arial" w:cs="Arial"/>
                <w:sz w:val="16"/>
                <w:szCs w:val="16"/>
              </w:rPr>
            </w:pPr>
            <w:r>
              <w:rPr>
                <w:rFonts w:ascii="Arial" w:hAnsi="Arial" w:cs="Arial"/>
                <w:sz w:val="16"/>
                <w:szCs w:val="16"/>
                <w:lang w:bidi="th-TH"/>
              </w:rPr>
              <w:t>Program 2</w:t>
            </w:r>
          </w:p>
        </w:tc>
      </w:tr>
      <w:tr w:rsidR="00E33078" w:rsidRPr="00AF5E7C" w14:paraId="00D47EC9" w14:textId="77777777" w:rsidTr="005A1F7F">
        <w:trPr>
          <w:cantSplit/>
          <w:trHeight w:val="494"/>
        </w:trPr>
        <w:tc>
          <w:tcPr>
            <w:tcW w:w="1769" w:type="pct"/>
            <w:shd w:val="clear" w:color="auto" w:fill="auto"/>
            <w:tcMar>
              <w:top w:w="113" w:type="dxa"/>
              <w:bottom w:w="113" w:type="dxa"/>
            </w:tcMar>
          </w:tcPr>
          <w:p w14:paraId="15D7728C" w14:textId="77777777" w:rsidR="00E33078" w:rsidRPr="00AF5E7C" w:rsidRDefault="00E33078" w:rsidP="005A1F7F">
            <w:pPr>
              <w:rPr>
                <w:rFonts w:ascii="Arial" w:hAnsi="Arial" w:cs="Arial"/>
                <w:sz w:val="16"/>
                <w:szCs w:val="16"/>
              </w:rPr>
            </w:pPr>
          </w:p>
        </w:tc>
        <w:tc>
          <w:tcPr>
            <w:tcW w:w="1616" w:type="pct"/>
            <w:shd w:val="clear" w:color="auto" w:fill="auto"/>
            <w:tcMar>
              <w:top w:w="113" w:type="dxa"/>
              <w:bottom w:w="113" w:type="dxa"/>
            </w:tcMar>
          </w:tcPr>
          <w:p w14:paraId="05522886" w14:textId="77777777" w:rsidR="00E33078" w:rsidRPr="007E3F60" w:rsidRDefault="00E33078" w:rsidP="005A1F7F">
            <w:pPr>
              <w:rPr>
                <w:rFonts w:ascii="Arial" w:hAnsi="Arial" w:cs="Arial"/>
                <w:sz w:val="16"/>
                <w:szCs w:val="16"/>
              </w:rPr>
            </w:pPr>
            <w:r>
              <w:rPr>
                <w:rFonts w:ascii="Arial" w:hAnsi="Arial" w:cs="Arial"/>
                <w:color w:val="000000"/>
                <w:sz w:val="16"/>
                <w:szCs w:val="16"/>
              </w:rPr>
              <w:t>Progress in the implementation of agreed work according to the SCCR agenda</w:t>
            </w:r>
          </w:p>
        </w:tc>
        <w:tc>
          <w:tcPr>
            <w:tcW w:w="1615" w:type="pct"/>
            <w:shd w:val="clear" w:color="auto" w:fill="FFFFFF"/>
            <w:tcMar>
              <w:top w:w="113" w:type="dxa"/>
              <w:bottom w:w="113" w:type="dxa"/>
            </w:tcMar>
          </w:tcPr>
          <w:p w14:paraId="3BE950FB" w14:textId="77777777" w:rsidR="00E33078" w:rsidRPr="00AF5E7C" w:rsidRDefault="00E33078" w:rsidP="005A1F7F">
            <w:pPr>
              <w:ind w:left="591"/>
              <w:rPr>
                <w:rFonts w:ascii="Arial" w:hAnsi="Arial" w:cs="Arial"/>
                <w:sz w:val="16"/>
                <w:szCs w:val="16"/>
                <w:lang w:bidi="th-TH"/>
              </w:rPr>
            </w:pPr>
            <w:r>
              <w:rPr>
                <w:rFonts w:ascii="Arial" w:hAnsi="Arial" w:cs="Arial"/>
                <w:sz w:val="16"/>
                <w:szCs w:val="16"/>
                <w:lang w:bidi="th-TH"/>
              </w:rPr>
              <w:t>Program 3</w:t>
            </w:r>
          </w:p>
        </w:tc>
      </w:tr>
      <w:tr w:rsidR="00E33078" w:rsidRPr="00AF5E7C" w14:paraId="6C853638" w14:textId="77777777" w:rsidTr="005A1F7F">
        <w:trPr>
          <w:cantSplit/>
          <w:trHeight w:val="671"/>
        </w:trPr>
        <w:tc>
          <w:tcPr>
            <w:tcW w:w="1769" w:type="pct"/>
            <w:shd w:val="clear" w:color="auto" w:fill="auto"/>
            <w:tcMar>
              <w:top w:w="113" w:type="dxa"/>
              <w:bottom w:w="113" w:type="dxa"/>
            </w:tcMar>
          </w:tcPr>
          <w:p w14:paraId="73109113" w14:textId="77777777" w:rsidR="00E33078" w:rsidRPr="00AF5E7C" w:rsidRDefault="00E33078" w:rsidP="005A1F7F">
            <w:pPr>
              <w:rPr>
                <w:rFonts w:ascii="Arial" w:hAnsi="Arial" w:cs="Arial"/>
                <w:sz w:val="16"/>
                <w:szCs w:val="16"/>
              </w:rPr>
            </w:pPr>
          </w:p>
        </w:tc>
        <w:tc>
          <w:tcPr>
            <w:tcW w:w="1616" w:type="pct"/>
            <w:shd w:val="clear" w:color="auto" w:fill="auto"/>
            <w:tcMar>
              <w:top w:w="113" w:type="dxa"/>
              <w:bottom w:w="113" w:type="dxa"/>
            </w:tcMar>
          </w:tcPr>
          <w:p w14:paraId="5D9A7E9D" w14:textId="77777777" w:rsidR="00E33078" w:rsidRPr="007E3F60" w:rsidRDefault="00E33078" w:rsidP="005A1F7F">
            <w:pPr>
              <w:rPr>
                <w:rFonts w:ascii="Arial" w:hAnsi="Arial" w:cs="Arial"/>
                <w:sz w:val="16"/>
                <w:szCs w:val="16"/>
              </w:rPr>
            </w:pPr>
            <w:r>
              <w:rPr>
                <w:rFonts w:ascii="Arial" w:hAnsi="Arial" w:cs="Arial"/>
                <w:color w:val="000000"/>
                <w:sz w:val="16"/>
                <w:szCs w:val="16"/>
              </w:rPr>
              <w:t>Progress towards implementation of normative activities on IP and GRs, TK and TCEs as agreed by Member States</w:t>
            </w:r>
          </w:p>
        </w:tc>
        <w:tc>
          <w:tcPr>
            <w:tcW w:w="1615" w:type="pct"/>
            <w:shd w:val="clear" w:color="auto" w:fill="FFFFFF"/>
            <w:tcMar>
              <w:top w:w="113" w:type="dxa"/>
              <w:bottom w:w="113" w:type="dxa"/>
            </w:tcMar>
          </w:tcPr>
          <w:p w14:paraId="0AF823E1" w14:textId="77777777" w:rsidR="00E33078" w:rsidRPr="00AF5E7C" w:rsidRDefault="00E33078" w:rsidP="005A1F7F">
            <w:pPr>
              <w:ind w:left="591"/>
              <w:rPr>
                <w:rFonts w:ascii="Arial" w:hAnsi="Arial" w:cs="Arial"/>
                <w:sz w:val="16"/>
                <w:szCs w:val="16"/>
                <w:lang w:bidi="th-TH"/>
              </w:rPr>
            </w:pPr>
            <w:r>
              <w:rPr>
                <w:rFonts w:ascii="Arial" w:hAnsi="Arial" w:cs="Arial"/>
                <w:sz w:val="16"/>
                <w:szCs w:val="16"/>
                <w:lang w:bidi="th-TH"/>
              </w:rPr>
              <w:t>Program 4</w:t>
            </w:r>
          </w:p>
        </w:tc>
      </w:tr>
      <w:tr w:rsidR="00BF5EAA" w:rsidRPr="00AF5E7C" w14:paraId="18C6C18A" w14:textId="77777777" w:rsidTr="008D4CE9">
        <w:trPr>
          <w:cantSplit/>
          <w:trHeight w:val="413"/>
        </w:trPr>
        <w:tc>
          <w:tcPr>
            <w:tcW w:w="1769" w:type="pct"/>
            <w:shd w:val="clear" w:color="auto" w:fill="auto"/>
            <w:tcMar>
              <w:top w:w="113" w:type="dxa"/>
              <w:bottom w:w="113" w:type="dxa"/>
            </w:tcMar>
          </w:tcPr>
          <w:p w14:paraId="7AC6645B"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2804F5C4" w14:textId="7D44A01D" w:rsidR="00BF5EAA" w:rsidRDefault="00BF5EAA" w:rsidP="005A1F7F">
            <w:pPr>
              <w:rPr>
                <w:rFonts w:ascii="Arial" w:hAnsi="Arial" w:cs="Arial"/>
                <w:color w:val="000000"/>
                <w:sz w:val="16"/>
                <w:szCs w:val="16"/>
              </w:rPr>
            </w:pPr>
            <w:r w:rsidRPr="007E3F60">
              <w:rPr>
                <w:rFonts w:ascii="Arial" w:hAnsi="Arial" w:cs="Arial"/>
                <w:sz w:val="16"/>
                <w:szCs w:val="16"/>
              </w:rPr>
              <w:t>N</w:t>
            </w:r>
            <w:r>
              <w:rPr>
                <w:rFonts w:ascii="Arial" w:hAnsi="Arial" w:cs="Arial"/>
                <w:sz w:val="16"/>
                <w:szCs w:val="16"/>
              </w:rPr>
              <w:t>o.</w:t>
            </w:r>
            <w:r w:rsidRPr="007E3F60">
              <w:rPr>
                <w:rFonts w:ascii="Arial" w:hAnsi="Arial" w:cs="Arial"/>
                <w:sz w:val="16"/>
                <w:szCs w:val="16"/>
              </w:rPr>
              <w:t xml:space="preserve"> of ratifications/accessions to the Singapore Treaty</w:t>
            </w:r>
          </w:p>
        </w:tc>
        <w:tc>
          <w:tcPr>
            <w:tcW w:w="1615" w:type="pct"/>
            <w:shd w:val="clear" w:color="auto" w:fill="FFFFFF"/>
            <w:tcMar>
              <w:top w:w="113" w:type="dxa"/>
              <w:bottom w:w="113" w:type="dxa"/>
            </w:tcMar>
          </w:tcPr>
          <w:p w14:paraId="4CBF7D29" w14:textId="77777777" w:rsidR="00BF5EAA" w:rsidRDefault="00BF5EAA" w:rsidP="00B07684">
            <w:pPr>
              <w:ind w:left="591"/>
              <w:rPr>
                <w:rFonts w:ascii="Arial" w:hAnsi="Arial" w:cs="Arial"/>
                <w:sz w:val="16"/>
                <w:szCs w:val="16"/>
                <w:lang w:bidi="th-TH"/>
              </w:rPr>
            </w:pPr>
            <w:r>
              <w:rPr>
                <w:rFonts w:ascii="Arial" w:hAnsi="Arial" w:cs="Arial"/>
                <w:sz w:val="16"/>
                <w:szCs w:val="16"/>
                <w:lang w:bidi="th-TH"/>
              </w:rPr>
              <w:t>Program 2</w:t>
            </w:r>
          </w:p>
          <w:p w14:paraId="615519AC" w14:textId="69316BA1" w:rsidR="00BF5EAA" w:rsidRDefault="00BF5EAA" w:rsidP="005A1F7F">
            <w:pPr>
              <w:ind w:left="591"/>
              <w:rPr>
                <w:rFonts w:ascii="Arial" w:hAnsi="Arial" w:cs="Arial"/>
                <w:sz w:val="16"/>
                <w:szCs w:val="16"/>
                <w:lang w:bidi="th-TH"/>
              </w:rPr>
            </w:pPr>
            <w:r>
              <w:rPr>
                <w:rFonts w:ascii="Arial" w:hAnsi="Arial" w:cs="Arial"/>
                <w:sz w:val="16"/>
                <w:szCs w:val="16"/>
                <w:lang w:bidi="th-TH"/>
              </w:rPr>
              <w:t>Program 20</w:t>
            </w:r>
          </w:p>
        </w:tc>
      </w:tr>
      <w:tr w:rsidR="00BF5EAA" w:rsidRPr="00AF5E7C" w14:paraId="58131E25" w14:textId="77777777" w:rsidTr="008D4CE9">
        <w:trPr>
          <w:cantSplit/>
          <w:trHeight w:val="1117"/>
        </w:trPr>
        <w:tc>
          <w:tcPr>
            <w:tcW w:w="1769" w:type="pct"/>
            <w:shd w:val="clear" w:color="auto" w:fill="auto"/>
            <w:tcMar>
              <w:top w:w="113" w:type="dxa"/>
              <w:bottom w:w="113" w:type="dxa"/>
            </w:tcMar>
          </w:tcPr>
          <w:p w14:paraId="4D7DE71F" w14:textId="77777777" w:rsidR="00BF5EAA" w:rsidRPr="00A27611" w:rsidRDefault="00BF5EAA" w:rsidP="005A1F7F">
            <w:pPr>
              <w:rPr>
                <w:rFonts w:ascii="Arial" w:hAnsi="Arial" w:cs="Arial"/>
                <w:sz w:val="16"/>
                <w:szCs w:val="16"/>
              </w:rPr>
            </w:pPr>
            <w:r w:rsidRPr="00A27611">
              <w:rPr>
                <w:rFonts w:ascii="Arial" w:hAnsi="Arial" w:cs="Arial"/>
                <w:sz w:val="16"/>
                <w:szCs w:val="16"/>
              </w:rPr>
              <w:t>I.2</w:t>
            </w:r>
            <w:r>
              <w:rPr>
                <w:rFonts w:ascii="Arial" w:hAnsi="Arial" w:cs="Arial"/>
                <w:sz w:val="16"/>
                <w:szCs w:val="16"/>
              </w:rPr>
              <w:t xml:space="preserve">  </w:t>
            </w:r>
            <w:r w:rsidRPr="00A27611">
              <w:rPr>
                <w:rFonts w:ascii="Arial" w:hAnsi="Arial" w:cs="Arial"/>
                <w:sz w:val="16"/>
                <w:szCs w:val="16"/>
              </w:rPr>
              <w:t>Tailored and balanced IP legislative, regulatory and policy frameworks</w:t>
            </w:r>
          </w:p>
        </w:tc>
        <w:tc>
          <w:tcPr>
            <w:tcW w:w="1616" w:type="pct"/>
            <w:shd w:val="clear" w:color="auto" w:fill="auto"/>
            <w:tcMar>
              <w:top w:w="113" w:type="dxa"/>
              <w:bottom w:w="113" w:type="dxa"/>
            </w:tcMar>
          </w:tcPr>
          <w:p w14:paraId="721875F0" w14:textId="77777777" w:rsidR="00BF5EAA" w:rsidRDefault="00BF5EAA" w:rsidP="005A1F7F">
            <w:pPr>
              <w:ind w:right="176"/>
              <w:rPr>
                <w:rFonts w:ascii="Arial" w:hAnsi="Arial" w:cs="Arial"/>
                <w:color w:val="000000"/>
                <w:sz w:val="16"/>
                <w:szCs w:val="16"/>
              </w:rPr>
            </w:pPr>
            <w:r>
              <w:rPr>
                <w:rFonts w:ascii="Arial" w:hAnsi="Arial" w:cs="Arial"/>
                <w:color w:val="000000"/>
                <w:sz w:val="16"/>
                <w:szCs w:val="16"/>
              </w:rPr>
              <w:t>% of recipients which found information concerning legal principles and practices of the patent, utility model and integrated</w:t>
            </w:r>
          </w:p>
          <w:p w14:paraId="2F7164AF" w14:textId="77777777" w:rsidR="00BF5EAA" w:rsidRPr="00A27611" w:rsidRDefault="00BF5EAA" w:rsidP="005A1F7F">
            <w:pPr>
              <w:rPr>
                <w:rFonts w:ascii="Arial" w:hAnsi="Arial" w:cs="Arial"/>
                <w:sz w:val="16"/>
                <w:szCs w:val="16"/>
              </w:rPr>
            </w:pPr>
            <w:r>
              <w:rPr>
                <w:rFonts w:ascii="Arial" w:hAnsi="Arial" w:cs="Arial"/>
                <w:color w:val="000000"/>
                <w:sz w:val="16"/>
                <w:szCs w:val="16"/>
              </w:rPr>
              <w:t>circuit systems, including the flexibilities, useful</w:t>
            </w:r>
          </w:p>
        </w:tc>
        <w:tc>
          <w:tcPr>
            <w:tcW w:w="1615" w:type="pct"/>
            <w:shd w:val="clear" w:color="auto" w:fill="FFFFFF"/>
            <w:tcMar>
              <w:top w:w="113" w:type="dxa"/>
              <w:bottom w:w="113" w:type="dxa"/>
            </w:tcMar>
          </w:tcPr>
          <w:p w14:paraId="2C306804"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Program 1</w:t>
            </w:r>
          </w:p>
        </w:tc>
      </w:tr>
      <w:tr w:rsidR="00BF5EAA" w:rsidRPr="00AF5E7C" w14:paraId="495BA164" w14:textId="77777777" w:rsidTr="005A1F7F">
        <w:trPr>
          <w:cantSplit/>
          <w:trHeight w:val="675"/>
        </w:trPr>
        <w:tc>
          <w:tcPr>
            <w:tcW w:w="1769" w:type="pct"/>
            <w:shd w:val="clear" w:color="auto" w:fill="auto"/>
            <w:tcMar>
              <w:top w:w="113" w:type="dxa"/>
              <w:bottom w:w="113" w:type="dxa"/>
            </w:tcMar>
          </w:tcPr>
          <w:p w14:paraId="70785039"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52AA924B" w14:textId="77777777" w:rsidR="00BF5EAA" w:rsidRPr="00A27611" w:rsidRDefault="00BF5EAA" w:rsidP="005A1F7F">
            <w:pPr>
              <w:rPr>
                <w:rFonts w:ascii="Arial" w:hAnsi="Arial" w:cs="Arial"/>
                <w:sz w:val="16"/>
                <w:szCs w:val="16"/>
              </w:rPr>
            </w:pPr>
            <w:r>
              <w:rPr>
                <w:rFonts w:ascii="Arial" w:hAnsi="Arial" w:cs="Arial"/>
                <w:color w:val="000000"/>
                <w:sz w:val="16"/>
                <w:szCs w:val="16"/>
              </w:rPr>
              <w:t>No. and % of Member States satisfied with the legislative and policy advice provided</w:t>
            </w:r>
          </w:p>
        </w:tc>
        <w:tc>
          <w:tcPr>
            <w:tcW w:w="1615" w:type="pct"/>
            <w:shd w:val="clear" w:color="auto" w:fill="FFFFFF"/>
            <w:tcMar>
              <w:top w:w="113" w:type="dxa"/>
              <w:bottom w:w="113" w:type="dxa"/>
            </w:tcMar>
          </w:tcPr>
          <w:p w14:paraId="74BB1D30"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Program 1</w:t>
            </w:r>
          </w:p>
        </w:tc>
      </w:tr>
      <w:tr w:rsidR="00BF5EAA" w:rsidRPr="00AF5E7C" w14:paraId="5534FB3B" w14:textId="77777777" w:rsidTr="005A1F7F">
        <w:trPr>
          <w:cantSplit/>
          <w:trHeight w:val="1025"/>
        </w:trPr>
        <w:tc>
          <w:tcPr>
            <w:tcW w:w="1769" w:type="pct"/>
            <w:shd w:val="clear" w:color="auto" w:fill="auto"/>
            <w:tcMar>
              <w:top w:w="113" w:type="dxa"/>
              <w:bottom w:w="113" w:type="dxa"/>
            </w:tcMar>
          </w:tcPr>
          <w:p w14:paraId="5B4B42D5"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714FC67C" w14:textId="77777777" w:rsidR="00BF5EAA" w:rsidRPr="00A27611" w:rsidRDefault="00BF5EAA" w:rsidP="005A1F7F">
            <w:pPr>
              <w:rPr>
                <w:rFonts w:ascii="Arial" w:hAnsi="Arial" w:cs="Arial"/>
                <w:sz w:val="16"/>
                <w:szCs w:val="16"/>
              </w:rPr>
            </w:pPr>
            <w:r w:rsidRPr="007E3F60">
              <w:rPr>
                <w:rFonts w:ascii="Arial" w:hAnsi="Arial" w:cs="Arial"/>
                <w:sz w:val="16"/>
                <w:szCs w:val="16"/>
              </w:rPr>
              <w:t>N</w:t>
            </w:r>
            <w:r>
              <w:rPr>
                <w:rFonts w:ascii="Arial" w:hAnsi="Arial" w:cs="Arial"/>
                <w:sz w:val="16"/>
                <w:szCs w:val="16"/>
              </w:rPr>
              <w:t>o.</w:t>
            </w:r>
            <w:r w:rsidRPr="007E3F60">
              <w:rPr>
                <w:rFonts w:ascii="Arial" w:hAnsi="Arial" w:cs="Arial"/>
                <w:sz w:val="16"/>
                <w:szCs w:val="16"/>
              </w:rPr>
              <w:t xml:space="preserve"> and </w:t>
            </w:r>
            <w:r>
              <w:rPr>
                <w:rFonts w:ascii="Arial" w:hAnsi="Arial" w:cs="Arial"/>
                <w:sz w:val="16"/>
                <w:szCs w:val="16"/>
              </w:rPr>
              <w:t>%</w:t>
            </w:r>
            <w:r w:rsidRPr="007E3F60">
              <w:rPr>
                <w:rFonts w:ascii="Arial" w:hAnsi="Arial" w:cs="Arial"/>
                <w:sz w:val="16"/>
                <w:szCs w:val="16"/>
              </w:rPr>
              <w:t xml:space="preserve"> of Member States/regional organizations providing positive feedback on the legislative advice offered in the area of trademarks, industrial designs and geographical indications</w:t>
            </w:r>
            <w:r>
              <w:rPr>
                <w:rFonts w:ascii="Arial" w:hAnsi="Arial" w:cs="Arial"/>
                <w:sz w:val="16"/>
                <w:szCs w:val="16"/>
              </w:rPr>
              <w:t xml:space="preserve"> </w:t>
            </w:r>
          </w:p>
        </w:tc>
        <w:tc>
          <w:tcPr>
            <w:tcW w:w="1615" w:type="pct"/>
            <w:shd w:val="clear" w:color="auto" w:fill="FFFFFF"/>
            <w:tcMar>
              <w:top w:w="113" w:type="dxa"/>
              <w:bottom w:w="113" w:type="dxa"/>
            </w:tcMar>
          </w:tcPr>
          <w:p w14:paraId="1C7E6C79"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2</w:t>
            </w:r>
          </w:p>
          <w:p w14:paraId="39142750" w14:textId="77777777" w:rsidR="00BF5EAA" w:rsidRPr="001B07D8" w:rsidRDefault="00BF5EAA" w:rsidP="005A1F7F">
            <w:pPr>
              <w:ind w:left="591"/>
              <w:rPr>
                <w:rFonts w:ascii="Arial" w:hAnsi="Arial" w:cs="Arial"/>
                <w:color w:val="00B050"/>
                <w:sz w:val="16"/>
                <w:szCs w:val="16"/>
                <w:lang w:bidi="th-TH"/>
              </w:rPr>
            </w:pPr>
          </w:p>
        </w:tc>
      </w:tr>
      <w:tr w:rsidR="00BF5EAA" w:rsidRPr="00AF5E7C" w14:paraId="734BF90E" w14:textId="77777777" w:rsidTr="005A1F7F">
        <w:trPr>
          <w:cantSplit/>
          <w:trHeight w:val="403"/>
        </w:trPr>
        <w:tc>
          <w:tcPr>
            <w:tcW w:w="1769" w:type="pct"/>
            <w:shd w:val="clear" w:color="auto" w:fill="auto"/>
            <w:tcMar>
              <w:top w:w="113" w:type="dxa"/>
              <w:bottom w:w="113" w:type="dxa"/>
            </w:tcMar>
          </w:tcPr>
          <w:p w14:paraId="6C96F819"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76B8C5F9" w14:textId="77777777" w:rsidR="00BF5EAA" w:rsidRPr="003E2A85" w:rsidRDefault="00BF5EAA" w:rsidP="005A1F7F">
            <w:pPr>
              <w:rPr>
                <w:rFonts w:ascii="Arial" w:hAnsi="Arial" w:cs="Arial"/>
                <w:sz w:val="16"/>
                <w:szCs w:val="16"/>
              </w:rPr>
            </w:pPr>
            <w:r>
              <w:rPr>
                <w:rFonts w:ascii="Arial" w:hAnsi="Arial" w:cs="Arial"/>
                <w:color w:val="000000"/>
                <w:sz w:val="16"/>
                <w:szCs w:val="16"/>
              </w:rPr>
              <w:t>No. of countries that have ratified or acceded to the Beijing Treaty</w:t>
            </w:r>
          </w:p>
        </w:tc>
        <w:tc>
          <w:tcPr>
            <w:tcW w:w="1615" w:type="pct"/>
            <w:shd w:val="clear" w:color="auto" w:fill="FFFFFF"/>
            <w:tcMar>
              <w:top w:w="113" w:type="dxa"/>
              <w:bottom w:w="113" w:type="dxa"/>
            </w:tcMar>
          </w:tcPr>
          <w:p w14:paraId="298FDB11"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3</w:t>
            </w:r>
          </w:p>
          <w:p w14:paraId="0ED3ED86"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 xml:space="preserve">Program 20 </w:t>
            </w:r>
          </w:p>
        </w:tc>
      </w:tr>
      <w:tr w:rsidR="00BF5EAA" w:rsidRPr="00AF5E7C" w14:paraId="3FDE7678" w14:textId="77777777" w:rsidTr="005A1F7F">
        <w:trPr>
          <w:cantSplit/>
          <w:trHeight w:val="506"/>
        </w:trPr>
        <w:tc>
          <w:tcPr>
            <w:tcW w:w="1769" w:type="pct"/>
            <w:shd w:val="clear" w:color="auto" w:fill="auto"/>
            <w:tcMar>
              <w:top w:w="113" w:type="dxa"/>
              <w:bottom w:w="113" w:type="dxa"/>
            </w:tcMar>
          </w:tcPr>
          <w:p w14:paraId="449E83F3"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1038D07B" w14:textId="77777777" w:rsidR="00BF5EAA" w:rsidRPr="001C4104" w:rsidRDefault="00BF5EAA" w:rsidP="005A1F7F">
            <w:pPr>
              <w:rPr>
                <w:rFonts w:ascii="Arial" w:hAnsi="Arial" w:cs="Arial"/>
                <w:sz w:val="16"/>
                <w:szCs w:val="16"/>
              </w:rPr>
            </w:pPr>
            <w:r>
              <w:rPr>
                <w:rFonts w:ascii="Arial" w:hAnsi="Arial" w:cs="Arial"/>
                <w:color w:val="000000"/>
                <w:sz w:val="16"/>
                <w:szCs w:val="16"/>
              </w:rPr>
              <w:t>No. of countries that have ratified or acceded to the Marrakesh Treaty</w:t>
            </w:r>
          </w:p>
        </w:tc>
        <w:tc>
          <w:tcPr>
            <w:tcW w:w="1615" w:type="pct"/>
            <w:shd w:val="clear" w:color="auto" w:fill="FFFFFF"/>
            <w:tcMar>
              <w:top w:w="113" w:type="dxa"/>
              <w:bottom w:w="113" w:type="dxa"/>
            </w:tcMar>
          </w:tcPr>
          <w:p w14:paraId="6EA2B1EF"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3</w:t>
            </w:r>
          </w:p>
          <w:p w14:paraId="729100F4"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Program 20</w:t>
            </w:r>
          </w:p>
        </w:tc>
      </w:tr>
      <w:tr w:rsidR="00BF5EAA" w:rsidRPr="00AF5E7C" w14:paraId="72FFE5E5" w14:textId="77777777" w:rsidTr="005A1F7F">
        <w:trPr>
          <w:cantSplit/>
          <w:trHeight w:val="346"/>
        </w:trPr>
        <w:tc>
          <w:tcPr>
            <w:tcW w:w="1769" w:type="pct"/>
            <w:shd w:val="clear" w:color="auto" w:fill="auto"/>
            <w:tcMar>
              <w:top w:w="113" w:type="dxa"/>
              <w:bottom w:w="113" w:type="dxa"/>
            </w:tcMar>
          </w:tcPr>
          <w:p w14:paraId="189B23C5"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12B8028D" w14:textId="4BE9524C" w:rsidR="00BF5EAA" w:rsidRPr="001C4104" w:rsidRDefault="00BF5EAA">
            <w:pPr>
              <w:rPr>
                <w:rFonts w:ascii="Arial" w:hAnsi="Arial" w:cs="Arial"/>
                <w:sz w:val="16"/>
                <w:szCs w:val="16"/>
              </w:rPr>
            </w:pPr>
            <w:r w:rsidRPr="00FC3CD2">
              <w:rPr>
                <w:rFonts w:ascii="Arial" w:hAnsi="Arial" w:cs="Arial"/>
                <w:color w:val="000000"/>
                <w:sz w:val="16"/>
                <w:szCs w:val="16"/>
              </w:rPr>
              <w:t>No. of ratifications or accessions to the copyright treaties in force including the Berne Convention, Rome Convention,  and Internet Treaties</w:t>
            </w:r>
          </w:p>
        </w:tc>
        <w:tc>
          <w:tcPr>
            <w:tcW w:w="1615" w:type="pct"/>
            <w:shd w:val="clear" w:color="auto" w:fill="FFFFFF"/>
            <w:tcMar>
              <w:top w:w="113" w:type="dxa"/>
              <w:bottom w:w="113" w:type="dxa"/>
            </w:tcMar>
          </w:tcPr>
          <w:p w14:paraId="3846A7BA"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3</w:t>
            </w:r>
          </w:p>
          <w:p w14:paraId="099D4F82"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 xml:space="preserve">Program 20 </w:t>
            </w:r>
          </w:p>
        </w:tc>
      </w:tr>
      <w:tr w:rsidR="00BF5EAA" w:rsidRPr="00AF5E7C" w14:paraId="30B6BB68" w14:textId="77777777" w:rsidTr="005A1F7F">
        <w:trPr>
          <w:cantSplit/>
          <w:trHeight w:val="399"/>
        </w:trPr>
        <w:tc>
          <w:tcPr>
            <w:tcW w:w="1769" w:type="pct"/>
            <w:shd w:val="clear" w:color="auto" w:fill="auto"/>
            <w:tcMar>
              <w:top w:w="113" w:type="dxa"/>
              <w:bottom w:w="113" w:type="dxa"/>
            </w:tcMar>
          </w:tcPr>
          <w:p w14:paraId="5E2380D2"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1311D115" w14:textId="77777777" w:rsidR="00BF5EAA" w:rsidRPr="001C4104" w:rsidRDefault="00BF5EAA" w:rsidP="005A1F7F">
            <w:pPr>
              <w:rPr>
                <w:rFonts w:ascii="Arial" w:hAnsi="Arial" w:cs="Arial"/>
                <w:sz w:val="16"/>
                <w:szCs w:val="16"/>
              </w:rPr>
            </w:pPr>
            <w:r>
              <w:rPr>
                <w:rFonts w:ascii="Arial" w:hAnsi="Arial" w:cs="Arial"/>
                <w:color w:val="000000"/>
                <w:sz w:val="16"/>
                <w:szCs w:val="16"/>
              </w:rPr>
              <w:t>% of countries that have provided positive feedback about WIPO’s legislative advice</w:t>
            </w:r>
          </w:p>
        </w:tc>
        <w:tc>
          <w:tcPr>
            <w:tcW w:w="1615" w:type="pct"/>
            <w:shd w:val="clear" w:color="auto" w:fill="FFFFFF"/>
            <w:tcMar>
              <w:top w:w="113" w:type="dxa"/>
              <w:bottom w:w="113" w:type="dxa"/>
            </w:tcMar>
          </w:tcPr>
          <w:p w14:paraId="2D8ECF79"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3</w:t>
            </w:r>
          </w:p>
          <w:p w14:paraId="5ABA1B50" w14:textId="77777777" w:rsidR="00BF5EAA" w:rsidRPr="00AF5E7C" w:rsidRDefault="00BF5EAA" w:rsidP="005A1F7F">
            <w:pPr>
              <w:ind w:left="591"/>
              <w:rPr>
                <w:rFonts w:ascii="Arial" w:hAnsi="Arial" w:cs="Arial"/>
                <w:sz w:val="16"/>
                <w:szCs w:val="16"/>
                <w:lang w:bidi="th-TH"/>
              </w:rPr>
            </w:pPr>
          </w:p>
        </w:tc>
      </w:tr>
      <w:tr w:rsidR="00BF5EAA" w:rsidRPr="00AF5E7C" w14:paraId="28E32431" w14:textId="77777777" w:rsidTr="005A1F7F">
        <w:trPr>
          <w:cantSplit/>
          <w:trHeight w:val="399"/>
        </w:trPr>
        <w:tc>
          <w:tcPr>
            <w:tcW w:w="1769" w:type="pct"/>
            <w:shd w:val="clear" w:color="auto" w:fill="auto"/>
            <w:tcMar>
              <w:top w:w="113" w:type="dxa"/>
              <w:bottom w:w="113" w:type="dxa"/>
            </w:tcMar>
          </w:tcPr>
          <w:p w14:paraId="6D405B79"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590210DD" w14:textId="77777777" w:rsidR="00BF5EAA" w:rsidRPr="00C03591" w:rsidRDefault="00BF5EAA" w:rsidP="005A1F7F">
            <w:pPr>
              <w:rPr>
                <w:rFonts w:ascii="Arial" w:hAnsi="Arial" w:cs="Arial"/>
                <w:color w:val="000000"/>
                <w:sz w:val="16"/>
                <w:szCs w:val="16"/>
              </w:rPr>
            </w:pPr>
            <w:r w:rsidRPr="00C03591">
              <w:rPr>
                <w:rFonts w:ascii="Arial" w:hAnsi="Arial" w:cs="Arial"/>
                <w:color w:val="000000"/>
                <w:sz w:val="16"/>
                <w:szCs w:val="16"/>
              </w:rPr>
              <w:t>No. and/or % of countries providing positive feedback on WIPO’s Legislative policy advice</w:t>
            </w:r>
          </w:p>
        </w:tc>
        <w:tc>
          <w:tcPr>
            <w:tcW w:w="1615" w:type="pct"/>
            <w:shd w:val="clear" w:color="auto" w:fill="FFFFFF"/>
            <w:tcMar>
              <w:top w:w="113" w:type="dxa"/>
              <w:bottom w:w="113" w:type="dxa"/>
            </w:tcMar>
          </w:tcPr>
          <w:p w14:paraId="3F4DDB4E"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9</w:t>
            </w:r>
          </w:p>
        </w:tc>
      </w:tr>
      <w:tr w:rsidR="00BF5EAA" w:rsidRPr="00AF5E7C" w14:paraId="2358A2AE" w14:textId="77777777" w:rsidTr="005A1F7F">
        <w:trPr>
          <w:cantSplit/>
          <w:trHeight w:val="399"/>
        </w:trPr>
        <w:tc>
          <w:tcPr>
            <w:tcW w:w="1769" w:type="pct"/>
            <w:shd w:val="clear" w:color="auto" w:fill="auto"/>
            <w:tcMar>
              <w:top w:w="113" w:type="dxa"/>
              <w:bottom w:w="113" w:type="dxa"/>
            </w:tcMar>
          </w:tcPr>
          <w:p w14:paraId="2CF03203"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15BB5823" w14:textId="3B0A9BB5" w:rsidR="00BF5EAA" w:rsidRPr="00F72D6C" w:rsidRDefault="00BF5EAA">
            <w:pPr>
              <w:rPr>
                <w:rFonts w:ascii="Arial" w:hAnsi="Arial" w:cs="Arial"/>
                <w:color w:val="000000"/>
                <w:sz w:val="16"/>
                <w:szCs w:val="16"/>
              </w:rPr>
            </w:pPr>
            <w:r w:rsidRPr="00F72D6C">
              <w:rPr>
                <w:rFonts w:ascii="Arial" w:hAnsi="Arial" w:cs="Arial"/>
                <w:color w:val="000000"/>
                <w:sz w:val="16"/>
                <w:szCs w:val="16"/>
              </w:rPr>
              <w:t xml:space="preserve">No. of transition countries with updated national </w:t>
            </w:r>
            <w:r w:rsidR="00C71CBF">
              <w:rPr>
                <w:rFonts w:ascii="Arial" w:hAnsi="Arial" w:cs="Arial"/>
                <w:color w:val="000000"/>
                <w:sz w:val="16"/>
                <w:szCs w:val="16"/>
              </w:rPr>
              <w:t>l</w:t>
            </w:r>
            <w:r w:rsidRPr="00F72D6C">
              <w:rPr>
                <w:rFonts w:ascii="Arial" w:hAnsi="Arial" w:cs="Arial"/>
                <w:color w:val="000000"/>
                <w:sz w:val="16"/>
                <w:szCs w:val="16"/>
              </w:rPr>
              <w:t>aws</w:t>
            </w:r>
          </w:p>
        </w:tc>
        <w:tc>
          <w:tcPr>
            <w:tcW w:w="1615" w:type="pct"/>
            <w:shd w:val="clear" w:color="auto" w:fill="FFFFFF"/>
            <w:tcMar>
              <w:top w:w="113" w:type="dxa"/>
              <w:bottom w:w="113" w:type="dxa"/>
            </w:tcMar>
          </w:tcPr>
          <w:p w14:paraId="4F30EF49"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10</w:t>
            </w:r>
          </w:p>
        </w:tc>
      </w:tr>
      <w:tr w:rsidR="00BF5EAA" w:rsidRPr="00AF5E7C" w14:paraId="73188601" w14:textId="77777777" w:rsidTr="005A1F7F">
        <w:trPr>
          <w:cantSplit/>
          <w:trHeight w:val="399"/>
        </w:trPr>
        <w:tc>
          <w:tcPr>
            <w:tcW w:w="1769" w:type="pct"/>
            <w:shd w:val="clear" w:color="auto" w:fill="auto"/>
            <w:tcMar>
              <w:top w:w="113" w:type="dxa"/>
              <w:bottom w:w="113" w:type="dxa"/>
            </w:tcMar>
          </w:tcPr>
          <w:p w14:paraId="1A65BAEA"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4BC06458" w14:textId="77777777" w:rsidR="00BF5EAA" w:rsidRPr="00F72D6C" w:rsidRDefault="00BF5EAA" w:rsidP="005A1F7F">
            <w:pPr>
              <w:rPr>
                <w:rFonts w:ascii="Arial" w:hAnsi="Arial" w:cs="Arial"/>
                <w:color w:val="000000"/>
                <w:sz w:val="16"/>
                <w:szCs w:val="16"/>
              </w:rPr>
            </w:pPr>
            <w:r w:rsidRPr="00F72D6C">
              <w:rPr>
                <w:rFonts w:ascii="Arial" w:hAnsi="Arial" w:cs="Arial"/>
                <w:color w:val="000000"/>
                <w:sz w:val="16"/>
                <w:szCs w:val="16"/>
              </w:rPr>
              <w:t xml:space="preserve">No. of ratifications to WIPO administered treaties  </w:t>
            </w:r>
          </w:p>
        </w:tc>
        <w:tc>
          <w:tcPr>
            <w:tcW w:w="1615" w:type="pct"/>
            <w:shd w:val="clear" w:color="auto" w:fill="FFFFFF"/>
            <w:tcMar>
              <w:top w:w="113" w:type="dxa"/>
              <w:bottom w:w="113" w:type="dxa"/>
            </w:tcMar>
          </w:tcPr>
          <w:p w14:paraId="2ED66CCB"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10</w:t>
            </w:r>
          </w:p>
        </w:tc>
      </w:tr>
      <w:tr w:rsidR="00BF5EAA" w:rsidRPr="00AF5E7C" w14:paraId="769180D1" w14:textId="77777777" w:rsidTr="005A1F7F">
        <w:trPr>
          <w:cantSplit/>
          <w:trHeight w:val="744"/>
        </w:trPr>
        <w:tc>
          <w:tcPr>
            <w:tcW w:w="1769" w:type="pct"/>
            <w:shd w:val="clear" w:color="auto" w:fill="auto"/>
            <w:tcMar>
              <w:top w:w="113" w:type="dxa"/>
              <w:bottom w:w="113" w:type="dxa"/>
            </w:tcMar>
          </w:tcPr>
          <w:p w14:paraId="0ED9C18A"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52E27145" w14:textId="7DE5C1A4" w:rsidR="00BF5EAA" w:rsidRPr="001261DA" w:rsidRDefault="00BF5EAA" w:rsidP="005A1F7F">
            <w:pPr>
              <w:rPr>
                <w:rFonts w:ascii="Arial" w:hAnsi="Arial" w:cs="Arial"/>
                <w:sz w:val="16"/>
                <w:szCs w:val="16"/>
              </w:rPr>
            </w:pPr>
            <w:r w:rsidRPr="001261DA">
              <w:rPr>
                <w:rFonts w:ascii="Arial" w:hAnsi="Arial" w:cs="Arial"/>
                <w:color w:val="000000"/>
                <w:sz w:val="16"/>
                <w:szCs w:val="16"/>
              </w:rPr>
              <w:t>No. of countries/regional organizations having adopted or amended relevant frameworks towards effective IP enforcement in the light of Part III of the TRIPS Agreement</w:t>
            </w:r>
            <w:r w:rsidR="00F56680">
              <w:rPr>
                <w:rFonts w:ascii="Arial" w:hAnsi="Arial" w:cs="Arial"/>
                <w:color w:val="000000"/>
                <w:sz w:val="16"/>
                <w:szCs w:val="16"/>
              </w:rPr>
              <w:t xml:space="preserve"> </w:t>
            </w:r>
            <w:r w:rsidR="00F56680" w:rsidRPr="00F56680">
              <w:rPr>
                <w:rFonts w:ascii="Arial" w:eastAsia="Times New Roman" w:hAnsi="Arial" w:cs="Arial"/>
                <w:color w:val="000000"/>
                <w:sz w:val="16"/>
                <w:szCs w:val="16"/>
                <w:lang w:eastAsia="en-US"/>
              </w:rPr>
              <w:t>and DA Recommendation 45</w:t>
            </w:r>
            <w:r w:rsidRPr="001261DA">
              <w:rPr>
                <w:rFonts w:ascii="Arial" w:hAnsi="Arial" w:cs="Arial"/>
                <w:color w:val="000000"/>
                <w:sz w:val="16"/>
                <w:szCs w:val="16"/>
              </w:rPr>
              <w:t>, or being in the process of doing so, further to WIPO assistance</w:t>
            </w:r>
          </w:p>
        </w:tc>
        <w:tc>
          <w:tcPr>
            <w:tcW w:w="1615" w:type="pct"/>
            <w:shd w:val="clear" w:color="auto" w:fill="FFFFFF"/>
            <w:tcMar>
              <w:top w:w="113" w:type="dxa"/>
              <w:bottom w:w="113" w:type="dxa"/>
            </w:tcMar>
          </w:tcPr>
          <w:p w14:paraId="54204F5D" w14:textId="77777777" w:rsidR="00BF5EAA" w:rsidRPr="00AF5E7C" w:rsidRDefault="00BF5EAA" w:rsidP="005A1F7F">
            <w:pPr>
              <w:ind w:left="591"/>
              <w:rPr>
                <w:rFonts w:ascii="Arial" w:hAnsi="Arial" w:cs="Arial"/>
                <w:sz w:val="16"/>
                <w:szCs w:val="16"/>
                <w:lang w:bidi="th-TH"/>
              </w:rPr>
            </w:pPr>
            <w:r>
              <w:rPr>
                <w:rFonts w:ascii="Arial" w:hAnsi="Arial" w:cs="Arial"/>
                <w:sz w:val="16"/>
                <w:szCs w:val="16"/>
                <w:lang w:bidi="th-TH"/>
              </w:rPr>
              <w:t>Program 17</w:t>
            </w:r>
          </w:p>
        </w:tc>
      </w:tr>
      <w:tr w:rsidR="00BF5EAA" w:rsidRPr="00AF5E7C" w14:paraId="4D6E89FC" w14:textId="77777777" w:rsidTr="005A1F7F">
        <w:trPr>
          <w:cantSplit/>
          <w:trHeight w:val="744"/>
        </w:trPr>
        <w:tc>
          <w:tcPr>
            <w:tcW w:w="1769" w:type="pct"/>
            <w:shd w:val="clear" w:color="auto" w:fill="auto"/>
            <w:tcMar>
              <w:top w:w="113" w:type="dxa"/>
              <w:bottom w:w="113" w:type="dxa"/>
            </w:tcMar>
          </w:tcPr>
          <w:p w14:paraId="4707D08E" w14:textId="77777777" w:rsidR="00BF5EAA" w:rsidRPr="00AF5E7C" w:rsidRDefault="00BF5EAA" w:rsidP="005A1F7F">
            <w:pPr>
              <w:rPr>
                <w:rFonts w:ascii="Arial" w:hAnsi="Arial" w:cs="Arial"/>
                <w:sz w:val="16"/>
                <w:szCs w:val="16"/>
              </w:rPr>
            </w:pPr>
          </w:p>
        </w:tc>
        <w:tc>
          <w:tcPr>
            <w:tcW w:w="1616" w:type="pct"/>
            <w:shd w:val="clear" w:color="auto" w:fill="auto"/>
            <w:tcMar>
              <w:top w:w="113" w:type="dxa"/>
              <w:bottom w:w="113" w:type="dxa"/>
            </w:tcMar>
          </w:tcPr>
          <w:p w14:paraId="11D8B061" w14:textId="77777777" w:rsidR="00BF5EAA" w:rsidRPr="003A274D" w:rsidRDefault="00BF5EAA" w:rsidP="005A1F7F">
            <w:pPr>
              <w:rPr>
                <w:rFonts w:ascii="Arial" w:hAnsi="Arial" w:cs="Arial"/>
                <w:color w:val="000000"/>
                <w:sz w:val="16"/>
                <w:szCs w:val="16"/>
              </w:rPr>
            </w:pPr>
            <w:r w:rsidRPr="003A274D">
              <w:rPr>
                <w:rFonts w:ascii="Arial" w:hAnsi="Arial" w:cs="Arial"/>
                <w:color w:val="000000"/>
                <w:sz w:val="16"/>
                <w:szCs w:val="16"/>
              </w:rPr>
              <w:t>No. of countries that have adopted and/or implemented a national strategy on Building Respect for IP, or are in the process of doing so, with WIPO assistance</w:t>
            </w:r>
          </w:p>
        </w:tc>
        <w:tc>
          <w:tcPr>
            <w:tcW w:w="1615" w:type="pct"/>
            <w:shd w:val="clear" w:color="auto" w:fill="FFFFFF"/>
            <w:tcMar>
              <w:top w:w="113" w:type="dxa"/>
              <w:bottom w:w="113" w:type="dxa"/>
            </w:tcMar>
          </w:tcPr>
          <w:p w14:paraId="40F33615" w14:textId="77777777" w:rsidR="00BF5EAA" w:rsidRDefault="00BF5EAA" w:rsidP="005A1F7F">
            <w:pPr>
              <w:ind w:left="591"/>
              <w:rPr>
                <w:rFonts w:ascii="Arial" w:hAnsi="Arial" w:cs="Arial"/>
                <w:sz w:val="16"/>
                <w:szCs w:val="16"/>
                <w:lang w:bidi="th-TH"/>
              </w:rPr>
            </w:pPr>
            <w:r>
              <w:rPr>
                <w:rFonts w:ascii="Arial" w:hAnsi="Arial" w:cs="Arial"/>
                <w:sz w:val="16"/>
                <w:szCs w:val="16"/>
                <w:lang w:bidi="th-TH"/>
              </w:rPr>
              <w:t>Program 17</w:t>
            </w:r>
          </w:p>
        </w:tc>
      </w:tr>
      <w:tr w:rsidR="00706960" w:rsidRPr="00AF5E7C" w14:paraId="5A3B8628" w14:textId="77777777" w:rsidTr="005A1F7F">
        <w:trPr>
          <w:cantSplit/>
          <w:trHeight w:val="660"/>
        </w:trPr>
        <w:tc>
          <w:tcPr>
            <w:tcW w:w="1769" w:type="pct"/>
            <w:shd w:val="clear" w:color="auto" w:fill="auto"/>
            <w:tcMar>
              <w:top w:w="113" w:type="dxa"/>
              <w:bottom w:w="113" w:type="dxa"/>
            </w:tcMar>
          </w:tcPr>
          <w:p w14:paraId="2F9DA29D" w14:textId="77777777" w:rsidR="00706960" w:rsidRPr="007E3F60" w:rsidRDefault="00706960">
            <w:pPr>
              <w:rPr>
                <w:rFonts w:ascii="Arial" w:hAnsi="Arial" w:cs="Arial"/>
                <w:sz w:val="16"/>
                <w:szCs w:val="16"/>
              </w:rPr>
            </w:pPr>
          </w:p>
        </w:tc>
        <w:tc>
          <w:tcPr>
            <w:tcW w:w="1616" w:type="pct"/>
            <w:shd w:val="clear" w:color="auto" w:fill="auto"/>
            <w:tcMar>
              <w:top w:w="113" w:type="dxa"/>
              <w:bottom w:w="113" w:type="dxa"/>
            </w:tcMar>
          </w:tcPr>
          <w:p w14:paraId="4D743E05" w14:textId="2104356A" w:rsidR="00706960" w:rsidRPr="00DC60C0" w:rsidRDefault="00706960">
            <w:pPr>
              <w:rPr>
                <w:rFonts w:ascii="Arial" w:hAnsi="Arial" w:cs="Arial"/>
                <w:color w:val="000000"/>
                <w:sz w:val="16"/>
                <w:szCs w:val="16"/>
              </w:rPr>
            </w:pPr>
            <w:r w:rsidRPr="000A3927">
              <w:rPr>
                <w:rFonts w:ascii="Arial" w:hAnsi="Arial" w:cs="Arial"/>
                <w:color w:val="000000"/>
                <w:sz w:val="16"/>
                <w:szCs w:val="16"/>
              </w:rPr>
              <w:t xml:space="preserve">No. of countries requesting WIPO’s specific contribution on IP in relation to </w:t>
            </w:r>
            <w:r w:rsidR="00C71CBF">
              <w:rPr>
                <w:rFonts w:ascii="Arial" w:hAnsi="Arial" w:cs="Arial"/>
                <w:color w:val="000000"/>
                <w:sz w:val="16"/>
                <w:szCs w:val="16"/>
              </w:rPr>
              <w:t>competition policy</w:t>
            </w:r>
            <w:r w:rsidRPr="000A3927">
              <w:rPr>
                <w:rFonts w:ascii="Arial" w:hAnsi="Arial" w:cs="Arial"/>
                <w:color w:val="000000"/>
                <w:sz w:val="16"/>
                <w:szCs w:val="16"/>
              </w:rPr>
              <w:t>-related issues</w:t>
            </w:r>
          </w:p>
        </w:tc>
        <w:tc>
          <w:tcPr>
            <w:tcW w:w="1615" w:type="pct"/>
            <w:shd w:val="clear" w:color="auto" w:fill="FFFFFF"/>
            <w:tcMar>
              <w:top w:w="113" w:type="dxa"/>
              <w:bottom w:w="113" w:type="dxa"/>
            </w:tcMar>
          </w:tcPr>
          <w:p w14:paraId="7F7C2F9D" w14:textId="0D21853F" w:rsidR="00706960" w:rsidRDefault="00706960" w:rsidP="005A1F7F">
            <w:pPr>
              <w:ind w:left="591"/>
              <w:rPr>
                <w:rFonts w:ascii="Arial" w:hAnsi="Arial" w:cs="Arial"/>
                <w:sz w:val="16"/>
                <w:szCs w:val="16"/>
                <w:lang w:bidi="th-TH"/>
              </w:rPr>
            </w:pPr>
            <w:r>
              <w:rPr>
                <w:rFonts w:ascii="Arial" w:hAnsi="Arial" w:cs="Arial"/>
                <w:sz w:val="16"/>
                <w:szCs w:val="16"/>
                <w:lang w:bidi="th-TH"/>
              </w:rPr>
              <w:t>Program 18</w:t>
            </w:r>
          </w:p>
        </w:tc>
      </w:tr>
      <w:tr w:rsidR="00706960" w:rsidRPr="00AF5E7C" w14:paraId="3C471249" w14:textId="77777777" w:rsidTr="005A1F7F">
        <w:trPr>
          <w:cantSplit/>
          <w:trHeight w:val="660"/>
        </w:trPr>
        <w:tc>
          <w:tcPr>
            <w:tcW w:w="1769" w:type="pct"/>
            <w:shd w:val="clear" w:color="auto" w:fill="auto"/>
            <w:tcMar>
              <w:top w:w="113" w:type="dxa"/>
              <w:bottom w:w="113" w:type="dxa"/>
            </w:tcMar>
          </w:tcPr>
          <w:p w14:paraId="014A6EDF" w14:textId="77777777" w:rsidR="00706960" w:rsidRPr="007E3F60" w:rsidRDefault="00706960">
            <w:pPr>
              <w:rPr>
                <w:rFonts w:ascii="Arial" w:hAnsi="Arial" w:cs="Arial"/>
                <w:sz w:val="16"/>
                <w:szCs w:val="16"/>
              </w:rPr>
            </w:pPr>
          </w:p>
        </w:tc>
        <w:tc>
          <w:tcPr>
            <w:tcW w:w="1616" w:type="pct"/>
            <w:shd w:val="clear" w:color="auto" w:fill="auto"/>
            <w:tcMar>
              <w:top w:w="113" w:type="dxa"/>
              <w:bottom w:w="113" w:type="dxa"/>
            </w:tcMar>
          </w:tcPr>
          <w:p w14:paraId="1F8C13F7" w14:textId="3981E200" w:rsidR="00706960" w:rsidRPr="00DC60C0" w:rsidRDefault="00706960">
            <w:pPr>
              <w:rPr>
                <w:rFonts w:ascii="Arial" w:hAnsi="Arial" w:cs="Arial"/>
                <w:color w:val="000000"/>
                <w:sz w:val="16"/>
                <w:szCs w:val="16"/>
              </w:rPr>
            </w:pPr>
            <w:r>
              <w:rPr>
                <w:rFonts w:ascii="Arial" w:hAnsi="Arial" w:cs="Arial"/>
                <w:color w:val="000000"/>
                <w:sz w:val="16"/>
                <w:szCs w:val="16"/>
              </w:rPr>
              <w:t xml:space="preserve">No. and diversity of stakeholders (IP </w:t>
            </w:r>
            <w:r w:rsidR="00C71CBF">
              <w:rPr>
                <w:rFonts w:ascii="Arial" w:hAnsi="Arial" w:cs="Arial"/>
                <w:color w:val="000000"/>
                <w:sz w:val="16"/>
                <w:szCs w:val="16"/>
              </w:rPr>
              <w:t>O</w:t>
            </w:r>
            <w:r>
              <w:rPr>
                <w:rFonts w:ascii="Arial" w:hAnsi="Arial" w:cs="Arial"/>
                <w:color w:val="000000"/>
                <w:sz w:val="16"/>
                <w:szCs w:val="16"/>
              </w:rPr>
              <w:t>ffices, competition and authorities, relevant IGOs and NGOs) engaged in dialogue with WIPO</w:t>
            </w:r>
          </w:p>
        </w:tc>
        <w:tc>
          <w:tcPr>
            <w:tcW w:w="1615" w:type="pct"/>
            <w:shd w:val="clear" w:color="auto" w:fill="FFFFFF"/>
            <w:tcMar>
              <w:top w:w="113" w:type="dxa"/>
              <w:bottom w:w="113" w:type="dxa"/>
            </w:tcMar>
          </w:tcPr>
          <w:p w14:paraId="5BE6B1FD" w14:textId="2986745F" w:rsidR="00706960" w:rsidRDefault="00706960" w:rsidP="005A1F7F">
            <w:pPr>
              <w:ind w:left="591"/>
              <w:rPr>
                <w:rFonts w:ascii="Arial" w:hAnsi="Arial" w:cs="Arial"/>
                <w:sz w:val="16"/>
                <w:szCs w:val="16"/>
                <w:lang w:bidi="th-TH"/>
              </w:rPr>
            </w:pPr>
            <w:r>
              <w:rPr>
                <w:rFonts w:ascii="Arial" w:hAnsi="Arial" w:cs="Arial"/>
                <w:sz w:val="16"/>
                <w:szCs w:val="16"/>
                <w:lang w:bidi="th-TH"/>
              </w:rPr>
              <w:t>Program 18</w:t>
            </w:r>
          </w:p>
        </w:tc>
      </w:tr>
      <w:tr w:rsidR="00706960" w:rsidRPr="00AF5E7C" w14:paraId="401BE96D" w14:textId="77777777" w:rsidTr="005A1F7F">
        <w:trPr>
          <w:cantSplit/>
          <w:trHeight w:val="660"/>
        </w:trPr>
        <w:tc>
          <w:tcPr>
            <w:tcW w:w="1769" w:type="pct"/>
            <w:shd w:val="clear" w:color="auto" w:fill="auto"/>
            <w:tcMar>
              <w:top w:w="113" w:type="dxa"/>
              <w:bottom w:w="113" w:type="dxa"/>
            </w:tcMar>
          </w:tcPr>
          <w:p w14:paraId="20F43C86" w14:textId="281149B6" w:rsidR="00706960" w:rsidRPr="00AF5E7C" w:rsidRDefault="00706960">
            <w:pPr>
              <w:rPr>
                <w:rFonts w:ascii="Arial" w:hAnsi="Arial" w:cs="Arial"/>
                <w:sz w:val="16"/>
                <w:szCs w:val="16"/>
              </w:rPr>
            </w:pPr>
            <w:r w:rsidRPr="007E3F60">
              <w:rPr>
                <w:rFonts w:ascii="Arial" w:hAnsi="Arial" w:cs="Arial"/>
                <w:sz w:val="16"/>
                <w:szCs w:val="16"/>
              </w:rPr>
              <w:t xml:space="preserve">I.3 </w:t>
            </w:r>
            <w:r>
              <w:rPr>
                <w:rFonts w:ascii="Arial" w:hAnsi="Arial" w:cs="Arial"/>
                <w:sz w:val="16"/>
                <w:szCs w:val="16"/>
              </w:rPr>
              <w:t xml:space="preserve"> </w:t>
            </w:r>
            <w:r w:rsidRPr="007E3F60">
              <w:rPr>
                <w:rFonts w:ascii="Arial" w:hAnsi="Arial" w:cs="Arial"/>
                <w:sz w:val="16"/>
                <w:szCs w:val="16"/>
              </w:rPr>
              <w:t>Increased protection of State emblems and names and emblems of International Intergovernmental Organizations</w:t>
            </w:r>
          </w:p>
        </w:tc>
        <w:tc>
          <w:tcPr>
            <w:tcW w:w="1616" w:type="pct"/>
            <w:shd w:val="clear" w:color="auto" w:fill="auto"/>
            <w:tcMar>
              <w:top w:w="113" w:type="dxa"/>
              <w:bottom w:w="113" w:type="dxa"/>
            </w:tcMar>
          </w:tcPr>
          <w:p w14:paraId="54C29A39" w14:textId="3A458DE1" w:rsidR="00706960" w:rsidRPr="007E3F60" w:rsidRDefault="00706960">
            <w:pPr>
              <w:rPr>
                <w:rFonts w:ascii="Arial" w:hAnsi="Arial" w:cs="Arial"/>
                <w:sz w:val="16"/>
                <w:szCs w:val="16"/>
              </w:rPr>
            </w:pPr>
            <w:r w:rsidRPr="00DC60C0">
              <w:rPr>
                <w:rFonts w:ascii="Arial" w:hAnsi="Arial" w:cs="Arial"/>
                <w:color w:val="000000"/>
                <w:sz w:val="16"/>
                <w:szCs w:val="16"/>
              </w:rPr>
              <w:t>No. of signs contained in the Article</w:t>
            </w:r>
            <w:r>
              <w:rPr>
                <w:rFonts w:ascii="Arial" w:hAnsi="Arial" w:cs="Arial"/>
                <w:color w:val="000000"/>
                <w:sz w:val="16"/>
                <w:szCs w:val="16"/>
              </w:rPr>
              <w:t> </w:t>
            </w:r>
            <w:r w:rsidRPr="00DC60C0">
              <w:rPr>
                <w:rFonts w:ascii="Arial" w:hAnsi="Arial" w:cs="Arial"/>
                <w:color w:val="000000"/>
                <w:sz w:val="16"/>
                <w:szCs w:val="16"/>
              </w:rPr>
              <w:t>6</w:t>
            </w:r>
            <w:r w:rsidRPr="002A69A3">
              <w:rPr>
                <w:rFonts w:ascii="Arial" w:hAnsi="Arial" w:cs="Arial"/>
                <w:i/>
                <w:color w:val="000000"/>
                <w:sz w:val="16"/>
                <w:szCs w:val="16"/>
              </w:rPr>
              <w:t>ter</w:t>
            </w:r>
            <w:r w:rsidRPr="00DC60C0">
              <w:rPr>
                <w:rFonts w:ascii="Arial" w:hAnsi="Arial" w:cs="Arial"/>
                <w:color w:val="000000"/>
                <w:sz w:val="16"/>
                <w:szCs w:val="16"/>
              </w:rPr>
              <w:t xml:space="preserve"> database</w:t>
            </w:r>
          </w:p>
        </w:tc>
        <w:tc>
          <w:tcPr>
            <w:tcW w:w="1615" w:type="pct"/>
            <w:shd w:val="clear" w:color="auto" w:fill="FFFFFF"/>
            <w:tcMar>
              <w:top w:w="113" w:type="dxa"/>
              <w:bottom w:w="113" w:type="dxa"/>
            </w:tcMar>
          </w:tcPr>
          <w:p w14:paraId="48A369BA" w14:textId="77777777" w:rsidR="00706960" w:rsidRPr="00AF5E7C" w:rsidRDefault="00706960" w:rsidP="005A1F7F">
            <w:pPr>
              <w:ind w:left="591"/>
              <w:rPr>
                <w:rFonts w:ascii="Arial" w:hAnsi="Arial" w:cs="Arial"/>
                <w:sz w:val="16"/>
                <w:szCs w:val="16"/>
                <w:lang w:bidi="th-TH"/>
              </w:rPr>
            </w:pPr>
            <w:r>
              <w:rPr>
                <w:rFonts w:ascii="Arial" w:hAnsi="Arial" w:cs="Arial"/>
                <w:sz w:val="16"/>
                <w:szCs w:val="16"/>
                <w:lang w:bidi="th-TH"/>
              </w:rPr>
              <w:t>Program 2</w:t>
            </w:r>
          </w:p>
        </w:tc>
      </w:tr>
      <w:tr w:rsidR="00706960" w:rsidRPr="00AF5E7C" w14:paraId="558CCCA9" w14:textId="77777777" w:rsidTr="005A1F7F">
        <w:trPr>
          <w:cantSplit/>
          <w:trHeight w:val="660"/>
        </w:trPr>
        <w:tc>
          <w:tcPr>
            <w:tcW w:w="1769" w:type="pct"/>
            <w:shd w:val="clear" w:color="auto" w:fill="auto"/>
            <w:tcMar>
              <w:top w:w="113" w:type="dxa"/>
              <w:bottom w:w="113" w:type="dxa"/>
            </w:tcMar>
          </w:tcPr>
          <w:p w14:paraId="09D6C0CF" w14:textId="1D9AE8D5" w:rsidR="00706960" w:rsidRPr="007E3F60" w:rsidRDefault="00706960" w:rsidP="005A1F7F">
            <w:pPr>
              <w:rPr>
                <w:rFonts w:ascii="Arial" w:hAnsi="Arial" w:cs="Arial"/>
                <w:sz w:val="16"/>
                <w:szCs w:val="16"/>
              </w:rPr>
            </w:pPr>
            <w:r>
              <w:rPr>
                <w:rFonts w:ascii="Arial" w:hAnsi="Arial" w:cs="Arial"/>
                <w:color w:val="000000"/>
                <w:sz w:val="16"/>
                <w:szCs w:val="16"/>
              </w:rPr>
              <w:t xml:space="preserve">I.4 Growing interest in WIPO as a forum for analysis of issues in relation to the international protection of </w:t>
            </w:r>
            <w:r w:rsidR="00CB4716" w:rsidRPr="00CB4716">
              <w:rPr>
                <w:rFonts w:ascii="Arial" w:hAnsi="Arial" w:cs="Arial"/>
                <w:color w:val="000000"/>
                <w:sz w:val="16"/>
                <w:szCs w:val="16"/>
              </w:rPr>
              <w:t xml:space="preserve">utility models, layout designs (topographies) of integrated circuits and </w:t>
            </w:r>
            <w:r>
              <w:rPr>
                <w:rFonts w:ascii="Arial" w:hAnsi="Arial" w:cs="Arial"/>
                <w:color w:val="000000"/>
                <w:sz w:val="16"/>
                <w:szCs w:val="16"/>
              </w:rPr>
              <w:t>confidential information</w:t>
            </w:r>
          </w:p>
        </w:tc>
        <w:tc>
          <w:tcPr>
            <w:tcW w:w="1616" w:type="pct"/>
            <w:shd w:val="clear" w:color="auto" w:fill="auto"/>
            <w:tcMar>
              <w:top w:w="113" w:type="dxa"/>
              <w:bottom w:w="113" w:type="dxa"/>
            </w:tcMar>
          </w:tcPr>
          <w:p w14:paraId="0EAF803F" w14:textId="04C5214A" w:rsidR="00706960" w:rsidRPr="00DC60C0" w:rsidRDefault="00706960" w:rsidP="005A1F7F">
            <w:pPr>
              <w:rPr>
                <w:rFonts w:ascii="Arial" w:hAnsi="Arial" w:cs="Arial"/>
                <w:color w:val="000000"/>
                <w:sz w:val="16"/>
                <w:szCs w:val="16"/>
              </w:rPr>
            </w:pPr>
            <w:r>
              <w:rPr>
                <w:rFonts w:ascii="Arial" w:hAnsi="Arial" w:cs="Arial"/>
                <w:color w:val="000000"/>
                <w:sz w:val="16"/>
                <w:szCs w:val="16"/>
              </w:rPr>
              <w:t xml:space="preserve">% of recipients which found information concerning legal principles and practices on the protection of </w:t>
            </w:r>
            <w:r w:rsidR="00CB4716" w:rsidRPr="00CB4716">
              <w:rPr>
                <w:rFonts w:ascii="Arial" w:hAnsi="Arial" w:cs="Arial"/>
                <w:color w:val="000000"/>
                <w:sz w:val="16"/>
                <w:szCs w:val="16"/>
              </w:rPr>
              <w:t xml:space="preserve">utility models, layout designs (topographies) of integrated circuits and </w:t>
            </w:r>
            <w:r>
              <w:rPr>
                <w:rFonts w:ascii="Arial" w:hAnsi="Arial" w:cs="Arial"/>
                <w:color w:val="000000"/>
                <w:sz w:val="16"/>
                <w:szCs w:val="16"/>
              </w:rPr>
              <w:t>confidential information, useful</w:t>
            </w:r>
          </w:p>
        </w:tc>
        <w:tc>
          <w:tcPr>
            <w:tcW w:w="1615" w:type="pct"/>
            <w:shd w:val="clear" w:color="auto" w:fill="FFFFFF"/>
            <w:tcMar>
              <w:top w:w="113" w:type="dxa"/>
              <w:bottom w:w="113" w:type="dxa"/>
            </w:tcMar>
          </w:tcPr>
          <w:p w14:paraId="7DD7A974" w14:textId="77777777" w:rsidR="00706960" w:rsidRDefault="00706960" w:rsidP="005A1F7F">
            <w:pPr>
              <w:ind w:left="591"/>
              <w:rPr>
                <w:rFonts w:ascii="Arial" w:hAnsi="Arial" w:cs="Arial"/>
                <w:sz w:val="16"/>
                <w:szCs w:val="16"/>
                <w:lang w:bidi="th-TH"/>
              </w:rPr>
            </w:pPr>
            <w:r>
              <w:rPr>
                <w:rFonts w:ascii="Arial" w:hAnsi="Arial" w:cs="Arial"/>
                <w:sz w:val="16"/>
                <w:szCs w:val="16"/>
                <w:lang w:bidi="th-TH"/>
              </w:rPr>
              <w:t xml:space="preserve">Program 1 </w:t>
            </w:r>
          </w:p>
        </w:tc>
      </w:tr>
    </w:tbl>
    <w:p w14:paraId="013EEFD1" w14:textId="7909C18E" w:rsidR="005546DD" w:rsidRDefault="005546DD">
      <w:pPr>
        <w:rPr>
          <w:rFonts w:ascii="Arial" w:hAnsi="Arial" w:cs="Arial"/>
        </w:rPr>
      </w:pPr>
    </w:p>
    <w:p w14:paraId="065366F7" w14:textId="77777777" w:rsidR="005546DD" w:rsidRDefault="005546DD">
      <w:pPr>
        <w:rPr>
          <w:rFonts w:ascii="Arial" w:hAnsi="Arial" w:cs="Arial"/>
        </w:rPr>
      </w:pPr>
      <w:r>
        <w:rPr>
          <w:rFonts w:ascii="Arial" w:hAnsi="Arial" w:cs="Arial"/>
        </w:rPr>
        <w:br w:type="page"/>
      </w:r>
    </w:p>
    <w:p w14:paraId="0C677BEC" w14:textId="77777777" w:rsidR="00901665" w:rsidRDefault="00901665">
      <w:pPr>
        <w:rPr>
          <w:rFonts w:ascii="Arial" w:hAnsi="Arial" w:cs="Arial"/>
        </w:rPr>
      </w:pPr>
    </w:p>
    <w:p w14:paraId="1F853C7E" w14:textId="44F6F67B" w:rsidR="00293332" w:rsidRPr="00FB68E0" w:rsidRDefault="00293332" w:rsidP="00D049E6">
      <w:pPr>
        <w:pStyle w:val="StyleHeading3ComplexItalic"/>
        <w:tabs>
          <w:tab w:val="clear" w:pos="1985"/>
          <w:tab w:val="left" w:pos="1843"/>
        </w:tabs>
        <w:ind w:left="1843" w:hanging="1843"/>
        <w:rPr>
          <w:rStyle w:val="StyleStyleHeading3ComplexItalicLatin12ptChar"/>
          <w:rFonts w:eastAsia="SimSun"/>
        </w:rPr>
      </w:pPr>
      <w:bookmarkStart w:id="25" w:name="_Toc427154395"/>
      <w:r w:rsidRPr="00FB68E0">
        <w:rPr>
          <w:rStyle w:val="StyleStyleHeading3ComplexItalicLatin12ptChar"/>
          <w:rFonts w:eastAsia="SimSun"/>
          <w:b/>
        </w:rPr>
        <w:t>PROGRAM 1</w:t>
      </w:r>
      <w:r w:rsidRPr="005412E8">
        <w:rPr>
          <w:rStyle w:val="StyleStyleHeading3ComplexItalicLatin12ptChar"/>
          <w:rFonts w:eastAsia="SimSun"/>
          <w:b/>
        </w:rPr>
        <w:tab/>
        <w:t>PATENT LAW</w:t>
      </w:r>
      <w:bookmarkEnd w:id="0"/>
      <w:bookmarkEnd w:id="25"/>
      <w:r w:rsidRPr="00FB68E0">
        <w:rPr>
          <w:rStyle w:val="StyleStyleHeading3ComplexItalicLatin12ptChar"/>
          <w:rFonts w:eastAsia="SimSun"/>
        </w:rPr>
        <w:t xml:space="preserve"> </w:t>
      </w:r>
    </w:p>
    <w:p w14:paraId="556E5F13" w14:textId="77777777" w:rsidR="00293332" w:rsidRPr="009B4A78" w:rsidRDefault="00293332" w:rsidP="00293332">
      <w:pPr>
        <w:tabs>
          <w:tab w:val="left" w:pos="1701"/>
        </w:tabs>
        <w:ind w:left="1701" w:hanging="1701"/>
        <w:rPr>
          <w:rFonts w:ascii="Arial" w:hAnsi="Arial" w:cs="Arial"/>
          <w:bCs/>
          <w:iCs/>
          <w:sz w:val="20"/>
        </w:rPr>
      </w:pPr>
    </w:p>
    <w:p w14:paraId="064249AD" w14:textId="77777777" w:rsidR="00293332" w:rsidRPr="009B4A78" w:rsidRDefault="00293332" w:rsidP="00293332">
      <w:pPr>
        <w:rPr>
          <w:rFonts w:ascii="Arial" w:hAnsi="Arial" w:cs="Arial"/>
          <w:bCs/>
          <w:sz w:val="20"/>
        </w:rPr>
      </w:pPr>
    </w:p>
    <w:p w14:paraId="3811294C" w14:textId="77777777" w:rsidR="00293332" w:rsidRPr="009B4A78" w:rsidRDefault="00293332" w:rsidP="00293332">
      <w:pPr>
        <w:autoSpaceDE w:val="0"/>
        <w:autoSpaceDN w:val="0"/>
        <w:adjustRightInd w:val="0"/>
        <w:ind w:right="-59"/>
        <w:jc w:val="both"/>
        <w:rPr>
          <w:rFonts w:ascii="Arial" w:hAnsi="Arial" w:cs="Arial"/>
        </w:rPr>
      </w:pPr>
      <w:r w:rsidRPr="009B4A78">
        <w:rPr>
          <w:rFonts w:ascii="Arial" w:hAnsi="Arial" w:cs="Arial"/>
        </w:rPr>
        <w:t>PLANNING CONTEXT</w:t>
      </w:r>
    </w:p>
    <w:p w14:paraId="056A0BF9" w14:textId="77777777" w:rsidR="00293332" w:rsidRPr="009B4A78" w:rsidRDefault="00293332" w:rsidP="00293332">
      <w:pPr>
        <w:autoSpaceDE w:val="0"/>
        <w:autoSpaceDN w:val="0"/>
        <w:adjustRightInd w:val="0"/>
        <w:ind w:right="-59"/>
        <w:jc w:val="both"/>
        <w:rPr>
          <w:rFonts w:ascii="Arial" w:hAnsi="Arial" w:cs="Arial"/>
        </w:rPr>
      </w:pPr>
    </w:p>
    <w:p w14:paraId="7D75B0B0" w14:textId="4893A65E" w:rsidR="00745B6A" w:rsidRPr="009B4A78" w:rsidRDefault="00293332" w:rsidP="00B66A4A">
      <w:pPr>
        <w:numPr>
          <w:ilvl w:val="0"/>
          <w:numId w:val="2"/>
        </w:numPr>
        <w:jc w:val="both"/>
        <w:rPr>
          <w:rFonts w:ascii="Arial" w:hAnsi="Arial" w:cs="Arial"/>
          <w:sz w:val="20"/>
          <w:szCs w:val="20"/>
        </w:rPr>
      </w:pPr>
      <w:r w:rsidRPr="009B4A78">
        <w:rPr>
          <w:rFonts w:ascii="Arial" w:hAnsi="Arial" w:cs="Arial"/>
          <w:sz w:val="20"/>
          <w:szCs w:val="20"/>
        </w:rPr>
        <w:t xml:space="preserve">Program 1 covers issues relating to patents, utility models, layout designs (topographies) of integrated circuits and protection of confidential technical/business information (hereinafter referred to as “confidential information”). </w:t>
      </w:r>
      <w:r w:rsidR="009B0708" w:rsidRPr="009B4A78">
        <w:rPr>
          <w:rFonts w:ascii="Arial" w:hAnsi="Arial" w:cs="Arial"/>
          <w:sz w:val="20"/>
          <w:szCs w:val="20"/>
        </w:rPr>
        <w:t xml:space="preserve"> </w:t>
      </w:r>
      <w:r w:rsidRPr="009B4A78">
        <w:rPr>
          <w:rFonts w:ascii="Arial" w:hAnsi="Arial" w:cs="Arial"/>
          <w:sz w:val="20"/>
          <w:szCs w:val="20"/>
        </w:rPr>
        <w:t xml:space="preserve">Key challenges addressed by this Program include promoting multilateral solutions in a manner that the development of international patent law keeps pace with the rapidly evolving technological, economic and social environment. </w:t>
      </w:r>
      <w:r w:rsidR="009B0708" w:rsidRPr="009B4A78">
        <w:rPr>
          <w:rFonts w:ascii="Arial" w:hAnsi="Arial" w:cs="Arial"/>
          <w:sz w:val="20"/>
          <w:szCs w:val="20"/>
        </w:rPr>
        <w:t xml:space="preserve"> </w:t>
      </w:r>
      <w:r w:rsidRPr="009B4A78">
        <w:rPr>
          <w:rFonts w:ascii="Arial" w:hAnsi="Arial" w:cs="Arial"/>
          <w:sz w:val="20"/>
          <w:szCs w:val="20"/>
        </w:rPr>
        <w:t>The most important challenges anticipated for the 2016/17 biennium are as follows</w:t>
      </w:r>
      <w:r w:rsidR="00745B6A" w:rsidRPr="009B4A78">
        <w:rPr>
          <w:rFonts w:ascii="Arial" w:hAnsi="Arial" w:cs="Arial"/>
          <w:sz w:val="20"/>
          <w:szCs w:val="20"/>
        </w:rPr>
        <w:t>:</w:t>
      </w:r>
    </w:p>
    <w:p w14:paraId="270852B0" w14:textId="77777777" w:rsidR="0090584C" w:rsidRPr="009B4A78" w:rsidRDefault="0090584C" w:rsidP="008B0FB8">
      <w:pPr>
        <w:tabs>
          <w:tab w:val="left" w:pos="1134"/>
        </w:tabs>
        <w:ind w:left="1134" w:hanging="567"/>
        <w:jc w:val="both"/>
        <w:rPr>
          <w:rFonts w:ascii="Arial" w:hAnsi="Arial" w:cs="Arial"/>
          <w:sz w:val="20"/>
          <w:szCs w:val="20"/>
        </w:rPr>
      </w:pPr>
    </w:p>
    <w:p w14:paraId="0559026F" w14:textId="0595D88B" w:rsidR="0090584C" w:rsidRPr="009B4A78" w:rsidRDefault="0090584C"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The </w:t>
      </w:r>
      <w:r w:rsidR="00722C22" w:rsidRPr="009B4A78">
        <w:rPr>
          <w:rFonts w:ascii="Arial" w:hAnsi="Arial" w:cs="Arial"/>
          <w:sz w:val="20"/>
          <w:szCs w:val="20"/>
        </w:rPr>
        <w:t xml:space="preserve">role </w:t>
      </w:r>
      <w:r w:rsidRPr="009B4A78">
        <w:rPr>
          <w:rFonts w:ascii="Arial" w:hAnsi="Arial" w:cs="Arial"/>
          <w:sz w:val="20"/>
          <w:szCs w:val="20"/>
        </w:rPr>
        <w:t xml:space="preserve">of the patent system </w:t>
      </w:r>
      <w:r w:rsidR="00722C22" w:rsidRPr="009B4A78">
        <w:rPr>
          <w:rFonts w:ascii="Arial" w:hAnsi="Arial" w:cs="Arial"/>
          <w:sz w:val="20"/>
          <w:szCs w:val="20"/>
        </w:rPr>
        <w:t xml:space="preserve">in </w:t>
      </w:r>
      <w:r w:rsidRPr="009B4A78">
        <w:rPr>
          <w:rFonts w:ascii="Arial" w:hAnsi="Arial" w:cs="Arial"/>
          <w:sz w:val="20"/>
          <w:szCs w:val="20"/>
        </w:rPr>
        <w:t xml:space="preserve">increasingly complex and globalized </w:t>
      </w:r>
      <w:r w:rsidR="00722C22" w:rsidRPr="009B4A78">
        <w:rPr>
          <w:rFonts w:ascii="Arial" w:hAnsi="Arial" w:cs="Arial"/>
          <w:sz w:val="20"/>
          <w:szCs w:val="20"/>
        </w:rPr>
        <w:t>innovation mechanisms</w:t>
      </w:r>
      <w:r w:rsidRPr="009B4A78">
        <w:rPr>
          <w:rFonts w:ascii="Arial" w:hAnsi="Arial" w:cs="Arial"/>
          <w:sz w:val="20"/>
          <w:szCs w:val="20"/>
        </w:rPr>
        <w:t xml:space="preserve">, and different perceptions as to its role, including its benefits for society </w:t>
      </w:r>
      <w:r w:rsidR="00722C22" w:rsidRPr="009B4A78">
        <w:rPr>
          <w:rFonts w:ascii="Arial" w:hAnsi="Arial" w:cs="Arial"/>
          <w:sz w:val="20"/>
          <w:szCs w:val="20"/>
        </w:rPr>
        <w:t>at large</w:t>
      </w:r>
      <w:r w:rsidRPr="009B4A78">
        <w:rPr>
          <w:rFonts w:ascii="Arial" w:hAnsi="Arial" w:cs="Arial"/>
          <w:sz w:val="20"/>
          <w:szCs w:val="20"/>
        </w:rPr>
        <w:t>;</w:t>
      </w:r>
    </w:p>
    <w:p w14:paraId="42BEFD4B" w14:textId="77777777" w:rsidR="000442E9" w:rsidRPr="009B4A78" w:rsidRDefault="000442E9" w:rsidP="008B0FB8">
      <w:pPr>
        <w:tabs>
          <w:tab w:val="left" w:pos="1134"/>
        </w:tabs>
        <w:ind w:left="1134" w:hanging="567"/>
        <w:jc w:val="both"/>
        <w:rPr>
          <w:rFonts w:ascii="Arial" w:hAnsi="Arial" w:cs="Arial"/>
          <w:sz w:val="20"/>
          <w:szCs w:val="20"/>
        </w:rPr>
      </w:pPr>
    </w:p>
    <w:p w14:paraId="3407FD17" w14:textId="66C5A80E" w:rsidR="0090584C" w:rsidRPr="009B4A78" w:rsidRDefault="000442E9"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The </w:t>
      </w:r>
      <w:r w:rsidR="003D2BD8" w:rsidRPr="009B4A78">
        <w:rPr>
          <w:rFonts w:ascii="Arial" w:hAnsi="Arial" w:cs="Arial"/>
          <w:sz w:val="20"/>
          <w:szCs w:val="20"/>
        </w:rPr>
        <w:t>i</w:t>
      </w:r>
      <w:r w:rsidR="00DC5BCD" w:rsidRPr="009B4A78">
        <w:rPr>
          <w:rFonts w:ascii="Arial" w:hAnsi="Arial" w:cs="Arial"/>
          <w:sz w:val="20"/>
          <w:szCs w:val="20"/>
        </w:rPr>
        <w:t xml:space="preserve">ncreasing demand for empirical information that supports policy makers in making </w:t>
      </w:r>
      <w:r w:rsidR="0090584C" w:rsidRPr="009B4A78">
        <w:rPr>
          <w:rFonts w:ascii="Arial" w:hAnsi="Arial" w:cs="Arial"/>
          <w:sz w:val="20"/>
          <w:szCs w:val="20"/>
        </w:rPr>
        <w:t xml:space="preserve">public policy choices relating to the appropriate scope </w:t>
      </w:r>
      <w:r w:rsidR="00722C22" w:rsidRPr="009B4A78">
        <w:rPr>
          <w:rFonts w:ascii="Arial" w:hAnsi="Arial" w:cs="Arial"/>
          <w:sz w:val="20"/>
          <w:szCs w:val="20"/>
        </w:rPr>
        <w:t>and application</w:t>
      </w:r>
      <w:r w:rsidR="0090584C" w:rsidRPr="009B4A78">
        <w:rPr>
          <w:rFonts w:ascii="Arial" w:hAnsi="Arial" w:cs="Arial"/>
          <w:sz w:val="20"/>
          <w:szCs w:val="20"/>
        </w:rPr>
        <w:t xml:space="preserve"> of the patent system;</w:t>
      </w:r>
    </w:p>
    <w:p w14:paraId="318522D7" w14:textId="77777777" w:rsidR="0090584C" w:rsidRPr="009B4A78" w:rsidRDefault="0090584C" w:rsidP="008B0FB8">
      <w:pPr>
        <w:tabs>
          <w:tab w:val="left" w:pos="1134"/>
        </w:tabs>
        <w:ind w:left="1134" w:hanging="567"/>
        <w:jc w:val="both"/>
        <w:rPr>
          <w:rFonts w:ascii="Arial" w:hAnsi="Arial" w:cs="Arial"/>
          <w:sz w:val="20"/>
          <w:szCs w:val="20"/>
        </w:rPr>
      </w:pPr>
    </w:p>
    <w:p w14:paraId="5B965085" w14:textId="3360C278" w:rsidR="0090584C" w:rsidRPr="009B4A78" w:rsidRDefault="00722C22"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M</w:t>
      </w:r>
      <w:r w:rsidR="00DC5BCD" w:rsidRPr="009B4A78">
        <w:rPr>
          <w:rFonts w:ascii="Arial" w:hAnsi="Arial" w:cs="Arial"/>
          <w:sz w:val="20"/>
          <w:szCs w:val="20"/>
        </w:rPr>
        <w:t>ore targeted</w:t>
      </w:r>
      <w:r w:rsidR="0090584C" w:rsidRPr="009B4A78">
        <w:rPr>
          <w:rFonts w:ascii="Arial" w:hAnsi="Arial" w:cs="Arial"/>
          <w:sz w:val="20"/>
          <w:szCs w:val="20"/>
        </w:rPr>
        <w:t xml:space="preserve"> information about the role, impact and implementation of </w:t>
      </w:r>
      <w:r w:rsidRPr="009B4A78">
        <w:rPr>
          <w:rFonts w:ascii="Arial" w:hAnsi="Arial" w:cs="Arial"/>
          <w:sz w:val="20"/>
          <w:szCs w:val="20"/>
        </w:rPr>
        <w:t>the international</w:t>
      </w:r>
      <w:r w:rsidR="0090584C" w:rsidRPr="009B4A78">
        <w:rPr>
          <w:rFonts w:ascii="Arial" w:hAnsi="Arial" w:cs="Arial"/>
          <w:sz w:val="20"/>
          <w:szCs w:val="20"/>
        </w:rPr>
        <w:t xml:space="preserve"> patent system, including flexibilities, in both multilateral fora and </w:t>
      </w:r>
      <w:r w:rsidRPr="009B4A78">
        <w:rPr>
          <w:rFonts w:ascii="Arial" w:hAnsi="Arial" w:cs="Arial"/>
          <w:sz w:val="20"/>
          <w:szCs w:val="20"/>
        </w:rPr>
        <w:t>through legislative</w:t>
      </w:r>
      <w:r w:rsidR="0090584C" w:rsidRPr="009B4A78">
        <w:rPr>
          <w:rFonts w:ascii="Arial" w:hAnsi="Arial" w:cs="Arial"/>
          <w:sz w:val="20"/>
          <w:szCs w:val="20"/>
        </w:rPr>
        <w:t xml:space="preserve"> and policy advice to Member States;</w:t>
      </w:r>
    </w:p>
    <w:p w14:paraId="309BE3EC" w14:textId="77777777" w:rsidR="0090584C" w:rsidRPr="009B4A78" w:rsidRDefault="0090584C" w:rsidP="008B0FB8">
      <w:pPr>
        <w:tabs>
          <w:tab w:val="left" w:pos="1134"/>
        </w:tabs>
        <w:ind w:left="1134" w:hanging="567"/>
        <w:jc w:val="both"/>
        <w:rPr>
          <w:rFonts w:ascii="Arial" w:hAnsi="Arial" w:cs="Arial"/>
          <w:sz w:val="20"/>
          <w:szCs w:val="20"/>
        </w:rPr>
      </w:pPr>
    </w:p>
    <w:p w14:paraId="678393E6" w14:textId="598F71CB" w:rsidR="0090584C" w:rsidRPr="009B4A78" w:rsidRDefault="0090584C"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The increasing demand for legislative and policy </w:t>
      </w:r>
      <w:r w:rsidR="00722C22" w:rsidRPr="009B4A78">
        <w:rPr>
          <w:rFonts w:ascii="Arial" w:hAnsi="Arial" w:cs="Arial"/>
          <w:sz w:val="20"/>
          <w:szCs w:val="20"/>
        </w:rPr>
        <w:t xml:space="preserve">advice </w:t>
      </w:r>
      <w:r w:rsidRPr="009B4A78">
        <w:rPr>
          <w:rFonts w:ascii="Arial" w:hAnsi="Arial" w:cs="Arial"/>
          <w:sz w:val="20"/>
          <w:szCs w:val="20"/>
        </w:rPr>
        <w:t>to Member States;</w:t>
      </w:r>
    </w:p>
    <w:p w14:paraId="3DCDBD1D" w14:textId="77777777" w:rsidR="0090584C" w:rsidRPr="009B4A78" w:rsidRDefault="0090584C" w:rsidP="008B0FB8">
      <w:pPr>
        <w:tabs>
          <w:tab w:val="left" w:pos="1134"/>
        </w:tabs>
        <w:ind w:left="1134" w:hanging="567"/>
        <w:jc w:val="both"/>
        <w:rPr>
          <w:rFonts w:ascii="Arial" w:hAnsi="Arial" w:cs="Arial"/>
          <w:sz w:val="20"/>
          <w:szCs w:val="20"/>
        </w:rPr>
      </w:pPr>
    </w:p>
    <w:p w14:paraId="18DCE438" w14:textId="6E9BC559" w:rsidR="003D2BD8" w:rsidRPr="009B4A78" w:rsidRDefault="003D2BD8"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Against the backdrop of the increasing use of the patent system, the need to address effectiveness, efficiency and quality of patent administration work that supports the objectives of the patent system;</w:t>
      </w:r>
    </w:p>
    <w:p w14:paraId="6D2BF449" w14:textId="77777777" w:rsidR="003D2BD8" w:rsidRPr="009B4A78" w:rsidRDefault="003D2BD8" w:rsidP="008B0FB8">
      <w:pPr>
        <w:tabs>
          <w:tab w:val="left" w:pos="1134"/>
        </w:tabs>
        <w:ind w:left="1134" w:hanging="567"/>
        <w:jc w:val="both"/>
        <w:rPr>
          <w:rFonts w:ascii="Arial" w:hAnsi="Arial" w:cs="Arial"/>
          <w:sz w:val="20"/>
          <w:szCs w:val="20"/>
        </w:rPr>
      </w:pPr>
    </w:p>
    <w:p w14:paraId="332D7C7A" w14:textId="31DF5300" w:rsidR="0090584C" w:rsidRPr="009B4A78" w:rsidRDefault="0090584C" w:rsidP="00B66A4A">
      <w:pPr>
        <w:pStyle w:val="ListParagraph"/>
        <w:numPr>
          <w:ilvl w:val="1"/>
          <w:numId w:val="1"/>
        </w:numPr>
        <w:tabs>
          <w:tab w:val="left" w:pos="1134"/>
        </w:tabs>
        <w:ind w:left="1134" w:hanging="567"/>
        <w:rPr>
          <w:rFonts w:ascii="Arial" w:hAnsi="Arial" w:cs="Arial"/>
          <w:sz w:val="20"/>
          <w:szCs w:val="20"/>
        </w:rPr>
      </w:pPr>
      <w:r w:rsidRPr="009B4A78">
        <w:rPr>
          <w:rFonts w:ascii="Arial" w:hAnsi="Arial" w:cs="Arial"/>
          <w:sz w:val="20"/>
          <w:szCs w:val="20"/>
        </w:rPr>
        <w:t>Insufficient capacities for preparing, filing, and prosecuting patent applications;</w:t>
      </w:r>
    </w:p>
    <w:p w14:paraId="5B96CDBB" w14:textId="77777777" w:rsidR="0048141E" w:rsidRPr="009B4A78" w:rsidRDefault="0048141E" w:rsidP="008B0FB8">
      <w:pPr>
        <w:tabs>
          <w:tab w:val="left" w:pos="1134"/>
        </w:tabs>
        <w:ind w:left="1134" w:hanging="567"/>
        <w:jc w:val="both"/>
        <w:rPr>
          <w:rFonts w:ascii="Arial" w:hAnsi="Arial" w:cs="Arial"/>
          <w:sz w:val="20"/>
          <w:szCs w:val="20"/>
        </w:rPr>
      </w:pPr>
    </w:p>
    <w:p w14:paraId="435F5720" w14:textId="5A17673E" w:rsidR="0090584C" w:rsidRPr="009B4A78" w:rsidRDefault="003D2BD8"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As a consequence </w:t>
      </w:r>
      <w:r w:rsidR="0048141E" w:rsidRPr="009B4A78">
        <w:rPr>
          <w:rFonts w:ascii="Arial" w:hAnsi="Arial" w:cs="Arial"/>
          <w:sz w:val="20"/>
          <w:szCs w:val="20"/>
        </w:rPr>
        <w:t>of</w:t>
      </w:r>
      <w:r w:rsidRPr="009B4A78">
        <w:rPr>
          <w:rFonts w:ascii="Arial" w:hAnsi="Arial" w:cs="Arial"/>
          <w:sz w:val="20"/>
          <w:szCs w:val="20"/>
        </w:rPr>
        <w:t xml:space="preserve"> the better appreciation of the complexity of knowledge transfer mechanisms, the</w:t>
      </w:r>
      <w:r w:rsidR="0090584C" w:rsidRPr="009B4A78">
        <w:rPr>
          <w:rFonts w:ascii="Arial" w:hAnsi="Arial" w:cs="Arial"/>
          <w:sz w:val="20"/>
          <w:szCs w:val="20"/>
        </w:rPr>
        <w:t xml:space="preserve"> need to address patent law in the context of other closely related categories </w:t>
      </w:r>
      <w:r w:rsidR="00722C22" w:rsidRPr="009B4A78">
        <w:rPr>
          <w:rFonts w:ascii="Arial" w:hAnsi="Arial" w:cs="Arial"/>
          <w:sz w:val="20"/>
          <w:szCs w:val="20"/>
        </w:rPr>
        <w:t xml:space="preserve">of </w:t>
      </w:r>
      <w:r w:rsidR="00722EEB" w:rsidRPr="009B4A78">
        <w:rPr>
          <w:rFonts w:ascii="Arial" w:hAnsi="Arial" w:cs="Arial"/>
          <w:sz w:val="20"/>
          <w:szCs w:val="20"/>
        </w:rPr>
        <w:t>IP</w:t>
      </w:r>
      <w:r w:rsidR="0090584C" w:rsidRPr="009B4A78">
        <w:rPr>
          <w:rFonts w:ascii="Arial" w:hAnsi="Arial" w:cs="Arial"/>
          <w:sz w:val="20"/>
          <w:szCs w:val="20"/>
        </w:rPr>
        <w:t xml:space="preserve">, such as </w:t>
      </w:r>
      <w:r w:rsidRPr="009B4A78">
        <w:rPr>
          <w:rFonts w:ascii="Arial" w:hAnsi="Arial" w:cs="Arial"/>
          <w:sz w:val="20"/>
          <w:szCs w:val="20"/>
        </w:rPr>
        <w:t xml:space="preserve">protection of </w:t>
      </w:r>
      <w:r w:rsidR="00CB4716">
        <w:rPr>
          <w:rFonts w:ascii="Arial" w:hAnsi="Arial" w:cs="Arial"/>
          <w:sz w:val="20"/>
          <w:szCs w:val="20"/>
        </w:rPr>
        <w:t xml:space="preserve">utility models, layout designs (topographies) of integrated circuits and </w:t>
      </w:r>
      <w:r w:rsidRPr="009B4A78">
        <w:rPr>
          <w:rFonts w:ascii="Arial" w:hAnsi="Arial" w:cs="Arial"/>
          <w:sz w:val="20"/>
          <w:szCs w:val="20"/>
        </w:rPr>
        <w:t xml:space="preserve">confidential </w:t>
      </w:r>
      <w:r w:rsidR="0048141E" w:rsidRPr="009B4A78">
        <w:rPr>
          <w:rFonts w:ascii="Arial" w:hAnsi="Arial" w:cs="Arial"/>
          <w:sz w:val="20"/>
          <w:szCs w:val="20"/>
        </w:rPr>
        <w:t>information;</w:t>
      </w:r>
      <w:r w:rsidR="000F5A12" w:rsidRPr="009B4A78">
        <w:rPr>
          <w:rFonts w:ascii="Arial" w:hAnsi="Arial" w:cs="Arial"/>
          <w:sz w:val="20"/>
          <w:szCs w:val="20"/>
        </w:rPr>
        <w:t xml:space="preserve"> and</w:t>
      </w:r>
    </w:p>
    <w:p w14:paraId="3B9E3873" w14:textId="77777777" w:rsidR="0090584C" w:rsidRPr="009B4A78" w:rsidRDefault="0090584C" w:rsidP="008B0FB8">
      <w:pPr>
        <w:tabs>
          <w:tab w:val="left" w:pos="1134"/>
        </w:tabs>
        <w:ind w:left="1134" w:hanging="567"/>
        <w:jc w:val="both"/>
        <w:rPr>
          <w:rFonts w:ascii="Arial" w:hAnsi="Arial" w:cs="Arial"/>
          <w:sz w:val="20"/>
          <w:szCs w:val="20"/>
        </w:rPr>
      </w:pPr>
    </w:p>
    <w:p w14:paraId="3FE854BE" w14:textId="41819119" w:rsidR="00745B6A" w:rsidRPr="009B4A78" w:rsidRDefault="0048141E"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Keeping </w:t>
      </w:r>
      <w:r w:rsidR="00745B6A" w:rsidRPr="009B4A78">
        <w:rPr>
          <w:rFonts w:ascii="Arial" w:hAnsi="Arial" w:cs="Arial"/>
          <w:sz w:val="20"/>
          <w:szCs w:val="20"/>
        </w:rPr>
        <w:t xml:space="preserve">pace </w:t>
      </w:r>
      <w:r w:rsidRPr="009B4A78">
        <w:rPr>
          <w:rFonts w:ascii="Arial" w:hAnsi="Arial" w:cs="Arial"/>
          <w:sz w:val="20"/>
          <w:szCs w:val="20"/>
        </w:rPr>
        <w:t xml:space="preserve">with </w:t>
      </w:r>
      <w:r w:rsidR="00745B6A" w:rsidRPr="009B4A78">
        <w:rPr>
          <w:rFonts w:ascii="Arial" w:hAnsi="Arial" w:cs="Arial"/>
          <w:sz w:val="20"/>
          <w:szCs w:val="20"/>
        </w:rPr>
        <w:t xml:space="preserve">technological </w:t>
      </w:r>
      <w:r w:rsidRPr="009B4A78">
        <w:rPr>
          <w:rFonts w:ascii="Arial" w:hAnsi="Arial" w:cs="Arial"/>
          <w:sz w:val="20"/>
          <w:szCs w:val="20"/>
        </w:rPr>
        <w:t xml:space="preserve">developments to understand what, if any, actions may be needed to address the </w:t>
      </w:r>
      <w:r w:rsidR="00722C22" w:rsidRPr="009B4A78">
        <w:rPr>
          <w:rFonts w:ascii="Arial" w:hAnsi="Arial" w:cs="Arial"/>
          <w:sz w:val="20"/>
          <w:szCs w:val="20"/>
        </w:rPr>
        <w:t>developments at</w:t>
      </w:r>
      <w:r w:rsidR="00707DCE" w:rsidRPr="009B4A78">
        <w:rPr>
          <w:rFonts w:ascii="Arial" w:hAnsi="Arial" w:cs="Arial"/>
          <w:sz w:val="20"/>
          <w:szCs w:val="20"/>
        </w:rPr>
        <w:t xml:space="preserve"> the international level, taking into account various needs of countries at different level of development while respecting their international obligations</w:t>
      </w:r>
      <w:r w:rsidR="000F5A12" w:rsidRPr="009B4A78">
        <w:rPr>
          <w:rFonts w:ascii="Arial" w:hAnsi="Arial" w:cs="Arial"/>
          <w:sz w:val="20"/>
          <w:szCs w:val="20"/>
        </w:rPr>
        <w:t>.</w:t>
      </w:r>
    </w:p>
    <w:p w14:paraId="4F07C302" w14:textId="77777777" w:rsidR="0090584C" w:rsidRPr="009B4A78" w:rsidRDefault="0090584C" w:rsidP="00293332">
      <w:pPr>
        <w:ind w:left="1134" w:hanging="567"/>
        <w:jc w:val="both"/>
        <w:rPr>
          <w:rFonts w:ascii="Arial" w:hAnsi="Arial" w:cs="Arial"/>
        </w:rPr>
      </w:pPr>
    </w:p>
    <w:p w14:paraId="0B591030" w14:textId="77777777" w:rsidR="0090584C" w:rsidRPr="009B4A78" w:rsidRDefault="0090584C" w:rsidP="00293332">
      <w:pPr>
        <w:ind w:left="1134" w:hanging="567"/>
        <w:jc w:val="both"/>
        <w:rPr>
          <w:rFonts w:ascii="Arial" w:hAnsi="Arial" w:cs="Arial"/>
        </w:rPr>
      </w:pPr>
    </w:p>
    <w:p w14:paraId="72CEB356" w14:textId="77777777" w:rsidR="00745B6A" w:rsidRPr="009B4A78" w:rsidRDefault="00745B6A" w:rsidP="003C1247">
      <w:pPr>
        <w:jc w:val="both"/>
        <w:rPr>
          <w:rFonts w:ascii="Arial" w:hAnsi="Arial" w:cs="Arial"/>
        </w:rPr>
      </w:pPr>
      <w:r w:rsidRPr="009B4A78">
        <w:rPr>
          <w:rFonts w:ascii="Arial" w:hAnsi="Arial" w:cs="Arial"/>
        </w:rPr>
        <w:t>IMPLEMENTATION STRATEGIES</w:t>
      </w:r>
    </w:p>
    <w:p w14:paraId="7EC2E964" w14:textId="77777777" w:rsidR="00745B6A" w:rsidRPr="009B4A78" w:rsidRDefault="00745B6A" w:rsidP="003C1247">
      <w:pPr>
        <w:jc w:val="both"/>
        <w:rPr>
          <w:rFonts w:ascii="Arial" w:hAnsi="Arial" w:cs="Arial"/>
        </w:rPr>
      </w:pPr>
    </w:p>
    <w:p w14:paraId="1680AAF9" w14:textId="47749880" w:rsidR="00745B6A" w:rsidRPr="009B4A78" w:rsidRDefault="00433AA7" w:rsidP="00B66A4A">
      <w:pPr>
        <w:numPr>
          <w:ilvl w:val="0"/>
          <w:numId w:val="2"/>
        </w:numPr>
        <w:jc w:val="both"/>
        <w:rPr>
          <w:rFonts w:ascii="Arial" w:hAnsi="Arial" w:cs="Arial"/>
          <w:sz w:val="20"/>
          <w:szCs w:val="20"/>
        </w:rPr>
      </w:pPr>
      <w:r w:rsidRPr="009B4A78">
        <w:rPr>
          <w:rFonts w:ascii="Arial" w:hAnsi="Arial" w:cs="Arial"/>
          <w:sz w:val="20"/>
          <w:szCs w:val="20"/>
        </w:rPr>
        <w:t xml:space="preserve">The work of the Standing Committee on the Law of Patents (SCP) has been stalled because of the absence of agreement among Member States. </w:t>
      </w:r>
      <w:r w:rsidR="00745B6A" w:rsidRPr="009B4A78">
        <w:rPr>
          <w:rFonts w:ascii="Arial" w:hAnsi="Arial" w:cs="Arial"/>
          <w:sz w:val="20"/>
          <w:szCs w:val="20"/>
        </w:rPr>
        <w:t xml:space="preserve">As the normative process is Member State driven, the Program will focus its efforts on </w:t>
      </w:r>
      <w:r w:rsidR="00722C22" w:rsidRPr="009B4A78">
        <w:rPr>
          <w:rFonts w:ascii="Arial" w:hAnsi="Arial" w:cs="Arial"/>
          <w:sz w:val="20"/>
          <w:szCs w:val="20"/>
        </w:rPr>
        <w:t>providing reliable</w:t>
      </w:r>
      <w:r w:rsidR="00745B6A" w:rsidRPr="009B4A78">
        <w:rPr>
          <w:rFonts w:ascii="Arial" w:hAnsi="Arial" w:cs="Arial"/>
          <w:sz w:val="20"/>
          <w:szCs w:val="20"/>
        </w:rPr>
        <w:t xml:space="preserve"> information and supporting an environment conducive to engagement and dialogue </w:t>
      </w:r>
      <w:r w:rsidR="00722C22" w:rsidRPr="009B4A78">
        <w:rPr>
          <w:rFonts w:ascii="Arial" w:hAnsi="Arial" w:cs="Arial"/>
          <w:sz w:val="20"/>
          <w:szCs w:val="20"/>
        </w:rPr>
        <w:t>among Member</w:t>
      </w:r>
      <w:r w:rsidR="00745B6A" w:rsidRPr="009B4A78">
        <w:rPr>
          <w:rFonts w:ascii="Arial" w:hAnsi="Arial" w:cs="Arial"/>
          <w:sz w:val="20"/>
          <w:szCs w:val="20"/>
        </w:rPr>
        <w:t xml:space="preserve"> States regarding areas of common interest. </w:t>
      </w:r>
      <w:r w:rsidR="00C04245" w:rsidRPr="009B4A78">
        <w:rPr>
          <w:rFonts w:ascii="Arial" w:hAnsi="Arial" w:cs="Arial"/>
          <w:sz w:val="20"/>
          <w:szCs w:val="20"/>
        </w:rPr>
        <w:t>The Secretariat will also</w:t>
      </w:r>
      <w:r w:rsidR="00646618" w:rsidRPr="009B4A78">
        <w:rPr>
          <w:rFonts w:ascii="Arial" w:hAnsi="Arial" w:cs="Arial"/>
          <w:sz w:val="20"/>
          <w:szCs w:val="20"/>
        </w:rPr>
        <w:t xml:space="preserve"> endeavor</w:t>
      </w:r>
      <w:r w:rsidR="00C04245" w:rsidRPr="009B4A78">
        <w:rPr>
          <w:rFonts w:ascii="Arial" w:hAnsi="Arial" w:cs="Arial"/>
          <w:sz w:val="20"/>
          <w:szCs w:val="20"/>
        </w:rPr>
        <w:t xml:space="preserve"> to assist the Member States to conduct</w:t>
      </w:r>
      <w:r w:rsidR="00646618" w:rsidRPr="009B4A78">
        <w:rPr>
          <w:rFonts w:ascii="Arial" w:hAnsi="Arial" w:cs="Arial"/>
          <w:sz w:val="20"/>
          <w:szCs w:val="20"/>
        </w:rPr>
        <w:t xml:space="preserve"> more efficient meetings</w:t>
      </w:r>
      <w:r w:rsidR="00C32EC8" w:rsidRPr="009B4A78">
        <w:rPr>
          <w:rFonts w:ascii="Arial" w:hAnsi="Arial" w:cs="Arial"/>
          <w:sz w:val="20"/>
          <w:szCs w:val="20"/>
        </w:rPr>
        <w:t xml:space="preserve">, with outputs </w:t>
      </w:r>
      <w:r w:rsidR="001A5ED9" w:rsidRPr="009B4A78">
        <w:rPr>
          <w:rFonts w:ascii="Arial" w:hAnsi="Arial" w:cs="Arial"/>
          <w:sz w:val="20"/>
          <w:szCs w:val="20"/>
        </w:rPr>
        <w:t>of the SCP</w:t>
      </w:r>
      <w:r w:rsidR="00C32EC8" w:rsidRPr="009B4A78">
        <w:rPr>
          <w:rFonts w:ascii="Arial" w:hAnsi="Arial" w:cs="Arial"/>
          <w:sz w:val="20"/>
          <w:szCs w:val="20"/>
        </w:rPr>
        <w:t xml:space="preserve"> better corresponding to </w:t>
      </w:r>
      <w:r w:rsidR="000F5A12" w:rsidRPr="009B4A78">
        <w:rPr>
          <w:rFonts w:ascii="Arial" w:hAnsi="Arial" w:cs="Arial"/>
          <w:sz w:val="20"/>
          <w:szCs w:val="20"/>
        </w:rPr>
        <w:t xml:space="preserve">the </w:t>
      </w:r>
      <w:r w:rsidR="00C32EC8" w:rsidRPr="009B4A78">
        <w:rPr>
          <w:rFonts w:ascii="Arial" w:hAnsi="Arial" w:cs="Arial"/>
          <w:sz w:val="20"/>
          <w:szCs w:val="20"/>
        </w:rPr>
        <w:t>inputs.</w:t>
      </w:r>
      <w:r w:rsidR="00646618" w:rsidRPr="009B4A78">
        <w:rPr>
          <w:rFonts w:ascii="Arial" w:hAnsi="Arial" w:cs="Arial"/>
          <w:sz w:val="20"/>
          <w:szCs w:val="20"/>
        </w:rPr>
        <w:t xml:space="preserve"> </w:t>
      </w:r>
      <w:r w:rsidR="009B0708" w:rsidRPr="009B4A78">
        <w:rPr>
          <w:rFonts w:ascii="Arial" w:hAnsi="Arial" w:cs="Arial"/>
          <w:sz w:val="20"/>
          <w:szCs w:val="20"/>
        </w:rPr>
        <w:t xml:space="preserve"> </w:t>
      </w:r>
      <w:r w:rsidR="00745B6A" w:rsidRPr="009B4A78">
        <w:rPr>
          <w:rFonts w:ascii="Arial" w:hAnsi="Arial" w:cs="Arial"/>
          <w:sz w:val="20"/>
          <w:szCs w:val="20"/>
        </w:rPr>
        <w:t xml:space="preserve">The Program will continue to improve </w:t>
      </w:r>
      <w:r w:rsidR="00722C22" w:rsidRPr="009B4A78">
        <w:rPr>
          <w:rFonts w:ascii="Arial" w:hAnsi="Arial" w:cs="Arial"/>
          <w:sz w:val="20"/>
          <w:szCs w:val="20"/>
        </w:rPr>
        <w:t>its responsiveness</w:t>
      </w:r>
      <w:r w:rsidR="00745B6A" w:rsidRPr="009B4A78">
        <w:rPr>
          <w:rFonts w:ascii="Arial" w:hAnsi="Arial" w:cs="Arial"/>
          <w:sz w:val="20"/>
          <w:szCs w:val="20"/>
        </w:rPr>
        <w:t xml:space="preserve"> and efficiency in legislative and policy assistance. </w:t>
      </w:r>
      <w:r w:rsidR="009B0708" w:rsidRPr="009B4A78">
        <w:rPr>
          <w:rFonts w:ascii="Arial" w:hAnsi="Arial" w:cs="Arial"/>
          <w:sz w:val="20"/>
          <w:szCs w:val="20"/>
        </w:rPr>
        <w:t xml:space="preserve"> </w:t>
      </w:r>
      <w:r w:rsidR="00745B6A" w:rsidRPr="009B4A78">
        <w:rPr>
          <w:rFonts w:ascii="Arial" w:hAnsi="Arial" w:cs="Arial"/>
          <w:sz w:val="20"/>
          <w:szCs w:val="20"/>
        </w:rPr>
        <w:t xml:space="preserve">The relevant DA </w:t>
      </w:r>
      <w:r w:rsidR="00722C22" w:rsidRPr="009B4A78">
        <w:rPr>
          <w:rFonts w:ascii="Arial" w:hAnsi="Arial" w:cs="Arial"/>
          <w:sz w:val="20"/>
          <w:szCs w:val="20"/>
        </w:rPr>
        <w:t>recommendations will</w:t>
      </w:r>
      <w:r w:rsidR="00745B6A" w:rsidRPr="009B4A78">
        <w:rPr>
          <w:rFonts w:ascii="Arial" w:hAnsi="Arial" w:cs="Arial"/>
          <w:sz w:val="20"/>
          <w:szCs w:val="20"/>
        </w:rPr>
        <w:t xml:space="preserve"> be taken into account in the context of </w:t>
      </w:r>
      <w:r w:rsidR="00F43622" w:rsidRPr="009B4A78">
        <w:rPr>
          <w:rFonts w:ascii="Arial" w:hAnsi="Arial" w:cs="Arial"/>
          <w:sz w:val="20"/>
          <w:szCs w:val="20"/>
        </w:rPr>
        <w:t>the</w:t>
      </w:r>
      <w:r w:rsidR="00745B6A" w:rsidRPr="009B4A78">
        <w:rPr>
          <w:rFonts w:ascii="Arial" w:hAnsi="Arial" w:cs="Arial"/>
          <w:sz w:val="20"/>
          <w:szCs w:val="20"/>
        </w:rPr>
        <w:t xml:space="preserve"> activities of this Program during the biennium. </w:t>
      </w:r>
      <w:r w:rsidR="00722C22" w:rsidRPr="009B4A78">
        <w:rPr>
          <w:rFonts w:ascii="Arial" w:hAnsi="Arial" w:cs="Arial"/>
          <w:sz w:val="20"/>
          <w:szCs w:val="20"/>
        </w:rPr>
        <w:t>In particular</w:t>
      </w:r>
      <w:r w:rsidR="00745B6A" w:rsidRPr="009B4A78">
        <w:rPr>
          <w:rFonts w:ascii="Arial" w:hAnsi="Arial" w:cs="Arial"/>
          <w:sz w:val="20"/>
          <w:szCs w:val="20"/>
        </w:rPr>
        <w:t>, provision of patent-related information and legislative advice fully take</w:t>
      </w:r>
      <w:r w:rsidR="00520134" w:rsidRPr="009B4A78">
        <w:rPr>
          <w:rFonts w:ascii="Arial" w:hAnsi="Arial" w:cs="Arial"/>
          <w:sz w:val="20"/>
          <w:szCs w:val="20"/>
        </w:rPr>
        <w:t>s</w:t>
      </w:r>
      <w:r w:rsidR="00745B6A" w:rsidRPr="009B4A78">
        <w:rPr>
          <w:rFonts w:ascii="Arial" w:hAnsi="Arial" w:cs="Arial"/>
          <w:sz w:val="20"/>
          <w:szCs w:val="20"/>
        </w:rPr>
        <w:t xml:space="preserve"> into </w:t>
      </w:r>
      <w:r w:rsidR="00722C22" w:rsidRPr="009B4A78">
        <w:rPr>
          <w:rFonts w:ascii="Arial" w:hAnsi="Arial" w:cs="Arial"/>
          <w:sz w:val="20"/>
          <w:szCs w:val="20"/>
        </w:rPr>
        <w:t xml:space="preserve">account </w:t>
      </w:r>
      <w:r w:rsidR="00E646FF" w:rsidRPr="009B4A78">
        <w:rPr>
          <w:rFonts w:ascii="Arial" w:hAnsi="Arial" w:cs="Arial"/>
          <w:sz w:val="20"/>
          <w:szCs w:val="20"/>
        </w:rPr>
        <w:t xml:space="preserve">the relevant DA </w:t>
      </w:r>
      <w:r w:rsidR="00722C22" w:rsidRPr="009B4A78">
        <w:rPr>
          <w:rFonts w:ascii="Arial" w:hAnsi="Arial" w:cs="Arial"/>
          <w:sz w:val="20"/>
          <w:szCs w:val="20"/>
        </w:rPr>
        <w:t>Recommendations</w:t>
      </w:r>
      <w:r w:rsidR="00745B6A" w:rsidRPr="009B4A78">
        <w:rPr>
          <w:rFonts w:ascii="Arial" w:hAnsi="Arial" w:cs="Arial"/>
          <w:sz w:val="20"/>
          <w:szCs w:val="20"/>
        </w:rPr>
        <w:t xml:space="preserve"> thus supporting the DA objectives of “evidence-</w:t>
      </w:r>
      <w:r w:rsidR="00722C22" w:rsidRPr="009B4A78">
        <w:rPr>
          <w:rFonts w:ascii="Arial" w:hAnsi="Arial" w:cs="Arial"/>
          <w:sz w:val="20"/>
          <w:szCs w:val="20"/>
        </w:rPr>
        <w:t>based international</w:t>
      </w:r>
      <w:r w:rsidR="00745B6A" w:rsidRPr="009B4A78">
        <w:rPr>
          <w:rFonts w:ascii="Arial" w:hAnsi="Arial" w:cs="Arial"/>
          <w:sz w:val="20"/>
          <w:szCs w:val="20"/>
        </w:rPr>
        <w:t xml:space="preserve"> and national policy and decision making on IP” and “national and international IP</w:t>
      </w:r>
      <w:r w:rsidR="00722C22" w:rsidRPr="009B4A78">
        <w:rPr>
          <w:rFonts w:ascii="Arial" w:hAnsi="Arial" w:cs="Arial"/>
          <w:sz w:val="20"/>
          <w:szCs w:val="20"/>
        </w:rPr>
        <w:t xml:space="preserve"> </w:t>
      </w:r>
      <w:r w:rsidR="00745B6A" w:rsidRPr="009B4A78">
        <w:rPr>
          <w:rFonts w:ascii="Arial" w:hAnsi="Arial" w:cs="Arial"/>
          <w:sz w:val="20"/>
          <w:szCs w:val="20"/>
        </w:rPr>
        <w:t>regulatory frameworks that promote creativity and innovation and reflect the level of development of</w:t>
      </w:r>
      <w:r w:rsidR="00722C22" w:rsidRPr="009B4A78">
        <w:rPr>
          <w:rFonts w:ascii="Arial" w:hAnsi="Arial" w:cs="Arial"/>
          <w:sz w:val="20"/>
          <w:szCs w:val="20"/>
        </w:rPr>
        <w:t xml:space="preserve"> </w:t>
      </w:r>
      <w:r w:rsidR="00745B6A" w:rsidRPr="009B4A78">
        <w:rPr>
          <w:rFonts w:ascii="Arial" w:hAnsi="Arial" w:cs="Arial"/>
          <w:sz w:val="20"/>
          <w:szCs w:val="20"/>
        </w:rPr>
        <w:t xml:space="preserve">the different WIPO member States”. </w:t>
      </w:r>
      <w:r w:rsidR="009B0708" w:rsidRPr="009B4A78">
        <w:rPr>
          <w:rFonts w:ascii="Arial" w:hAnsi="Arial" w:cs="Arial"/>
          <w:sz w:val="20"/>
          <w:szCs w:val="20"/>
        </w:rPr>
        <w:t xml:space="preserve"> </w:t>
      </w:r>
      <w:r w:rsidR="00745B6A" w:rsidRPr="009B4A78">
        <w:rPr>
          <w:rFonts w:ascii="Arial" w:hAnsi="Arial" w:cs="Arial"/>
          <w:sz w:val="20"/>
          <w:szCs w:val="20"/>
        </w:rPr>
        <w:t xml:space="preserve">In addition, the </w:t>
      </w:r>
      <w:r w:rsidR="00722C22" w:rsidRPr="009B4A78">
        <w:rPr>
          <w:rFonts w:ascii="Arial" w:hAnsi="Arial" w:cs="Arial"/>
          <w:sz w:val="20"/>
          <w:szCs w:val="20"/>
        </w:rPr>
        <w:t>work undertaken</w:t>
      </w:r>
      <w:r w:rsidR="00745B6A" w:rsidRPr="009B4A78">
        <w:rPr>
          <w:rFonts w:ascii="Arial" w:hAnsi="Arial" w:cs="Arial"/>
          <w:sz w:val="20"/>
          <w:szCs w:val="20"/>
        </w:rPr>
        <w:t xml:space="preserve"> under the completed DA projects</w:t>
      </w:r>
      <w:r w:rsidR="00520134" w:rsidRPr="009B4A78">
        <w:rPr>
          <w:rFonts w:ascii="Arial" w:hAnsi="Arial" w:cs="Arial"/>
          <w:sz w:val="20"/>
          <w:szCs w:val="20"/>
        </w:rPr>
        <w:t>, in particular,</w:t>
      </w:r>
      <w:r w:rsidR="00745B6A" w:rsidRPr="009B4A78">
        <w:rPr>
          <w:rFonts w:ascii="Arial" w:hAnsi="Arial" w:cs="Arial"/>
          <w:sz w:val="20"/>
          <w:szCs w:val="20"/>
        </w:rPr>
        <w:t xml:space="preserve"> IP and the Public Domain</w:t>
      </w:r>
      <w:r w:rsidR="006412DA" w:rsidRPr="009B4A78">
        <w:rPr>
          <w:rFonts w:ascii="Arial" w:hAnsi="Arial" w:cs="Arial"/>
          <w:sz w:val="20"/>
          <w:szCs w:val="20"/>
        </w:rPr>
        <w:t>,</w:t>
      </w:r>
      <w:r w:rsidR="00745B6A" w:rsidRPr="009B4A78">
        <w:rPr>
          <w:rFonts w:ascii="Arial" w:hAnsi="Arial" w:cs="Arial"/>
          <w:sz w:val="20"/>
          <w:szCs w:val="20"/>
        </w:rPr>
        <w:t xml:space="preserve"> and Patents and </w:t>
      </w:r>
      <w:r w:rsidR="00722C22" w:rsidRPr="009B4A78">
        <w:rPr>
          <w:rFonts w:ascii="Arial" w:hAnsi="Arial" w:cs="Arial"/>
          <w:sz w:val="20"/>
          <w:szCs w:val="20"/>
        </w:rPr>
        <w:t>the Public</w:t>
      </w:r>
      <w:r w:rsidR="00745B6A" w:rsidRPr="009B4A78">
        <w:rPr>
          <w:rFonts w:ascii="Arial" w:hAnsi="Arial" w:cs="Arial"/>
          <w:sz w:val="20"/>
          <w:szCs w:val="20"/>
        </w:rPr>
        <w:t xml:space="preserve"> Domain</w:t>
      </w:r>
      <w:r w:rsidR="000D7862" w:rsidRPr="009B4A78">
        <w:rPr>
          <w:rFonts w:ascii="Arial" w:hAnsi="Arial" w:cs="Arial"/>
          <w:sz w:val="20"/>
          <w:szCs w:val="20"/>
        </w:rPr>
        <w:t xml:space="preserve"> will be taken into consideration</w:t>
      </w:r>
      <w:r w:rsidR="00745B6A" w:rsidRPr="009B4A78">
        <w:rPr>
          <w:rFonts w:ascii="Arial" w:hAnsi="Arial" w:cs="Arial"/>
          <w:sz w:val="20"/>
          <w:szCs w:val="20"/>
        </w:rPr>
        <w:t>.</w:t>
      </w:r>
    </w:p>
    <w:p w14:paraId="612BDFDB" w14:textId="77777777" w:rsidR="00745B6A" w:rsidRPr="009B4A78" w:rsidRDefault="00745B6A" w:rsidP="003C1247">
      <w:pPr>
        <w:jc w:val="both"/>
        <w:rPr>
          <w:rFonts w:ascii="Arial" w:hAnsi="Arial" w:cs="Arial"/>
          <w:sz w:val="20"/>
          <w:szCs w:val="20"/>
        </w:rPr>
      </w:pPr>
    </w:p>
    <w:p w14:paraId="6B37C6BF" w14:textId="2B9D55C3" w:rsidR="00745B6A" w:rsidRPr="009B4A78" w:rsidRDefault="00745B6A" w:rsidP="00B66A4A">
      <w:pPr>
        <w:numPr>
          <w:ilvl w:val="0"/>
          <w:numId w:val="2"/>
        </w:numPr>
        <w:jc w:val="both"/>
        <w:rPr>
          <w:rFonts w:ascii="Arial" w:hAnsi="Arial" w:cs="Arial"/>
          <w:sz w:val="20"/>
          <w:szCs w:val="20"/>
        </w:rPr>
      </w:pPr>
      <w:r w:rsidRPr="009B4A78">
        <w:rPr>
          <w:rFonts w:ascii="Arial" w:hAnsi="Arial" w:cs="Arial"/>
          <w:sz w:val="20"/>
          <w:szCs w:val="20"/>
        </w:rPr>
        <w:t>Specifically, during the next biennium</w:t>
      </w:r>
      <w:r w:rsidR="00520134" w:rsidRPr="009B4A78">
        <w:rPr>
          <w:rFonts w:ascii="Arial" w:hAnsi="Arial" w:cs="Arial"/>
          <w:sz w:val="20"/>
          <w:szCs w:val="20"/>
        </w:rPr>
        <w:t>,</w:t>
      </w:r>
      <w:r w:rsidRPr="009B4A78">
        <w:rPr>
          <w:rFonts w:ascii="Arial" w:hAnsi="Arial" w:cs="Arial"/>
          <w:sz w:val="20"/>
          <w:szCs w:val="20"/>
        </w:rPr>
        <w:t xml:space="preserve"> the Program expects to:</w:t>
      </w:r>
    </w:p>
    <w:p w14:paraId="55D086B2" w14:textId="77777777" w:rsidR="00707DCE" w:rsidRPr="009B4A78" w:rsidRDefault="00707DCE" w:rsidP="003C1247">
      <w:pPr>
        <w:jc w:val="both"/>
        <w:rPr>
          <w:rFonts w:ascii="Arial" w:hAnsi="Arial" w:cs="Arial"/>
          <w:sz w:val="20"/>
          <w:szCs w:val="20"/>
        </w:rPr>
      </w:pPr>
    </w:p>
    <w:p w14:paraId="3BCC3780" w14:textId="471C6D12" w:rsidR="00745B6A" w:rsidRPr="009B4A78" w:rsidRDefault="00745B6A"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Organize </w:t>
      </w:r>
      <w:r w:rsidR="00E53C36" w:rsidRPr="009B4A78">
        <w:rPr>
          <w:rFonts w:ascii="Arial" w:hAnsi="Arial" w:cs="Arial"/>
          <w:sz w:val="20"/>
          <w:szCs w:val="20"/>
        </w:rPr>
        <w:t>sessions</w:t>
      </w:r>
      <w:r w:rsidRPr="009B4A78">
        <w:rPr>
          <w:rFonts w:ascii="Arial" w:hAnsi="Arial" w:cs="Arial"/>
          <w:sz w:val="20"/>
          <w:szCs w:val="20"/>
        </w:rPr>
        <w:t xml:space="preserve"> of the SCP;</w:t>
      </w:r>
    </w:p>
    <w:p w14:paraId="247A055D" w14:textId="77777777" w:rsidR="00707DCE" w:rsidRPr="009B4A78" w:rsidRDefault="00707DCE" w:rsidP="00293332">
      <w:pPr>
        <w:tabs>
          <w:tab w:val="left" w:pos="1134"/>
        </w:tabs>
        <w:ind w:left="1134" w:hanging="567"/>
        <w:jc w:val="both"/>
        <w:rPr>
          <w:rFonts w:ascii="Arial" w:hAnsi="Arial" w:cs="Arial"/>
          <w:sz w:val="20"/>
          <w:szCs w:val="20"/>
        </w:rPr>
      </w:pPr>
    </w:p>
    <w:p w14:paraId="782C8EC8" w14:textId="77778ACC" w:rsidR="00745B6A" w:rsidRPr="009B4A78" w:rsidRDefault="00745B6A"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Organize, upon request, information meetings for Member State representatives, to </w:t>
      </w:r>
      <w:r w:rsidR="00722C22" w:rsidRPr="009B4A78">
        <w:rPr>
          <w:rFonts w:ascii="Arial" w:hAnsi="Arial" w:cs="Arial"/>
          <w:sz w:val="20"/>
          <w:szCs w:val="20"/>
        </w:rPr>
        <w:t>provide information</w:t>
      </w:r>
      <w:r w:rsidRPr="009B4A78">
        <w:rPr>
          <w:rFonts w:ascii="Arial" w:hAnsi="Arial" w:cs="Arial"/>
          <w:sz w:val="20"/>
          <w:szCs w:val="20"/>
        </w:rPr>
        <w:t xml:space="preserve"> on topics related to patent policy, law and practices taking duly into account DA</w:t>
      </w:r>
      <w:r w:rsidR="00722C22" w:rsidRPr="009B4A78">
        <w:rPr>
          <w:rFonts w:ascii="Arial" w:hAnsi="Arial" w:cs="Arial"/>
          <w:sz w:val="20"/>
          <w:szCs w:val="20"/>
        </w:rPr>
        <w:t xml:space="preserve"> </w:t>
      </w:r>
      <w:r w:rsidRPr="009B4A78">
        <w:rPr>
          <w:rFonts w:ascii="Arial" w:hAnsi="Arial" w:cs="Arial"/>
          <w:sz w:val="20"/>
          <w:szCs w:val="20"/>
        </w:rPr>
        <w:t>Recommendation 15 and 16;</w:t>
      </w:r>
    </w:p>
    <w:p w14:paraId="606E923B" w14:textId="77777777" w:rsidR="00707DCE" w:rsidRPr="009B4A78" w:rsidRDefault="00707DCE" w:rsidP="00293332">
      <w:pPr>
        <w:tabs>
          <w:tab w:val="left" w:pos="1134"/>
        </w:tabs>
        <w:ind w:left="1134" w:hanging="567"/>
        <w:jc w:val="both"/>
        <w:rPr>
          <w:rFonts w:ascii="Arial" w:hAnsi="Arial" w:cs="Arial"/>
          <w:sz w:val="20"/>
          <w:szCs w:val="20"/>
        </w:rPr>
      </w:pPr>
    </w:p>
    <w:p w14:paraId="0CECB9C7" w14:textId="12473596" w:rsidR="00745B6A" w:rsidRPr="009B4A78" w:rsidRDefault="00745B6A"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Continue to provide, upon request, legislative advice to Member States relating to </w:t>
      </w:r>
      <w:r w:rsidR="00722C22" w:rsidRPr="009B4A78">
        <w:rPr>
          <w:rFonts w:ascii="Arial" w:hAnsi="Arial" w:cs="Arial"/>
          <w:sz w:val="20"/>
          <w:szCs w:val="20"/>
        </w:rPr>
        <w:t>patents, utility</w:t>
      </w:r>
      <w:r w:rsidR="0033064E" w:rsidRPr="009B4A78">
        <w:rPr>
          <w:rFonts w:ascii="Arial" w:hAnsi="Arial" w:cs="Arial"/>
          <w:sz w:val="20"/>
          <w:szCs w:val="20"/>
        </w:rPr>
        <w:t xml:space="preserve"> models, layout designs (topographies) of integrated circuits and protection of confidential information</w:t>
      </w:r>
      <w:r w:rsidR="00CB4716">
        <w:rPr>
          <w:rFonts w:ascii="Arial" w:hAnsi="Arial" w:cs="Arial"/>
          <w:sz w:val="20"/>
          <w:szCs w:val="20"/>
        </w:rPr>
        <w:t xml:space="preserve"> </w:t>
      </w:r>
      <w:r w:rsidRPr="009B4A78">
        <w:rPr>
          <w:rFonts w:ascii="Arial" w:hAnsi="Arial" w:cs="Arial"/>
          <w:sz w:val="20"/>
          <w:szCs w:val="20"/>
        </w:rPr>
        <w:t>in line with DA</w:t>
      </w:r>
      <w:r w:rsidR="00722C22" w:rsidRPr="009B4A78">
        <w:rPr>
          <w:rFonts w:ascii="Arial" w:hAnsi="Arial" w:cs="Arial"/>
          <w:sz w:val="20"/>
          <w:szCs w:val="20"/>
        </w:rPr>
        <w:t xml:space="preserve"> </w:t>
      </w:r>
      <w:r w:rsidR="00A9302A" w:rsidRPr="009B4A78">
        <w:rPr>
          <w:rFonts w:ascii="Arial" w:hAnsi="Arial" w:cs="Arial"/>
          <w:sz w:val="20"/>
          <w:szCs w:val="20"/>
        </w:rPr>
        <w:t>R</w:t>
      </w:r>
      <w:r w:rsidRPr="009B4A78">
        <w:rPr>
          <w:rFonts w:ascii="Arial" w:hAnsi="Arial" w:cs="Arial"/>
          <w:sz w:val="20"/>
          <w:szCs w:val="20"/>
        </w:rPr>
        <w:t>ecommendations 17, 20 and</w:t>
      </w:r>
      <w:r w:rsidR="0033064E" w:rsidRPr="009B4A78">
        <w:rPr>
          <w:rFonts w:ascii="Arial" w:hAnsi="Arial" w:cs="Arial"/>
          <w:sz w:val="20"/>
          <w:szCs w:val="20"/>
        </w:rPr>
        <w:t> </w:t>
      </w:r>
      <w:r w:rsidRPr="009B4A78">
        <w:rPr>
          <w:rFonts w:ascii="Arial" w:hAnsi="Arial" w:cs="Arial"/>
          <w:sz w:val="20"/>
          <w:szCs w:val="20"/>
        </w:rPr>
        <w:t>22;</w:t>
      </w:r>
    </w:p>
    <w:p w14:paraId="709FC0AF" w14:textId="77777777" w:rsidR="00707DCE" w:rsidRPr="009B4A78" w:rsidRDefault="00707DCE" w:rsidP="00293332">
      <w:pPr>
        <w:tabs>
          <w:tab w:val="left" w:pos="1134"/>
        </w:tabs>
        <w:ind w:left="1134" w:hanging="567"/>
        <w:jc w:val="both"/>
        <w:rPr>
          <w:rFonts w:ascii="Arial" w:hAnsi="Arial" w:cs="Arial"/>
          <w:sz w:val="20"/>
          <w:szCs w:val="20"/>
        </w:rPr>
      </w:pPr>
    </w:p>
    <w:p w14:paraId="3BAFFF06" w14:textId="62B94D4F" w:rsidR="00745B6A" w:rsidRPr="009B4A78" w:rsidRDefault="00745B6A"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Continue to support and assist Member States regarding the Paris Convention, </w:t>
      </w:r>
      <w:r w:rsidR="00722C22" w:rsidRPr="009B4A78">
        <w:rPr>
          <w:rFonts w:ascii="Arial" w:hAnsi="Arial" w:cs="Arial"/>
          <w:sz w:val="20"/>
          <w:szCs w:val="20"/>
        </w:rPr>
        <w:t>the Budapest</w:t>
      </w:r>
      <w:r w:rsidRPr="009B4A78">
        <w:rPr>
          <w:rFonts w:ascii="Arial" w:hAnsi="Arial" w:cs="Arial"/>
          <w:sz w:val="20"/>
          <w:szCs w:val="20"/>
        </w:rPr>
        <w:t xml:space="preserve"> Treaty and the Patent Law Treaty;</w:t>
      </w:r>
    </w:p>
    <w:p w14:paraId="69D74FFC" w14:textId="77777777" w:rsidR="00707DCE" w:rsidRPr="009B4A78" w:rsidRDefault="00707DCE" w:rsidP="00293332">
      <w:pPr>
        <w:tabs>
          <w:tab w:val="left" w:pos="1134"/>
        </w:tabs>
        <w:ind w:left="1134" w:hanging="567"/>
        <w:jc w:val="both"/>
        <w:rPr>
          <w:rFonts w:ascii="Arial" w:hAnsi="Arial" w:cs="Arial"/>
          <w:sz w:val="20"/>
          <w:szCs w:val="20"/>
        </w:rPr>
      </w:pPr>
    </w:p>
    <w:p w14:paraId="04246957" w14:textId="63BAABD8" w:rsidR="00745B6A" w:rsidRPr="009B4A78" w:rsidRDefault="00745B6A" w:rsidP="00B66A4A">
      <w:pPr>
        <w:pStyle w:val="ListParagraph"/>
        <w:numPr>
          <w:ilvl w:val="1"/>
          <w:numId w:val="1"/>
        </w:numPr>
        <w:tabs>
          <w:tab w:val="left" w:pos="1134"/>
        </w:tabs>
        <w:ind w:left="1134" w:hanging="567"/>
        <w:jc w:val="both"/>
        <w:rPr>
          <w:rFonts w:ascii="Arial" w:hAnsi="Arial" w:cs="Arial"/>
          <w:sz w:val="20"/>
          <w:szCs w:val="20"/>
        </w:rPr>
      </w:pPr>
      <w:r w:rsidRPr="009B4A78">
        <w:rPr>
          <w:rFonts w:ascii="Arial" w:hAnsi="Arial" w:cs="Arial"/>
          <w:sz w:val="20"/>
          <w:szCs w:val="20"/>
        </w:rPr>
        <w:t xml:space="preserve">Continue to </w:t>
      </w:r>
      <w:r w:rsidR="00520134" w:rsidRPr="009B4A78">
        <w:rPr>
          <w:rFonts w:ascii="Arial" w:hAnsi="Arial" w:cs="Arial"/>
          <w:sz w:val="20"/>
          <w:szCs w:val="20"/>
        </w:rPr>
        <w:t xml:space="preserve">support and </w:t>
      </w:r>
      <w:r w:rsidRPr="009B4A78">
        <w:rPr>
          <w:rFonts w:ascii="Arial" w:hAnsi="Arial" w:cs="Arial"/>
          <w:sz w:val="20"/>
          <w:szCs w:val="20"/>
        </w:rPr>
        <w:t xml:space="preserve">assist Member States </w:t>
      </w:r>
      <w:r w:rsidR="0033064E" w:rsidRPr="009B4A78">
        <w:rPr>
          <w:rFonts w:ascii="Arial" w:hAnsi="Arial" w:cs="Arial"/>
          <w:sz w:val="20"/>
          <w:szCs w:val="20"/>
        </w:rPr>
        <w:t xml:space="preserve">with a view to enhancing capacities for designing functional systems regarding patents, </w:t>
      </w:r>
      <w:r w:rsidR="00707DCE" w:rsidRPr="009B4A78">
        <w:rPr>
          <w:rFonts w:ascii="Arial" w:hAnsi="Arial" w:cs="Arial"/>
          <w:sz w:val="20"/>
          <w:szCs w:val="20"/>
        </w:rPr>
        <w:t>utility models, layout designs (topographies) of integrated circuits and protection of confidential information</w:t>
      </w:r>
      <w:r w:rsidRPr="009B4A78">
        <w:rPr>
          <w:rFonts w:ascii="Arial" w:hAnsi="Arial" w:cs="Arial"/>
          <w:sz w:val="20"/>
          <w:szCs w:val="20"/>
        </w:rPr>
        <w:t>;</w:t>
      </w:r>
    </w:p>
    <w:p w14:paraId="03E9EC93" w14:textId="77777777" w:rsidR="00707DCE" w:rsidRPr="009B4A78" w:rsidRDefault="00707DCE" w:rsidP="00293332">
      <w:pPr>
        <w:tabs>
          <w:tab w:val="left" w:pos="1134"/>
        </w:tabs>
        <w:ind w:left="1134" w:hanging="567"/>
        <w:jc w:val="both"/>
        <w:rPr>
          <w:rFonts w:ascii="Arial" w:hAnsi="Arial" w:cs="Arial"/>
          <w:sz w:val="20"/>
          <w:szCs w:val="20"/>
        </w:rPr>
      </w:pPr>
    </w:p>
    <w:p w14:paraId="40257F32" w14:textId="50DF7FD3" w:rsidR="00745B6A" w:rsidRPr="00CB32BD" w:rsidRDefault="00745B6A" w:rsidP="00B66A4A">
      <w:pPr>
        <w:pStyle w:val="ListParagraph"/>
        <w:numPr>
          <w:ilvl w:val="1"/>
          <w:numId w:val="1"/>
        </w:numPr>
        <w:tabs>
          <w:tab w:val="left" w:pos="1134"/>
        </w:tabs>
        <w:ind w:left="1134" w:hanging="567"/>
        <w:jc w:val="both"/>
        <w:rPr>
          <w:rFonts w:ascii="Arial" w:hAnsi="Arial" w:cs="Arial"/>
          <w:sz w:val="20"/>
          <w:szCs w:val="20"/>
        </w:rPr>
      </w:pPr>
      <w:r w:rsidRPr="00CB32BD">
        <w:rPr>
          <w:rFonts w:ascii="Arial" w:hAnsi="Arial" w:cs="Arial"/>
          <w:sz w:val="20"/>
          <w:szCs w:val="20"/>
        </w:rPr>
        <w:t xml:space="preserve">Address </w:t>
      </w:r>
      <w:r w:rsidR="00060B44" w:rsidRPr="00CB32BD">
        <w:rPr>
          <w:rFonts w:ascii="Arial" w:hAnsi="Arial" w:cs="Arial"/>
          <w:sz w:val="20"/>
          <w:szCs w:val="20"/>
        </w:rPr>
        <w:t xml:space="preserve">issues relating to protection of </w:t>
      </w:r>
      <w:r w:rsidR="00CB4716">
        <w:rPr>
          <w:rFonts w:ascii="Arial" w:hAnsi="Arial" w:cs="Arial"/>
          <w:sz w:val="20"/>
          <w:szCs w:val="20"/>
        </w:rPr>
        <w:t xml:space="preserve">patents, utility models, layout designs (topographies) of integrated circuits and </w:t>
      </w:r>
      <w:r w:rsidR="00722C22" w:rsidRPr="00CB32BD">
        <w:rPr>
          <w:rFonts w:ascii="Arial" w:hAnsi="Arial" w:cs="Arial"/>
          <w:sz w:val="20"/>
          <w:szCs w:val="20"/>
        </w:rPr>
        <w:t>confidential information</w:t>
      </w:r>
      <w:r w:rsidR="00060B44" w:rsidRPr="00CB32BD">
        <w:rPr>
          <w:rFonts w:ascii="Arial" w:hAnsi="Arial" w:cs="Arial"/>
          <w:sz w:val="20"/>
          <w:szCs w:val="20"/>
        </w:rPr>
        <w:t xml:space="preserve"> in the context of promotion of innovation and dissemination of technology</w:t>
      </w:r>
      <w:r w:rsidRPr="00CB32BD">
        <w:rPr>
          <w:rFonts w:ascii="Arial" w:hAnsi="Arial" w:cs="Arial"/>
          <w:sz w:val="20"/>
          <w:szCs w:val="20"/>
        </w:rPr>
        <w:t>;</w:t>
      </w:r>
      <w:r w:rsidR="00CB32BD">
        <w:rPr>
          <w:rFonts w:ascii="Arial" w:hAnsi="Arial" w:cs="Arial"/>
          <w:sz w:val="20"/>
          <w:szCs w:val="20"/>
        </w:rPr>
        <w:t xml:space="preserve"> and</w:t>
      </w:r>
    </w:p>
    <w:p w14:paraId="798D790D" w14:textId="77777777" w:rsidR="00707DCE" w:rsidRPr="00CB32BD" w:rsidRDefault="00707DCE" w:rsidP="00293332">
      <w:pPr>
        <w:tabs>
          <w:tab w:val="left" w:pos="1134"/>
        </w:tabs>
        <w:ind w:left="1134" w:hanging="567"/>
        <w:jc w:val="both"/>
        <w:rPr>
          <w:rFonts w:ascii="Arial" w:hAnsi="Arial" w:cs="Arial"/>
          <w:sz w:val="20"/>
          <w:szCs w:val="20"/>
        </w:rPr>
      </w:pPr>
    </w:p>
    <w:p w14:paraId="4369EA66" w14:textId="6217B123" w:rsidR="00745B6A" w:rsidRPr="00CB32BD" w:rsidRDefault="00745B6A" w:rsidP="00B66A4A">
      <w:pPr>
        <w:pStyle w:val="ListParagraph"/>
        <w:numPr>
          <w:ilvl w:val="1"/>
          <w:numId w:val="1"/>
        </w:numPr>
        <w:tabs>
          <w:tab w:val="left" w:pos="1134"/>
        </w:tabs>
        <w:ind w:left="1134" w:hanging="567"/>
        <w:jc w:val="both"/>
        <w:rPr>
          <w:rFonts w:ascii="Arial" w:hAnsi="Arial" w:cs="Arial"/>
          <w:sz w:val="20"/>
          <w:szCs w:val="20"/>
        </w:rPr>
      </w:pPr>
      <w:r w:rsidRPr="00CB32BD">
        <w:rPr>
          <w:rFonts w:ascii="Arial" w:hAnsi="Arial" w:cs="Arial"/>
          <w:sz w:val="20"/>
          <w:szCs w:val="20"/>
        </w:rPr>
        <w:t xml:space="preserve">Continue to support the work of </w:t>
      </w:r>
      <w:r w:rsidR="003B1039" w:rsidRPr="00CB32BD">
        <w:rPr>
          <w:rFonts w:ascii="Arial" w:hAnsi="Arial" w:cs="Arial"/>
          <w:sz w:val="20"/>
          <w:szCs w:val="20"/>
        </w:rPr>
        <w:t xml:space="preserve">Program 9 (Africa, Arab, Asia and the Pacific, Latin America and the Caribbean Countries, Least Developed Countries) </w:t>
      </w:r>
      <w:r w:rsidRPr="00CB32BD">
        <w:rPr>
          <w:rFonts w:ascii="Arial" w:hAnsi="Arial" w:cs="Arial"/>
          <w:sz w:val="20"/>
          <w:szCs w:val="20"/>
        </w:rPr>
        <w:t xml:space="preserve">relating to </w:t>
      </w:r>
      <w:r w:rsidR="003B1039" w:rsidRPr="00CB32BD">
        <w:rPr>
          <w:rFonts w:ascii="Arial" w:hAnsi="Arial" w:cs="Arial"/>
          <w:sz w:val="20"/>
          <w:szCs w:val="20"/>
        </w:rPr>
        <w:t xml:space="preserve">Patent Law </w:t>
      </w:r>
      <w:r w:rsidRPr="00CB32BD">
        <w:rPr>
          <w:rFonts w:ascii="Arial" w:hAnsi="Arial" w:cs="Arial"/>
          <w:sz w:val="20"/>
          <w:szCs w:val="20"/>
        </w:rPr>
        <w:t xml:space="preserve">issues, including the provision of studies relevant to DA </w:t>
      </w:r>
      <w:r w:rsidR="00A9302A" w:rsidRPr="00CB32BD">
        <w:rPr>
          <w:rFonts w:ascii="Arial" w:hAnsi="Arial" w:cs="Arial"/>
          <w:sz w:val="20"/>
          <w:szCs w:val="20"/>
        </w:rPr>
        <w:t>R</w:t>
      </w:r>
      <w:r w:rsidRPr="00CB32BD">
        <w:rPr>
          <w:rFonts w:ascii="Arial" w:hAnsi="Arial" w:cs="Arial"/>
          <w:sz w:val="20"/>
          <w:szCs w:val="20"/>
        </w:rPr>
        <w:t>ecommendations 12, 13</w:t>
      </w:r>
      <w:r w:rsidR="00060B44" w:rsidRPr="00CB32BD">
        <w:rPr>
          <w:rFonts w:ascii="Arial" w:hAnsi="Arial" w:cs="Arial"/>
          <w:sz w:val="20"/>
          <w:szCs w:val="20"/>
        </w:rPr>
        <w:t xml:space="preserve"> and </w:t>
      </w:r>
      <w:r w:rsidRPr="00CB32BD">
        <w:rPr>
          <w:rFonts w:ascii="Arial" w:hAnsi="Arial" w:cs="Arial"/>
          <w:sz w:val="20"/>
          <w:szCs w:val="20"/>
        </w:rPr>
        <w:t>1</w:t>
      </w:r>
      <w:r w:rsidR="00060B44" w:rsidRPr="00CB32BD">
        <w:rPr>
          <w:rFonts w:ascii="Arial" w:hAnsi="Arial" w:cs="Arial"/>
          <w:sz w:val="20"/>
          <w:szCs w:val="20"/>
        </w:rPr>
        <w:t>4</w:t>
      </w:r>
      <w:r w:rsidRPr="00CB32BD">
        <w:rPr>
          <w:rFonts w:ascii="Arial" w:hAnsi="Arial" w:cs="Arial"/>
          <w:sz w:val="20"/>
          <w:szCs w:val="20"/>
        </w:rPr>
        <w:t>, as requested by the CDIP</w:t>
      </w:r>
      <w:r w:rsidR="00CB32BD">
        <w:rPr>
          <w:rFonts w:ascii="Arial" w:hAnsi="Arial" w:cs="Arial"/>
          <w:sz w:val="20"/>
          <w:szCs w:val="20"/>
        </w:rPr>
        <w:t>.</w:t>
      </w:r>
    </w:p>
    <w:p w14:paraId="7061C0D5" w14:textId="77777777" w:rsidR="00CB32BD" w:rsidRDefault="00CB32BD" w:rsidP="00CB32BD">
      <w:pPr>
        <w:tabs>
          <w:tab w:val="left" w:pos="1134"/>
        </w:tabs>
        <w:jc w:val="both"/>
        <w:rPr>
          <w:rFonts w:ascii="Arial" w:hAnsi="Arial" w:cs="Arial"/>
          <w:sz w:val="20"/>
          <w:szCs w:val="20"/>
        </w:rPr>
      </w:pPr>
    </w:p>
    <w:p w14:paraId="561C4559" w14:textId="34D044A0" w:rsidR="009961D3" w:rsidRPr="00CB32BD" w:rsidRDefault="00CB32BD" w:rsidP="00B66A4A">
      <w:pPr>
        <w:numPr>
          <w:ilvl w:val="0"/>
          <w:numId w:val="2"/>
        </w:numPr>
        <w:jc w:val="both"/>
        <w:rPr>
          <w:rFonts w:ascii="Arial" w:hAnsi="Arial" w:cs="Arial"/>
          <w:sz w:val="20"/>
          <w:szCs w:val="20"/>
        </w:rPr>
      </w:pPr>
      <w:r>
        <w:rPr>
          <w:rFonts w:ascii="Arial" w:hAnsi="Arial" w:cs="Arial"/>
          <w:sz w:val="20"/>
          <w:szCs w:val="20"/>
        </w:rPr>
        <w:t xml:space="preserve">Program 1 collaborates primarily with </w:t>
      </w:r>
      <w:r w:rsidR="00A52A22" w:rsidRPr="00CB32BD">
        <w:rPr>
          <w:rFonts w:ascii="Arial" w:hAnsi="Arial" w:cs="Arial"/>
          <w:sz w:val="20"/>
          <w:szCs w:val="20"/>
        </w:rPr>
        <w:t xml:space="preserve">other </w:t>
      </w:r>
      <w:r w:rsidR="00745B6A" w:rsidRPr="00CB32BD">
        <w:rPr>
          <w:rFonts w:ascii="Arial" w:hAnsi="Arial" w:cs="Arial"/>
          <w:sz w:val="20"/>
          <w:szCs w:val="20"/>
        </w:rPr>
        <w:t xml:space="preserve">Programs </w:t>
      </w:r>
      <w:r w:rsidR="00A52A22" w:rsidRPr="00CB32BD">
        <w:rPr>
          <w:rFonts w:ascii="Arial" w:hAnsi="Arial" w:cs="Arial"/>
          <w:sz w:val="20"/>
          <w:szCs w:val="20"/>
        </w:rPr>
        <w:t xml:space="preserve">as illustrated below: </w:t>
      </w:r>
    </w:p>
    <w:p w14:paraId="66C338CD" w14:textId="77777777" w:rsidR="00CB32BD" w:rsidRPr="00CB32BD" w:rsidRDefault="00CB32BD" w:rsidP="00CB32BD">
      <w:pPr>
        <w:rPr>
          <w:rFonts w:ascii="Arial" w:hAnsi="Arial" w:cs="Arial"/>
          <w:sz w:val="20"/>
          <w:szCs w:val="20"/>
          <w:shd w:val="clear" w:color="auto" w:fill="FFFF00"/>
        </w:rPr>
      </w:pPr>
    </w:p>
    <w:p w14:paraId="1B984A2F" w14:textId="6D35ADC7" w:rsidR="00A52A22" w:rsidRPr="009B4A78" w:rsidRDefault="00A52A22" w:rsidP="00060B44">
      <w:pPr>
        <w:ind w:left="720"/>
        <w:rPr>
          <w:rFonts w:ascii="Arial" w:hAnsi="Arial" w:cs="Arial"/>
          <w:shd w:val="clear" w:color="auto" w:fill="FFFF00"/>
        </w:rPr>
      </w:pPr>
      <w:r w:rsidRPr="00CB32BD">
        <w:rPr>
          <w:rFonts w:ascii="Arial" w:hAnsi="Arial" w:cs="Arial"/>
          <w:noProof/>
          <w:lang w:eastAsia="en-US"/>
        </w:rPr>
        <w:drawing>
          <wp:anchor distT="0" distB="0" distL="114300" distR="114300" simplePos="0" relativeHeight="251659264" behindDoc="0" locked="0" layoutInCell="1" allowOverlap="1" wp14:anchorId="1125397C" wp14:editId="2F5996F4">
            <wp:simplePos x="0" y="0"/>
            <wp:positionH relativeFrom="column">
              <wp:posOffset>-57150</wp:posOffset>
            </wp:positionH>
            <wp:positionV relativeFrom="paragraph">
              <wp:posOffset>22225</wp:posOffset>
            </wp:positionV>
            <wp:extent cx="5943600" cy="2124710"/>
            <wp:effectExtent l="0" t="19050" r="0" b="85090"/>
            <wp:wrapTopAndBottom/>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H relativeFrom="page">
              <wp14:pctWidth>0</wp14:pctWidth>
            </wp14:sizeRelH>
            <wp14:sizeRelV relativeFrom="page">
              <wp14:pctHeight>0</wp14:pctHeight>
            </wp14:sizeRelV>
          </wp:anchor>
        </w:drawing>
      </w:r>
    </w:p>
    <w:p w14:paraId="3F00B0B4" w14:textId="77777777" w:rsidR="009B0708" w:rsidRPr="009B4A78" w:rsidRDefault="009B0708" w:rsidP="00060B44">
      <w:pPr>
        <w:ind w:left="720"/>
        <w:rPr>
          <w:rFonts w:ascii="Arial" w:hAnsi="Arial" w:cs="Arial"/>
        </w:rPr>
      </w:pPr>
    </w:p>
    <w:p w14:paraId="43B7AF3D" w14:textId="6C0C2DD4" w:rsidR="00982D92" w:rsidRPr="009B4A78" w:rsidRDefault="0037373D" w:rsidP="00BA43A0">
      <w:pPr>
        <w:keepNext/>
        <w:keepLines/>
        <w:rPr>
          <w:rFonts w:ascii="Arial" w:hAnsi="Arial" w:cs="Arial"/>
          <w:shd w:val="clear" w:color="auto" w:fill="FFFF00"/>
        </w:rPr>
      </w:pPr>
      <w:r w:rsidRPr="009B4A78">
        <w:rPr>
          <w:rFonts w:ascii="Arial" w:hAnsi="Arial" w:cs="Arial"/>
        </w:rPr>
        <w:t>MAJOR RISKS AND MITIGATION STATEGIES</w:t>
      </w:r>
    </w:p>
    <w:p w14:paraId="473EB323" w14:textId="77777777" w:rsidR="00982D92" w:rsidRPr="009B4A78" w:rsidRDefault="00982D92" w:rsidP="00BA43A0">
      <w:pPr>
        <w:keepNext/>
        <w:keepLines/>
        <w:autoSpaceDE w:val="0"/>
        <w:autoSpaceDN w:val="0"/>
        <w:adjustRightInd w:val="0"/>
        <w:ind w:right="-59"/>
        <w:jc w:val="center"/>
        <w:rPr>
          <w:rFonts w:ascii="Arial" w:eastAsia="Times New Roman" w:hAnsi="Arial" w:cs="Arial"/>
          <w:i/>
          <w:sz w:val="20"/>
          <w:szCs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982D92" w:rsidRPr="009B4A78" w14:paraId="72857F83" w14:textId="77777777" w:rsidTr="00FB68E0">
        <w:trPr>
          <w:trHeight w:val="424"/>
        </w:trPr>
        <w:tc>
          <w:tcPr>
            <w:tcW w:w="4253" w:type="dxa"/>
            <w:tcBorders>
              <w:top w:val="single" w:sz="4" w:space="0" w:color="auto"/>
              <w:bottom w:val="single" w:sz="4" w:space="0" w:color="auto"/>
            </w:tcBorders>
            <w:shd w:val="clear" w:color="auto" w:fill="C6D9F1" w:themeFill="text2" w:themeFillTint="33"/>
            <w:vAlign w:val="center"/>
          </w:tcPr>
          <w:p w14:paraId="4B6B131E" w14:textId="77777777" w:rsidR="00982D92" w:rsidRPr="009B4A78" w:rsidRDefault="00982D92" w:rsidP="00BA43A0">
            <w:pPr>
              <w:keepNext/>
              <w:keepLines/>
              <w:jc w:val="center"/>
              <w:rPr>
                <w:rFonts w:ascii="Arial" w:eastAsia="Times New Roman" w:hAnsi="Arial" w:cs="Arial"/>
                <w:b/>
                <w:bCs/>
                <w:sz w:val="18"/>
                <w:szCs w:val="18"/>
                <w:lang w:eastAsia="en-US"/>
              </w:rPr>
            </w:pPr>
            <w:r w:rsidRPr="009B4A78">
              <w:rPr>
                <w:rFonts w:ascii="Arial" w:eastAsia="Times New Roman" w:hAnsi="Arial" w:cs="Arial"/>
                <w:b/>
                <w:bCs/>
                <w:sz w:val="18"/>
                <w:szCs w:val="18"/>
                <w:lang w:eastAsia="en-US"/>
              </w:rPr>
              <w:t>Risk</w:t>
            </w:r>
          </w:p>
        </w:tc>
        <w:tc>
          <w:tcPr>
            <w:tcW w:w="4961" w:type="dxa"/>
            <w:tcBorders>
              <w:top w:val="single" w:sz="4" w:space="0" w:color="auto"/>
              <w:bottom w:val="single" w:sz="4" w:space="0" w:color="auto"/>
            </w:tcBorders>
            <w:shd w:val="clear" w:color="auto" w:fill="C6D9F1" w:themeFill="text2" w:themeFillTint="33"/>
            <w:vAlign w:val="center"/>
          </w:tcPr>
          <w:p w14:paraId="65C931B9" w14:textId="77777777" w:rsidR="00982D92" w:rsidRPr="009B4A78" w:rsidRDefault="00982D92" w:rsidP="00BA43A0">
            <w:pPr>
              <w:keepNext/>
              <w:keepLines/>
              <w:jc w:val="center"/>
              <w:rPr>
                <w:rFonts w:ascii="Arial" w:eastAsia="Times New Roman" w:hAnsi="Arial" w:cs="Arial"/>
                <w:b/>
                <w:bCs/>
                <w:sz w:val="18"/>
                <w:szCs w:val="18"/>
                <w:lang w:eastAsia="en-US"/>
              </w:rPr>
            </w:pPr>
            <w:r w:rsidRPr="009B4A78">
              <w:rPr>
                <w:rFonts w:ascii="Arial" w:eastAsia="Times New Roman" w:hAnsi="Arial" w:cs="Arial"/>
                <w:b/>
                <w:bCs/>
                <w:sz w:val="18"/>
                <w:szCs w:val="18"/>
                <w:lang w:eastAsia="en-US"/>
              </w:rPr>
              <w:t>Mitigation</w:t>
            </w:r>
          </w:p>
        </w:tc>
      </w:tr>
      <w:tr w:rsidR="00982D92" w:rsidRPr="009B4A78" w14:paraId="68EED0BC" w14:textId="77777777" w:rsidTr="0064046E">
        <w:trPr>
          <w:trHeight w:val="345"/>
        </w:trPr>
        <w:tc>
          <w:tcPr>
            <w:tcW w:w="4253" w:type="dxa"/>
            <w:tcBorders>
              <w:top w:val="single" w:sz="4" w:space="0" w:color="auto"/>
              <w:left w:val="single" w:sz="4" w:space="0" w:color="auto"/>
              <w:bottom w:val="nil"/>
              <w:right w:val="nil"/>
            </w:tcBorders>
            <w:shd w:val="clear" w:color="auto" w:fill="auto"/>
            <w:tcMar>
              <w:top w:w="113" w:type="dxa"/>
              <w:bottom w:w="113" w:type="dxa"/>
            </w:tcMar>
          </w:tcPr>
          <w:p w14:paraId="0679C7B8" w14:textId="77777777" w:rsidR="00982D92" w:rsidRPr="009B4A78" w:rsidRDefault="00982D92" w:rsidP="00BA43A0">
            <w:pPr>
              <w:keepNext/>
              <w:keepLines/>
              <w:rPr>
                <w:rFonts w:ascii="Arial" w:eastAsia="Times New Roman" w:hAnsi="Arial" w:cs="Arial"/>
                <w:sz w:val="16"/>
                <w:szCs w:val="16"/>
                <w:lang w:eastAsia="en-US"/>
              </w:rPr>
            </w:pPr>
            <w:r w:rsidRPr="009B4A78">
              <w:rPr>
                <w:rFonts w:ascii="Arial" w:eastAsia="Times New Roman" w:hAnsi="Arial" w:cs="Arial"/>
                <w:color w:val="000000"/>
                <w:sz w:val="16"/>
                <w:szCs w:val="16"/>
                <w:lang w:eastAsia="en-US"/>
              </w:rPr>
              <w:t>Reduced relevance of the Standing Committee on the Law of Patents as a multilateral forum.</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14:paraId="08EF8C87" w14:textId="77777777" w:rsidR="00982D92" w:rsidRPr="009B4A78" w:rsidRDefault="00982D92" w:rsidP="00BA43A0">
            <w:pPr>
              <w:keepNext/>
              <w:keepLines/>
              <w:rPr>
                <w:rFonts w:ascii="Arial" w:eastAsia="Times New Roman" w:hAnsi="Arial" w:cs="Arial"/>
                <w:sz w:val="16"/>
                <w:szCs w:val="16"/>
                <w:lang w:eastAsia="en-US"/>
              </w:rPr>
            </w:pPr>
            <w:r w:rsidRPr="009B4A78">
              <w:rPr>
                <w:rFonts w:ascii="Arial" w:eastAsia="Times New Roman" w:hAnsi="Arial" w:cs="Arial"/>
                <w:color w:val="000000"/>
                <w:sz w:val="16"/>
                <w:szCs w:val="16"/>
                <w:lang w:eastAsia="en-US"/>
              </w:rPr>
              <w:t xml:space="preserve">Provision of impartial, professional and inclusive environment for dialogue among Member States. </w:t>
            </w:r>
          </w:p>
        </w:tc>
      </w:tr>
      <w:tr w:rsidR="00982D92" w:rsidRPr="009B4A78" w14:paraId="2A6C1907" w14:textId="77777777" w:rsidTr="0064046E">
        <w:trPr>
          <w:trHeight w:val="409"/>
        </w:trPr>
        <w:tc>
          <w:tcPr>
            <w:tcW w:w="4253" w:type="dxa"/>
            <w:tcBorders>
              <w:top w:val="nil"/>
              <w:left w:val="single" w:sz="4" w:space="0" w:color="auto"/>
              <w:bottom w:val="single" w:sz="4" w:space="0" w:color="auto"/>
              <w:right w:val="nil"/>
            </w:tcBorders>
            <w:shd w:val="clear" w:color="auto" w:fill="auto"/>
            <w:tcMar>
              <w:top w:w="113" w:type="dxa"/>
              <w:bottom w:w="113" w:type="dxa"/>
            </w:tcMar>
          </w:tcPr>
          <w:p w14:paraId="2CCAB741" w14:textId="77777777" w:rsidR="00982D92" w:rsidRPr="009B4A78" w:rsidRDefault="00982D92" w:rsidP="00BA43A0">
            <w:pPr>
              <w:keepNext/>
              <w:keepLines/>
              <w:rPr>
                <w:rFonts w:ascii="Arial" w:eastAsia="Times New Roman" w:hAnsi="Arial" w:cs="Arial"/>
                <w:color w:val="000000"/>
                <w:sz w:val="16"/>
                <w:szCs w:val="16"/>
                <w:lang w:eastAsia="en-US"/>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14:paraId="77E51539" w14:textId="77777777" w:rsidR="00982D92" w:rsidRPr="009B4A78" w:rsidRDefault="00982D92" w:rsidP="00BA43A0">
            <w:pPr>
              <w:keepNext/>
              <w:keepLines/>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 xml:space="preserve">Provision of timely, accurate and substantive information to Member States. </w:t>
            </w:r>
          </w:p>
        </w:tc>
      </w:tr>
    </w:tbl>
    <w:p w14:paraId="52450CA9" w14:textId="77777777" w:rsidR="009B0708" w:rsidRPr="009B4A78" w:rsidRDefault="009B0708" w:rsidP="008C4584">
      <w:pPr>
        <w:autoSpaceDE w:val="0"/>
        <w:autoSpaceDN w:val="0"/>
        <w:rPr>
          <w:rFonts w:ascii="Arial" w:hAnsi="Arial" w:cs="Arial"/>
        </w:rPr>
      </w:pPr>
    </w:p>
    <w:p w14:paraId="3E038CE8" w14:textId="77777777" w:rsidR="009B0708" w:rsidRPr="009B4A78" w:rsidRDefault="009B0708" w:rsidP="008C4584">
      <w:pPr>
        <w:autoSpaceDE w:val="0"/>
        <w:autoSpaceDN w:val="0"/>
        <w:rPr>
          <w:rFonts w:ascii="Arial" w:hAnsi="Arial" w:cs="Arial"/>
        </w:rPr>
      </w:pPr>
    </w:p>
    <w:p w14:paraId="5DE45E60" w14:textId="77777777" w:rsidR="00B72EB9" w:rsidRPr="009B4A78" w:rsidRDefault="00B72EB9" w:rsidP="008C4584">
      <w:pPr>
        <w:keepNext/>
        <w:keepLines/>
        <w:autoSpaceDE w:val="0"/>
        <w:autoSpaceDN w:val="0"/>
        <w:rPr>
          <w:rFonts w:ascii="Arial" w:hAnsi="Arial" w:cs="Arial"/>
        </w:rPr>
      </w:pPr>
      <w:r w:rsidRPr="009B4A78">
        <w:rPr>
          <w:rFonts w:ascii="Arial" w:hAnsi="Arial" w:cs="Arial"/>
        </w:rPr>
        <w:lastRenderedPageBreak/>
        <w:t>RESULTS FRAMEWORK</w:t>
      </w:r>
    </w:p>
    <w:p w14:paraId="163EA0AB" w14:textId="77777777" w:rsidR="00B72EB9" w:rsidRPr="009B4A78" w:rsidRDefault="00B72EB9" w:rsidP="008C4584">
      <w:pPr>
        <w:keepNext/>
        <w:keepLines/>
        <w:autoSpaceDE w:val="0"/>
        <w:autoSpaceDN w:val="0"/>
        <w:rPr>
          <w:rFonts w:ascii="Arial" w:hAnsi="Arial" w:cs="Arial"/>
        </w:rPr>
      </w:pPr>
    </w:p>
    <w:tbl>
      <w:tblPr>
        <w:tblW w:w="9229" w:type="dxa"/>
        <w:tblInd w:w="93" w:type="dxa"/>
        <w:tblLook w:val="04A0" w:firstRow="1" w:lastRow="0" w:firstColumn="1" w:lastColumn="0" w:noHBand="0" w:noVBand="1"/>
      </w:tblPr>
      <w:tblGrid>
        <w:gridCol w:w="2000"/>
        <w:gridCol w:w="2977"/>
        <w:gridCol w:w="2551"/>
        <w:gridCol w:w="1701"/>
      </w:tblGrid>
      <w:tr w:rsidR="008049E6" w:rsidRPr="009B4A78" w14:paraId="4386A149" w14:textId="77777777" w:rsidTr="00FB68E0">
        <w:trPr>
          <w:trHeight w:val="465"/>
        </w:trPr>
        <w:tc>
          <w:tcPr>
            <w:tcW w:w="2000"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1D057DFE" w14:textId="77777777" w:rsidR="00B72EB9" w:rsidRPr="009B4A78" w:rsidRDefault="00B72EB9" w:rsidP="008C4584">
            <w:pPr>
              <w:keepNext/>
              <w:keepLines/>
              <w:jc w:val="center"/>
              <w:rPr>
                <w:rFonts w:ascii="Arial" w:eastAsia="Times New Roman" w:hAnsi="Arial" w:cs="Arial"/>
                <w:b/>
                <w:bCs/>
                <w:color w:val="000000"/>
                <w:sz w:val="18"/>
                <w:szCs w:val="18"/>
                <w:lang w:eastAsia="en-US"/>
              </w:rPr>
            </w:pPr>
            <w:r w:rsidRPr="009B4A78">
              <w:rPr>
                <w:rFonts w:ascii="Arial" w:eastAsia="Times New Roman" w:hAnsi="Arial" w:cs="Arial"/>
                <w:b/>
                <w:bCs/>
                <w:color w:val="000000"/>
                <w:sz w:val="18"/>
                <w:szCs w:val="18"/>
                <w:lang w:eastAsia="en-US"/>
              </w:rPr>
              <w:t>Expected Results</w:t>
            </w:r>
          </w:p>
        </w:tc>
        <w:tc>
          <w:tcPr>
            <w:tcW w:w="2977" w:type="dxa"/>
            <w:tcBorders>
              <w:top w:val="single" w:sz="4" w:space="0" w:color="auto"/>
              <w:left w:val="nil"/>
              <w:bottom w:val="single" w:sz="4" w:space="0" w:color="auto"/>
              <w:right w:val="nil"/>
            </w:tcBorders>
            <w:shd w:val="clear" w:color="auto" w:fill="C6D9F1" w:themeFill="text2" w:themeFillTint="33"/>
            <w:noWrap/>
            <w:vAlign w:val="center"/>
            <w:hideMark/>
          </w:tcPr>
          <w:p w14:paraId="76BF2913" w14:textId="77777777" w:rsidR="00B72EB9" w:rsidRPr="009B4A78" w:rsidRDefault="00B72EB9" w:rsidP="008C4584">
            <w:pPr>
              <w:keepNext/>
              <w:keepLines/>
              <w:jc w:val="center"/>
              <w:rPr>
                <w:rFonts w:ascii="Arial" w:eastAsia="Times New Roman" w:hAnsi="Arial" w:cs="Arial"/>
                <w:b/>
                <w:bCs/>
                <w:color w:val="000000"/>
                <w:sz w:val="18"/>
                <w:szCs w:val="18"/>
                <w:lang w:eastAsia="en-US"/>
              </w:rPr>
            </w:pPr>
            <w:r w:rsidRPr="009B4A78">
              <w:rPr>
                <w:rFonts w:ascii="Arial" w:eastAsia="Times New Roman" w:hAnsi="Arial" w:cs="Arial"/>
                <w:b/>
                <w:bCs/>
                <w:color w:val="000000"/>
                <w:sz w:val="18"/>
                <w:szCs w:val="18"/>
                <w:lang w:eastAsia="en-US"/>
              </w:rPr>
              <w:t>Performance Indicators</w:t>
            </w:r>
          </w:p>
        </w:tc>
        <w:tc>
          <w:tcPr>
            <w:tcW w:w="2551" w:type="dxa"/>
            <w:tcBorders>
              <w:top w:val="single" w:sz="4" w:space="0" w:color="auto"/>
              <w:left w:val="nil"/>
              <w:bottom w:val="single" w:sz="4" w:space="0" w:color="auto"/>
              <w:right w:val="nil"/>
            </w:tcBorders>
            <w:shd w:val="clear" w:color="auto" w:fill="C6D9F1" w:themeFill="text2" w:themeFillTint="33"/>
            <w:noWrap/>
            <w:vAlign w:val="center"/>
            <w:hideMark/>
          </w:tcPr>
          <w:p w14:paraId="1E97B9C3" w14:textId="77777777" w:rsidR="00B72EB9" w:rsidRPr="009B4A78" w:rsidRDefault="00B72EB9" w:rsidP="008C4584">
            <w:pPr>
              <w:keepNext/>
              <w:keepLines/>
              <w:ind w:left="176" w:hanging="142"/>
              <w:jc w:val="center"/>
              <w:rPr>
                <w:rFonts w:ascii="Arial" w:eastAsia="Times New Roman" w:hAnsi="Arial" w:cs="Arial"/>
                <w:b/>
                <w:bCs/>
                <w:color w:val="000000"/>
                <w:sz w:val="18"/>
                <w:szCs w:val="18"/>
                <w:lang w:eastAsia="en-US"/>
              </w:rPr>
            </w:pPr>
            <w:r w:rsidRPr="009B4A78">
              <w:rPr>
                <w:rFonts w:ascii="Arial" w:eastAsia="Times New Roman" w:hAnsi="Arial" w:cs="Arial"/>
                <w:b/>
                <w:bCs/>
                <w:color w:val="000000"/>
                <w:sz w:val="18"/>
                <w:szCs w:val="18"/>
                <w:lang w:eastAsia="en-US"/>
              </w:rPr>
              <w:t>Baselines</w:t>
            </w:r>
          </w:p>
        </w:tc>
        <w:tc>
          <w:tcPr>
            <w:tcW w:w="1701"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3DBE2B0F" w14:textId="77777777" w:rsidR="00B72EB9" w:rsidRPr="009B4A78" w:rsidRDefault="00B72EB9" w:rsidP="008C4584">
            <w:pPr>
              <w:keepNext/>
              <w:keepLines/>
              <w:jc w:val="center"/>
              <w:rPr>
                <w:rFonts w:ascii="Arial" w:eastAsia="Times New Roman" w:hAnsi="Arial" w:cs="Arial"/>
                <w:b/>
                <w:bCs/>
                <w:color w:val="000000"/>
                <w:sz w:val="18"/>
                <w:szCs w:val="18"/>
                <w:lang w:eastAsia="en-US"/>
              </w:rPr>
            </w:pPr>
            <w:r w:rsidRPr="009B4A78">
              <w:rPr>
                <w:rFonts w:ascii="Arial" w:eastAsia="Times New Roman" w:hAnsi="Arial" w:cs="Arial"/>
                <w:b/>
                <w:bCs/>
                <w:color w:val="000000"/>
                <w:sz w:val="18"/>
                <w:szCs w:val="18"/>
                <w:lang w:eastAsia="en-US"/>
              </w:rPr>
              <w:t>Targets</w:t>
            </w:r>
          </w:p>
        </w:tc>
      </w:tr>
      <w:tr w:rsidR="00FE3211" w:rsidRPr="009B4A78" w14:paraId="0A14AD3D" w14:textId="77777777" w:rsidTr="008D4CE9">
        <w:trPr>
          <w:trHeight w:val="853"/>
        </w:trPr>
        <w:tc>
          <w:tcPr>
            <w:tcW w:w="2000" w:type="dxa"/>
            <w:vMerge w:val="restart"/>
            <w:tcBorders>
              <w:top w:val="nil"/>
              <w:left w:val="single" w:sz="4" w:space="0" w:color="auto"/>
              <w:bottom w:val="nil"/>
              <w:right w:val="nil"/>
            </w:tcBorders>
            <w:shd w:val="clear" w:color="000000" w:fill="FFFFFF"/>
            <w:hideMark/>
          </w:tcPr>
          <w:p w14:paraId="1EE64843" w14:textId="7C1BC8BE" w:rsidR="00B72EB9" w:rsidRPr="009B4A78" w:rsidRDefault="007100C9" w:rsidP="008C4584">
            <w:pPr>
              <w:keepNext/>
              <w:keepLines/>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br/>
            </w:r>
            <w:r w:rsidR="00B72EB9" w:rsidRPr="009B4A78">
              <w:rPr>
                <w:rFonts w:ascii="Arial" w:eastAsia="Times New Roman" w:hAnsi="Arial" w:cs="Arial"/>
                <w:color w:val="000000"/>
                <w:sz w:val="16"/>
                <w:szCs w:val="16"/>
                <w:lang w:eastAsia="en-US"/>
              </w:rPr>
              <w:t xml:space="preserve">I.1 Enhanced cooperation among Member States on development of balanced international normative frameworks for IP </w:t>
            </w:r>
          </w:p>
        </w:tc>
        <w:tc>
          <w:tcPr>
            <w:tcW w:w="2977" w:type="dxa"/>
            <w:tcBorders>
              <w:top w:val="nil"/>
              <w:left w:val="nil"/>
              <w:bottom w:val="nil"/>
              <w:right w:val="nil"/>
            </w:tcBorders>
            <w:shd w:val="clear" w:color="000000" w:fill="FFFFFF"/>
            <w:hideMark/>
          </w:tcPr>
          <w:p w14:paraId="036EE48C" w14:textId="77777777" w:rsidR="00B72EB9" w:rsidRPr="009B4A78" w:rsidRDefault="00B72EB9" w:rsidP="008C4584">
            <w:pPr>
              <w:keepNext/>
              <w:keepLines/>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br/>
              <w:t>Progress on the implementation of agreed work according to SCP Agenda</w:t>
            </w:r>
          </w:p>
        </w:tc>
        <w:tc>
          <w:tcPr>
            <w:tcW w:w="2551" w:type="dxa"/>
            <w:tcBorders>
              <w:top w:val="nil"/>
              <w:left w:val="nil"/>
              <w:bottom w:val="nil"/>
              <w:right w:val="nil"/>
            </w:tcBorders>
            <w:shd w:val="clear" w:color="000000" w:fill="FFFFFF"/>
            <w:hideMark/>
          </w:tcPr>
          <w:p w14:paraId="504276CC" w14:textId="77777777" w:rsidR="00B72EB9" w:rsidRPr="009B4A78" w:rsidRDefault="00B72EB9" w:rsidP="008C4584">
            <w:pPr>
              <w:keepNext/>
              <w:keepLines/>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br/>
              <w:t>Current state of work in the Committee as documented by SCP/21 Report</w:t>
            </w:r>
          </w:p>
        </w:tc>
        <w:tc>
          <w:tcPr>
            <w:tcW w:w="1701" w:type="dxa"/>
            <w:tcBorders>
              <w:top w:val="nil"/>
              <w:left w:val="nil"/>
              <w:bottom w:val="nil"/>
              <w:right w:val="single" w:sz="4" w:space="0" w:color="auto"/>
            </w:tcBorders>
            <w:shd w:val="clear" w:color="000000" w:fill="FFFFFF"/>
            <w:hideMark/>
          </w:tcPr>
          <w:p w14:paraId="20D442D5" w14:textId="77777777" w:rsidR="00B72EB9" w:rsidRPr="009B4A78" w:rsidRDefault="00B72EB9" w:rsidP="008C4584">
            <w:pPr>
              <w:keepNext/>
              <w:keepLines/>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br/>
              <w:t>SCP agreed outcomes</w:t>
            </w:r>
          </w:p>
        </w:tc>
      </w:tr>
      <w:tr w:rsidR="00FE3211" w:rsidRPr="009B4A78" w14:paraId="3F2F624E" w14:textId="77777777" w:rsidTr="00BA43A0">
        <w:trPr>
          <w:trHeight w:val="909"/>
        </w:trPr>
        <w:tc>
          <w:tcPr>
            <w:tcW w:w="2000" w:type="dxa"/>
            <w:vMerge/>
            <w:tcBorders>
              <w:top w:val="nil"/>
              <w:left w:val="single" w:sz="4" w:space="0" w:color="auto"/>
              <w:bottom w:val="nil"/>
              <w:right w:val="nil"/>
            </w:tcBorders>
            <w:vAlign w:val="center"/>
            <w:hideMark/>
          </w:tcPr>
          <w:p w14:paraId="5646B80E" w14:textId="77777777" w:rsidR="00B72EB9" w:rsidRPr="009B4A78" w:rsidRDefault="00B72EB9" w:rsidP="00B72EB9">
            <w:pPr>
              <w:rPr>
                <w:rFonts w:ascii="Arial" w:eastAsia="Times New Roman" w:hAnsi="Arial" w:cs="Arial"/>
                <w:color w:val="000000"/>
                <w:sz w:val="16"/>
                <w:szCs w:val="16"/>
                <w:lang w:eastAsia="en-US"/>
              </w:rPr>
            </w:pPr>
          </w:p>
        </w:tc>
        <w:tc>
          <w:tcPr>
            <w:tcW w:w="2977" w:type="dxa"/>
            <w:tcBorders>
              <w:top w:val="nil"/>
              <w:left w:val="nil"/>
              <w:bottom w:val="nil"/>
              <w:right w:val="nil"/>
            </w:tcBorders>
            <w:shd w:val="clear" w:color="000000" w:fill="FFFFFF"/>
            <w:hideMark/>
          </w:tcPr>
          <w:p w14:paraId="720FC215" w14:textId="77777777" w:rsidR="00B72EB9"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Level of satisfaction of participants in targeted workshops/seminars held on specific patent related topics</w:t>
            </w:r>
          </w:p>
        </w:tc>
        <w:tc>
          <w:tcPr>
            <w:tcW w:w="2551" w:type="dxa"/>
            <w:tcBorders>
              <w:top w:val="nil"/>
              <w:left w:val="nil"/>
              <w:bottom w:val="nil"/>
              <w:right w:val="nil"/>
            </w:tcBorders>
            <w:shd w:val="clear" w:color="000000" w:fill="FFFFFF"/>
            <w:hideMark/>
          </w:tcPr>
          <w:p w14:paraId="61958707" w14:textId="2B809774" w:rsidR="00B72EB9" w:rsidRPr="009B4A78" w:rsidRDefault="00B72EB9" w:rsidP="00B72EB9">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92</w:t>
            </w:r>
            <w:r w:rsidR="006919D4">
              <w:rPr>
                <w:rFonts w:ascii="Arial" w:eastAsia="Times New Roman" w:hAnsi="Arial" w:cs="Arial"/>
                <w:color w:val="000000"/>
                <w:sz w:val="16"/>
                <w:szCs w:val="16"/>
                <w:lang w:eastAsia="en-US"/>
              </w:rPr>
              <w:t>.</w:t>
            </w:r>
            <w:r w:rsidRPr="009B4A78">
              <w:rPr>
                <w:rFonts w:ascii="Arial" w:eastAsia="Times New Roman" w:hAnsi="Arial" w:cs="Arial"/>
                <w:color w:val="000000"/>
                <w:sz w:val="16"/>
                <w:szCs w:val="16"/>
                <w:lang w:eastAsia="en-US"/>
              </w:rPr>
              <w:t>75 % - 2014 survey</w:t>
            </w:r>
          </w:p>
        </w:tc>
        <w:tc>
          <w:tcPr>
            <w:tcW w:w="1701" w:type="dxa"/>
            <w:tcBorders>
              <w:top w:val="nil"/>
              <w:left w:val="nil"/>
              <w:bottom w:val="nil"/>
              <w:right w:val="single" w:sz="4" w:space="0" w:color="auto"/>
            </w:tcBorders>
            <w:shd w:val="clear" w:color="000000" w:fill="FFFFFF"/>
            <w:hideMark/>
          </w:tcPr>
          <w:p w14:paraId="406A0ADC" w14:textId="77777777" w:rsidR="00B72EB9" w:rsidRPr="009B4A78" w:rsidRDefault="00B72EB9" w:rsidP="00BA43A0">
            <w:pPr>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90%</w:t>
            </w:r>
          </w:p>
        </w:tc>
      </w:tr>
      <w:tr w:rsidR="00FE3211" w:rsidRPr="009B4A78" w14:paraId="01C46F56" w14:textId="77777777" w:rsidTr="008D4CE9">
        <w:trPr>
          <w:trHeight w:val="648"/>
        </w:trPr>
        <w:tc>
          <w:tcPr>
            <w:tcW w:w="2000" w:type="dxa"/>
            <w:vMerge/>
            <w:tcBorders>
              <w:top w:val="nil"/>
              <w:left w:val="single" w:sz="4" w:space="0" w:color="auto"/>
              <w:bottom w:val="nil"/>
              <w:right w:val="nil"/>
            </w:tcBorders>
            <w:vAlign w:val="center"/>
            <w:hideMark/>
          </w:tcPr>
          <w:p w14:paraId="17DB0FA6" w14:textId="77777777" w:rsidR="00B72EB9" w:rsidRPr="009B4A78" w:rsidRDefault="00B72EB9" w:rsidP="00B72EB9">
            <w:pPr>
              <w:rPr>
                <w:rFonts w:ascii="Arial" w:eastAsia="Times New Roman" w:hAnsi="Arial" w:cs="Arial"/>
                <w:color w:val="000000"/>
                <w:sz w:val="16"/>
                <w:szCs w:val="16"/>
                <w:lang w:eastAsia="en-US"/>
              </w:rPr>
            </w:pPr>
          </w:p>
        </w:tc>
        <w:tc>
          <w:tcPr>
            <w:tcW w:w="2977" w:type="dxa"/>
            <w:tcBorders>
              <w:top w:val="nil"/>
              <w:left w:val="nil"/>
              <w:bottom w:val="nil"/>
              <w:right w:val="nil"/>
            </w:tcBorders>
            <w:shd w:val="clear" w:color="000000" w:fill="FFFFFF"/>
            <w:hideMark/>
          </w:tcPr>
          <w:p w14:paraId="49F40774" w14:textId="77777777" w:rsidR="00B72EB9"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Level of satisfaction of participants in the Inventor Assistant Program (IAP)</w:t>
            </w:r>
          </w:p>
        </w:tc>
        <w:tc>
          <w:tcPr>
            <w:tcW w:w="2551" w:type="dxa"/>
            <w:tcBorders>
              <w:top w:val="nil"/>
              <w:left w:val="nil"/>
              <w:bottom w:val="nil"/>
              <w:right w:val="nil"/>
            </w:tcBorders>
            <w:shd w:val="clear" w:color="000000" w:fill="FFFFFF"/>
            <w:hideMark/>
          </w:tcPr>
          <w:p w14:paraId="31CED72A" w14:textId="08D44630" w:rsidR="00B72EB9" w:rsidRPr="009B4A78" w:rsidRDefault="00955F53" w:rsidP="00955F53">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n</w:t>
            </w:r>
            <w:r w:rsidR="00B72EB9" w:rsidRPr="009B4A78">
              <w:rPr>
                <w:rFonts w:ascii="Arial" w:eastAsia="Times New Roman" w:hAnsi="Arial" w:cs="Arial"/>
                <w:color w:val="000000"/>
                <w:sz w:val="16"/>
                <w:szCs w:val="16"/>
                <w:lang w:eastAsia="en-US"/>
              </w:rPr>
              <w:t>/</w:t>
            </w:r>
            <w:r w:rsidRPr="009B4A78">
              <w:rPr>
                <w:rFonts w:ascii="Arial" w:eastAsia="Times New Roman" w:hAnsi="Arial" w:cs="Arial"/>
                <w:color w:val="000000"/>
                <w:sz w:val="16"/>
                <w:szCs w:val="16"/>
                <w:lang w:eastAsia="en-US"/>
              </w:rPr>
              <w:t>a</w:t>
            </w:r>
          </w:p>
        </w:tc>
        <w:tc>
          <w:tcPr>
            <w:tcW w:w="1701" w:type="dxa"/>
            <w:tcBorders>
              <w:top w:val="nil"/>
              <w:left w:val="nil"/>
              <w:bottom w:val="nil"/>
              <w:right w:val="single" w:sz="4" w:space="0" w:color="auto"/>
            </w:tcBorders>
            <w:shd w:val="clear" w:color="000000" w:fill="FFFFFF"/>
            <w:hideMark/>
          </w:tcPr>
          <w:p w14:paraId="672140EB" w14:textId="77777777" w:rsidR="00B72EB9" w:rsidRPr="009B4A78" w:rsidRDefault="00B72EB9" w:rsidP="00BA43A0">
            <w:pPr>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90%</w:t>
            </w:r>
          </w:p>
        </w:tc>
      </w:tr>
      <w:tr w:rsidR="00FE3211" w:rsidRPr="009B4A78" w14:paraId="037BB8B2" w14:textId="77777777" w:rsidTr="00BA43A0">
        <w:trPr>
          <w:trHeight w:val="1251"/>
        </w:trPr>
        <w:tc>
          <w:tcPr>
            <w:tcW w:w="2000" w:type="dxa"/>
            <w:vMerge w:val="restart"/>
            <w:tcBorders>
              <w:top w:val="nil"/>
              <w:left w:val="single" w:sz="4" w:space="0" w:color="auto"/>
              <w:bottom w:val="nil"/>
              <w:right w:val="nil"/>
            </w:tcBorders>
            <w:shd w:val="clear" w:color="000000" w:fill="FFFFFF"/>
            <w:hideMark/>
          </w:tcPr>
          <w:p w14:paraId="67EFE24C" w14:textId="77777777" w:rsidR="00B72EB9" w:rsidRPr="009B4A78" w:rsidRDefault="00B72EB9" w:rsidP="00B72EB9">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I.2 Tailored and balanced IP legislative, regulatory and policy frameworks</w:t>
            </w:r>
          </w:p>
        </w:tc>
        <w:tc>
          <w:tcPr>
            <w:tcW w:w="2977" w:type="dxa"/>
            <w:tcBorders>
              <w:top w:val="nil"/>
              <w:left w:val="nil"/>
              <w:bottom w:val="nil"/>
              <w:right w:val="nil"/>
            </w:tcBorders>
            <w:shd w:val="clear" w:color="000000" w:fill="FFFFFF"/>
            <w:hideMark/>
          </w:tcPr>
          <w:p w14:paraId="637B9AD2" w14:textId="77777777" w:rsidR="00FE3211"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 of recipients which found information concerning legal principles and practices of the patent, utility model and integrated</w:t>
            </w:r>
          </w:p>
          <w:p w14:paraId="78C97651" w14:textId="17EF5E35" w:rsidR="00B72EB9"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 xml:space="preserve"> circuit systems, including the flexibilities, useful</w:t>
            </w:r>
          </w:p>
        </w:tc>
        <w:tc>
          <w:tcPr>
            <w:tcW w:w="2551" w:type="dxa"/>
            <w:tcBorders>
              <w:top w:val="nil"/>
              <w:left w:val="nil"/>
              <w:bottom w:val="nil"/>
              <w:right w:val="nil"/>
            </w:tcBorders>
            <w:shd w:val="clear" w:color="000000" w:fill="FFFFFF"/>
            <w:hideMark/>
          </w:tcPr>
          <w:p w14:paraId="63CD0A2B" w14:textId="2E7919DD" w:rsidR="00B72EB9" w:rsidRPr="009B4A78" w:rsidRDefault="00B72EB9" w:rsidP="00B72EB9">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7 countries/  participants (85</w:t>
            </w:r>
            <w:r w:rsidR="006919D4">
              <w:rPr>
                <w:rFonts w:ascii="Arial" w:eastAsia="Times New Roman" w:hAnsi="Arial" w:cs="Arial"/>
                <w:color w:val="000000"/>
                <w:sz w:val="16"/>
                <w:szCs w:val="16"/>
                <w:lang w:eastAsia="en-US"/>
              </w:rPr>
              <w:t>.</w:t>
            </w:r>
            <w:r w:rsidRPr="009B4A78">
              <w:rPr>
                <w:rFonts w:ascii="Arial" w:eastAsia="Times New Roman" w:hAnsi="Arial" w:cs="Arial"/>
                <w:color w:val="000000"/>
                <w:sz w:val="16"/>
                <w:szCs w:val="16"/>
                <w:lang w:eastAsia="en-US"/>
              </w:rPr>
              <w:t>7%) - 2014 survey</w:t>
            </w:r>
          </w:p>
        </w:tc>
        <w:tc>
          <w:tcPr>
            <w:tcW w:w="1701" w:type="dxa"/>
            <w:tcBorders>
              <w:top w:val="nil"/>
              <w:left w:val="nil"/>
              <w:bottom w:val="nil"/>
              <w:right w:val="single" w:sz="4" w:space="0" w:color="auto"/>
            </w:tcBorders>
            <w:shd w:val="clear" w:color="000000" w:fill="FFFFFF"/>
            <w:hideMark/>
          </w:tcPr>
          <w:p w14:paraId="4C0C007E" w14:textId="77777777" w:rsidR="00B72EB9" w:rsidRPr="009B4A78" w:rsidRDefault="00B72EB9" w:rsidP="00BA43A0">
            <w:pPr>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90%</w:t>
            </w:r>
          </w:p>
        </w:tc>
      </w:tr>
      <w:tr w:rsidR="00FE3211" w:rsidRPr="009B4A78" w14:paraId="4ED1C000" w14:textId="77777777" w:rsidTr="00BA43A0">
        <w:trPr>
          <w:trHeight w:val="639"/>
        </w:trPr>
        <w:tc>
          <w:tcPr>
            <w:tcW w:w="2000" w:type="dxa"/>
            <w:vMerge/>
            <w:tcBorders>
              <w:top w:val="nil"/>
              <w:left w:val="single" w:sz="4" w:space="0" w:color="auto"/>
              <w:bottom w:val="nil"/>
              <w:right w:val="nil"/>
            </w:tcBorders>
            <w:vAlign w:val="center"/>
            <w:hideMark/>
          </w:tcPr>
          <w:p w14:paraId="3C692CC0" w14:textId="77777777" w:rsidR="00B72EB9" w:rsidRPr="009B4A78" w:rsidRDefault="00B72EB9" w:rsidP="00B72EB9">
            <w:pPr>
              <w:rPr>
                <w:rFonts w:ascii="Arial" w:eastAsia="Times New Roman" w:hAnsi="Arial" w:cs="Arial"/>
                <w:color w:val="000000"/>
                <w:sz w:val="16"/>
                <w:szCs w:val="16"/>
                <w:lang w:eastAsia="en-US"/>
              </w:rPr>
            </w:pPr>
          </w:p>
        </w:tc>
        <w:tc>
          <w:tcPr>
            <w:tcW w:w="2977" w:type="dxa"/>
            <w:tcBorders>
              <w:top w:val="nil"/>
              <w:left w:val="nil"/>
              <w:bottom w:val="nil"/>
              <w:right w:val="nil"/>
            </w:tcBorders>
            <w:shd w:val="clear" w:color="000000" w:fill="FFFFFF"/>
            <w:hideMark/>
          </w:tcPr>
          <w:p w14:paraId="29E6A269" w14:textId="03C7C407" w:rsidR="00B72EB9"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No. and % of M</w:t>
            </w:r>
            <w:r w:rsidR="0076547C" w:rsidRPr="009B4A78">
              <w:rPr>
                <w:rFonts w:ascii="Arial" w:eastAsia="Times New Roman" w:hAnsi="Arial" w:cs="Arial"/>
                <w:color w:val="000000"/>
                <w:sz w:val="16"/>
                <w:szCs w:val="16"/>
                <w:lang w:eastAsia="en-US"/>
              </w:rPr>
              <w:t>ember States</w:t>
            </w:r>
            <w:r w:rsidRPr="009B4A78">
              <w:rPr>
                <w:rFonts w:ascii="Arial" w:eastAsia="Times New Roman" w:hAnsi="Arial" w:cs="Arial"/>
                <w:color w:val="000000"/>
                <w:sz w:val="16"/>
                <w:szCs w:val="16"/>
                <w:lang w:eastAsia="en-US"/>
              </w:rPr>
              <w:t xml:space="preserve"> satisfied with the legislative and policy advice provided</w:t>
            </w:r>
            <w:r w:rsidRPr="009B4A78">
              <w:rPr>
                <w:rFonts w:ascii="Arial" w:eastAsia="Times New Roman" w:hAnsi="Arial" w:cs="Arial"/>
                <w:color w:val="000000"/>
                <w:sz w:val="16"/>
                <w:szCs w:val="16"/>
                <w:lang w:eastAsia="en-US"/>
              </w:rPr>
              <w:br/>
              <w:t xml:space="preserve"> </w:t>
            </w:r>
          </w:p>
        </w:tc>
        <w:tc>
          <w:tcPr>
            <w:tcW w:w="2551" w:type="dxa"/>
            <w:tcBorders>
              <w:top w:val="nil"/>
              <w:left w:val="nil"/>
              <w:bottom w:val="nil"/>
              <w:right w:val="nil"/>
            </w:tcBorders>
            <w:shd w:val="clear" w:color="000000" w:fill="FFFFFF"/>
            <w:hideMark/>
          </w:tcPr>
          <w:p w14:paraId="0FF155C3" w14:textId="473CDFDD" w:rsidR="00B72EB9" w:rsidRPr="009B4A78" w:rsidRDefault="00B72EB9" w:rsidP="00420985">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8 M</w:t>
            </w:r>
            <w:r w:rsidR="00420985" w:rsidRPr="009B4A78">
              <w:rPr>
                <w:rFonts w:ascii="Arial" w:eastAsia="Times New Roman" w:hAnsi="Arial" w:cs="Arial"/>
                <w:color w:val="000000"/>
                <w:sz w:val="16"/>
                <w:szCs w:val="16"/>
                <w:lang w:eastAsia="en-US"/>
              </w:rPr>
              <w:t xml:space="preserve">ember States </w:t>
            </w:r>
            <w:r w:rsidRPr="009B4A78">
              <w:rPr>
                <w:rFonts w:ascii="Arial" w:eastAsia="Times New Roman" w:hAnsi="Arial" w:cs="Arial"/>
                <w:color w:val="000000"/>
                <w:sz w:val="16"/>
                <w:szCs w:val="16"/>
                <w:lang w:eastAsia="en-US"/>
              </w:rPr>
              <w:t>(90 %) - 2014 survey</w:t>
            </w:r>
          </w:p>
        </w:tc>
        <w:tc>
          <w:tcPr>
            <w:tcW w:w="1701" w:type="dxa"/>
            <w:tcBorders>
              <w:top w:val="nil"/>
              <w:left w:val="nil"/>
              <w:bottom w:val="nil"/>
              <w:right w:val="single" w:sz="4" w:space="0" w:color="auto"/>
            </w:tcBorders>
            <w:shd w:val="clear" w:color="000000" w:fill="FFFFFF"/>
            <w:hideMark/>
          </w:tcPr>
          <w:p w14:paraId="3873D57C" w14:textId="77777777" w:rsidR="00B72EB9" w:rsidRPr="009B4A78" w:rsidRDefault="00B72EB9" w:rsidP="00BA43A0">
            <w:pPr>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90%</w:t>
            </w:r>
          </w:p>
        </w:tc>
      </w:tr>
      <w:tr w:rsidR="00FE3211" w:rsidRPr="009B4A78" w14:paraId="164852A5" w14:textId="77777777" w:rsidTr="00BA43A0">
        <w:trPr>
          <w:trHeight w:val="1407"/>
        </w:trPr>
        <w:tc>
          <w:tcPr>
            <w:tcW w:w="2000" w:type="dxa"/>
            <w:tcBorders>
              <w:top w:val="nil"/>
              <w:left w:val="single" w:sz="4" w:space="0" w:color="auto"/>
              <w:bottom w:val="single" w:sz="4" w:space="0" w:color="auto"/>
              <w:right w:val="nil"/>
            </w:tcBorders>
            <w:shd w:val="clear" w:color="000000" w:fill="FFFFFF"/>
            <w:hideMark/>
          </w:tcPr>
          <w:p w14:paraId="4EF8A4AB" w14:textId="75B6A410" w:rsidR="00B72EB9" w:rsidRPr="009B4A78" w:rsidRDefault="00B72EB9" w:rsidP="00B72EB9">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 xml:space="preserve">I.4 Growing interest in WIPO as a forum for analysis of issues in relation to the international protection of </w:t>
            </w:r>
            <w:r w:rsidR="00CB4716">
              <w:rPr>
                <w:rFonts w:ascii="Arial" w:eastAsia="Times New Roman" w:hAnsi="Arial" w:cs="Arial"/>
                <w:color w:val="000000"/>
                <w:sz w:val="16"/>
                <w:szCs w:val="16"/>
                <w:lang w:eastAsia="en-US"/>
              </w:rPr>
              <w:t xml:space="preserve">patents, utility models, layout designs (topographies) of integrated circuits and </w:t>
            </w:r>
            <w:r w:rsidRPr="009B4A78">
              <w:rPr>
                <w:rFonts w:ascii="Arial" w:eastAsia="Times New Roman" w:hAnsi="Arial" w:cs="Arial"/>
                <w:color w:val="000000"/>
                <w:sz w:val="16"/>
                <w:szCs w:val="16"/>
                <w:lang w:eastAsia="en-US"/>
              </w:rPr>
              <w:t>confidential information</w:t>
            </w:r>
          </w:p>
        </w:tc>
        <w:tc>
          <w:tcPr>
            <w:tcW w:w="2977" w:type="dxa"/>
            <w:tcBorders>
              <w:top w:val="nil"/>
              <w:left w:val="nil"/>
              <w:bottom w:val="single" w:sz="4" w:space="0" w:color="auto"/>
              <w:right w:val="nil"/>
            </w:tcBorders>
            <w:shd w:val="clear" w:color="000000" w:fill="FFFFFF"/>
            <w:hideMark/>
          </w:tcPr>
          <w:p w14:paraId="33D21455" w14:textId="12A1B8A5" w:rsidR="00B72EB9" w:rsidRPr="009B4A78" w:rsidRDefault="00B72EB9" w:rsidP="00BA43A0">
            <w:pPr>
              <w:ind w:righ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 xml:space="preserve">% of recipients which found information concerning legal principles and practices on the protection of </w:t>
            </w:r>
            <w:r w:rsidR="00CB4716" w:rsidRPr="00CB4716">
              <w:rPr>
                <w:rFonts w:ascii="Arial" w:eastAsia="Times New Roman" w:hAnsi="Arial" w:cs="Arial"/>
                <w:color w:val="000000"/>
                <w:sz w:val="16"/>
                <w:szCs w:val="16"/>
                <w:lang w:eastAsia="en-US"/>
              </w:rPr>
              <w:t xml:space="preserve">utility models, layout designs (topographies) of integrated circuits and </w:t>
            </w:r>
            <w:r w:rsidRPr="009B4A78">
              <w:rPr>
                <w:rFonts w:ascii="Arial" w:eastAsia="Times New Roman" w:hAnsi="Arial" w:cs="Arial"/>
                <w:color w:val="000000"/>
                <w:sz w:val="16"/>
                <w:szCs w:val="16"/>
                <w:lang w:eastAsia="en-US"/>
              </w:rPr>
              <w:t>confidential information, useful</w:t>
            </w:r>
          </w:p>
        </w:tc>
        <w:tc>
          <w:tcPr>
            <w:tcW w:w="2551" w:type="dxa"/>
            <w:tcBorders>
              <w:top w:val="nil"/>
              <w:left w:val="nil"/>
              <w:bottom w:val="single" w:sz="4" w:space="0" w:color="auto"/>
              <w:right w:val="nil"/>
            </w:tcBorders>
            <w:shd w:val="clear" w:color="000000" w:fill="FFFFFF"/>
            <w:hideMark/>
          </w:tcPr>
          <w:p w14:paraId="1D62BD0C" w14:textId="3D5BB7E7" w:rsidR="00B72EB9" w:rsidRPr="009B4A78" w:rsidRDefault="00955F53" w:rsidP="00955F53">
            <w:pPr>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n</w:t>
            </w:r>
            <w:r w:rsidR="00B72EB9" w:rsidRPr="009B4A78">
              <w:rPr>
                <w:rFonts w:ascii="Arial" w:eastAsia="Times New Roman" w:hAnsi="Arial" w:cs="Arial"/>
                <w:color w:val="000000"/>
                <w:sz w:val="16"/>
                <w:szCs w:val="16"/>
                <w:lang w:eastAsia="en-US"/>
              </w:rPr>
              <w:t>/</w:t>
            </w:r>
            <w:r w:rsidRPr="009B4A78">
              <w:rPr>
                <w:rFonts w:ascii="Arial" w:eastAsia="Times New Roman" w:hAnsi="Arial" w:cs="Arial"/>
                <w:color w:val="000000"/>
                <w:sz w:val="16"/>
                <w:szCs w:val="16"/>
                <w:lang w:eastAsia="en-US"/>
              </w:rPr>
              <w:t>a</w:t>
            </w:r>
          </w:p>
        </w:tc>
        <w:tc>
          <w:tcPr>
            <w:tcW w:w="1701" w:type="dxa"/>
            <w:tcBorders>
              <w:top w:val="nil"/>
              <w:left w:val="nil"/>
              <w:bottom w:val="single" w:sz="4" w:space="0" w:color="auto"/>
              <w:right w:val="single" w:sz="4" w:space="0" w:color="auto"/>
            </w:tcBorders>
            <w:shd w:val="clear" w:color="000000" w:fill="FFFFFF"/>
            <w:hideMark/>
          </w:tcPr>
          <w:p w14:paraId="6FFB49BA" w14:textId="21B7F765" w:rsidR="00B72EB9" w:rsidRPr="009B4A78" w:rsidRDefault="00D9129C" w:rsidP="00BA43A0">
            <w:pPr>
              <w:ind w:left="176"/>
              <w:rPr>
                <w:rFonts w:ascii="Arial" w:eastAsia="Times New Roman" w:hAnsi="Arial" w:cs="Arial"/>
                <w:color w:val="000000"/>
                <w:sz w:val="16"/>
                <w:szCs w:val="16"/>
                <w:lang w:eastAsia="en-US"/>
              </w:rPr>
            </w:pPr>
            <w:r w:rsidRPr="009B4A78">
              <w:rPr>
                <w:rFonts w:ascii="Arial" w:eastAsia="Times New Roman" w:hAnsi="Arial" w:cs="Arial"/>
                <w:color w:val="000000"/>
                <w:sz w:val="16"/>
                <w:szCs w:val="16"/>
                <w:lang w:eastAsia="en-US"/>
              </w:rPr>
              <w:t>90%</w:t>
            </w:r>
          </w:p>
        </w:tc>
      </w:tr>
    </w:tbl>
    <w:p w14:paraId="4CF6C55D" w14:textId="659345A9" w:rsidR="00052E4C" w:rsidRDefault="00052E4C" w:rsidP="00052E4C">
      <w:pPr>
        <w:autoSpaceDE w:val="0"/>
        <w:autoSpaceDN w:val="0"/>
        <w:rPr>
          <w:rFonts w:ascii="Arial" w:hAnsi="Arial" w:cs="Arial"/>
        </w:rPr>
      </w:pPr>
    </w:p>
    <w:p w14:paraId="2E76B186" w14:textId="77777777" w:rsidR="005544D2" w:rsidRDefault="005544D2" w:rsidP="00052E4C">
      <w:pPr>
        <w:autoSpaceDE w:val="0"/>
        <w:autoSpaceDN w:val="0"/>
        <w:rPr>
          <w:rFonts w:ascii="Arial" w:hAnsi="Arial" w:cs="Arial"/>
        </w:rPr>
      </w:pPr>
    </w:p>
    <w:p w14:paraId="2636A16D" w14:textId="2CC0853D" w:rsidR="00974839" w:rsidRPr="009B4A78" w:rsidRDefault="009E2D75" w:rsidP="00FB68E0">
      <w:pPr>
        <w:keepNext/>
        <w:keepLines/>
        <w:autoSpaceDE w:val="0"/>
        <w:autoSpaceDN w:val="0"/>
        <w:rPr>
          <w:rFonts w:ascii="Arial" w:hAnsi="Arial" w:cs="Arial"/>
        </w:rPr>
      </w:pPr>
      <w:r w:rsidRPr="009B4A78">
        <w:rPr>
          <w:rFonts w:ascii="Arial" w:hAnsi="Arial" w:cs="Arial"/>
        </w:rPr>
        <w:t>RESOURCES FOR PROGRAM 1</w:t>
      </w:r>
    </w:p>
    <w:p w14:paraId="423F962A" w14:textId="77777777" w:rsidR="00C52B8B" w:rsidRPr="009B4A78" w:rsidRDefault="00C52B8B" w:rsidP="00FB68E0">
      <w:pPr>
        <w:keepNext/>
        <w:keepLines/>
        <w:autoSpaceDE w:val="0"/>
        <w:autoSpaceDN w:val="0"/>
        <w:rPr>
          <w:rFonts w:ascii="Arial" w:hAnsi="Arial" w:cs="Arial"/>
        </w:rPr>
      </w:pPr>
    </w:p>
    <w:p w14:paraId="1C708F65" w14:textId="5B7E81FC" w:rsidR="00C52B8B" w:rsidRPr="00FB68E0" w:rsidRDefault="00994F76" w:rsidP="00FB68E0">
      <w:pPr>
        <w:keepNext/>
        <w:keepLines/>
        <w:autoSpaceDE w:val="0"/>
        <w:autoSpaceDN w:val="0"/>
        <w:jc w:val="both"/>
        <w:rPr>
          <w:rFonts w:ascii="Arial" w:hAnsi="Arial" w:cs="Arial"/>
          <w:sz w:val="20"/>
          <w:szCs w:val="20"/>
        </w:rPr>
      </w:pPr>
      <w:r>
        <w:rPr>
          <w:rFonts w:ascii="Arial" w:hAnsi="Arial" w:cs="Arial"/>
          <w:sz w:val="20"/>
          <w:szCs w:val="20"/>
        </w:rPr>
        <w:t>1.5</w:t>
      </w:r>
      <w:r>
        <w:rPr>
          <w:rFonts w:ascii="Arial" w:hAnsi="Arial" w:cs="Arial"/>
          <w:sz w:val="20"/>
          <w:szCs w:val="20"/>
        </w:rPr>
        <w:tab/>
      </w:r>
      <w:r w:rsidR="00C52B8B" w:rsidRPr="00FB68E0">
        <w:rPr>
          <w:rFonts w:ascii="Arial" w:hAnsi="Arial" w:cs="Arial"/>
          <w:sz w:val="20"/>
          <w:szCs w:val="20"/>
        </w:rPr>
        <w:t>The slight increase in the overall resources for Program 1 in 2016/17 compared to the 2014/15 Budget after Transfers, is the result of</w:t>
      </w:r>
      <w:r w:rsidR="00F87E08">
        <w:rPr>
          <w:rFonts w:ascii="Arial" w:hAnsi="Arial" w:cs="Arial"/>
          <w:sz w:val="20"/>
          <w:szCs w:val="20"/>
        </w:rPr>
        <w:t xml:space="preserve"> (i) </w:t>
      </w:r>
      <w:r w:rsidR="00C52B8B" w:rsidRPr="00FB68E0">
        <w:rPr>
          <w:rFonts w:ascii="Arial" w:hAnsi="Arial" w:cs="Arial"/>
          <w:sz w:val="20"/>
          <w:szCs w:val="20"/>
        </w:rPr>
        <w:t xml:space="preserve">the transfer of responsibilities for patent drafting to the Program from Program 30 (SMEs and Entrepreneurship </w:t>
      </w:r>
      <w:r w:rsidR="00F87E08">
        <w:rPr>
          <w:rFonts w:ascii="Arial" w:hAnsi="Arial" w:cs="Arial"/>
          <w:sz w:val="20"/>
          <w:szCs w:val="20"/>
        </w:rPr>
        <w:t>S</w:t>
      </w:r>
      <w:r w:rsidR="00C52B8B" w:rsidRPr="00FB68E0">
        <w:rPr>
          <w:rFonts w:ascii="Arial" w:hAnsi="Arial" w:cs="Arial"/>
          <w:sz w:val="20"/>
          <w:szCs w:val="20"/>
        </w:rPr>
        <w:t xml:space="preserve">upport) and (ii) activities linked to </w:t>
      </w:r>
      <w:r w:rsidR="00C52B8B" w:rsidRPr="009B4A78">
        <w:rPr>
          <w:rFonts w:ascii="Arial" w:hAnsi="Arial" w:cs="Arial"/>
          <w:sz w:val="20"/>
          <w:szCs w:val="20"/>
        </w:rPr>
        <w:t xml:space="preserve">addressing issues relating to protection of </w:t>
      </w:r>
      <w:r w:rsidRPr="00994F76">
        <w:rPr>
          <w:rFonts w:ascii="Arial" w:hAnsi="Arial" w:cs="Arial"/>
          <w:sz w:val="20"/>
          <w:szCs w:val="20"/>
        </w:rPr>
        <w:t xml:space="preserve">patents, utility models, layout designs (topographies) of integrated circuits and </w:t>
      </w:r>
      <w:r w:rsidR="00C52B8B" w:rsidRPr="009B4A78">
        <w:rPr>
          <w:rFonts w:ascii="Arial" w:hAnsi="Arial" w:cs="Arial"/>
          <w:sz w:val="20"/>
          <w:szCs w:val="20"/>
        </w:rPr>
        <w:t>confidential information in the context of promotion of innovation and dissemination of technology</w:t>
      </w:r>
      <w:r w:rsidR="00C52B8B" w:rsidRPr="00FB68E0">
        <w:rPr>
          <w:rFonts w:ascii="Arial" w:hAnsi="Arial" w:cs="Arial"/>
          <w:sz w:val="20"/>
          <w:szCs w:val="20"/>
        </w:rPr>
        <w:t>.</w:t>
      </w:r>
    </w:p>
    <w:p w14:paraId="37044122" w14:textId="77777777" w:rsidR="00963C41" w:rsidRPr="009B4A78" w:rsidRDefault="00963C41" w:rsidP="00FB68E0">
      <w:pPr>
        <w:keepNext/>
        <w:keepLines/>
        <w:autoSpaceDE w:val="0"/>
        <w:autoSpaceDN w:val="0"/>
        <w:jc w:val="center"/>
        <w:rPr>
          <w:rFonts w:ascii="Arial" w:hAnsi="Arial" w:cs="Arial"/>
          <w:b/>
          <w:sz w:val="20"/>
        </w:rPr>
      </w:pPr>
    </w:p>
    <w:p w14:paraId="3D31A006" w14:textId="45ADC646" w:rsidR="00974839" w:rsidRPr="00191706" w:rsidRDefault="00974839" w:rsidP="00CC543A">
      <w:pPr>
        <w:keepNext/>
        <w:keepLines/>
        <w:autoSpaceDE w:val="0"/>
        <w:autoSpaceDN w:val="0"/>
        <w:jc w:val="center"/>
        <w:rPr>
          <w:rFonts w:ascii="Arial" w:hAnsi="Arial" w:cs="Arial"/>
          <w:b/>
          <w:sz w:val="20"/>
        </w:rPr>
      </w:pPr>
      <w:r w:rsidRPr="002B754A">
        <w:rPr>
          <w:rFonts w:ascii="Arial" w:hAnsi="Arial" w:cs="Arial"/>
          <w:b/>
          <w:sz w:val="20"/>
        </w:rPr>
        <w:t>Program 1: Resources by Result</w:t>
      </w:r>
    </w:p>
    <w:p w14:paraId="33D4CDE3" w14:textId="77777777" w:rsidR="00974839" w:rsidRPr="009B4A78" w:rsidRDefault="00974839" w:rsidP="00CC543A">
      <w:pPr>
        <w:keepNext/>
        <w:keepLines/>
        <w:autoSpaceDE w:val="0"/>
        <w:autoSpaceDN w:val="0"/>
        <w:jc w:val="center"/>
        <w:rPr>
          <w:rFonts w:ascii="Arial" w:hAnsi="Arial" w:cs="Arial"/>
          <w:i/>
          <w:sz w:val="20"/>
        </w:rPr>
      </w:pPr>
      <w:r w:rsidRPr="002B754A">
        <w:rPr>
          <w:rFonts w:ascii="Arial" w:hAnsi="Arial" w:cs="Arial"/>
          <w:i/>
          <w:sz w:val="20"/>
        </w:rPr>
        <w:t>(In thousands of Swiss francs)</w:t>
      </w:r>
      <w:r w:rsidRPr="009B4A78">
        <w:rPr>
          <w:rFonts w:ascii="Arial" w:hAnsi="Arial" w:cs="Arial"/>
          <w:i/>
          <w:sz w:val="20"/>
        </w:rPr>
        <w:t xml:space="preserve"> </w:t>
      </w:r>
    </w:p>
    <w:p w14:paraId="05EB50CA" w14:textId="77777777" w:rsidR="00974839" w:rsidRPr="009B4A78" w:rsidRDefault="00974839" w:rsidP="00CC543A">
      <w:pPr>
        <w:keepNext/>
        <w:keepLines/>
        <w:autoSpaceDE w:val="0"/>
        <w:autoSpaceDN w:val="0"/>
        <w:rPr>
          <w:rFonts w:ascii="Arial" w:hAnsi="Arial" w:cs="Arial"/>
        </w:rPr>
      </w:pPr>
    </w:p>
    <w:p w14:paraId="3F9C1226" w14:textId="5580BFF0" w:rsidR="00634A29" w:rsidRPr="009B4A78" w:rsidRDefault="002B754A" w:rsidP="008D4CE9">
      <w:pPr>
        <w:autoSpaceDE w:val="0"/>
        <w:autoSpaceDN w:val="0"/>
        <w:jc w:val="center"/>
        <w:rPr>
          <w:rFonts w:ascii="Arial" w:hAnsi="Arial" w:cs="Arial"/>
          <w:b/>
          <w:sz w:val="20"/>
        </w:rPr>
      </w:pPr>
      <w:r w:rsidRPr="002B754A">
        <w:rPr>
          <w:noProof/>
          <w:lang w:eastAsia="en-US"/>
        </w:rPr>
        <w:drawing>
          <wp:inline distT="0" distB="0" distL="0" distR="0" wp14:anchorId="2F26EEEE" wp14:editId="4D82D1BD">
            <wp:extent cx="5514975" cy="2281463"/>
            <wp:effectExtent l="0" t="0" r="0" b="508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17443" cy="2282484"/>
                    </a:xfrm>
                    <a:prstGeom prst="rect">
                      <a:avLst/>
                    </a:prstGeom>
                    <a:noFill/>
                    <a:ln>
                      <a:noFill/>
                    </a:ln>
                  </pic:spPr>
                </pic:pic>
              </a:graphicData>
            </a:graphic>
          </wp:inline>
        </w:drawing>
      </w:r>
    </w:p>
    <w:p w14:paraId="07B739A1" w14:textId="1E4C0A9B" w:rsidR="00B72EB9" w:rsidRPr="009B4A78" w:rsidRDefault="00CA3243" w:rsidP="00CC543A">
      <w:pPr>
        <w:keepNext/>
        <w:keepLines/>
        <w:autoSpaceDE w:val="0"/>
        <w:autoSpaceDN w:val="0"/>
        <w:jc w:val="center"/>
        <w:rPr>
          <w:rFonts w:ascii="Arial" w:hAnsi="Arial" w:cs="Arial"/>
          <w:b/>
          <w:sz w:val="20"/>
        </w:rPr>
      </w:pPr>
      <w:r w:rsidRPr="009B4A78">
        <w:rPr>
          <w:rFonts w:ascii="Arial" w:hAnsi="Arial" w:cs="Arial"/>
          <w:b/>
          <w:sz w:val="20"/>
        </w:rPr>
        <w:lastRenderedPageBreak/>
        <w:t>Program 1</w:t>
      </w:r>
      <w:r w:rsidR="00D5028B" w:rsidRPr="009B4A78">
        <w:rPr>
          <w:rFonts w:ascii="Arial" w:hAnsi="Arial" w:cs="Arial"/>
          <w:b/>
          <w:sz w:val="20"/>
        </w:rPr>
        <w:t xml:space="preserve">: </w:t>
      </w:r>
      <w:r w:rsidR="00634A29" w:rsidRPr="009B4A78">
        <w:rPr>
          <w:rFonts w:ascii="Arial" w:hAnsi="Arial" w:cs="Arial"/>
          <w:b/>
          <w:sz w:val="20"/>
        </w:rPr>
        <w:t>Resources by O</w:t>
      </w:r>
      <w:r w:rsidR="00D2539F" w:rsidRPr="009B4A78">
        <w:rPr>
          <w:rFonts w:ascii="Arial" w:hAnsi="Arial" w:cs="Arial"/>
          <w:b/>
          <w:sz w:val="20"/>
        </w:rPr>
        <w:t>bject of Expenditure</w:t>
      </w:r>
    </w:p>
    <w:p w14:paraId="663F9E2B" w14:textId="5B5417A4" w:rsidR="00D2539F" w:rsidRPr="009B4A78" w:rsidRDefault="00D2539F" w:rsidP="00CC543A">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4CCEE639" w14:textId="77777777" w:rsidR="001B78C9" w:rsidRPr="009B4A78" w:rsidRDefault="001B78C9" w:rsidP="00CC543A">
      <w:pPr>
        <w:keepNext/>
        <w:keepLines/>
        <w:autoSpaceDE w:val="0"/>
        <w:autoSpaceDN w:val="0"/>
        <w:jc w:val="center"/>
        <w:rPr>
          <w:rFonts w:ascii="Arial" w:hAnsi="Arial" w:cs="Arial"/>
          <w:i/>
          <w:sz w:val="20"/>
        </w:rPr>
      </w:pPr>
    </w:p>
    <w:p w14:paraId="31FE5754" w14:textId="77777777" w:rsidR="00052E4C" w:rsidRPr="009B4A78" w:rsidRDefault="00052E4C" w:rsidP="00CC543A">
      <w:pPr>
        <w:keepNext/>
        <w:keepLines/>
        <w:autoSpaceDE w:val="0"/>
        <w:autoSpaceDN w:val="0"/>
        <w:rPr>
          <w:rFonts w:ascii="Arial" w:hAnsi="Arial" w:cs="Arial"/>
        </w:rPr>
      </w:pPr>
    </w:p>
    <w:p w14:paraId="4117938A" w14:textId="2423FDD5" w:rsidR="004F3F15" w:rsidRPr="009B4A78" w:rsidRDefault="008D7E6A" w:rsidP="00CC543A">
      <w:pPr>
        <w:ind w:hanging="142"/>
        <w:jc w:val="center"/>
        <w:rPr>
          <w:rFonts w:ascii="Arial" w:hAnsi="Arial" w:cs="Arial"/>
          <w:sz w:val="20"/>
          <w:szCs w:val="20"/>
        </w:rPr>
      </w:pPr>
      <w:r w:rsidRPr="009B4A78">
        <w:rPr>
          <w:rFonts w:ascii="Arial" w:hAnsi="Arial" w:cs="Arial"/>
          <w:noProof/>
          <w:lang w:eastAsia="en-US"/>
        </w:rPr>
        <w:drawing>
          <wp:inline distT="0" distB="0" distL="0" distR="0" wp14:anchorId="26F44602" wp14:editId="3A843A6B">
            <wp:extent cx="5589767" cy="63154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89767" cy="6315453"/>
                    </a:xfrm>
                    <a:prstGeom prst="rect">
                      <a:avLst/>
                    </a:prstGeom>
                    <a:noFill/>
                    <a:ln>
                      <a:noFill/>
                    </a:ln>
                  </pic:spPr>
                </pic:pic>
              </a:graphicData>
            </a:graphic>
          </wp:inline>
        </w:drawing>
      </w:r>
    </w:p>
    <w:p w14:paraId="7BD20C68" w14:textId="77777777" w:rsidR="00CC543A" w:rsidRPr="009B4A78" w:rsidRDefault="00CC543A" w:rsidP="00CC543A">
      <w:pPr>
        <w:ind w:hanging="142"/>
        <w:rPr>
          <w:rFonts w:ascii="Arial" w:hAnsi="Arial" w:cs="Arial"/>
          <w:sz w:val="20"/>
          <w:szCs w:val="20"/>
        </w:rPr>
      </w:pPr>
    </w:p>
    <w:p w14:paraId="4432F1D5" w14:textId="7174628D" w:rsidR="00CC543A" w:rsidRPr="009B4A78" w:rsidRDefault="00CC543A">
      <w:pPr>
        <w:rPr>
          <w:rFonts w:ascii="Arial" w:hAnsi="Arial" w:cs="Arial"/>
          <w:sz w:val="20"/>
          <w:szCs w:val="20"/>
        </w:rPr>
      </w:pPr>
      <w:r w:rsidRPr="009B4A78">
        <w:rPr>
          <w:rFonts w:ascii="Arial" w:hAnsi="Arial" w:cs="Arial"/>
          <w:sz w:val="20"/>
          <w:szCs w:val="20"/>
        </w:rPr>
        <w:br w:type="page"/>
      </w:r>
    </w:p>
    <w:p w14:paraId="7970A224" w14:textId="77777777" w:rsidR="00CC543A" w:rsidRPr="009B4A78" w:rsidRDefault="00CC543A" w:rsidP="00F33E49">
      <w:pPr>
        <w:pStyle w:val="StyleHeading3ComplexItalic"/>
        <w:tabs>
          <w:tab w:val="clear" w:pos="1985"/>
          <w:tab w:val="left" w:pos="1843"/>
        </w:tabs>
        <w:ind w:left="1843" w:hanging="1843"/>
        <w:rPr>
          <w:rStyle w:val="StyleStyleHeading3ComplexItalicLatin12ptChar"/>
          <w:rFonts w:eastAsia="SimSun"/>
          <w:b/>
        </w:rPr>
      </w:pPr>
      <w:bookmarkStart w:id="26" w:name="_Toc427154396"/>
      <w:r w:rsidRPr="009B4A78">
        <w:rPr>
          <w:rStyle w:val="StyleStyleHeading3ComplexItalicLatin12ptChar"/>
          <w:rFonts w:eastAsia="SimSun"/>
          <w:b/>
        </w:rPr>
        <w:lastRenderedPageBreak/>
        <w:t>PROGRAM 2</w:t>
      </w:r>
      <w:r w:rsidRPr="009B4A78">
        <w:rPr>
          <w:rStyle w:val="StyleStyleHeading3ComplexItalicLatin12ptChar"/>
          <w:rFonts w:eastAsia="SimSun"/>
          <w:b/>
        </w:rPr>
        <w:tab/>
        <w:t>TRADEMARKS, INDUSTRIAL DESIGNS AND GEOGRAPHICAL INDICATIONS</w:t>
      </w:r>
      <w:bookmarkEnd w:id="26"/>
    </w:p>
    <w:p w14:paraId="7109419A" w14:textId="77777777" w:rsidR="00CC543A" w:rsidRPr="009B4A78" w:rsidRDefault="00CC543A" w:rsidP="00F33E49">
      <w:pPr>
        <w:pStyle w:val="BodyText"/>
        <w:spacing w:after="0"/>
      </w:pPr>
    </w:p>
    <w:p w14:paraId="0B269AD3" w14:textId="77777777" w:rsidR="00CC543A" w:rsidRPr="009B4A78" w:rsidRDefault="00CC543A" w:rsidP="00F33E49">
      <w:pPr>
        <w:pStyle w:val="BodyText"/>
        <w:spacing w:after="0"/>
      </w:pPr>
    </w:p>
    <w:p w14:paraId="630E3717" w14:textId="77777777" w:rsidR="00CC543A" w:rsidRPr="009B4A78" w:rsidRDefault="00CC543A" w:rsidP="00F33E49">
      <w:pPr>
        <w:pStyle w:val="BodyText"/>
        <w:spacing w:after="0"/>
      </w:pPr>
      <w:r w:rsidRPr="009B4A78">
        <w:t>PLANNING CONTEXT</w:t>
      </w:r>
    </w:p>
    <w:p w14:paraId="33644E2A" w14:textId="77777777" w:rsidR="00CC543A" w:rsidRPr="009B4A78" w:rsidRDefault="00CC543A" w:rsidP="00F33E49">
      <w:pPr>
        <w:jc w:val="both"/>
        <w:rPr>
          <w:rFonts w:ascii="Arial" w:hAnsi="Arial" w:cs="Arial"/>
        </w:rPr>
      </w:pPr>
    </w:p>
    <w:p w14:paraId="2A176ECF" w14:textId="77777777" w:rsidR="00CC543A" w:rsidRPr="009B4A78" w:rsidRDefault="00CC543A" w:rsidP="00B66A4A">
      <w:pPr>
        <w:numPr>
          <w:ilvl w:val="0"/>
          <w:numId w:val="3"/>
        </w:numPr>
        <w:jc w:val="both"/>
        <w:rPr>
          <w:rFonts w:ascii="Arial" w:hAnsi="Arial" w:cs="Arial"/>
          <w:sz w:val="20"/>
        </w:rPr>
      </w:pPr>
      <w:r w:rsidRPr="009B4A78">
        <w:rPr>
          <w:rFonts w:ascii="Arial" w:hAnsi="Arial" w:cs="Arial"/>
          <w:sz w:val="20"/>
        </w:rPr>
        <w:t>Brands are one of the primary sources of competitive advantage.  They are critical to the commercialization of new products (including services), and for providing information about products to customers in a fast-moving economy.  A growing number of economic studies has demonstrated the role of brands for innovation and their overall economic importance.  Likewise, the role of designs in the world economy is constantly gaining importance and evidence on the function of designs as a source of innovation and economic growth is emerging.  Against this background, policy makers need to keep the legal framework for the protection of brands and designs under continued scrutiny with a view to fostering innovation and business performance, and to developing informed responses to newly emerging challenges.  Program 2 will endeavor to produce outcomes, which will allow WIPO to advance a balanced evolution of the international framework for brands and designs and to enable the establishment of a legal environment that responds to the specific needs and requirements of Member States’ brand and design industries.</w:t>
      </w:r>
    </w:p>
    <w:p w14:paraId="6002D4F6" w14:textId="77777777" w:rsidR="00CC543A" w:rsidRPr="009B4A78" w:rsidRDefault="00CC543A" w:rsidP="00F33E49">
      <w:pPr>
        <w:jc w:val="both"/>
        <w:rPr>
          <w:rFonts w:ascii="Arial" w:hAnsi="Arial" w:cs="Arial"/>
          <w:sz w:val="20"/>
        </w:rPr>
      </w:pPr>
    </w:p>
    <w:p w14:paraId="67B0D26F" w14:textId="77777777" w:rsidR="00CC543A" w:rsidRPr="009B4A78" w:rsidRDefault="00CC543A" w:rsidP="00F33E49">
      <w:pPr>
        <w:jc w:val="both"/>
        <w:rPr>
          <w:rFonts w:ascii="Arial" w:hAnsi="Arial" w:cs="Arial"/>
          <w:sz w:val="20"/>
        </w:rPr>
      </w:pPr>
    </w:p>
    <w:p w14:paraId="0585C9D7" w14:textId="77777777" w:rsidR="00CC543A" w:rsidRPr="009B4A78" w:rsidRDefault="00CC543A" w:rsidP="00F33E49">
      <w:pPr>
        <w:pStyle w:val="BodyText"/>
        <w:spacing w:after="0"/>
      </w:pPr>
      <w:r w:rsidRPr="009B4A78">
        <w:t>IMPLEMENTATION STRATEGIES</w:t>
      </w:r>
    </w:p>
    <w:p w14:paraId="789CE497" w14:textId="77777777" w:rsidR="00CC543A" w:rsidRPr="009B4A78" w:rsidRDefault="00CC543A" w:rsidP="00F33E49">
      <w:pPr>
        <w:jc w:val="both"/>
        <w:rPr>
          <w:rFonts w:ascii="Arial" w:hAnsi="Arial" w:cs="Arial"/>
        </w:rPr>
      </w:pPr>
    </w:p>
    <w:p w14:paraId="35FA6A7E" w14:textId="34E57D8D" w:rsidR="00CC543A" w:rsidRPr="009B4A78" w:rsidRDefault="00CC543A" w:rsidP="00B66A4A">
      <w:pPr>
        <w:numPr>
          <w:ilvl w:val="0"/>
          <w:numId w:val="3"/>
        </w:numPr>
        <w:jc w:val="both"/>
        <w:rPr>
          <w:rFonts w:ascii="Arial" w:hAnsi="Arial" w:cs="Arial"/>
          <w:sz w:val="20"/>
        </w:rPr>
      </w:pPr>
      <w:r w:rsidRPr="009B4A78">
        <w:rPr>
          <w:rFonts w:ascii="Arial" w:hAnsi="Arial" w:cs="Arial"/>
          <w:sz w:val="20"/>
        </w:rPr>
        <w:t>Progress in the development of a balanced international legal framework for brands and designs that is conducive for innovation and economic growth is the Program’s main objective.  With regard to an international regulatory framework for industrial design registration procedures, the Standing Committee on the Law of Trademarks, Industrial Designs and Geographical Indications (SCT) has significantly advanced work on a draft Design Law Treaty, aiming at simplifying design registration procedures. Subject to a decision by the WIPO General Assembly, this work could result in the holding of a Diplomatic Conference for the adoption of a Design Law Treaty during the biennium.  Moreover, the SCT will continue to service the work of Member States on agreed topical subjects in the area of trademarks, industrial designs and geographical indications.  The SCT will continue to observe developments in the Domain Name System (</w:t>
      </w:r>
      <w:r w:rsidR="005925B1" w:rsidRPr="009B4A78">
        <w:rPr>
          <w:rFonts w:ascii="Arial" w:hAnsi="Arial" w:cs="Arial"/>
          <w:sz w:val="20"/>
        </w:rPr>
        <w:t>DN</w:t>
      </w:r>
      <w:r w:rsidR="005925B1">
        <w:rPr>
          <w:rFonts w:ascii="Arial" w:hAnsi="Arial" w:cs="Arial"/>
          <w:sz w:val="20"/>
        </w:rPr>
        <w:t>S</w:t>
      </w:r>
      <w:r w:rsidRPr="009B4A78">
        <w:rPr>
          <w:rFonts w:ascii="Arial" w:hAnsi="Arial" w:cs="Arial"/>
          <w:sz w:val="20"/>
        </w:rPr>
        <w:t>) (in cooperation with Program 7) and in the area of International Nonproprietary Names for Pharmaceutical Substances (INNs).  Due consideration will be given to Cluster B of the DA Recommendations (Recommendations 15 to 17 and 20 to 22), ensuring that account is taken of the different levels of development of WIPO Member States; flexibilities of interest to developing countries and LDCs; the views of all Member States and other stakeholders; and development goals agreed within the UN system.  WIPO will also deliver the appropriate legal and administrative support to Member States and certain international intergovernmental organizations for the protection of certain of their emblems under Article 6</w:t>
      </w:r>
      <w:r w:rsidRPr="009B4A78">
        <w:rPr>
          <w:rFonts w:ascii="Arial" w:hAnsi="Arial" w:cs="Arial"/>
          <w:i/>
          <w:sz w:val="20"/>
        </w:rPr>
        <w:t>ter</w:t>
      </w:r>
      <w:r w:rsidRPr="009B4A78">
        <w:rPr>
          <w:rFonts w:ascii="Arial" w:hAnsi="Arial" w:cs="Arial"/>
          <w:sz w:val="20"/>
        </w:rPr>
        <w:t xml:space="preserve"> of the Paris Convention.  </w:t>
      </w:r>
    </w:p>
    <w:p w14:paraId="62D4445B" w14:textId="77777777" w:rsidR="00CC543A" w:rsidRPr="009B4A78" w:rsidRDefault="00CC543A" w:rsidP="00F33E49">
      <w:pPr>
        <w:jc w:val="both"/>
        <w:rPr>
          <w:rFonts w:ascii="Arial" w:hAnsi="Arial" w:cs="Arial"/>
        </w:rPr>
      </w:pPr>
    </w:p>
    <w:p w14:paraId="044F3612" w14:textId="77777777" w:rsidR="00CC543A" w:rsidRPr="009B4A78" w:rsidRDefault="00CC543A" w:rsidP="00B66A4A">
      <w:pPr>
        <w:numPr>
          <w:ilvl w:val="0"/>
          <w:numId w:val="3"/>
        </w:numPr>
        <w:jc w:val="both"/>
        <w:rPr>
          <w:rFonts w:ascii="Arial" w:hAnsi="Arial" w:cs="Arial"/>
          <w:sz w:val="20"/>
        </w:rPr>
      </w:pPr>
      <w:r w:rsidRPr="009B4A78">
        <w:rPr>
          <w:rFonts w:ascii="Arial" w:hAnsi="Arial" w:cs="Arial"/>
          <w:sz w:val="20"/>
        </w:rPr>
        <w:t>Implementation will include organizing sessions of the SCT.  In line with DA Recommendation 15, sessions of the SCT will be open to all Member States and accredited observers.  Working documents will be prepared by the Secretariat and presented in all six official languages of the UN.</w:t>
      </w:r>
    </w:p>
    <w:p w14:paraId="6DDA104D" w14:textId="77777777" w:rsidR="00CC543A" w:rsidRPr="009B4A78" w:rsidRDefault="00CC543A" w:rsidP="00F33E49">
      <w:pPr>
        <w:jc w:val="both"/>
        <w:rPr>
          <w:rFonts w:ascii="Arial" w:hAnsi="Arial" w:cs="Arial"/>
        </w:rPr>
      </w:pPr>
    </w:p>
    <w:p w14:paraId="61B049EA" w14:textId="77777777" w:rsidR="00CC543A" w:rsidRPr="009B4A78" w:rsidRDefault="00CC543A" w:rsidP="00B66A4A">
      <w:pPr>
        <w:numPr>
          <w:ilvl w:val="0"/>
          <w:numId w:val="3"/>
        </w:numPr>
        <w:jc w:val="both"/>
        <w:rPr>
          <w:rFonts w:ascii="Arial" w:hAnsi="Arial" w:cs="Arial"/>
          <w:sz w:val="20"/>
        </w:rPr>
      </w:pPr>
      <w:r w:rsidRPr="009B4A78">
        <w:rPr>
          <w:rFonts w:ascii="Arial" w:hAnsi="Arial" w:cs="Arial"/>
          <w:sz w:val="20"/>
        </w:rPr>
        <w:t xml:space="preserve">The Secretariat will continue to ensure the efficient administration of Article 6ter Paris Convention communication procedures and produce biannual electronic publications containing all signs to be communicated under Article 6ter(3).  </w:t>
      </w:r>
    </w:p>
    <w:p w14:paraId="43107E15" w14:textId="77777777" w:rsidR="00CC543A" w:rsidRDefault="00CC543A" w:rsidP="00B66A4A">
      <w:pPr>
        <w:keepNext/>
        <w:keepLines/>
        <w:numPr>
          <w:ilvl w:val="0"/>
          <w:numId w:val="3"/>
        </w:numPr>
        <w:jc w:val="both"/>
        <w:rPr>
          <w:rFonts w:ascii="Arial" w:hAnsi="Arial" w:cs="Arial"/>
        </w:rPr>
      </w:pPr>
      <w:r w:rsidRPr="009B4A78">
        <w:rPr>
          <w:rFonts w:ascii="Arial" w:hAnsi="Arial" w:cs="Arial"/>
          <w:sz w:val="20"/>
        </w:rPr>
        <w:lastRenderedPageBreak/>
        <w:t>As regards Strategic Goal III (Facilitating the Use of IP for Development), Program 2 will provide country-specific advice to Member States in response to priorities identified within their national IP strategies.  The provision of legal advice will be coordinated with other Programs as illustrated below</w:t>
      </w:r>
      <w:r w:rsidRPr="009B4A78">
        <w:rPr>
          <w:rFonts w:ascii="Arial" w:hAnsi="Arial" w:cs="Arial"/>
        </w:rPr>
        <w:t>.</w:t>
      </w:r>
    </w:p>
    <w:p w14:paraId="28792A7B" w14:textId="77777777" w:rsidR="00CC543A" w:rsidRPr="009B4A78" w:rsidRDefault="00CC543A" w:rsidP="00F33E49">
      <w:pPr>
        <w:keepNext/>
        <w:keepLines/>
        <w:jc w:val="both"/>
        <w:rPr>
          <w:rFonts w:ascii="Arial" w:hAnsi="Arial" w:cs="Arial"/>
        </w:rPr>
      </w:pPr>
      <w:r w:rsidRPr="009B4A78">
        <w:rPr>
          <w:rFonts w:ascii="Arial" w:hAnsi="Arial" w:cs="Arial"/>
          <w:noProof/>
          <w:lang w:eastAsia="en-US"/>
        </w:rPr>
        <w:drawing>
          <wp:inline distT="0" distB="0" distL="0" distR="0" wp14:anchorId="675C4F6F" wp14:editId="5B6053F4">
            <wp:extent cx="5753100" cy="1485900"/>
            <wp:effectExtent l="0" t="0" r="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601A851F" w14:textId="77777777" w:rsidR="00CC543A" w:rsidRPr="009B4A78" w:rsidRDefault="00CC543A" w:rsidP="00F33E49">
      <w:pPr>
        <w:pStyle w:val="BodyText"/>
        <w:spacing w:after="0"/>
      </w:pPr>
      <w:r w:rsidRPr="009B4A78">
        <w:t>MAJOR RISKS AND MITIGATION STRATEGIES</w:t>
      </w:r>
    </w:p>
    <w:p w14:paraId="7471E1C8" w14:textId="77777777" w:rsidR="00CC543A" w:rsidRPr="009B4A78" w:rsidRDefault="00CC543A" w:rsidP="00F33E49">
      <w:pPr>
        <w:pStyle w:val="BodyText"/>
        <w:spacing w:after="0"/>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CC543A" w:rsidRPr="009B4A78" w14:paraId="4EC28BF6" w14:textId="77777777" w:rsidTr="00F33E49">
        <w:trPr>
          <w:trHeight w:val="577"/>
        </w:trPr>
        <w:tc>
          <w:tcPr>
            <w:tcW w:w="4111" w:type="dxa"/>
            <w:tcBorders>
              <w:top w:val="single" w:sz="4" w:space="0" w:color="auto"/>
              <w:bottom w:val="single" w:sz="4" w:space="0" w:color="auto"/>
            </w:tcBorders>
            <w:shd w:val="clear" w:color="auto" w:fill="C6D9F1" w:themeFill="text2" w:themeFillTint="33"/>
            <w:vAlign w:val="center"/>
          </w:tcPr>
          <w:p w14:paraId="4FEFA898" w14:textId="77777777" w:rsidR="00CC543A" w:rsidRPr="009B4A78" w:rsidRDefault="00CC543A" w:rsidP="00F33E49">
            <w:pPr>
              <w:jc w:val="center"/>
              <w:rPr>
                <w:rFonts w:ascii="Arial" w:hAnsi="Arial" w:cs="Arial"/>
                <w:b/>
                <w:bCs/>
                <w:sz w:val="18"/>
                <w:szCs w:val="18"/>
              </w:rPr>
            </w:pPr>
            <w:r w:rsidRPr="009B4A78">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3823C17C" w14:textId="77777777" w:rsidR="00CC543A" w:rsidRPr="009B4A78" w:rsidRDefault="00CC543A" w:rsidP="00F33E49">
            <w:pPr>
              <w:jc w:val="center"/>
              <w:rPr>
                <w:rFonts w:ascii="Arial" w:hAnsi="Arial" w:cs="Arial"/>
                <w:b/>
                <w:bCs/>
                <w:sz w:val="18"/>
                <w:szCs w:val="18"/>
              </w:rPr>
            </w:pPr>
            <w:r w:rsidRPr="009B4A78">
              <w:rPr>
                <w:rFonts w:ascii="Arial" w:hAnsi="Arial" w:cs="Arial"/>
                <w:b/>
                <w:bCs/>
                <w:sz w:val="18"/>
                <w:szCs w:val="18"/>
              </w:rPr>
              <w:t>Mitigation</w:t>
            </w:r>
          </w:p>
        </w:tc>
      </w:tr>
      <w:tr w:rsidR="00CC543A" w:rsidRPr="009B4A78" w14:paraId="50A89F3C" w14:textId="77777777" w:rsidTr="00F33E49">
        <w:trPr>
          <w:trHeight w:val="1160"/>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18803503" w14:textId="77777777" w:rsidR="00CC543A" w:rsidRPr="009B4A78" w:rsidRDefault="00CC543A" w:rsidP="00F33E49">
            <w:pPr>
              <w:rPr>
                <w:rFonts w:ascii="Arial" w:hAnsi="Arial" w:cs="Arial"/>
                <w:color w:val="000000"/>
                <w:sz w:val="16"/>
              </w:rPr>
            </w:pPr>
            <w:r w:rsidRPr="009B4A78">
              <w:rPr>
                <w:rFonts w:ascii="Arial" w:hAnsi="Arial" w:cs="Arial"/>
                <w:color w:val="000000"/>
                <w:sz w:val="16"/>
              </w:rPr>
              <w:t>Agreements at the multilateral level remain challenging and the successful conclusion of normative activities under Program 2 will depend to a large degree on Member States’ commitment to define mutually agreed outcomes.</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097E6300" w14:textId="77777777" w:rsidR="00CC543A" w:rsidRPr="009B4A78" w:rsidRDefault="00CC543A" w:rsidP="00F33E49">
            <w:pPr>
              <w:autoSpaceDE w:val="0"/>
              <w:autoSpaceDN w:val="0"/>
              <w:adjustRightInd w:val="0"/>
              <w:ind w:right="-59"/>
              <w:rPr>
                <w:rFonts w:ascii="Arial" w:hAnsi="Arial" w:cs="Arial"/>
                <w:sz w:val="16"/>
                <w:szCs w:val="16"/>
              </w:rPr>
            </w:pPr>
            <w:r w:rsidRPr="009B4A78">
              <w:rPr>
                <w:rFonts w:ascii="Arial" w:hAnsi="Arial" w:cs="Arial"/>
                <w:color w:val="000000"/>
                <w:sz w:val="16"/>
              </w:rPr>
              <w:t>This is an inherent risk of every norm developing activity which, by its nature, will have to be retained by the Program.  Nevertheless, specific program activities, in particular sessions of the SCT, will allow ongoing dialogue and exchange of views with a view to identifying common areas of common understanding and potential agreed outcomes.</w:t>
            </w:r>
          </w:p>
        </w:tc>
      </w:tr>
    </w:tbl>
    <w:p w14:paraId="6FF1AF63" w14:textId="77777777" w:rsidR="00CC543A" w:rsidRPr="009B4A78" w:rsidRDefault="00CC543A" w:rsidP="00F33E49">
      <w:pPr>
        <w:pStyle w:val="BodyText"/>
        <w:spacing w:after="0"/>
      </w:pPr>
    </w:p>
    <w:p w14:paraId="25E26D11" w14:textId="77777777" w:rsidR="00CC543A" w:rsidRPr="009B4A78" w:rsidRDefault="00CC543A" w:rsidP="00F33E49">
      <w:pPr>
        <w:pStyle w:val="BodyText"/>
        <w:spacing w:after="0"/>
      </w:pPr>
    </w:p>
    <w:p w14:paraId="7A7EE1A4" w14:textId="77777777" w:rsidR="00CC543A" w:rsidRPr="009B4A78" w:rsidRDefault="00CC543A" w:rsidP="00F33E49">
      <w:pPr>
        <w:pStyle w:val="BodyText"/>
        <w:keepNext/>
        <w:keepLines/>
        <w:spacing w:after="0"/>
      </w:pPr>
      <w:r w:rsidRPr="009B4A78">
        <w:t>RESULTS FRAMEWORK</w:t>
      </w:r>
    </w:p>
    <w:p w14:paraId="70A340D1" w14:textId="77777777" w:rsidR="00CC543A" w:rsidRPr="009B4A78" w:rsidRDefault="00CC543A" w:rsidP="00F33E49">
      <w:pPr>
        <w:keepNext/>
        <w:keepLines/>
        <w:rPr>
          <w:rFonts w:ascii="Arial" w:hAnsi="Arial" w:cs="Arial"/>
        </w:rPr>
      </w:pPr>
    </w:p>
    <w:tbl>
      <w:tblPr>
        <w:tblW w:w="9248" w:type="dxa"/>
        <w:tblInd w:w="93" w:type="dxa"/>
        <w:tblLook w:val="04A0" w:firstRow="1" w:lastRow="0" w:firstColumn="1" w:lastColumn="0" w:noHBand="0" w:noVBand="1"/>
      </w:tblPr>
      <w:tblGrid>
        <w:gridCol w:w="2014"/>
        <w:gridCol w:w="2248"/>
        <w:gridCol w:w="2699"/>
        <w:gridCol w:w="2287"/>
      </w:tblGrid>
      <w:tr w:rsidR="00CC543A" w:rsidRPr="009B4A78" w14:paraId="0A07434C" w14:textId="77777777" w:rsidTr="00F33E49">
        <w:trPr>
          <w:trHeight w:val="516"/>
        </w:trPr>
        <w:tc>
          <w:tcPr>
            <w:tcW w:w="2014"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41FA95E0" w14:textId="77777777" w:rsidR="00CC543A" w:rsidRPr="009B4A78" w:rsidRDefault="00CC543A" w:rsidP="00F33E49">
            <w:pPr>
              <w:keepNext/>
              <w:keepLines/>
              <w:jc w:val="center"/>
              <w:rPr>
                <w:rFonts w:ascii="Arial" w:hAnsi="Arial" w:cs="Arial"/>
                <w:b/>
                <w:bCs/>
                <w:color w:val="000000"/>
                <w:sz w:val="18"/>
                <w:szCs w:val="16"/>
              </w:rPr>
            </w:pPr>
            <w:r w:rsidRPr="009B4A78">
              <w:rPr>
                <w:rFonts w:ascii="Arial" w:hAnsi="Arial" w:cs="Arial"/>
                <w:b/>
                <w:bCs/>
                <w:color w:val="000000"/>
                <w:sz w:val="18"/>
                <w:szCs w:val="16"/>
              </w:rPr>
              <w:t>Expected Results</w:t>
            </w:r>
          </w:p>
        </w:tc>
        <w:tc>
          <w:tcPr>
            <w:tcW w:w="2248" w:type="dxa"/>
            <w:tcBorders>
              <w:top w:val="single" w:sz="4" w:space="0" w:color="auto"/>
              <w:left w:val="nil"/>
              <w:bottom w:val="single" w:sz="4" w:space="0" w:color="auto"/>
              <w:right w:val="nil"/>
            </w:tcBorders>
            <w:shd w:val="clear" w:color="auto" w:fill="C6D9F1" w:themeFill="text2" w:themeFillTint="33"/>
            <w:noWrap/>
            <w:vAlign w:val="center"/>
            <w:hideMark/>
          </w:tcPr>
          <w:p w14:paraId="45548745" w14:textId="77777777" w:rsidR="00CC543A" w:rsidRPr="009B4A78" w:rsidRDefault="00CC543A" w:rsidP="00F33E49">
            <w:pPr>
              <w:keepNext/>
              <w:keepLines/>
              <w:jc w:val="center"/>
              <w:rPr>
                <w:rFonts w:ascii="Arial" w:hAnsi="Arial" w:cs="Arial"/>
                <w:b/>
                <w:bCs/>
                <w:color w:val="000000"/>
                <w:sz w:val="18"/>
                <w:szCs w:val="16"/>
              </w:rPr>
            </w:pPr>
            <w:r w:rsidRPr="009B4A78">
              <w:rPr>
                <w:rFonts w:ascii="Arial" w:hAnsi="Arial" w:cs="Arial"/>
                <w:b/>
                <w:bCs/>
                <w:color w:val="000000"/>
                <w:sz w:val="18"/>
                <w:szCs w:val="16"/>
              </w:rPr>
              <w:t>Performance Indicators</w:t>
            </w:r>
          </w:p>
        </w:tc>
        <w:tc>
          <w:tcPr>
            <w:tcW w:w="2699" w:type="dxa"/>
            <w:tcBorders>
              <w:top w:val="single" w:sz="4" w:space="0" w:color="auto"/>
              <w:left w:val="nil"/>
              <w:bottom w:val="single" w:sz="4" w:space="0" w:color="auto"/>
              <w:right w:val="nil"/>
            </w:tcBorders>
            <w:shd w:val="clear" w:color="auto" w:fill="C6D9F1" w:themeFill="text2" w:themeFillTint="33"/>
            <w:noWrap/>
            <w:vAlign w:val="center"/>
            <w:hideMark/>
          </w:tcPr>
          <w:p w14:paraId="56D63430" w14:textId="77777777" w:rsidR="00CC543A" w:rsidRPr="009B4A78" w:rsidRDefault="00CC543A" w:rsidP="00F33E49">
            <w:pPr>
              <w:keepNext/>
              <w:keepLines/>
              <w:jc w:val="center"/>
              <w:rPr>
                <w:rFonts w:ascii="Arial" w:hAnsi="Arial" w:cs="Arial"/>
                <w:b/>
                <w:bCs/>
                <w:color w:val="000000"/>
                <w:sz w:val="18"/>
                <w:szCs w:val="16"/>
              </w:rPr>
            </w:pPr>
            <w:r w:rsidRPr="009B4A78">
              <w:rPr>
                <w:rFonts w:ascii="Arial" w:hAnsi="Arial" w:cs="Arial"/>
                <w:b/>
                <w:bCs/>
                <w:color w:val="000000"/>
                <w:sz w:val="18"/>
                <w:szCs w:val="16"/>
              </w:rPr>
              <w:t>Baselines</w:t>
            </w:r>
          </w:p>
        </w:tc>
        <w:tc>
          <w:tcPr>
            <w:tcW w:w="2287"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729CF245" w14:textId="77777777" w:rsidR="00CC543A" w:rsidRPr="009B4A78" w:rsidRDefault="00CC543A" w:rsidP="00F33E49">
            <w:pPr>
              <w:keepNext/>
              <w:keepLines/>
              <w:jc w:val="center"/>
              <w:rPr>
                <w:rFonts w:ascii="Arial" w:hAnsi="Arial" w:cs="Arial"/>
                <w:b/>
                <w:bCs/>
                <w:color w:val="000000"/>
                <w:sz w:val="18"/>
                <w:szCs w:val="16"/>
              </w:rPr>
            </w:pPr>
            <w:r w:rsidRPr="009B4A78">
              <w:rPr>
                <w:rFonts w:ascii="Arial" w:hAnsi="Arial" w:cs="Arial"/>
                <w:b/>
                <w:bCs/>
                <w:color w:val="000000"/>
                <w:sz w:val="18"/>
                <w:szCs w:val="16"/>
              </w:rPr>
              <w:t>Targets</w:t>
            </w:r>
          </w:p>
        </w:tc>
      </w:tr>
      <w:tr w:rsidR="00CC543A" w:rsidRPr="009B4A78" w14:paraId="6B99BC27" w14:textId="77777777" w:rsidTr="00F33E49">
        <w:trPr>
          <w:trHeight w:val="988"/>
        </w:trPr>
        <w:tc>
          <w:tcPr>
            <w:tcW w:w="2014" w:type="dxa"/>
            <w:vMerge w:val="restart"/>
            <w:tcBorders>
              <w:top w:val="nil"/>
              <w:left w:val="single" w:sz="4" w:space="0" w:color="auto"/>
              <w:bottom w:val="nil"/>
              <w:right w:val="nil"/>
            </w:tcBorders>
            <w:shd w:val="clear" w:color="000000" w:fill="FFFFFF"/>
            <w:hideMark/>
          </w:tcPr>
          <w:p w14:paraId="53AD623F" w14:textId="77777777" w:rsidR="00CC543A" w:rsidRPr="009B4A78" w:rsidRDefault="00CC543A" w:rsidP="00F33E49">
            <w:pPr>
              <w:keepNext/>
              <w:keepLines/>
              <w:ind w:right="190"/>
              <w:rPr>
                <w:rFonts w:ascii="Arial" w:hAnsi="Arial" w:cs="Arial"/>
                <w:color w:val="000000"/>
                <w:sz w:val="16"/>
                <w:szCs w:val="16"/>
              </w:rPr>
            </w:pPr>
            <w:r w:rsidRPr="009B4A78">
              <w:rPr>
                <w:rFonts w:ascii="Arial" w:hAnsi="Arial" w:cs="Arial"/>
                <w:color w:val="000000"/>
                <w:sz w:val="16"/>
                <w:szCs w:val="16"/>
              </w:rPr>
              <w:br/>
              <w:t xml:space="preserve">I.1 Enhanced cooperation among Member States on development of balanced international normative frameworks for IP </w:t>
            </w:r>
          </w:p>
        </w:tc>
        <w:tc>
          <w:tcPr>
            <w:tcW w:w="2248" w:type="dxa"/>
            <w:tcBorders>
              <w:top w:val="nil"/>
              <w:left w:val="nil"/>
              <w:bottom w:val="nil"/>
              <w:right w:val="nil"/>
            </w:tcBorders>
            <w:shd w:val="clear" w:color="000000" w:fill="FFFFFF"/>
            <w:hideMark/>
          </w:tcPr>
          <w:p w14:paraId="3D9EE819" w14:textId="77777777" w:rsidR="00CC543A" w:rsidRPr="009B4A78" w:rsidRDefault="00CC543A" w:rsidP="00F33E49">
            <w:pPr>
              <w:keepNext/>
              <w:keepLines/>
              <w:ind w:right="170"/>
              <w:rPr>
                <w:rFonts w:ascii="Arial" w:hAnsi="Arial" w:cs="Arial"/>
                <w:color w:val="000000"/>
                <w:sz w:val="16"/>
                <w:szCs w:val="16"/>
              </w:rPr>
            </w:pPr>
            <w:r w:rsidRPr="009B4A78">
              <w:rPr>
                <w:rFonts w:ascii="Arial" w:hAnsi="Arial" w:cs="Arial"/>
                <w:color w:val="000000"/>
                <w:sz w:val="16"/>
                <w:szCs w:val="16"/>
              </w:rPr>
              <w:br/>
              <w:t>Progress towards agreement on current issues on the SCT Agenda</w:t>
            </w:r>
          </w:p>
          <w:p w14:paraId="143ADF6D" w14:textId="77777777" w:rsidR="00CC543A" w:rsidRPr="009B4A78" w:rsidRDefault="00CC543A" w:rsidP="00F33E49">
            <w:pPr>
              <w:keepNext/>
              <w:keepLines/>
              <w:ind w:right="170"/>
              <w:rPr>
                <w:rFonts w:ascii="Arial" w:hAnsi="Arial" w:cs="Arial"/>
                <w:color w:val="000000"/>
                <w:sz w:val="16"/>
                <w:szCs w:val="16"/>
              </w:rPr>
            </w:pPr>
          </w:p>
        </w:tc>
        <w:tc>
          <w:tcPr>
            <w:tcW w:w="2699" w:type="dxa"/>
            <w:tcBorders>
              <w:top w:val="nil"/>
              <w:left w:val="nil"/>
              <w:bottom w:val="nil"/>
              <w:right w:val="nil"/>
            </w:tcBorders>
            <w:shd w:val="clear" w:color="000000" w:fill="FFFFFF"/>
            <w:hideMark/>
          </w:tcPr>
          <w:p w14:paraId="319A11FE" w14:textId="77777777" w:rsidR="00CC543A" w:rsidRPr="009B4A78" w:rsidRDefault="00CC543A" w:rsidP="00F33E49">
            <w:pPr>
              <w:keepNext/>
              <w:keepLines/>
              <w:tabs>
                <w:tab w:val="left" w:pos="2024"/>
              </w:tabs>
              <w:ind w:right="238"/>
              <w:rPr>
                <w:rFonts w:ascii="Arial" w:hAnsi="Arial" w:cs="Arial"/>
                <w:color w:val="000000"/>
                <w:sz w:val="16"/>
                <w:szCs w:val="16"/>
              </w:rPr>
            </w:pPr>
            <w:r w:rsidRPr="009B4A78">
              <w:rPr>
                <w:rFonts w:ascii="Arial" w:hAnsi="Arial" w:cs="Arial"/>
                <w:color w:val="000000"/>
                <w:sz w:val="16"/>
                <w:szCs w:val="16"/>
              </w:rPr>
              <w:br/>
              <w:t>State of advancement of SCT work at the end of 2015 as per relevant working documents</w:t>
            </w:r>
          </w:p>
        </w:tc>
        <w:tc>
          <w:tcPr>
            <w:tcW w:w="2287" w:type="dxa"/>
            <w:tcBorders>
              <w:top w:val="nil"/>
              <w:left w:val="nil"/>
              <w:bottom w:val="nil"/>
              <w:right w:val="single" w:sz="4" w:space="0" w:color="auto"/>
            </w:tcBorders>
            <w:shd w:val="clear" w:color="000000" w:fill="FFFFFF"/>
            <w:hideMark/>
          </w:tcPr>
          <w:p w14:paraId="7EB11C5B" w14:textId="77777777" w:rsidR="00CC543A" w:rsidRPr="009B4A78" w:rsidRDefault="00CC543A" w:rsidP="00F33E49">
            <w:pPr>
              <w:keepNext/>
              <w:keepLines/>
              <w:rPr>
                <w:rFonts w:ascii="Arial" w:hAnsi="Arial" w:cs="Arial"/>
                <w:color w:val="000000"/>
                <w:sz w:val="16"/>
                <w:szCs w:val="16"/>
              </w:rPr>
            </w:pPr>
            <w:r w:rsidRPr="009B4A78">
              <w:rPr>
                <w:rFonts w:ascii="Arial" w:hAnsi="Arial" w:cs="Arial"/>
                <w:color w:val="000000"/>
                <w:sz w:val="16"/>
                <w:szCs w:val="16"/>
              </w:rPr>
              <w:br/>
              <w:t>SCT agreed outcomes</w:t>
            </w:r>
          </w:p>
        </w:tc>
      </w:tr>
      <w:tr w:rsidR="00CC543A" w:rsidRPr="009B4A78" w14:paraId="36EFB518" w14:textId="77777777" w:rsidTr="00F33E49">
        <w:trPr>
          <w:trHeight w:val="1823"/>
        </w:trPr>
        <w:tc>
          <w:tcPr>
            <w:tcW w:w="2014" w:type="dxa"/>
            <w:vMerge/>
            <w:tcBorders>
              <w:top w:val="nil"/>
              <w:left w:val="single" w:sz="4" w:space="0" w:color="auto"/>
              <w:bottom w:val="nil"/>
              <w:right w:val="nil"/>
            </w:tcBorders>
            <w:vAlign w:val="center"/>
            <w:hideMark/>
          </w:tcPr>
          <w:p w14:paraId="03D40FFE" w14:textId="77777777" w:rsidR="00CC543A" w:rsidRPr="009B4A78" w:rsidRDefault="00CC543A" w:rsidP="00F33E49">
            <w:pPr>
              <w:keepNext/>
              <w:keepLines/>
              <w:ind w:right="190"/>
              <w:rPr>
                <w:rFonts w:ascii="Arial" w:hAnsi="Arial" w:cs="Arial"/>
                <w:color w:val="000000"/>
                <w:sz w:val="16"/>
                <w:szCs w:val="16"/>
              </w:rPr>
            </w:pPr>
          </w:p>
        </w:tc>
        <w:tc>
          <w:tcPr>
            <w:tcW w:w="2248" w:type="dxa"/>
            <w:tcBorders>
              <w:top w:val="nil"/>
              <w:left w:val="nil"/>
              <w:bottom w:val="nil"/>
              <w:right w:val="nil"/>
            </w:tcBorders>
            <w:shd w:val="clear" w:color="000000" w:fill="FFFFFF"/>
            <w:hideMark/>
          </w:tcPr>
          <w:p w14:paraId="7976456F" w14:textId="77777777" w:rsidR="00CC543A" w:rsidRPr="009B4A78" w:rsidRDefault="00CC543A" w:rsidP="00F33E49">
            <w:pPr>
              <w:keepNext/>
              <w:keepLines/>
              <w:ind w:right="311"/>
              <w:rPr>
                <w:rFonts w:ascii="Arial" w:hAnsi="Arial" w:cs="Arial"/>
                <w:color w:val="000000"/>
                <w:sz w:val="16"/>
                <w:szCs w:val="16"/>
              </w:rPr>
            </w:pPr>
            <w:r w:rsidRPr="009B4A78">
              <w:rPr>
                <w:rFonts w:ascii="Arial" w:hAnsi="Arial" w:cs="Arial"/>
                <w:color w:val="000000"/>
                <w:sz w:val="16"/>
                <w:szCs w:val="16"/>
              </w:rPr>
              <w:t>No. of ratifications/accessions to the Singapore Treaty</w:t>
            </w:r>
          </w:p>
        </w:tc>
        <w:tc>
          <w:tcPr>
            <w:tcW w:w="2699" w:type="dxa"/>
            <w:tcBorders>
              <w:top w:val="nil"/>
              <w:left w:val="nil"/>
              <w:bottom w:val="nil"/>
              <w:right w:val="nil"/>
            </w:tcBorders>
            <w:shd w:val="clear" w:color="000000" w:fill="FFFFFF"/>
            <w:hideMark/>
          </w:tcPr>
          <w:p w14:paraId="49529C13" w14:textId="77777777" w:rsidR="00CC543A" w:rsidRPr="009B4A78" w:rsidRDefault="00CC543A" w:rsidP="00F33E49">
            <w:pPr>
              <w:keepNext/>
              <w:keepLines/>
              <w:ind w:right="238"/>
              <w:rPr>
                <w:rFonts w:ascii="Arial" w:hAnsi="Arial" w:cs="Arial"/>
                <w:color w:val="000000"/>
                <w:sz w:val="16"/>
                <w:szCs w:val="16"/>
              </w:rPr>
            </w:pPr>
            <w:r w:rsidRPr="009B4A78">
              <w:rPr>
                <w:rFonts w:ascii="Arial" w:hAnsi="Arial" w:cs="Arial"/>
                <w:color w:val="000000"/>
                <w:sz w:val="16"/>
                <w:szCs w:val="16"/>
              </w:rPr>
              <w:t>Seven new Contracting Parties in 2014: Belarus, Belgium, Benelux Organization for Intellectual Property (BOIP), Iraq, Luxembourg, the Netherlands and Tajikistan, which brings the total number of Contracting Parties to 38 at the end of 2014.</w:t>
            </w:r>
          </w:p>
        </w:tc>
        <w:tc>
          <w:tcPr>
            <w:tcW w:w="2287" w:type="dxa"/>
            <w:tcBorders>
              <w:top w:val="nil"/>
              <w:left w:val="nil"/>
              <w:bottom w:val="nil"/>
              <w:right w:val="single" w:sz="4" w:space="0" w:color="auto"/>
            </w:tcBorders>
            <w:shd w:val="clear" w:color="000000" w:fill="FFFFFF"/>
            <w:hideMark/>
          </w:tcPr>
          <w:p w14:paraId="013A5C33" w14:textId="77777777" w:rsidR="00CC543A" w:rsidRPr="009B4A78" w:rsidRDefault="00CC543A" w:rsidP="00F33E49">
            <w:pPr>
              <w:keepNext/>
              <w:keepLines/>
              <w:rPr>
                <w:rFonts w:ascii="Arial" w:hAnsi="Arial" w:cs="Arial"/>
                <w:color w:val="000000"/>
                <w:sz w:val="16"/>
                <w:szCs w:val="16"/>
              </w:rPr>
            </w:pPr>
            <w:r w:rsidRPr="009B4A78">
              <w:rPr>
                <w:rFonts w:ascii="Arial" w:hAnsi="Arial" w:cs="Arial"/>
                <w:color w:val="000000"/>
                <w:sz w:val="16"/>
                <w:szCs w:val="16"/>
              </w:rPr>
              <w:t>Eight new ratifications/accessions</w:t>
            </w:r>
          </w:p>
        </w:tc>
      </w:tr>
      <w:tr w:rsidR="00CC543A" w:rsidRPr="009B4A78" w14:paraId="78111292" w14:textId="77777777" w:rsidTr="00F33E49">
        <w:trPr>
          <w:trHeight w:val="1688"/>
        </w:trPr>
        <w:tc>
          <w:tcPr>
            <w:tcW w:w="2014" w:type="dxa"/>
            <w:tcBorders>
              <w:top w:val="nil"/>
              <w:left w:val="single" w:sz="4" w:space="0" w:color="auto"/>
              <w:bottom w:val="nil"/>
              <w:right w:val="nil"/>
            </w:tcBorders>
            <w:shd w:val="clear" w:color="000000" w:fill="FFFFFF"/>
            <w:hideMark/>
          </w:tcPr>
          <w:p w14:paraId="250325C6" w14:textId="77777777" w:rsidR="00CC543A" w:rsidRPr="009B4A78" w:rsidRDefault="00CC543A" w:rsidP="00F33E49">
            <w:pPr>
              <w:keepNext/>
              <w:keepLines/>
              <w:tabs>
                <w:tab w:val="left" w:pos="1284"/>
                <w:tab w:val="left" w:pos="1585"/>
              </w:tabs>
              <w:ind w:right="190"/>
              <w:rPr>
                <w:rFonts w:ascii="Arial" w:hAnsi="Arial" w:cs="Arial"/>
                <w:color w:val="000000"/>
                <w:sz w:val="16"/>
                <w:szCs w:val="16"/>
              </w:rPr>
            </w:pPr>
            <w:r w:rsidRPr="009B4A78">
              <w:rPr>
                <w:rFonts w:ascii="Arial" w:hAnsi="Arial" w:cs="Arial"/>
                <w:color w:val="000000"/>
                <w:sz w:val="16"/>
                <w:szCs w:val="16"/>
              </w:rPr>
              <w:t>I.2 Tailored and balanced IP legislative, regulatory and policy frameworks</w:t>
            </w:r>
          </w:p>
        </w:tc>
        <w:tc>
          <w:tcPr>
            <w:tcW w:w="2248" w:type="dxa"/>
            <w:tcBorders>
              <w:top w:val="nil"/>
              <w:left w:val="nil"/>
              <w:bottom w:val="nil"/>
              <w:right w:val="nil"/>
            </w:tcBorders>
            <w:shd w:val="clear" w:color="000000" w:fill="FFFFFF"/>
            <w:hideMark/>
          </w:tcPr>
          <w:p w14:paraId="04CCE9E3" w14:textId="77777777" w:rsidR="00CC543A" w:rsidRPr="009B4A78" w:rsidRDefault="00CC543A" w:rsidP="00F33E49">
            <w:pPr>
              <w:keepNext/>
              <w:keepLines/>
              <w:tabs>
                <w:tab w:val="left" w:pos="1537"/>
                <w:tab w:val="left" w:pos="1875"/>
              </w:tabs>
              <w:ind w:right="170"/>
              <w:rPr>
                <w:rFonts w:ascii="Arial" w:hAnsi="Arial" w:cs="Arial"/>
                <w:color w:val="000000"/>
                <w:sz w:val="16"/>
                <w:szCs w:val="16"/>
              </w:rPr>
            </w:pPr>
            <w:r w:rsidRPr="009B4A78">
              <w:rPr>
                <w:rFonts w:ascii="Arial" w:hAnsi="Arial" w:cs="Arial"/>
                <w:color w:val="000000"/>
                <w:sz w:val="16"/>
                <w:szCs w:val="16"/>
              </w:rPr>
              <w:t xml:space="preserve">No. and % of Member States/regional organizations providing positive feedback on the legislative advice offered in the area of trademarks, industrial designs and geographical indications </w:t>
            </w:r>
          </w:p>
        </w:tc>
        <w:tc>
          <w:tcPr>
            <w:tcW w:w="2699" w:type="dxa"/>
            <w:tcBorders>
              <w:top w:val="nil"/>
              <w:left w:val="nil"/>
              <w:bottom w:val="nil"/>
              <w:right w:val="nil"/>
            </w:tcBorders>
            <w:shd w:val="clear" w:color="000000" w:fill="FFFFFF"/>
            <w:hideMark/>
          </w:tcPr>
          <w:p w14:paraId="44354B7B" w14:textId="77777777" w:rsidR="00CC543A" w:rsidRPr="009B4A78" w:rsidRDefault="00CC543A" w:rsidP="00F33E49">
            <w:pPr>
              <w:keepNext/>
              <w:keepLines/>
              <w:ind w:right="238"/>
              <w:rPr>
                <w:rFonts w:ascii="Arial" w:hAnsi="Arial" w:cs="Arial"/>
                <w:color w:val="000000"/>
                <w:sz w:val="16"/>
                <w:szCs w:val="16"/>
              </w:rPr>
            </w:pPr>
            <w:r w:rsidRPr="009B4A78">
              <w:rPr>
                <w:rFonts w:ascii="Arial" w:hAnsi="Arial" w:cs="Arial"/>
                <w:color w:val="000000"/>
                <w:sz w:val="16"/>
                <w:szCs w:val="16"/>
              </w:rPr>
              <w:t>2014: Advice was provided to 20 Member States/Regional Organizations.  Feedback was received from seven respondents, all of whom (100%) reported satisfaction with the advice offered</w:t>
            </w:r>
          </w:p>
        </w:tc>
        <w:tc>
          <w:tcPr>
            <w:tcW w:w="2287" w:type="dxa"/>
            <w:tcBorders>
              <w:top w:val="nil"/>
              <w:left w:val="nil"/>
              <w:bottom w:val="nil"/>
              <w:right w:val="single" w:sz="4" w:space="0" w:color="auto"/>
            </w:tcBorders>
            <w:shd w:val="clear" w:color="000000" w:fill="FFFFFF"/>
            <w:hideMark/>
          </w:tcPr>
          <w:p w14:paraId="4B9D995B" w14:textId="77777777" w:rsidR="00CC543A" w:rsidRPr="009B4A78" w:rsidRDefault="00CC543A" w:rsidP="00F33E49">
            <w:pPr>
              <w:keepNext/>
              <w:keepLines/>
              <w:rPr>
                <w:rFonts w:ascii="Arial" w:hAnsi="Arial" w:cs="Arial"/>
                <w:color w:val="000000"/>
                <w:sz w:val="16"/>
                <w:szCs w:val="16"/>
              </w:rPr>
            </w:pPr>
            <w:r w:rsidRPr="009B4A78">
              <w:rPr>
                <w:rFonts w:ascii="Arial" w:hAnsi="Arial" w:cs="Arial"/>
                <w:color w:val="000000"/>
                <w:sz w:val="16"/>
                <w:szCs w:val="16"/>
              </w:rPr>
              <w:t xml:space="preserve">90% of respondents satisfied with the advice offered </w:t>
            </w:r>
          </w:p>
        </w:tc>
      </w:tr>
      <w:tr w:rsidR="00CC543A" w:rsidRPr="009B4A78" w14:paraId="2D87194C" w14:textId="77777777" w:rsidTr="00F33E49">
        <w:trPr>
          <w:trHeight w:val="1422"/>
        </w:trPr>
        <w:tc>
          <w:tcPr>
            <w:tcW w:w="2014" w:type="dxa"/>
            <w:tcBorders>
              <w:top w:val="nil"/>
              <w:left w:val="single" w:sz="4" w:space="0" w:color="auto"/>
              <w:bottom w:val="single" w:sz="4" w:space="0" w:color="auto"/>
              <w:right w:val="nil"/>
            </w:tcBorders>
            <w:shd w:val="clear" w:color="000000" w:fill="FFFFFF"/>
            <w:hideMark/>
          </w:tcPr>
          <w:p w14:paraId="42025510" w14:textId="77777777" w:rsidR="00CC543A" w:rsidRPr="009B4A78" w:rsidRDefault="00CC543A" w:rsidP="00F33E49">
            <w:pPr>
              <w:keepNext/>
              <w:keepLines/>
              <w:ind w:right="190"/>
              <w:rPr>
                <w:rFonts w:ascii="Arial" w:hAnsi="Arial" w:cs="Arial"/>
                <w:color w:val="000000"/>
                <w:sz w:val="16"/>
                <w:szCs w:val="16"/>
              </w:rPr>
            </w:pPr>
            <w:r w:rsidRPr="009B4A78">
              <w:rPr>
                <w:rFonts w:ascii="Arial" w:hAnsi="Arial" w:cs="Arial"/>
                <w:color w:val="000000"/>
                <w:sz w:val="16"/>
                <w:szCs w:val="16"/>
              </w:rPr>
              <w:t>I.3 Increased protection of State emblems and names and emblems of International Intergovernmental Organizations</w:t>
            </w:r>
          </w:p>
        </w:tc>
        <w:tc>
          <w:tcPr>
            <w:tcW w:w="2248" w:type="dxa"/>
            <w:tcBorders>
              <w:top w:val="nil"/>
              <w:left w:val="nil"/>
              <w:bottom w:val="single" w:sz="4" w:space="0" w:color="auto"/>
              <w:right w:val="nil"/>
            </w:tcBorders>
            <w:shd w:val="clear" w:color="000000" w:fill="FFFFFF"/>
            <w:hideMark/>
          </w:tcPr>
          <w:p w14:paraId="6E86218C" w14:textId="77777777" w:rsidR="00CC543A" w:rsidRPr="009B4A78" w:rsidRDefault="00CC543A" w:rsidP="00F33E49">
            <w:pPr>
              <w:keepNext/>
              <w:keepLines/>
              <w:ind w:right="170"/>
              <w:rPr>
                <w:rFonts w:ascii="Arial" w:hAnsi="Arial" w:cs="Arial"/>
                <w:color w:val="000000"/>
                <w:sz w:val="16"/>
                <w:szCs w:val="16"/>
              </w:rPr>
            </w:pPr>
            <w:r w:rsidRPr="009B4A78">
              <w:rPr>
                <w:rFonts w:ascii="Arial" w:hAnsi="Arial" w:cs="Arial"/>
                <w:color w:val="000000"/>
                <w:sz w:val="16"/>
                <w:szCs w:val="16"/>
              </w:rPr>
              <w:t>No. of signs contained in the Article 6</w:t>
            </w:r>
            <w:r w:rsidRPr="009B4A78">
              <w:rPr>
                <w:rFonts w:ascii="Arial" w:hAnsi="Arial" w:cs="Arial"/>
                <w:i/>
                <w:color w:val="000000"/>
                <w:sz w:val="16"/>
                <w:szCs w:val="16"/>
              </w:rPr>
              <w:t>ter</w:t>
            </w:r>
            <w:r w:rsidRPr="009B4A78">
              <w:rPr>
                <w:rFonts w:ascii="Arial" w:hAnsi="Arial" w:cs="Arial"/>
                <w:color w:val="000000"/>
                <w:sz w:val="16"/>
                <w:szCs w:val="16"/>
              </w:rPr>
              <w:t xml:space="preserve"> database</w:t>
            </w:r>
          </w:p>
        </w:tc>
        <w:tc>
          <w:tcPr>
            <w:tcW w:w="2699" w:type="dxa"/>
            <w:tcBorders>
              <w:top w:val="nil"/>
              <w:left w:val="nil"/>
              <w:bottom w:val="single" w:sz="4" w:space="0" w:color="auto"/>
              <w:right w:val="nil"/>
            </w:tcBorders>
            <w:shd w:val="clear" w:color="000000" w:fill="FFFFFF"/>
            <w:hideMark/>
          </w:tcPr>
          <w:p w14:paraId="2AC1F6CA" w14:textId="77777777" w:rsidR="00CC543A" w:rsidRPr="009B4A78" w:rsidRDefault="00CC543A" w:rsidP="00F33E49">
            <w:pPr>
              <w:keepNext/>
              <w:keepLines/>
              <w:ind w:right="238"/>
              <w:rPr>
                <w:rFonts w:ascii="Arial" w:hAnsi="Arial" w:cs="Arial"/>
                <w:color w:val="000000"/>
                <w:sz w:val="16"/>
                <w:szCs w:val="16"/>
              </w:rPr>
            </w:pPr>
            <w:r w:rsidRPr="009B4A78">
              <w:rPr>
                <w:rFonts w:ascii="Arial" w:hAnsi="Arial" w:cs="Arial"/>
                <w:color w:val="000000"/>
                <w:sz w:val="16"/>
                <w:szCs w:val="16"/>
              </w:rPr>
              <w:t>3,103 (as at April 15, 2015)</w:t>
            </w:r>
          </w:p>
        </w:tc>
        <w:tc>
          <w:tcPr>
            <w:tcW w:w="2287" w:type="dxa"/>
            <w:tcBorders>
              <w:top w:val="nil"/>
              <w:left w:val="nil"/>
              <w:bottom w:val="single" w:sz="4" w:space="0" w:color="auto"/>
              <w:right w:val="single" w:sz="4" w:space="0" w:color="auto"/>
            </w:tcBorders>
            <w:shd w:val="clear" w:color="000000" w:fill="FFFFFF"/>
            <w:hideMark/>
          </w:tcPr>
          <w:p w14:paraId="6E2571AE" w14:textId="77777777" w:rsidR="00CC543A" w:rsidRPr="009B4A78" w:rsidRDefault="00CC543A" w:rsidP="00F33E49">
            <w:pPr>
              <w:keepNext/>
              <w:keepLines/>
              <w:rPr>
                <w:rFonts w:ascii="Arial" w:hAnsi="Arial" w:cs="Arial"/>
                <w:color w:val="000000"/>
                <w:sz w:val="16"/>
                <w:szCs w:val="16"/>
              </w:rPr>
            </w:pPr>
            <w:r w:rsidRPr="009B4A78">
              <w:rPr>
                <w:rFonts w:ascii="Arial" w:hAnsi="Arial" w:cs="Arial"/>
                <w:color w:val="000000"/>
                <w:sz w:val="16"/>
                <w:szCs w:val="16"/>
              </w:rPr>
              <w:t xml:space="preserve">120 new signs published during the biennium </w:t>
            </w:r>
          </w:p>
        </w:tc>
      </w:tr>
    </w:tbl>
    <w:p w14:paraId="32E24077" w14:textId="77777777" w:rsidR="00CC543A" w:rsidRPr="009B4A78" w:rsidRDefault="00CC543A" w:rsidP="00F33E49">
      <w:pPr>
        <w:jc w:val="both"/>
        <w:rPr>
          <w:rFonts w:ascii="Arial" w:hAnsi="Arial" w:cs="Arial"/>
          <w:sz w:val="20"/>
        </w:rPr>
      </w:pPr>
    </w:p>
    <w:p w14:paraId="2CCFF67D" w14:textId="77777777" w:rsidR="00CC543A" w:rsidRPr="009B4A78" w:rsidRDefault="00CC543A" w:rsidP="00F33E49">
      <w:pPr>
        <w:jc w:val="both"/>
        <w:rPr>
          <w:rFonts w:ascii="Arial" w:hAnsi="Arial" w:cs="Arial"/>
          <w:sz w:val="20"/>
        </w:rPr>
      </w:pPr>
    </w:p>
    <w:p w14:paraId="03DB0C3A" w14:textId="77777777" w:rsidR="00BC57C8" w:rsidRDefault="00BC57C8" w:rsidP="00F33E49">
      <w:pPr>
        <w:jc w:val="both"/>
        <w:rPr>
          <w:rFonts w:ascii="Arial" w:hAnsi="Arial" w:cs="Arial"/>
        </w:rPr>
      </w:pPr>
    </w:p>
    <w:p w14:paraId="412FEA68" w14:textId="77777777" w:rsidR="00CC543A" w:rsidRPr="009B4A78" w:rsidRDefault="00CC543A" w:rsidP="00F33E49">
      <w:pPr>
        <w:jc w:val="both"/>
        <w:rPr>
          <w:rFonts w:ascii="Arial" w:hAnsi="Arial" w:cs="Arial"/>
        </w:rPr>
      </w:pPr>
      <w:r w:rsidRPr="009B4A78">
        <w:rPr>
          <w:rFonts w:ascii="Arial" w:hAnsi="Arial" w:cs="Arial"/>
        </w:rPr>
        <w:lastRenderedPageBreak/>
        <w:t>RESOURCES FOR PROGRAM 2</w:t>
      </w:r>
    </w:p>
    <w:p w14:paraId="66407F2E" w14:textId="77777777" w:rsidR="00CC543A" w:rsidRPr="009B4A78" w:rsidRDefault="00CC543A" w:rsidP="00F33E49">
      <w:pPr>
        <w:jc w:val="both"/>
        <w:rPr>
          <w:rFonts w:ascii="Arial" w:hAnsi="Arial" w:cs="Arial"/>
        </w:rPr>
      </w:pPr>
    </w:p>
    <w:p w14:paraId="535BFB06" w14:textId="323E8C3D" w:rsidR="00CC543A" w:rsidRPr="009B4A78" w:rsidRDefault="00CC543A" w:rsidP="00B66A4A">
      <w:pPr>
        <w:keepNext/>
        <w:keepLines/>
        <w:numPr>
          <w:ilvl w:val="0"/>
          <w:numId w:val="3"/>
        </w:numPr>
        <w:jc w:val="both"/>
        <w:rPr>
          <w:rFonts w:ascii="Arial" w:hAnsi="Arial" w:cs="Arial"/>
          <w:sz w:val="20"/>
        </w:rPr>
      </w:pPr>
      <w:r w:rsidRPr="009B4A78">
        <w:rPr>
          <w:rFonts w:ascii="Arial" w:hAnsi="Arial" w:cs="Arial"/>
          <w:sz w:val="20"/>
        </w:rPr>
        <w:t xml:space="preserve">The </w:t>
      </w:r>
      <w:r w:rsidRPr="00FB68E0">
        <w:rPr>
          <w:rFonts w:ascii="Arial" w:hAnsi="Arial" w:cs="Arial"/>
          <w:sz w:val="20"/>
        </w:rPr>
        <w:t>overall resources for Program 2 in 2016/17</w:t>
      </w:r>
      <w:r w:rsidRPr="009B4A78">
        <w:rPr>
          <w:rFonts w:ascii="Arial" w:hAnsi="Arial" w:cs="Arial"/>
          <w:sz w:val="20"/>
        </w:rPr>
        <w:t xml:space="preserve"> show a decrease compared to both the 2014/15 Approved Budget and the 2014/15 Budget after Transfers. This is due to:  (i) a budgetary provision of up to three sessions of the SCT in 2016/17 as compared to four sessions in 2014/15 and (i</w:t>
      </w:r>
      <w:r w:rsidR="008256AB">
        <w:rPr>
          <w:rFonts w:ascii="Arial" w:hAnsi="Arial" w:cs="Arial"/>
          <w:sz w:val="20"/>
        </w:rPr>
        <w:t>i</w:t>
      </w:r>
      <w:r w:rsidRPr="009B4A78">
        <w:rPr>
          <w:rFonts w:ascii="Arial" w:hAnsi="Arial" w:cs="Arial"/>
          <w:sz w:val="20"/>
        </w:rPr>
        <w:t xml:space="preserve">) </w:t>
      </w:r>
      <w:r w:rsidR="00C871DB">
        <w:rPr>
          <w:rFonts w:ascii="Arial" w:hAnsi="Arial" w:cs="Arial"/>
          <w:sz w:val="20"/>
        </w:rPr>
        <w:t xml:space="preserve">the </w:t>
      </w:r>
      <w:r w:rsidRPr="009B4A78">
        <w:rPr>
          <w:rFonts w:ascii="Arial" w:hAnsi="Arial" w:cs="Arial"/>
          <w:sz w:val="20"/>
        </w:rPr>
        <w:t>budgetary provision for a possible diplomatic conference in 2016/17</w:t>
      </w:r>
      <w:r w:rsidR="00C871DB">
        <w:rPr>
          <w:rFonts w:ascii="Arial" w:hAnsi="Arial" w:cs="Arial"/>
          <w:sz w:val="20"/>
        </w:rPr>
        <w:t xml:space="preserve"> now reflected under “Unallocated”</w:t>
      </w:r>
      <w:r w:rsidRPr="009B4A78">
        <w:rPr>
          <w:rFonts w:ascii="Arial" w:hAnsi="Arial" w:cs="Arial"/>
          <w:sz w:val="20"/>
        </w:rPr>
        <w:t xml:space="preserve">.  This is reflected in the decrease of resources under Expected Result I.1. </w:t>
      </w:r>
    </w:p>
    <w:p w14:paraId="0ABA03ED" w14:textId="77777777" w:rsidR="00CC543A" w:rsidRPr="009B4A78" w:rsidRDefault="00CC543A" w:rsidP="00F33E49">
      <w:pPr>
        <w:jc w:val="both"/>
        <w:rPr>
          <w:rFonts w:ascii="Arial" w:hAnsi="Arial" w:cs="Arial"/>
          <w:sz w:val="20"/>
        </w:rPr>
      </w:pPr>
    </w:p>
    <w:p w14:paraId="1D356069" w14:textId="7593B8E7" w:rsidR="00CC543A" w:rsidRPr="009B4A78" w:rsidRDefault="00CC543A" w:rsidP="00B66A4A">
      <w:pPr>
        <w:keepNext/>
        <w:keepLines/>
        <w:numPr>
          <w:ilvl w:val="0"/>
          <w:numId w:val="3"/>
        </w:numPr>
        <w:jc w:val="both"/>
        <w:rPr>
          <w:rFonts w:ascii="Arial" w:hAnsi="Arial" w:cs="Arial"/>
          <w:sz w:val="20"/>
        </w:rPr>
      </w:pPr>
      <w:r w:rsidRPr="009B4A78">
        <w:rPr>
          <w:rFonts w:ascii="Arial" w:hAnsi="Arial" w:cs="Arial"/>
          <w:sz w:val="20"/>
        </w:rPr>
        <w:t xml:space="preserve">The resources under Expected Result III.4 in the 2014/15 Approved Budget reflect the DA project on IP and Design Creation for Business Development in Developing and Least </w:t>
      </w:r>
      <w:r w:rsidR="00C871DB">
        <w:rPr>
          <w:rFonts w:ascii="Arial" w:hAnsi="Arial" w:cs="Arial"/>
          <w:sz w:val="20"/>
        </w:rPr>
        <w:t xml:space="preserve">Developed Countries </w:t>
      </w:r>
      <w:r w:rsidRPr="009B4A78">
        <w:rPr>
          <w:rFonts w:ascii="Arial" w:hAnsi="Arial" w:cs="Arial"/>
          <w:sz w:val="20"/>
        </w:rPr>
        <w:t>is expected to be completed by the end of 2015. Hence no resources are foreseen under this Expected Result in 2016/17.</w:t>
      </w:r>
    </w:p>
    <w:p w14:paraId="23C0504C" w14:textId="626A76C0" w:rsidR="00CC543A" w:rsidRDefault="00CC543A" w:rsidP="00F33E49">
      <w:pPr>
        <w:jc w:val="both"/>
        <w:rPr>
          <w:rFonts w:ascii="Arial" w:hAnsi="Arial" w:cs="Arial"/>
          <w:sz w:val="20"/>
        </w:rPr>
      </w:pPr>
    </w:p>
    <w:p w14:paraId="2CAC2093" w14:textId="77777777" w:rsidR="00757237" w:rsidRPr="00FB68E0" w:rsidRDefault="00757237" w:rsidP="00F33E49">
      <w:pPr>
        <w:jc w:val="both"/>
        <w:rPr>
          <w:rFonts w:ascii="Arial" w:hAnsi="Arial" w:cs="Arial"/>
          <w:sz w:val="20"/>
        </w:rPr>
      </w:pPr>
    </w:p>
    <w:p w14:paraId="45B62CBB" w14:textId="77777777" w:rsidR="00CC543A" w:rsidRPr="009B4A78" w:rsidRDefault="00CC543A" w:rsidP="00F33E49">
      <w:pPr>
        <w:keepNext/>
        <w:keepLines/>
        <w:autoSpaceDE w:val="0"/>
        <w:autoSpaceDN w:val="0"/>
        <w:jc w:val="center"/>
        <w:rPr>
          <w:rFonts w:ascii="Arial" w:hAnsi="Arial" w:cs="Arial"/>
          <w:b/>
          <w:sz w:val="20"/>
        </w:rPr>
      </w:pPr>
      <w:r w:rsidRPr="00191706">
        <w:rPr>
          <w:rFonts w:ascii="Arial" w:hAnsi="Arial" w:cs="Arial"/>
          <w:b/>
          <w:sz w:val="20"/>
        </w:rPr>
        <w:t>Program 2: Resources by Result</w:t>
      </w:r>
    </w:p>
    <w:p w14:paraId="78DED387" w14:textId="77777777" w:rsidR="00CC543A" w:rsidRPr="009B4A78" w:rsidRDefault="00CC543A"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1765DAD5" w14:textId="77777777" w:rsidR="00CC543A" w:rsidRPr="009B4A78" w:rsidRDefault="00CC543A" w:rsidP="00F33E49">
      <w:pPr>
        <w:keepNext/>
        <w:keepLines/>
        <w:rPr>
          <w:rFonts w:ascii="Arial" w:hAnsi="Arial" w:cs="Arial"/>
          <w:sz w:val="20"/>
        </w:rPr>
      </w:pPr>
    </w:p>
    <w:p w14:paraId="4FA1C02A" w14:textId="6E3B9BEF" w:rsidR="00CC543A" w:rsidRPr="009B4A78" w:rsidRDefault="00191706" w:rsidP="00F33E49">
      <w:pPr>
        <w:rPr>
          <w:rFonts w:ascii="Arial" w:hAnsi="Arial" w:cs="Arial"/>
          <w:sz w:val="20"/>
        </w:rPr>
      </w:pPr>
      <w:r w:rsidRPr="00191706">
        <w:rPr>
          <w:noProof/>
          <w:lang w:eastAsia="en-US"/>
        </w:rPr>
        <w:drawing>
          <wp:inline distT="0" distB="0" distL="0" distR="0" wp14:anchorId="693B0DFF" wp14:editId="64E784D6">
            <wp:extent cx="5679440" cy="270573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79440" cy="2705735"/>
                    </a:xfrm>
                    <a:prstGeom prst="rect">
                      <a:avLst/>
                    </a:prstGeom>
                    <a:noFill/>
                    <a:ln>
                      <a:noFill/>
                    </a:ln>
                  </pic:spPr>
                </pic:pic>
              </a:graphicData>
            </a:graphic>
          </wp:inline>
        </w:drawing>
      </w:r>
    </w:p>
    <w:p w14:paraId="0B55DAC3" w14:textId="77777777" w:rsidR="00CC543A" w:rsidRPr="009B4A78" w:rsidRDefault="00CC543A">
      <w:pPr>
        <w:rPr>
          <w:rFonts w:ascii="Arial" w:hAnsi="Arial" w:cs="Arial"/>
          <w:sz w:val="20"/>
        </w:rPr>
      </w:pPr>
    </w:p>
    <w:p w14:paraId="77B61399" w14:textId="77777777" w:rsidR="00CC543A" w:rsidRPr="009B4A78" w:rsidRDefault="00CC543A" w:rsidP="00F33E49">
      <w:pPr>
        <w:keepNext/>
        <w:keepLines/>
        <w:autoSpaceDE w:val="0"/>
        <w:autoSpaceDN w:val="0"/>
        <w:jc w:val="center"/>
        <w:rPr>
          <w:rFonts w:ascii="Arial" w:hAnsi="Arial" w:cs="Arial"/>
          <w:b/>
          <w:sz w:val="20"/>
        </w:rPr>
      </w:pPr>
      <w:r w:rsidRPr="009B4A78">
        <w:rPr>
          <w:rFonts w:ascii="Arial" w:hAnsi="Arial" w:cs="Arial"/>
          <w:b/>
          <w:sz w:val="20"/>
        </w:rPr>
        <w:lastRenderedPageBreak/>
        <w:t>Program 2: Resources by Object of Expenditure</w:t>
      </w:r>
    </w:p>
    <w:p w14:paraId="1F1ACD98" w14:textId="77777777" w:rsidR="00CC543A" w:rsidRPr="009B4A78" w:rsidRDefault="00CC543A"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624E012E" w14:textId="77777777" w:rsidR="00CC543A" w:rsidRPr="009B4A78" w:rsidRDefault="00CC543A" w:rsidP="00F33E49">
      <w:pPr>
        <w:keepNext/>
        <w:keepLines/>
        <w:autoSpaceDE w:val="0"/>
        <w:autoSpaceDN w:val="0"/>
        <w:jc w:val="center"/>
        <w:rPr>
          <w:rFonts w:ascii="Arial" w:hAnsi="Arial" w:cs="Arial"/>
          <w:i/>
          <w:sz w:val="20"/>
        </w:rPr>
      </w:pPr>
    </w:p>
    <w:p w14:paraId="65902E0E" w14:textId="77777777" w:rsidR="00CC543A" w:rsidRPr="009B4A78" w:rsidRDefault="00CC543A" w:rsidP="00F33E49">
      <w:pPr>
        <w:keepNext/>
        <w:keepLines/>
        <w:jc w:val="center"/>
        <w:rPr>
          <w:rFonts w:ascii="Arial" w:hAnsi="Arial" w:cs="Arial"/>
          <w:sz w:val="20"/>
        </w:rPr>
      </w:pPr>
      <w:r w:rsidRPr="009B4A78">
        <w:rPr>
          <w:rFonts w:ascii="Arial" w:hAnsi="Arial" w:cs="Arial"/>
          <w:noProof/>
          <w:lang w:eastAsia="en-US"/>
        </w:rPr>
        <w:drawing>
          <wp:inline distT="0" distB="0" distL="0" distR="0" wp14:anchorId="6EE2CAFA" wp14:editId="26CB29D8">
            <wp:extent cx="5704491" cy="6436426"/>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04491" cy="6436426"/>
                    </a:xfrm>
                    <a:prstGeom prst="rect">
                      <a:avLst/>
                    </a:prstGeom>
                    <a:noFill/>
                    <a:ln>
                      <a:noFill/>
                    </a:ln>
                  </pic:spPr>
                </pic:pic>
              </a:graphicData>
            </a:graphic>
          </wp:inline>
        </w:drawing>
      </w:r>
    </w:p>
    <w:p w14:paraId="6743C1F3" w14:textId="77777777" w:rsidR="00CC543A" w:rsidRPr="009B4A78" w:rsidRDefault="00CC543A" w:rsidP="00F33E49">
      <w:pPr>
        <w:jc w:val="center"/>
        <w:rPr>
          <w:rFonts w:ascii="Arial" w:hAnsi="Arial" w:cs="Arial"/>
          <w:sz w:val="20"/>
        </w:rPr>
      </w:pPr>
    </w:p>
    <w:p w14:paraId="2D747293" w14:textId="77777777" w:rsidR="00CC543A" w:rsidRPr="009B4A78" w:rsidRDefault="00CC543A" w:rsidP="00F33E49">
      <w:pPr>
        <w:jc w:val="center"/>
        <w:rPr>
          <w:rFonts w:ascii="Arial" w:hAnsi="Arial" w:cs="Arial"/>
          <w:sz w:val="20"/>
        </w:rPr>
      </w:pPr>
    </w:p>
    <w:p w14:paraId="18F5A3D3" w14:textId="3C58745B" w:rsidR="00E92683" w:rsidRPr="009B4A78" w:rsidRDefault="00E92683">
      <w:pPr>
        <w:rPr>
          <w:rFonts w:ascii="Arial" w:hAnsi="Arial" w:cs="Arial"/>
          <w:sz w:val="20"/>
          <w:szCs w:val="20"/>
        </w:rPr>
      </w:pPr>
      <w:r w:rsidRPr="009B4A78">
        <w:rPr>
          <w:rFonts w:ascii="Arial" w:hAnsi="Arial" w:cs="Arial"/>
          <w:sz w:val="20"/>
          <w:szCs w:val="20"/>
        </w:rPr>
        <w:br w:type="page"/>
      </w:r>
    </w:p>
    <w:p w14:paraId="13FB64E6" w14:textId="77777777" w:rsidR="00E92683" w:rsidRPr="009B4A78" w:rsidRDefault="00E92683" w:rsidP="00F33E49">
      <w:pPr>
        <w:pStyle w:val="StyleHeading3ComplexItalic"/>
        <w:rPr>
          <w:rStyle w:val="StyleStyleHeading3ComplexItalicLatin12ptChar"/>
          <w:rFonts w:eastAsia="SimSun"/>
          <w:b/>
          <w:szCs w:val="24"/>
        </w:rPr>
      </w:pPr>
      <w:bookmarkStart w:id="27" w:name="_Toc367350574"/>
      <w:bookmarkStart w:id="28" w:name="_Toc427154397"/>
      <w:r w:rsidRPr="009B4A78">
        <w:rPr>
          <w:rStyle w:val="StyleStyleHeading3ComplexItalicLatin12ptChar"/>
          <w:rFonts w:eastAsia="SimSun"/>
          <w:b/>
          <w:szCs w:val="24"/>
        </w:rPr>
        <w:lastRenderedPageBreak/>
        <w:t>PROGRAM</w:t>
      </w:r>
      <w:r w:rsidRPr="009B4A78">
        <w:rPr>
          <w:b w:val="0"/>
          <w:caps w:val="0"/>
          <w:szCs w:val="24"/>
        </w:rPr>
        <w:t xml:space="preserve"> </w:t>
      </w:r>
      <w:r w:rsidRPr="009B4A78">
        <w:rPr>
          <w:caps w:val="0"/>
          <w:szCs w:val="24"/>
        </w:rPr>
        <w:t>3</w:t>
      </w:r>
      <w:r w:rsidRPr="009B4A78">
        <w:rPr>
          <w:szCs w:val="24"/>
        </w:rPr>
        <w:tab/>
      </w:r>
      <w:r w:rsidRPr="009B4A78">
        <w:rPr>
          <w:rStyle w:val="StyleStyleHeading3ComplexItalicLatin12ptChar"/>
          <w:rFonts w:eastAsia="SimSun"/>
          <w:b/>
          <w:szCs w:val="24"/>
        </w:rPr>
        <w:t>COPYRIGHT</w:t>
      </w:r>
      <w:r w:rsidRPr="009B4A78">
        <w:rPr>
          <w:b w:val="0"/>
          <w:caps w:val="0"/>
          <w:szCs w:val="24"/>
        </w:rPr>
        <w:t xml:space="preserve"> </w:t>
      </w:r>
      <w:r w:rsidRPr="009B4A78">
        <w:rPr>
          <w:rStyle w:val="StyleStyleHeading3ComplexItalicLatin12ptChar"/>
          <w:rFonts w:eastAsia="SimSun"/>
          <w:b/>
          <w:szCs w:val="24"/>
        </w:rPr>
        <w:t>AND</w:t>
      </w:r>
      <w:r w:rsidRPr="009B4A78">
        <w:rPr>
          <w:b w:val="0"/>
          <w:caps w:val="0"/>
          <w:szCs w:val="24"/>
        </w:rPr>
        <w:t xml:space="preserve"> </w:t>
      </w:r>
      <w:r w:rsidRPr="009B4A78">
        <w:rPr>
          <w:rStyle w:val="StyleStyleHeading3ComplexItalicLatin12ptChar"/>
          <w:rFonts w:eastAsia="SimSun"/>
          <w:b/>
          <w:szCs w:val="24"/>
        </w:rPr>
        <w:t>RELATED</w:t>
      </w:r>
      <w:r w:rsidRPr="009B4A78">
        <w:rPr>
          <w:b w:val="0"/>
          <w:caps w:val="0"/>
          <w:szCs w:val="24"/>
        </w:rPr>
        <w:t xml:space="preserve"> </w:t>
      </w:r>
      <w:r w:rsidRPr="009B4A78">
        <w:rPr>
          <w:rStyle w:val="StyleStyleHeading3ComplexItalicLatin12ptChar"/>
          <w:rFonts w:eastAsia="SimSun"/>
          <w:b/>
          <w:szCs w:val="24"/>
        </w:rPr>
        <w:t>RIGHTS</w:t>
      </w:r>
      <w:bookmarkEnd w:id="27"/>
      <w:bookmarkEnd w:id="28"/>
    </w:p>
    <w:p w14:paraId="2E5A8CE5" w14:textId="77777777" w:rsidR="00E92683" w:rsidRPr="009B4A78" w:rsidRDefault="00E92683" w:rsidP="00F33E49">
      <w:pPr>
        <w:tabs>
          <w:tab w:val="left" w:pos="2268"/>
        </w:tabs>
        <w:ind w:left="2268" w:hanging="2268"/>
        <w:rPr>
          <w:rFonts w:ascii="Arial" w:hAnsi="Arial" w:cs="Arial"/>
          <w:bCs/>
        </w:rPr>
      </w:pPr>
    </w:p>
    <w:p w14:paraId="62DBEFA7" w14:textId="77777777" w:rsidR="00E92683" w:rsidRPr="009B4A78" w:rsidRDefault="00E92683" w:rsidP="00F33E49">
      <w:pPr>
        <w:pStyle w:val="BodyTextIndent"/>
        <w:ind w:left="1985" w:hanging="1985"/>
        <w:rPr>
          <w:rFonts w:ascii="Arial" w:hAnsi="Arial" w:cs="Arial"/>
          <w:sz w:val="22"/>
          <w:szCs w:val="22"/>
        </w:rPr>
      </w:pPr>
    </w:p>
    <w:p w14:paraId="2A85B7EE" w14:textId="77777777" w:rsidR="00E92683" w:rsidRPr="009B4A78" w:rsidRDefault="00E92683" w:rsidP="00F33E49">
      <w:pPr>
        <w:pStyle w:val="BodyTextIndent"/>
        <w:ind w:left="1985" w:hanging="1985"/>
        <w:rPr>
          <w:rFonts w:ascii="Arial" w:hAnsi="Arial" w:cs="Arial"/>
          <w:sz w:val="22"/>
          <w:szCs w:val="24"/>
        </w:rPr>
      </w:pPr>
      <w:r w:rsidRPr="009B4A78">
        <w:rPr>
          <w:rFonts w:ascii="Arial" w:hAnsi="Arial" w:cs="Arial"/>
          <w:sz w:val="22"/>
          <w:szCs w:val="24"/>
        </w:rPr>
        <w:t>PLANNING CONTEXT</w:t>
      </w:r>
    </w:p>
    <w:p w14:paraId="66EDEC44" w14:textId="77777777" w:rsidR="00E92683" w:rsidRPr="009B4A78" w:rsidRDefault="00E92683" w:rsidP="00F33E49">
      <w:pPr>
        <w:pStyle w:val="BodyTextIndent"/>
        <w:ind w:left="1985" w:hanging="1985"/>
        <w:rPr>
          <w:rFonts w:ascii="Arial" w:hAnsi="Arial" w:cs="Arial"/>
          <w:sz w:val="20"/>
          <w:szCs w:val="22"/>
        </w:rPr>
      </w:pPr>
    </w:p>
    <w:p w14:paraId="508DDF7E" w14:textId="77777777" w:rsidR="00E92683" w:rsidRPr="009B4A78" w:rsidRDefault="00E92683" w:rsidP="00B66A4A">
      <w:pPr>
        <w:numPr>
          <w:ilvl w:val="0"/>
          <w:numId w:val="4"/>
        </w:numPr>
        <w:autoSpaceDE w:val="0"/>
        <w:autoSpaceDN w:val="0"/>
        <w:adjustRightInd w:val="0"/>
        <w:jc w:val="both"/>
        <w:rPr>
          <w:rFonts w:ascii="Arial" w:hAnsi="Arial" w:cs="Arial"/>
          <w:sz w:val="20"/>
        </w:rPr>
      </w:pPr>
      <w:r w:rsidRPr="009B4A78">
        <w:rPr>
          <w:rFonts w:ascii="Arial" w:hAnsi="Arial" w:cs="Arial"/>
          <w:sz w:val="20"/>
        </w:rPr>
        <w:t>Fundamental changes have occurred in the global environment for creative works, which produce challenges and opportunities for WIPO.  This is most evident in the area of copyright and related rights where digital technology, the Internet and mobile applications are profoundly changing the culture and creative industries.</w:t>
      </w:r>
    </w:p>
    <w:p w14:paraId="6DC3C91A" w14:textId="77777777" w:rsidR="00E92683" w:rsidRPr="009B4A78" w:rsidRDefault="00E92683">
      <w:pPr>
        <w:autoSpaceDE w:val="0"/>
        <w:autoSpaceDN w:val="0"/>
        <w:adjustRightInd w:val="0"/>
        <w:jc w:val="both"/>
        <w:rPr>
          <w:rFonts w:ascii="Arial" w:hAnsi="Arial" w:cs="Arial"/>
          <w:sz w:val="20"/>
        </w:rPr>
      </w:pPr>
    </w:p>
    <w:p w14:paraId="2D0D790E" w14:textId="377B2A02" w:rsidR="00E92683" w:rsidRPr="009B4A78" w:rsidRDefault="00E92683" w:rsidP="00B66A4A">
      <w:pPr>
        <w:numPr>
          <w:ilvl w:val="0"/>
          <w:numId w:val="4"/>
        </w:numPr>
        <w:autoSpaceDE w:val="0"/>
        <w:autoSpaceDN w:val="0"/>
        <w:adjustRightInd w:val="0"/>
        <w:jc w:val="both"/>
        <w:rPr>
          <w:rFonts w:ascii="Arial" w:hAnsi="Arial" w:cs="Arial"/>
          <w:sz w:val="20"/>
        </w:rPr>
      </w:pPr>
      <w:r w:rsidRPr="009B4A78">
        <w:rPr>
          <w:rFonts w:ascii="Arial" w:hAnsi="Arial" w:cs="Arial"/>
          <w:sz w:val="20"/>
        </w:rPr>
        <w:t>The following issues and challenges continue to be relevant in the next biennium.</w:t>
      </w:r>
      <w:r w:rsidR="00BC57C8">
        <w:rPr>
          <w:rFonts w:ascii="Arial" w:hAnsi="Arial" w:cs="Arial"/>
          <w:sz w:val="20"/>
        </w:rPr>
        <w:t xml:space="preserve"> </w:t>
      </w:r>
      <w:r w:rsidRPr="009B4A78">
        <w:rPr>
          <w:rFonts w:ascii="Arial" w:hAnsi="Arial" w:cs="Arial"/>
          <w:sz w:val="20"/>
        </w:rPr>
        <w:t xml:space="preserve">As regards, normative and policy related work, a number of outstanding issues remain to be resolved on the copyright normative agenda.  Subjects for the future agenda of the Standing Committee on Copyright and Related Rights (SCCR) will also need to be identified.  </w:t>
      </w:r>
    </w:p>
    <w:p w14:paraId="78E9DF88" w14:textId="77777777" w:rsidR="00E92683" w:rsidRPr="009B4A78" w:rsidRDefault="00E92683" w:rsidP="00F33E49">
      <w:pPr>
        <w:autoSpaceDE w:val="0"/>
        <w:autoSpaceDN w:val="0"/>
        <w:adjustRightInd w:val="0"/>
        <w:jc w:val="both"/>
        <w:rPr>
          <w:rFonts w:ascii="Arial" w:hAnsi="Arial" w:cs="Arial"/>
          <w:sz w:val="20"/>
        </w:rPr>
      </w:pPr>
    </w:p>
    <w:p w14:paraId="3F314F41" w14:textId="65E29D49" w:rsidR="00E92683" w:rsidRPr="009B4A78" w:rsidRDefault="00E92683" w:rsidP="00B66A4A">
      <w:pPr>
        <w:numPr>
          <w:ilvl w:val="0"/>
          <w:numId w:val="4"/>
        </w:numPr>
        <w:autoSpaceDE w:val="0"/>
        <w:autoSpaceDN w:val="0"/>
        <w:adjustRightInd w:val="0"/>
        <w:jc w:val="both"/>
        <w:rPr>
          <w:rFonts w:ascii="Arial" w:hAnsi="Arial" w:cs="Arial"/>
          <w:sz w:val="20"/>
        </w:rPr>
      </w:pPr>
      <w:r w:rsidRPr="009B4A78">
        <w:rPr>
          <w:rFonts w:ascii="Arial" w:hAnsi="Arial" w:cs="Arial"/>
          <w:sz w:val="20"/>
        </w:rPr>
        <w:t>In addition, a key challenge for the Secretariat will be to respond to Member States’ requests for advice in making their national laws compatible with their international obligations</w:t>
      </w:r>
      <w:r w:rsidR="0025458F">
        <w:rPr>
          <w:rFonts w:ascii="Arial" w:hAnsi="Arial" w:cs="Arial"/>
          <w:sz w:val="20"/>
        </w:rPr>
        <w:t>, taking into account the existing flexibilities in the multi-lateral system</w:t>
      </w:r>
      <w:r w:rsidRPr="009B4A78">
        <w:rPr>
          <w:rFonts w:ascii="Arial" w:hAnsi="Arial" w:cs="Arial"/>
          <w:sz w:val="20"/>
        </w:rPr>
        <w:t xml:space="preserve">. </w:t>
      </w:r>
    </w:p>
    <w:p w14:paraId="2DF9269A" w14:textId="77777777" w:rsidR="00E27FBC" w:rsidRPr="00DF1376" w:rsidRDefault="00E27FBC" w:rsidP="00E27FBC">
      <w:pPr>
        <w:autoSpaceDE w:val="0"/>
        <w:autoSpaceDN w:val="0"/>
        <w:adjustRightInd w:val="0"/>
        <w:jc w:val="both"/>
        <w:rPr>
          <w:rFonts w:ascii="Arial" w:hAnsi="Arial" w:cs="Arial"/>
          <w:sz w:val="20"/>
        </w:rPr>
      </w:pPr>
    </w:p>
    <w:p w14:paraId="4A4AAD19" w14:textId="3277C010"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sz w:val="20"/>
        </w:rPr>
        <w:t>Develop</w:t>
      </w:r>
      <w:r>
        <w:rPr>
          <w:rFonts w:ascii="Arial" w:hAnsi="Arial" w:cs="Arial"/>
          <w:sz w:val="20"/>
        </w:rPr>
        <w:t>ing</w:t>
      </w:r>
      <w:r w:rsidRPr="00DF1376">
        <w:rPr>
          <w:rFonts w:ascii="Arial" w:hAnsi="Arial" w:cs="Arial"/>
          <w:sz w:val="20"/>
        </w:rPr>
        <w:t xml:space="preserve"> and least developed countries continue to be challenged by rapid technological developments and the interface of these new technologies with copyright protection systems.  It is therefore essential for WIPO to put in place sustainable technical assistance programs which assist such countries to meet </w:t>
      </w:r>
      <w:r>
        <w:rPr>
          <w:rFonts w:ascii="Arial" w:hAnsi="Arial" w:cs="Arial"/>
          <w:sz w:val="20"/>
        </w:rPr>
        <w:t>related</w:t>
      </w:r>
      <w:r w:rsidRPr="00DF1376">
        <w:rPr>
          <w:rFonts w:ascii="Arial" w:hAnsi="Arial" w:cs="Arial"/>
          <w:sz w:val="20"/>
        </w:rPr>
        <w:t xml:space="preserve"> challenges. </w:t>
      </w:r>
    </w:p>
    <w:p w14:paraId="2DDF790A" w14:textId="77777777" w:rsidR="00E27FBC" w:rsidRPr="00DF1376" w:rsidRDefault="00E27FBC" w:rsidP="00E27FBC">
      <w:pPr>
        <w:autoSpaceDE w:val="0"/>
        <w:autoSpaceDN w:val="0"/>
        <w:adjustRightInd w:val="0"/>
        <w:jc w:val="both"/>
        <w:rPr>
          <w:rFonts w:ascii="Arial" w:hAnsi="Arial" w:cs="Arial"/>
          <w:sz w:val="20"/>
          <w:u w:val="single"/>
        </w:rPr>
      </w:pPr>
    </w:p>
    <w:p w14:paraId="7133501E" w14:textId="370FE4AE"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In a rapidly changing world which is increasingly dependent upon digital technologies, the biggest infrastructure challenge will be to ensure that rightsholders receive their full due and that rights users have easy, legal access to the copyright content of their choice. </w:t>
      </w:r>
    </w:p>
    <w:p w14:paraId="589586C8" w14:textId="77777777" w:rsidR="00E27FBC" w:rsidRPr="00DF1376" w:rsidRDefault="00E27FBC" w:rsidP="00E27FBC">
      <w:pPr>
        <w:autoSpaceDE w:val="0"/>
        <w:autoSpaceDN w:val="0"/>
        <w:adjustRightInd w:val="0"/>
        <w:jc w:val="both"/>
        <w:rPr>
          <w:rFonts w:ascii="Arial" w:hAnsi="Arial" w:cs="Arial"/>
          <w:sz w:val="20"/>
        </w:rPr>
      </w:pPr>
    </w:p>
    <w:p w14:paraId="7B609878" w14:textId="77777777" w:rsidR="00E27FBC" w:rsidRPr="00DF1376" w:rsidRDefault="00E27FBC" w:rsidP="00E27FBC">
      <w:pPr>
        <w:autoSpaceDE w:val="0"/>
        <w:autoSpaceDN w:val="0"/>
        <w:adjustRightInd w:val="0"/>
        <w:rPr>
          <w:rFonts w:ascii="Arial" w:hAnsi="Arial" w:cs="Arial"/>
          <w:sz w:val="20"/>
        </w:rPr>
      </w:pPr>
    </w:p>
    <w:p w14:paraId="43C6306D" w14:textId="77777777" w:rsidR="00E27FBC" w:rsidRPr="002F442C" w:rsidRDefault="00E27FBC" w:rsidP="00E27FBC">
      <w:pPr>
        <w:autoSpaceDE w:val="0"/>
        <w:autoSpaceDN w:val="0"/>
        <w:adjustRightInd w:val="0"/>
        <w:rPr>
          <w:rFonts w:ascii="Arial" w:hAnsi="Arial" w:cs="Arial"/>
          <w:szCs w:val="24"/>
        </w:rPr>
      </w:pPr>
      <w:r w:rsidRPr="002F442C">
        <w:rPr>
          <w:rFonts w:ascii="Arial" w:hAnsi="Arial" w:cs="Arial"/>
          <w:szCs w:val="24"/>
        </w:rPr>
        <w:t>IMPLEMENTATION STRATEGIES</w:t>
      </w:r>
    </w:p>
    <w:p w14:paraId="253C909A" w14:textId="77777777" w:rsidR="00E27FBC" w:rsidRPr="00DF1376" w:rsidRDefault="00E27FBC" w:rsidP="00E27FBC">
      <w:pPr>
        <w:autoSpaceDE w:val="0"/>
        <w:autoSpaceDN w:val="0"/>
        <w:adjustRightInd w:val="0"/>
        <w:rPr>
          <w:rFonts w:ascii="Arial" w:hAnsi="Arial" w:cs="Arial"/>
          <w:sz w:val="18"/>
        </w:rPr>
      </w:pPr>
    </w:p>
    <w:p w14:paraId="1F8436F8" w14:textId="77777777"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bCs/>
          <w:sz w:val="20"/>
        </w:rPr>
        <w:t>A</w:t>
      </w:r>
      <w:r w:rsidRPr="00DF1376">
        <w:rPr>
          <w:rFonts w:ascii="Arial" w:hAnsi="Arial" w:cs="Arial"/>
          <w:sz w:val="20"/>
        </w:rPr>
        <w:t>gainst the above background, the Program will focus on the following priorities in the next biennium the implementation of which will take duly into account DA Recommendations 1, 6, 12 to 17, 19 and 20.</w:t>
      </w:r>
    </w:p>
    <w:p w14:paraId="2E3D8576" w14:textId="77777777" w:rsidR="00E27FBC" w:rsidRPr="00DF1376" w:rsidRDefault="00E27FBC" w:rsidP="00E27FBC">
      <w:pPr>
        <w:jc w:val="both"/>
        <w:rPr>
          <w:rFonts w:ascii="Arial" w:hAnsi="Arial" w:cs="Arial"/>
          <w:sz w:val="20"/>
        </w:rPr>
      </w:pPr>
    </w:p>
    <w:p w14:paraId="0935D0A5" w14:textId="77777777" w:rsidR="00E27FBC" w:rsidRPr="00DF1376" w:rsidRDefault="00E27FBC" w:rsidP="00E27FBC">
      <w:pPr>
        <w:jc w:val="both"/>
        <w:rPr>
          <w:rFonts w:ascii="Arial" w:hAnsi="Arial" w:cs="Arial"/>
          <w:sz w:val="20"/>
          <w:u w:val="single"/>
        </w:rPr>
      </w:pPr>
      <w:r w:rsidRPr="00DF1376">
        <w:rPr>
          <w:rFonts w:ascii="Arial" w:hAnsi="Arial" w:cs="Arial"/>
          <w:sz w:val="20"/>
          <w:u w:val="single"/>
        </w:rPr>
        <w:t>Normative and Policy Related Work</w:t>
      </w:r>
    </w:p>
    <w:p w14:paraId="7091F612" w14:textId="77777777" w:rsidR="00E27FBC" w:rsidRPr="00DF1376" w:rsidRDefault="00E27FBC" w:rsidP="00E27FBC">
      <w:pPr>
        <w:jc w:val="both"/>
        <w:rPr>
          <w:rFonts w:ascii="Arial" w:hAnsi="Arial" w:cs="Arial"/>
          <w:sz w:val="20"/>
        </w:rPr>
      </w:pPr>
    </w:p>
    <w:p w14:paraId="2A9A1038" w14:textId="77C4A9E5"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Two SCCR meetings will be scheduled each year.  Advancement of the normative agenda will focus primarily on facilitating substantive negotiations on SCCR agenda items and responding to Member State requests regarding implementation of new and existing treaties.  The facilitation work will relate to the proposed broadcasting treaty, limitations </w:t>
      </w:r>
      <w:r>
        <w:rPr>
          <w:rFonts w:ascii="Arial" w:hAnsi="Arial" w:cs="Arial"/>
          <w:sz w:val="20"/>
        </w:rPr>
        <w:t xml:space="preserve">and exceptions </w:t>
      </w:r>
      <w:r w:rsidRPr="00DF1376">
        <w:rPr>
          <w:rFonts w:ascii="Arial" w:hAnsi="Arial" w:cs="Arial"/>
          <w:sz w:val="20"/>
        </w:rPr>
        <w:t xml:space="preserve">for libraries, archives and educational </w:t>
      </w:r>
      <w:r>
        <w:rPr>
          <w:rFonts w:ascii="Arial" w:hAnsi="Arial" w:cs="Arial"/>
          <w:sz w:val="20"/>
        </w:rPr>
        <w:t xml:space="preserve">and research </w:t>
      </w:r>
      <w:r w:rsidRPr="00DF1376">
        <w:rPr>
          <w:rFonts w:ascii="Arial" w:hAnsi="Arial" w:cs="Arial"/>
          <w:sz w:val="20"/>
        </w:rPr>
        <w:t xml:space="preserve">institutions, as well as for persons with disabilities (other than print disabilities). </w:t>
      </w:r>
    </w:p>
    <w:p w14:paraId="736CFB99" w14:textId="77777777" w:rsidR="00E27FBC" w:rsidRPr="00DF1376" w:rsidRDefault="00E27FBC" w:rsidP="00E27FBC">
      <w:pPr>
        <w:autoSpaceDE w:val="0"/>
        <w:autoSpaceDN w:val="0"/>
        <w:adjustRightInd w:val="0"/>
        <w:jc w:val="both"/>
        <w:rPr>
          <w:rFonts w:ascii="Arial" w:hAnsi="Arial" w:cs="Arial"/>
          <w:sz w:val="20"/>
        </w:rPr>
      </w:pPr>
    </w:p>
    <w:p w14:paraId="36FD12D2" w14:textId="77777777"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The new treaties to be implemented are the Beijing Treaty on Audiovisual Performances and the Marrakesh Treaty to Facilitate Access to Published Works for Persons Who Are Blind, Visually Impaired or Otherwise Print Disabled.  Work will be undertaken to encourage the implementation of the Beijing and Marrakesh Treaties, in coordination with </w:t>
      </w:r>
      <w:r w:rsidRPr="00DF1376">
        <w:rPr>
          <w:rFonts w:ascii="Arial" w:hAnsi="Arial" w:cs="Arial"/>
          <w:bCs/>
          <w:sz w:val="20"/>
        </w:rPr>
        <w:t xml:space="preserve">representatives of the beneficiaries of the Treaties, intermediaries involved with implementation, and Member States.  </w:t>
      </w:r>
    </w:p>
    <w:p w14:paraId="25C7CDE5" w14:textId="77777777" w:rsidR="00E27FBC" w:rsidRPr="00DF1376" w:rsidRDefault="00E27FBC" w:rsidP="00E27FBC">
      <w:pPr>
        <w:pStyle w:val="ListParagraph"/>
        <w:ind w:left="0"/>
        <w:jc w:val="both"/>
        <w:rPr>
          <w:rFonts w:ascii="Arial" w:hAnsi="Arial" w:cs="Arial"/>
          <w:sz w:val="20"/>
        </w:rPr>
      </w:pPr>
    </w:p>
    <w:p w14:paraId="7D32883B" w14:textId="0A7E3BE0" w:rsidR="00E27FBC" w:rsidRPr="00DF1376" w:rsidRDefault="00E27FBC" w:rsidP="00B66A4A">
      <w:pPr>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A number of studies requested by the SCCR </w:t>
      </w:r>
      <w:r w:rsidR="00DA2DA6">
        <w:rPr>
          <w:rFonts w:ascii="Arial" w:hAnsi="Arial" w:cs="Arial"/>
          <w:sz w:val="20"/>
        </w:rPr>
        <w:t xml:space="preserve">and conferences on topical issues </w:t>
      </w:r>
      <w:r w:rsidRPr="00DF1376">
        <w:rPr>
          <w:rFonts w:ascii="Arial" w:hAnsi="Arial" w:cs="Arial"/>
          <w:sz w:val="20"/>
        </w:rPr>
        <w:t xml:space="preserve">will be undertaken during this biennium.  </w:t>
      </w:r>
    </w:p>
    <w:p w14:paraId="16A12890" w14:textId="77777777" w:rsidR="00E27FBC" w:rsidRPr="00DF1376" w:rsidRDefault="00E27FBC" w:rsidP="00E27FBC">
      <w:pPr>
        <w:autoSpaceDE w:val="0"/>
        <w:autoSpaceDN w:val="0"/>
        <w:adjustRightInd w:val="0"/>
        <w:jc w:val="both"/>
        <w:rPr>
          <w:rFonts w:ascii="Arial" w:hAnsi="Arial" w:cs="Arial"/>
          <w:sz w:val="20"/>
        </w:rPr>
      </w:pPr>
    </w:p>
    <w:p w14:paraId="23535467" w14:textId="77777777" w:rsidR="00E27FBC" w:rsidRPr="00DF1376" w:rsidRDefault="00E27FBC" w:rsidP="005546DD">
      <w:pPr>
        <w:keepNext/>
        <w:keepLines/>
        <w:autoSpaceDE w:val="0"/>
        <w:autoSpaceDN w:val="0"/>
        <w:adjustRightInd w:val="0"/>
        <w:rPr>
          <w:rFonts w:ascii="Arial" w:hAnsi="Arial" w:cs="Arial"/>
          <w:sz w:val="20"/>
          <w:u w:val="single"/>
        </w:rPr>
      </w:pPr>
      <w:r w:rsidRPr="00DF1376">
        <w:rPr>
          <w:rFonts w:ascii="Arial" w:hAnsi="Arial" w:cs="Arial"/>
          <w:sz w:val="20"/>
          <w:u w:val="single"/>
        </w:rPr>
        <w:lastRenderedPageBreak/>
        <w:t xml:space="preserve">Technical Assistance to Developing Countries and LDCs  </w:t>
      </w:r>
    </w:p>
    <w:p w14:paraId="4ED9BD39" w14:textId="77777777" w:rsidR="00E27FBC" w:rsidRPr="00DF1376" w:rsidRDefault="00E27FBC" w:rsidP="005546DD">
      <w:pPr>
        <w:keepNext/>
        <w:keepLines/>
        <w:autoSpaceDE w:val="0"/>
        <w:autoSpaceDN w:val="0"/>
        <w:adjustRightInd w:val="0"/>
        <w:rPr>
          <w:rFonts w:ascii="Arial" w:hAnsi="Arial" w:cs="Arial"/>
          <w:sz w:val="20"/>
        </w:rPr>
      </w:pPr>
    </w:p>
    <w:p w14:paraId="123D0A54" w14:textId="508BE8F1" w:rsidR="00E27FBC" w:rsidRPr="00DF1376" w:rsidRDefault="00E27FBC" w:rsidP="00B66A4A">
      <w:pPr>
        <w:pStyle w:val="ListParagraph"/>
        <w:keepNext/>
        <w:keepLines/>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Technical assistance to developing countries and LDCs will continue to focus on building technical and knowledge capacity within institutions, such as national copyright offices, </w:t>
      </w:r>
      <w:r>
        <w:rPr>
          <w:rFonts w:ascii="Arial" w:hAnsi="Arial" w:cs="Arial"/>
          <w:sz w:val="20"/>
        </w:rPr>
        <w:t xml:space="preserve">and among stakeholders, </w:t>
      </w:r>
      <w:r w:rsidRPr="00DF1376">
        <w:rPr>
          <w:rFonts w:ascii="Arial" w:hAnsi="Arial" w:cs="Arial"/>
          <w:sz w:val="20"/>
        </w:rPr>
        <w:t xml:space="preserve">to facilitate the effective use of the copyright system for social, cultural and economic development.  To this end, internal coordination with other Programs which provide technical assistance will be strengthened and </w:t>
      </w:r>
      <w:r>
        <w:rPr>
          <w:rFonts w:ascii="Arial" w:hAnsi="Arial" w:cs="Arial"/>
          <w:sz w:val="20"/>
        </w:rPr>
        <w:t xml:space="preserve">awareness and capacity building programs and/or </w:t>
      </w:r>
      <w:r w:rsidRPr="00DF1376">
        <w:rPr>
          <w:rFonts w:ascii="Arial" w:hAnsi="Arial" w:cs="Arial"/>
          <w:sz w:val="20"/>
        </w:rPr>
        <w:t xml:space="preserve">tools </w:t>
      </w:r>
      <w:r>
        <w:rPr>
          <w:rFonts w:ascii="Arial" w:hAnsi="Arial" w:cs="Arial"/>
          <w:sz w:val="20"/>
        </w:rPr>
        <w:t xml:space="preserve">for </w:t>
      </w:r>
      <w:r w:rsidRPr="00DF1376">
        <w:rPr>
          <w:rFonts w:ascii="Arial" w:hAnsi="Arial" w:cs="Arial"/>
          <w:sz w:val="20"/>
        </w:rPr>
        <w:t xml:space="preserve">national copyright offices will be designed and developed. </w:t>
      </w:r>
    </w:p>
    <w:p w14:paraId="4AC1EB18" w14:textId="77777777" w:rsidR="00E27FBC" w:rsidRPr="00DF1376" w:rsidRDefault="00E27FBC" w:rsidP="00E27FBC">
      <w:pPr>
        <w:pStyle w:val="ListParagraph"/>
        <w:autoSpaceDE w:val="0"/>
        <w:autoSpaceDN w:val="0"/>
        <w:adjustRightInd w:val="0"/>
        <w:ind w:left="0"/>
        <w:jc w:val="both"/>
        <w:rPr>
          <w:rFonts w:ascii="Arial" w:hAnsi="Arial" w:cs="Arial"/>
          <w:sz w:val="20"/>
        </w:rPr>
      </w:pPr>
    </w:p>
    <w:p w14:paraId="0C64C280" w14:textId="77777777" w:rsidR="00E27FBC" w:rsidRPr="00DF1376" w:rsidRDefault="00E27FBC" w:rsidP="00E27FBC">
      <w:pPr>
        <w:pStyle w:val="ListParagraph"/>
        <w:autoSpaceDE w:val="0"/>
        <w:autoSpaceDN w:val="0"/>
        <w:adjustRightInd w:val="0"/>
        <w:ind w:left="0"/>
        <w:jc w:val="both"/>
        <w:rPr>
          <w:rFonts w:ascii="Arial" w:hAnsi="Arial" w:cs="Arial"/>
          <w:sz w:val="20"/>
          <w:u w:val="single"/>
        </w:rPr>
      </w:pPr>
    </w:p>
    <w:p w14:paraId="1086669E" w14:textId="77777777" w:rsidR="00E27FBC" w:rsidRPr="00DF1376" w:rsidRDefault="00E27FBC" w:rsidP="00E27FBC">
      <w:pPr>
        <w:pStyle w:val="ListParagraph"/>
        <w:autoSpaceDE w:val="0"/>
        <w:autoSpaceDN w:val="0"/>
        <w:adjustRightInd w:val="0"/>
        <w:ind w:left="0"/>
        <w:jc w:val="both"/>
        <w:rPr>
          <w:rFonts w:ascii="Arial" w:hAnsi="Arial" w:cs="Arial"/>
          <w:sz w:val="20"/>
          <w:u w:val="single"/>
        </w:rPr>
      </w:pPr>
      <w:r w:rsidRPr="00DF1376">
        <w:rPr>
          <w:rFonts w:ascii="Arial" w:hAnsi="Arial" w:cs="Arial"/>
          <w:sz w:val="20"/>
          <w:u w:val="single"/>
        </w:rPr>
        <w:t>Advancing the Development of Copyright and Related Rights Infrastructure</w:t>
      </w:r>
    </w:p>
    <w:p w14:paraId="0F1B8522" w14:textId="77777777" w:rsidR="00E27FBC" w:rsidRPr="00DF1376" w:rsidRDefault="00E27FBC" w:rsidP="00E27FBC">
      <w:pPr>
        <w:pStyle w:val="ListParagraph"/>
        <w:ind w:left="0"/>
        <w:jc w:val="both"/>
        <w:rPr>
          <w:rFonts w:ascii="Arial" w:hAnsi="Arial" w:cs="Arial"/>
          <w:sz w:val="20"/>
        </w:rPr>
      </w:pPr>
    </w:p>
    <w:p w14:paraId="7C0AD446" w14:textId="7A0DBB9B" w:rsidR="00E27FBC" w:rsidRPr="00E27FB7" w:rsidRDefault="00E27FBC" w:rsidP="00E27FB7">
      <w:pPr>
        <w:pStyle w:val="ListParagraph"/>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Work in the area of copyright and related rights infrastructure, </w:t>
      </w:r>
      <w:r w:rsidRPr="00DF1376">
        <w:rPr>
          <w:rFonts w:ascii="Arial" w:eastAsia="Calibri" w:hAnsi="Arial" w:cs="Arial"/>
          <w:sz w:val="20"/>
        </w:rPr>
        <w:t xml:space="preserve">will focus on </w:t>
      </w:r>
      <w:r w:rsidRPr="00DF1376">
        <w:rPr>
          <w:rFonts w:ascii="Arial" w:hAnsi="Arial" w:cs="Arial"/>
          <w:sz w:val="20"/>
        </w:rPr>
        <w:t xml:space="preserve">establishing the </w:t>
      </w:r>
      <w:r w:rsidRPr="00DF1376">
        <w:rPr>
          <w:rFonts w:ascii="Arial" w:hAnsi="Arial" w:cs="Arial"/>
          <w:i/>
          <w:sz w:val="20"/>
        </w:rPr>
        <w:t>TAG of Excellence</w:t>
      </w:r>
      <w:r w:rsidR="001339CA">
        <w:rPr>
          <w:rFonts w:ascii="Arial" w:hAnsi="Arial" w:cs="Arial"/>
          <w:i/>
          <w:sz w:val="20"/>
        </w:rPr>
        <w:t xml:space="preserve"> </w:t>
      </w:r>
      <w:r w:rsidR="001D5DB6">
        <w:rPr>
          <w:rFonts w:ascii="Arial" w:hAnsi="Arial" w:cs="Arial"/>
          <w:i/>
          <w:sz w:val="20"/>
        </w:rPr>
        <w:t>(TAG)</w:t>
      </w:r>
      <w:r w:rsidRPr="00DF1376">
        <w:rPr>
          <w:rFonts w:ascii="Arial" w:hAnsi="Arial" w:cs="Arial"/>
          <w:i/>
          <w:sz w:val="20"/>
        </w:rPr>
        <w:t xml:space="preserve"> </w:t>
      </w:r>
      <w:r w:rsidRPr="00DF1376">
        <w:rPr>
          <w:rFonts w:ascii="Arial" w:hAnsi="Arial" w:cs="Arial"/>
          <w:sz w:val="20"/>
        </w:rPr>
        <w:t xml:space="preserve">international quality assurance standard for collective management organizations (CMOs) as well as </w:t>
      </w:r>
      <w:r w:rsidR="00FE1138">
        <w:rPr>
          <w:rFonts w:ascii="Arial" w:hAnsi="Arial" w:cs="Arial"/>
          <w:sz w:val="20"/>
        </w:rPr>
        <w:t xml:space="preserve">an </w:t>
      </w:r>
      <w:r w:rsidRPr="00DF1376">
        <w:rPr>
          <w:rFonts w:ascii="Arial" w:hAnsi="Arial" w:cs="Arial"/>
          <w:sz w:val="20"/>
        </w:rPr>
        <w:t>education program on the transparency, accountability and governance of</w:t>
      </w:r>
      <w:r>
        <w:rPr>
          <w:rFonts w:ascii="Arial" w:hAnsi="Arial" w:cs="Arial"/>
          <w:sz w:val="20"/>
        </w:rPr>
        <w:t> </w:t>
      </w:r>
      <w:r w:rsidRPr="00DF1376">
        <w:rPr>
          <w:rFonts w:ascii="Arial" w:hAnsi="Arial" w:cs="Arial"/>
          <w:sz w:val="20"/>
        </w:rPr>
        <w:t xml:space="preserve">CMOs. </w:t>
      </w:r>
      <w:r w:rsidR="001339CA">
        <w:rPr>
          <w:rFonts w:ascii="Arial" w:hAnsi="Arial" w:cs="Arial"/>
          <w:sz w:val="20"/>
        </w:rPr>
        <w:t xml:space="preserve"> </w:t>
      </w:r>
      <w:r w:rsidR="001339CA" w:rsidRPr="00D86441">
        <w:rPr>
          <w:rFonts w:ascii="Arial" w:hAnsi="Arial" w:cs="Arial"/>
          <w:sz w:val="20"/>
        </w:rPr>
        <w:t>.</w:t>
      </w:r>
      <w:r w:rsidRPr="00DF1376">
        <w:rPr>
          <w:rFonts w:ascii="Arial" w:hAnsi="Arial" w:cs="Arial"/>
          <w:sz w:val="20"/>
        </w:rPr>
        <w:t xml:space="preserve">  </w:t>
      </w:r>
    </w:p>
    <w:p w14:paraId="3B35BDEA" w14:textId="77777777" w:rsidR="00E27FB7" w:rsidRPr="00E27FB7" w:rsidRDefault="00E27FB7" w:rsidP="00E27FB7">
      <w:pPr>
        <w:pStyle w:val="ListParagraph"/>
        <w:autoSpaceDE w:val="0"/>
        <w:autoSpaceDN w:val="0"/>
        <w:adjustRightInd w:val="0"/>
        <w:ind w:left="0"/>
        <w:jc w:val="both"/>
        <w:rPr>
          <w:rFonts w:ascii="Arial" w:hAnsi="Arial" w:cs="Arial"/>
          <w:sz w:val="20"/>
        </w:rPr>
      </w:pPr>
    </w:p>
    <w:p w14:paraId="3831733E" w14:textId="77777777" w:rsidR="00E27FB7" w:rsidRDefault="00E27FBC" w:rsidP="00B66A4A">
      <w:pPr>
        <w:pStyle w:val="ListParagraph"/>
        <w:numPr>
          <w:ilvl w:val="0"/>
          <w:numId w:val="4"/>
        </w:numPr>
        <w:autoSpaceDE w:val="0"/>
        <w:autoSpaceDN w:val="0"/>
        <w:adjustRightInd w:val="0"/>
        <w:jc w:val="both"/>
        <w:rPr>
          <w:rFonts w:ascii="Arial" w:hAnsi="Arial" w:cs="Arial"/>
          <w:sz w:val="20"/>
        </w:rPr>
      </w:pPr>
      <w:r w:rsidRPr="00DF1376">
        <w:rPr>
          <w:rFonts w:ascii="Arial" w:hAnsi="Arial" w:cs="Arial"/>
          <w:sz w:val="20"/>
        </w:rPr>
        <w:t xml:space="preserve">To complement the </w:t>
      </w:r>
      <w:r>
        <w:rPr>
          <w:rFonts w:ascii="Arial" w:hAnsi="Arial" w:cs="Arial"/>
          <w:sz w:val="20"/>
        </w:rPr>
        <w:t xml:space="preserve">above </w:t>
      </w:r>
      <w:r w:rsidRPr="00DF1376">
        <w:rPr>
          <w:rFonts w:ascii="Arial" w:hAnsi="Arial" w:cs="Arial"/>
          <w:sz w:val="20"/>
        </w:rPr>
        <w:t xml:space="preserve">activities, a new portal will be designed and developed </w:t>
      </w:r>
      <w:r>
        <w:rPr>
          <w:rFonts w:ascii="Arial" w:hAnsi="Arial" w:cs="Arial"/>
          <w:sz w:val="20"/>
        </w:rPr>
        <w:t xml:space="preserve">in time </w:t>
      </w:r>
      <w:r w:rsidRPr="00DF1376">
        <w:rPr>
          <w:rFonts w:ascii="Arial" w:hAnsi="Arial" w:cs="Arial"/>
          <w:sz w:val="20"/>
        </w:rPr>
        <w:t>to deliver many of WIPO’s copyright infrastructure projects via the Internet and in partnership with third parties.</w:t>
      </w:r>
    </w:p>
    <w:p w14:paraId="467E7232" w14:textId="7FDA0101" w:rsidR="00E27FBC" w:rsidRPr="00DF1376" w:rsidRDefault="00E27FBC" w:rsidP="00E27FB7">
      <w:pPr>
        <w:pStyle w:val="ListParagraph"/>
        <w:autoSpaceDE w:val="0"/>
        <w:autoSpaceDN w:val="0"/>
        <w:adjustRightInd w:val="0"/>
        <w:ind w:left="0"/>
        <w:jc w:val="both"/>
        <w:rPr>
          <w:rFonts w:ascii="Arial" w:hAnsi="Arial" w:cs="Arial"/>
          <w:sz w:val="20"/>
        </w:rPr>
      </w:pPr>
    </w:p>
    <w:p w14:paraId="33A0BAF7" w14:textId="77777777" w:rsidR="00E27FB7" w:rsidRPr="00E27FB7" w:rsidRDefault="00E27FB7" w:rsidP="00E27FB7">
      <w:pPr>
        <w:pStyle w:val="ListParagraph"/>
        <w:numPr>
          <w:ilvl w:val="0"/>
          <w:numId w:val="4"/>
        </w:numPr>
        <w:autoSpaceDE w:val="0"/>
        <w:autoSpaceDN w:val="0"/>
        <w:adjustRightInd w:val="0"/>
        <w:jc w:val="both"/>
        <w:rPr>
          <w:rFonts w:ascii="Arial" w:hAnsi="Arial" w:cs="Arial"/>
          <w:sz w:val="20"/>
        </w:rPr>
      </w:pPr>
      <w:r>
        <w:rPr>
          <w:rFonts w:ascii="Arial" w:hAnsi="Arial" w:cs="Arial"/>
          <w:sz w:val="20"/>
          <w:szCs w:val="20"/>
        </w:rPr>
        <w:t>Program 3 will provide expertise in copyright and contribute to the development of research studies in close collaboration with Program 16.</w:t>
      </w:r>
    </w:p>
    <w:p w14:paraId="7BEFD03C" w14:textId="77777777" w:rsidR="00E27FBC" w:rsidRPr="00DF1376" w:rsidRDefault="00E27FBC" w:rsidP="00E27FBC">
      <w:pPr>
        <w:pStyle w:val="ListParagraph"/>
        <w:autoSpaceDE w:val="0"/>
        <w:autoSpaceDN w:val="0"/>
        <w:adjustRightInd w:val="0"/>
        <w:ind w:left="0"/>
        <w:jc w:val="both"/>
        <w:rPr>
          <w:rFonts w:ascii="Arial" w:hAnsi="Arial" w:cs="Arial"/>
          <w:sz w:val="20"/>
        </w:rPr>
      </w:pPr>
    </w:p>
    <w:p w14:paraId="39BD4CC6" w14:textId="55220647" w:rsidR="00D65E4D" w:rsidRPr="00B70B7D" w:rsidRDefault="00D65E4D" w:rsidP="00B66A4A">
      <w:pPr>
        <w:pStyle w:val="ListParagraph"/>
        <w:numPr>
          <w:ilvl w:val="0"/>
          <w:numId w:val="4"/>
        </w:numPr>
        <w:autoSpaceDE w:val="0"/>
        <w:autoSpaceDN w:val="0"/>
        <w:adjustRightInd w:val="0"/>
        <w:jc w:val="both"/>
        <w:rPr>
          <w:rFonts w:ascii="Arial" w:hAnsi="Arial" w:cs="Arial"/>
          <w:sz w:val="20"/>
        </w:rPr>
      </w:pPr>
      <w:r w:rsidRPr="00B70B7D">
        <w:rPr>
          <w:rFonts w:ascii="Arial" w:hAnsi="Arial" w:cs="Arial"/>
          <w:sz w:val="20"/>
        </w:rPr>
        <w:t xml:space="preserve">Program </w:t>
      </w:r>
      <w:r w:rsidR="007A5A68">
        <w:rPr>
          <w:rFonts w:ascii="Arial" w:hAnsi="Arial" w:cs="Arial"/>
          <w:sz w:val="20"/>
        </w:rPr>
        <w:t>3</w:t>
      </w:r>
      <w:r w:rsidRPr="00B70B7D">
        <w:rPr>
          <w:rFonts w:ascii="Arial" w:hAnsi="Arial" w:cs="Arial"/>
          <w:sz w:val="20"/>
        </w:rPr>
        <w:t xml:space="preserve"> collaborates primarily with other Programs as illustrated below: </w:t>
      </w:r>
    </w:p>
    <w:p w14:paraId="65AD059D" w14:textId="77777777" w:rsidR="00D65E4D" w:rsidRPr="00FB68E0" w:rsidRDefault="00D65E4D" w:rsidP="00FB68E0">
      <w:pPr>
        <w:pStyle w:val="ListParagraph"/>
        <w:rPr>
          <w:rFonts w:ascii="Arial" w:hAnsi="Arial" w:cs="Arial"/>
          <w:sz w:val="20"/>
        </w:rPr>
      </w:pPr>
    </w:p>
    <w:p w14:paraId="19D32C03" w14:textId="77777777" w:rsidR="00893F56" w:rsidRPr="00DF1376" w:rsidRDefault="00893F56" w:rsidP="00FB68E0">
      <w:pPr>
        <w:pStyle w:val="ListParagraph"/>
        <w:autoSpaceDE w:val="0"/>
        <w:autoSpaceDN w:val="0"/>
        <w:adjustRightInd w:val="0"/>
        <w:ind w:left="0"/>
        <w:jc w:val="both"/>
        <w:rPr>
          <w:rFonts w:ascii="Arial" w:hAnsi="Arial" w:cs="Arial"/>
          <w:sz w:val="20"/>
        </w:rPr>
      </w:pPr>
    </w:p>
    <w:p w14:paraId="435033E3" w14:textId="77777777" w:rsidR="00E27FBC" w:rsidRPr="00DF1376" w:rsidRDefault="00E27FBC" w:rsidP="00E27FBC">
      <w:pPr>
        <w:autoSpaceDE w:val="0"/>
        <w:autoSpaceDN w:val="0"/>
        <w:adjustRightInd w:val="0"/>
        <w:jc w:val="both"/>
        <w:rPr>
          <w:rFonts w:ascii="Arial" w:hAnsi="Arial" w:cs="Arial"/>
          <w:sz w:val="20"/>
        </w:rPr>
      </w:pPr>
    </w:p>
    <w:p w14:paraId="76E35424" w14:textId="696573D4" w:rsidR="00E27FBC" w:rsidRDefault="003E3D30" w:rsidP="00E27FBC">
      <w:pPr>
        <w:autoSpaceDE w:val="0"/>
        <w:autoSpaceDN w:val="0"/>
        <w:adjustRightInd w:val="0"/>
        <w:rPr>
          <w:rFonts w:ascii="Arial" w:hAnsi="Arial" w:cs="Arial"/>
        </w:rPr>
      </w:pPr>
      <w:r>
        <w:rPr>
          <w:noProof/>
          <w:lang w:eastAsia="en-US"/>
        </w:rPr>
        <w:drawing>
          <wp:inline distT="0" distB="0" distL="0" distR="0" wp14:anchorId="400A3A81" wp14:editId="584C632C">
            <wp:extent cx="5760085" cy="1531917"/>
            <wp:effectExtent l="57150" t="38100" r="0" b="144780"/>
            <wp:docPr id="87" name="Diagram 8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7EB8FD1D" w14:textId="77777777" w:rsidR="00893F56" w:rsidRDefault="00893F56" w:rsidP="00E27FBC">
      <w:pPr>
        <w:autoSpaceDE w:val="0"/>
        <w:autoSpaceDN w:val="0"/>
        <w:adjustRightInd w:val="0"/>
        <w:rPr>
          <w:rFonts w:ascii="Arial" w:hAnsi="Arial" w:cs="Arial"/>
        </w:rPr>
      </w:pPr>
    </w:p>
    <w:p w14:paraId="4060C15D" w14:textId="77777777" w:rsidR="00893F56" w:rsidRDefault="00893F56" w:rsidP="00E27FBC">
      <w:pPr>
        <w:autoSpaceDE w:val="0"/>
        <w:autoSpaceDN w:val="0"/>
        <w:adjustRightInd w:val="0"/>
        <w:rPr>
          <w:rFonts w:ascii="Arial" w:hAnsi="Arial" w:cs="Arial"/>
        </w:rPr>
      </w:pPr>
    </w:p>
    <w:p w14:paraId="0A1FF0A1" w14:textId="77777777" w:rsidR="00E27FBC" w:rsidRPr="00DF1376" w:rsidRDefault="00E27FBC" w:rsidP="00E27FBC">
      <w:pPr>
        <w:autoSpaceDE w:val="0"/>
        <w:autoSpaceDN w:val="0"/>
        <w:adjustRightInd w:val="0"/>
        <w:rPr>
          <w:rFonts w:ascii="Arial" w:hAnsi="Arial" w:cs="Arial"/>
          <w:sz w:val="20"/>
        </w:rPr>
      </w:pPr>
      <w:r w:rsidRPr="00DF1376">
        <w:rPr>
          <w:rFonts w:ascii="Arial" w:hAnsi="Arial" w:cs="Arial"/>
        </w:rPr>
        <w:t>MAJOR RISKS AND MITIGATION STATEGIES</w:t>
      </w:r>
    </w:p>
    <w:p w14:paraId="065EF43C" w14:textId="77777777" w:rsidR="00E27FBC" w:rsidRPr="00DF1376" w:rsidRDefault="00E27FBC" w:rsidP="00E27FBC">
      <w:pPr>
        <w:rPr>
          <w:rFonts w:ascii="Arial" w:hAnsi="Arial" w:cs="Arial"/>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E27FBC" w:rsidRPr="001972F3" w14:paraId="551C7CD8" w14:textId="77777777" w:rsidTr="004805AA">
        <w:trPr>
          <w:trHeight w:val="498"/>
        </w:trPr>
        <w:tc>
          <w:tcPr>
            <w:tcW w:w="4111" w:type="dxa"/>
            <w:tcBorders>
              <w:top w:val="single" w:sz="4" w:space="0" w:color="auto"/>
              <w:bottom w:val="single" w:sz="4" w:space="0" w:color="auto"/>
            </w:tcBorders>
            <w:shd w:val="clear" w:color="auto" w:fill="C6D9F1" w:themeFill="text2" w:themeFillTint="33"/>
            <w:vAlign w:val="center"/>
          </w:tcPr>
          <w:p w14:paraId="03CC4791" w14:textId="77777777" w:rsidR="00E27FBC" w:rsidRPr="001972F3" w:rsidRDefault="00E27FBC" w:rsidP="004805AA">
            <w:pPr>
              <w:jc w:val="center"/>
              <w:rPr>
                <w:rFonts w:ascii="Arial" w:hAnsi="Arial" w:cs="Arial"/>
                <w:b/>
                <w:bCs/>
                <w:sz w:val="18"/>
                <w:szCs w:val="18"/>
              </w:rPr>
            </w:pPr>
            <w:r w:rsidRPr="001972F3">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4EE227C4" w14:textId="77777777" w:rsidR="00E27FBC" w:rsidRPr="001972F3" w:rsidRDefault="00E27FBC" w:rsidP="004805AA">
            <w:pPr>
              <w:jc w:val="center"/>
              <w:rPr>
                <w:rFonts w:ascii="Arial" w:hAnsi="Arial" w:cs="Arial"/>
                <w:b/>
                <w:bCs/>
                <w:sz w:val="18"/>
                <w:szCs w:val="18"/>
              </w:rPr>
            </w:pPr>
            <w:r w:rsidRPr="001972F3">
              <w:rPr>
                <w:rFonts w:ascii="Arial" w:hAnsi="Arial" w:cs="Arial"/>
                <w:b/>
                <w:bCs/>
                <w:sz w:val="18"/>
                <w:szCs w:val="18"/>
              </w:rPr>
              <w:t>Mitigation</w:t>
            </w:r>
          </w:p>
        </w:tc>
      </w:tr>
      <w:tr w:rsidR="00E27FBC" w:rsidRPr="001972F3" w14:paraId="6AA07AEE" w14:textId="77777777" w:rsidTr="004805AA">
        <w:trPr>
          <w:trHeight w:val="638"/>
        </w:trPr>
        <w:tc>
          <w:tcPr>
            <w:tcW w:w="4111" w:type="dxa"/>
            <w:tcBorders>
              <w:top w:val="single" w:sz="4" w:space="0" w:color="auto"/>
            </w:tcBorders>
            <w:shd w:val="clear" w:color="auto" w:fill="auto"/>
            <w:tcMar>
              <w:top w:w="113" w:type="dxa"/>
              <w:bottom w:w="113" w:type="dxa"/>
            </w:tcMar>
          </w:tcPr>
          <w:p w14:paraId="40EE40DD" w14:textId="77777777" w:rsidR="00E27FBC" w:rsidRPr="001972F3" w:rsidRDefault="00E27FBC" w:rsidP="004805AA">
            <w:pPr>
              <w:rPr>
                <w:rFonts w:ascii="Arial" w:hAnsi="Arial" w:cs="Arial"/>
                <w:b/>
                <w:i/>
                <w:sz w:val="16"/>
                <w:szCs w:val="16"/>
              </w:rPr>
            </w:pPr>
            <w:r w:rsidRPr="001972F3">
              <w:rPr>
                <w:rFonts w:ascii="Arial" w:hAnsi="Arial" w:cs="Arial"/>
                <w:color w:val="000000"/>
                <w:sz w:val="16"/>
                <w:szCs w:val="16"/>
              </w:rPr>
              <w:t>The inability of the copyright system to adapt to rapid technological change threatens to undermine the relevance of the copyright system.</w:t>
            </w:r>
          </w:p>
        </w:tc>
        <w:tc>
          <w:tcPr>
            <w:tcW w:w="5103" w:type="dxa"/>
            <w:tcBorders>
              <w:top w:val="single" w:sz="4" w:space="0" w:color="auto"/>
            </w:tcBorders>
            <w:shd w:val="clear" w:color="auto" w:fill="auto"/>
            <w:tcMar>
              <w:top w:w="113" w:type="dxa"/>
              <w:bottom w:w="113" w:type="dxa"/>
            </w:tcMar>
          </w:tcPr>
          <w:p w14:paraId="0F3B2253" w14:textId="77777777" w:rsidR="00E27FBC" w:rsidRPr="001972F3" w:rsidRDefault="00E27FBC" w:rsidP="004805AA">
            <w:pPr>
              <w:autoSpaceDE w:val="0"/>
              <w:autoSpaceDN w:val="0"/>
              <w:adjustRightInd w:val="0"/>
              <w:ind w:right="-59"/>
              <w:rPr>
                <w:rFonts w:ascii="Arial" w:hAnsi="Arial" w:cs="Arial"/>
                <w:sz w:val="16"/>
                <w:szCs w:val="16"/>
              </w:rPr>
            </w:pPr>
            <w:r w:rsidRPr="001972F3">
              <w:rPr>
                <w:rFonts w:ascii="Arial" w:hAnsi="Arial" w:cs="Arial"/>
                <w:color w:val="000000"/>
                <w:sz w:val="16"/>
              </w:rPr>
              <w:t xml:space="preserve">Continuation of awareness-raising activities and initiatives to demonstrate the importance of copyright.  </w:t>
            </w:r>
          </w:p>
        </w:tc>
      </w:tr>
    </w:tbl>
    <w:p w14:paraId="2998DFD1" w14:textId="77777777" w:rsidR="00E27FBC" w:rsidRDefault="00E27FBC" w:rsidP="00E27FBC">
      <w:pPr>
        <w:rPr>
          <w:rFonts w:ascii="Arial" w:hAnsi="Arial" w:cs="Arial"/>
        </w:rPr>
      </w:pPr>
    </w:p>
    <w:p w14:paraId="68CF2938" w14:textId="77777777" w:rsidR="00E27FBC" w:rsidRPr="001972F3" w:rsidRDefault="00E27FBC" w:rsidP="00E27FBC">
      <w:pPr>
        <w:rPr>
          <w:rFonts w:ascii="Arial" w:hAnsi="Arial" w:cs="Arial"/>
        </w:rPr>
      </w:pPr>
    </w:p>
    <w:p w14:paraId="6E6D3071" w14:textId="77777777" w:rsidR="00E27FBC" w:rsidRDefault="00E27FBC" w:rsidP="002B052A">
      <w:pPr>
        <w:keepNext/>
        <w:keepLines/>
        <w:autoSpaceDE w:val="0"/>
        <w:autoSpaceDN w:val="0"/>
        <w:adjustRightInd w:val="0"/>
        <w:rPr>
          <w:rFonts w:ascii="Arial" w:hAnsi="Arial" w:cs="Arial"/>
        </w:rPr>
      </w:pPr>
      <w:r>
        <w:rPr>
          <w:rFonts w:ascii="Arial" w:hAnsi="Arial" w:cs="Arial"/>
        </w:rPr>
        <w:lastRenderedPageBreak/>
        <w:t>RESULTS FRAMEWORK</w:t>
      </w:r>
    </w:p>
    <w:p w14:paraId="6DE85CDA" w14:textId="77777777" w:rsidR="00E27FBC" w:rsidRDefault="00E27FBC" w:rsidP="002B052A">
      <w:pPr>
        <w:keepNext/>
        <w:keepLines/>
        <w:autoSpaceDE w:val="0"/>
        <w:autoSpaceDN w:val="0"/>
        <w:adjustRightInd w:val="0"/>
        <w:rPr>
          <w:rFonts w:ascii="Arial" w:hAnsi="Arial" w:cs="Arial"/>
        </w:rPr>
      </w:pPr>
    </w:p>
    <w:tbl>
      <w:tblPr>
        <w:tblW w:w="9195" w:type="dxa"/>
        <w:tblInd w:w="93" w:type="dxa"/>
        <w:tblBorders>
          <w:left w:val="single" w:sz="4" w:space="0" w:color="auto"/>
          <w:bottom w:val="single" w:sz="4" w:space="0" w:color="auto"/>
          <w:right w:val="single" w:sz="4" w:space="0" w:color="auto"/>
        </w:tblBorders>
        <w:tblLook w:val="04A0" w:firstRow="1" w:lastRow="0" w:firstColumn="1" w:lastColumn="0" w:noHBand="0" w:noVBand="1"/>
      </w:tblPr>
      <w:tblGrid>
        <w:gridCol w:w="2440"/>
        <w:gridCol w:w="2360"/>
        <w:gridCol w:w="2480"/>
        <w:gridCol w:w="1915"/>
      </w:tblGrid>
      <w:tr w:rsidR="00E27FBC" w:rsidRPr="002F442C" w14:paraId="7FC2AABE" w14:textId="77777777" w:rsidTr="005546DD">
        <w:trPr>
          <w:trHeight w:val="529"/>
          <w:tblHeader/>
        </w:trPr>
        <w:tc>
          <w:tcPr>
            <w:tcW w:w="2440" w:type="dxa"/>
            <w:tcBorders>
              <w:top w:val="single" w:sz="4" w:space="0" w:color="auto"/>
              <w:bottom w:val="single" w:sz="4" w:space="0" w:color="auto"/>
            </w:tcBorders>
            <w:shd w:val="clear" w:color="auto" w:fill="C6D9F1" w:themeFill="text2" w:themeFillTint="33"/>
            <w:tcMar>
              <w:top w:w="85" w:type="dxa"/>
            </w:tcMar>
            <w:vAlign w:val="center"/>
            <w:hideMark/>
          </w:tcPr>
          <w:p w14:paraId="063F1681" w14:textId="77777777" w:rsidR="00E27FBC" w:rsidRPr="002F442C" w:rsidRDefault="00E27FBC" w:rsidP="002B052A">
            <w:pPr>
              <w:keepNext/>
              <w:keepLines/>
              <w:jc w:val="center"/>
              <w:rPr>
                <w:rFonts w:ascii="Arial" w:hAnsi="Arial" w:cs="Arial"/>
                <w:b/>
                <w:bCs/>
                <w:color w:val="000000"/>
                <w:sz w:val="18"/>
                <w:szCs w:val="18"/>
              </w:rPr>
            </w:pPr>
            <w:r w:rsidRPr="002F442C">
              <w:rPr>
                <w:rFonts w:ascii="Arial" w:hAnsi="Arial" w:cs="Arial"/>
                <w:b/>
                <w:bCs/>
                <w:color w:val="000000"/>
                <w:sz w:val="18"/>
                <w:szCs w:val="18"/>
              </w:rPr>
              <w:t xml:space="preserve">Expected Results </w:t>
            </w:r>
          </w:p>
        </w:tc>
        <w:tc>
          <w:tcPr>
            <w:tcW w:w="2360" w:type="dxa"/>
            <w:tcBorders>
              <w:top w:val="single" w:sz="4" w:space="0" w:color="auto"/>
              <w:bottom w:val="single" w:sz="4" w:space="0" w:color="auto"/>
            </w:tcBorders>
            <w:shd w:val="clear" w:color="auto" w:fill="C6D9F1" w:themeFill="text2" w:themeFillTint="33"/>
            <w:tcMar>
              <w:top w:w="85" w:type="dxa"/>
            </w:tcMar>
            <w:vAlign w:val="center"/>
            <w:hideMark/>
          </w:tcPr>
          <w:p w14:paraId="3D4EF75B" w14:textId="77777777" w:rsidR="00E27FBC" w:rsidRPr="002F442C" w:rsidRDefault="00E27FBC" w:rsidP="002B052A">
            <w:pPr>
              <w:keepNext/>
              <w:keepLines/>
              <w:jc w:val="center"/>
              <w:rPr>
                <w:rFonts w:ascii="Arial" w:hAnsi="Arial" w:cs="Arial"/>
                <w:b/>
                <w:bCs/>
                <w:color w:val="000000"/>
                <w:sz w:val="18"/>
                <w:szCs w:val="18"/>
              </w:rPr>
            </w:pPr>
            <w:r w:rsidRPr="002F442C">
              <w:rPr>
                <w:rFonts w:ascii="Arial" w:hAnsi="Arial" w:cs="Arial"/>
                <w:b/>
                <w:bCs/>
                <w:color w:val="000000"/>
                <w:sz w:val="18"/>
                <w:szCs w:val="18"/>
              </w:rPr>
              <w:t>Performance Indicators</w:t>
            </w:r>
          </w:p>
        </w:tc>
        <w:tc>
          <w:tcPr>
            <w:tcW w:w="2480" w:type="dxa"/>
            <w:tcBorders>
              <w:top w:val="single" w:sz="4" w:space="0" w:color="auto"/>
              <w:bottom w:val="single" w:sz="4" w:space="0" w:color="auto"/>
            </w:tcBorders>
            <w:shd w:val="clear" w:color="auto" w:fill="C6D9F1" w:themeFill="text2" w:themeFillTint="33"/>
            <w:tcMar>
              <w:top w:w="85" w:type="dxa"/>
            </w:tcMar>
            <w:vAlign w:val="center"/>
            <w:hideMark/>
          </w:tcPr>
          <w:p w14:paraId="19742325" w14:textId="77777777" w:rsidR="00E27FBC" w:rsidRPr="002F442C" w:rsidRDefault="00E27FBC" w:rsidP="002B052A">
            <w:pPr>
              <w:keepNext/>
              <w:keepLines/>
              <w:jc w:val="center"/>
              <w:rPr>
                <w:rFonts w:ascii="Arial" w:hAnsi="Arial" w:cs="Arial"/>
                <w:b/>
                <w:bCs/>
                <w:color w:val="000000"/>
                <w:sz w:val="18"/>
                <w:szCs w:val="18"/>
              </w:rPr>
            </w:pPr>
            <w:r w:rsidRPr="002F442C">
              <w:rPr>
                <w:rFonts w:ascii="Arial" w:hAnsi="Arial" w:cs="Arial"/>
                <w:b/>
                <w:bCs/>
                <w:color w:val="000000"/>
                <w:sz w:val="18"/>
                <w:szCs w:val="18"/>
              </w:rPr>
              <w:t>Baselines</w:t>
            </w:r>
          </w:p>
        </w:tc>
        <w:tc>
          <w:tcPr>
            <w:tcW w:w="1915" w:type="dxa"/>
            <w:tcBorders>
              <w:top w:val="single" w:sz="4" w:space="0" w:color="auto"/>
              <w:bottom w:val="single" w:sz="4" w:space="0" w:color="auto"/>
            </w:tcBorders>
            <w:shd w:val="clear" w:color="auto" w:fill="C6D9F1" w:themeFill="text2" w:themeFillTint="33"/>
            <w:tcMar>
              <w:top w:w="85" w:type="dxa"/>
            </w:tcMar>
            <w:vAlign w:val="center"/>
            <w:hideMark/>
          </w:tcPr>
          <w:p w14:paraId="1775080D" w14:textId="77777777" w:rsidR="00E27FBC" w:rsidRPr="002F442C" w:rsidRDefault="00E27FBC" w:rsidP="002B052A">
            <w:pPr>
              <w:keepNext/>
              <w:keepLines/>
              <w:jc w:val="center"/>
              <w:rPr>
                <w:rFonts w:ascii="Arial" w:hAnsi="Arial" w:cs="Arial"/>
                <w:b/>
                <w:bCs/>
                <w:color w:val="000000"/>
                <w:sz w:val="18"/>
                <w:szCs w:val="18"/>
              </w:rPr>
            </w:pPr>
            <w:r w:rsidRPr="002F442C">
              <w:rPr>
                <w:rFonts w:ascii="Arial" w:hAnsi="Arial" w:cs="Arial"/>
                <w:b/>
                <w:bCs/>
                <w:color w:val="000000"/>
                <w:sz w:val="18"/>
                <w:szCs w:val="18"/>
              </w:rPr>
              <w:t>Targets</w:t>
            </w:r>
          </w:p>
        </w:tc>
      </w:tr>
      <w:tr w:rsidR="00E27FBC" w:rsidRPr="002F442C" w14:paraId="620EF1C6" w14:textId="77777777" w:rsidTr="005546DD">
        <w:trPr>
          <w:trHeight w:val="1469"/>
        </w:trPr>
        <w:tc>
          <w:tcPr>
            <w:tcW w:w="2440" w:type="dxa"/>
            <w:tcBorders>
              <w:top w:val="single" w:sz="4" w:space="0" w:color="auto"/>
            </w:tcBorders>
            <w:shd w:val="clear" w:color="000000" w:fill="FFFFFF"/>
            <w:tcMar>
              <w:top w:w="85" w:type="dxa"/>
            </w:tcMar>
            <w:hideMark/>
          </w:tcPr>
          <w:p w14:paraId="6A1D3AEC" w14:textId="77777777" w:rsidR="00E27FBC" w:rsidRPr="002F442C" w:rsidRDefault="00E27FBC" w:rsidP="002B052A">
            <w:pPr>
              <w:keepNext/>
              <w:keepLines/>
              <w:rPr>
                <w:rFonts w:ascii="Arial" w:hAnsi="Arial" w:cs="Arial"/>
                <w:color w:val="000000"/>
                <w:sz w:val="16"/>
                <w:szCs w:val="16"/>
              </w:rPr>
            </w:pPr>
            <w:r w:rsidRPr="002F442C">
              <w:rPr>
                <w:rFonts w:ascii="Arial" w:hAnsi="Arial" w:cs="Arial"/>
                <w:color w:val="000000"/>
                <w:sz w:val="16"/>
                <w:szCs w:val="16"/>
              </w:rPr>
              <w:t xml:space="preserve">I.1 Enhanced cooperation among Member States on development of balanced international normative frameworks for IP </w:t>
            </w:r>
          </w:p>
        </w:tc>
        <w:tc>
          <w:tcPr>
            <w:tcW w:w="2360" w:type="dxa"/>
            <w:tcBorders>
              <w:top w:val="single" w:sz="4" w:space="0" w:color="auto"/>
            </w:tcBorders>
            <w:shd w:val="clear" w:color="000000" w:fill="FFFFFF"/>
            <w:tcMar>
              <w:top w:w="85" w:type="dxa"/>
            </w:tcMar>
            <w:hideMark/>
          </w:tcPr>
          <w:p w14:paraId="7E6A7255" w14:textId="77777777" w:rsidR="00E27FBC" w:rsidRPr="002F442C" w:rsidRDefault="00E27FBC" w:rsidP="002B052A">
            <w:pPr>
              <w:keepNext/>
              <w:keepLines/>
              <w:ind w:firstLineChars="11" w:firstLine="18"/>
              <w:rPr>
                <w:rFonts w:ascii="Arial" w:hAnsi="Arial" w:cs="Arial"/>
                <w:color w:val="000000"/>
                <w:sz w:val="16"/>
                <w:szCs w:val="16"/>
              </w:rPr>
            </w:pPr>
            <w:r w:rsidRPr="002F442C">
              <w:rPr>
                <w:rFonts w:ascii="Arial" w:hAnsi="Arial" w:cs="Arial"/>
                <w:color w:val="000000"/>
                <w:sz w:val="16"/>
                <w:szCs w:val="16"/>
              </w:rPr>
              <w:t>Progress in the implementation of agreed work according to the SCCR agenda</w:t>
            </w:r>
          </w:p>
        </w:tc>
        <w:tc>
          <w:tcPr>
            <w:tcW w:w="2480" w:type="dxa"/>
            <w:tcBorders>
              <w:top w:val="single" w:sz="4" w:space="0" w:color="auto"/>
            </w:tcBorders>
            <w:shd w:val="clear" w:color="000000" w:fill="FFFFFF"/>
            <w:tcMar>
              <w:top w:w="85" w:type="dxa"/>
            </w:tcMar>
            <w:hideMark/>
          </w:tcPr>
          <w:p w14:paraId="54B117B8" w14:textId="77777777" w:rsidR="00E27FBC" w:rsidRPr="002F442C" w:rsidRDefault="00E27FBC" w:rsidP="002B052A">
            <w:pPr>
              <w:keepNext/>
              <w:keepLines/>
              <w:ind w:left="57"/>
              <w:rPr>
                <w:rFonts w:ascii="Arial" w:hAnsi="Arial" w:cs="Arial"/>
                <w:color w:val="000000"/>
                <w:sz w:val="16"/>
                <w:szCs w:val="16"/>
              </w:rPr>
            </w:pPr>
            <w:r w:rsidRPr="002F442C">
              <w:rPr>
                <w:rFonts w:ascii="Arial" w:hAnsi="Arial" w:cs="Arial"/>
                <w:color w:val="000000"/>
                <w:sz w:val="16"/>
                <w:szCs w:val="16"/>
              </w:rPr>
              <w:t>The SCCR and the 2014 WIPO General Assembly did not reach agreement on steps toward the convening of a diplomatic conference for a treaty on the protection of broadcasting organizations (2014 PPR)</w:t>
            </w:r>
          </w:p>
        </w:tc>
        <w:tc>
          <w:tcPr>
            <w:tcW w:w="1915" w:type="dxa"/>
            <w:tcBorders>
              <w:top w:val="single" w:sz="4" w:space="0" w:color="auto"/>
            </w:tcBorders>
            <w:shd w:val="clear" w:color="000000" w:fill="FFFFFF"/>
            <w:tcMar>
              <w:top w:w="85" w:type="dxa"/>
            </w:tcMar>
            <w:hideMark/>
          </w:tcPr>
          <w:p w14:paraId="28E7DCD0" w14:textId="77777777" w:rsidR="00E27FBC" w:rsidRPr="002F442C" w:rsidRDefault="00E27FBC" w:rsidP="002B052A">
            <w:pPr>
              <w:keepNext/>
              <w:keepLines/>
              <w:ind w:left="97" w:firstLineChars="26" w:firstLine="42"/>
              <w:rPr>
                <w:rFonts w:ascii="Arial" w:hAnsi="Arial" w:cs="Arial"/>
                <w:color w:val="000000"/>
                <w:sz w:val="16"/>
                <w:szCs w:val="16"/>
              </w:rPr>
            </w:pPr>
            <w:r w:rsidRPr="002F442C">
              <w:rPr>
                <w:rFonts w:ascii="Arial" w:hAnsi="Arial" w:cs="Arial"/>
                <w:color w:val="000000"/>
                <w:sz w:val="16"/>
                <w:szCs w:val="16"/>
              </w:rPr>
              <w:t>SCCR agreed outcomes</w:t>
            </w:r>
          </w:p>
        </w:tc>
      </w:tr>
      <w:tr w:rsidR="00E27FBC" w:rsidRPr="002F442C" w14:paraId="7E11D01C" w14:textId="77777777" w:rsidTr="005546DD">
        <w:trPr>
          <w:trHeight w:val="707"/>
        </w:trPr>
        <w:tc>
          <w:tcPr>
            <w:tcW w:w="2440" w:type="dxa"/>
            <w:vMerge w:val="restart"/>
            <w:shd w:val="clear" w:color="000000" w:fill="FFFFFF"/>
            <w:tcMar>
              <w:top w:w="85" w:type="dxa"/>
            </w:tcMar>
            <w:hideMark/>
          </w:tcPr>
          <w:p w14:paraId="49570C14" w14:textId="77777777" w:rsidR="00E27FBC" w:rsidRPr="002F442C" w:rsidRDefault="00E27FBC" w:rsidP="004805AA">
            <w:pPr>
              <w:rPr>
                <w:rFonts w:ascii="Arial" w:hAnsi="Arial" w:cs="Arial"/>
                <w:color w:val="000000"/>
                <w:sz w:val="16"/>
                <w:szCs w:val="16"/>
              </w:rPr>
            </w:pPr>
            <w:r w:rsidRPr="002F442C">
              <w:rPr>
                <w:rFonts w:ascii="Arial" w:hAnsi="Arial" w:cs="Arial"/>
                <w:color w:val="000000"/>
                <w:sz w:val="16"/>
                <w:szCs w:val="16"/>
              </w:rPr>
              <w:t>I.2 Tailored and balanced IP legislative, regulatory and policy frameworks</w:t>
            </w:r>
          </w:p>
        </w:tc>
        <w:tc>
          <w:tcPr>
            <w:tcW w:w="2360" w:type="dxa"/>
            <w:shd w:val="clear" w:color="000000" w:fill="FFFFFF"/>
            <w:tcMar>
              <w:top w:w="85" w:type="dxa"/>
            </w:tcMar>
            <w:hideMark/>
          </w:tcPr>
          <w:p w14:paraId="2B772479"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No. of countries that have ratified or acceded to the Beijing Treaty</w:t>
            </w:r>
          </w:p>
        </w:tc>
        <w:tc>
          <w:tcPr>
            <w:tcW w:w="2480" w:type="dxa"/>
            <w:shd w:val="clear" w:color="000000" w:fill="FFFFFF"/>
            <w:tcMar>
              <w:top w:w="85" w:type="dxa"/>
            </w:tcMar>
            <w:hideMark/>
          </w:tcPr>
          <w:p w14:paraId="14BEFB32" w14:textId="77777777" w:rsidR="00E27FBC" w:rsidRPr="002F442C" w:rsidRDefault="00E27FBC" w:rsidP="004805AA">
            <w:pPr>
              <w:ind w:left="57"/>
              <w:rPr>
                <w:rFonts w:ascii="Arial" w:hAnsi="Arial" w:cs="Arial"/>
                <w:color w:val="000000"/>
                <w:sz w:val="16"/>
                <w:szCs w:val="16"/>
              </w:rPr>
            </w:pPr>
            <w:r w:rsidRPr="002F442C">
              <w:rPr>
                <w:rFonts w:ascii="Arial" w:hAnsi="Arial" w:cs="Arial"/>
                <w:color w:val="000000"/>
                <w:sz w:val="16"/>
                <w:szCs w:val="16"/>
              </w:rPr>
              <w:t>6 (end 2014)</w:t>
            </w:r>
          </w:p>
        </w:tc>
        <w:tc>
          <w:tcPr>
            <w:tcW w:w="1915" w:type="dxa"/>
            <w:shd w:val="clear" w:color="000000" w:fill="FFFFFF"/>
            <w:tcMar>
              <w:top w:w="85" w:type="dxa"/>
            </w:tcMar>
            <w:hideMark/>
          </w:tcPr>
          <w:p w14:paraId="7DB75A58" w14:textId="77777777" w:rsidR="00E27FBC" w:rsidRPr="002F442C" w:rsidRDefault="00E27FBC" w:rsidP="004805AA">
            <w:pPr>
              <w:ind w:left="97" w:firstLineChars="200" w:firstLine="320"/>
              <w:rPr>
                <w:rFonts w:ascii="Arial" w:hAnsi="Arial" w:cs="Arial"/>
                <w:color w:val="000000"/>
                <w:sz w:val="16"/>
                <w:szCs w:val="16"/>
              </w:rPr>
            </w:pPr>
            <w:r w:rsidRPr="002F442C">
              <w:rPr>
                <w:rFonts w:ascii="Arial" w:hAnsi="Arial" w:cs="Arial"/>
                <w:color w:val="000000"/>
                <w:sz w:val="16"/>
                <w:szCs w:val="16"/>
              </w:rPr>
              <w:t xml:space="preserve">30 </w:t>
            </w:r>
          </w:p>
        </w:tc>
      </w:tr>
      <w:tr w:rsidR="00E27FBC" w:rsidRPr="002F442C" w14:paraId="76F1FB7D" w14:textId="77777777" w:rsidTr="005546DD">
        <w:trPr>
          <w:trHeight w:val="725"/>
        </w:trPr>
        <w:tc>
          <w:tcPr>
            <w:tcW w:w="2440" w:type="dxa"/>
            <w:vMerge/>
            <w:tcMar>
              <w:top w:w="85" w:type="dxa"/>
            </w:tcMar>
            <w:vAlign w:val="center"/>
            <w:hideMark/>
          </w:tcPr>
          <w:p w14:paraId="0C69C2D4"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5063EDD8"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No. of countries that have ratified or acceded to the Marrakesh Treaty</w:t>
            </w:r>
          </w:p>
        </w:tc>
        <w:tc>
          <w:tcPr>
            <w:tcW w:w="2480" w:type="dxa"/>
            <w:shd w:val="clear" w:color="000000" w:fill="FFFFFF"/>
            <w:tcMar>
              <w:top w:w="85" w:type="dxa"/>
            </w:tcMar>
            <w:hideMark/>
          </w:tcPr>
          <w:p w14:paraId="24A86577" w14:textId="77777777" w:rsidR="00E27FBC" w:rsidRPr="002F442C" w:rsidRDefault="00E27FBC" w:rsidP="004805AA">
            <w:pPr>
              <w:ind w:left="57"/>
              <w:rPr>
                <w:rFonts w:ascii="Arial" w:hAnsi="Arial" w:cs="Arial"/>
                <w:color w:val="000000"/>
                <w:sz w:val="16"/>
                <w:szCs w:val="16"/>
              </w:rPr>
            </w:pPr>
            <w:r w:rsidRPr="002F442C">
              <w:rPr>
                <w:rFonts w:ascii="Arial" w:hAnsi="Arial" w:cs="Arial"/>
                <w:color w:val="000000"/>
                <w:sz w:val="16"/>
                <w:szCs w:val="16"/>
              </w:rPr>
              <w:t>5 (end 2014)</w:t>
            </w:r>
          </w:p>
        </w:tc>
        <w:tc>
          <w:tcPr>
            <w:tcW w:w="1915" w:type="dxa"/>
            <w:shd w:val="clear" w:color="000000" w:fill="FFFFFF"/>
            <w:tcMar>
              <w:top w:w="85" w:type="dxa"/>
            </w:tcMar>
            <w:hideMark/>
          </w:tcPr>
          <w:p w14:paraId="6B495295" w14:textId="77777777" w:rsidR="00E27FBC" w:rsidRPr="002F442C" w:rsidRDefault="00E27FBC" w:rsidP="004805AA">
            <w:pPr>
              <w:ind w:left="97" w:firstLineChars="200" w:firstLine="320"/>
              <w:rPr>
                <w:rFonts w:ascii="Arial" w:hAnsi="Arial" w:cs="Arial"/>
                <w:color w:val="000000"/>
                <w:sz w:val="16"/>
                <w:szCs w:val="16"/>
              </w:rPr>
            </w:pPr>
            <w:r w:rsidRPr="002F442C">
              <w:rPr>
                <w:rFonts w:ascii="Arial" w:hAnsi="Arial" w:cs="Arial"/>
                <w:color w:val="000000"/>
                <w:sz w:val="16"/>
                <w:szCs w:val="16"/>
              </w:rPr>
              <w:t xml:space="preserve">20 </w:t>
            </w:r>
          </w:p>
        </w:tc>
      </w:tr>
      <w:tr w:rsidR="00E27FBC" w:rsidRPr="002F442C" w14:paraId="7E1B3E67" w14:textId="77777777" w:rsidTr="005546DD">
        <w:trPr>
          <w:trHeight w:val="725"/>
        </w:trPr>
        <w:tc>
          <w:tcPr>
            <w:tcW w:w="2440" w:type="dxa"/>
            <w:vMerge/>
            <w:tcMar>
              <w:top w:w="85" w:type="dxa"/>
            </w:tcMar>
            <w:vAlign w:val="center"/>
            <w:hideMark/>
          </w:tcPr>
          <w:p w14:paraId="3C49D0B0"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76D7C787" w14:textId="12A346BF" w:rsidR="00E27FBC" w:rsidRPr="002B0C2F" w:rsidRDefault="00E27FBC">
            <w:pPr>
              <w:ind w:left="77"/>
              <w:rPr>
                <w:rFonts w:ascii="Arial" w:hAnsi="Arial" w:cs="Arial"/>
                <w:color w:val="000000"/>
                <w:sz w:val="16"/>
                <w:szCs w:val="16"/>
              </w:rPr>
            </w:pPr>
            <w:r w:rsidRPr="002B0C2F">
              <w:rPr>
                <w:rFonts w:ascii="Arial" w:hAnsi="Arial" w:cs="Arial"/>
                <w:color w:val="000000"/>
                <w:sz w:val="16"/>
                <w:szCs w:val="16"/>
              </w:rPr>
              <w:t xml:space="preserve">No. of ratifications or accessions </w:t>
            </w:r>
            <w:r w:rsidRPr="00FB68E0">
              <w:rPr>
                <w:rFonts w:ascii="Arial" w:hAnsi="Arial" w:cs="Arial"/>
                <w:color w:val="000000"/>
                <w:sz w:val="16"/>
                <w:szCs w:val="16"/>
              </w:rPr>
              <w:t>to the copyright treaties in force including the Bern</w:t>
            </w:r>
            <w:r w:rsidR="00BF5EAA">
              <w:rPr>
                <w:rFonts w:ascii="Arial" w:hAnsi="Arial" w:cs="Arial"/>
                <w:color w:val="000000"/>
                <w:sz w:val="16"/>
                <w:szCs w:val="16"/>
              </w:rPr>
              <w:t xml:space="preserve">e Convention, Rome Convention, </w:t>
            </w:r>
            <w:r w:rsidRPr="00FB68E0">
              <w:rPr>
                <w:rFonts w:ascii="Arial" w:hAnsi="Arial" w:cs="Arial"/>
                <w:color w:val="000000"/>
                <w:sz w:val="16"/>
                <w:szCs w:val="16"/>
              </w:rPr>
              <w:t xml:space="preserve">and </w:t>
            </w:r>
            <w:r w:rsidRPr="002B0C2F">
              <w:rPr>
                <w:rFonts w:ascii="Arial" w:hAnsi="Arial" w:cs="Arial"/>
                <w:color w:val="000000"/>
                <w:sz w:val="16"/>
                <w:szCs w:val="16"/>
              </w:rPr>
              <w:t>Internet Treaties</w:t>
            </w:r>
          </w:p>
        </w:tc>
        <w:tc>
          <w:tcPr>
            <w:tcW w:w="2480" w:type="dxa"/>
            <w:shd w:val="clear" w:color="000000" w:fill="FFFFFF"/>
            <w:tcMar>
              <w:top w:w="85" w:type="dxa"/>
            </w:tcMar>
            <w:hideMark/>
          </w:tcPr>
          <w:p w14:paraId="4F0E6CD8" w14:textId="1CDDD2B3" w:rsidR="00E27FBC" w:rsidRPr="002B0C2F" w:rsidRDefault="00E27FBC" w:rsidP="004805AA">
            <w:pPr>
              <w:ind w:left="1"/>
              <w:rPr>
                <w:rFonts w:ascii="Arial" w:hAnsi="Arial" w:cs="Arial"/>
                <w:color w:val="000000"/>
                <w:sz w:val="16"/>
                <w:szCs w:val="16"/>
              </w:rPr>
            </w:pPr>
            <w:r w:rsidRPr="002B0C2F">
              <w:rPr>
                <w:rFonts w:ascii="Arial" w:hAnsi="Arial" w:cs="Arial"/>
                <w:color w:val="000000"/>
                <w:sz w:val="16"/>
                <w:szCs w:val="16"/>
              </w:rPr>
              <w:t>n/a (revised ind</w:t>
            </w:r>
            <w:r w:rsidRPr="00FB68E0">
              <w:rPr>
                <w:rFonts w:ascii="Arial" w:hAnsi="Arial" w:cs="Arial"/>
                <w:color w:val="000000"/>
                <w:sz w:val="16"/>
                <w:szCs w:val="16"/>
              </w:rPr>
              <w:t>i</w:t>
            </w:r>
            <w:r w:rsidRPr="002B0C2F">
              <w:rPr>
                <w:rFonts w:ascii="Arial" w:hAnsi="Arial" w:cs="Arial"/>
                <w:color w:val="000000"/>
                <w:sz w:val="16"/>
                <w:szCs w:val="16"/>
              </w:rPr>
              <w:t>cator)</w:t>
            </w:r>
          </w:p>
        </w:tc>
        <w:tc>
          <w:tcPr>
            <w:tcW w:w="1915" w:type="dxa"/>
            <w:shd w:val="clear" w:color="000000" w:fill="FFFFFF"/>
            <w:tcMar>
              <w:top w:w="85" w:type="dxa"/>
            </w:tcMar>
            <w:hideMark/>
          </w:tcPr>
          <w:p w14:paraId="77727C66" w14:textId="04E8D12E" w:rsidR="00E27FBC" w:rsidRPr="002B0C2F" w:rsidRDefault="00E27FBC" w:rsidP="004805AA">
            <w:pPr>
              <w:ind w:left="97" w:firstLineChars="200" w:firstLine="320"/>
              <w:rPr>
                <w:rFonts w:ascii="Arial" w:hAnsi="Arial" w:cs="Arial"/>
                <w:color w:val="000000"/>
                <w:sz w:val="16"/>
                <w:szCs w:val="16"/>
              </w:rPr>
            </w:pPr>
            <w:r w:rsidRPr="002B0C2F">
              <w:rPr>
                <w:rFonts w:ascii="Arial" w:hAnsi="Arial" w:cs="Arial"/>
                <w:color w:val="000000"/>
                <w:sz w:val="16"/>
                <w:szCs w:val="16"/>
              </w:rPr>
              <w:t>10</w:t>
            </w:r>
          </w:p>
        </w:tc>
      </w:tr>
      <w:tr w:rsidR="00E27FBC" w:rsidRPr="002F442C" w14:paraId="7B423426" w14:textId="77777777" w:rsidTr="005546DD">
        <w:trPr>
          <w:trHeight w:val="986"/>
        </w:trPr>
        <w:tc>
          <w:tcPr>
            <w:tcW w:w="2440" w:type="dxa"/>
            <w:vMerge/>
            <w:tcMar>
              <w:top w:w="85" w:type="dxa"/>
            </w:tcMar>
            <w:vAlign w:val="center"/>
            <w:hideMark/>
          </w:tcPr>
          <w:p w14:paraId="7635DE17"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0B960F1F"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 of countries that have provided positive feedback about WIPO’s legislative advice</w:t>
            </w:r>
          </w:p>
        </w:tc>
        <w:tc>
          <w:tcPr>
            <w:tcW w:w="2480" w:type="dxa"/>
            <w:shd w:val="clear" w:color="000000" w:fill="FFFFFF"/>
            <w:tcMar>
              <w:top w:w="85" w:type="dxa"/>
            </w:tcMar>
            <w:hideMark/>
          </w:tcPr>
          <w:p w14:paraId="16CEC7FE" w14:textId="77777777" w:rsidR="00E27FBC" w:rsidRDefault="00E27FBC" w:rsidP="004805AA">
            <w:pPr>
              <w:ind w:left="57"/>
              <w:rPr>
                <w:rFonts w:ascii="Arial" w:hAnsi="Arial" w:cs="Arial"/>
                <w:color w:val="000000"/>
                <w:sz w:val="16"/>
                <w:szCs w:val="16"/>
              </w:rPr>
            </w:pPr>
            <w:r w:rsidRPr="002F442C">
              <w:rPr>
                <w:rFonts w:ascii="Arial" w:hAnsi="Arial" w:cs="Arial"/>
                <w:color w:val="000000"/>
                <w:sz w:val="16"/>
                <w:szCs w:val="16"/>
              </w:rPr>
              <w:t>n/a in 2014</w:t>
            </w:r>
            <w:r>
              <w:rPr>
                <w:rFonts w:ascii="Arial" w:hAnsi="Arial" w:cs="Arial"/>
                <w:color w:val="000000"/>
                <w:sz w:val="16"/>
                <w:szCs w:val="16"/>
              </w:rPr>
              <w:t xml:space="preserve"> </w:t>
            </w:r>
          </w:p>
          <w:p w14:paraId="15DB29CD" w14:textId="77777777" w:rsidR="00E27FBC" w:rsidRPr="002F442C" w:rsidRDefault="00E27FBC" w:rsidP="004805AA">
            <w:pPr>
              <w:ind w:left="57"/>
              <w:rPr>
                <w:rFonts w:ascii="Arial" w:hAnsi="Arial" w:cs="Arial"/>
                <w:color w:val="000000"/>
                <w:sz w:val="16"/>
                <w:szCs w:val="16"/>
              </w:rPr>
            </w:pPr>
            <w:r>
              <w:rPr>
                <w:rFonts w:ascii="Arial" w:hAnsi="Arial" w:cs="Arial"/>
                <w:color w:val="000000"/>
                <w:sz w:val="16"/>
                <w:szCs w:val="16"/>
              </w:rPr>
              <w:t>(biennial s</w:t>
            </w:r>
            <w:r w:rsidRPr="002F442C">
              <w:rPr>
                <w:rFonts w:ascii="Arial" w:hAnsi="Arial" w:cs="Arial"/>
                <w:color w:val="000000"/>
                <w:sz w:val="16"/>
                <w:szCs w:val="16"/>
              </w:rPr>
              <w:t>urvey to be conducted in 2015</w:t>
            </w:r>
            <w:r>
              <w:rPr>
                <w:rFonts w:ascii="Arial" w:hAnsi="Arial" w:cs="Arial"/>
                <w:color w:val="000000"/>
                <w:sz w:val="16"/>
                <w:szCs w:val="16"/>
              </w:rPr>
              <w:t>)</w:t>
            </w:r>
          </w:p>
        </w:tc>
        <w:tc>
          <w:tcPr>
            <w:tcW w:w="1915" w:type="dxa"/>
            <w:shd w:val="clear" w:color="000000" w:fill="FFFFFF"/>
            <w:tcMar>
              <w:top w:w="85" w:type="dxa"/>
            </w:tcMar>
            <w:hideMark/>
          </w:tcPr>
          <w:p w14:paraId="13DF5EBD" w14:textId="72AD955E" w:rsidR="00E27FBC" w:rsidRPr="002F442C" w:rsidRDefault="007C274A" w:rsidP="004805AA">
            <w:pPr>
              <w:ind w:left="97"/>
              <w:rPr>
                <w:rFonts w:ascii="Arial" w:hAnsi="Arial" w:cs="Arial"/>
                <w:color w:val="000000"/>
                <w:sz w:val="16"/>
                <w:szCs w:val="16"/>
              </w:rPr>
            </w:pPr>
            <w:r>
              <w:rPr>
                <w:rFonts w:ascii="Arial" w:hAnsi="Arial" w:cs="Arial"/>
                <w:color w:val="000000"/>
                <w:sz w:val="16"/>
                <w:szCs w:val="16"/>
              </w:rPr>
              <w:t>7</w:t>
            </w:r>
            <w:r w:rsidRPr="002F442C">
              <w:rPr>
                <w:rFonts w:ascii="Arial" w:hAnsi="Arial" w:cs="Arial"/>
                <w:color w:val="000000"/>
                <w:sz w:val="16"/>
                <w:szCs w:val="16"/>
              </w:rPr>
              <w:t>0</w:t>
            </w:r>
            <w:r w:rsidR="00E27FBC" w:rsidRPr="002F442C">
              <w:rPr>
                <w:rFonts w:ascii="Arial" w:hAnsi="Arial" w:cs="Arial"/>
                <w:color w:val="000000"/>
                <w:sz w:val="16"/>
                <w:szCs w:val="16"/>
              </w:rPr>
              <w:t>% of respondents satisfied with advice offered</w:t>
            </w:r>
          </w:p>
        </w:tc>
      </w:tr>
      <w:tr w:rsidR="00E27FBC" w:rsidRPr="002F442C" w14:paraId="3ADCCC99" w14:textId="77777777" w:rsidTr="008D4CE9">
        <w:trPr>
          <w:trHeight w:val="545"/>
        </w:trPr>
        <w:tc>
          <w:tcPr>
            <w:tcW w:w="2440" w:type="dxa"/>
            <w:vMerge w:val="restart"/>
            <w:shd w:val="clear" w:color="000000" w:fill="FFFFFF"/>
            <w:tcMar>
              <w:top w:w="85" w:type="dxa"/>
            </w:tcMar>
            <w:hideMark/>
          </w:tcPr>
          <w:p w14:paraId="35D79E8D" w14:textId="77777777" w:rsidR="00E27FBC" w:rsidRPr="002F442C" w:rsidRDefault="00E27FBC" w:rsidP="004805AA">
            <w:pPr>
              <w:keepNext/>
              <w:keepLines/>
              <w:rPr>
                <w:rFonts w:ascii="Arial" w:hAnsi="Arial" w:cs="Arial"/>
                <w:color w:val="000000"/>
                <w:sz w:val="16"/>
                <w:szCs w:val="16"/>
              </w:rPr>
            </w:pPr>
            <w:r w:rsidRPr="002F442C">
              <w:rPr>
                <w:rFonts w:ascii="Arial"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360" w:type="dxa"/>
            <w:shd w:val="clear" w:color="000000" w:fill="FFFFFF"/>
            <w:tcMar>
              <w:top w:w="85" w:type="dxa"/>
            </w:tcMar>
          </w:tcPr>
          <w:p w14:paraId="2BEA4DBB" w14:textId="582C5BC3" w:rsidR="00E27FBC" w:rsidRPr="002F442C" w:rsidRDefault="00E27FBC" w:rsidP="004805AA">
            <w:pPr>
              <w:keepNext/>
              <w:keepLines/>
              <w:ind w:left="77"/>
              <w:rPr>
                <w:rFonts w:ascii="Arial" w:hAnsi="Arial" w:cs="Arial"/>
                <w:color w:val="000000"/>
                <w:sz w:val="16"/>
                <w:szCs w:val="16"/>
              </w:rPr>
            </w:pPr>
            <w:r w:rsidRPr="002F442C">
              <w:rPr>
                <w:rFonts w:ascii="Arial" w:hAnsi="Arial" w:cs="Arial"/>
                <w:color w:val="000000"/>
                <w:sz w:val="16"/>
                <w:szCs w:val="16"/>
              </w:rPr>
              <w:t>No. of CMOs applying for TAG accreditation</w:t>
            </w:r>
          </w:p>
        </w:tc>
        <w:tc>
          <w:tcPr>
            <w:tcW w:w="2480" w:type="dxa"/>
            <w:shd w:val="clear" w:color="000000" w:fill="FFFFFF"/>
            <w:tcMar>
              <w:top w:w="85" w:type="dxa"/>
            </w:tcMar>
          </w:tcPr>
          <w:p w14:paraId="56B4D5D9" w14:textId="270078F0" w:rsidR="00E27FBC" w:rsidRPr="002F442C" w:rsidRDefault="00E27FBC" w:rsidP="004805AA">
            <w:pPr>
              <w:keepNext/>
              <w:keepLines/>
              <w:ind w:left="57"/>
              <w:rPr>
                <w:rFonts w:ascii="Arial" w:hAnsi="Arial" w:cs="Arial"/>
                <w:color w:val="000000"/>
                <w:sz w:val="16"/>
                <w:szCs w:val="16"/>
              </w:rPr>
            </w:pPr>
            <w:r w:rsidRPr="002F442C">
              <w:rPr>
                <w:rFonts w:ascii="Arial" w:hAnsi="Arial" w:cs="Arial"/>
                <w:color w:val="000000"/>
                <w:sz w:val="16"/>
                <w:szCs w:val="16"/>
              </w:rPr>
              <w:t>0 (end 2014)</w:t>
            </w:r>
          </w:p>
        </w:tc>
        <w:tc>
          <w:tcPr>
            <w:tcW w:w="1915" w:type="dxa"/>
            <w:shd w:val="clear" w:color="000000" w:fill="FFFFFF"/>
            <w:tcMar>
              <w:top w:w="85" w:type="dxa"/>
            </w:tcMar>
          </w:tcPr>
          <w:p w14:paraId="727CDAA4" w14:textId="5954D872" w:rsidR="00E27FBC" w:rsidRPr="002F442C" w:rsidRDefault="00E27FBC" w:rsidP="004805AA">
            <w:pPr>
              <w:keepNext/>
              <w:keepLines/>
              <w:ind w:left="97"/>
              <w:rPr>
                <w:rFonts w:ascii="Arial" w:hAnsi="Arial" w:cs="Arial"/>
                <w:color w:val="000000"/>
                <w:sz w:val="16"/>
                <w:szCs w:val="16"/>
              </w:rPr>
            </w:pPr>
            <w:r w:rsidRPr="002F442C">
              <w:rPr>
                <w:rFonts w:ascii="Arial" w:hAnsi="Arial" w:cs="Arial"/>
                <w:color w:val="000000"/>
                <w:sz w:val="16"/>
                <w:szCs w:val="16"/>
              </w:rPr>
              <w:t>5 CMOs applying for accreditation.</w:t>
            </w:r>
          </w:p>
        </w:tc>
      </w:tr>
      <w:tr w:rsidR="00E27FBC" w:rsidRPr="002F442C" w14:paraId="6F47B7A5" w14:textId="77777777" w:rsidTr="005546DD">
        <w:trPr>
          <w:trHeight w:val="896"/>
        </w:trPr>
        <w:tc>
          <w:tcPr>
            <w:tcW w:w="2440" w:type="dxa"/>
            <w:vMerge/>
            <w:tcMar>
              <w:top w:w="85" w:type="dxa"/>
            </w:tcMar>
            <w:vAlign w:val="center"/>
          </w:tcPr>
          <w:p w14:paraId="43A1EF8F" w14:textId="77777777" w:rsidR="00E27FBC" w:rsidRPr="002F442C" w:rsidRDefault="00E27FBC" w:rsidP="004805AA">
            <w:pPr>
              <w:keepNext/>
              <w:keepLines/>
              <w:rPr>
                <w:rFonts w:ascii="Arial" w:hAnsi="Arial" w:cs="Arial"/>
                <w:color w:val="000000"/>
                <w:sz w:val="16"/>
                <w:szCs w:val="16"/>
              </w:rPr>
            </w:pPr>
          </w:p>
        </w:tc>
        <w:tc>
          <w:tcPr>
            <w:tcW w:w="2360" w:type="dxa"/>
            <w:shd w:val="clear" w:color="000000" w:fill="FFFFFF"/>
            <w:tcMar>
              <w:top w:w="85" w:type="dxa"/>
            </w:tcMar>
          </w:tcPr>
          <w:p w14:paraId="367022F5" w14:textId="77777777" w:rsidR="00E27FBC" w:rsidRPr="002F442C" w:rsidRDefault="00E27FBC" w:rsidP="004805AA">
            <w:pPr>
              <w:keepNext/>
              <w:keepLines/>
              <w:ind w:left="77"/>
              <w:rPr>
                <w:rFonts w:ascii="Arial" w:hAnsi="Arial" w:cs="Arial"/>
                <w:color w:val="000000"/>
                <w:sz w:val="16"/>
                <w:szCs w:val="16"/>
              </w:rPr>
            </w:pPr>
            <w:r w:rsidRPr="002F442C">
              <w:rPr>
                <w:rFonts w:ascii="Arial" w:hAnsi="Arial" w:cs="Arial"/>
                <w:color w:val="000000"/>
                <w:sz w:val="16"/>
                <w:szCs w:val="16"/>
              </w:rPr>
              <w:t>% of participants that report positively on the collective management capacity building programs</w:t>
            </w:r>
          </w:p>
        </w:tc>
        <w:tc>
          <w:tcPr>
            <w:tcW w:w="2480" w:type="dxa"/>
            <w:shd w:val="clear" w:color="000000" w:fill="FFFFFF"/>
            <w:tcMar>
              <w:top w:w="85" w:type="dxa"/>
            </w:tcMar>
          </w:tcPr>
          <w:p w14:paraId="06F9DAF6" w14:textId="77777777" w:rsidR="00E27FBC" w:rsidRPr="002F442C" w:rsidRDefault="00E27FBC" w:rsidP="004805AA">
            <w:pPr>
              <w:keepNext/>
              <w:keepLines/>
              <w:ind w:left="57"/>
              <w:rPr>
                <w:rFonts w:ascii="Arial" w:hAnsi="Arial" w:cs="Arial"/>
                <w:color w:val="000000"/>
                <w:sz w:val="16"/>
                <w:szCs w:val="16"/>
              </w:rPr>
            </w:pPr>
            <w:r w:rsidRPr="002F442C">
              <w:rPr>
                <w:rFonts w:ascii="Arial" w:hAnsi="Arial" w:cs="Arial"/>
                <w:color w:val="000000"/>
                <w:sz w:val="16"/>
                <w:szCs w:val="16"/>
              </w:rPr>
              <w:t xml:space="preserve">0 (end 2014). </w:t>
            </w:r>
          </w:p>
        </w:tc>
        <w:tc>
          <w:tcPr>
            <w:tcW w:w="1915" w:type="dxa"/>
            <w:shd w:val="clear" w:color="000000" w:fill="FFFFFF"/>
            <w:tcMar>
              <w:top w:w="85" w:type="dxa"/>
            </w:tcMar>
          </w:tcPr>
          <w:p w14:paraId="3A51CD8F" w14:textId="77777777" w:rsidR="00E27FBC" w:rsidRPr="002F442C" w:rsidRDefault="00E27FBC" w:rsidP="004805AA">
            <w:pPr>
              <w:keepNext/>
              <w:keepLines/>
              <w:ind w:left="97"/>
              <w:rPr>
                <w:rFonts w:ascii="Arial" w:hAnsi="Arial" w:cs="Arial"/>
                <w:color w:val="000000"/>
                <w:sz w:val="16"/>
                <w:szCs w:val="16"/>
              </w:rPr>
            </w:pPr>
            <w:r w:rsidRPr="002F442C">
              <w:rPr>
                <w:rFonts w:ascii="Arial" w:hAnsi="Arial" w:cs="Arial"/>
                <w:color w:val="000000"/>
                <w:sz w:val="16"/>
                <w:szCs w:val="16"/>
              </w:rPr>
              <w:t xml:space="preserve">70% of surveyed participants approve or strongly approve </w:t>
            </w:r>
          </w:p>
        </w:tc>
      </w:tr>
      <w:tr w:rsidR="00E27FBC" w:rsidRPr="002F442C" w14:paraId="66EDE56D" w14:textId="77777777" w:rsidTr="005546DD">
        <w:trPr>
          <w:trHeight w:val="545"/>
        </w:trPr>
        <w:tc>
          <w:tcPr>
            <w:tcW w:w="2440" w:type="dxa"/>
            <w:vMerge/>
            <w:tcMar>
              <w:top w:w="85" w:type="dxa"/>
            </w:tcMar>
            <w:vAlign w:val="center"/>
          </w:tcPr>
          <w:p w14:paraId="2D5D26D5" w14:textId="77777777" w:rsidR="00E27FBC" w:rsidRPr="002F442C" w:rsidRDefault="00E27FBC" w:rsidP="004805AA">
            <w:pPr>
              <w:keepNext/>
              <w:keepLines/>
              <w:rPr>
                <w:rFonts w:ascii="Arial" w:hAnsi="Arial" w:cs="Arial"/>
                <w:color w:val="000000"/>
                <w:sz w:val="16"/>
                <w:szCs w:val="16"/>
              </w:rPr>
            </w:pPr>
          </w:p>
        </w:tc>
        <w:tc>
          <w:tcPr>
            <w:tcW w:w="2360" w:type="dxa"/>
            <w:shd w:val="clear" w:color="000000" w:fill="FFFFFF"/>
            <w:tcMar>
              <w:top w:w="85" w:type="dxa"/>
            </w:tcMar>
          </w:tcPr>
          <w:p w14:paraId="69A796D0" w14:textId="77777777" w:rsidR="00E27FBC" w:rsidRPr="002F442C" w:rsidRDefault="00E27FBC" w:rsidP="004805AA">
            <w:pPr>
              <w:keepNext/>
              <w:keepLines/>
              <w:ind w:left="77"/>
              <w:rPr>
                <w:rFonts w:ascii="Arial" w:hAnsi="Arial" w:cs="Arial"/>
                <w:color w:val="000000"/>
                <w:sz w:val="16"/>
                <w:szCs w:val="16"/>
              </w:rPr>
            </w:pPr>
            <w:r w:rsidRPr="002F442C">
              <w:rPr>
                <w:rFonts w:ascii="Arial" w:hAnsi="Arial" w:cs="Arial"/>
                <w:color w:val="000000"/>
                <w:sz w:val="16"/>
                <w:szCs w:val="16"/>
              </w:rPr>
              <w:t xml:space="preserve">No. of visits to the Portal on Copyright Infrastructure. </w:t>
            </w:r>
          </w:p>
        </w:tc>
        <w:tc>
          <w:tcPr>
            <w:tcW w:w="2480" w:type="dxa"/>
            <w:shd w:val="clear" w:color="000000" w:fill="FFFFFF"/>
            <w:tcMar>
              <w:top w:w="85" w:type="dxa"/>
            </w:tcMar>
          </w:tcPr>
          <w:p w14:paraId="5D5196CE" w14:textId="77777777" w:rsidR="00E27FBC" w:rsidRPr="002F442C" w:rsidRDefault="00E27FBC" w:rsidP="004805AA">
            <w:pPr>
              <w:keepNext/>
              <w:keepLines/>
              <w:ind w:left="57"/>
              <w:rPr>
                <w:rFonts w:ascii="Arial" w:hAnsi="Arial" w:cs="Arial"/>
                <w:color w:val="000000"/>
                <w:sz w:val="16"/>
                <w:szCs w:val="16"/>
              </w:rPr>
            </w:pPr>
            <w:r w:rsidRPr="002F442C">
              <w:rPr>
                <w:rFonts w:ascii="Arial" w:hAnsi="Arial" w:cs="Arial"/>
                <w:color w:val="000000"/>
                <w:sz w:val="16"/>
                <w:szCs w:val="16"/>
              </w:rPr>
              <w:t>0 (end 2014)</w:t>
            </w:r>
          </w:p>
        </w:tc>
        <w:tc>
          <w:tcPr>
            <w:tcW w:w="1915" w:type="dxa"/>
            <w:shd w:val="clear" w:color="000000" w:fill="FFFFFF"/>
            <w:tcMar>
              <w:top w:w="85" w:type="dxa"/>
            </w:tcMar>
          </w:tcPr>
          <w:p w14:paraId="1E135699" w14:textId="77777777" w:rsidR="00E27FBC" w:rsidRPr="002F442C" w:rsidRDefault="00E27FBC" w:rsidP="004805AA">
            <w:pPr>
              <w:keepNext/>
              <w:keepLines/>
              <w:ind w:left="97"/>
              <w:rPr>
                <w:rFonts w:ascii="Arial" w:hAnsi="Arial" w:cs="Arial"/>
                <w:color w:val="000000"/>
                <w:sz w:val="16"/>
                <w:szCs w:val="16"/>
              </w:rPr>
            </w:pPr>
            <w:r w:rsidRPr="002F442C">
              <w:rPr>
                <w:rFonts w:ascii="Arial" w:hAnsi="Arial" w:cs="Arial"/>
                <w:color w:val="000000"/>
                <w:sz w:val="16"/>
                <w:szCs w:val="16"/>
              </w:rPr>
              <w:t>500 visits to the portal</w:t>
            </w:r>
          </w:p>
        </w:tc>
      </w:tr>
      <w:tr w:rsidR="00E27FBC" w:rsidRPr="002F442C" w14:paraId="4C88B0F0" w14:textId="77777777" w:rsidTr="005546DD">
        <w:trPr>
          <w:trHeight w:val="896"/>
        </w:trPr>
        <w:tc>
          <w:tcPr>
            <w:tcW w:w="2440" w:type="dxa"/>
            <w:vMerge/>
            <w:tcMar>
              <w:top w:w="85" w:type="dxa"/>
            </w:tcMar>
            <w:vAlign w:val="center"/>
          </w:tcPr>
          <w:p w14:paraId="4F876921"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tcPr>
          <w:p w14:paraId="18D8EB5C" w14:textId="77777777" w:rsidR="00E27FBC" w:rsidRPr="002F442C" w:rsidRDefault="00E27FBC" w:rsidP="004805AA">
            <w:pPr>
              <w:spacing w:after="240"/>
              <w:ind w:left="77"/>
              <w:rPr>
                <w:rFonts w:ascii="Arial" w:hAnsi="Arial" w:cs="Arial"/>
                <w:color w:val="000000"/>
                <w:sz w:val="16"/>
                <w:szCs w:val="16"/>
              </w:rPr>
            </w:pPr>
            <w:r w:rsidRPr="002F442C">
              <w:rPr>
                <w:rFonts w:ascii="Arial" w:hAnsi="Arial" w:cs="Arial"/>
                <w:color w:val="000000"/>
                <w:sz w:val="16"/>
                <w:szCs w:val="16"/>
              </w:rPr>
              <w:t>No. of publishers signing ABC Charter for Accessible Publishing (“Charter”)</w:t>
            </w:r>
            <w:r w:rsidRPr="002F442C">
              <w:rPr>
                <w:rFonts w:ascii="Arial" w:hAnsi="Arial" w:cs="Arial"/>
                <w:color w:val="000000"/>
                <w:sz w:val="16"/>
                <w:szCs w:val="16"/>
              </w:rPr>
              <w:br/>
            </w:r>
            <w:r w:rsidRPr="002F442C">
              <w:rPr>
                <w:rFonts w:ascii="Arial" w:hAnsi="Arial" w:cs="Arial"/>
                <w:color w:val="000000"/>
                <w:sz w:val="16"/>
                <w:szCs w:val="16"/>
              </w:rPr>
              <w:br/>
              <w:t>No. of books in accessible formats loaned to persons who are print-disabled</w:t>
            </w:r>
          </w:p>
        </w:tc>
        <w:tc>
          <w:tcPr>
            <w:tcW w:w="2480" w:type="dxa"/>
            <w:shd w:val="clear" w:color="000000" w:fill="FFFFFF"/>
            <w:tcMar>
              <w:top w:w="85" w:type="dxa"/>
            </w:tcMar>
          </w:tcPr>
          <w:p w14:paraId="54C9F021" w14:textId="0848382E" w:rsidR="00E27FBC" w:rsidRPr="002F442C" w:rsidRDefault="00E27FBC" w:rsidP="004805AA">
            <w:pPr>
              <w:ind w:left="57"/>
              <w:rPr>
                <w:rFonts w:ascii="Arial" w:hAnsi="Arial" w:cs="Arial"/>
                <w:color w:val="000000"/>
                <w:sz w:val="16"/>
                <w:szCs w:val="16"/>
              </w:rPr>
            </w:pPr>
            <w:r w:rsidRPr="002F442C">
              <w:rPr>
                <w:rFonts w:ascii="Arial" w:hAnsi="Arial" w:cs="Arial"/>
                <w:color w:val="000000"/>
                <w:sz w:val="16"/>
                <w:szCs w:val="16"/>
              </w:rPr>
              <w:t xml:space="preserve">Nine </w:t>
            </w:r>
            <w:r>
              <w:rPr>
                <w:rFonts w:ascii="Arial" w:hAnsi="Arial" w:cs="Arial"/>
                <w:color w:val="000000"/>
                <w:sz w:val="16"/>
                <w:szCs w:val="16"/>
              </w:rPr>
              <w:t xml:space="preserve">publishers </w:t>
            </w:r>
            <w:r w:rsidRPr="002F442C">
              <w:rPr>
                <w:rFonts w:ascii="Arial" w:hAnsi="Arial" w:cs="Arial"/>
                <w:color w:val="000000"/>
                <w:sz w:val="16"/>
                <w:szCs w:val="16"/>
              </w:rPr>
              <w:t>signed ABC Charter</w:t>
            </w:r>
            <w:r w:rsidRPr="002F442C">
              <w:rPr>
                <w:rFonts w:ascii="Arial" w:hAnsi="Arial" w:cs="Arial"/>
                <w:color w:val="000000"/>
                <w:sz w:val="16"/>
                <w:szCs w:val="16"/>
              </w:rPr>
              <w:br/>
            </w:r>
            <w:r w:rsidRPr="002F442C">
              <w:rPr>
                <w:rFonts w:ascii="Arial" w:hAnsi="Arial" w:cs="Arial"/>
                <w:color w:val="000000"/>
                <w:sz w:val="16"/>
                <w:szCs w:val="16"/>
              </w:rPr>
              <w:br/>
            </w:r>
            <w:r w:rsidRPr="002F442C">
              <w:rPr>
                <w:rFonts w:ascii="Arial" w:hAnsi="Arial" w:cs="Arial"/>
                <w:color w:val="000000"/>
                <w:sz w:val="16"/>
                <w:szCs w:val="16"/>
              </w:rPr>
              <w:br/>
              <w:t xml:space="preserve">16,000 loans to persons who are print disabled. </w:t>
            </w:r>
          </w:p>
        </w:tc>
        <w:tc>
          <w:tcPr>
            <w:tcW w:w="1915" w:type="dxa"/>
            <w:shd w:val="clear" w:color="000000" w:fill="FFFFFF"/>
            <w:tcMar>
              <w:top w:w="85" w:type="dxa"/>
            </w:tcMar>
          </w:tcPr>
          <w:p w14:paraId="620DF54F"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15 publishers sign (cumulative)</w:t>
            </w:r>
            <w:r w:rsidRPr="002F442C">
              <w:rPr>
                <w:rFonts w:ascii="Arial" w:hAnsi="Arial" w:cs="Arial"/>
                <w:color w:val="000000"/>
                <w:sz w:val="16"/>
                <w:szCs w:val="16"/>
              </w:rPr>
              <w:br/>
            </w:r>
            <w:r w:rsidRPr="002F442C">
              <w:rPr>
                <w:rFonts w:ascii="Arial" w:hAnsi="Arial" w:cs="Arial"/>
                <w:color w:val="000000"/>
                <w:sz w:val="16"/>
                <w:szCs w:val="16"/>
              </w:rPr>
              <w:br/>
            </w:r>
            <w:r w:rsidRPr="002F442C">
              <w:rPr>
                <w:rFonts w:ascii="Arial" w:hAnsi="Arial" w:cs="Arial"/>
                <w:color w:val="000000"/>
                <w:sz w:val="16"/>
                <w:szCs w:val="16"/>
              </w:rPr>
              <w:br/>
              <w:t>20,000 loans (cumulative)</w:t>
            </w:r>
          </w:p>
        </w:tc>
      </w:tr>
      <w:tr w:rsidR="00E27FBC" w:rsidRPr="002F442C" w14:paraId="0CE39284" w14:textId="77777777" w:rsidTr="005546DD">
        <w:trPr>
          <w:trHeight w:val="896"/>
        </w:trPr>
        <w:tc>
          <w:tcPr>
            <w:tcW w:w="2440" w:type="dxa"/>
            <w:vMerge/>
            <w:tcMar>
              <w:top w:w="85" w:type="dxa"/>
            </w:tcMar>
            <w:vAlign w:val="center"/>
            <w:hideMark/>
          </w:tcPr>
          <w:p w14:paraId="32F8CDD7"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0DFD851A"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 of participants' positive rating of the usefulness of copyright and related rights capacity building meetings and workshops</w:t>
            </w:r>
          </w:p>
        </w:tc>
        <w:tc>
          <w:tcPr>
            <w:tcW w:w="2480" w:type="dxa"/>
            <w:shd w:val="clear" w:color="000000" w:fill="FFFFFF"/>
            <w:tcMar>
              <w:top w:w="85" w:type="dxa"/>
            </w:tcMar>
            <w:hideMark/>
          </w:tcPr>
          <w:p w14:paraId="51E801AC" w14:textId="77777777" w:rsidR="00E27FBC" w:rsidRPr="002F442C" w:rsidRDefault="00E27FBC" w:rsidP="004805AA">
            <w:pPr>
              <w:rPr>
                <w:rFonts w:ascii="Arial" w:hAnsi="Arial" w:cs="Arial"/>
                <w:color w:val="000000"/>
                <w:sz w:val="16"/>
                <w:szCs w:val="16"/>
              </w:rPr>
            </w:pPr>
            <w:r w:rsidRPr="002F442C">
              <w:rPr>
                <w:rFonts w:ascii="Arial" w:hAnsi="Arial" w:cs="Arial"/>
                <w:color w:val="000000"/>
                <w:sz w:val="16"/>
                <w:szCs w:val="16"/>
              </w:rPr>
              <w:t xml:space="preserve">70% </w:t>
            </w:r>
          </w:p>
        </w:tc>
        <w:tc>
          <w:tcPr>
            <w:tcW w:w="1915" w:type="dxa"/>
            <w:shd w:val="clear" w:color="000000" w:fill="FFFFFF"/>
            <w:tcMar>
              <w:top w:w="85" w:type="dxa"/>
            </w:tcMar>
            <w:hideMark/>
          </w:tcPr>
          <w:p w14:paraId="4C950B69"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70 % of the participants  agree or strongly agree</w:t>
            </w:r>
          </w:p>
        </w:tc>
      </w:tr>
      <w:tr w:rsidR="00E27FBC" w:rsidRPr="002F442C" w14:paraId="3A827795" w14:textId="77777777" w:rsidTr="005546DD">
        <w:trPr>
          <w:trHeight w:val="1265"/>
        </w:trPr>
        <w:tc>
          <w:tcPr>
            <w:tcW w:w="2440" w:type="dxa"/>
            <w:vMerge/>
            <w:tcMar>
              <w:top w:w="85" w:type="dxa"/>
            </w:tcMar>
            <w:vAlign w:val="center"/>
            <w:hideMark/>
          </w:tcPr>
          <w:p w14:paraId="11787D7D"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5672EC57" w14:textId="77777777" w:rsidR="00E27FBC" w:rsidRDefault="00E27FBC" w:rsidP="004805AA">
            <w:pPr>
              <w:ind w:left="77"/>
              <w:rPr>
                <w:rFonts w:ascii="Arial" w:hAnsi="Arial" w:cs="Arial"/>
                <w:color w:val="000000"/>
                <w:sz w:val="16"/>
                <w:szCs w:val="16"/>
              </w:rPr>
            </w:pPr>
          </w:p>
          <w:p w14:paraId="11E1ADD5"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 xml:space="preserve">% of participants </w:t>
            </w:r>
            <w:r>
              <w:rPr>
                <w:rFonts w:ascii="Arial" w:hAnsi="Arial" w:cs="Arial"/>
                <w:color w:val="000000"/>
                <w:sz w:val="16"/>
                <w:szCs w:val="16"/>
              </w:rPr>
              <w:t xml:space="preserve">in copyright related capacity building workshops </w:t>
            </w:r>
            <w:r w:rsidRPr="002F442C">
              <w:rPr>
                <w:rFonts w:ascii="Arial" w:hAnsi="Arial" w:cs="Arial"/>
                <w:color w:val="000000"/>
                <w:sz w:val="16"/>
                <w:szCs w:val="16"/>
              </w:rPr>
              <w:t>reporting practical use of knowledge nine months after the workshop</w:t>
            </w:r>
          </w:p>
        </w:tc>
        <w:tc>
          <w:tcPr>
            <w:tcW w:w="2480" w:type="dxa"/>
            <w:shd w:val="clear" w:color="000000" w:fill="FFFFFF"/>
            <w:tcMar>
              <w:top w:w="85" w:type="dxa"/>
            </w:tcMar>
            <w:hideMark/>
          </w:tcPr>
          <w:p w14:paraId="19D69142" w14:textId="77777777" w:rsidR="00E27FBC" w:rsidRDefault="00E27FBC" w:rsidP="004805AA">
            <w:pPr>
              <w:ind w:left="57" w:firstLineChars="200" w:firstLine="320"/>
              <w:rPr>
                <w:rFonts w:ascii="Arial" w:hAnsi="Arial" w:cs="Arial"/>
                <w:color w:val="000000"/>
                <w:sz w:val="16"/>
                <w:szCs w:val="16"/>
              </w:rPr>
            </w:pPr>
          </w:p>
          <w:p w14:paraId="578F5263" w14:textId="77777777" w:rsidR="00E27FBC" w:rsidRPr="002F442C" w:rsidRDefault="00E27FBC" w:rsidP="004805AA">
            <w:pPr>
              <w:rPr>
                <w:rFonts w:ascii="Arial" w:hAnsi="Arial" w:cs="Arial"/>
                <w:color w:val="000000"/>
                <w:sz w:val="16"/>
                <w:szCs w:val="16"/>
              </w:rPr>
            </w:pPr>
            <w:r w:rsidRPr="002F442C">
              <w:rPr>
                <w:rFonts w:ascii="Arial" w:hAnsi="Arial" w:cs="Arial"/>
                <w:color w:val="000000"/>
                <w:sz w:val="16"/>
                <w:szCs w:val="16"/>
              </w:rPr>
              <w:t xml:space="preserve">About 70% </w:t>
            </w:r>
          </w:p>
        </w:tc>
        <w:tc>
          <w:tcPr>
            <w:tcW w:w="1915" w:type="dxa"/>
            <w:shd w:val="clear" w:color="000000" w:fill="FFFFFF"/>
            <w:tcMar>
              <w:top w:w="85" w:type="dxa"/>
            </w:tcMar>
            <w:hideMark/>
          </w:tcPr>
          <w:p w14:paraId="30588FC2" w14:textId="77777777" w:rsidR="00E27FBC" w:rsidRDefault="00E27FBC" w:rsidP="004805AA">
            <w:pPr>
              <w:ind w:left="97"/>
              <w:rPr>
                <w:rFonts w:ascii="Arial" w:hAnsi="Arial" w:cs="Arial"/>
                <w:color w:val="000000"/>
                <w:sz w:val="16"/>
                <w:szCs w:val="16"/>
              </w:rPr>
            </w:pPr>
          </w:p>
          <w:p w14:paraId="508FDF9D"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About 80% of the participants</w:t>
            </w:r>
          </w:p>
        </w:tc>
      </w:tr>
      <w:tr w:rsidR="00E27FBC" w:rsidRPr="002F442C" w14:paraId="53AC5253" w14:textId="77777777" w:rsidTr="005546DD">
        <w:trPr>
          <w:trHeight w:val="1301"/>
        </w:trPr>
        <w:tc>
          <w:tcPr>
            <w:tcW w:w="2440" w:type="dxa"/>
            <w:vMerge/>
            <w:tcMar>
              <w:top w:w="85" w:type="dxa"/>
            </w:tcMar>
            <w:vAlign w:val="center"/>
            <w:hideMark/>
          </w:tcPr>
          <w:p w14:paraId="296631BF"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508F258E" w14:textId="664A1296"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 xml:space="preserve">% of </w:t>
            </w:r>
            <w:r>
              <w:rPr>
                <w:rFonts w:ascii="Arial" w:hAnsi="Arial" w:cs="Arial"/>
                <w:color w:val="000000"/>
                <w:sz w:val="16"/>
                <w:szCs w:val="16"/>
              </w:rPr>
              <w:t xml:space="preserve">participants </w:t>
            </w:r>
            <w:r w:rsidRPr="002F442C">
              <w:rPr>
                <w:rFonts w:ascii="Arial" w:hAnsi="Arial" w:cs="Arial"/>
                <w:color w:val="000000"/>
                <w:sz w:val="16"/>
                <w:szCs w:val="16"/>
              </w:rPr>
              <w:t xml:space="preserve">with improved knowledge and skills in conducting </w:t>
            </w:r>
            <w:r>
              <w:rPr>
                <w:rFonts w:ascii="Arial" w:hAnsi="Arial" w:cs="Arial"/>
                <w:color w:val="000000"/>
                <w:sz w:val="16"/>
                <w:szCs w:val="16"/>
              </w:rPr>
              <w:t xml:space="preserve">training activities </w:t>
            </w:r>
            <w:r w:rsidRPr="002F442C">
              <w:rPr>
                <w:rFonts w:ascii="Arial" w:hAnsi="Arial" w:cs="Arial"/>
                <w:color w:val="000000"/>
                <w:sz w:val="16"/>
                <w:szCs w:val="16"/>
              </w:rPr>
              <w:t>in their respective countries</w:t>
            </w:r>
            <w:r>
              <w:rPr>
                <w:rFonts w:ascii="Arial" w:hAnsi="Arial" w:cs="Arial"/>
                <w:color w:val="000000"/>
                <w:sz w:val="16"/>
                <w:szCs w:val="16"/>
              </w:rPr>
              <w:t xml:space="preserve"> </w:t>
            </w:r>
          </w:p>
        </w:tc>
        <w:tc>
          <w:tcPr>
            <w:tcW w:w="2480" w:type="dxa"/>
            <w:shd w:val="clear" w:color="000000" w:fill="FFFFFF"/>
            <w:tcMar>
              <w:top w:w="85" w:type="dxa"/>
            </w:tcMar>
            <w:hideMark/>
          </w:tcPr>
          <w:p w14:paraId="1EA0A921" w14:textId="77777777" w:rsidR="00E27FBC" w:rsidRPr="002F442C" w:rsidRDefault="00E27FBC" w:rsidP="004805AA">
            <w:pPr>
              <w:ind w:left="57"/>
              <w:rPr>
                <w:rFonts w:ascii="Arial" w:hAnsi="Arial" w:cs="Arial"/>
                <w:color w:val="000000"/>
                <w:sz w:val="16"/>
                <w:szCs w:val="16"/>
              </w:rPr>
            </w:pPr>
            <w:r>
              <w:rPr>
                <w:rFonts w:ascii="Arial" w:hAnsi="Arial" w:cs="Arial"/>
                <w:color w:val="000000"/>
                <w:sz w:val="16"/>
                <w:szCs w:val="16"/>
              </w:rPr>
              <w:t>n/a</w:t>
            </w:r>
            <w:r w:rsidRPr="002F442C">
              <w:rPr>
                <w:rFonts w:ascii="Arial" w:hAnsi="Arial" w:cs="Arial"/>
                <w:color w:val="000000"/>
                <w:sz w:val="16"/>
                <w:szCs w:val="16"/>
              </w:rPr>
              <w:t xml:space="preserve"> </w:t>
            </w:r>
            <w:r>
              <w:rPr>
                <w:rFonts w:ascii="Arial" w:hAnsi="Arial" w:cs="Arial"/>
                <w:color w:val="000000"/>
                <w:sz w:val="16"/>
                <w:szCs w:val="16"/>
              </w:rPr>
              <w:t>(new indicator)</w:t>
            </w:r>
          </w:p>
        </w:tc>
        <w:tc>
          <w:tcPr>
            <w:tcW w:w="1915" w:type="dxa"/>
            <w:shd w:val="clear" w:color="000000" w:fill="FFFFFF"/>
            <w:tcMar>
              <w:top w:w="85" w:type="dxa"/>
            </w:tcMar>
            <w:hideMark/>
          </w:tcPr>
          <w:p w14:paraId="14852A16"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70% of participants that received training</w:t>
            </w:r>
          </w:p>
        </w:tc>
      </w:tr>
      <w:tr w:rsidR="00E27FBC" w:rsidRPr="002F442C" w14:paraId="4C0C8FF3" w14:textId="77777777" w:rsidTr="005546DD">
        <w:trPr>
          <w:trHeight w:val="1346"/>
        </w:trPr>
        <w:tc>
          <w:tcPr>
            <w:tcW w:w="2440" w:type="dxa"/>
            <w:vMerge w:val="restart"/>
            <w:shd w:val="clear" w:color="000000" w:fill="FFFFFF"/>
            <w:tcMar>
              <w:top w:w="85" w:type="dxa"/>
            </w:tcMar>
            <w:hideMark/>
          </w:tcPr>
          <w:p w14:paraId="14DF2D2C" w14:textId="77777777" w:rsidR="00E27FBC" w:rsidRPr="002F442C" w:rsidRDefault="00E27FBC" w:rsidP="004805AA">
            <w:pPr>
              <w:rPr>
                <w:rFonts w:ascii="Arial" w:hAnsi="Arial" w:cs="Arial"/>
                <w:color w:val="000000"/>
                <w:sz w:val="16"/>
                <w:szCs w:val="16"/>
              </w:rPr>
            </w:pPr>
            <w:r w:rsidRPr="002F442C">
              <w:rPr>
                <w:rFonts w:ascii="Arial" w:hAnsi="Arial" w:cs="Arial"/>
                <w:color w:val="000000"/>
                <w:sz w:val="16"/>
                <w:szCs w:val="16"/>
              </w:rPr>
              <w:lastRenderedPageBreak/>
              <w:t>IV.2 Enhanced access to, and use of, IP information by IP institutions and the public to promote innovation and creativity</w:t>
            </w:r>
          </w:p>
        </w:tc>
        <w:tc>
          <w:tcPr>
            <w:tcW w:w="2360" w:type="dxa"/>
            <w:shd w:val="clear" w:color="000000" w:fill="FFFFFF"/>
            <w:tcMar>
              <w:top w:w="85" w:type="dxa"/>
            </w:tcMar>
            <w:hideMark/>
          </w:tcPr>
          <w:p w14:paraId="50D49D7E" w14:textId="77777777" w:rsidR="00E27FBC" w:rsidRDefault="00E27FBC" w:rsidP="004805AA">
            <w:pPr>
              <w:ind w:left="77"/>
              <w:rPr>
                <w:rFonts w:ascii="Arial" w:hAnsi="Arial" w:cs="Arial"/>
                <w:color w:val="000000"/>
                <w:sz w:val="16"/>
                <w:szCs w:val="16"/>
              </w:rPr>
            </w:pPr>
            <w:r w:rsidRPr="002F442C">
              <w:rPr>
                <w:rFonts w:ascii="Arial" w:hAnsi="Arial" w:cs="Arial"/>
                <w:color w:val="000000"/>
                <w:sz w:val="16"/>
                <w:szCs w:val="16"/>
              </w:rPr>
              <w:t>No. of ABC constituent members</w:t>
            </w:r>
            <w:r w:rsidRPr="002F442C">
              <w:rPr>
                <w:rFonts w:ascii="Arial" w:hAnsi="Arial" w:cs="Arial"/>
                <w:color w:val="000000"/>
                <w:sz w:val="16"/>
                <w:szCs w:val="16"/>
              </w:rPr>
              <w:br/>
            </w:r>
            <w:r w:rsidRPr="002F442C">
              <w:rPr>
                <w:rFonts w:ascii="Arial" w:hAnsi="Arial" w:cs="Arial"/>
                <w:color w:val="000000"/>
                <w:sz w:val="16"/>
                <w:szCs w:val="16"/>
              </w:rPr>
              <w:br/>
            </w:r>
          </w:p>
          <w:p w14:paraId="07AAC092"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No. of donors</w:t>
            </w:r>
          </w:p>
        </w:tc>
        <w:tc>
          <w:tcPr>
            <w:tcW w:w="2480" w:type="dxa"/>
            <w:shd w:val="clear" w:color="000000" w:fill="FFFFFF"/>
            <w:tcMar>
              <w:top w:w="85" w:type="dxa"/>
            </w:tcMar>
            <w:hideMark/>
          </w:tcPr>
          <w:p w14:paraId="3CAA53B1" w14:textId="77777777" w:rsidR="00E27FBC" w:rsidRDefault="00E27FBC" w:rsidP="004805AA">
            <w:pPr>
              <w:ind w:left="57"/>
              <w:rPr>
                <w:rFonts w:ascii="Arial" w:hAnsi="Arial" w:cs="Arial"/>
                <w:color w:val="000000"/>
                <w:sz w:val="16"/>
                <w:szCs w:val="16"/>
              </w:rPr>
            </w:pPr>
            <w:r w:rsidRPr="002F442C">
              <w:rPr>
                <w:rFonts w:ascii="Arial" w:hAnsi="Arial" w:cs="Arial"/>
                <w:color w:val="000000"/>
                <w:sz w:val="16"/>
                <w:szCs w:val="16"/>
              </w:rPr>
              <w:t>10 ABC constituent members</w:t>
            </w:r>
            <w:r w:rsidRPr="002F442C">
              <w:rPr>
                <w:rFonts w:ascii="Arial" w:hAnsi="Arial" w:cs="Arial"/>
                <w:color w:val="000000"/>
                <w:sz w:val="16"/>
                <w:szCs w:val="16"/>
              </w:rPr>
              <w:br/>
            </w:r>
            <w:r w:rsidRPr="002F442C">
              <w:rPr>
                <w:rFonts w:ascii="Arial" w:hAnsi="Arial" w:cs="Arial"/>
                <w:color w:val="000000"/>
                <w:sz w:val="16"/>
                <w:szCs w:val="16"/>
              </w:rPr>
              <w:br/>
            </w:r>
            <w:r w:rsidRPr="002F442C">
              <w:rPr>
                <w:rFonts w:ascii="Arial" w:hAnsi="Arial" w:cs="Arial"/>
                <w:color w:val="000000"/>
                <w:sz w:val="16"/>
                <w:szCs w:val="16"/>
              </w:rPr>
              <w:br/>
            </w:r>
          </w:p>
          <w:p w14:paraId="6D597F0C" w14:textId="77777777" w:rsidR="00E27FBC" w:rsidRPr="002F442C" w:rsidRDefault="00E27FBC" w:rsidP="004805AA">
            <w:pPr>
              <w:ind w:left="57"/>
              <w:rPr>
                <w:rFonts w:ascii="Arial" w:hAnsi="Arial" w:cs="Arial"/>
                <w:color w:val="000000"/>
                <w:sz w:val="16"/>
                <w:szCs w:val="16"/>
              </w:rPr>
            </w:pPr>
            <w:r w:rsidRPr="002F442C">
              <w:rPr>
                <w:rFonts w:ascii="Arial" w:hAnsi="Arial" w:cs="Arial"/>
                <w:color w:val="000000"/>
                <w:sz w:val="16"/>
                <w:szCs w:val="16"/>
              </w:rPr>
              <w:t>Two donors contributing funding</w:t>
            </w:r>
          </w:p>
        </w:tc>
        <w:tc>
          <w:tcPr>
            <w:tcW w:w="1915" w:type="dxa"/>
            <w:shd w:val="clear" w:color="000000" w:fill="FFFFFF"/>
            <w:tcMar>
              <w:top w:w="85" w:type="dxa"/>
            </w:tcMar>
            <w:hideMark/>
          </w:tcPr>
          <w:p w14:paraId="1D6BCFB8"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15 ABC constituent members registered (cumulative)</w:t>
            </w:r>
            <w:r w:rsidRPr="002F442C">
              <w:rPr>
                <w:rFonts w:ascii="Arial" w:hAnsi="Arial" w:cs="Arial"/>
                <w:color w:val="000000"/>
                <w:sz w:val="16"/>
                <w:szCs w:val="16"/>
              </w:rPr>
              <w:br/>
            </w:r>
            <w:r w:rsidRPr="002F442C">
              <w:rPr>
                <w:rFonts w:ascii="Arial" w:hAnsi="Arial" w:cs="Arial"/>
                <w:color w:val="000000"/>
                <w:sz w:val="16"/>
                <w:szCs w:val="16"/>
              </w:rPr>
              <w:br/>
              <w:t>Four donors contribute funding (cumulative)</w:t>
            </w:r>
          </w:p>
        </w:tc>
      </w:tr>
      <w:tr w:rsidR="00E27FBC" w:rsidRPr="002F442C" w14:paraId="1E5F6BAB" w14:textId="77777777" w:rsidTr="005546DD">
        <w:trPr>
          <w:trHeight w:val="1876"/>
        </w:trPr>
        <w:tc>
          <w:tcPr>
            <w:tcW w:w="2440" w:type="dxa"/>
            <w:vMerge/>
            <w:tcMar>
              <w:top w:w="85" w:type="dxa"/>
            </w:tcMar>
            <w:vAlign w:val="center"/>
            <w:hideMark/>
          </w:tcPr>
          <w:p w14:paraId="18FB2968" w14:textId="77777777" w:rsidR="00E27FBC" w:rsidRPr="002F442C" w:rsidRDefault="00E27FBC" w:rsidP="004805AA">
            <w:pPr>
              <w:rPr>
                <w:rFonts w:ascii="Arial" w:hAnsi="Arial" w:cs="Arial"/>
                <w:color w:val="000000"/>
                <w:sz w:val="16"/>
                <w:szCs w:val="16"/>
              </w:rPr>
            </w:pPr>
          </w:p>
        </w:tc>
        <w:tc>
          <w:tcPr>
            <w:tcW w:w="2360" w:type="dxa"/>
            <w:shd w:val="clear" w:color="000000" w:fill="FFFFFF"/>
            <w:tcMar>
              <w:top w:w="85" w:type="dxa"/>
            </w:tcMar>
            <w:hideMark/>
          </w:tcPr>
          <w:p w14:paraId="7670433C" w14:textId="77777777" w:rsidR="00E27FBC" w:rsidRPr="002F442C" w:rsidRDefault="00E27FBC" w:rsidP="004805AA">
            <w:pPr>
              <w:ind w:left="77"/>
              <w:rPr>
                <w:rFonts w:ascii="Arial" w:hAnsi="Arial" w:cs="Arial"/>
                <w:color w:val="000000"/>
                <w:sz w:val="16"/>
                <w:szCs w:val="16"/>
              </w:rPr>
            </w:pPr>
            <w:r w:rsidRPr="002F442C">
              <w:rPr>
                <w:rFonts w:ascii="Arial" w:hAnsi="Arial" w:cs="Arial"/>
                <w:color w:val="000000"/>
                <w:sz w:val="16"/>
                <w:szCs w:val="16"/>
              </w:rPr>
              <w:t>No. of legal instruments, guidelines, statements of principles other than binding instruments with the participation of the stakeholders concerned in areas such as new copyright treaties and Copyright in the Digital Environment</w:t>
            </w:r>
          </w:p>
        </w:tc>
        <w:tc>
          <w:tcPr>
            <w:tcW w:w="2480" w:type="dxa"/>
            <w:shd w:val="clear" w:color="000000" w:fill="FFFFFF"/>
            <w:tcMar>
              <w:top w:w="85" w:type="dxa"/>
            </w:tcMar>
            <w:hideMark/>
          </w:tcPr>
          <w:p w14:paraId="4BD04770" w14:textId="77777777" w:rsidR="00E27FBC" w:rsidRPr="002F442C" w:rsidRDefault="00E27FBC" w:rsidP="004805AA">
            <w:pPr>
              <w:ind w:left="57"/>
              <w:rPr>
                <w:rFonts w:ascii="Arial" w:hAnsi="Arial" w:cs="Arial"/>
                <w:color w:val="000000"/>
                <w:sz w:val="16"/>
                <w:szCs w:val="16"/>
              </w:rPr>
            </w:pPr>
            <w:r w:rsidRPr="002F442C">
              <w:rPr>
                <w:rFonts w:ascii="Arial" w:hAnsi="Arial" w:cs="Arial"/>
                <w:color w:val="000000"/>
                <w:sz w:val="16"/>
                <w:szCs w:val="16"/>
              </w:rPr>
              <w:t>One (IP and Sports Guidelines)</w:t>
            </w:r>
          </w:p>
        </w:tc>
        <w:tc>
          <w:tcPr>
            <w:tcW w:w="1915" w:type="dxa"/>
            <w:shd w:val="clear" w:color="000000" w:fill="FFFFFF"/>
            <w:tcMar>
              <w:top w:w="85" w:type="dxa"/>
            </w:tcMar>
            <w:hideMark/>
          </w:tcPr>
          <w:p w14:paraId="10516A15" w14:textId="77777777" w:rsidR="00E27FBC" w:rsidRPr="002F442C" w:rsidRDefault="00E27FBC" w:rsidP="004805AA">
            <w:pPr>
              <w:ind w:left="97"/>
              <w:rPr>
                <w:rFonts w:ascii="Arial" w:hAnsi="Arial" w:cs="Arial"/>
                <w:color w:val="000000"/>
                <w:sz w:val="16"/>
                <w:szCs w:val="16"/>
              </w:rPr>
            </w:pPr>
            <w:r w:rsidRPr="002F442C">
              <w:rPr>
                <w:rFonts w:ascii="Arial" w:hAnsi="Arial" w:cs="Arial"/>
                <w:color w:val="000000"/>
                <w:sz w:val="16"/>
                <w:szCs w:val="16"/>
              </w:rPr>
              <w:t>One</w:t>
            </w:r>
          </w:p>
        </w:tc>
      </w:tr>
    </w:tbl>
    <w:p w14:paraId="3719C018" w14:textId="77777777" w:rsidR="00E27FBC" w:rsidRDefault="00E27FBC" w:rsidP="00E27FBC">
      <w:pPr>
        <w:autoSpaceDE w:val="0"/>
        <w:autoSpaceDN w:val="0"/>
        <w:adjustRightInd w:val="0"/>
        <w:rPr>
          <w:rFonts w:ascii="Arial" w:hAnsi="Arial" w:cs="Arial"/>
        </w:rPr>
      </w:pPr>
    </w:p>
    <w:p w14:paraId="71EB237F" w14:textId="77777777" w:rsidR="00E27FBC" w:rsidRDefault="00E27FBC" w:rsidP="00E27FBC">
      <w:pPr>
        <w:autoSpaceDE w:val="0"/>
        <w:autoSpaceDN w:val="0"/>
        <w:adjustRightInd w:val="0"/>
        <w:rPr>
          <w:rFonts w:ascii="Arial" w:hAnsi="Arial" w:cs="Arial"/>
        </w:rPr>
      </w:pPr>
    </w:p>
    <w:p w14:paraId="64BDA39D" w14:textId="77777777" w:rsidR="00E27FBC" w:rsidRPr="00DF1376" w:rsidRDefault="00E27FBC" w:rsidP="00E27FBC">
      <w:pPr>
        <w:keepNext/>
        <w:keepLines/>
        <w:autoSpaceDE w:val="0"/>
        <w:autoSpaceDN w:val="0"/>
        <w:adjustRightInd w:val="0"/>
        <w:rPr>
          <w:rFonts w:ascii="Arial" w:hAnsi="Arial" w:cs="Arial"/>
          <w:sz w:val="20"/>
        </w:rPr>
      </w:pPr>
      <w:r>
        <w:rPr>
          <w:rFonts w:ascii="Arial" w:hAnsi="Arial" w:cs="Arial"/>
        </w:rPr>
        <w:t>RESOURCES FOR PROGRAM 3</w:t>
      </w:r>
    </w:p>
    <w:p w14:paraId="5A3AAE34" w14:textId="77777777" w:rsidR="00E27FBC" w:rsidRPr="00DF1376" w:rsidRDefault="00E27FBC" w:rsidP="00E27FBC">
      <w:pPr>
        <w:keepNext/>
        <w:keepLines/>
        <w:rPr>
          <w:rFonts w:ascii="Arial" w:hAnsi="Arial" w:cs="Arial"/>
          <w:sz w:val="20"/>
        </w:rPr>
      </w:pPr>
    </w:p>
    <w:p w14:paraId="1839D783" w14:textId="74197E94" w:rsidR="00E27FBC" w:rsidRPr="00BC10F4" w:rsidRDefault="00E27FBC" w:rsidP="00B66A4A">
      <w:pPr>
        <w:pStyle w:val="ListParagraph"/>
        <w:numPr>
          <w:ilvl w:val="0"/>
          <w:numId w:val="4"/>
        </w:numPr>
        <w:autoSpaceDE w:val="0"/>
        <w:autoSpaceDN w:val="0"/>
        <w:adjustRightInd w:val="0"/>
        <w:jc w:val="both"/>
        <w:rPr>
          <w:rFonts w:ascii="Arial" w:hAnsi="Arial" w:cs="Arial"/>
          <w:sz w:val="20"/>
        </w:rPr>
      </w:pPr>
      <w:r w:rsidRPr="00BC10F4">
        <w:rPr>
          <w:rFonts w:ascii="Arial" w:hAnsi="Arial" w:cs="Arial"/>
          <w:sz w:val="20"/>
        </w:rPr>
        <w:t xml:space="preserve">The overall resources for Program 3 in 2016/17 </w:t>
      </w:r>
      <w:r>
        <w:rPr>
          <w:rFonts w:ascii="Arial" w:hAnsi="Arial" w:cs="Arial"/>
          <w:sz w:val="20"/>
        </w:rPr>
        <w:t xml:space="preserve">remain </w:t>
      </w:r>
      <w:r w:rsidRPr="00BC10F4">
        <w:rPr>
          <w:rFonts w:ascii="Arial" w:hAnsi="Arial" w:cs="Arial"/>
          <w:sz w:val="20"/>
        </w:rPr>
        <w:t>at the same level as in 2014/15</w:t>
      </w:r>
      <w:r>
        <w:rPr>
          <w:rFonts w:ascii="Arial" w:hAnsi="Arial" w:cs="Arial"/>
          <w:sz w:val="20"/>
        </w:rPr>
        <w:t>. A slight reduction can be observed in</w:t>
      </w:r>
      <w:r w:rsidRPr="00BC10F4">
        <w:rPr>
          <w:rFonts w:ascii="Arial" w:hAnsi="Arial" w:cs="Arial"/>
          <w:sz w:val="20"/>
        </w:rPr>
        <w:t xml:space="preserve"> personnel resources </w:t>
      </w:r>
      <w:r>
        <w:rPr>
          <w:rFonts w:ascii="Arial" w:hAnsi="Arial" w:cs="Arial"/>
          <w:sz w:val="20"/>
        </w:rPr>
        <w:t xml:space="preserve">following the transfer </w:t>
      </w:r>
      <w:r w:rsidRPr="00BC10F4">
        <w:rPr>
          <w:rFonts w:ascii="Arial" w:hAnsi="Arial" w:cs="Arial"/>
          <w:sz w:val="20"/>
        </w:rPr>
        <w:t xml:space="preserve">of </w:t>
      </w:r>
      <w:r>
        <w:rPr>
          <w:rFonts w:ascii="Arial" w:hAnsi="Arial" w:cs="Arial"/>
          <w:sz w:val="20"/>
        </w:rPr>
        <w:t>the responsibilities for the WCC to Program 15 (Business Solutions for IP Offices)</w:t>
      </w:r>
      <w:r w:rsidR="00FE1138">
        <w:rPr>
          <w:rFonts w:ascii="Arial" w:hAnsi="Arial" w:cs="Arial"/>
          <w:sz w:val="20"/>
        </w:rPr>
        <w:t xml:space="preserve"> which</w:t>
      </w:r>
      <w:r>
        <w:rPr>
          <w:rFonts w:ascii="Arial" w:hAnsi="Arial" w:cs="Arial"/>
          <w:sz w:val="20"/>
        </w:rPr>
        <w:t xml:space="preserve"> is offset </w:t>
      </w:r>
      <w:r w:rsidRPr="00F91D52">
        <w:rPr>
          <w:rFonts w:ascii="Arial" w:hAnsi="Arial" w:cs="Arial"/>
          <w:sz w:val="20"/>
        </w:rPr>
        <w:t>by a</w:t>
      </w:r>
      <w:r>
        <w:rPr>
          <w:rFonts w:ascii="Arial" w:hAnsi="Arial" w:cs="Arial"/>
          <w:sz w:val="20"/>
        </w:rPr>
        <w:t xml:space="preserve"> net</w:t>
      </w:r>
      <w:r w:rsidRPr="00BC10F4">
        <w:rPr>
          <w:rFonts w:ascii="Arial" w:hAnsi="Arial" w:cs="Arial"/>
          <w:sz w:val="20"/>
        </w:rPr>
        <w:t xml:space="preserve"> increase in non-personnel resources</w:t>
      </w:r>
      <w:r>
        <w:rPr>
          <w:rFonts w:ascii="Arial" w:hAnsi="Arial" w:cs="Arial"/>
          <w:sz w:val="20"/>
        </w:rPr>
        <w:t xml:space="preserve"> reflecting, on the one hand: a) the transfer of responsibilities for</w:t>
      </w:r>
      <w:r w:rsidRPr="00BC10F4">
        <w:rPr>
          <w:rFonts w:ascii="Arial" w:hAnsi="Arial" w:cs="Arial"/>
          <w:sz w:val="20"/>
        </w:rPr>
        <w:t xml:space="preserve"> </w:t>
      </w:r>
      <w:r w:rsidR="00FE1138">
        <w:rPr>
          <w:rFonts w:ascii="Arial" w:hAnsi="Arial" w:cs="Arial"/>
          <w:sz w:val="20"/>
        </w:rPr>
        <w:t xml:space="preserve">copyright </w:t>
      </w:r>
      <w:r w:rsidRPr="00BC10F4">
        <w:rPr>
          <w:rFonts w:ascii="Arial" w:hAnsi="Arial" w:cs="Arial"/>
          <w:sz w:val="20"/>
        </w:rPr>
        <w:t>economic studies to Program 16</w:t>
      </w:r>
      <w:r>
        <w:rPr>
          <w:rFonts w:ascii="Arial" w:hAnsi="Arial" w:cs="Arial"/>
          <w:sz w:val="20"/>
        </w:rPr>
        <w:t xml:space="preserve"> (Economics and Statistics) and, on the other hand, b) </w:t>
      </w:r>
      <w:r w:rsidRPr="00B50442">
        <w:rPr>
          <w:rFonts w:ascii="Arial" w:hAnsi="Arial" w:cs="Arial"/>
          <w:sz w:val="20"/>
        </w:rPr>
        <w:t xml:space="preserve">increased emphasis on </w:t>
      </w:r>
      <w:r w:rsidRPr="00B50442">
        <w:rPr>
          <w:rFonts w:ascii="Arial" w:hAnsi="Arial" w:cs="Arial"/>
          <w:i/>
          <w:sz w:val="20"/>
        </w:rPr>
        <w:t>TAG</w:t>
      </w:r>
      <w:r>
        <w:rPr>
          <w:rFonts w:ascii="Arial" w:hAnsi="Arial" w:cs="Arial"/>
          <w:i/>
          <w:sz w:val="20"/>
        </w:rPr>
        <w:t>,</w:t>
      </w:r>
      <w:r w:rsidRPr="00B50442">
        <w:rPr>
          <w:rFonts w:ascii="Arial" w:hAnsi="Arial" w:cs="Arial"/>
          <w:i/>
          <w:sz w:val="20"/>
        </w:rPr>
        <w:t xml:space="preserve"> </w:t>
      </w:r>
      <w:r w:rsidRPr="00BC10F4">
        <w:rPr>
          <w:rFonts w:ascii="Arial" w:hAnsi="Arial" w:cs="Arial"/>
          <w:sz w:val="20"/>
        </w:rPr>
        <w:t>the</w:t>
      </w:r>
      <w:r>
        <w:rPr>
          <w:rFonts w:ascii="Arial" w:hAnsi="Arial" w:cs="Arial"/>
          <w:i/>
          <w:sz w:val="20"/>
        </w:rPr>
        <w:t xml:space="preserve"> </w:t>
      </w:r>
      <w:r w:rsidRPr="00B50442">
        <w:rPr>
          <w:rFonts w:ascii="Arial" w:hAnsi="Arial" w:cs="Arial"/>
          <w:sz w:val="20"/>
        </w:rPr>
        <w:t xml:space="preserve">international quality assurance standard for CMOs; a new portal on Copyright Infrastructure; </w:t>
      </w:r>
      <w:r>
        <w:rPr>
          <w:rFonts w:ascii="Arial" w:hAnsi="Arial" w:cs="Arial"/>
          <w:sz w:val="20"/>
        </w:rPr>
        <w:t xml:space="preserve">and </w:t>
      </w:r>
      <w:r w:rsidRPr="00B50442">
        <w:rPr>
          <w:rFonts w:ascii="Arial" w:hAnsi="Arial" w:cs="Arial"/>
          <w:sz w:val="20"/>
        </w:rPr>
        <w:t>the Accessible Books Consortium (ABC).</w:t>
      </w:r>
      <w:r w:rsidRPr="00F91D52">
        <w:rPr>
          <w:rFonts w:ascii="Arial" w:hAnsi="Arial" w:cs="Arial"/>
          <w:sz w:val="20"/>
        </w:rPr>
        <w:t xml:space="preserve"> </w:t>
      </w:r>
      <w:r w:rsidRPr="00BC10F4">
        <w:rPr>
          <w:rFonts w:ascii="Arial" w:hAnsi="Arial" w:cs="Arial"/>
          <w:sz w:val="20"/>
        </w:rPr>
        <w:t>Th</w:t>
      </w:r>
      <w:r>
        <w:rPr>
          <w:rFonts w:ascii="Arial" w:hAnsi="Arial" w:cs="Arial"/>
          <w:sz w:val="20"/>
        </w:rPr>
        <w:t>e</w:t>
      </w:r>
      <w:r w:rsidRPr="00BC10F4">
        <w:rPr>
          <w:rFonts w:ascii="Arial" w:hAnsi="Arial" w:cs="Arial"/>
          <w:sz w:val="20"/>
        </w:rPr>
        <w:t xml:space="preserve"> change</w:t>
      </w:r>
      <w:r>
        <w:rPr>
          <w:rFonts w:ascii="Arial" w:hAnsi="Arial" w:cs="Arial"/>
          <w:sz w:val="20"/>
        </w:rPr>
        <w:t>s</w:t>
      </w:r>
      <w:r w:rsidRPr="00BC10F4">
        <w:rPr>
          <w:rFonts w:ascii="Arial" w:hAnsi="Arial" w:cs="Arial"/>
          <w:sz w:val="20"/>
        </w:rPr>
        <w:t xml:space="preserve"> </w:t>
      </w:r>
      <w:r>
        <w:rPr>
          <w:rFonts w:ascii="Arial" w:hAnsi="Arial" w:cs="Arial"/>
          <w:sz w:val="20"/>
        </w:rPr>
        <w:t>are</w:t>
      </w:r>
      <w:r w:rsidRPr="00BC10F4">
        <w:rPr>
          <w:rFonts w:ascii="Arial" w:hAnsi="Arial" w:cs="Arial"/>
          <w:sz w:val="20"/>
        </w:rPr>
        <w:t xml:space="preserve"> reflected in resource variations for Expected Results IV.</w:t>
      </w:r>
      <w:r w:rsidR="004B4125">
        <w:rPr>
          <w:rFonts w:ascii="Arial" w:hAnsi="Arial" w:cs="Arial"/>
          <w:sz w:val="20"/>
        </w:rPr>
        <w:t>4</w:t>
      </w:r>
      <w:r>
        <w:rPr>
          <w:rFonts w:ascii="Arial" w:hAnsi="Arial" w:cs="Arial"/>
          <w:sz w:val="20"/>
        </w:rPr>
        <w:t>,</w:t>
      </w:r>
      <w:r w:rsidRPr="00BC10F4">
        <w:rPr>
          <w:rFonts w:ascii="Arial" w:hAnsi="Arial" w:cs="Arial"/>
          <w:sz w:val="20"/>
        </w:rPr>
        <w:t xml:space="preserve"> V.2 </w:t>
      </w:r>
      <w:r>
        <w:rPr>
          <w:rFonts w:ascii="Arial" w:hAnsi="Arial" w:cs="Arial"/>
          <w:sz w:val="20"/>
        </w:rPr>
        <w:t xml:space="preserve">and III.2 </w:t>
      </w:r>
      <w:r w:rsidRPr="00BC10F4">
        <w:rPr>
          <w:rFonts w:ascii="Arial" w:hAnsi="Arial" w:cs="Arial"/>
          <w:sz w:val="20"/>
        </w:rPr>
        <w:t xml:space="preserve">between the two biennia.  </w:t>
      </w:r>
    </w:p>
    <w:p w14:paraId="7E0D6F2A" w14:textId="77777777" w:rsidR="00E27FBC" w:rsidRDefault="00E27FBC" w:rsidP="00E27FBC">
      <w:pPr>
        <w:autoSpaceDE w:val="0"/>
        <w:autoSpaceDN w:val="0"/>
        <w:rPr>
          <w:rFonts w:ascii="Arial" w:hAnsi="Arial" w:cs="Arial"/>
          <w:b/>
          <w:sz w:val="20"/>
        </w:rPr>
      </w:pPr>
    </w:p>
    <w:p w14:paraId="646E8F66" w14:textId="77777777" w:rsidR="00E27FBC" w:rsidRDefault="00E27FBC" w:rsidP="00E27FBC">
      <w:pPr>
        <w:autoSpaceDE w:val="0"/>
        <w:autoSpaceDN w:val="0"/>
        <w:rPr>
          <w:rFonts w:ascii="Arial" w:hAnsi="Arial" w:cs="Arial"/>
          <w:b/>
          <w:sz w:val="20"/>
        </w:rPr>
      </w:pPr>
    </w:p>
    <w:p w14:paraId="1C7F0305" w14:textId="77777777" w:rsidR="00E92683" w:rsidRPr="009B4A78" w:rsidRDefault="00E92683" w:rsidP="00F33E49">
      <w:pPr>
        <w:keepNext/>
        <w:keepLines/>
        <w:autoSpaceDE w:val="0"/>
        <w:autoSpaceDN w:val="0"/>
        <w:jc w:val="center"/>
        <w:rPr>
          <w:rFonts w:ascii="Arial" w:hAnsi="Arial" w:cs="Arial"/>
          <w:b/>
          <w:sz w:val="20"/>
        </w:rPr>
      </w:pPr>
      <w:r w:rsidRPr="009B4A78">
        <w:rPr>
          <w:rFonts w:ascii="Arial" w:hAnsi="Arial" w:cs="Arial"/>
          <w:b/>
          <w:sz w:val="20"/>
        </w:rPr>
        <w:t>Program 3:  Resources by Result</w:t>
      </w:r>
    </w:p>
    <w:p w14:paraId="4FA399E0" w14:textId="77777777" w:rsidR="00E92683" w:rsidRPr="009B4A78" w:rsidRDefault="00E92683"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52531604" w14:textId="77777777" w:rsidR="00E92683" w:rsidRPr="009B4A78" w:rsidRDefault="00E92683" w:rsidP="00F33E49">
      <w:pPr>
        <w:keepNext/>
        <w:keepLines/>
        <w:autoSpaceDE w:val="0"/>
        <w:autoSpaceDN w:val="0"/>
        <w:adjustRightInd w:val="0"/>
        <w:rPr>
          <w:rFonts w:ascii="Arial" w:hAnsi="Arial" w:cs="Arial"/>
        </w:rPr>
      </w:pPr>
    </w:p>
    <w:p w14:paraId="58808A04" w14:textId="7154356B" w:rsidR="00E92683" w:rsidRDefault="00E27FBC" w:rsidP="00F33E49">
      <w:pPr>
        <w:autoSpaceDE w:val="0"/>
        <w:autoSpaceDN w:val="0"/>
        <w:adjustRightInd w:val="0"/>
        <w:jc w:val="center"/>
        <w:rPr>
          <w:rFonts w:ascii="Arial" w:hAnsi="Arial" w:cs="Arial"/>
        </w:rPr>
      </w:pPr>
      <w:r w:rsidRPr="000A2BC8">
        <w:rPr>
          <w:noProof/>
          <w:lang w:eastAsia="en-US"/>
        </w:rPr>
        <w:drawing>
          <wp:inline distT="0" distB="0" distL="0" distR="0" wp14:anchorId="469240A2" wp14:editId="4FBF24C2">
            <wp:extent cx="5110369" cy="3708806"/>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20159" cy="3715911"/>
                    </a:xfrm>
                    <a:prstGeom prst="rect">
                      <a:avLst/>
                    </a:prstGeom>
                    <a:noFill/>
                    <a:ln>
                      <a:noFill/>
                    </a:ln>
                  </pic:spPr>
                </pic:pic>
              </a:graphicData>
            </a:graphic>
          </wp:inline>
        </w:drawing>
      </w:r>
    </w:p>
    <w:p w14:paraId="4AFC5842" w14:textId="77777777" w:rsidR="00757237" w:rsidRDefault="00757237" w:rsidP="00F33E49">
      <w:pPr>
        <w:autoSpaceDE w:val="0"/>
        <w:autoSpaceDN w:val="0"/>
        <w:adjustRightInd w:val="0"/>
        <w:jc w:val="center"/>
        <w:rPr>
          <w:rFonts w:ascii="Arial" w:hAnsi="Arial" w:cs="Arial"/>
        </w:rPr>
      </w:pPr>
    </w:p>
    <w:p w14:paraId="4DD2B0B8" w14:textId="77777777" w:rsidR="00757237" w:rsidRPr="009B4A78" w:rsidRDefault="00757237" w:rsidP="00F33E49">
      <w:pPr>
        <w:autoSpaceDE w:val="0"/>
        <w:autoSpaceDN w:val="0"/>
        <w:adjustRightInd w:val="0"/>
        <w:jc w:val="center"/>
        <w:rPr>
          <w:rFonts w:ascii="Arial" w:hAnsi="Arial" w:cs="Arial"/>
        </w:rPr>
      </w:pPr>
    </w:p>
    <w:p w14:paraId="70FB99B2" w14:textId="77777777" w:rsidR="00E92683" w:rsidRPr="009B4A78" w:rsidRDefault="00E92683" w:rsidP="00F33E49">
      <w:pPr>
        <w:keepNext/>
        <w:keepLines/>
        <w:autoSpaceDE w:val="0"/>
        <w:autoSpaceDN w:val="0"/>
        <w:jc w:val="center"/>
        <w:rPr>
          <w:rFonts w:ascii="Arial" w:hAnsi="Arial" w:cs="Arial"/>
          <w:b/>
          <w:sz w:val="20"/>
        </w:rPr>
      </w:pPr>
      <w:r w:rsidRPr="009B4A78">
        <w:rPr>
          <w:rFonts w:ascii="Arial" w:hAnsi="Arial" w:cs="Arial"/>
          <w:b/>
          <w:sz w:val="20"/>
        </w:rPr>
        <w:t>Program 3: Resources by Object of Expenditure</w:t>
      </w:r>
    </w:p>
    <w:p w14:paraId="7F442A8F" w14:textId="77777777" w:rsidR="00E92683" w:rsidRPr="009B4A78" w:rsidRDefault="00E92683"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7521BB8A" w14:textId="77777777" w:rsidR="00E92683" w:rsidRPr="00FD3C38" w:rsidRDefault="00E92683" w:rsidP="00F33E49">
      <w:pPr>
        <w:keepNext/>
        <w:keepLines/>
        <w:autoSpaceDE w:val="0"/>
        <w:autoSpaceDN w:val="0"/>
        <w:adjustRightInd w:val="0"/>
        <w:rPr>
          <w:rFonts w:ascii="Arial" w:hAnsi="Arial" w:cs="Arial"/>
          <w:sz w:val="16"/>
        </w:rPr>
      </w:pPr>
    </w:p>
    <w:p w14:paraId="2A248642" w14:textId="373FD71C" w:rsidR="00E92683" w:rsidRPr="009B4A78" w:rsidRDefault="00E27FBC" w:rsidP="00F33E49">
      <w:pPr>
        <w:autoSpaceDE w:val="0"/>
        <w:autoSpaceDN w:val="0"/>
        <w:adjustRightInd w:val="0"/>
        <w:jc w:val="center"/>
        <w:rPr>
          <w:rFonts w:ascii="Arial" w:hAnsi="Arial" w:cs="Arial"/>
        </w:rPr>
      </w:pPr>
      <w:r w:rsidRPr="007E719A">
        <w:rPr>
          <w:noProof/>
          <w:lang w:eastAsia="en-US"/>
        </w:rPr>
        <w:drawing>
          <wp:inline distT="0" distB="0" distL="0" distR="0" wp14:anchorId="272C1E19" wp14:editId="733628D3">
            <wp:extent cx="4655128" cy="5667554"/>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65775" cy="5680517"/>
                    </a:xfrm>
                    <a:prstGeom prst="rect">
                      <a:avLst/>
                    </a:prstGeom>
                    <a:noFill/>
                    <a:ln>
                      <a:noFill/>
                    </a:ln>
                  </pic:spPr>
                </pic:pic>
              </a:graphicData>
            </a:graphic>
          </wp:inline>
        </w:drawing>
      </w:r>
    </w:p>
    <w:p w14:paraId="563F65D2" w14:textId="77777777" w:rsidR="00E92683" w:rsidRPr="00E27FBC" w:rsidRDefault="00E92683" w:rsidP="00F33E49">
      <w:pPr>
        <w:autoSpaceDE w:val="0"/>
        <w:autoSpaceDN w:val="0"/>
        <w:adjustRightInd w:val="0"/>
        <w:rPr>
          <w:rFonts w:ascii="Arial" w:hAnsi="Arial" w:cs="Arial"/>
          <w:sz w:val="20"/>
        </w:rPr>
      </w:pPr>
    </w:p>
    <w:p w14:paraId="59320CF1" w14:textId="77777777" w:rsidR="00E92683" w:rsidRPr="00E27FBC" w:rsidRDefault="00E92683" w:rsidP="00F33E49">
      <w:pPr>
        <w:autoSpaceDE w:val="0"/>
        <w:autoSpaceDN w:val="0"/>
        <w:adjustRightInd w:val="0"/>
        <w:rPr>
          <w:rFonts w:ascii="Arial" w:hAnsi="Arial" w:cs="Arial"/>
          <w:sz w:val="20"/>
        </w:rPr>
      </w:pPr>
    </w:p>
    <w:p w14:paraId="702769B7" w14:textId="77777777" w:rsidR="00E92683" w:rsidRPr="009B4A78" w:rsidRDefault="00E92683" w:rsidP="00F33E49">
      <w:pPr>
        <w:keepNext/>
        <w:keepLines/>
        <w:jc w:val="center"/>
        <w:rPr>
          <w:rFonts w:ascii="Arial" w:hAnsi="Arial" w:cs="Arial"/>
          <w:b/>
          <w:sz w:val="20"/>
        </w:rPr>
      </w:pPr>
      <w:r w:rsidRPr="009B4A78">
        <w:rPr>
          <w:rFonts w:ascii="Arial" w:hAnsi="Arial" w:cs="Arial"/>
          <w:b/>
          <w:sz w:val="20"/>
        </w:rPr>
        <w:t>Funds in Trust Potentially Available for Programming in 2016/17 (BY PROGRAM)</w:t>
      </w:r>
      <w:r w:rsidRPr="009B4A78">
        <w:rPr>
          <w:rFonts w:ascii="Arial" w:hAnsi="Arial" w:cs="Arial"/>
          <w:i/>
          <w:sz w:val="20"/>
          <w:vertAlign w:val="superscript"/>
        </w:rPr>
        <w:t xml:space="preserve"> </w:t>
      </w:r>
      <w:r w:rsidRPr="009B4A78">
        <w:rPr>
          <w:rFonts w:ascii="Arial" w:hAnsi="Arial" w:cs="Arial"/>
          <w:sz w:val="20"/>
          <w:vertAlign w:val="superscript"/>
        </w:rPr>
        <w:t>1</w:t>
      </w:r>
    </w:p>
    <w:p w14:paraId="330F8E76" w14:textId="77777777" w:rsidR="00E92683" w:rsidRPr="009B4A78" w:rsidRDefault="00E92683" w:rsidP="00F33E49">
      <w:pPr>
        <w:keepNext/>
        <w:keepLines/>
        <w:jc w:val="center"/>
        <w:rPr>
          <w:rFonts w:ascii="Arial" w:hAnsi="Arial" w:cs="Arial"/>
          <w:i/>
          <w:sz w:val="20"/>
        </w:rPr>
      </w:pPr>
      <w:r w:rsidRPr="009B4A78">
        <w:rPr>
          <w:rFonts w:ascii="Arial" w:hAnsi="Arial" w:cs="Arial"/>
          <w:i/>
          <w:sz w:val="20"/>
        </w:rPr>
        <w:t>(in thousands of Swiss francs)</w:t>
      </w:r>
    </w:p>
    <w:p w14:paraId="76D91DCE" w14:textId="77777777" w:rsidR="00E92683" w:rsidRPr="00FD3C38" w:rsidRDefault="00E92683" w:rsidP="00F33E49">
      <w:pPr>
        <w:keepNext/>
        <w:keepLines/>
        <w:autoSpaceDE w:val="0"/>
        <w:autoSpaceDN w:val="0"/>
        <w:adjustRightInd w:val="0"/>
        <w:rPr>
          <w:rFonts w:ascii="Arial" w:hAnsi="Arial" w:cs="Arial"/>
          <w:sz w:val="16"/>
        </w:rPr>
      </w:pPr>
    </w:p>
    <w:p w14:paraId="025958FB" w14:textId="77777777" w:rsidR="00E92683" w:rsidRPr="009B4A78" w:rsidRDefault="00E92683" w:rsidP="00FB68E0">
      <w:pPr>
        <w:keepNext/>
        <w:keepLines/>
        <w:autoSpaceDE w:val="0"/>
        <w:autoSpaceDN w:val="0"/>
        <w:adjustRightInd w:val="0"/>
        <w:jc w:val="center"/>
        <w:rPr>
          <w:rFonts w:ascii="Arial" w:hAnsi="Arial" w:cs="Arial"/>
        </w:rPr>
      </w:pPr>
      <w:r w:rsidRPr="009B4A78">
        <w:rPr>
          <w:rFonts w:ascii="Arial" w:hAnsi="Arial" w:cs="Arial"/>
          <w:noProof/>
          <w:lang w:eastAsia="en-US"/>
        </w:rPr>
        <w:drawing>
          <wp:inline distT="0" distB="0" distL="0" distR="0" wp14:anchorId="61790E22" wp14:editId="12D7D9CD">
            <wp:extent cx="5340096" cy="101441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61836" cy="1018541"/>
                    </a:xfrm>
                    <a:prstGeom prst="rect">
                      <a:avLst/>
                    </a:prstGeom>
                    <a:noFill/>
                    <a:ln>
                      <a:noFill/>
                    </a:ln>
                  </pic:spPr>
                </pic:pic>
              </a:graphicData>
            </a:graphic>
          </wp:inline>
        </w:drawing>
      </w:r>
    </w:p>
    <w:p w14:paraId="6C037AB4" w14:textId="77777777" w:rsidR="00E92683" w:rsidRPr="009B4A78" w:rsidRDefault="00E92683" w:rsidP="00FD3C38">
      <w:pPr>
        <w:keepNext/>
        <w:keepLines/>
        <w:spacing w:after="60"/>
        <w:rPr>
          <w:rFonts w:ascii="Arial" w:hAnsi="Arial" w:cs="Arial"/>
          <w:i/>
          <w:sz w:val="16"/>
          <w:szCs w:val="14"/>
        </w:rPr>
      </w:pPr>
      <w:r w:rsidRPr="009B4A78">
        <w:rPr>
          <w:rFonts w:ascii="Arial" w:hAnsi="Arial" w:cs="Arial"/>
          <w:i/>
          <w:sz w:val="16"/>
          <w:szCs w:val="14"/>
          <w:vertAlign w:val="superscript"/>
        </w:rPr>
        <w:t>1</w:t>
      </w:r>
      <w:r w:rsidRPr="009B4A78">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4997A3FE" w14:textId="77777777" w:rsidR="00E92683" w:rsidRPr="009B4A78" w:rsidRDefault="00E92683" w:rsidP="00FD3C38">
      <w:pPr>
        <w:keepNext/>
        <w:keepLines/>
        <w:spacing w:after="60"/>
        <w:rPr>
          <w:rFonts w:ascii="Arial" w:hAnsi="Arial" w:cs="Arial"/>
          <w:i/>
          <w:sz w:val="16"/>
          <w:szCs w:val="14"/>
        </w:rPr>
      </w:pPr>
      <w:r w:rsidRPr="009B4A78">
        <w:rPr>
          <w:rFonts w:ascii="Arial" w:hAnsi="Arial" w:cs="Arial"/>
          <w:i/>
          <w:sz w:val="16"/>
          <w:szCs w:val="14"/>
          <w:vertAlign w:val="superscript"/>
        </w:rPr>
        <w:t>2</w:t>
      </w:r>
      <w:r w:rsidRPr="009B4A78">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6181A06C" w14:textId="77777777" w:rsidR="00E92683" w:rsidRPr="009B4A78" w:rsidRDefault="00E92683" w:rsidP="00F33E49">
      <w:pPr>
        <w:keepNext/>
        <w:keepLines/>
        <w:rPr>
          <w:rFonts w:ascii="Arial" w:hAnsi="Arial" w:cs="Arial"/>
          <w:i/>
          <w:sz w:val="16"/>
          <w:szCs w:val="14"/>
        </w:rPr>
      </w:pPr>
      <w:r w:rsidRPr="009B4A78">
        <w:rPr>
          <w:rFonts w:ascii="Arial" w:hAnsi="Arial" w:cs="Arial"/>
          <w:i/>
          <w:sz w:val="16"/>
          <w:szCs w:val="14"/>
          <w:vertAlign w:val="superscript"/>
        </w:rPr>
        <w:t>3</w:t>
      </w:r>
      <w:r w:rsidRPr="009B4A78">
        <w:rPr>
          <w:rFonts w:ascii="Arial" w:hAnsi="Arial" w:cs="Arial"/>
          <w:i/>
          <w:sz w:val="16"/>
          <w:szCs w:val="14"/>
        </w:rPr>
        <w:t>Annual contributions vary and fluctuations have been observed from one year to another.</w:t>
      </w:r>
    </w:p>
    <w:p w14:paraId="28749A15" w14:textId="2312F2B0" w:rsidR="00E92683" w:rsidRPr="009B4A78" w:rsidRDefault="00E92683">
      <w:pPr>
        <w:rPr>
          <w:rFonts w:ascii="Arial" w:hAnsi="Arial" w:cs="Arial"/>
          <w:sz w:val="20"/>
          <w:szCs w:val="20"/>
        </w:rPr>
      </w:pPr>
      <w:r w:rsidRPr="009B4A78">
        <w:rPr>
          <w:rFonts w:ascii="Arial" w:hAnsi="Arial" w:cs="Arial"/>
          <w:sz w:val="20"/>
          <w:szCs w:val="20"/>
        </w:rPr>
        <w:br w:type="page"/>
      </w:r>
    </w:p>
    <w:p w14:paraId="6A1603EE" w14:textId="69230F82" w:rsidR="00E40974" w:rsidRPr="009B4A78" w:rsidRDefault="00E40974" w:rsidP="00D656E4">
      <w:pPr>
        <w:pStyle w:val="StyleHeading3ComplexItalic"/>
        <w:tabs>
          <w:tab w:val="clear" w:pos="1985"/>
          <w:tab w:val="left" w:pos="1843"/>
        </w:tabs>
        <w:ind w:left="1843" w:hanging="1843"/>
        <w:rPr>
          <w:rStyle w:val="StyleStyleHeading3ComplexItalicLatin12ptChar"/>
          <w:rFonts w:eastAsia="SimSun"/>
          <w:b/>
        </w:rPr>
      </w:pPr>
      <w:bookmarkStart w:id="29" w:name="_Toc427154398"/>
      <w:r w:rsidRPr="009B4A78">
        <w:rPr>
          <w:rStyle w:val="StyleStyleHeading3ComplexItalicLatin12ptChar"/>
          <w:rFonts w:eastAsia="SimSun"/>
          <w:b/>
        </w:rPr>
        <w:lastRenderedPageBreak/>
        <w:t>PROGRAM 4:</w:t>
      </w:r>
      <w:r w:rsidRPr="009B4A78">
        <w:rPr>
          <w:rStyle w:val="StyleStyleHeading3ComplexItalicLatin12ptChar"/>
          <w:rFonts w:eastAsia="SimSun"/>
          <w:b/>
        </w:rPr>
        <w:tab/>
        <w:t>TRADITIONAL KNOWLEDGE, TRADITIONAL CULTURAL EXPRESSIONS</w:t>
      </w:r>
      <w:r w:rsidRPr="009B4A78">
        <w:rPr>
          <w:rStyle w:val="StyleStyleHeading3ComplexItalicLatin12ptChar"/>
          <w:rFonts w:eastAsia="SimSun"/>
          <w:caps/>
        </w:rPr>
        <w:t xml:space="preserve"> </w:t>
      </w:r>
      <w:r w:rsidRPr="009B4A78">
        <w:rPr>
          <w:rStyle w:val="StyleStyleHeading3ComplexItalicLatin12ptChar"/>
          <w:rFonts w:eastAsia="SimSun"/>
          <w:b/>
        </w:rPr>
        <w:t>AND GENETIC RESOURCES</w:t>
      </w:r>
      <w:bookmarkEnd w:id="29"/>
    </w:p>
    <w:p w14:paraId="69A1ADE1" w14:textId="77777777" w:rsidR="00E40974" w:rsidRPr="009B4A78" w:rsidRDefault="00E40974" w:rsidP="00F33E49">
      <w:pPr>
        <w:jc w:val="both"/>
        <w:rPr>
          <w:rFonts w:ascii="Arial" w:hAnsi="Arial" w:cs="Arial"/>
          <w:bCs/>
          <w:i/>
        </w:rPr>
      </w:pPr>
    </w:p>
    <w:p w14:paraId="7A988A92" w14:textId="77777777" w:rsidR="00E40974" w:rsidRPr="009B4A78" w:rsidRDefault="00E40974" w:rsidP="00F33E49">
      <w:pPr>
        <w:jc w:val="both"/>
        <w:rPr>
          <w:rFonts w:ascii="Arial" w:hAnsi="Arial" w:cs="Arial"/>
          <w:bCs/>
        </w:rPr>
      </w:pPr>
      <w:r w:rsidRPr="009B4A78">
        <w:rPr>
          <w:rFonts w:ascii="Arial" w:hAnsi="Arial" w:cs="Arial"/>
          <w:bCs/>
        </w:rPr>
        <w:t>PLANNING CONTEXT</w:t>
      </w:r>
    </w:p>
    <w:p w14:paraId="4908EA37" w14:textId="77777777" w:rsidR="00E40974" w:rsidRPr="009B4A78" w:rsidRDefault="00E40974" w:rsidP="00F33E49">
      <w:pPr>
        <w:tabs>
          <w:tab w:val="num" w:pos="709"/>
        </w:tabs>
        <w:ind w:left="1140" w:hanging="1140"/>
        <w:jc w:val="both"/>
        <w:rPr>
          <w:rFonts w:ascii="Arial" w:hAnsi="Arial" w:cs="Arial"/>
          <w:bCs/>
          <w:sz w:val="20"/>
        </w:rPr>
      </w:pPr>
    </w:p>
    <w:p w14:paraId="760E1E76" w14:textId="77777777" w:rsidR="00E40974" w:rsidRPr="009B4A78" w:rsidRDefault="00E40974" w:rsidP="00F33E49">
      <w:pPr>
        <w:tabs>
          <w:tab w:val="num" w:pos="709"/>
        </w:tabs>
        <w:ind w:left="1140" w:hanging="1140"/>
        <w:rPr>
          <w:rFonts w:ascii="Arial" w:hAnsi="Arial" w:cs="Arial"/>
          <w:bCs/>
          <w:sz w:val="20"/>
        </w:rPr>
      </w:pPr>
    </w:p>
    <w:p w14:paraId="16B396F2" w14:textId="77777777" w:rsidR="00E40974" w:rsidRPr="009B4A78" w:rsidRDefault="00E40974" w:rsidP="00B66A4A">
      <w:pPr>
        <w:numPr>
          <w:ilvl w:val="0"/>
          <w:numId w:val="5"/>
        </w:numPr>
        <w:jc w:val="both"/>
        <w:rPr>
          <w:rFonts w:ascii="Arial" w:hAnsi="Arial" w:cs="Arial"/>
          <w:color w:val="000000"/>
          <w:sz w:val="20"/>
        </w:rPr>
      </w:pPr>
      <w:r w:rsidRPr="009B4A78">
        <w:rPr>
          <w:rFonts w:ascii="Arial" w:hAnsi="Arial" w:cs="Arial"/>
          <w:bCs/>
          <w:sz w:val="20"/>
        </w:rPr>
        <w:t>This</w:t>
      </w:r>
      <w:r w:rsidRPr="009B4A78">
        <w:rPr>
          <w:rFonts w:ascii="Arial" w:hAnsi="Arial" w:cs="Arial"/>
          <w:color w:val="000000"/>
          <w:sz w:val="20"/>
        </w:rPr>
        <w:t xml:space="preserve"> </w:t>
      </w:r>
      <w:r w:rsidRPr="009B4A78">
        <w:rPr>
          <w:rFonts w:ascii="Arial" w:hAnsi="Arial" w:cs="Arial"/>
          <w:bCs/>
          <w:sz w:val="20"/>
        </w:rPr>
        <w:t>Program aims at enabling the m</w:t>
      </w:r>
      <w:r w:rsidRPr="009B4A78">
        <w:rPr>
          <w:rFonts w:ascii="Arial" w:hAnsi="Arial" w:cs="Arial"/>
          <w:color w:val="000000"/>
          <w:sz w:val="20"/>
        </w:rPr>
        <w:t xml:space="preserve">ore effective use of existing and emerging IP principles, systems and tools for the protection of </w:t>
      </w:r>
      <w:r w:rsidRPr="009B4A78">
        <w:rPr>
          <w:rFonts w:ascii="Arial" w:hAnsi="Arial" w:cs="Arial"/>
          <w:bCs/>
          <w:sz w:val="20"/>
        </w:rPr>
        <w:t>traditional knowledge (TK) and traditional cultural expressions (TCEs) against misappropriation and misuse</w:t>
      </w:r>
      <w:r w:rsidRPr="009B4A78">
        <w:rPr>
          <w:rFonts w:ascii="Arial" w:hAnsi="Arial" w:cs="Arial"/>
          <w:color w:val="000000"/>
          <w:sz w:val="20"/>
        </w:rPr>
        <w:t xml:space="preserve">, and for addressing the IP issues related to genetic resources (GRs), including those that arise in the course of access to and equitable benefit-sharing in GRs. </w:t>
      </w:r>
    </w:p>
    <w:p w14:paraId="02B281FB" w14:textId="77777777" w:rsidR="00E40974" w:rsidRPr="009B4A78" w:rsidRDefault="00E40974" w:rsidP="00F33E49">
      <w:pPr>
        <w:tabs>
          <w:tab w:val="num" w:pos="709"/>
        </w:tabs>
        <w:jc w:val="both"/>
        <w:rPr>
          <w:rFonts w:ascii="Arial" w:hAnsi="Arial" w:cs="Arial"/>
          <w:color w:val="000000"/>
          <w:sz w:val="20"/>
        </w:rPr>
      </w:pPr>
    </w:p>
    <w:p w14:paraId="15313947" w14:textId="77777777" w:rsidR="00E40974" w:rsidRPr="009B4A78" w:rsidRDefault="00E40974" w:rsidP="00B66A4A">
      <w:pPr>
        <w:numPr>
          <w:ilvl w:val="0"/>
          <w:numId w:val="5"/>
        </w:numPr>
        <w:jc w:val="both"/>
        <w:rPr>
          <w:rFonts w:ascii="Arial" w:hAnsi="Arial" w:cs="Arial"/>
          <w:bCs/>
          <w:sz w:val="20"/>
        </w:rPr>
      </w:pPr>
      <w:r w:rsidRPr="009B4A78">
        <w:rPr>
          <w:rFonts w:ascii="Arial" w:hAnsi="Arial" w:cs="Arial"/>
          <w:bCs/>
          <w:sz w:val="20"/>
        </w:rPr>
        <w:t>Against</w:t>
      </w:r>
      <w:r w:rsidRPr="009B4A78">
        <w:rPr>
          <w:rFonts w:ascii="Arial" w:hAnsi="Arial" w:cs="Arial"/>
          <w:color w:val="000000"/>
          <w:sz w:val="20"/>
        </w:rPr>
        <w:t xml:space="preserve"> this backdrop, Program 4 facilitates meetings of Member States on normative activities on IP, </w:t>
      </w:r>
      <w:r w:rsidRPr="009B4A78">
        <w:rPr>
          <w:rFonts w:ascii="Arial" w:hAnsi="Arial" w:cs="Arial"/>
          <w:bCs/>
          <w:sz w:val="20"/>
        </w:rPr>
        <w:t>TK, TCEs and GRs. The international negotiations on the text(s) of an international legal instrument(s) that will ensure the effective protection of TK, TCEs and GRs have been taking place within the Intergovernmental Committee on Intellectual Property and Genetic Resources, Traditional Knowledge and Folklore (the IGC).  The General Assembly will be invited to decide upon the renewal of the IGC’s mandate and its terms.</w:t>
      </w:r>
    </w:p>
    <w:p w14:paraId="1C6F0A07" w14:textId="77777777" w:rsidR="00E40974" w:rsidRPr="009B4A78" w:rsidRDefault="00E40974" w:rsidP="00F33E49">
      <w:pPr>
        <w:tabs>
          <w:tab w:val="num" w:pos="709"/>
        </w:tabs>
        <w:jc w:val="both"/>
        <w:rPr>
          <w:rFonts w:ascii="Arial" w:hAnsi="Arial" w:cs="Arial"/>
          <w:bCs/>
          <w:sz w:val="20"/>
        </w:rPr>
      </w:pPr>
    </w:p>
    <w:p w14:paraId="6AE05F9E" w14:textId="77777777" w:rsidR="00E40974" w:rsidRPr="009B4A78" w:rsidRDefault="00E40974" w:rsidP="00B66A4A">
      <w:pPr>
        <w:numPr>
          <w:ilvl w:val="0"/>
          <w:numId w:val="5"/>
        </w:numPr>
        <w:jc w:val="both"/>
        <w:rPr>
          <w:rFonts w:ascii="Arial" w:hAnsi="Arial" w:cs="Arial"/>
          <w:bCs/>
          <w:sz w:val="20"/>
        </w:rPr>
      </w:pPr>
      <w:r w:rsidRPr="009B4A78">
        <w:rPr>
          <w:rFonts w:ascii="Arial" w:hAnsi="Arial" w:cs="Arial"/>
          <w:bCs/>
          <w:sz w:val="20"/>
        </w:rPr>
        <w:t xml:space="preserve">Practical assistance in the form of specialized awareness raising, capacity building, training, and legal, technical assistance will continue to be provided to Member States, regional organizations, indigenous peoples and local communities and other stakeholders. The Program makes available a wide range of practical tools, training courses, publications and other information resources.  </w:t>
      </w:r>
    </w:p>
    <w:p w14:paraId="3CC12FA1" w14:textId="77777777" w:rsidR="00E40974" w:rsidRPr="009B4A78" w:rsidRDefault="00E40974" w:rsidP="00F33E49">
      <w:pPr>
        <w:tabs>
          <w:tab w:val="num" w:pos="709"/>
        </w:tabs>
        <w:jc w:val="both"/>
        <w:rPr>
          <w:rFonts w:ascii="Arial" w:hAnsi="Arial" w:cs="Arial"/>
          <w:bCs/>
          <w:sz w:val="20"/>
        </w:rPr>
      </w:pPr>
    </w:p>
    <w:p w14:paraId="5A4CF74C" w14:textId="77777777" w:rsidR="00E40974" w:rsidRPr="009B4A78" w:rsidRDefault="00E40974" w:rsidP="00B66A4A">
      <w:pPr>
        <w:numPr>
          <w:ilvl w:val="0"/>
          <w:numId w:val="5"/>
        </w:numPr>
        <w:jc w:val="both"/>
        <w:rPr>
          <w:rFonts w:ascii="Arial" w:hAnsi="Arial" w:cs="Arial"/>
          <w:bCs/>
          <w:sz w:val="20"/>
        </w:rPr>
      </w:pPr>
      <w:r w:rsidRPr="009B4A78">
        <w:rPr>
          <w:rFonts w:ascii="Arial" w:hAnsi="Arial" w:cs="Arial"/>
          <w:bCs/>
          <w:sz w:val="20"/>
        </w:rPr>
        <w:t>The normative and practical pillars of the Program are inter-related and complementary.</w:t>
      </w:r>
    </w:p>
    <w:p w14:paraId="55B80735" w14:textId="77777777" w:rsidR="00E40974" w:rsidRPr="00DB4F15" w:rsidRDefault="00E40974" w:rsidP="00F33E49">
      <w:pPr>
        <w:tabs>
          <w:tab w:val="num" w:pos="709"/>
        </w:tabs>
        <w:jc w:val="both"/>
        <w:rPr>
          <w:rFonts w:ascii="Arial" w:hAnsi="Arial" w:cs="Arial"/>
          <w:bCs/>
          <w:sz w:val="20"/>
        </w:rPr>
      </w:pPr>
    </w:p>
    <w:p w14:paraId="0FF96BFA" w14:textId="77777777" w:rsidR="00E40974" w:rsidRPr="00DB4F15" w:rsidRDefault="00E40974" w:rsidP="00F33E49">
      <w:pPr>
        <w:tabs>
          <w:tab w:val="num" w:pos="709"/>
        </w:tabs>
        <w:jc w:val="both"/>
        <w:rPr>
          <w:rFonts w:ascii="Arial" w:hAnsi="Arial" w:cs="Arial"/>
          <w:bCs/>
          <w:sz w:val="20"/>
        </w:rPr>
      </w:pPr>
    </w:p>
    <w:p w14:paraId="6EB002A0" w14:textId="77777777" w:rsidR="00E40974" w:rsidRPr="009B4A78" w:rsidRDefault="00E40974" w:rsidP="00F33E49">
      <w:pPr>
        <w:tabs>
          <w:tab w:val="num" w:pos="709"/>
        </w:tabs>
        <w:jc w:val="both"/>
        <w:rPr>
          <w:rFonts w:ascii="Arial" w:hAnsi="Arial" w:cs="Arial"/>
          <w:bCs/>
        </w:rPr>
      </w:pPr>
      <w:r w:rsidRPr="009B4A78">
        <w:rPr>
          <w:rFonts w:ascii="Arial" w:hAnsi="Arial" w:cs="Arial"/>
          <w:bCs/>
        </w:rPr>
        <w:t>IMPLEMENTATION STRATEGIES</w:t>
      </w:r>
    </w:p>
    <w:p w14:paraId="7161A5CA" w14:textId="77777777" w:rsidR="00E40974" w:rsidRPr="009B4A78" w:rsidRDefault="00E40974" w:rsidP="00F33E49">
      <w:pPr>
        <w:tabs>
          <w:tab w:val="left" w:pos="0"/>
          <w:tab w:val="left" w:pos="1985"/>
        </w:tabs>
        <w:jc w:val="both"/>
        <w:rPr>
          <w:rFonts w:ascii="Arial" w:hAnsi="Arial" w:cs="Arial"/>
          <w:sz w:val="20"/>
        </w:rPr>
      </w:pPr>
    </w:p>
    <w:p w14:paraId="4A22255A" w14:textId="77777777" w:rsidR="00E40974" w:rsidRPr="009B4A78" w:rsidRDefault="00E40974" w:rsidP="00B66A4A">
      <w:pPr>
        <w:numPr>
          <w:ilvl w:val="0"/>
          <w:numId w:val="5"/>
        </w:numPr>
        <w:jc w:val="both"/>
        <w:rPr>
          <w:rFonts w:ascii="Arial" w:hAnsi="Arial" w:cs="Arial"/>
          <w:color w:val="000000"/>
          <w:sz w:val="20"/>
        </w:rPr>
      </w:pPr>
      <w:r w:rsidRPr="009B4A78">
        <w:rPr>
          <w:rFonts w:ascii="Arial" w:hAnsi="Arial" w:cs="Arial"/>
          <w:sz w:val="20"/>
        </w:rPr>
        <w:t xml:space="preserve">As a Member State-driven process, progress towards international outcomes is largely dependent on decisions by Member States. </w:t>
      </w:r>
      <w:r w:rsidRPr="009B4A78">
        <w:rPr>
          <w:rFonts w:ascii="Arial" w:hAnsi="Arial" w:cs="Arial"/>
          <w:bCs/>
          <w:sz w:val="20"/>
        </w:rPr>
        <w:t>The results of the Program should, therefore, include, first, an environment conducive to focused normative activities, as may be decided upon by the General Assembly, which could lead to shared understandings, a convergence of views and, ultimately, decisions by Member States.</w:t>
      </w:r>
      <w:r w:rsidRPr="009B4A78">
        <w:rPr>
          <w:rFonts w:ascii="Arial" w:hAnsi="Arial" w:cs="Arial"/>
          <w:color w:val="000000"/>
          <w:sz w:val="20"/>
        </w:rPr>
        <w:t xml:space="preserve">    </w:t>
      </w:r>
    </w:p>
    <w:p w14:paraId="1AFFC7FD" w14:textId="77777777" w:rsidR="00E40974" w:rsidRPr="009B4A78" w:rsidRDefault="00E40974" w:rsidP="00F33E49">
      <w:pPr>
        <w:tabs>
          <w:tab w:val="left" w:pos="0"/>
          <w:tab w:val="left" w:pos="1985"/>
        </w:tabs>
        <w:jc w:val="both"/>
        <w:rPr>
          <w:rFonts w:ascii="Arial" w:hAnsi="Arial" w:cs="Arial"/>
          <w:color w:val="000000"/>
          <w:sz w:val="20"/>
        </w:rPr>
      </w:pPr>
    </w:p>
    <w:p w14:paraId="61A7E3AA" w14:textId="77777777" w:rsidR="00E40974" w:rsidRPr="009B4A78" w:rsidRDefault="00E40974" w:rsidP="00B66A4A">
      <w:pPr>
        <w:numPr>
          <w:ilvl w:val="0"/>
          <w:numId w:val="5"/>
        </w:numPr>
        <w:jc w:val="both"/>
        <w:rPr>
          <w:rFonts w:ascii="Arial" w:hAnsi="Arial" w:cs="Arial"/>
          <w:bCs/>
          <w:sz w:val="20"/>
        </w:rPr>
      </w:pPr>
      <w:r w:rsidRPr="009B4A78">
        <w:rPr>
          <w:rFonts w:ascii="Arial" w:hAnsi="Arial" w:cs="Arial"/>
          <w:color w:val="000000"/>
          <w:sz w:val="20"/>
        </w:rPr>
        <w:t xml:space="preserve">A </w:t>
      </w:r>
      <w:r w:rsidRPr="009B4A78">
        <w:rPr>
          <w:rFonts w:ascii="Arial" w:hAnsi="Arial" w:cs="Arial"/>
          <w:bCs/>
          <w:sz w:val="20"/>
        </w:rPr>
        <w:t xml:space="preserve">second result relates to greater awareness among States, indigenous peoples and local communities (including </w:t>
      </w:r>
      <w:r w:rsidRPr="009B4A78">
        <w:rPr>
          <w:rFonts w:ascii="Arial" w:hAnsi="Arial" w:cs="Arial"/>
          <w:color w:val="000000"/>
          <w:sz w:val="20"/>
        </w:rPr>
        <w:t xml:space="preserve">women), </w:t>
      </w:r>
      <w:r w:rsidRPr="009B4A78">
        <w:rPr>
          <w:rFonts w:ascii="Arial" w:hAnsi="Arial" w:cs="Arial"/>
          <w:bCs/>
          <w:sz w:val="20"/>
        </w:rPr>
        <w:t xml:space="preserve">and other stakeholders of how the relationship between IP and TK, TCEs and GRs is integral to national development strategies and innovation, cultural and other policies, and more specifically, to greater capacity in line with the DA, to use IP principles, systems and tools for the effective protection of TK and TCEs and for managing the interface between IP and </w:t>
      </w:r>
      <w:r w:rsidRPr="009B4A78">
        <w:rPr>
          <w:rFonts w:ascii="Arial" w:hAnsi="Arial" w:cs="Arial"/>
          <w:color w:val="000000"/>
          <w:sz w:val="20"/>
        </w:rPr>
        <w:t xml:space="preserve">GRs, for economic, social and cultural development. </w:t>
      </w:r>
    </w:p>
    <w:p w14:paraId="00D5D7CA" w14:textId="77777777" w:rsidR="00E40974" w:rsidRPr="009B4A78" w:rsidRDefault="00E40974" w:rsidP="00F33E49">
      <w:pPr>
        <w:jc w:val="both"/>
        <w:rPr>
          <w:rFonts w:ascii="Arial" w:hAnsi="Arial" w:cs="Arial"/>
          <w:bCs/>
          <w:sz w:val="20"/>
        </w:rPr>
      </w:pPr>
    </w:p>
    <w:p w14:paraId="26C40A7F" w14:textId="77777777" w:rsidR="00E40974" w:rsidRPr="009B4A78" w:rsidRDefault="00E40974" w:rsidP="00B66A4A">
      <w:pPr>
        <w:numPr>
          <w:ilvl w:val="0"/>
          <w:numId w:val="5"/>
        </w:numPr>
        <w:jc w:val="both"/>
        <w:rPr>
          <w:rFonts w:ascii="Arial" w:hAnsi="Arial" w:cs="Arial"/>
          <w:bCs/>
          <w:sz w:val="20"/>
        </w:rPr>
      </w:pPr>
      <w:r w:rsidRPr="009B4A78">
        <w:rPr>
          <w:rFonts w:ascii="Arial" w:hAnsi="Arial" w:cs="Arial"/>
          <w:sz w:val="20"/>
        </w:rPr>
        <w:t xml:space="preserve">In order to achieve its expected results, the Program will seek to implement the following three inter-related and complementary strategies: </w:t>
      </w:r>
    </w:p>
    <w:p w14:paraId="49D360C3" w14:textId="77777777" w:rsidR="00E40974" w:rsidRPr="009B4A78" w:rsidRDefault="00E40974" w:rsidP="00F33E49">
      <w:pPr>
        <w:jc w:val="both"/>
        <w:rPr>
          <w:rFonts w:ascii="Arial" w:hAnsi="Arial" w:cs="Arial"/>
          <w:bCs/>
          <w:sz w:val="20"/>
        </w:rPr>
      </w:pPr>
    </w:p>
    <w:p w14:paraId="4D33E7C7" w14:textId="2BB9CCC6" w:rsidR="00E40974" w:rsidRPr="009B4A78" w:rsidRDefault="00E40974" w:rsidP="00B66A4A">
      <w:pPr>
        <w:pStyle w:val="ListParagraph"/>
        <w:numPr>
          <w:ilvl w:val="1"/>
          <w:numId w:val="1"/>
        </w:numPr>
        <w:tabs>
          <w:tab w:val="left" w:pos="1134"/>
        </w:tabs>
        <w:ind w:left="1134" w:hanging="567"/>
        <w:jc w:val="both"/>
        <w:rPr>
          <w:rFonts w:ascii="Arial" w:hAnsi="Arial" w:cs="Arial"/>
          <w:sz w:val="20"/>
        </w:rPr>
      </w:pPr>
      <w:r w:rsidRPr="009B4A78">
        <w:rPr>
          <w:rFonts w:ascii="Arial" w:hAnsi="Arial" w:cs="Arial"/>
          <w:sz w:val="20"/>
        </w:rPr>
        <w:t xml:space="preserve">providing professional and neutral logistical, technical and substantive support for meetings and conferences on normative activities as decided upon by the General Assembly;  administrative support for initiatives aimed at enhancing the effective participation of representatives of indigenous peoples and local communities in WIPO’s work, including logistical management of the WIPO Voluntary Fund for Accredited Indigenous and Local Communities;  and, close coordination and cooperation with other intergovernmental organizations and </w:t>
      </w:r>
      <w:r w:rsidR="003822EB">
        <w:rPr>
          <w:rFonts w:ascii="Arial" w:hAnsi="Arial" w:cs="Arial"/>
          <w:sz w:val="20"/>
        </w:rPr>
        <w:t>fora,</w:t>
      </w:r>
      <w:r w:rsidRPr="009B4A78">
        <w:rPr>
          <w:rFonts w:ascii="Arial" w:hAnsi="Arial" w:cs="Arial"/>
          <w:sz w:val="20"/>
        </w:rPr>
        <w:t xml:space="preserve"> as appropriate;        </w:t>
      </w:r>
    </w:p>
    <w:p w14:paraId="5B4F91BC" w14:textId="77777777" w:rsidR="00E40974" w:rsidRPr="009B4A78" w:rsidRDefault="00E40974" w:rsidP="00F33E49">
      <w:pPr>
        <w:pStyle w:val="ListParagraph"/>
        <w:tabs>
          <w:tab w:val="left" w:pos="1134"/>
        </w:tabs>
        <w:ind w:left="1134"/>
        <w:jc w:val="both"/>
        <w:rPr>
          <w:rFonts w:ascii="Arial" w:hAnsi="Arial" w:cs="Arial"/>
          <w:sz w:val="20"/>
        </w:rPr>
      </w:pPr>
    </w:p>
    <w:p w14:paraId="1696CE56" w14:textId="77777777" w:rsidR="00E40974" w:rsidRPr="009B4A78" w:rsidRDefault="00E40974" w:rsidP="00B66A4A">
      <w:pPr>
        <w:pStyle w:val="ListParagraph"/>
        <w:numPr>
          <w:ilvl w:val="1"/>
          <w:numId w:val="1"/>
        </w:numPr>
        <w:tabs>
          <w:tab w:val="left" w:pos="1134"/>
        </w:tabs>
        <w:ind w:left="1134" w:hanging="567"/>
        <w:jc w:val="both"/>
        <w:rPr>
          <w:rFonts w:ascii="Arial" w:hAnsi="Arial" w:cs="Arial"/>
          <w:sz w:val="20"/>
        </w:rPr>
      </w:pPr>
      <w:r w:rsidRPr="009B4A78">
        <w:rPr>
          <w:rFonts w:ascii="Arial" w:hAnsi="Arial" w:cs="Arial"/>
          <w:color w:val="000000"/>
          <w:sz w:val="20"/>
        </w:rPr>
        <w:t xml:space="preserve">developing and making available </w:t>
      </w:r>
      <w:r w:rsidRPr="009B4A78">
        <w:rPr>
          <w:rFonts w:ascii="Arial" w:hAnsi="Arial" w:cs="Arial"/>
          <w:sz w:val="20"/>
        </w:rPr>
        <w:t>a streamlined and integrated suite of relevant and practical resources, programs, courses and tools for effective and useful capacity building and legal technical assistance, in line with national development strategies and policies, and, where possible, in cooperation with relevant intergovernmental and other organizations;  and</w:t>
      </w:r>
    </w:p>
    <w:p w14:paraId="32768871" w14:textId="77777777" w:rsidR="00E40974" w:rsidRPr="009B4A78" w:rsidRDefault="00E40974" w:rsidP="00F33E49">
      <w:pPr>
        <w:pStyle w:val="ListParagraph"/>
        <w:tabs>
          <w:tab w:val="left" w:pos="1134"/>
        </w:tabs>
        <w:ind w:left="1134" w:hanging="567"/>
        <w:jc w:val="both"/>
        <w:rPr>
          <w:rFonts w:ascii="Arial" w:hAnsi="Arial" w:cs="Arial"/>
          <w:sz w:val="20"/>
        </w:rPr>
      </w:pPr>
    </w:p>
    <w:p w14:paraId="085D30AB" w14:textId="77777777" w:rsidR="00E40974" w:rsidRPr="009B4A78" w:rsidRDefault="00E40974" w:rsidP="00B66A4A">
      <w:pPr>
        <w:pStyle w:val="ListParagraph"/>
        <w:keepNext/>
        <w:keepLines/>
        <w:numPr>
          <w:ilvl w:val="1"/>
          <w:numId w:val="1"/>
        </w:numPr>
        <w:tabs>
          <w:tab w:val="left" w:pos="1134"/>
        </w:tabs>
        <w:ind w:left="1134" w:hanging="567"/>
        <w:jc w:val="both"/>
        <w:rPr>
          <w:rFonts w:ascii="Arial" w:hAnsi="Arial" w:cs="Arial"/>
          <w:sz w:val="20"/>
        </w:rPr>
      </w:pPr>
      <w:r w:rsidRPr="009B4A78">
        <w:rPr>
          <w:rFonts w:ascii="Arial" w:hAnsi="Arial" w:cs="Arial"/>
          <w:sz w:val="20"/>
        </w:rPr>
        <w:lastRenderedPageBreak/>
        <w:t>advising on the IP aspects and implications of databases, inventories, registers and other such platforms, as well as institutions, authorities and agencies, which could complement and support implementation of legal and policy frameworks that States, regional organizations and communities may decide to establish.</w:t>
      </w:r>
    </w:p>
    <w:p w14:paraId="7A20CCE2" w14:textId="77777777" w:rsidR="00E40974" w:rsidRPr="009B4A78" w:rsidRDefault="00E40974" w:rsidP="00F33E49">
      <w:pPr>
        <w:tabs>
          <w:tab w:val="left" w:pos="567"/>
          <w:tab w:val="left" w:pos="1985"/>
        </w:tabs>
        <w:ind w:left="360"/>
        <w:jc w:val="both"/>
        <w:rPr>
          <w:rFonts w:ascii="Arial" w:hAnsi="Arial" w:cs="Arial"/>
          <w:sz w:val="20"/>
        </w:rPr>
      </w:pPr>
    </w:p>
    <w:p w14:paraId="57610637" w14:textId="77777777" w:rsidR="00E40974" w:rsidRPr="009B4A78" w:rsidRDefault="00E40974" w:rsidP="00B66A4A">
      <w:pPr>
        <w:numPr>
          <w:ilvl w:val="0"/>
          <w:numId w:val="5"/>
        </w:numPr>
        <w:tabs>
          <w:tab w:val="left" w:pos="567"/>
        </w:tabs>
        <w:jc w:val="both"/>
        <w:rPr>
          <w:rFonts w:ascii="Arial" w:eastAsia="SimSun" w:hAnsi="Arial" w:cs="Arial"/>
          <w:sz w:val="20"/>
          <w:lang w:eastAsia="zh-CN"/>
        </w:rPr>
      </w:pPr>
      <w:r w:rsidRPr="009B4A78">
        <w:rPr>
          <w:rFonts w:ascii="Arial" w:eastAsia="SimSun" w:hAnsi="Arial" w:cs="Arial"/>
          <w:sz w:val="20"/>
          <w:lang w:eastAsia="zh-CN"/>
        </w:rPr>
        <w:t xml:space="preserve">DA Recommendation 18 refers explicitly to the IGC.  The norm-setting activities in the IGC are Member State-led, participatory and based upon open and balanced consultations (Recommendations 15, 21 and 42), take into account the public domain (Recommendations 16 and 20) and flexibilities in international IP agreements (Recommendations 12, 14 and 17), and are supportive of the UN’s development goals (Recommendation 22).  This Program therefore contributes directly and explicitly to development and to the attainment of other DA Recommendations, notably ensuring development-oriented and demand-driven technical assistance (Recommendations 1 and 12), assisting regional groupings to develop and/or implement regional policies and frameworks (Recommendations 10, 11, 13 and 14), providing legislative and policy information on national legislation to Member States (Recommendations 11, 13 and 14), raising awareness on TK, TCE and GR-related IP issues (Recommendation 3), and cooperating on IP-related issues with UN agencies (Recommendation 40). </w:t>
      </w:r>
    </w:p>
    <w:p w14:paraId="40385F72" w14:textId="77777777" w:rsidR="00E40974" w:rsidRPr="009B4A78" w:rsidRDefault="00E40974" w:rsidP="00F33E49">
      <w:pPr>
        <w:jc w:val="both"/>
        <w:rPr>
          <w:rFonts w:ascii="Arial" w:eastAsia="SimSun" w:hAnsi="Arial" w:cs="Arial"/>
          <w:sz w:val="20"/>
          <w:lang w:eastAsia="zh-CN"/>
        </w:rPr>
      </w:pPr>
    </w:p>
    <w:p w14:paraId="4DB26EBB" w14:textId="77777777" w:rsidR="00E40974" w:rsidRPr="009B4A78" w:rsidRDefault="00E40974" w:rsidP="00B66A4A">
      <w:pPr>
        <w:numPr>
          <w:ilvl w:val="0"/>
          <w:numId w:val="5"/>
        </w:numPr>
        <w:jc w:val="both"/>
        <w:rPr>
          <w:rFonts w:ascii="Arial" w:hAnsi="Arial" w:cs="Arial"/>
          <w:sz w:val="20"/>
        </w:rPr>
      </w:pPr>
      <w:r w:rsidRPr="009B4A78">
        <w:rPr>
          <w:rFonts w:ascii="Arial" w:hAnsi="Arial" w:cs="Arial"/>
          <w:sz w:val="20"/>
        </w:rPr>
        <w:t>The Expected Results of Program 4 will also be achieved through cooperation and coordination, where relevant, with other WIPO Programs as illustrated below</w:t>
      </w:r>
    </w:p>
    <w:p w14:paraId="514EDF5D" w14:textId="77777777" w:rsidR="00E40974" w:rsidRPr="009B4A78" w:rsidRDefault="00E40974" w:rsidP="00F33E49">
      <w:pPr>
        <w:jc w:val="both"/>
        <w:rPr>
          <w:rFonts w:ascii="Arial" w:hAnsi="Arial" w:cs="Arial"/>
        </w:rPr>
      </w:pPr>
    </w:p>
    <w:p w14:paraId="59DBCE0C" w14:textId="77777777" w:rsidR="00E40974" w:rsidRPr="009B4A78" w:rsidRDefault="00E40974" w:rsidP="00F33E49">
      <w:pPr>
        <w:jc w:val="both"/>
        <w:rPr>
          <w:rFonts w:ascii="Arial" w:hAnsi="Arial" w:cs="Arial"/>
        </w:rPr>
      </w:pPr>
      <w:r w:rsidRPr="009B4A78">
        <w:rPr>
          <w:rFonts w:ascii="Arial" w:hAnsi="Arial" w:cs="Arial"/>
          <w:noProof/>
          <w:lang w:eastAsia="en-US"/>
        </w:rPr>
        <w:drawing>
          <wp:inline distT="0" distB="0" distL="0" distR="0" wp14:anchorId="06CFA92C" wp14:editId="6799C1D7">
            <wp:extent cx="6120765" cy="2021874"/>
            <wp:effectExtent l="0" t="19050" r="0" b="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607C8557" w14:textId="77777777" w:rsidR="00E40974" w:rsidRPr="009B4A78" w:rsidRDefault="00E40974" w:rsidP="00F33E49">
      <w:pPr>
        <w:tabs>
          <w:tab w:val="num" w:pos="709"/>
        </w:tabs>
        <w:jc w:val="both"/>
        <w:rPr>
          <w:rFonts w:ascii="Arial" w:hAnsi="Arial" w:cs="Arial"/>
          <w:bCs/>
        </w:rPr>
      </w:pPr>
    </w:p>
    <w:p w14:paraId="2414326C" w14:textId="77777777" w:rsidR="00E40974" w:rsidRPr="009B4A78" w:rsidRDefault="00E40974" w:rsidP="00F33E49">
      <w:pPr>
        <w:tabs>
          <w:tab w:val="num" w:pos="709"/>
        </w:tabs>
        <w:jc w:val="both"/>
        <w:rPr>
          <w:rFonts w:ascii="Arial" w:hAnsi="Arial" w:cs="Arial"/>
          <w:b/>
          <w:bCs/>
        </w:rPr>
      </w:pPr>
      <w:r w:rsidRPr="009B4A78">
        <w:rPr>
          <w:rFonts w:ascii="Arial" w:hAnsi="Arial" w:cs="Arial"/>
          <w:bCs/>
        </w:rPr>
        <w:tab/>
      </w:r>
    </w:p>
    <w:p w14:paraId="35DF2E94" w14:textId="77777777" w:rsidR="00E40974" w:rsidRPr="009B4A78" w:rsidRDefault="00E40974" w:rsidP="00F33E49">
      <w:pPr>
        <w:tabs>
          <w:tab w:val="num" w:pos="709"/>
        </w:tabs>
        <w:jc w:val="both"/>
        <w:rPr>
          <w:rFonts w:ascii="Arial" w:hAnsi="Arial" w:cs="Arial"/>
        </w:rPr>
      </w:pPr>
      <w:r w:rsidRPr="009B4A78">
        <w:rPr>
          <w:rFonts w:ascii="Arial" w:hAnsi="Arial" w:cs="Arial"/>
        </w:rPr>
        <w:t>MAJOR RISKS AND MITIGATION STATEGIES</w:t>
      </w:r>
    </w:p>
    <w:p w14:paraId="4E0AB955" w14:textId="77777777" w:rsidR="00E40974" w:rsidRPr="009B4A78" w:rsidRDefault="00E40974" w:rsidP="00F33E49">
      <w:pPr>
        <w:keepNext/>
        <w:keepLines/>
        <w:rPr>
          <w:rFonts w:ascii="Arial" w:hAnsi="Arial" w:cs="Arial"/>
        </w:rPr>
      </w:pPr>
      <w:r w:rsidRPr="009B4A78">
        <w:rPr>
          <w:rFonts w:ascii="Arial" w:hAnsi="Arial" w:cs="Arial"/>
          <w:bCs/>
        </w:rPr>
        <w:tab/>
      </w: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E40974" w:rsidRPr="009B4A78" w14:paraId="0F472C13" w14:textId="77777777" w:rsidTr="00F33E49">
        <w:trPr>
          <w:trHeight w:val="474"/>
        </w:trPr>
        <w:tc>
          <w:tcPr>
            <w:tcW w:w="4111" w:type="dxa"/>
            <w:tcBorders>
              <w:top w:val="single" w:sz="4" w:space="0" w:color="auto"/>
              <w:bottom w:val="single" w:sz="4" w:space="0" w:color="auto"/>
            </w:tcBorders>
            <w:shd w:val="clear" w:color="auto" w:fill="C6D9F1" w:themeFill="text2" w:themeFillTint="33"/>
            <w:vAlign w:val="center"/>
          </w:tcPr>
          <w:p w14:paraId="0C74DC5B" w14:textId="77777777" w:rsidR="00E40974" w:rsidRPr="009B4A78" w:rsidRDefault="00E40974" w:rsidP="00F33E49">
            <w:pPr>
              <w:keepNext/>
              <w:keepLines/>
              <w:jc w:val="center"/>
              <w:rPr>
                <w:rFonts w:ascii="Arial" w:hAnsi="Arial" w:cs="Arial"/>
                <w:b/>
                <w:bCs/>
                <w:sz w:val="18"/>
                <w:szCs w:val="18"/>
              </w:rPr>
            </w:pPr>
            <w:r w:rsidRPr="009B4A78">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7A3646CD" w14:textId="77777777" w:rsidR="00E40974" w:rsidRPr="009B4A78" w:rsidRDefault="00E40974" w:rsidP="00F33E49">
            <w:pPr>
              <w:keepNext/>
              <w:keepLines/>
              <w:jc w:val="center"/>
              <w:rPr>
                <w:rFonts w:ascii="Arial" w:hAnsi="Arial" w:cs="Arial"/>
                <w:b/>
                <w:bCs/>
                <w:sz w:val="18"/>
                <w:szCs w:val="18"/>
              </w:rPr>
            </w:pPr>
            <w:r w:rsidRPr="009B4A78">
              <w:rPr>
                <w:rFonts w:ascii="Arial" w:hAnsi="Arial" w:cs="Arial"/>
                <w:b/>
                <w:bCs/>
                <w:sz w:val="18"/>
                <w:szCs w:val="18"/>
              </w:rPr>
              <w:t>Mitigation</w:t>
            </w:r>
          </w:p>
        </w:tc>
      </w:tr>
      <w:tr w:rsidR="00E40974" w:rsidRPr="009B4A78" w14:paraId="111C1D79" w14:textId="77777777" w:rsidTr="00F33E49">
        <w:trPr>
          <w:trHeight w:val="696"/>
        </w:trPr>
        <w:tc>
          <w:tcPr>
            <w:tcW w:w="4111" w:type="dxa"/>
            <w:tcBorders>
              <w:top w:val="single" w:sz="4" w:space="0" w:color="auto"/>
            </w:tcBorders>
            <w:shd w:val="clear" w:color="auto" w:fill="auto"/>
            <w:tcMar>
              <w:top w:w="113" w:type="dxa"/>
              <w:bottom w:w="113" w:type="dxa"/>
            </w:tcMar>
          </w:tcPr>
          <w:p w14:paraId="38728349" w14:textId="77777777" w:rsidR="00E40974" w:rsidRPr="009B4A78" w:rsidRDefault="00E40974" w:rsidP="00F33E49">
            <w:pPr>
              <w:rPr>
                <w:rFonts w:ascii="Arial" w:hAnsi="Arial" w:cs="Arial"/>
                <w:b/>
                <w:i/>
                <w:sz w:val="16"/>
                <w:szCs w:val="16"/>
              </w:rPr>
            </w:pPr>
            <w:r w:rsidRPr="009B4A78">
              <w:rPr>
                <w:rFonts w:ascii="Arial" w:hAnsi="Arial" w:cs="Arial"/>
                <w:sz w:val="16"/>
                <w:szCs w:val="16"/>
              </w:rPr>
              <w:t xml:space="preserve">Member States unable to implement the mandate for normative activities as decided upon by the General Assembly. </w:t>
            </w:r>
          </w:p>
        </w:tc>
        <w:tc>
          <w:tcPr>
            <w:tcW w:w="5103" w:type="dxa"/>
            <w:tcBorders>
              <w:top w:val="single" w:sz="4" w:space="0" w:color="auto"/>
            </w:tcBorders>
            <w:shd w:val="clear" w:color="auto" w:fill="auto"/>
            <w:tcMar>
              <w:top w:w="113" w:type="dxa"/>
              <w:bottom w:w="113" w:type="dxa"/>
            </w:tcMar>
          </w:tcPr>
          <w:p w14:paraId="1C234BB5" w14:textId="77777777" w:rsidR="00E40974" w:rsidRPr="009B4A78" w:rsidRDefault="00E40974" w:rsidP="00F33E49">
            <w:pPr>
              <w:rPr>
                <w:rFonts w:ascii="Arial" w:hAnsi="Arial" w:cs="Arial"/>
                <w:sz w:val="16"/>
                <w:szCs w:val="16"/>
              </w:rPr>
            </w:pPr>
            <w:r w:rsidRPr="009B4A78">
              <w:rPr>
                <w:rFonts w:ascii="Arial" w:hAnsi="Arial" w:cs="Arial"/>
                <w:sz w:val="16"/>
                <w:szCs w:val="16"/>
              </w:rPr>
              <w:t>The Secretariat is committed to facilitate and create a conducive environment for the normative activities, for example, through providing clear and objective information about the issues being discussed and providing an efficient and neutral Secretariat service</w:t>
            </w:r>
            <w:r w:rsidRPr="009B4A78">
              <w:rPr>
                <w:rFonts w:ascii="Arial" w:hAnsi="Arial" w:cs="Arial"/>
                <w:color w:val="000000"/>
                <w:sz w:val="16"/>
                <w:szCs w:val="16"/>
              </w:rPr>
              <w:t>.</w:t>
            </w:r>
          </w:p>
        </w:tc>
      </w:tr>
      <w:tr w:rsidR="00E40974" w:rsidRPr="009B4A78" w14:paraId="534FAD3E" w14:textId="77777777" w:rsidTr="00F33E49">
        <w:trPr>
          <w:trHeight w:val="873"/>
        </w:trPr>
        <w:tc>
          <w:tcPr>
            <w:tcW w:w="4111" w:type="dxa"/>
            <w:shd w:val="clear" w:color="auto" w:fill="auto"/>
            <w:tcMar>
              <w:top w:w="113" w:type="dxa"/>
              <w:bottom w:w="113" w:type="dxa"/>
            </w:tcMar>
          </w:tcPr>
          <w:p w14:paraId="7EA35FB4" w14:textId="77777777" w:rsidR="00E40974" w:rsidRPr="009B4A78" w:rsidRDefault="00E40974" w:rsidP="00F33E49">
            <w:pPr>
              <w:rPr>
                <w:rFonts w:ascii="Arial" w:hAnsi="Arial" w:cs="Arial"/>
                <w:color w:val="000000"/>
                <w:sz w:val="16"/>
                <w:szCs w:val="16"/>
              </w:rPr>
            </w:pPr>
            <w:r w:rsidRPr="009B4A78">
              <w:rPr>
                <w:rFonts w:ascii="Arial" w:hAnsi="Arial" w:cs="Arial"/>
                <w:sz w:val="16"/>
                <w:szCs w:val="16"/>
                <w:lang w:eastAsia="zh-CN"/>
              </w:rPr>
              <w:t>Loss of relevance of normative activities on these issues at WIPO if Member States de-prioritize TK, TCEs and GRs as IP issues and/or believe other fora are more likely to deliver desirable outcomes.</w:t>
            </w:r>
          </w:p>
        </w:tc>
        <w:tc>
          <w:tcPr>
            <w:tcW w:w="5103" w:type="dxa"/>
            <w:shd w:val="clear" w:color="auto" w:fill="auto"/>
            <w:tcMar>
              <w:top w:w="113" w:type="dxa"/>
              <w:bottom w:w="113" w:type="dxa"/>
            </w:tcMar>
          </w:tcPr>
          <w:p w14:paraId="5C9B77CC" w14:textId="77777777" w:rsidR="00E40974" w:rsidRPr="009B4A78" w:rsidRDefault="00E40974" w:rsidP="00F33E49">
            <w:pPr>
              <w:rPr>
                <w:rFonts w:ascii="Arial" w:hAnsi="Arial" w:cs="Arial"/>
                <w:color w:val="000000"/>
                <w:sz w:val="16"/>
                <w:szCs w:val="16"/>
              </w:rPr>
            </w:pPr>
            <w:r w:rsidRPr="009B4A78">
              <w:rPr>
                <w:rFonts w:ascii="Arial" w:hAnsi="Arial" w:cs="Arial"/>
                <w:sz w:val="16"/>
                <w:szCs w:val="16"/>
                <w:lang w:eastAsia="zh-CN"/>
              </w:rPr>
              <w:t>The Secretariat raises awareness of the importance for IP policy of TK, TCEs and GRs issues.  The Secretariat follows the negotiations in other fora closely, in order to be able to provide neutral information about the issues to Member States in those other fora, and coordinates with other Secretariats to try to avoid duplication of efforts among Secretariats which can cause confusion among the Member States.</w:t>
            </w:r>
          </w:p>
        </w:tc>
      </w:tr>
    </w:tbl>
    <w:p w14:paraId="32B5FF16" w14:textId="77777777" w:rsidR="00E40974" w:rsidRPr="009B4A78" w:rsidRDefault="00E40974" w:rsidP="00F33E49">
      <w:pPr>
        <w:rPr>
          <w:rFonts w:ascii="Arial" w:hAnsi="Arial" w:cs="Arial"/>
        </w:rPr>
      </w:pPr>
    </w:p>
    <w:p w14:paraId="447CA761" w14:textId="77777777" w:rsidR="00E40974" w:rsidRPr="009B4A78" w:rsidRDefault="00E40974" w:rsidP="00F33E49">
      <w:pPr>
        <w:keepNext/>
        <w:keepLines/>
        <w:jc w:val="both"/>
        <w:rPr>
          <w:rFonts w:ascii="Arial" w:hAnsi="Arial" w:cs="Arial"/>
          <w:bCs/>
        </w:rPr>
      </w:pPr>
      <w:r w:rsidRPr="009B4A78">
        <w:rPr>
          <w:rFonts w:ascii="Arial" w:hAnsi="Arial" w:cs="Arial"/>
          <w:bCs/>
        </w:rPr>
        <w:lastRenderedPageBreak/>
        <w:t xml:space="preserve">RESULTS FRAMEWORK </w:t>
      </w:r>
    </w:p>
    <w:p w14:paraId="7D2E0B14" w14:textId="77777777" w:rsidR="00E40974" w:rsidRPr="009B4A78" w:rsidRDefault="00E40974" w:rsidP="00F33E49">
      <w:pPr>
        <w:keepNext/>
        <w:keepLines/>
        <w:jc w:val="both"/>
        <w:rPr>
          <w:rFonts w:ascii="Arial" w:hAnsi="Arial" w:cs="Arial"/>
          <w:bCs/>
        </w:rPr>
      </w:pPr>
    </w:p>
    <w:tbl>
      <w:tblPr>
        <w:tblW w:w="9229" w:type="dxa"/>
        <w:jc w:val="center"/>
        <w:tblInd w:w="93" w:type="dxa"/>
        <w:tblLook w:val="04A0" w:firstRow="1" w:lastRow="0" w:firstColumn="1" w:lastColumn="0" w:noHBand="0" w:noVBand="1"/>
      </w:tblPr>
      <w:tblGrid>
        <w:gridCol w:w="2400"/>
        <w:gridCol w:w="2600"/>
        <w:gridCol w:w="2520"/>
        <w:gridCol w:w="1709"/>
      </w:tblGrid>
      <w:tr w:rsidR="00E40974" w:rsidRPr="009B4A78" w14:paraId="68F33943" w14:textId="77777777" w:rsidTr="00E40974">
        <w:trPr>
          <w:trHeight w:val="555"/>
          <w:jc w:val="center"/>
        </w:trPr>
        <w:tc>
          <w:tcPr>
            <w:tcW w:w="2400"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6A6BEC1C" w14:textId="77777777" w:rsidR="00E40974" w:rsidRPr="009B4A78" w:rsidRDefault="00E40974" w:rsidP="00F33E49">
            <w:pPr>
              <w:keepNext/>
              <w:keepLines/>
              <w:jc w:val="center"/>
              <w:rPr>
                <w:rFonts w:ascii="Arial" w:hAnsi="Arial" w:cs="Arial"/>
                <w:b/>
                <w:bCs/>
                <w:color w:val="000000"/>
                <w:sz w:val="18"/>
              </w:rPr>
            </w:pPr>
            <w:r w:rsidRPr="009B4A78">
              <w:rPr>
                <w:rFonts w:ascii="Arial" w:hAnsi="Arial" w:cs="Arial"/>
                <w:b/>
                <w:bCs/>
                <w:color w:val="000000"/>
                <w:sz w:val="18"/>
              </w:rPr>
              <w:t>Expected Results</w:t>
            </w:r>
          </w:p>
        </w:tc>
        <w:tc>
          <w:tcPr>
            <w:tcW w:w="2600" w:type="dxa"/>
            <w:tcBorders>
              <w:top w:val="single" w:sz="4" w:space="0" w:color="auto"/>
              <w:left w:val="nil"/>
              <w:bottom w:val="single" w:sz="4" w:space="0" w:color="auto"/>
              <w:right w:val="nil"/>
            </w:tcBorders>
            <w:shd w:val="clear" w:color="auto" w:fill="C6D9F1" w:themeFill="text2" w:themeFillTint="33"/>
            <w:noWrap/>
            <w:vAlign w:val="center"/>
            <w:hideMark/>
          </w:tcPr>
          <w:p w14:paraId="494DD2F3" w14:textId="77777777" w:rsidR="00E40974" w:rsidRPr="009B4A78" w:rsidRDefault="00E40974" w:rsidP="00F33E49">
            <w:pPr>
              <w:keepNext/>
              <w:keepLines/>
              <w:jc w:val="center"/>
              <w:rPr>
                <w:rFonts w:ascii="Arial" w:hAnsi="Arial" w:cs="Arial"/>
                <w:b/>
                <w:bCs/>
                <w:color w:val="000000"/>
                <w:sz w:val="18"/>
              </w:rPr>
            </w:pPr>
            <w:r w:rsidRPr="009B4A78">
              <w:rPr>
                <w:rFonts w:ascii="Arial" w:hAnsi="Arial" w:cs="Arial"/>
                <w:b/>
                <w:bCs/>
                <w:color w:val="000000"/>
                <w:sz w:val="18"/>
              </w:rPr>
              <w:t>Performance Indicators</w:t>
            </w:r>
          </w:p>
        </w:tc>
        <w:tc>
          <w:tcPr>
            <w:tcW w:w="2520" w:type="dxa"/>
            <w:tcBorders>
              <w:top w:val="single" w:sz="4" w:space="0" w:color="auto"/>
              <w:left w:val="nil"/>
              <w:bottom w:val="single" w:sz="4" w:space="0" w:color="auto"/>
              <w:right w:val="nil"/>
            </w:tcBorders>
            <w:shd w:val="clear" w:color="auto" w:fill="C6D9F1" w:themeFill="text2" w:themeFillTint="33"/>
            <w:noWrap/>
            <w:vAlign w:val="center"/>
            <w:hideMark/>
          </w:tcPr>
          <w:p w14:paraId="49A299E1" w14:textId="77777777" w:rsidR="00E40974" w:rsidRPr="009B4A78" w:rsidRDefault="00E40974" w:rsidP="00F33E49">
            <w:pPr>
              <w:keepNext/>
              <w:keepLines/>
              <w:jc w:val="center"/>
              <w:rPr>
                <w:rFonts w:ascii="Arial" w:hAnsi="Arial" w:cs="Arial"/>
                <w:b/>
                <w:bCs/>
                <w:color w:val="000000"/>
                <w:sz w:val="18"/>
              </w:rPr>
            </w:pPr>
            <w:r w:rsidRPr="009B4A78">
              <w:rPr>
                <w:rFonts w:ascii="Arial" w:hAnsi="Arial" w:cs="Arial"/>
                <w:b/>
                <w:bCs/>
                <w:color w:val="000000"/>
                <w:sz w:val="18"/>
              </w:rPr>
              <w:t>Baselines</w:t>
            </w:r>
          </w:p>
        </w:tc>
        <w:tc>
          <w:tcPr>
            <w:tcW w:w="1709"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7DF63243" w14:textId="77777777" w:rsidR="00E40974" w:rsidRPr="009B4A78" w:rsidRDefault="00E40974" w:rsidP="00F33E49">
            <w:pPr>
              <w:keepNext/>
              <w:keepLines/>
              <w:jc w:val="center"/>
              <w:rPr>
                <w:rFonts w:ascii="Arial" w:hAnsi="Arial" w:cs="Arial"/>
                <w:b/>
                <w:bCs/>
                <w:color w:val="000000"/>
                <w:sz w:val="18"/>
              </w:rPr>
            </w:pPr>
            <w:r w:rsidRPr="009B4A78">
              <w:rPr>
                <w:rFonts w:ascii="Arial" w:hAnsi="Arial" w:cs="Arial"/>
                <w:b/>
                <w:bCs/>
                <w:color w:val="000000"/>
                <w:sz w:val="18"/>
              </w:rPr>
              <w:t>Targets</w:t>
            </w:r>
          </w:p>
        </w:tc>
      </w:tr>
      <w:tr w:rsidR="00E40974" w:rsidRPr="009B4A78" w14:paraId="73BE24CB" w14:textId="77777777" w:rsidTr="00E40974">
        <w:trPr>
          <w:trHeight w:val="1691"/>
          <w:jc w:val="center"/>
        </w:trPr>
        <w:tc>
          <w:tcPr>
            <w:tcW w:w="2400" w:type="dxa"/>
            <w:tcBorders>
              <w:top w:val="nil"/>
              <w:left w:val="single" w:sz="4" w:space="0" w:color="auto"/>
              <w:bottom w:val="nil"/>
              <w:right w:val="nil"/>
            </w:tcBorders>
            <w:shd w:val="clear" w:color="000000" w:fill="FFFFFF"/>
            <w:hideMark/>
          </w:tcPr>
          <w:p w14:paraId="55E8A205" w14:textId="77777777" w:rsidR="00E40974" w:rsidRPr="009B4A78" w:rsidRDefault="00E40974" w:rsidP="00F33E49">
            <w:pPr>
              <w:keepNext/>
              <w:keepLines/>
              <w:ind w:right="292"/>
              <w:rPr>
                <w:rFonts w:ascii="Arial" w:hAnsi="Arial" w:cs="Arial"/>
                <w:color w:val="000000"/>
                <w:sz w:val="16"/>
                <w:szCs w:val="16"/>
              </w:rPr>
            </w:pPr>
            <w:r w:rsidRPr="009B4A78">
              <w:rPr>
                <w:rFonts w:ascii="Arial" w:hAnsi="Arial" w:cs="Arial"/>
                <w:color w:val="000000"/>
                <w:sz w:val="16"/>
                <w:szCs w:val="16"/>
              </w:rPr>
              <w:br/>
              <w:t xml:space="preserve">I.1 Enhanced cooperation among Member States on development of balanced international normative frameworks for IP </w:t>
            </w:r>
          </w:p>
        </w:tc>
        <w:tc>
          <w:tcPr>
            <w:tcW w:w="2600" w:type="dxa"/>
            <w:tcBorders>
              <w:top w:val="nil"/>
              <w:left w:val="nil"/>
              <w:bottom w:val="nil"/>
              <w:right w:val="nil"/>
            </w:tcBorders>
            <w:shd w:val="clear" w:color="000000" w:fill="FFFFFF"/>
            <w:hideMark/>
          </w:tcPr>
          <w:p w14:paraId="589C7C1F" w14:textId="77777777" w:rsidR="00E40974" w:rsidRPr="009B4A78" w:rsidRDefault="00E40974" w:rsidP="00F33E49">
            <w:pPr>
              <w:keepNext/>
              <w:keepLines/>
              <w:ind w:right="199"/>
              <w:rPr>
                <w:rFonts w:ascii="Arial" w:hAnsi="Arial" w:cs="Arial"/>
                <w:color w:val="000000"/>
                <w:sz w:val="16"/>
                <w:szCs w:val="16"/>
              </w:rPr>
            </w:pPr>
            <w:r w:rsidRPr="009B4A78">
              <w:rPr>
                <w:rFonts w:ascii="Arial" w:hAnsi="Arial" w:cs="Arial"/>
                <w:color w:val="000000"/>
                <w:sz w:val="16"/>
                <w:szCs w:val="16"/>
              </w:rPr>
              <w:br/>
              <w:t>Progress towards implementation of normative activities on IP and GRs, TK and TCEs as agreed by Member States</w:t>
            </w:r>
          </w:p>
        </w:tc>
        <w:tc>
          <w:tcPr>
            <w:tcW w:w="2520" w:type="dxa"/>
            <w:tcBorders>
              <w:top w:val="nil"/>
              <w:left w:val="nil"/>
              <w:bottom w:val="nil"/>
              <w:right w:val="nil"/>
            </w:tcBorders>
            <w:shd w:val="clear" w:color="000000" w:fill="FFFFFF"/>
            <w:hideMark/>
          </w:tcPr>
          <w:p w14:paraId="0D34830A" w14:textId="77777777" w:rsidR="00E40974" w:rsidRDefault="00E40974" w:rsidP="00F33E49">
            <w:pPr>
              <w:keepNext/>
              <w:keepLines/>
              <w:ind w:right="309"/>
              <w:rPr>
                <w:rFonts w:ascii="Arial" w:hAnsi="Arial" w:cs="Arial"/>
                <w:color w:val="000000"/>
                <w:sz w:val="16"/>
                <w:szCs w:val="16"/>
              </w:rPr>
            </w:pPr>
            <w:r w:rsidRPr="009B4A78">
              <w:rPr>
                <w:rFonts w:ascii="Arial" w:hAnsi="Arial" w:cs="Arial"/>
                <w:color w:val="000000"/>
                <w:sz w:val="16"/>
                <w:szCs w:val="16"/>
              </w:rPr>
              <w:br/>
              <w:t>Current stage of negotiations among Member States on IP and GRs, TK and TCEs, as reflected in documents WIPO/GRTKF/IC/28/4, WIPO/GRTKF/IC/28/5 and WIPO/GRTKF/IC/28/6, respectively</w:t>
            </w:r>
          </w:p>
          <w:p w14:paraId="06529718" w14:textId="77777777" w:rsidR="005412E8" w:rsidRPr="009B4A78" w:rsidRDefault="005412E8" w:rsidP="00F33E49">
            <w:pPr>
              <w:keepNext/>
              <w:keepLines/>
              <w:ind w:right="309"/>
              <w:rPr>
                <w:rFonts w:ascii="Arial" w:hAnsi="Arial" w:cs="Arial"/>
                <w:color w:val="000000"/>
                <w:sz w:val="16"/>
                <w:szCs w:val="16"/>
              </w:rPr>
            </w:pPr>
          </w:p>
        </w:tc>
        <w:tc>
          <w:tcPr>
            <w:tcW w:w="1709" w:type="dxa"/>
            <w:tcBorders>
              <w:top w:val="nil"/>
              <w:left w:val="nil"/>
              <w:bottom w:val="nil"/>
              <w:right w:val="single" w:sz="4" w:space="0" w:color="auto"/>
            </w:tcBorders>
            <w:shd w:val="clear" w:color="000000" w:fill="FFFFFF"/>
            <w:hideMark/>
          </w:tcPr>
          <w:p w14:paraId="297B216D" w14:textId="77777777" w:rsidR="00E40974" w:rsidRPr="009B4A78" w:rsidRDefault="00E40974" w:rsidP="00F33E49">
            <w:pPr>
              <w:keepNext/>
              <w:keepLines/>
              <w:rPr>
                <w:rFonts w:ascii="Arial" w:hAnsi="Arial" w:cs="Arial"/>
                <w:color w:val="000000"/>
                <w:sz w:val="16"/>
                <w:szCs w:val="16"/>
              </w:rPr>
            </w:pPr>
            <w:r w:rsidRPr="009B4A78">
              <w:rPr>
                <w:rFonts w:ascii="Arial" w:hAnsi="Arial" w:cs="Arial"/>
                <w:color w:val="000000"/>
                <w:sz w:val="16"/>
                <w:szCs w:val="16"/>
              </w:rPr>
              <w:br/>
              <w:t>Agreed outcomes of normative activities.</w:t>
            </w:r>
          </w:p>
        </w:tc>
      </w:tr>
      <w:tr w:rsidR="00E40974" w:rsidRPr="009B4A78" w14:paraId="3128AE6D" w14:textId="77777777" w:rsidTr="00E40974">
        <w:trPr>
          <w:trHeight w:val="1723"/>
          <w:jc w:val="center"/>
        </w:trPr>
        <w:tc>
          <w:tcPr>
            <w:tcW w:w="2400" w:type="dxa"/>
            <w:tcBorders>
              <w:top w:val="nil"/>
              <w:left w:val="single" w:sz="4" w:space="0" w:color="auto"/>
              <w:bottom w:val="single" w:sz="4" w:space="0" w:color="auto"/>
              <w:right w:val="nil"/>
            </w:tcBorders>
            <w:shd w:val="clear" w:color="000000" w:fill="FFFFFF"/>
            <w:hideMark/>
          </w:tcPr>
          <w:p w14:paraId="496BCF6E" w14:textId="77777777" w:rsidR="00E40974" w:rsidRPr="009B4A78" w:rsidRDefault="00E40974" w:rsidP="00F33E49">
            <w:pPr>
              <w:ind w:right="292"/>
              <w:rPr>
                <w:rFonts w:ascii="Arial" w:hAnsi="Arial" w:cs="Arial"/>
                <w:color w:val="000000"/>
                <w:sz w:val="16"/>
                <w:szCs w:val="16"/>
              </w:rPr>
            </w:pPr>
            <w:r w:rsidRPr="009B4A78">
              <w:rPr>
                <w:rFonts w:ascii="Arial"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600" w:type="dxa"/>
            <w:tcBorders>
              <w:top w:val="nil"/>
              <w:left w:val="nil"/>
              <w:bottom w:val="single" w:sz="4" w:space="0" w:color="auto"/>
              <w:right w:val="nil"/>
            </w:tcBorders>
            <w:shd w:val="clear" w:color="000000" w:fill="FFFFFF"/>
            <w:hideMark/>
          </w:tcPr>
          <w:p w14:paraId="48017C83" w14:textId="77777777" w:rsidR="00E40974" w:rsidRPr="009B4A78" w:rsidRDefault="00E40974" w:rsidP="00F33E49">
            <w:pPr>
              <w:tabs>
                <w:tab w:val="left" w:pos="2043"/>
              </w:tabs>
              <w:ind w:right="199"/>
              <w:rPr>
                <w:rFonts w:ascii="Arial" w:hAnsi="Arial" w:cs="Arial"/>
                <w:color w:val="000000"/>
                <w:sz w:val="16"/>
                <w:szCs w:val="16"/>
              </w:rPr>
            </w:pPr>
            <w:r w:rsidRPr="009B4A78">
              <w:rPr>
                <w:rFonts w:ascii="Arial" w:hAnsi="Arial" w:cs="Arial"/>
                <w:color w:val="000000"/>
                <w:sz w:val="16"/>
                <w:szCs w:val="16"/>
              </w:rPr>
              <w:t>% of participants in WIPO activities who report enhanced capacity to understand and use IP principles, systems and tools for the protection of TK and TCEs and for addressing the interface between IP and GRs.</w:t>
            </w:r>
          </w:p>
        </w:tc>
        <w:tc>
          <w:tcPr>
            <w:tcW w:w="2520" w:type="dxa"/>
            <w:tcBorders>
              <w:top w:val="nil"/>
              <w:left w:val="nil"/>
              <w:bottom w:val="single" w:sz="4" w:space="0" w:color="auto"/>
              <w:right w:val="nil"/>
            </w:tcBorders>
            <w:shd w:val="clear" w:color="000000" w:fill="FFFFFF"/>
            <w:hideMark/>
          </w:tcPr>
          <w:p w14:paraId="7C12875A" w14:textId="77777777" w:rsidR="00E40974" w:rsidRPr="009B4A78" w:rsidRDefault="00E40974" w:rsidP="00F33E49">
            <w:pPr>
              <w:ind w:right="309"/>
              <w:rPr>
                <w:rFonts w:ascii="Arial" w:hAnsi="Arial" w:cs="Arial"/>
                <w:color w:val="000000"/>
                <w:sz w:val="16"/>
                <w:szCs w:val="16"/>
              </w:rPr>
            </w:pPr>
            <w:r w:rsidRPr="009B4A78">
              <w:rPr>
                <w:rFonts w:ascii="Arial" w:hAnsi="Arial" w:cs="Arial"/>
                <w:color w:val="000000"/>
                <w:sz w:val="16"/>
                <w:szCs w:val="16"/>
              </w:rPr>
              <w:t>91% (163 out of 179)  participants reported positively (feedback questionnaire used in nine activities organized by the TK Division in 2014)</w:t>
            </w:r>
          </w:p>
        </w:tc>
        <w:tc>
          <w:tcPr>
            <w:tcW w:w="1709" w:type="dxa"/>
            <w:tcBorders>
              <w:top w:val="nil"/>
              <w:left w:val="nil"/>
              <w:bottom w:val="single" w:sz="4" w:space="0" w:color="auto"/>
              <w:right w:val="single" w:sz="4" w:space="0" w:color="auto"/>
            </w:tcBorders>
            <w:shd w:val="clear" w:color="000000" w:fill="FFFFFF"/>
            <w:hideMark/>
          </w:tcPr>
          <w:p w14:paraId="6DDF78C2" w14:textId="77777777" w:rsidR="00E40974" w:rsidRPr="009B4A78" w:rsidRDefault="00E40974" w:rsidP="00F33E49">
            <w:pPr>
              <w:rPr>
                <w:rFonts w:ascii="Arial" w:hAnsi="Arial" w:cs="Arial"/>
                <w:color w:val="000000"/>
                <w:sz w:val="16"/>
                <w:szCs w:val="16"/>
              </w:rPr>
            </w:pPr>
            <w:r w:rsidRPr="009B4A78">
              <w:rPr>
                <w:rFonts w:ascii="Arial" w:hAnsi="Arial" w:cs="Arial"/>
                <w:color w:val="000000"/>
                <w:sz w:val="16"/>
                <w:szCs w:val="16"/>
              </w:rPr>
              <w:t>80%</w:t>
            </w:r>
          </w:p>
        </w:tc>
      </w:tr>
    </w:tbl>
    <w:p w14:paraId="00B8607F" w14:textId="77777777" w:rsidR="00E40974" w:rsidRPr="009B4A78" w:rsidRDefault="00E40974" w:rsidP="00F33E49">
      <w:pPr>
        <w:jc w:val="both"/>
        <w:rPr>
          <w:rFonts w:ascii="Arial" w:hAnsi="Arial" w:cs="Arial"/>
          <w:bCs/>
        </w:rPr>
      </w:pPr>
    </w:p>
    <w:p w14:paraId="3C5A93E5" w14:textId="77777777" w:rsidR="00E40974" w:rsidRPr="009B4A78" w:rsidRDefault="00E40974" w:rsidP="00F33E49">
      <w:pPr>
        <w:jc w:val="both"/>
        <w:rPr>
          <w:rFonts w:ascii="Arial" w:hAnsi="Arial" w:cs="Arial"/>
          <w:bCs/>
        </w:rPr>
      </w:pPr>
    </w:p>
    <w:p w14:paraId="79E89507" w14:textId="77777777" w:rsidR="00E40974" w:rsidRPr="009B4A78" w:rsidRDefault="00E40974" w:rsidP="00F33E49">
      <w:pPr>
        <w:jc w:val="both"/>
        <w:rPr>
          <w:rFonts w:ascii="Arial" w:hAnsi="Arial" w:cs="Arial"/>
          <w:bCs/>
        </w:rPr>
      </w:pPr>
      <w:r w:rsidRPr="009B4A78">
        <w:rPr>
          <w:rFonts w:ascii="Arial" w:hAnsi="Arial" w:cs="Arial"/>
          <w:bCs/>
        </w:rPr>
        <w:t>RESOURCES FOR PROGRAM 4</w:t>
      </w:r>
    </w:p>
    <w:p w14:paraId="6AAA14DE" w14:textId="77777777" w:rsidR="00E40974" w:rsidRPr="009B4A78" w:rsidRDefault="00E40974" w:rsidP="00F33E49">
      <w:pPr>
        <w:jc w:val="both"/>
        <w:rPr>
          <w:rFonts w:ascii="Arial" w:hAnsi="Arial" w:cs="Arial"/>
          <w:bCs/>
        </w:rPr>
      </w:pPr>
    </w:p>
    <w:p w14:paraId="19EF7513" w14:textId="395D1F35" w:rsidR="00E40974" w:rsidRPr="009B4A78" w:rsidRDefault="00E40974" w:rsidP="00B66A4A">
      <w:pPr>
        <w:numPr>
          <w:ilvl w:val="0"/>
          <w:numId w:val="5"/>
        </w:numPr>
        <w:jc w:val="both"/>
        <w:rPr>
          <w:rFonts w:ascii="Arial" w:hAnsi="Arial" w:cs="Arial"/>
          <w:sz w:val="20"/>
        </w:rPr>
      </w:pPr>
      <w:r w:rsidRPr="009B4A78">
        <w:rPr>
          <w:rFonts w:ascii="Arial" w:hAnsi="Arial" w:cs="Arial"/>
          <w:sz w:val="20"/>
        </w:rPr>
        <w:t>The overall resources for Program 4 in 2016/17 show a slight decrease compared to the 2014/15</w:t>
      </w:r>
      <w:r w:rsidR="00DB4F15">
        <w:rPr>
          <w:rFonts w:ascii="Arial" w:hAnsi="Arial" w:cs="Arial"/>
          <w:sz w:val="20"/>
        </w:rPr>
        <w:t> </w:t>
      </w:r>
      <w:r w:rsidRPr="009B4A78">
        <w:rPr>
          <w:rFonts w:ascii="Arial" w:hAnsi="Arial" w:cs="Arial"/>
          <w:sz w:val="20"/>
        </w:rPr>
        <w:t>Budget after Transfers.  This is due to the change in the costing methodology for personnel resources in 2016/17 based on actuals.</w:t>
      </w:r>
    </w:p>
    <w:p w14:paraId="126B0703" w14:textId="77777777" w:rsidR="00E40974" w:rsidRPr="009B4A78" w:rsidRDefault="00E40974" w:rsidP="00F33E49">
      <w:pPr>
        <w:jc w:val="both"/>
        <w:rPr>
          <w:rFonts w:ascii="Arial" w:hAnsi="Arial" w:cs="Arial"/>
          <w:sz w:val="20"/>
        </w:rPr>
      </w:pPr>
    </w:p>
    <w:p w14:paraId="2EF8BEE7" w14:textId="7FEF117F" w:rsidR="00E40974" w:rsidRPr="00FB68E0" w:rsidRDefault="00E40974" w:rsidP="00B66A4A">
      <w:pPr>
        <w:numPr>
          <w:ilvl w:val="0"/>
          <w:numId w:val="5"/>
        </w:numPr>
        <w:jc w:val="both"/>
        <w:rPr>
          <w:rFonts w:ascii="Arial" w:hAnsi="Arial" w:cs="Arial"/>
          <w:sz w:val="20"/>
          <w:szCs w:val="20"/>
        </w:rPr>
      </w:pPr>
      <w:r w:rsidRPr="009B4A78">
        <w:rPr>
          <w:rFonts w:ascii="Arial" w:hAnsi="Arial" w:cs="Arial"/>
          <w:sz w:val="20"/>
        </w:rPr>
        <w:t xml:space="preserve">The decrease in non-personnel resources in 2016/17 compared to the 2014/15 Budget after Transfers is due to </w:t>
      </w:r>
      <w:r w:rsidRPr="00FB68E0">
        <w:rPr>
          <w:rFonts w:ascii="Arial" w:hAnsi="Arial" w:cs="Arial"/>
          <w:sz w:val="20"/>
        </w:rPr>
        <w:t>budgetary provision for a possible diplomatic conference in 2016/17</w:t>
      </w:r>
      <w:r w:rsidR="00F07555">
        <w:rPr>
          <w:rFonts w:ascii="Arial" w:hAnsi="Arial" w:cs="Arial"/>
          <w:sz w:val="20"/>
        </w:rPr>
        <w:t xml:space="preserve"> now reflected under “Unallocated”</w:t>
      </w:r>
      <w:r w:rsidR="006E030C">
        <w:rPr>
          <w:rFonts w:ascii="Arial" w:hAnsi="Arial" w:cs="Arial"/>
          <w:sz w:val="20"/>
        </w:rPr>
        <w:t>.</w:t>
      </w:r>
    </w:p>
    <w:p w14:paraId="17C08255" w14:textId="77777777" w:rsidR="00E40974" w:rsidRPr="009B4A78" w:rsidRDefault="00E40974" w:rsidP="00F33E49">
      <w:pPr>
        <w:jc w:val="both"/>
        <w:rPr>
          <w:rFonts w:ascii="Arial" w:hAnsi="Arial" w:cs="Arial"/>
          <w:bCs/>
        </w:rPr>
      </w:pPr>
    </w:p>
    <w:p w14:paraId="4F54A542" w14:textId="77777777" w:rsidR="00E40974" w:rsidRPr="009B4A78" w:rsidRDefault="00E40974" w:rsidP="00F33E49">
      <w:pPr>
        <w:jc w:val="both"/>
        <w:rPr>
          <w:rFonts w:ascii="Arial" w:hAnsi="Arial" w:cs="Arial"/>
          <w:bCs/>
        </w:rPr>
      </w:pPr>
    </w:p>
    <w:p w14:paraId="7D54BF85" w14:textId="77777777" w:rsidR="00E40974" w:rsidRPr="009B4A78" w:rsidRDefault="00E40974" w:rsidP="00F33E49">
      <w:pPr>
        <w:keepNext/>
        <w:keepLines/>
        <w:tabs>
          <w:tab w:val="center" w:pos="4513"/>
          <w:tab w:val="right" w:pos="9027"/>
        </w:tabs>
        <w:autoSpaceDE w:val="0"/>
        <w:autoSpaceDN w:val="0"/>
        <w:rPr>
          <w:rFonts w:ascii="Arial" w:hAnsi="Arial" w:cs="Arial"/>
          <w:b/>
          <w:sz w:val="20"/>
        </w:rPr>
      </w:pPr>
      <w:r w:rsidRPr="009B4A78">
        <w:rPr>
          <w:rFonts w:ascii="Arial" w:hAnsi="Arial" w:cs="Arial"/>
          <w:b/>
          <w:sz w:val="20"/>
        </w:rPr>
        <w:tab/>
        <w:t>Program 4:  Resources by Result</w:t>
      </w:r>
      <w:r w:rsidRPr="009B4A78">
        <w:rPr>
          <w:rFonts w:ascii="Arial" w:hAnsi="Arial" w:cs="Arial"/>
          <w:b/>
          <w:sz w:val="20"/>
        </w:rPr>
        <w:tab/>
      </w:r>
    </w:p>
    <w:p w14:paraId="37445CC2" w14:textId="77777777" w:rsidR="00E40974" w:rsidRPr="009B4A78" w:rsidRDefault="00E40974"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54A759AA" w14:textId="77777777" w:rsidR="00E40974" w:rsidRPr="009B4A78" w:rsidRDefault="00E40974" w:rsidP="00F33E49">
      <w:pPr>
        <w:keepNext/>
        <w:keepLines/>
        <w:autoSpaceDE w:val="0"/>
        <w:autoSpaceDN w:val="0"/>
        <w:jc w:val="center"/>
        <w:rPr>
          <w:rFonts w:ascii="Arial" w:hAnsi="Arial" w:cs="Arial"/>
          <w:i/>
          <w:sz w:val="20"/>
        </w:rPr>
      </w:pPr>
    </w:p>
    <w:p w14:paraId="3327AAC5" w14:textId="77777777" w:rsidR="00E40974" w:rsidRPr="009B4A78" w:rsidRDefault="00E40974" w:rsidP="00F33E49">
      <w:pPr>
        <w:keepNext/>
        <w:keepLines/>
        <w:autoSpaceDE w:val="0"/>
        <w:autoSpaceDN w:val="0"/>
        <w:jc w:val="center"/>
        <w:rPr>
          <w:rFonts w:ascii="Arial" w:hAnsi="Arial" w:cs="Arial"/>
          <w:i/>
          <w:sz w:val="20"/>
        </w:rPr>
      </w:pPr>
      <w:r w:rsidRPr="009B4A78">
        <w:rPr>
          <w:rFonts w:ascii="Arial" w:hAnsi="Arial" w:cs="Arial"/>
          <w:noProof/>
          <w:lang w:eastAsia="en-US"/>
        </w:rPr>
        <w:drawing>
          <wp:inline distT="0" distB="0" distL="0" distR="0" wp14:anchorId="10AE528A" wp14:editId="33AAA7C8">
            <wp:extent cx="5420525" cy="2416637"/>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32033" cy="2421767"/>
                    </a:xfrm>
                    <a:prstGeom prst="rect">
                      <a:avLst/>
                    </a:prstGeom>
                    <a:noFill/>
                    <a:ln>
                      <a:noFill/>
                    </a:ln>
                  </pic:spPr>
                </pic:pic>
              </a:graphicData>
            </a:graphic>
          </wp:inline>
        </w:drawing>
      </w:r>
    </w:p>
    <w:p w14:paraId="13CF2382" w14:textId="77777777" w:rsidR="00E40974" w:rsidRPr="009B4A78" w:rsidRDefault="00E40974" w:rsidP="00F33E49">
      <w:pPr>
        <w:autoSpaceDE w:val="0"/>
        <w:autoSpaceDN w:val="0"/>
        <w:jc w:val="center"/>
        <w:rPr>
          <w:rFonts w:ascii="Arial" w:hAnsi="Arial" w:cs="Arial"/>
          <w:b/>
          <w:sz w:val="20"/>
        </w:rPr>
      </w:pPr>
    </w:p>
    <w:p w14:paraId="0C91E0D6" w14:textId="77777777" w:rsidR="00E40974" w:rsidRPr="009B4A78" w:rsidRDefault="00E40974" w:rsidP="00F33E49">
      <w:pPr>
        <w:keepNext/>
        <w:keepLines/>
        <w:autoSpaceDE w:val="0"/>
        <w:autoSpaceDN w:val="0"/>
        <w:jc w:val="center"/>
        <w:rPr>
          <w:rFonts w:ascii="Arial" w:hAnsi="Arial" w:cs="Arial"/>
          <w:b/>
          <w:sz w:val="20"/>
        </w:rPr>
      </w:pPr>
      <w:r w:rsidRPr="009B4A78">
        <w:rPr>
          <w:rFonts w:ascii="Arial" w:hAnsi="Arial" w:cs="Arial"/>
          <w:b/>
          <w:sz w:val="20"/>
        </w:rPr>
        <w:lastRenderedPageBreak/>
        <w:t>Program 4:  Resources by Object of Expenditure</w:t>
      </w:r>
    </w:p>
    <w:p w14:paraId="536B2478" w14:textId="77777777" w:rsidR="00E40974" w:rsidRPr="009B4A78" w:rsidRDefault="00E40974"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5062E84F" w14:textId="77777777" w:rsidR="00E40974" w:rsidRPr="009B4A78" w:rsidRDefault="00E40974" w:rsidP="00F33E49">
      <w:pPr>
        <w:keepNext/>
        <w:keepLines/>
        <w:autoSpaceDE w:val="0"/>
        <w:autoSpaceDN w:val="0"/>
        <w:jc w:val="center"/>
        <w:rPr>
          <w:rFonts w:ascii="Arial" w:hAnsi="Arial" w:cs="Arial"/>
          <w:i/>
          <w:sz w:val="20"/>
        </w:rPr>
      </w:pPr>
    </w:p>
    <w:p w14:paraId="7D76FAEF" w14:textId="77777777" w:rsidR="00E40974" w:rsidRPr="009B4A78" w:rsidRDefault="00E40974" w:rsidP="002B052A">
      <w:pPr>
        <w:jc w:val="center"/>
        <w:rPr>
          <w:rFonts w:ascii="Arial" w:hAnsi="Arial" w:cs="Arial"/>
          <w:bCs/>
          <w:sz w:val="20"/>
        </w:rPr>
      </w:pPr>
      <w:r w:rsidRPr="009B4A78">
        <w:rPr>
          <w:rFonts w:ascii="Arial" w:hAnsi="Arial" w:cs="Arial"/>
          <w:noProof/>
          <w:lang w:eastAsia="en-US"/>
        </w:rPr>
        <w:drawing>
          <wp:inline distT="0" distB="0" distL="0" distR="0" wp14:anchorId="64748CF2" wp14:editId="58B65C33">
            <wp:extent cx="5410316" cy="6095876"/>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19809" cy="6106571"/>
                    </a:xfrm>
                    <a:prstGeom prst="rect">
                      <a:avLst/>
                    </a:prstGeom>
                    <a:noFill/>
                    <a:ln>
                      <a:noFill/>
                    </a:ln>
                  </pic:spPr>
                </pic:pic>
              </a:graphicData>
            </a:graphic>
          </wp:inline>
        </w:drawing>
      </w:r>
    </w:p>
    <w:p w14:paraId="588593AA" w14:textId="77777777" w:rsidR="00E40974" w:rsidRPr="009B4A78" w:rsidRDefault="00E40974" w:rsidP="00F33E49">
      <w:pPr>
        <w:jc w:val="both"/>
        <w:rPr>
          <w:rFonts w:ascii="Arial" w:hAnsi="Arial" w:cs="Arial"/>
          <w:bCs/>
          <w:sz w:val="20"/>
        </w:rPr>
      </w:pPr>
    </w:p>
    <w:p w14:paraId="177ECFBB" w14:textId="77777777" w:rsidR="00E40974" w:rsidRPr="009B4A78" w:rsidRDefault="00E40974" w:rsidP="00F33E49">
      <w:pPr>
        <w:jc w:val="both"/>
        <w:rPr>
          <w:rFonts w:ascii="Arial" w:hAnsi="Arial" w:cs="Arial"/>
          <w:bCs/>
          <w:sz w:val="20"/>
        </w:rPr>
      </w:pPr>
    </w:p>
    <w:p w14:paraId="76F3ECC8" w14:textId="77777777" w:rsidR="00E40974" w:rsidRPr="009B4A78" w:rsidRDefault="00E40974" w:rsidP="00F33E49">
      <w:pPr>
        <w:jc w:val="both"/>
        <w:rPr>
          <w:rFonts w:ascii="Arial" w:hAnsi="Arial" w:cs="Arial"/>
          <w:bCs/>
          <w:sz w:val="20"/>
        </w:rPr>
      </w:pPr>
    </w:p>
    <w:p w14:paraId="2AC8DAD6" w14:textId="77777777" w:rsidR="00901665" w:rsidRDefault="00901665">
      <w:pPr>
        <w:rPr>
          <w:rFonts w:ascii="Arial" w:hAnsi="Arial" w:cs="Arial"/>
          <w:sz w:val="20"/>
          <w:szCs w:val="20"/>
        </w:rPr>
      </w:pPr>
    </w:p>
    <w:p w14:paraId="79195A99" w14:textId="77777777" w:rsidR="00901665" w:rsidRDefault="00901665">
      <w:pPr>
        <w:rPr>
          <w:rFonts w:ascii="Arial" w:hAnsi="Arial" w:cs="Arial"/>
          <w:sz w:val="20"/>
          <w:szCs w:val="20"/>
        </w:rPr>
        <w:sectPr w:rsidR="00901665" w:rsidSect="00DA3F93">
          <w:pgSz w:w="11907" w:h="16839" w:code="9"/>
          <w:pgMar w:top="624" w:right="1418" w:bottom="1361" w:left="1418" w:header="567" w:footer="851" w:gutter="0"/>
          <w:cols w:space="720"/>
          <w:docGrid w:linePitch="360"/>
        </w:sectPr>
      </w:pPr>
    </w:p>
    <w:p w14:paraId="370376AA" w14:textId="1E958DCE" w:rsidR="00901665" w:rsidRPr="00B30215" w:rsidRDefault="004264B7" w:rsidP="004264B7">
      <w:pPr>
        <w:pStyle w:val="StyleHeading3ComplexItalic"/>
        <w:tabs>
          <w:tab w:val="clear" w:pos="1985"/>
          <w:tab w:val="left" w:pos="1843"/>
          <w:tab w:val="left" w:pos="2835"/>
        </w:tabs>
        <w:ind w:left="1843" w:hanging="1843"/>
        <w:rPr>
          <w:rStyle w:val="StyleStyleHeading3ComplexItalicLatin12ptChar"/>
          <w:rFonts w:eastAsia="SimSun"/>
          <w:b/>
        </w:rPr>
      </w:pPr>
      <w:bookmarkStart w:id="30" w:name="_Toc367350576"/>
      <w:bookmarkStart w:id="31" w:name="_Toc427154399"/>
      <w:r w:rsidRPr="00B30215">
        <w:rPr>
          <w:rStyle w:val="StyleStyleHeading3ComplexItalicLatin12ptChar"/>
          <w:rFonts w:eastAsia="SimSun"/>
          <w:b/>
        </w:rPr>
        <w:lastRenderedPageBreak/>
        <w:t>STRATEGIC GOAL II</w:t>
      </w:r>
      <w:r w:rsidRPr="00B30215">
        <w:rPr>
          <w:rStyle w:val="StyleStyleHeading3ComplexItalicLatin12ptChar"/>
          <w:rFonts w:eastAsia="SimSun"/>
          <w:b/>
        </w:rPr>
        <w:tab/>
        <w:t>PROVISION OF PREMIER GLOBAL IP SERVICES</w:t>
      </w:r>
      <w:bookmarkEnd w:id="30"/>
      <w:bookmarkEnd w:id="31"/>
    </w:p>
    <w:p w14:paraId="1AEC38CB" w14:textId="77777777" w:rsidR="00901665" w:rsidRPr="00B30215" w:rsidRDefault="00901665" w:rsidP="00901665">
      <w:pPr>
        <w:tabs>
          <w:tab w:val="left" w:pos="1701"/>
        </w:tabs>
        <w:ind w:left="1701" w:hanging="1701"/>
        <w:jc w:val="center"/>
        <w:rPr>
          <w:rFonts w:ascii="Arial" w:hAnsi="Arial" w:cs="Arial"/>
          <w:bCs/>
          <w:caps/>
          <w:sz w:val="18"/>
        </w:rPr>
      </w:pPr>
    </w:p>
    <w:p w14:paraId="6A6DD25A" w14:textId="77777777" w:rsidR="004264B7" w:rsidRPr="00BA6EFF" w:rsidRDefault="004264B7" w:rsidP="00901665">
      <w:pPr>
        <w:tabs>
          <w:tab w:val="left" w:pos="1701"/>
        </w:tabs>
        <w:ind w:left="1701" w:hanging="1701"/>
        <w:jc w:val="center"/>
        <w:rPr>
          <w:rFonts w:ascii="Arial" w:hAnsi="Arial" w:cs="Arial"/>
          <w:bCs/>
          <w:caps/>
          <w:sz w:val="20"/>
        </w:rPr>
      </w:pPr>
    </w:p>
    <w:p w14:paraId="734B7FD6" w14:textId="77777777" w:rsidR="00901665" w:rsidRDefault="00901665" w:rsidP="00901665">
      <w:pPr>
        <w:autoSpaceDE w:val="0"/>
        <w:autoSpaceDN w:val="0"/>
        <w:adjustRightInd w:val="0"/>
        <w:jc w:val="both"/>
      </w:pPr>
      <w:r w:rsidRPr="00FA331B">
        <w:rPr>
          <w:rFonts w:ascii="Arial" w:hAnsi="Arial" w:cs="Arial"/>
          <w:sz w:val="20"/>
        </w:rPr>
        <w:t>This Strategic Goal addresses the core services of WIPO, which are also the income-generating businesses of the Organization.  The aim is to make WIPO’s global systems and alternative dispute resolution services the systems of first choice for users through attractive, cost-effective services which provide added value for users.</w:t>
      </w:r>
    </w:p>
    <w:p w14:paraId="3F5DCC94" w14:textId="77777777" w:rsidR="00901665" w:rsidRDefault="00901665">
      <w:pPr>
        <w:rPr>
          <w:rFonts w:ascii="Arial" w:hAnsi="Arial" w:cs="Arial"/>
          <w:sz w:val="20"/>
          <w:szCs w:val="20"/>
        </w:rPr>
      </w:pPr>
    </w:p>
    <w:p w14:paraId="7EF18E32" w14:textId="77777777" w:rsidR="00C9789B" w:rsidRDefault="00C9789B">
      <w:pPr>
        <w:rPr>
          <w:rFonts w:ascii="Arial" w:hAnsi="Arial" w:cs="Arial"/>
          <w:sz w:val="20"/>
          <w:szCs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078"/>
        <w:gridCol w:w="3521"/>
        <w:gridCol w:w="2419"/>
      </w:tblGrid>
      <w:tr w:rsidR="00C9789B" w:rsidRPr="0096319C" w14:paraId="2FBC8FD8" w14:textId="77777777" w:rsidTr="00DC2E3C">
        <w:trPr>
          <w:cantSplit/>
          <w:tblHeader/>
        </w:trPr>
        <w:tc>
          <w:tcPr>
            <w:tcW w:w="1707" w:type="pct"/>
            <w:tcBorders>
              <w:top w:val="single" w:sz="4" w:space="0" w:color="auto"/>
              <w:bottom w:val="single" w:sz="4" w:space="0" w:color="auto"/>
            </w:tcBorders>
            <w:shd w:val="clear" w:color="auto" w:fill="C6D9F1" w:themeFill="text2" w:themeFillTint="33"/>
            <w:tcMar>
              <w:top w:w="85" w:type="dxa"/>
              <w:bottom w:w="85" w:type="dxa"/>
            </w:tcMar>
            <w:vAlign w:val="center"/>
          </w:tcPr>
          <w:p w14:paraId="6D5AE75D" w14:textId="77777777" w:rsidR="00C9789B" w:rsidRPr="0040645B" w:rsidRDefault="00C9789B" w:rsidP="005A1F7F">
            <w:pPr>
              <w:spacing w:after="120"/>
              <w:jc w:val="center"/>
              <w:rPr>
                <w:rFonts w:ascii="Arial" w:hAnsi="Arial" w:cs="Arial"/>
                <w:b/>
                <w:bCs/>
                <w:sz w:val="18"/>
                <w:szCs w:val="18"/>
              </w:rPr>
            </w:pPr>
            <w:r w:rsidRPr="0040645B">
              <w:rPr>
                <w:rFonts w:ascii="Arial" w:hAnsi="Arial" w:cs="Arial"/>
                <w:b/>
                <w:bCs/>
                <w:sz w:val="18"/>
                <w:szCs w:val="18"/>
              </w:rPr>
              <w:t>Expected Results</w:t>
            </w:r>
          </w:p>
        </w:tc>
        <w:tc>
          <w:tcPr>
            <w:tcW w:w="1952" w:type="pct"/>
            <w:tcBorders>
              <w:top w:val="single" w:sz="4" w:space="0" w:color="auto"/>
              <w:bottom w:val="single" w:sz="4" w:space="0" w:color="auto"/>
            </w:tcBorders>
            <w:shd w:val="clear" w:color="auto" w:fill="C6D9F1" w:themeFill="text2" w:themeFillTint="33"/>
            <w:tcMar>
              <w:top w:w="85" w:type="dxa"/>
              <w:bottom w:w="85" w:type="dxa"/>
            </w:tcMar>
            <w:vAlign w:val="center"/>
          </w:tcPr>
          <w:p w14:paraId="536AD5F7" w14:textId="77777777" w:rsidR="00C9789B" w:rsidRPr="0040645B" w:rsidRDefault="00C9789B" w:rsidP="005A1F7F">
            <w:pPr>
              <w:spacing w:after="120"/>
              <w:jc w:val="center"/>
              <w:rPr>
                <w:rFonts w:ascii="Arial" w:hAnsi="Arial" w:cs="Arial"/>
                <w:b/>
                <w:sz w:val="18"/>
                <w:szCs w:val="18"/>
              </w:rPr>
            </w:pPr>
            <w:r w:rsidRPr="0040645B">
              <w:rPr>
                <w:rFonts w:ascii="Arial" w:hAnsi="Arial" w:cs="Arial"/>
                <w:b/>
                <w:sz w:val="18"/>
                <w:szCs w:val="18"/>
              </w:rPr>
              <w:t>Performance Indicators</w:t>
            </w:r>
          </w:p>
        </w:tc>
        <w:tc>
          <w:tcPr>
            <w:tcW w:w="1341" w:type="pct"/>
            <w:tcBorders>
              <w:top w:val="single" w:sz="4" w:space="0" w:color="auto"/>
              <w:bottom w:val="single" w:sz="4" w:space="0" w:color="auto"/>
            </w:tcBorders>
            <w:shd w:val="clear" w:color="auto" w:fill="C6D9F1" w:themeFill="text2" w:themeFillTint="33"/>
            <w:tcMar>
              <w:top w:w="85" w:type="dxa"/>
              <w:bottom w:w="85" w:type="dxa"/>
            </w:tcMar>
            <w:vAlign w:val="center"/>
          </w:tcPr>
          <w:p w14:paraId="449F563F" w14:textId="77777777" w:rsidR="00C9789B" w:rsidRPr="0040645B" w:rsidRDefault="00C9789B" w:rsidP="005A1F7F">
            <w:pPr>
              <w:spacing w:after="120"/>
              <w:ind w:left="85"/>
              <w:jc w:val="center"/>
              <w:rPr>
                <w:rFonts w:ascii="Arial" w:hAnsi="Arial" w:cs="Arial"/>
                <w:sz w:val="18"/>
                <w:szCs w:val="18"/>
              </w:rPr>
            </w:pPr>
            <w:r w:rsidRPr="0040645B">
              <w:rPr>
                <w:rFonts w:ascii="Arial" w:hAnsi="Arial" w:cs="Arial"/>
                <w:b/>
                <w:bCs/>
                <w:sz w:val="18"/>
                <w:szCs w:val="18"/>
              </w:rPr>
              <w:t>Responsible Program(s)</w:t>
            </w:r>
          </w:p>
        </w:tc>
      </w:tr>
      <w:tr w:rsidR="00C9789B" w:rsidRPr="00811500" w14:paraId="4E32B09A" w14:textId="77777777" w:rsidTr="00DC2E3C">
        <w:trPr>
          <w:cantSplit/>
        </w:trPr>
        <w:tc>
          <w:tcPr>
            <w:tcW w:w="1707" w:type="pct"/>
            <w:shd w:val="clear" w:color="auto" w:fill="auto"/>
            <w:tcMar>
              <w:top w:w="85" w:type="dxa"/>
              <w:bottom w:w="85" w:type="dxa"/>
            </w:tcMar>
          </w:tcPr>
          <w:p w14:paraId="6FE72CF4"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 xml:space="preserve">II.1 </w:t>
            </w:r>
            <w:r>
              <w:rPr>
                <w:rFonts w:ascii="Arial" w:eastAsia="SimSun" w:hAnsi="Arial" w:cs="Arial"/>
                <w:color w:val="000000"/>
                <w:sz w:val="16"/>
                <w:szCs w:val="16"/>
              </w:rPr>
              <w:t xml:space="preserve"> </w:t>
            </w:r>
            <w:r w:rsidRPr="002A01BF">
              <w:rPr>
                <w:rFonts w:ascii="Arial" w:eastAsia="SimSun" w:hAnsi="Arial" w:cs="Arial"/>
                <w:color w:val="000000"/>
                <w:sz w:val="16"/>
                <w:szCs w:val="16"/>
              </w:rPr>
              <w:t>Wider and more effective use of the PCT system for filing international patent applications</w:t>
            </w:r>
          </w:p>
        </w:tc>
        <w:tc>
          <w:tcPr>
            <w:tcW w:w="1952" w:type="pct"/>
            <w:shd w:val="clear" w:color="auto" w:fill="auto"/>
            <w:tcMar>
              <w:top w:w="85" w:type="dxa"/>
              <w:bottom w:w="85" w:type="dxa"/>
            </w:tcMar>
          </w:tcPr>
          <w:p w14:paraId="12B48487"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Level of satisfaction of PCT users with PCT-specific legal advice, information, training and customer service</w:t>
            </w:r>
          </w:p>
        </w:tc>
        <w:tc>
          <w:tcPr>
            <w:tcW w:w="1341" w:type="pct"/>
            <w:shd w:val="clear" w:color="auto" w:fill="FFFFFF"/>
            <w:tcMar>
              <w:top w:w="85" w:type="dxa"/>
              <w:bottom w:w="85" w:type="dxa"/>
            </w:tcMar>
          </w:tcPr>
          <w:p w14:paraId="324CFA7F" w14:textId="77777777" w:rsidR="00C9789B" w:rsidRPr="00811500" w:rsidRDefault="00C9789B" w:rsidP="005A1F7F">
            <w:pPr>
              <w:ind w:left="441"/>
              <w:rPr>
                <w:rFonts w:ascii="Arial" w:hAnsi="Arial" w:cs="Arial"/>
                <w:sz w:val="16"/>
                <w:szCs w:val="16"/>
              </w:rPr>
            </w:pPr>
            <w:r w:rsidRPr="00811500">
              <w:rPr>
                <w:rFonts w:ascii="Arial" w:hAnsi="Arial" w:cs="Arial"/>
                <w:sz w:val="16"/>
                <w:szCs w:val="16"/>
                <w:lang w:bidi="th-TH"/>
              </w:rPr>
              <w:t>Program 5</w:t>
            </w:r>
          </w:p>
        </w:tc>
      </w:tr>
      <w:tr w:rsidR="00C9789B" w:rsidRPr="00811500" w14:paraId="201CF846" w14:textId="77777777" w:rsidTr="00DC2E3C">
        <w:trPr>
          <w:cantSplit/>
          <w:trHeight w:val="112"/>
        </w:trPr>
        <w:tc>
          <w:tcPr>
            <w:tcW w:w="1707" w:type="pct"/>
            <w:shd w:val="clear" w:color="auto" w:fill="auto"/>
            <w:tcMar>
              <w:top w:w="85" w:type="dxa"/>
              <w:bottom w:w="85" w:type="dxa"/>
            </w:tcMar>
          </w:tcPr>
          <w:p w14:paraId="09ADF551"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71A8D115"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Satisfaction of Offices and International</w:t>
            </w:r>
            <w:r>
              <w:rPr>
                <w:rFonts w:ascii="Arial" w:eastAsia="SimSun" w:hAnsi="Arial" w:cs="Arial"/>
                <w:color w:val="000000"/>
                <w:sz w:val="16"/>
                <w:szCs w:val="16"/>
              </w:rPr>
              <w:t xml:space="preserve"> </w:t>
            </w:r>
            <w:r w:rsidRPr="002A01BF">
              <w:rPr>
                <w:rFonts w:ascii="Arial" w:eastAsia="SimSun" w:hAnsi="Arial" w:cs="Arial"/>
                <w:color w:val="000000"/>
                <w:sz w:val="16"/>
                <w:szCs w:val="16"/>
              </w:rPr>
              <w:t>Authorities with PCT cooperative activities</w:t>
            </w:r>
          </w:p>
        </w:tc>
        <w:tc>
          <w:tcPr>
            <w:tcW w:w="1341" w:type="pct"/>
            <w:shd w:val="clear" w:color="auto" w:fill="FFFFFF"/>
            <w:tcMar>
              <w:top w:w="85" w:type="dxa"/>
              <w:bottom w:w="85" w:type="dxa"/>
            </w:tcMar>
          </w:tcPr>
          <w:p w14:paraId="7469F65B"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7D4BA751" w14:textId="77777777" w:rsidTr="00DC2E3C">
        <w:trPr>
          <w:cantSplit/>
          <w:trHeight w:val="112"/>
        </w:trPr>
        <w:tc>
          <w:tcPr>
            <w:tcW w:w="1707" w:type="pct"/>
            <w:shd w:val="clear" w:color="auto" w:fill="auto"/>
            <w:tcMar>
              <w:top w:w="85" w:type="dxa"/>
              <w:bottom w:w="85" w:type="dxa"/>
            </w:tcMar>
          </w:tcPr>
          <w:p w14:paraId="126D489C"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05873E79" w14:textId="77777777" w:rsidR="00C9789B" w:rsidRPr="002A01BF" w:rsidRDefault="00C9789B" w:rsidP="005A1F7F">
            <w:pPr>
              <w:rPr>
                <w:rFonts w:ascii="Arial" w:eastAsia="SimSun" w:hAnsi="Arial" w:cs="Arial"/>
                <w:color w:val="000000"/>
                <w:sz w:val="16"/>
                <w:szCs w:val="16"/>
              </w:rPr>
            </w:pPr>
            <w:r w:rsidRPr="002A01BF">
              <w:rPr>
                <w:rFonts w:ascii="Arial" w:eastAsia="SimSun" w:hAnsi="Arial" w:cs="Arial"/>
                <w:color w:val="000000"/>
                <w:sz w:val="16"/>
                <w:szCs w:val="16"/>
              </w:rPr>
              <w:t>Further development of the PCT system, notably implementation of the PCT roadmap recommendations endorsed by PCT Member States</w:t>
            </w:r>
          </w:p>
        </w:tc>
        <w:tc>
          <w:tcPr>
            <w:tcW w:w="1341" w:type="pct"/>
            <w:shd w:val="clear" w:color="auto" w:fill="FFFFFF"/>
            <w:tcMar>
              <w:top w:w="85" w:type="dxa"/>
              <w:bottom w:w="85" w:type="dxa"/>
            </w:tcMar>
          </w:tcPr>
          <w:p w14:paraId="30746B78" w14:textId="77777777" w:rsidR="00C9789B" w:rsidRPr="00811500" w:rsidRDefault="00C9789B" w:rsidP="005A1F7F">
            <w:pPr>
              <w:ind w:left="441"/>
              <w:rPr>
                <w:rFonts w:ascii="Arial" w:hAnsi="Arial" w:cs="Arial"/>
                <w:sz w:val="16"/>
                <w:szCs w:val="16"/>
                <w:lang w:bidi="th-TH"/>
              </w:rPr>
            </w:pPr>
            <w:r>
              <w:rPr>
                <w:rFonts w:ascii="Arial" w:hAnsi="Arial" w:cs="Arial"/>
                <w:sz w:val="16"/>
                <w:szCs w:val="16"/>
                <w:lang w:bidi="th-TH"/>
              </w:rPr>
              <w:t>Program 5</w:t>
            </w:r>
          </w:p>
        </w:tc>
      </w:tr>
      <w:tr w:rsidR="00C9789B" w:rsidRPr="00811500" w14:paraId="746E76A3" w14:textId="77777777" w:rsidTr="00DC2E3C">
        <w:trPr>
          <w:cantSplit/>
          <w:trHeight w:val="112"/>
        </w:trPr>
        <w:tc>
          <w:tcPr>
            <w:tcW w:w="1707" w:type="pct"/>
            <w:shd w:val="clear" w:color="auto" w:fill="auto"/>
            <w:tcMar>
              <w:top w:w="85" w:type="dxa"/>
              <w:bottom w:w="85" w:type="dxa"/>
            </w:tcMar>
          </w:tcPr>
          <w:p w14:paraId="5A5ECEA0"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0229C83D" w14:textId="77777777" w:rsidR="00C9789B" w:rsidRPr="002A01BF" w:rsidRDefault="00C9789B" w:rsidP="005A1F7F">
            <w:pPr>
              <w:rPr>
                <w:rFonts w:ascii="Arial" w:eastAsia="SimSun" w:hAnsi="Arial" w:cs="Arial"/>
                <w:color w:val="000000"/>
                <w:sz w:val="16"/>
                <w:szCs w:val="16"/>
              </w:rPr>
            </w:pPr>
            <w:r w:rsidRPr="002A01BF">
              <w:rPr>
                <w:rFonts w:ascii="Arial" w:eastAsia="SimSun" w:hAnsi="Arial" w:cs="Arial"/>
                <w:color w:val="000000"/>
                <w:sz w:val="16"/>
                <w:szCs w:val="16"/>
              </w:rPr>
              <w:t>Improved electronic services for applicants, third parties, Offices and Authorities</w:t>
            </w:r>
          </w:p>
        </w:tc>
        <w:tc>
          <w:tcPr>
            <w:tcW w:w="1341" w:type="pct"/>
            <w:shd w:val="clear" w:color="auto" w:fill="FFFFFF"/>
            <w:tcMar>
              <w:top w:w="85" w:type="dxa"/>
              <w:bottom w:w="85" w:type="dxa"/>
            </w:tcMar>
          </w:tcPr>
          <w:p w14:paraId="17F38628" w14:textId="77777777" w:rsidR="00C9789B" w:rsidRDefault="00C9789B" w:rsidP="005A1F7F">
            <w:pPr>
              <w:ind w:left="441"/>
              <w:rPr>
                <w:rFonts w:ascii="Arial" w:hAnsi="Arial" w:cs="Arial"/>
                <w:sz w:val="16"/>
                <w:szCs w:val="16"/>
                <w:lang w:bidi="th-TH"/>
              </w:rPr>
            </w:pPr>
            <w:r>
              <w:rPr>
                <w:rFonts w:ascii="Arial" w:hAnsi="Arial" w:cs="Arial"/>
                <w:sz w:val="16"/>
                <w:szCs w:val="16"/>
                <w:lang w:bidi="th-TH"/>
              </w:rPr>
              <w:t xml:space="preserve">Program 5 </w:t>
            </w:r>
          </w:p>
        </w:tc>
      </w:tr>
      <w:tr w:rsidR="00C9789B" w:rsidRPr="00811500" w14:paraId="5839D316" w14:textId="77777777" w:rsidTr="00DC2E3C">
        <w:trPr>
          <w:cantSplit/>
          <w:trHeight w:val="311"/>
        </w:trPr>
        <w:tc>
          <w:tcPr>
            <w:tcW w:w="1707" w:type="pct"/>
            <w:shd w:val="clear" w:color="auto" w:fill="auto"/>
            <w:tcMar>
              <w:top w:w="85" w:type="dxa"/>
              <w:bottom w:w="85" w:type="dxa"/>
            </w:tcMar>
          </w:tcPr>
          <w:p w14:paraId="4CCA2E58"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0360CBCD" w14:textId="11F18F31" w:rsidR="00C9789B" w:rsidRPr="009F7EA8" w:rsidRDefault="00C9789B" w:rsidP="005A1F7F">
            <w:pPr>
              <w:rPr>
                <w:rFonts w:ascii="Arial" w:hAnsi="Arial" w:cs="Arial"/>
                <w:sz w:val="16"/>
                <w:szCs w:val="16"/>
                <w:highlight w:val="yellow"/>
              </w:rPr>
            </w:pPr>
            <w:r w:rsidRPr="009F7EA8">
              <w:rPr>
                <w:rFonts w:ascii="Arial" w:hAnsi="Arial" w:cs="Arial"/>
                <w:color w:val="000000"/>
                <w:sz w:val="16"/>
                <w:szCs w:val="16"/>
              </w:rPr>
              <w:t>No. of PCT applications originating from</w:t>
            </w:r>
            <w:r>
              <w:rPr>
                <w:rFonts w:ascii="Arial" w:hAnsi="Arial" w:cs="Arial"/>
                <w:color w:val="000000"/>
                <w:sz w:val="16"/>
                <w:szCs w:val="16"/>
              </w:rPr>
              <w:t xml:space="preserve"> developing, </w:t>
            </w:r>
            <w:r w:rsidRPr="009F7EA8">
              <w:rPr>
                <w:rFonts w:ascii="Arial" w:hAnsi="Arial" w:cs="Arial"/>
                <w:color w:val="000000"/>
                <w:sz w:val="16"/>
                <w:szCs w:val="16"/>
              </w:rPr>
              <w:t>transition and developed countries.</w:t>
            </w:r>
          </w:p>
        </w:tc>
        <w:tc>
          <w:tcPr>
            <w:tcW w:w="1341" w:type="pct"/>
            <w:shd w:val="clear" w:color="auto" w:fill="FFFFFF"/>
            <w:tcMar>
              <w:top w:w="85" w:type="dxa"/>
              <w:bottom w:w="85" w:type="dxa"/>
            </w:tcMar>
          </w:tcPr>
          <w:p w14:paraId="61A86AD7" w14:textId="77777777" w:rsidR="00255FD8" w:rsidRDefault="00255FD8" w:rsidP="005A1F7F">
            <w:pPr>
              <w:ind w:left="441"/>
              <w:rPr>
                <w:rFonts w:ascii="Arial" w:hAnsi="Arial" w:cs="Arial"/>
                <w:sz w:val="16"/>
                <w:szCs w:val="16"/>
                <w:lang w:bidi="th-TH"/>
              </w:rPr>
            </w:pPr>
            <w:r>
              <w:rPr>
                <w:rFonts w:ascii="Arial" w:hAnsi="Arial" w:cs="Arial"/>
                <w:sz w:val="16"/>
                <w:szCs w:val="16"/>
                <w:lang w:bidi="th-TH"/>
              </w:rPr>
              <w:t>Program 9</w:t>
            </w:r>
          </w:p>
          <w:p w14:paraId="3377252E" w14:textId="77777777" w:rsidR="00C9789B" w:rsidRDefault="00C9789B" w:rsidP="005A1F7F">
            <w:pPr>
              <w:ind w:left="441"/>
              <w:rPr>
                <w:rFonts w:ascii="Arial" w:hAnsi="Arial" w:cs="Arial"/>
                <w:sz w:val="16"/>
                <w:szCs w:val="16"/>
                <w:lang w:bidi="th-TH"/>
              </w:rPr>
            </w:pPr>
            <w:r w:rsidRPr="009F7EA8">
              <w:rPr>
                <w:rFonts w:ascii="Arial" w:hAnsi="Arial" w:cs="Arial"/>
                <w:sz w:val="16"/>
                <w:szCs w:val="16"/>
                <w:lang w:bidi="th-TH"/>
              </w:rPr>
              <w:t>Program 10</w:t>
            </w:r>
          </w:p>
          <w:p w14:paraId="7CDA27E7" w14:textId="77777777" w:rsidR="00C9789B" w:rsidRPr="00795C1D" w:rsidRDefault="00C9789B" w:rsidP="005A1F7F">
            <w:pPr>
              <w:ind w:left="441"/>
              <w:rPr>
                <w:rFonts w:ascii="Arial" w:hAnsi="Arial" w:cs="Arial"/>
                <w:sz w:val="16"/>
                <w:szCs w:val="16"/>
                <w:highlight w:val="yellow"/>
                <w:lang w:bidi="th-TH"/>
              </w:rPr>
            </w:pPr>
            <w:r>
              <w:rPr>
                <w:rFonts w:ascii="Arial" w:hAnsi="Arial" w:cs="Arial"/>
                <w:sz w:val="16"/>
                <w:szCs w:val="16"/>
                <w:lang w:bidi="th-TH"/>
              </w:rPr>
              <w:t xml:space="preserve">Program 20 </w:t>
            </w:r>
          </w:p>
        </w:tc>
      </w:tr>
      <w:tr w:rsidR="00C9789B" w:rsidRPr="00811500" w14:paraId="745CDE14" w14:textId="77777777" w:rsidTr="00DC2E3C">
        <w:trPr>
          <w:cantSplit/>
          <w:trHeight w:val="311"/>
        </w:trPr>
        <w:tc>
          <w:tcPr>
            <w:tcW w:w="1707" w:type="pct"/>
            <w:shd w:val="clear" w:color="auto" w:fill="auto"/>
            <w:tcMar>
              <w:top w:w="85" w:type="dxa"/>
              <w:bottom w:w="85" w:type="dxa"/>
            </w:tcMar>
          </w:tcPr>
          <w:p w14:paraId="3D63CABC" w14:textId="1517B032"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38655CAC" w14:textId="77777777" w:rsidR="00C9789B" w:rsidRPr="00D45442" w:rsidRDefault="00C9789B" w:rsidP="005A1F7F">
            <w:pPr>
              <w:rPr>
                <w:rFonts w:ascii="Arial" w:hAnsi="Arial" w:cs="Arial"/>
                <w:color w:val="000000"/>
                <w:sz w:val="16"/>
                <w:szCs w:val="16"/>
              </w:rPr>
            </w:pPr>
            <w:r w:rsidRPr="00D45442">
              <w:rPr>
                <w:rFonts w:ascii="Arial" w:hAnsi="Arial" w:cs="Arial"/>
                <w:color w:val="000000"/>
                <w:sz w:val="16"/>
                <w:szCs w:val="16"/>
              </w:rPr>
              <w:t>No. of survey respondents showing increased use of WIPO services within 6 months of attending Roving Seminars on WIPO Services and Initiatives</w:t>
            </w:r>
          </w:p>
        </w:tc>
        <w:tc>
          <w:tcPr>
            <w:tcW w:w="1341" w:type="pct"/>
            <w:shd w:val="clear" w:color="auto" w:fill="FFFFFF"/>
            <w:tcMar>
              <w:top w:w="85" w:type="dxa"/>
              <w:bottom w:w="85" w:type="dxa"/>
            </w:tcMar>
          </w:tcPr>
          <w:p w14:paraId="23A10C2D" w14:textId="77777777" w:rsidR="00C9789B" w:rsidRPr="009F7EA8" w:rsidRDefault="00C9789B" w:rsidP="005A1F7F">
            <w:pPr>
              <w:ind w:left="441"/>
              <w:rPr>
                <w:rFonts w:ascii="Arial" w:hAnsi="Arial" w:cs="Arial"/>
                <w:sz w:val="16"/>
                <w:szCs w:val="16"/>
                <w:lang w:bidi="th-TH"/>
              </w:rPr>
            </w:pPr>
            <w:r w:rsidRPr="009F7EA8">
              <w:rPr>
                <w:rFonts w:ascii="Arial" w:hAnsi="Arial" w:cs="Arial"/>
                <w:sz w:val="16"/>
                <w:szCs w:val="16"/>
                <w:lang w:bidi="th-TH"/>
              </w:rPr>
              <w:t>Program 10</w:t>
            </w:r>
          </w:p>
        </w:tc>
      </w:tr>
      <w:tr w:rsidR="00C9789B" w:rsidRPr="00811500" w14:paraId="6F6535EB" w14:textId="77777777" w:rsidTr="00DC2E3C">
        <w:trPr>
          <w:cantSplit/>
          <w:trHeight w:val="672"/>
        </w:trPr>
        <w:tc>
          <w:tcPr>
            <w:tcW w:w="1707" w:type="pct"/>
            <w:shd w:val="clear" w:color="auto" w:fill="auto"/>
            <w:tcMar>
              <w:top w:w="85" w:type="dxa"/>
              <w:bottom w:w="85" w:type="dxa"/>
            </w:tcMar>
          </w:tcPr>
          <w:p w14:paraId="29C0AD43"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5FC3B0E4" w14:textId="77777777" w:rsidR="00C9789B" w:rsidRPr="00811500" w:rsidRDefault="00C9789B" w:rsidP="005A1F7F">
            <w:pPr>
              <w:rPr>
                <w:rFonts w:ascii="Arial" w:hAnsi="Arial" w:cs="Arial"/>
                <w:sz w:val="16"/>
                <w:szCs w:val="16"/>
              </w:rPr>
            </w:pPr>
            <w:r w:rsidRPr="00811500">
              <w:rPr>
                <w:rFonts w:ascii="Arial" w:hAnsi="Arial" w:cs="Arial"/>
                <w:sz w:val="16"/>
                <w:szCs w:val="16"/>
              </w:rPr>
              <w:t>% of policy makers, government officials, and IP Practitioners and participants in targeted workshops with enhanced understanding of the PCT and related topics</w:t>
            </w:r>
          </w:p>
        </w:tc>
        <w:tc>
          <w:tcPr>
            <w:tcW w:w="1341" w:type="pct"/>
            <w:shd w:val="clear" w:color="auto" w:fill="FFFFFF"/>
            <w:tcMar>
              <w:top w:w="85" w:type="dxa"/>
              <w:bottom w:w="85" w:type="dxa"/>
            </w:tcMar>
          </w:tcPr>
          <w:p w14:paraId="7165F497"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20</w:t>
            </w:r>
          </w:p>
        </w:tc>
      </w:tr>
      <w:tr w:rsidR="00C9789B" w:rsidRPr="00811500" w14:paraId="4F0DF4C6" w14:textId="77777777" w:rsidTr="00DC2E3C">
        <w:trPr>
          <w:cantSplit/>
          <w:trHeight w:val="45"/>
        </w:trPr>
        <w:tc>
          <w:tcPr>
            <w:tcW w:w="1707" w:type="pct"/>
            <w:shd w:val="clear" w:color="auto" w:fill="auto"/>
            <w:tcMar>
              <w:top w:w="85" w:type="dxa"/>
              <w:bottom w:w="85" w:type="dxa"/>
            </w:tcMar>
          </w:tcPr>
          <w:p w14:paraId="18D27C53" w14:textId="77777777" w:rsidR="00C9789B" w:rsidRPr="00811500" w:rsidRDefault="00C9789B" w:rsidP="005A1F7F">
            <w:pPr>
              <w:rPr>
                <w:rFonts w:ascii="Arial" w:hAnsi="Arial" w:cs="Arial"/>
                <w:sz w:val="16"/>
                <w:szCs w:val="16"/>
              </w:rPr>
            </w:pPr>
            <w:r w:rsidRPr="00811500">
              <w:rPr>
                <w:rFonts w:ascii="Arial" w:hAnsi="Arial" w:cs="Arial"/>
                <w:sz w:val="16"/>
                <w:szCs w:val="16"/>
              </w:rPr>
              <w:t>II.3</w:t>
            </w:r>
            <w:r w:rsidRPr="00811500">
              <w:rPr>
                <w:rFonts w:ascii="Arial" w:hAnsi="Arial" w:cs="Arial"/>
                <w:sz w:val="16"/>
                <w:szCs w:val="16"/>
                <w:lang w:eastAsia="zh-CN" w:bidi="th-TH"/>
              </w:rPr>
              <w:t xml:space="preserve"> </w:t>
            </w:r>
            <w:r>
              <w:rPr>
                <w:rFonts w:ascii="Arial" w:hAnsi="Arial" w:cs="Arial"/>
                <w:sz w:val="16"/>
                <w:szCs w:val="16"/>
                <w:lang w:eastAsia="zh-CN" w:bidi="th-TH"/>
              </w:rPr>
              <w:t xml:space="preserve"> </w:t>
            </w:r>
            <w:r w:rsidRPr="00811500">
              <w:rPr>
                <w:rFonts w:ascii="Arial" w:hAnsi="Arial" w:cs="Arial"/>
                <w:sz w:val="16"/>
                <w:szCs w:val="16"/>
                <w:lang w:eastAsia="zh-CN" w:bidi="th-TH"/>
              </w:rPr>
              <w:t>Improved productivity and service quality of PCT operations</w:t>
            </w:r>
          </w:p>
        </w:tc>
        <w:tc>
          <w:tcPr>
            <w:tcW w:w="1952" w:type="pct"/>
            <w:shd w:val="clear" w:color="auto" w:fill="auto"/>
            <w:tcMar>
              <w:top w:w="85" w:type="dxa"/>
              <w:bottom w:w="85" w:type="dxa"/>
            </w:tcMar>
          </w:tcPr>
          <w:p w14:paraId="5DF82AAE" w14:textId="77777777" w:rsidR="00C9789B" w:rsidRDefault="00C9789B" w:rsidP="005A1F7F">
            <w:pPr>
              <w:rPr>
                <w:rFonts w:ascii="Arial" w:hAnsi="Arial" w:cs="Arial"/>
                <w:sz w:val="16"/>
                <w:szCs w:val="16"/>
              </w:rPr>
            </w:pPr>
            <w:r w:rsidRPr="00811500">
              <w:rPr>
                <w:rFonts w:ascii="Arial" w:hAnsi="Arial" w:cs="Arial"/>
                <w:sz w:val="16"/>
                <w:szCs w:val="16"/>
              </w:rPr>
              <w:t xml:space="preserve">Application unit cost </w:t>
            </w:r>
          </w:p>
          <w:p w14:paraId="148A4DB3" w14:textId="77777777" w:rsidR="00C9789B" w:rsidRDefault="00C9789B" w:rsidP="005A1F7F">
            <w:pPr>
              <w:rPr>
                <w:rFonts w:ascii="Arial" w:hAnsi="Arial" w:cs="Arial"/>
                <w:sz w:val="16"/>
                <w:szCs w:val="16"/>
              </w:rPr>
            </w:pPr>
          </w:p>
          <w:p w14:paraId="18D38281"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Aggregate quality of formalities examination (including timeliness)</w:t>
            </w:r>
          </w:p>
        </w:tc>
        <w:tc>
          <w:tcPr>
            <w:tcW w:w="1341" w:type="pct"/>
            <w:shd w:val="clear" w:color="auto" w:fill="FFFFFF"/>
            <w:tcMar>
              <w:top w:w="85" w:type="dxa"/>
              <w:bottom w:w="85" w:type="dxa"/>
            </w:tcMar>
          </w:tcPr>
          <w:p w14:paraId="0542445E" w14:textId="77777777" w:rsidR="00C9789B" w:rsidRDefault="00C9789B" w:rsidP="005A1F7F">
            <w:pPr>
              <w:ind w:left="441"/>
              <w:rPr>
                <w:rFonts w:ascii="Arial" w:hAnsi="Arial" w:cs="Arial"/>
                <w:sz w:val="16"/>
                <w:szCs w:val="16"/>
                <w:lang w:bidi="th-TH"/>
              </w:rPr>
            </w:pPr>
            <w:r w:rsidRPr="00811500">
              <w:rPr>
                <w:rFonts w:ascii="Arial" w:hAnsi="Arial" w:cs="Arial"/>
                <w:sz w:val="16"/>
                <w:szCs w:val="16"/>
                <w:lang w:bidi="th-TH"/>
              </w:rPr>
              <w:t xml:space="preserve">Program 5 </w:t>
            </w:r>
          </w:p>
          <w:p w14:paraId="5A4571C9" w14:textId="77777777" w:rsidR="00C9789B" w:rsidRDefault="00C9789B" w:rsidP="005A1F7F">
            <w:pPr>
              <w:ind w:left="441"/>
              <w:rPr>
                <w:rFonts w:ascii="Arial" w:hAnsi="Arial" w:cs="Arial"/>
                <w:sz w:val="16"/>
                <w:szCs w:val="16"/>
                <w:lang w:bidi="th-TH"/>
              </w:rPr>
            </w:pPr>
          </w:p>
          <w:p w14:paraId="352B093B"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3FFFB477" w14:textId="77777777" w:rsidTr="00DC2E3C">
        <w:trPr>
          <w:cantSplit/>
          <w:trHeight w:val="201"/>
        </w:trPr>
        <w:tc>
          <w:tcPr>
            <w:tcW w:w="1707" w:type="pct"/>
            <w:shd w:val="clear" w:color="auto" w:fill="auto"/>
            <w:tcMar>
              <w:top w:w="85" w:type="dxa"/>
              <w:bottom w:w="85" w:type="dxa"/>
            </w:tcMar>
          </w:tcPr>
          <w:p w14:paraId="65742FB0"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35565206"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Timeliness of Report Translation</w:t>
            </w:r>
          </w:p>
        </w:tc>
        <w:tc>
          <w:tcPr>
            <w:tcW w:w="1341" w:type="pct"/>
            <w:shd w:val="clear" w:color="auto" w:fill="FFFFFF"/>
            <w:tcMar>
              <w:top w:w="85" w:type="dxa"/>
              <w:bottom w:w="85" w:type="dxa"/>
            </w:tcMar>
          </w:tcPr>
          <w:p w14:paraId="4B9576E9"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1EB1C27E" w14:textId="77777777" w:rsidTr="00DC2E3C">
        <w:trPr>
          <w:cantSplit/>
          <w:trHeight w:val="156"/>
        </w:trPr>
        <w:tc>
          <w:tcPr>
            <w:tcW w:w="1707" w:type="pct"/>
            <w:shd w:val="clear" w:color="auto" w:fill="auto"/>
            <w:tcMar>
              <w:top w:w="85" w:type="dxa"/>
              <w:bottom w:w="85" w:type="dxa"/>
            </w:tcMar>
          </w:tcPr>
          <w:p w14:paraId="4FBB21AE"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5907F1FE" w14:textId="77777777" w:rsidR="00C9789B" w:rsidRPr="00811500" w:rsidRDefault="00C9789B" w:rsidP="005A1F7F">
            <w:pPr>
              <w:tabs>
                <w:tab w:val="left" w:pos="1860"/>
              </w:tabs>
              <w:rPr>
                <w:rFonts w:ascii="Arial" w:hAnsi="Arial" w:cs="Arial"/>
                <w:sz w:val="16"/>
                <w:szCs w:val="16"/>
              </w:rPr>
            </w:pPr>
            <w:r w:rsidRPr="002A01BF">
              <w:rPr>
                <w:rFonts w:ascii="Arial" w:eastAsia="SimSun" w:hAnsi="Arial" w:cs="Arial"/>
                <w:color w:val="000000"/>
                <w:sz w:val="16"/>
                <w:szCs w:val="16"/>
              </w:rPr>
              <w:t>Quality of Translation</w:t>
            </w:r>
          </w:p>
        </w:tc>
        <w:tc>
          <w:tcPr>
            <w:tcW w:w="1341" w:type="pct"/>
            <w:shd w:val="clear" w:color="auto" w:fill="FFFFFF"/>
            <w:tcMar>
              <w:top w:w="85" w:type="dxa"/>
              <w:bottom w:w="85" w:type="dxa"/>
            </w:tcMar>
          </w:tcPr>
          <w:p w14:paraId="20DB78B0"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371C03E3" w14:textId="77777777" w:rsidTr="00DC2E3C">
        <w:trPr>
          <w:cantSplit/>
          <w:trHeight w:val="177"/>
        </w:trPr>
        <w:tc>
          <w:tcPr>
            <w:tcW w:w="1707" w:type="pct"/>
            <w:shd w:val="clear" w:color="auto" w:fill="auto"/>
            <w:tcMar>
              <w:top w:w="85" w:type="dxa"/>
              <w:bottom w:w="85" w:type="dxa"/>
            </w:tcMar>
          </w:tcPr>
          <w:p w14:paraId="247F2B59"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3DAECB6D"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Quality of software development (QSD)</w:t>
            </w:r>
          </w:p>
        </w:tc>
        <w:tc>
          <w:tcPr>
            <w:tcW w:w="1341" w:type="pct"/>
            <w:shd w:val="clear" w:color="auto" w:fill="FFFFFF"/>
            <w:tcMar>
              <w:top w:w="85" w:type="dxa"/>
              <w:bottom w:w="85" w:type="dxa"/>
            </w:tcMar>
          </w:tcPr>
          <w:p w14:paraId="75BEE31F"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6553CC05" w14:textId="77777777" w:rsidTr="00DC2E3C">
        <w:trPr>
          <w:cantSplit/>
          <w:trHeight w:val="40"/>
        </w:trPr>
        <w:tc>
          <w:tcPr>
            <w:tcW w:w="1707" w:type="pct"/>
            <w:shd w:val="clear" w:color="auto" w:fill="auto"/>
            <w:tcMar>
              <w:top w:w="85" w:type="dxa"/>
              <w:bottom w:w="85" w:type="dxa"/>
            </w:tcMar>
          </w:tcPr>
          <w:p w14:paraId="48CDFD65" w14:textId="77777777" w:rsidR="00C9789B" w:rsidRPr="00811500" w:rsidRDefault="00C9789B" w:rsidP="005A1F7F">
            <w:pPr>
              <w:rPr>
                <w:rFonts w:ascii="Arial" w:hAnsi="Arial" w:cs="Arial"/>
                <w:sz w:val="16"/>
                <w:szCs w:val="16"/>
              </w:rPr>
            </w:pPr>
          </w:p>
        </w:tc>
        <w:tc>
          <w:tcPr>
            <w:tcW w:w="1952" w:type="pct"/>
            <w:shd w:val="clear" w:color="auto" w:fill="auto"/>
            <w:tcMar>
              <w:top w:w="85" w:type="dxa"/>
              <w:bottom w:w="85" w:type="dxa"/>
            </w:tcMar>
          </w:tcPr>
          <w:p w14:paraId="217EF50B" w14:textId="77777777" w:rsidR="00C9789B" w:rsidRPr="00811500" w:rsidRDefault="00C9789B" w:rsidP="005A1F7F">
            <w:pPr>
              <w:rPr>
                <w:rFonts w:ascii="Arial" w:hAnsi="Arial" w:cs="Arial"/>
                <w:sz w:val="16"/>
                <w:szCs w:val="16"/>
              </w:rPr>
            </w:pPr>
            <w:r w:rsidRPr="002A01BF">
              <w:rPr>
                <w:rFonts w:ascii="Arial" w:eastAsia="SimSun" w:hAnsi="Arial" w:cs="Arial"/>
                <w:color w:val="000000"/>
                <w:sz w:val="16"/>
                <w:szCs w:val="16"/>
              </w:rPr>
              <w:t>Information systems service levels</w:t>
            </w:r>
          </w:p>
        </w:tc>
        <w:tc>
          <w:tcPr>
            <w:tcW w:w="1341" w:type="pct"/>
            <w:shd w:val="clear" w:color="auto" w:fill="FFFFFF"/>
            <w:tcMar>
              <w:top w:w="85" w:type="dxa"/>
              <w:bottom w:w="85" w:type="dxa"/>
            </w:tcMar>
          </w:tcPr>
          <w:p w14:paraId="1E8B694F" w14:textId="77777777" w:rsidR="00C9789B" w:rsidRPr="00811500" w:rsidRDefault="00C9789B" w:rsidP="005A1F7F">
            <w:pPr>
              <w:ind w:left="441"/>
              <w:rPr>
                <w:rFonts w:ascii="Arial" w:hAnsi="Arial" w:cs="Arial"/>
                <w:sz w:val="16"/>
                <w:szCs w:val="16"/>
                <w:lang w:bidi="th-TH"/>
              </w:rPr>
            </w:pPr>
            <w:r w:rsidRPr="00811500">
              <w:rPr>
                <w:rFonts w:ascii="Arial" w:hAnsi="Arial" w:cs="Arial"/>
                <w:sz w:val="16"/>
                <w:szCs w:val="16"/>
                <w:lang w:bidi="th-TH"/>
              </w:rPr>
              <w:t>Program 5</w:t>
            </w:r>
          </w:p>
        </w:tc>
      </w:tr>
      <w:tr w:rsidR="00C9789B" w:rsidRPr="00811500" w14:paraId="2AEF7E7E" w14:textId="77777777" w:rsidTr="00FB68E0">
        <w:trPr>
          <w:cantSplit/>
          <w:trHeight w:val="640"/>
        </w:trPr>
        <w:tc>
          <w:tcPr>
            <w:tcW w:w="1707" w:type="pct"/>
            <w:shd w:val="clear" w:color="auto" w:fill="auto"/>
            <w:tcMar>
              <w:top w:w="85" w:type="dxa"/>
              <w:bottom w:w="85" w:type="dxa"/>
            </w:tcMar>
          </w:tcPr>
          <w:p w14:paraId="5AC6D13A" w14:textId="77777777" w:rsidR="00C9789B" w:rsidRPr="00811500" w:rsidRDefault="00C9789B" w:rsidP="005A1F7F">
            <w:pPr>
              <w:rPr>
                <w:rFonts w:ascii="Arial" w:hAnsi="Arial" w:cs="Arial"/>
                <w:sz w:val="16"/>
                <w:szCs w:val="16"/>
              </w:rPr>
            </w:pPr>
            <w:r w:rsidRPr="00811500">
              <w:rPr>
                <w:rFonts w:ascii="Arial" w:hAnsi="Arial" w:cs="Arial"/>
                <w:sz w:val="16"/>
                <w:szCs w:val="16"/>
              </w:rPr>
              <w:t xml:space="preserve">II.4 </w:t>
            </w:r>
            <w:r>
              <w:rPr>
                <w:rFonts w:ascii="Arial" w:hAnsi="Arial" w:cs="Arial"/>
                <w:sz w:val="16"/>
                <w:szCs w:val="16"/>
              </w:rPr>
              <w:t xml:space="preserve"> </w:t>
            </w:r>
            <w:r w:rsidRPr="00811500">
              <w:rPr>
                <w:rFonts w:ascii="Arial" w:hAnsi="Arial" w:cs="Arial"/>
                <w:sz w:val="16"/>
                <w:szCs w:val="16"/>
              </w:rPr>
              <w:t xml:space="preserve">Wider and </w:t>
            </w:r>
            <w:r>
              <w:rPr>
                <w:rFonts w:ascii="Arial" w:hAnsi="Arial" w:cs="Arial"/>
                <w:sz w:val="16"/>
                <w:szCs w:val="16"/>
              </w:rPr>
              <w:t>more effective</w:t>
            </w:r>
            <w:r w:rsidRPr="00811500">
              <w:rPr>
                <w:rFonts w:ascii="Arial" w:hAnsi="Arial" w:cs="Arial"/>
                <w:sz w:val="16"/>
                <w:szCs w:val="16"/>
              </w:rPr>
              <w:t xml:space="preserve"> use of the Hague system, including by developing countries and LDCs</w:t>
            </w:r>
          </w:p>
        </w:tc>
        <w:tc>
          <w:tcPr>
            <w:tcW w:w="1952" w:type="pct"/>
            <w:shd w:val="clear" w:color="auto" w:fill="auto"/>
            <w:tcMar>
              <w:top w:w="85" w:type="dxa"/>
              <w:bottom w:w="85" w:type="dxa"/>
            </w:tcMar>
          </w:tcPr>
          <w:p w14:paraId="1855901D" w14:textId="77777777" w:rsidR="00C9789B" w:rsidRPr="00D22DE0" w:rsidRDefault="00C9789B" w:rsidP="005A1F7F">
            <w:pPr>
              <w:rPr>
                <w:rFonts w:ascii="Arial" w:hAnsi="Arial" w:cs="Arial"/>
                <w:sz w:val="16"/>
                <w:szCs w:val="16"/>
              </w:rPr>
            </w:pPr>
            <w:r w:rsidRPr="00D22DE0">
              <w:rPr>
                <w:rFonts w:ascii="Arial" w:hAnsi="Arial" w:cs="Arial"/>
                <w:sz w:val="16"/>
                <w:szCs w:val="16"/>
              </w:rPr>
              <w:t>No. of Hague applications originating from</w:t>
            </w:r>
            <w:r>
              <w:rPr>
                <w:rFonts w:ascii="Arial" w:hAnsi="Arial" w:cs="Arial"/>
                <w:sz w:val="16"/>
                <w:szCs w:val="16"/>
              </w:rPr>
              <w:t xml:space="preserve"> developing,</w:t>
            </w:r>
            <w:r w:rsidRPr="00D22DE0">
              <w:rPr>
                <w:rFonts w:ascii="Arial" w:hAnsi="Arial" w:cs="Arial"/>
                <w:sz w:val="16"/>
                <w:szCs w:val="16"/>
              </w:rPr>
              <w:t xml:space="preserve"> transition and developed countries </w:t>
            </w:r>
          </w:p>
          <w:p w14:paraId="31255280" w14:textId="77777777" w:rsidR="00C9789B" w:rsidRPr="00795C1D" w:rsidRDefault="00C9789B" w:rsidP="005A1F7F">
            <w:pPr>
              <w:rPr>
                <w:rFonts w:ascii="Arial" w:hAnsi="Arial" w:cs="Arial"/>
                <w:sz w:val="16"/>
                <w:szCs w:val="16"/>
                <w:highlight w:val="yellow"/>
              </w:rPr>
            </w:pPr>
          </w:p>
        </w:tc>
        <w:tc>
          <w:tcPr>
            <w:tcW w:w="1341" w:type="pct"/>
            <w:shd w:val="clear" w:color="auto" w:fill="FFFFFF"/>
            <w:tcMar>
              <w:top w:w="85" w:type="dxa"/>
              <w:bottom w:w="85" w:type="dxa"/>
            </w:tcMar>
          </w:tcPr>
          <w:p w14:paraId="4ED150A9" w14:textId="77777777" w:rsidR="00255FD8" w:rsidRDefault="00255FD8" w:rsidP="00255FD8">
            <w:pPr>
              <w:ind w:left="441"/>
              <w:rPr>
                <w:rFonts w:ascii="Arial" w:hAnsi="Arial" w:cs="Arial"/>
                <w:sz w:val="16"/>
                <w:szCs w:val="16"/>
                <w:lang w:bidi="th-TH"/>
              </w:rPr>
            </w:pPr>
            <w:r>
              <w:rPr>
                <w:rFonts w:ascii="Arial" w:hAnsi="Arial" w:cs="Arial"/>
                <w:sz w:val="16"/>
                <w:szCs w:val="16"/>
                <w:lang w:bidi="th-TH"/>
              </w:rPr>
              <w:t>Program 9</w:t>
            </w:r>
          </w:p>
          <w:p w14:paraId="7FDACCA4" w14:textId="77777777" w:rsidR="00C9789B" w:rsidRDefault="00C9789B" w:rsidP="005A1F7F">
            <w:pPr>
              <w:ind w:left="441"/>
              <w:rPr>
                <w:rFonts w:ascii="Arial" w:hAnsi="Arial" w:cs="Arial"/>
                <w:sz w:val="16"/>
                <w:szCs w:val="16"/>
                <w:lang w:bidi="th-TH"/>
              </w:rPr>
            </w:pPr>
            <w:r w:rsidRPr="00D22DE0">
              <w:rPr>
                <w:rFonts w:ascii="Arial" w:hAnsi="Arial" w:cs="Arial"/>
                <w:sz w:val="16"/>
                <w:szCs w:val="16"/>
                <w:lang w:bidi="th-TH"/>
              </w:rPr>
              <w:t xml:space="preserve">Program 10 </w:t>
            </w:r>
          </w:p>
          <w:p w14:paraId="07E9AF1C" w14:textId="77777777" w:rsidR="00C9789B" w:rsidRPr="00C40D00" w:rsidRDefault="00C9789B" w:rsidP="005A1F7F">
            <w:pPr>
              <w:ind w:left="441"/>
              <w:rPr>
                <w:rFonts w:ascii="Arial" w:hAnsi="Arial" w:cs="Arial"/>
                <w:sz w:val="16"/>
                <w:szCs w:val="16"/>
                <w:lang w:bidi="th-TH"/>
              </w:rPr>
            </w:pPr>
            <w:r>
              <w:rPr>
                <w:rFonts w:ascii="Arial" w:hAnsi="Arial" w:cs="Arial"/>
                <w:sz w:val="16"/>
                <w:szCs w:val="16"/>
                <w:lang w:bidi="th-TH"/>
              </w:rPr>
              <w:t>Program 20</w:t>
            </w:r>
          </w:p>
        </w:tc>
      </w:tr>
      <w:tr w:rsidR="00CB11FC" w:rsidRPr="00811500" w14:paraId="04223702" w14:textId="77777777" w:rsidTr="00FB68E0">
        <w:trPr>
          <w:cantSplit/>
          <w:trHeight w:val="241"/>
        </w:trPr>
        <w:tc>
          <w:tcPr>
            <w:tcW w:w="1707" w:type="pct"/>
            <w:shd w:val="clear" w:color="auto" w:fill="auto"/>
            <w:tcMar>
              <w:top w:w="85" w:type="dxa"/>
              <w:bottom w:w="85" w:type="dxa"/>
            </w:tcMar>
          </w:tcPr>
          <w:p w14:paraId="40D47FE4"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33B18AF" w14:textId="4E6468EA" w:rsidR="00CB11FC" w:rsidRPr="00795C1D" w:rsidRDefault="00CB11FC" w:rsidP="00CB11FC">
            <w:pPr>
              <w:rPr>
                <w:rFonts w:ascii="Arial" w:hAnsi="Arial" w:cs="Arial"/>
                <w:sz w:val="16"/>
                <w:szCs w:val="16"/>
                <w:highlight w:val="yellow"/>
              </w:rPr>
            </w:pPr>
            <w:r>
              <w:rPr>
                <w:rFonts w:ascii="Arial" w:hAnsi="Arial" w:cs="Arial"/>
                <w:color w:val="000000"/>
                <w:sz w:val="16"/>
                <w:szCs w:val="16"/>
              </w:rPr>
              <w:t xml:space="preserve">Membership of the Geneva (1999) </w:t>
            </w:r>
          </w:p>
        </w:tc>
        <w:tc>
          <w:tcPr>
            <w:tcW w:w="1341" w:type="pct"/>
            <w:shd w:val="clear" w:color="auto" w:fill="FFFFFF"/>
            <w:tcMar>
              <w:top w:w="85" w:type="dxa"/>
              <w:bottom w:w="85" w:type="dxa"/>
            </w:tcMar>
          </w:tcPr>
          <w:p w14:paraId="54D50F0E" w14:textId="77777777" w:rsidR="00CB11FC" w:rsidRDefault="00CB11FC" w:rsidP="00F83FB6">
            <w:pPr>
              <w:ind w:left="441"/>
              <w:rPr>
                <w:rFonts w:ascii="Arial" w:hAnsi="Arial" w:cs="Arial"/>
                <w:sz w:val="16"/>
                <w:szCs w:val="16"/>
                <w:lang w:bidi="th-TH"/>
              </w:rPr>
            </w:pPr>
            <w:r>
              <w:rPr>
                <w:rFonts w:ascii="Arial" w:hAnsi="Arial" w:cs="Arial"/>
                <w:sz w:val="16"/>
                <w:szCs w:val="16"/>
                <w:lang w:bidi="th-TH"/>
              </w:rPr>
              <w:t xml:space="preserve">Program 20 </w:t>
            </w:r>
          </w:p>
          <w:p w14:paraId="7D2EB6A8" w14:textId="7D19ADD3" w:rsidR="00CB11FC" w:rsidRPr="00795C1D" w:rsidRDefault="00CB11FC" w:rsidP="005A1F7F">
            <w:pPr>
              <w:ind w:left="441"/>
              <w:rPr>
                <w:rFonts w:ascii="Arial" w:hAnsi="Arial" w:cs="Arial"/>
                <w:sz w:val="16"/>
                <w:szCs w:val="16"/>
                <w:highlight w:val="yellow"/>
                <w:lang w:bidi="th-TH"/>
              </w:rPr>
            </w:pPr>
            <w:r w:rsidRPr="00811500">
              <w:rPr>
                <w:rFonts w:ascii="Arial" w:hAnsi="Arial" w:cs="Arial"/>
                <w:sz w:val="16"/>
                <w:szCs w:val="16"/>
                <w:lang w:bidi="th-TH"/>
              </w:rPr>
              <w:t>Program 31</w:t>
            </w:r>
          </w:p>
        </w:tc>
      </w:tr>
      <w:tr w:rsidR="00CB11FC" w:rsidRPr="00811500" w14:paraId="69E9F22E" w14:textId="77777777" w:rsidTr="00DC2E3C">
        <w:trPr>
          <w:cantSplit/>
          <w:trHeight w:val="156"/>
        </w:trPr>
        <w:tc>
          <w:tcPr>
            <w:tcW w:w="1707" w:type="pct"/>
            <w:shd w:val="clear" w:color="auto" w:fill="auto"/>
            <w:tcMar>
              <w:top w:w="85" w:type="dxa"/>
              <w:bottom w:w="85" w:type="dxa"/>
            </w:tcMar>
          </w:tcPr>
          <w:p w14:paraId="2FA4F177"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65D01C5F" w14:textId="5B0D2556" w:rsidR="00CB11FC" w:rsidRPr="00795C1D" w:rsidRDefault="00CB11FC" w:rsidP="005A1F7F">
            <w:pPr>
              <w:rPr>
                <w:rFonts w:ascii="Arial" w:hAnsi="Arial" w:cs="Arial"/>
                <w:sz w:val="16"/>
                <w:szCs w:val="16"/>
                <w:highlight w:val="yellow"/>
              </w:rPr>
            </w:pPr>
            <w:r w:rsidRPr="009D2350">
              <w:rPr>
                <w:rFonts w:ascii="Arial" w:hAnsi="Arial" w:cs="Arial"/>
                <w:sz w:val="16"/>
                <w:szCs w:val="16"/>
              </w:rPr>
              <w:t>% of policy makers, government officials, and IP Practitioners and participants in targeted workshops with enhanced understanding of the Hague System</w:t>
            </w:r>
          </w:p>
        </w:tc>
        <w:tc>
          <w:tcPr>
            <w:tcW w:w="1341" w:type="pct"/>
            <w:shd w:val="clear" w:color="auto" w:fill="FFFFFF"/>
            <w:tcMar>
              <w:top w:w="85" w:type="dxa"/>
              <w:bottom w:w="85" w:type="dxa"/>
            </w:tcMar>
          </w:tcPr>
          <w:p w14:paraId="77C20941" w14:textId="225E4B15" w:rsidR="00CB11FC" w:rsidRPr="00795C1D" w:rsidRDefault="00CB11FC" w:rsidP="005A1F7F">
            <w:pPr>
              <w:ind w:left="441"/>
              <w:rPr>
                <w:rFonts w:ascii="Arial" w:hAnsi="Arial" w:cs="Arial"/>
                <w:sz w:val="16"/>
                <w:szCs w:val="16"/>
                <w:highlight w:val="yellow"/>
                <w:lang w:bidi="th-TH"/>
              </w:rPr>
            </w:pPr>
            <w:r w:rsidRPr="00CB11FC">
              <w:rPr>
                <w:rFonts w:ascii="Arial" w:hAnsi="Arial" w:cs="Arial"/>
                <w:sz w:val="16"/>
                <w:szCs w:val="16"/>
                <w:lang w:bidi="th-TH"/>
              </w:rPr>
              <w:t>Program 20</w:t>
            </w:r>
          </w:p>
        </w:tc>
      </w:tr>
      <w:tr w:rsidR="00CB11FC" w:rsidRPr="00811500" w14:paraId="5DF43E9C" w14:textId="77777777" w:rsidTr="00DC2E3C">
        <w:trPr>
          <w:cantSplit/>
          <w:trHeight w:val="332"/>
        </w:trPr>
        <w:tc>
          <w:tcPr>
            <w:tcW w:w="1707" w:type="pct"/>
            <w:shd w:val="clear" w:color="auto" w:fill="auto"/>
            <w:tcMar>
              <w:top w:w="85" w:type="dxa"/>
              <w:bottom w:w="85" w:type="dxa"/>
            </w:tcMar>
          </w:tcPr>
          <w:p w14:paraId="4EFCBA62"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50871C1D" w14:textId="77777777" w:rsidR="00CB11FC" w:rsidRPr="00811500" w:rsidRDefault="00CB11FC" w:rsidP="005A1F7F">
            <w:pPr>
              <w:rPr>
                <w:rFonts w:ascii="Arial" w:hAnsi="Arial" w:cs="Arial"/>
                <w:sz w:val="16"/>
                <w:szCs w:val="16"/>
              </w:rPr>
            </w:pPr>
            <w:r>
              <w:rPr>
                <w:rFonts w:ascii="Arial" w:hAnsi="Arial" w:cs="Arial"/>
                <w:color w:val="000000"/>
                <w:sz w:val="16"/>
                <w:szCs w:val="16"/>
              </w:rPr>
              <w:t>Share of Offices concerned providing information on the Hague System to their users</w:t>
            </w:r>
          </w:p>
        </w:tc>
        <w:tc>
          <w:tcPr>
            <w:tcW w:w="1341" w:type="pct"/>
            <w:shd w:val="clear" w:color="auto" w:fill="FFFFFF"/>
            <w:tcMar>
              <w:top w:w="85" w:type="dxa"/>
              <w:bottom w:w="85" w:type="dxa"/>
            </w:tcMar>
          </w:tcPr>
          <w:p w14:paraId="6A4E6E8E"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70C047AB" w14:textId="77777777" w:rsidTr="00DC2E3C">
        <w:trPr>
          <w:cantSplit/>
          <w:trHeight w:val="178"/>
        </w:trPr>
        <w:tc>
          <w:tcPr>
            <w:tcW w:w="1707" w:type="pct"/>
            <w:shd w:val="clear" w:color="auto" w:fill="auto"/>
            <w:tcMar>
              <w:top w:w="85" w:type="dxa"/>
              <w:bottom w:w="85" w:type="dxa"/>
            </w:tcMar>
          </w:tcPr>
          <w:p w14:paraId="7E12DEA1"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4F3BF46" w14:textId="77777777" w:rsidR="00CB11FC" w:rsidRPr="00811500" w:rsidRDefault="00CB11FC" w:rsidP="005A1F7F">
            <w:pPr>
              <w:rPr>
                <w:rFonts w:ascii="Arial" w:hAnsi="Arial" w:cs="Arial"/>
                <w:sz w:val="16"/>
                <w:szCs w:val="16"/>
              </w:rPr>
            </w:pPr>
            <w:r>
              <w:rPr>
                <w:rFonts w:ascii="Arial" w:hAnsi="Arial" w:cs="Arial"/>
                <w:color w:val="000000"/>
                <w:sz w:val="16"/>
                <w:szCs w:val="16"/>
              </w:rPr>
              <w:t>Hague filings and renewals</w:t>
            </w:r>
          </w:p>
        </w:tc>
        <w:tc>
          <w:tcPr>
            <w:tcW w:w="1341" w:type="pct"/>
            <w:shd w:val="clear" w:color="auto" w:fill="FFFFFF"/>
            <w:tcMar>
              <w:top w:w="85" w:type="dxa"/>
              <w:bottom w:w="85" w:type="dxa"/>
            </w:tcMar>
          </w:tcPr>
          <w:p w14:paraId="05FDB2C8"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04465A22" w14:textId="77777777" w:rsidTr="00DC2E3C">
        <w:trPr>
          <w:cantSplit/>
          <w:trHeight w:val="22"/>
        </w:trPr>
        <w:tc>
          <w:tcPr>
            <w:tcW w:w="1707" w:type="pct"/>
            <w:shd w:val="clear" w:color="auto" w:fill="auto"/>
            <w:tcMar>
              <w:top w:w="85" w:type="dxa"/>
              <w:bottom w:w="85" w:type="dxa"/>
            </w:tcMar>
          </w:tcPr>
          <w:p w14:paraId="1B8A60FC" w14:textId="77777777" w:rsidR="00CB11FC" w:rsidRPr="00811500" w:rsidRDefault="00CB11FC" w:rsidP="005A1F7F">
            <w:pPr>
              <w:rPr>
                <w:rFonts w:ascii="Arial" w:hAnsi="Arial" w:cs="Arial"/>
                <w:sz w:val="16"/>
                <w:szCs w:val="16"/>
              </w:rPr>
            </w:pPr>
            <w:r w:rsidRPr="00811500">
              <w:rPr>
                <w:rFonts w:ascii="Arial" w:hAnsi="Arial" w:cs="Arial"/>
                <w:sz w:val="16"/>
                <w:szCs w:val="16"/>
              </w:rPr>
              <w:t>II.5</w:t>
            </w:r>
            <w:r w:rsidRPr="00811500">
              <w:rPr>
                <w:rFonts w:ascii="Arial" w:hAnsi="Arial" w:cs="Arial"/>
                <w:sz w:val="16"/>
                <w:szCs w:val="16"/>
                <w:lang w:eastAsia="zh-CN" w:bidi="th-TH"/>
              </w:rPr>
              <w:t xml:space="preserve"> </w:t>
            </w:r>
            <w:r>
              <w:rPr>
                <w:rFonts w:ascii="Arial" w:hAnsi="Arial" w:cs="Arial"/>
                <w:sz w:val="16"/>
                <w:szCs w:val="16"/>
                <w:lang w:eastAsia="zh-CN" w:bidi="th-TH"/>
              </w:rPr>
              <w:t xml:space="preserve"> </w:t>
            </w:r>
            <w:r w:rsidRPr="00811500">
              <w:rPr>
                <w:rFonts w:ascii="Arial" w:hAnsi="Arial" w:cs="Arial"/>
                <w:sz w:val="16"/>
                <w:szCs w:val="16"/>
                <w:lang w:eastAsia="zh-CN" w:bidi="th-TH"/>
              </w:rPr>
              <w:t>Improved productivity and service quality of</w:t>
            </w:r>
            <w:r w:rsidRPr="00811500">
              <w:rPr>
                <w:rFonts w:ascii="Arial" w:hAnsi="Arial" w:cs="Arial"/>
                <w:sz w:val="16"/>
                <w:szCs w:val="16"/>
              </w:rPr>
              <w:t xml:space="preserve"> the Hague operations</w:t>
            </w:r>
          </w:p>
        </w:tc>
        <w:tc>
          <w:tcPr>
            <w:tcW w:w="1952" w:type="pct"/>
            <w:shd w:val="clear" w:color="auto" w:fill="auto"/>
            <w:tcMar>
              <w:top w:w="85" w:type="dxa"/>
              <w:bottom w:w="85" w:type="dxa"/>
            </w:tcMar>
          </w:tcPr>
          <w:p w14:paraId="26B772BF" w14:textId="77777777" w:rsidR="00CB11FC" w:rsidRPr="00811500" w:rsidRDefault="00CB11FC" w:rsidP="005A1F7F">
            <w:pPr>
              <w:rPr>
                <w:rFonts w:ascii="Arial" w:hAnsi="Arial" w:cs="Arial"/>
                <w:sz w:val="16"/>
                <w:szCs w:val="16"/>
              </w:rPr>
            </w:pPr>
            <w:r>
              <w:rPr>
                <w:rFonts w:ascii="Arial" w:hAnsi="Arial" w:cs="Arial"/>
                <w:color w:val="000000"/>
                <w:sz w:val="16"/>
                <w:szCs w:val="16"/>
              </w:rPr>
              <w:t>Predominance of the Geneva (1999) Act in the Hague System</w:t>
            </w:r>
          </w:p>
        </w:tc>
        <w:tc>
          <w:tcPr>
            <w:tcW w:w="1341" w:type="pct"/>
            <w:shd w:val="clear" w:color="auto" w:fill="FFFFFF"/>
            <w:tcMar>
              <w:top w:w="85" w:type="dxa"/>
              <w:bottom w:w="85" w:type="dxa"/>
            </w:tcMar>
          </w:tcPr>
          <w:p w14:paraId="66B9E300"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4C8B20FB" w14:textId="77777777" w:rsidTr="00DC2E3C">
        <w:trPr>
          <w:cantSplit/>
          <w:trHeight w:val="448"/>
        </w:trPr>
        <w:tc>
          <w:tcPr>
            <w:tcW w:w="1707" w:type="pct"/>
            <w:shd w:val="clear" w:color="auto" w:fill="auto"/>
            <w:tcMar>
              <w:top w:w="85" w:type="dxa"/>
              <w:bottom w:w="85" w:type="dxa"/>
            </w:tcMar>
          </w:tcPr>
          <w:p w14:paraId="19FC89BE" w14:textId="77777777" w:rsidR="00CB11FC" w:rsidRPr="00811500" w:rsidRDefault="00CB11FC" w:rsidP="005A1F7F">
            <w:pPr>
              <w:tabs>
                <w:tab w:val="right" w:pos="2835"/>
              </w:tabs>
              <w:spacing w:after="60"/>
              <w:rPr>
                <w:rFonts w:ascii="Arial" w:hAnsi="Arial" w:cs="Arial"/>
                <w:sz w:val="16"/>
                <w:szCs w:val="16"/>
              </w:rPr>
            </w:pPr>
          </w:p>
        </w:tc>
        <w:tc>
          <w:tcPr>
            <w:tcW w:w="1952" w:type="pct"/>
            <w:shd w:val="clear" w:color="auto" w:fill="auto"/>
            <w:tcMar>
              <w:top w:w="85" w:type="dxa"/>
              <w:bottom w:w="85" w:type="dxa"/>
            </w:tcMar>
          </w:tcPr>
          <w:p w14:paraId="083D0B21" w14:textId="77777777" w:rsidR="00CB11FC" w:rsidRPr="00811500" w:rsidRDefault="00CB11FC" w:rsidP="005A1F7F">
            <w:pPr>
              <w:rPr>
                <w:rFonts w:ascii="Arial" w:hAnsi="Arial" w:cs="Arial"/>
                <w:sz w:val="16"/>
                <w:szCs w:val="16"/>
              </w:rPr>
            </w:pPr>
            <w:r>
              <w:rPr>
                <w:rFonts w:ascii="Arial" w:hAnsi="Arial" w:cs="Arial"/>
                <w:color w:val="000000"/>
                <w:sz w:val="16"/>
                <w:szCs w:val="16"/>
              </w:rPr>
              <w:t>Processes and procedures adapted to geographical and legal evolution of the system</w:t>
            </w:r>
          </w:p>
        </w:tc>
        <w:tc>
          <w:tcPr>
            <w:tcW w:w="1341" w:type="pct"/>
            <w:shd w:val="clear" w:color="auto" w:fill="FFFFFF"/>
            <w:tcMar>
              <w:top w:w="85" w:type="dxa"/>
              <w:bottom w:w="85" w:type="dxa"/>
            </w:tcMar>
          </w:tcPr>
          <w:p w14:paraId="28E0A0F2"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63375291" w14:textId="77777777" w:rsidTr="00DC2E3C">
        <w:trPr>
          <w:cantSplit/>
          <w:trHeight w:val="411"/>
        </w:trPr>
        <w:tc>
          <w:tcPr>
            <w:tcW w:w="1707" w:type="pct"/>
            <w:shd w:val="clear" w:color="auto" w:fill="auto"/>
            <w:tcMar>
              <w:top w:w="85" w:type="dxa"/>
              <w:bottom w:w="85" w:type="dxa"/>
            </w:tcMar>
          </w:tcPr>
          <w:p w14:paraId="107D1873"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A1FB065" w14:textId="77777777" w:rsidR="00CB11FC" w:rsidRPr="00811500" w:rsidRDefault="00CB11FC" w:rsidP="005A1F7F">
            <w:pPr>
              <w:rPr>
                <w:rFonts w:ascii="Arial" w:hAnsi="Arial" w:cs="Arial"/>
                <w:sz w:val="16"/>
                <w:szCs w:val="16"/>
              </w:rPr>
            </w:pPr>
            <w:r>
              <w:rPr>
                <w:rFonts w:ascii="Arial" w:hAnsi="Arial" w:cs="Arial"/>
                <w:color w:val="000000"/>
                <w:sz w:val="16"/>
                <w:szCs w:val="16"/>
              </w:rPr>
              <w:t>Progress towards the enhancement of the legal framework</w:t>
            </w:r>
          </w:p>
        </w:tc>
        <w:tc>
          <w:tcPr>
            <w:tcW w:w="1341" w:type="pct"/>
            <w:shd w:val="clear" w:color="auto" w:fill="FFFFFF"/>
            <w:tcMar>
              <w:top w:w="85" w:type="dxa"/>
              <w:bottom w:w="85" w:type="dxa"/>
            </w:tcMar>
          </w:tcPr>
          <w:p w14:paraId="1CBEEA83"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5977C070" w14:textId="77777777" w:rsidTr="00DC2E3C">
        <w:trPr>
          <w:cantSplit/>
          <w:trHeight w:val="324"/>
        </w:trPr>
        <w:tc>
          <w:tcPr>
            <w:tcW w:w="1707" w:type="pct"/>
            <w:shd w:val="clear" w:color="auto" w:fill="auto"/>
            <w:tcMar>
              <w:top w:w="85" w:type="dxa"/>
              <w:bottom w:w="85" w:type="dxa"/>
            </w:tcMar>
          </w:tcPr>
          <w:p w14:paraId="5C67809B"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09BDA4C9" w14:textId="77777777" w:rsidR="00CB11FC" w:rsidRPr="00811500" w:rsidRDefault="00CB11FC" w:rsidP="005A1F7F">
            <w:pPr>
              <w:rPr>
                <w:rFonts w:ascii="Arial" w:hAnsi="Arial" w:cs="Arial"/>
                <w:sz w:val="16"/>
                <w:szCs w:val="16"/>
              </w:rPr>
            </w:pPr>
            <w:r>
              <w:rPr>
                <w:rFonts w:ascii="Arial" w:hAnsi="Arial" w:cs="Arial"/>
                <w:color w:val="000000"/>
                <w:sz w:val="16"/>
                <w:szCs w:val="16"/>
              </w:rPr>
              <w:t>Improved operation of the Hague Registry, including electronic processes and procedures</w:t>
            </w:r>
          </w:p>
        </w:tc>
        <w:tc>
          <w:tcPr>
            <w:tcW w:w="1341" w:type="pct"/>
            <w:shd w:val="clear" w:color="auto" w:fill="FFFFFF"/>
            <w:tcMar>
              <w:top w:w="85" w:type="dxa"/>
              <w:bottom w:w="85" w:type="dxa"/>
            </w:tcMar>
          </w:tcPr>
          <w:p w14:paraId="4B676AC4"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31</w:t>
            </w:r>
          </w:p>
        </w:tc>
      </w:tr>
      <w:tr w:rsidR="00CB11FC" w:rsidRPr="00811500" w14:paraId="2372023F" w14:textId="77777777" w:rsidTr="00DC2E3C">
        <w:trPr>
          <w:cantSplit/>
          <w:trHeight w:val="149"/>
        </w:trPr>
        <w:tc>
          <w:tcPr>
            <w:tcW w:w="1707" w:type="pct"/>
            <w:shd w:val="clear" w:color="auto" w:fill="auto"/>
            <w:tcMar>
              <w:top w:w="85" w:type="dxa"/>
              <w:bottom w:w="85" w:type="dxa"/>
            </w:tcMar>
          </w:tcPr>
          <w:p w14:paraId="621E5D5B"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1F04FA3" w14:textId="77777777" w:rsidR="00CB11FC" w:rsidRPr="00811500" w:rsidRDefault="00CB11FC" w:rsidP="005A1F7F">
            <w:pPr>
              <w:rPr>
                <w:rFonts w:ascii="Arial" w:hAnsi="Arial" w:cs="Arial"/>
                <w:sz w:val="16"/>
                <w:szCs w:val="16"/>
              </w:rPr>
            </w:pPr>
            <w:r>
              <w:rPr>
                <w:rFonts w:ascii="Arial" w:hAnsi="Arial" w:cs="Arial"/>
                <w:color w:val="000000"/>
                <w:sz w:val="16"/>
                <w:szCs w:val="16"/>
              </w:rPr>
              <w:t>Flexibility of data recorded in the International Register</w:t>
            </w:r>
          </w:p>
        </w:tc>
        <w:tc>
          <w:tcPr>
            <w:tcW w:w="1341" w:type="pct"/>
            <w:shd w:val="clear" w:color="auto" w:fill="FFFFFF"/>
            <w:tcMar>
              <w:top w:w="85" w:type="dxa"/>
              <w:bottom w:w="85" w:type="dxa"/>
            </w:tcMar>
          </w:tcPr>
          <w:p w14:paraId="3B2C096A"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31</w:t>
            </w:r>
          </w:p>
        </w:tc>
      </w:tr>
      <w:tr w:rsidR="00CB11FC" w:rsidRPr="00811500" w14:paraId="6E1C4FC9" w14:textId="77777777" w:rsidTr="00DC2E3C">
        <w:trPr>
          <w:cantSplit/>
          <w:trHeight w:val="149"/>
        </w:trPr>
        <w:tc>
          <w:tcPr>
            <w:tcW w:w="1707" w:type="pct"/>
            <w:shd w:val="clear" w:color="auto" w:fill="auto"/>
            <w:tcMar>
              <w:top w:w="85" w:type="dxa"/>
              <w:bottom w:w="85" w:type="dxa"/>
            </w:tcMar>
          </w:tcPr>
          <w:p w14:paraId="67CD0373"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F0A4771" w14:textId="77777777" w:rsidR="00CB11FC" w:rsidRDefault="00CB11FC" w:rsidP="005A1F7F">
            <w:pPr>
              <w:rPr>
                <w:rFonts w:ascii="Arial" w:hAnsi="Arial" w:cs="Arial"/>
                <w:color w:val="000000"/>
                <w:sz w:val="16"/>
                <w:szCs w:val="16"/>
              </w:rPr>
            </w:pPr>
            <w:r w:rsidRPr="009E67A2">
              <w:rPr>
                <w:rFonts w:ascii="Arial" w:hAnsi="Arial" w:cs="Arial"/>
                <w:color w:val="000000"/>
                <w:sz w:val="16"/>
                <w:szCs w:val="16"/>
              </w:rPr>
              <w:t>Stable provision of evolving the Hague back office IT services</w:t>
            </w:r>
          </w:p>
        </w:tc>
        <w:tc>
          <w:tcPr>
            <w:tcW w:w="1341" w:type="pct"/>
            <w:shd w:val="clear" w:color="auto" w:fill="FFFFFF"/>
            <w:tcMar>
              <w:top w:w="85" w:type="dxa"/>
              <w:bottom w:w="85" w:type="dxa"/>
            </w:tcMar>
          </w:tcPr>
          <w:p w14:paraId="08638CC6"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31</w:t>
            </w:r>
          </w:p>
        </w:tc>
      </w:tr>
      <w:tr w:rsidR="00CB11FC" w:rsidRPr="00811500" w14:paraId="4D2C7AF8" w14:textId="77777777" w:rsidTr="00DC2E3C">
        <w:trPr>
          <w:cantSplit/>
          <w:trHeight w:val="303"/>
        </w:trPr>
        <w:tc>
          <w:tcPr>
            <w:tcW w:w="1707" w:type="pct"/>
            <w:shd w:val="clear" w:color="auto" w:fill="auto"/>
            <w:tcMar>
              <w:top w:w="85" w:type="dxa"/>
              <w:bottom w:w="85" w:type="dxa"/>
            </w:tcMar>
          </w:tcPr>
          <w:p w14:paraId="4F2DB347"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7437BCB" w14:textId="77777777" w:rsidR="00CB11FC" w:rsidRDefault="00CB11FC" w:rsidP="005A1F7F">
            <w:pPr>
              <w:rPr>
                <w:rFonts w:ascii="Arial" w:hAnsi="Arial" w:cs="Arial"/>
                <w:color w:val="000000"/>
                <w:sz w:val="16"/>
                <w:szCs w:val="16"/>
              </w:rPr>
            </w:pPr>
            <w:r w:rsidRPr="009E67A2">
              <w:rPr>
                <w:rFonts w:ascii="Arial" w:hAnsi="Arial" w:cs="Arial"/>
                <w:color w:val="000000"/>
                <w:sz w:val="16"/>
                <w:szCs w:val="16"/>
              </w:rPr>
              <w:t>Flexibility of data recorded in the International Register</w:t>
            </w:r>
          </w:p>
        </w:tc>
        <w:tc>
          <w:tcPr>
            <w:tcW w:w="1341" w:type="pct"/>
            <w:shd w:val="clear" w:color="auto" w:fill="FFFFFF"/>
            <w:tcMar>
              <w:top w:w="85" w:type="dxa"/>
              <w:bottom w:w="85" w:type="dxa"/>
            </w:tcMar>
          </w:tcPr>
          <w:p w14:paraId="62F0DBC8"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31</w:t>
            </w:r>
          </w:p>
        </w:tc>
      </w:tr>
      <w:tr w:rsidR="00CB11FC" w:rsidRPr="00811500" w14:paraId="21C809D8" w14:textId="77777777" w:rsidTr="00DC2E3C">
        <w:trPr>
          <w:cantSplit/>
          <w:trHeight w:val="149"/>
        </w:trPr>
        <w:tc>
          <w:tcPr>
            <w:tcW w:w="1707" w:type="pct"/>
            <w:shd w:val="clear" w:color="auto" w:fill="auto"/>
            <w:tcMar>
              <w:top w:w="85" w:type="dxa"/>
              <w:bottom w:w="85" w:type="dxa"/>
            </w:tcMar>
          </w:tcPr>
          <w:p w14:paraId="3E766AD7"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5FED7F6A" w14:textId="77777777" w:rsidR="00CB11FC" w:rsidRDefault="00CB11FC" w:rsidP="005A1F7F">
            <w:pPr>
              <w:rPr>
                <w:rFonts w:ascii="Arial" w:hAnsi="Arial" w:cs="Arial"/>
                <w:color w:val="000000"/>
                <w:sz w:val="16"/>
                <w:szCs w:val="16"/>
              </w:rPr>
            </w:pPr>
            <w:r w:rsidRPr="009E67A2">
              <w:rPr>
                <w:rFonts w:ascii="Arial" w:hAnsi="Arial" w:cs="Arial"/>
                <w:color w:val="000000"/>
                <w:sz w:val="16"/>
                <w:szCs w:val="16"/>
              </w:rPr>
              <w:t>3 deployed versions of DIRIS and 3 deployed versions of Hague e-Filing</w:t>
            </w:r>
          </w:p>
        </w:tc>
        <w:tc>
          <w:tcPr>
            <w:tcW w:w="1341" w:type="pct"/>
            <w:shd w:val="clear" w:color="auto" w:fill="FFFFFF"/>
            <w:tcMar>
              <w:top w:w="85" w:type="dxa"/>
              <w:bottom w:w="85" w:type="dxa"/>
            </w:tcMar>
          </w:tcPr>
          <w:p w14:paraId="353DE006"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31</w:t>
            </w:r>
          </w:p>
        </w:tc>
      </w:tr>
      <w:tr w:rsidR="00CB11FC" w:rsidRPr="00811500" w14:paraId="78F1EC49" w14:textId="77777777" w:rsidTr="00DC2E3C">
        <w:trPr>
          <w:cantSplit/>
          <w:trHeight w:val="149"/>
        </w:trPr>
        <w:tc>
          <w:tcPr>
            <w:tcW w:w="1707" w:type="pct"/>
            <w:shd w:val="clear" w:color="auto" w:fill="auto"/>
            <w:tcMar>
              <w:top w:w="85" w:type="dxa"/>
              <w:bottom w:w="85" w:type="dxa"/>
            </w:tcMar>
          </w:tcPr>
          <w:p w14:paraId="122E57C6" w14:textId="77777777" w:rsidR="00CB11FC" w:rsidRPr="00811500" w:rsidRDefault="00CB11FC" w:rsidP="005A1F7F">
            <w:pPr>
              <w:rPr>
                <w:rFonts w:ascii="Arial" w:hAnsi="Arial" w:cs="Arial"/>
                <w:sz w:val="16"/>
                <w:szCs w:val="16"/>
              </w:rPr>
            </w:pPr>
            <w:r>
              <w:rPr>
                <w:rFonts w:ascii="Arial" w:hAnsi="Arial" w:cs="Arial"/>
                <w:color w:val="000000"/>
                <w:sz w:val="16"/>
                <w:szCs w:val="16"/>
              </w:rPr>
              <w:t>II.6  Wider and more effective use of the Madrid &amp; Lisbon systems, including by developing countries and LDCs</w:t>
            </w:r>
          </w:p>
        </w:tc>
        <w:tc>
          <w:tcPr>
            <w:tcW w:w="1952" w:type="pct"/>
            <w:shd w:val="clear" w:color="auto" w:fill="auto"/>
            <w:tcMar>
              <w:top w:w="85" w:type="dxa"/>
              <w:bottom w:w="85" w:type="dxa"/>
            </w:tcMar>
          </w:tcPr>
          <w:p w14:paraId="16E9F22B" w14:textId="77777777" w:rsidR="00CB11FC" w:rsidRDefault="00CB11FC" w:rsidP="005A1F7F">
            <w:pPr>
              <w:rPr>
                <w:rFonts w:ascii="Arial" w:hAnsi="Arial" w:cs="Arial"/>
                <w:color w:val="000000"/>
                <w:sz w:val="16"/>
                <w:szCs w:val="16"/>
              </w:rPr>
            </w:pPr>
            <w:r>
              <w:rPr>
                <w:rFonts w:ascii="Arial" w:hAnsi="Arial" w:cs="Arial"/>
                <w:color w:val="000000"/>
                <w:sz w:val="16"/>
                <w:szCs w:val="16"/>
              </w:rPr>
              <w:t>Total Membership of the Madrid System</w:t>
            </w:r>
            <w:r>
              <w:rPr>
                <w:rFonts w:ascii="Arial" w:hAnsi="Arial" w:cs="Arial"/>
                <w:color w:val="000000"/>
                <w:sz w:val="16"/>
                <w:szCs w:val="16"/>
              </w:rPr>
              <w:br/>
            </w:r>
          </w:p>
          <w:p w14:paraId="27FC07AE" w14:textId="77777777" w:rsidR="00CB11FC" w:rsidRDefault="00CB11FC" w:rsidP="005A1F7F">
            <w:pPr>
              <w:rPr>
                <w:rFonts w:ascii="Arial" w:hAnsi="Arial" w:cs="Arial"/>
                <w:color w:val="000000"/>
                <w:sz w:val="16"/>
                <w:szCs w:val="16"/>
              </w:rPr>
            </w:pPr>
          </w:p>
          <w:p w14:paraId="0ABF7090" w14:textId="3A0B9568" w:rsidR="00CB11FC" w:rsidRDefault="00CB11FC" w:rsidP="005A1F7F">
            <w:pPr>
              <w:rPr>
                <w:rFonts w:ascii="Arial" w:hAnsi="Arial" w:cs="Arial"/>
                <w:color w:val="000000"/>
                <w:sz w:val="16"/>
                <w:szCs w:val="16"/>
              </w:rPr>
            </w:pPr>
            <w:r>
              <w:rPr>
                <w:rFonts w:ascii="Arial" w:hAnsi="Arial" w:cs="Arial"/>
                <w:color w:val="000000"/>
                <w:sz w:val="16"/>
                <w:szCs w:val="16"/>
              </w:rPr>
              <w:t>Market share (i.e., national route versus Madrid route)</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6D4DE953" w14:textId="77777777" w:rsidR="00CB11FC"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p w14:paraId="60FD0B03" w14:textId="77777777" w:rsidR="00CB11FC" w:rsidRDefault="00CB11FC" w:rsidP="005A1F7F">
            <w:pPr>
              <w:ind w:left="441"/>
              <w:rPr>
                <w:rFonts w:ascii="Arial" w:hAnsi="Arial" w:cs="Arial"/>
                <w:sz w:val="16"/>
                <w:szCs w:val="16"/>
                <w:lang w:bidi="th-TH"/>
              </w:rPr>
            </w:pPr>
            <w:r>
              <w:rPr>
                <w:rFonts w:ascii="Arial" w:hAnsi="Arial" w:cs="Arial"/>
                <w:sz w:val="16"/>
                <w:szCs w:val="16"/>
                <w:lang w:bidi="th-TH"/>
              </w:rPr>
              <w:t>Program 20</w:t>
            </w:r>
            <w:r w:rsidRPr="00811500">
              <w:rPr>
                <w:rFonts w:ascii="Arial" w:hAnsi="Arial" w:cs="Arial"/>
                <w:sz w:val="16"/>
                <w:szCs w:val="16"/>
                <w:lang w:bidi="th-TH"/>
              </w:rPr>
              <w:t xml:space="preserve"> </w:t>
            </w:r>
          </w:p>
          <w:p w14:paraId="669C67A6" w14:textId="77777777" w:rsidR="00CB11FC" w:rsidRDefault="00CB11FC" w:rsidP="005A1F7F">
            <w:pPr>
              <w:ind w:left="441"/>
              <w:rPr>
                <w:rFonts w:ascii="Arial" w:hAnsi="Arial" w:cs="Arial"/>
                <w:sz w:val="16"/>
                <w:szCs w:val="16"/>
                <w:lang w:bidi="th-TH"/>
              </w:rPr>
            </w:pPr>
          </w:p>
          <w:p w14:paraId="19414B49"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2D6E6B82" w14:textId="77777777" w:rsidTr="00DC2E3C">
        <w:trPr>
          <w:cantSplit/>
          <w:trHeight w:val="95"/>
        </w:trPr>
        <w:tc>
          <w:tcPr>
            <w:tcW w:w="1707" w:type="pct"/>
            <w:shd w:val="clear" w:color="auto" w:fill="auto"/>
            <w:tcMar>
              <w:top w:w="85" w:type="dxa"/>
              <w:bottom w:w="85" w:type="dxa"/>
            </w:tcMar>
          </w:tcPr>
          <w:p w14:paraId="74029245"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1B25488" w14:textId="75F54D7C" w:rsidR="00CB11FC" w:rsidRPr="00811500" w:rsidRDefault="00CB11FC" w:rsidP="005A1F7F">
            <w:pPr>
              <w:rPr>
                <w:rFonts w:ascii="Arial" w:hAnsi="Arial" w:cs="Arial"/>
                <w:sz w:val="16"/>
                <w:szCs w:val="16"/>
              </w:rPr>
            </w:pPr>
            <w:r>
              <w:rPr>
                <w:rFonts w:ascii="Arial" w:hAnsi="Arial" w:cs="Arial"/>
                <w:color w:val="000000"/>
                <w:sz w:val="16"/>
                <w:szCs w:val="16"/>
              </w:rPr>
              <w:t>Filing rate</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5161BBCC"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6BE4F04" w14:textId="77777777" w:rsidTr="00DC2E3C">
        <w:trPr>
          <w:cantSplit/>
          <w:trHeight w:val="95"/>
        </w:trPr>
        <w:tc>
          <w:tcPr>
            <w:tcW w:w="1707" w:type="pct"/>
            <w:shd w:val="clear" w:color="auto" w:fill="auto"/>
            <w:tcMar>
              <w:top w:w="85" w:type="dxa"/>
              <w:bottom w:w="85" w:type="dxa"/>
            </w:tcMar>
          </w:tcPr>
          <w:p w14:paraId="001F315F"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7B5C681" w14:textId="31754F1F" w:rsidR="00CB11FC" w:rsidRPr="00811500" w:rsidRDefault="00CB11FC" w:rsidP="005A1F7F">
            <w:pPr>
              <w:rPr>
                <w:rFonts w:ascii="Arial" w:hAnsi="Arial" w:cs="Arial"/>
                <w:sz w:val="16"/>
                <w:szCs w:val="16"/>
              </w:rPr>
            </w:pPr>
            <w:r>
              <w:rPr>
                <w:rFonts w:ascii="Arial" w:hAnsi="Arial" w:cs="Arial"/>
                <w:color w:val="000000"/>
                <w:sz w:val="16"/>
                <w:szCs w:val="16"/>
              </w:rPr>
              <w:t xml:space="preserve">Registrations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238D1729"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17C7312E" w14:textId="77777777" w:rsidTr="00DC2E3C">
        <w:trPr>
          <w:cantSplit/>
          <w:trHeight w:val="121"/>
        </w:trPr>
        <w:tc>
          <w:tcPr>
            <w:tcW w:w="1707" w:type="pct"/>
            <w:shd w:val="clear" w:color="auto" w:fill="auto"/>
            <w:tcMar>
              <w:top w:w="85" w:type="dxa"/>
              <w:bottom w:w="85" w:type="dxa"/>
            </w:tcMar>
          </w:tcPr>
          <w:p w14:paraId="7DEA4575"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1F77A732" w14:textId="69ED8A0A" w:rsidR="00CB11FC" w:rsidRDefault="00CB11FC" w:rsidP="005A1F7F">
            <w:pPr>
              <w:rPr>
                <w:rFonts w:ascii="Arial" w:hAnsi="Arial" w:cs="Arial"/>
                <w:color w:val="000000"/>
                <w:sz w:val="16"/>
                <w:szCs w:val="16"/>
              </w:rPr>
            </w:pPr>
            <w:r>
              <w:rPr>
                <w:rFonts w:ascii="Arial" w:hAnsi="Arial" w:cs="Arial"/>
                <w:color w:val="000000"/>
                <w:sz w:val="16"/>
                <w:szCs w:val="16"/>
              </w:rPr>
              <w:t xml:space="preserve">Renewals </w:t>
            </w:r>
            <w:r w:rsidR="007B4126">
              <w:rPr>
                <w:rFonts w:ascii="Arial" w:eastAsia="Times New Roman" w:hAnsi="Arial" w:cs="Arial"/>
                <w:color w:val="000000"/>
                <w:sz w:val="16"/>
                <w:szCs w:val="16"/>
              </w:rPr>
              <w:t xml:space="preserve">(Madrid) </w:t>
            </w:r>
          </w:p>
        </w:tc>
        <w:tc>
          <w:tcPr>
            <w:tcW w:w="1341" w:type="pct"/>
            <w:shd w:val="clear" w:color="auto" w:fill="FFFFFF"/>
            <w:tcMar>
              <w:top w:w="85" w:type="dxa"/>
              <w:bottom w:w="85" w:type="dxa"/>
            </w:tcMar>
          </w:tcPr>
          <w:p w14:paraId="4C55EF39"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556A79A1" w14:textId="77777777" w:rsidTr="00DC2E3C">
        <w:trPr>
          <w:cantSplit/>
          <w:trHeight w:val="141"/>
        </w:trPr>
        <w:tc>
          <w:tcPr>
            <w:tcW w:w="1707" w:type="pct"/>
            <w:shd w:val="clear" w:color="auto" w:fill="auto"/>
            <w:tcMar>
              <w:top w:w="85" w:type="dxa"/>
              <w:bottom w:w="85" w:type="dxa"/>
            </w:tcMar>
          </w:tcPr>
          <w:p w14:paraId="4FB67286"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5545D17" w14:textId="133EC7FE" w:rsidR="00CB11FC" w:rsidRDefault="00CB11FC" w:rsidP="005A1F7F">
            <w:pPr>
              <w:rPr>
                <w:rFonts w:ascii="Arial" w:hAnsi="Arial" w:cs="Arial"/>
                <w:color w:val="000000"/>
                <w:sz w:val="16"/>
                <w:szCs w:val="16"/>
              </w:rPr>
            </w:pPr>
            <w:r>
              <w:rPr>
                <w:rFonts w:ascii="Arial" w:hAnsi="Arial" w:cs="Arial"/>
                <w:color w:val="000000"/>
                <w:sz w:val="16"/>
                <w:szCs w:val="16"/>
              </w:rPr>
              <w:t>Total no. of registrations</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3084101A"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260686A8" w14:textId="77777777" w:rsidTr="00DC2E3C">
        <w:trPr>
          <w:cantSplit/>
          <w:trHeight w:val="121"/>
        </w:trPr>
        <w:tc>
          <w:tcPr>
            <w:tcW w:w="1707" w:type="pct"/>
            <w:shd w:val="clear" w:color="auto" w:fill="auto"/>
            <w:tcMar>
              <w:top w:w="85" w:type="dxa"/>
              <w:bottom w:w="85" w:type="dxa"/>
            </w:tcMar>
          </w:tcPr>
          <w:p w14:paraId="70C8FA90"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694167C9" w14:textId="72F2B6BB" w:rsidR="00CB11FC" w:rsidRPr="00811500" w:rsidRDefault="00CB11FC" w:rsidP="005A1F7F">
            <w:pPr>
              <w:rPr>
                <w:rFonts w:ascii="Arial" w:hAnsi="Arial" w:cs="Arial"/>
                <w:sz w:val="16"/>
                <w:szCs w:val="16"/>
              </w:rPr>
            </w:pPr>
            <w:r>
              <w:rPr>
                <w:rFonts w:ascii="Arial" w:hAnsi="Arial" w:cs="Arial"/>
                <w:color w:val="000000"/>
                <w:sz w:val="16"/>
                <w:szCs w:val="16"/>
              </w:rPr>
              <w:t>Total no. of designations</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0D37856E"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35760DC3" w14:textId="77777777" w:rsidTr="00DC2E3C">
        <w:trPr>
          <w:cantSplit/>
          <w:trHeight w:val="197"/>
        </w:trPr>
        <w:tc>
          <w:tcPr>
            <w:tcW w:w="1707" w:type="pct"/>
            <w:shd w:val="clear" w:color="auto" w:fill="auto"/>
            <w:tcMar>
              <w:top w:w="85" w:type="dxa"/>
              <w:bottom w:w="85" w:type="dxa"/>
            </w:tcMar>
          </w:tcPr>
          <w:p w14:paraId="6368AFA0"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22669BD" w14:textId="4933F6D3" w:rsidR="00CB11FC" w:rsidRPr="00811500" w:rsidRDefault="00CB11FC" w:rsidP="005A1F7F">
            <w:pPr>
              <w:rPr>
                <w:rFonts w:ascii="Arial" w:hAnsi="Arial" w:cs="Arial"/>
                <w:sz w:val="16"/>
                <w:szCs w:val="16"/>
              </w:rPr>
            </w:pPr>
            <w:r>
              <w:rPr>
                <w:rFonts w:ascii="Arial" w:hAnsi="Arial" w:cs="Arial"/>
                <w:color w:val="000000"/>
                <w:sz w:val="16"/>
                <w:szCs w:val="16"/>
              </w:rPr>
              <w:t>Irregularity rate (Article 12 and 13)</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56B33E9E"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18E8C14" w14:textId="77777777" w:rsidTr="00DC2E3C">
        <w:trPr>
          <w:cantSplit/>
          <w:trHeight w:val="347"/>
        </w:trPr>
        <w:tc>
          <w:tcPr>
            <w:tcW w:w="1707" w:type="pct"/>
            <w:shd w:val="clear" w:color="auto" w:fill="auto"/>
            <w:tcMar>
              <w:top w:w="85" w:type="dxa"/>
              <w:bottom w:w="85" w:type="dxa"/>
            </w:tcMar>
          </w:tcPr>
          <w:p w14:paraId="0CFACDEE"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0CBAE002" w14:textId="77777777" w:rsidR="00CB11FC" w:rsidRPr="00811500" w:rsidRDefault="00CB11FC" w:rsidP="005A1F7F">
            <w:pPr>
              <w:rPr>
                <w:rFonts w:ascii="Arial" w:hAnsi="Arial" w:cs="Arial"/>
                <w:sz w:val="16"/>
                <w:szCs w:val="16"/>
              </w:rPr>
            </w:pPr>
            <w:r>
              <w:rPr>
                <w:rFonts w:ascii="Arial" w:hAnsi="Arial" w:cs="Arial"/>
                <w:color w:val="000000"/>
                <w:sz w:val="16"/>
                <w:szCs w:val="16"/>
              </w:rPr>
              <w:t>Functional improvements to the Madrid System</w:t>
            </w:r>
          </w:p>
        </w:tc>
        <w:tc>
          <w:tcPr>
            <w:tcW w:w="1341" w:type="pct"/>
            <w:shd w:val="clear" w:color="auto" w:fill="FFFFFF"/>
            <w:tcMar>
              <w:top w:w="85" w:type="dxa"/>
              <w:bottom w:w="85" w:type="dxa"/>
            </w:tcMar>
          </w:tcPr>
          <w:p w14:paraId="78305735"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3E7A4243" w14:textId="77777777" w:rsidTr="00DC2E3C">
        <w:trPr>
          <w:cantSplit/>
          <w:trHeight w:val="372"/>
        </w:trPr>
        <w:tc>
          <w:tcPr>
            <w:tcW w:w="1707" w:type="pct"/>
            <w:shd w:val="clear" w:color="auto" w:fill="auto"/>
            <w:tcMar>
              <w:top w:w="85" w:type="dxa"/>
              <w:bottom w:w="85" w:type="dxa"/>
            </w:tcMar>
          </w:tcPr>
          <w:p w14:paraId="04A0D6D4"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95E245C" w14:textId="77777777" w:rsidR="00CB11FC" w:rsidRPr="00811500" w:rsidRDefault="00CB11FC" w:rsidP="005A1F7F">
            <w:pPr>
              <w:rPr>
                <w:rFonts w:ascii="Arial" w:hAnsi="Arial" w:cs="Arial"/>
                <w:sz w:val="16"/>
                <w:szCs w:val="16"/>
              </w:rPr>
            </w:pPr>
            <w:r w:rsidRPr="00E748D2">
              <w:rPr>
                <w:rFonts w:ascii="Arial" w:hAnsi="Arial" w:cs="Arial"/>
                <w:color w:val="000000"/>
                <w:sz w:val="16"/>
                <w:szCs w:val="16"/>
              </w:rPr>
              <w:t>Expansion of the geographical coverage of the Lisbon System</w:t>
            </w:r>
          </w:p>
        </w:tc>
        <w:tc>
          <w:tcPr>
            <w:tcW w:w="1341" w:type="pct"/>
            <w:shd w:val="clear" w:color="auto" w:fill="FFFFFF"/>
            <w:tcMar>
              <w:top w:w="85" w:type="dxa"/>
              <w:bottom w:w="85" w:type="dxa"/>
            </w:tcMar>
          </w:tcPr>
          <w:p w14:paraId="1BA5B0BF"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2027F50B" w14:textId="77777777" w:rsidTr="00DC2E3C">
        <w:trPr>
          <w:cantSplit/>
          <w:trHeight w:val="283"/>
        </w:trPr>
        <w:tc>
          <w:tcPr>
            <w:tcW w:w="1707" w:type="pct"/>
            <w:shd w:val="clear" w:color="auto" w:fill="auto"/>
            <w:tcMar>
              <w:top w:w="85" w:type="dxa"/>
              <w:bottom w:w="85" w:type="dxa"/>
            </w:tcMar>
          </w:tcPr>
          <w:p w14:paraId="734CEAFD"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68DFE644" w14:textId="77777777" w:rsidR="00CB11FC" w:rsidRPr="00811500" w:rsidRDefault="00CB11FC" w:rsidP="005A1F7F">
            <w:pPr>
              <w:rPr>
                <w:rFonts w:ascii="Arial" w:hAnsi="Arial" w:cs="Arial"/>
                <w:sz w:val="16"/>
                <w:szCs w:val="16"/>
              </w:rPr>
            </w:pPr>
            <w:r w:rsidRPr="00E748D2">
              <w:rPr>
                <w:rFonts w:ascii="Arial" w:hAnsi="Arial" w:cs="Arial"/>
                <w:color w:val="000000"/>
                <w:sz w:val="16"/>
                <w:szCs w:val="16"/>
              </w:rPr>
              <w:t>% of participants in Lisbon System events satisfied and reporting enhanced awareness post an event</w:t>
            </w:r>
          </w:p>
        </w:tc>
        <w:tc>
          <w:tcPr>
            <w:tcW w:w="1341" w:type="pct"/>
            <w:shd w:val="clear" w:color="auto" w:fill="FFFFFF"/>
            <w:tcMar>
              <w:top w:w="85" w:type="dxa"/>
              <w:bottom w:w="85" w:type="dxa"/>
            </w:tcMar>
          </w:tcPr>
          <w:p w14:paraId="7091B05E"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68AD5DEF" w14:textId="77777777" w:rsidTr="00DC2E3C">
        <w:trPr>
          <w:cantSplit/>
          <w:trHeight w:val="283"/>
        </w:trPr>
        <w:tc>
          <w:tcPr>
            <w:tcW w:w="1707" w:type="pct"/>
            <w:shd w:val="clear" w:color="auto" w:fill="auto"/>
            <w:tcMar>
              <w:top w:w="85" w:type="dxa"/>
              <w:bottom w:w="85" w:type="dxa"/>
            </w:tcMar>
          </w:tcPr>
          <w:p w14:paraId="37F07A3E"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1F8E6ECC" w14:textId="77777777" w:rsidR="00CB11FC" w:rsidRPr="00E748D2" w:rsidRDefault="00CB11FC" w:rsidP="005A1F7F">
            <w:pPr>
              <w:rPr>
                <w:rFonts w:ascii="Arial" w:hAnsi="Arial" w:cs="Arial"/>
                <w:color w:val="000000"/>
                <w:sz w:val="16"/>
                <w:szCs w:val="16"/>
              </w:rPr>
            </w:pPr>
            <w:r w:rsidRPr="00E748D2">
              <w:rPr>
                <w:rFonts w:ascii="Arial" w:hAnsi="Arial" w:cs="Arial"/>
                <w:color w:val="000000"/>
                <w:sz w:val="16"/>
                <w:szCs w:val="16"/>
              </w:rPr>
              <w:t>No. of international applications and other transactions</w:t>
            </w:r>
            <w:r>
              <w:rPr>
                <w:rFonts w:ascii="Arial" w:hAnsi="Arial" w:cs="Arial"/>
                <w:color w:val="000000"/>
                <w:sz w:val="16"/>
                <w:szCs w:val="16"/>
              </w:rPr>
              <w:t xml:space="preserve"> (Lisbon)</w:t>
            </w:r>
          </w:p>
        </w:tc>
        <w:tc>
          <w:tcPr>
            <w:tcW w:w="1341" w:type="pct"/>
            <w:shd w:val="clear" w:color="auto" w:fill="FFFFFF"/>
            <w:tcMar>
              <w:top w:w="85" w:type="dxa"/>
              <w:bottom w:w="85" w:type="dxa"/>
            </w:tcMar>
          </w:tcPr>
          <w:p w14:paraId="363D4C85"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0C0957BB" w14:textId="77777777" w:rsidTr="00DC2E3C">
        <w:trPr>
          <w:cantSplit/>
          <w:trHeight w:val="283"/>
        </w:trPr>
        <w:tc>
          <w:tcPr>
            <w:tcW w:w="1707" w:type="pct"/>
            <w:shd w:val="clear" w:color="auto" w:fill="auto"/>
            <w:tcMar>
              <w:top w:w="85" w:type="dxa"/>
              <w:bottom w:w="85" w:type="dxa"/>
            </w:tcMar>
          </w:tcPr>
          <w:p w14:paraId="5DF98EF0"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9ED635B" w14:textId="77777777" w:rsidR="00CB11FC" w:rsidRPr="00E748D2" w:rsidRDefault="00CB11FC" w:rsidP="005A1F7F">
            <w:pPr>
              <w:rPr>
                <w:rFonts w:ascii="Arial" w:hAnsi="Arial" w:cs="Arial"/>
                <w:color w:val="000000"/>
                <w:sz w:val="16"/>
                <w:szCs w:val="16"/>
              </w:rPr>
            </w:pPr>
            <w:r w:rsidRPr="00E748D2">
              <w:rPr>
                <w:rFonts w:ascii="Arial" w:hAnsi="Arial" w:cs="Arial"/>
                <w:color w:val="000000"/>
                <w:sz w:val="16"/>
                <w:szCs w:val="16"/>
              </w:rPr>
              <w:t>No. of international registrations from developing countries and LDCs in force under the Lisbon System (in relation to the total no.)</w:t>
            </w:r>
          </w:p>
        </w:tc>
        <w:tc>
          <w:tcPr>
            <w:tcW w:w="1341" w:type="pct"/>
            <w:shd w:val="clear" w:color="auto" w:fill="FFFFFF"/>
            <w:tcMar>
              <w:top w:w="85" w:type="dxa"/>
              <w:bottom w:w="85" w:type="dxa"/>
            </w:tcMar>
          </w:tcPr>
          <w:p w14:paraId="53EA2BC5" w14:textId="77777777" w:rsidR="00255FD8" w:rsidRDefault="00CB11FC" w:rsidP="00255FD8">
            <w:pPr>
              <w:ind w:left="441"/>
              <w:rPr>
                <w:rFonts w:ascii="Arial" w:hAnsi="Arial" w:cs="Arial"/>
                <w:sz w:val="16"/>
                <w:szCs w:val="16"/>
                <w:lang w:bidi="th-TH"/>
              </w:rPr>
            </w:pPr>
            <w:r>
              <w:rPr>
                <w:rFonts w:ascii="Arial" w:hAnsi="Arial" w:cs="Arial"/>
                <w:sz w:val="16"/>
                <w:szCs w:val="16"/>
                <w:lang w:bidi="th-TH"/>
              </w:rPr>
              <w:t>Program 6</w:t>
            </w:r>
            <w:r w:rsidR="00255FD8">
              <w:rPr>
                <w:rFonts w:ascii="Arial" w:hAnsi="Arial" w:cs="Arial"/>
                <w:sz w:val="16"/>
                <w:szCs w:val="16"/>
                <w:lang w:bidi="th-TH"/>
              </w:rPr>
              <w:t xml:space="preserve"> </w:t>
            </w:r>
          </w:p>
          <w:p w14:paraId="4F104BC5" w14:textId="599E151C" w:rsidR="00255FD8" w:rsidRDefault="00255FD8" w:rsidP="00255FD8">
            <w:pPr>
              <w:ind w:left="441"/>
              <w:rPr>
                <w:rFonts w:ascii="Arial" w:hAnsi="Arial" w:cs="Arial"/>
                <w:sz w:val="16"/>
                <w:szCs w:val="16"/>
                <w:lang w:bidi="th-TH"/>
              </w:rPr>
            </w:pPr>
            <w:r>
              <w:rPr>
                <w:rFonts w:ascii="Arial" w:hAnsi="Arial" w:cs="Arial"/>
                <w:sz w:val="16"/>
                <w:szCs w:val="16"/>
                <w:lang w:bidi="th-TH"/>
              </w:rPr>
              <w:t>Program 9</w:t>
            </w:r>
          </w:p>
          <w:p w14:paraId="33096F8E" w14:textId="77777777" w:rsidR="00CB11FC" w:rsidRDefault="00CB11FC" w:rsidP="005A1F7F">
            <w:pPr>
              <w:ind w:left="441"/>
              <w:rPr>
                <w:rFonts w:ascii="Arial" w:hAnsi="Arial" w:cs="Arial"/>
                <w:sz w:val="16"/>
                <w:szCs w:val="16"/>
                <w:lang w:bidi="th-TH"/>
              </w:rPr>
            </w:pPr>
            <w:r>
              <w:rPr>
                <w:rFonts w:ascii="Arial" w:hAnsi="Arial" w:cs="Arial"/>
                <w:sz w:val="16"/>
                <w:szCs w:val="16"/>
                <w:lang w:bidi="th-TH"/>
              </w:rPr>
              <w:t xml:space="preserve"> </w:t>
            </w:r>
          </w:p>
        </w:tc>
      </w:tr>
      <w:tr w:rsidR="00CB11FC" w:rsidRPr="00811500" w14:paraId="3BED7BBC" w14:textId="77777777" w:rsidTr="00DC2E3C">
        <w:trPr>
          <w:cantSplit/>
          <w:trHeight w:val="446"/>
        </w:trPr>
        <w:tc>
          <w:tcPr>
            <w:tcW w:w="1707" w:type="pct"/>
            <w:shd w:val="clear" w:color="auto" w:fill="auto"/>
            <w:tcMar>
              <w:top w:w="85" w:type="dxa"/>
              <w:bottom w:w="85" w:type="dxa"/>
            </w:tcMar>
          </w:tcPr>
          <w:p w14:paraId="5D775CCD"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7300355" w14:textId="77777777" w:rsidR="00CB11FC" w:rsidRPr="00E748D2" w:rsidRDefault="00CB11FC" w:rsidP="005A1F7F">
            <w:pPr>
              <w:rPr>
                <w:rFonts w:ascii="Arial" w:hAnsi="Arial" w:cs="Arial"/>
                <w:color w:val="000000"/>
                <w:sz w:val="16"/>
                <w:szCs w:val="16"/>
              </w:rPr>
            </w:pPr>
            <w:r w:rsidRPr="0066276F">
              <w:rPr>
                <w:rFonts w:ascii="Arial" w:hAnsi="Arial" w:cs="Arial"/>
                <w:color w:val="000000"/>
                <w:sz w:val="16"/>
                <w:szCs w:val="16"/>
              </w:rPr>
              <w:t>No. of Madrid System applications originating from</w:t>
            </w:r>
            <w:r>
              <w:rPr>
                <w:rFonts w:ascii="Arial" w:hAnsi="Arial" w:cs="Arial"/>
                <w:color w:val="000000"/>
                <w:sz w:val="16"/>
                <w:szCs w:val="16"/>
              </w:rPr>
              <w:t xml:space="preserve"> developing,</w:t>
            </w:r>
            <w:r w:rsidRPr="0066276F">
              <w:rPr>
                <w:rFonts w:ascii="Arial" w:hAnsi="Arial" w:cs="Arial"/>
                <w:color w:val="000000"/>
                <w:sz w:val="16"/>
                <w:szCs w:val="16"/>
              </w:rPr>
              <w:t xml:space="preserve"> transition and developed countries</w:t>
            </w:r>
          </w:p>
        </w:tc>
        <w:tc>
          <w:tcPr>
            <w:tcW w:w="1341" w:type="pct"/>
            <w:shd w:val="clear" w:color="auto" w:fill="FFFFFF"/>
            <w:tcMar>
              <w:top w:w="85" w:type="dxa"/>
              <w:bottom w:w="85" w:type="dxa"/>
            </w:tcMar>
          </w:tcPr>
          <w:p w14:paraId="209CA645" w14:textId="77777777" w:rsidR="00255FD8" w:rsidRDefault="00255FD8" w:rsidP="00255FD8">
            <w:pPr>
              <w:ind w:left="441"/>
              <w:rPr>
                <w:rFonts w:ascii="Arial" w:hAnsi="Arial" w:cs="Arial"/>
                <w:sz w:val="16"/>
                <w:szCs w:val="16"/>
                <w:lang w:bidi="th-TH"/>
              </w:rPr>
            </w:pPr>
            <w:r>
              <w:rPr>
                <w:rFonts w:ascii="Arial" w:hAnsi="Arial" w:cs="Arial"/>
                <w:sz w:val="16"/>
                <w:szCs w:val="16"/>
                <w:lang w:bidi="th-TH"/>
              </w:rPr>
              <w:t>Program 9</w:t>
            </w:r>
          </w:p>
          <w:p w14:paraId="17FCAC13" w14:textId="77777777" w:rsidR="00CB11FC" w:rsidRDefault="00CB11FC" w:rsidP="005A1F7F">
            <w:pPr>
              <w:ind w:left="441"/>
              <w:rPr>
                <w:rFonts w:ascii="Arial" w:hAnsi="Arial" w:cs="Arial"/>
                <w:sz w:val="16"/>
                <w:szCs w:val="16"/>
                <w:lang w:bidi="th-TH"/>
              </w:rPr>
            </w:pPr>
            <w:r w:rsidRPr="0066276F">
              <w:rPr>
                <w:rFonts w:ascii="Arial" w:hAnsi="Arial" w:cs="Arial"/>
                <w:sz w:val="16"/>
                <w:szCs w:val="16"/>
                <w:lang w:bidi="th-TH"/>
              </w:rPr>
              <w:t>Program 10</w:t>
            </w:r>
          </w:p>
          <w:p w14:paraId="5362005C" w14:textId="77777777" w:rsidR="00CB11FC" w:rsidRPr="0066276F" w:rsidRDefault="00CB11FC" w:rsidP="005A1F7F">
            <w:pPr>
              <w:ind w:left="441"/>
              <w:rPr>
                <w:rFonts w:ascii="Arial" w:hAnsi="Arial" w:cs="Arial"/>
                <w:sz w:val="16"/>
                <w:szCs w:val="16"/>
                <w:lang w:bidi="th-TH"/>
              </w:rPr>
            </w:pPr>
            <w:r>
              <w:rPr>
                <w:rFonts w:ascii="Arial" w:hAnsi="Arial" w:cs="Arial"/>
                <w:sz w:val="16"/>
                <w:szCs w:val="16"/>
                <w:lang w:bidi="th-TH"/>
              </w:rPr>
              <w:t>Program 20</w:t>
            </w:r>
          </w:p>
          <w:p w14:paraId="71B4B0BF" w14:textId="77777777" w:rsidR="00CB11FC" w:rsidRDefault="00CB11FC" w:rsidP="005A1F7F">
            <w:pPr>
              <w:ind w:left="441"/>
              <w:rPr>
                <w:rFonts w:ascii="Arial" w:hAnsi="Arial" w:cs="Arial"/>
                <w:sz w:val="16"/>
                <w:szCs w:val="16"/>
                <w:lang w:bidi="th-TH"/>
              </w:rPr>
            </w:pPr>
          </w:p>
        </w:tc>
      </w:tr>
      <w:tr w:rsidR="00CB11FC" w:rsidRPr="00811500" w14:paraId="4B838597" w14:textId="77777777" w:rsidTr="00DC2E3C">
        <w:trPr>
          <w:cantSplit/>
          <w:trHeight w:val="589"/>
        </w:trPr>
        <w:tc>
          <w:tcPr>
            <w:tcW w:w="1707" w:type="pct"/>
            <w:shd w:val="clear" w:color="auto" w:fill="auto"/>
            <w:tcMar>
              <w:top w:w="85" w:type="dxa"/>
              <w:bottom w:w="85" w:type="dxa"/>
            </w:tcMar>
          </w:tcPr>
          <w:p w14:paraId="20B0A7CD"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4222868" w14:textId="77777777" w:rsidR="00CB11FC" w:rsidRPr="0066276F" w:rsidRDefault="00CB11FC" w:rsidP="005A1F7F">
            <w:pPr>
              <w:rPr>
                <w:rFonts w:ascii="Arial" w:hAnsi="Arial" w:cs="Arial"/>
                <w:sz w:val="16"/>
                <w:szCs w:val="16"/>
                <w:highlight w:val="yellow"/>
              </w:rPr>
            </w:pPr>
            <w:r w:rsidRPr="0066276F">
              <w:rPr>
                <w:rFonts w:ascii="Arial" w:hAnsi="Arial" w:cs="Arial"/>
                <w:color w:val="000000"/>
                <w:sz w:val="16"/>
                <w:szCs w:val="16"/>
              </w:rPr>
              <w:t>No. of Lisbon system international registrations for transition and developed countries in force</w:t>
            </w:r>
          </w:p>
        </w:tc>
        <w:tc>
          <w:tcPr>
            <w:tcW w:w="1341" w:type="pct"/>
            <w:shd w:val="clear" w:color="auto" w:fill="FFFFFF"/>
            <w:tcMar>
              <w:top w:w="85" w:type="dxa"/>
              <w:bottom w:w="85" w:type="dxa"/>
            </w:tcMar>
          </w:tcPr>
          <w:p w14:paraId="1D74FBD2" w14:textId="77777777" w:rsidR="00CB11FC" w:rsidRPr="0066276F" w:rsidRDefault="00CB11FC" w:rsidP="005A1F7F">
            <w:pPr>
              <w:ind w:left="441"/>
              <w:rPr>
                <w:rFonts w:ascii="Arial" w:hAnsi="Arial" w:cs="Arial"/>
                <w:sz w:val="16"/>
                <w:szCs w:val="16"/>
                <w:lang w:bidi="th-TH"/>
              </w:rPr>
            </w:pPr>
            <w:r w:rsidRPr="0066276F">
              <w:rPr>
                <w:rFonts w:ascii="Arial" w:hAnsi="Arial" w:cs="Arial"/>
                <w:sz w:val="16"/>
                <w:szCs w:val="16"/>
                <w:lang w:bidi="th-TH"/>
              </w:rPr>
              <w:t>Program 10</w:t>
            </w:r>
          </w:p>
          <w:p w14:paraId="2BED5931" w14:textId="77777777" w:rsidR="00CB11FC" w:rsidRPr="0066276F" w:rsidRDefault="00CB11FC" w:rsidP="005A1F7F">
            <w:pPr>
              <w:ind w:left="441"/>
              <w:rPr>
                <w:rFonts w:ascii="Arial" w:hAnsi="Arial" w:cs="Arial"/>
                <w:sz w:val="16"/>
                <w:szCs w:val="16"/>
                <w:lang w:bidi="th-TH"/>
              </w:rPr>
            </w:pPr>
          </w:p>
        </w:tc>
      </w:tr>
      <w:tr w:rsidR="00CB11FC" w:rsidRPr="00811500" w14:paraId="5B956F6C" w14:textId="77777777" w:rsidTr="00DC2E3C">
        <w:trPr>
          <w:cantSplit/>
          <w:trHeight w:val="589"/>
        </w:trPr>
        <w:tc>
          <w:tcPr>
            <w:tcW w:w="1707" w:type="pct"/>
            <w:shd w:val="clear" w:color="auto" w:fill="auto"/>
            <w:tcMar>
              <w:top w:w="85" w:type="dxa"/>
              <w:bottom w:w="85" w:type="dxa"/>
            </w:tcMar>
          </w:tcPr>
          <w:p w14:paraId="0FA8D510"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5B028D2B" w14:textId="77777777" w:rsidR="00CB11FC" w:rsidRPr="00795C1D" w:rsidRDefault="00CB11FC" w:rsidP="005A1F7F">
            <w:pPr>
              <w:rPr>
                <w:rFonts w:ascii="Arial" w:hAnsi="Arial" w:cs="Arial"/>
                <w:sz w:val="16"/>
                <w:szCs w:val="16"/>
                <w:highlight w:val="yellow"/>
              </w:rPr>
            </w:pPr>
            <w:r w:rsidRPr="0009730A">
              <w:rPr>
                <w:rFonts w:ascii="Arial" w:hAnsi="Arial" w:cs="Arial"/>
                <w:sz w:val="16"/>
                <w:szCs w:val="16"/>
              </w:rPr>
              <w:t xml:space="preserve">% of policy makers, government officials, IP practitioners and participants in targeted workshops with enhanced understanding of the Madrid System  </w:t>
            </w:r>
          </w:p>
        </w:tc>
        <w:tc>
          <w:tcPr>
            <w:tcW w:w="1341" w:type="pct"/>
            <w:shd w:val="clear" w:color="auto" w:fill="FFFFFF"/>
            <w:tcMar>
              <w:top w:w="85" w:type="dxa"/>
              <w:bottom w:w="85" w:type="dxa"/>
            </w:tcMar>
          </w:tcPr>
          <w:p w14:paraId="0BEE99F8" w14:textId="77777777" w:rsidR="00CB11FC" w:rsidRPr="00795C1D" w:rsidRDefault="00CB11FC" w:rsidP="005A1F7F">
            <w:pPr>
              <w:ind w:left="441"/>
              <w:rPr>
                <w:rFonts w:ascii="Arial" w:hAnsi="Arial" w:cs="Arial"/>
                <w:sz w:val="16"/>
                <w:szCs w:val="16"/>
                <w:highlight w:val="yellow"/>
                <w:lang w:bidi="th-TH"/>
              </w:rPr>
            </w:pPr>
            <w:r w:rsidRPr="0009730A">
              <w:rPr>
                <w:rFonts w:ascii="Arial" w:hAnsi="Arial" w:cs="Arial"/>
                <w:sz w:val="16"/>
                <w:szCs w:val="16"/>
                <w:lang w:bidi="th-TH"/>
              </w:rPr>
              <w:t>Program 20</w:t>
            </w:r>
          </w:p>
        </w:tc>
      </w:tr>
      <w:tr w:rsidR="00CB11FC" w:rsidRPr="00811500" w14:paraId="3B4C4065" w14:textId="77777777" w:rsidTr="00DC2E3C">
        <w:trPr>
          <w:cantSplit/>
          <w:trHeight w:val="134"/>
        </w:trPr>
        <w:tc>
          <w:tcPr>
            <w:tcW w:w="1707" w:type="pct"/>
            <w:shd w:val="clear" w:color="auto" w:fill="auto"/>
            <w:tcMar>
              <w:top w:w="85" w:type="dxa"/>
              <w:bottom w:w="85" w:type="dxa"/>
            </w:tcMar>
          </w:tcPr>
          <w:p w14:paraId="0EE06225" w14:textId="77777777" w:rsidR="00CB11FC" w:rsidRPr="00811500" w:rsidRDefault="00CB11FC" w:rsidP="005A1F7F">
            <w:pPr>
              <w:rPr>
                <w:rFonts w:ascii="Arial" w:hAnsi="Arial" w:cs="Arial"/>
                <w:sz w:val="16"/>
                <w:szCs w:val="16"/>
              </w:rPr>
            </w:pPr>
            <w:r w:rsidRPr="00811500">
              <w:rPr>
                <w:rFonts w:ascii="Arial" w:hAnsi="Arial" w:cs="Arial"/>
                <w:sz w:val="16"/>
                <w:szCs w:val="16"/>
              </w:rPr>
              <w:t xml:space="preserve">II.7 </w:t>
            </w:r>
            <w:r>
              <w:rPr>
                <w:rFonts w:ascii="Arial" w:hAnsi="Arial" w:cs="Arial"/>
                <w:sz w:val="16"/>
                <w:szCs w:val="16"/>
              </w:rPr>
              <w:t xml:space="preserve"> </w:t>
            </w:r>
            <w:r w:rsidRPr="00811500">
              <w:rPr>
                <w:rFonts w:ascii="Arial" w:hAnsi="Arial" w:cs="Arial"/>
                <w:sz w:val="16"/>
                <w:szCs w:val="16"/>
                <w:lang w:eastAsia="zh-CN" w:bidi="th-TH"/>
              </w:rPr>
              <w:t>Improved productivity and service quality of</w:t>
            </w:r>
            <w:r w:rsidRPr="00811500">
              <w:rPr>
                <w:rFonts w:ascii="Arial" w:hAnsi="Arial" w:cs="Arial"/>
                <w:sz w:val="16"/>
                <w:szCs w:val="16"/>
              </w:rPr>
              <w:t xml:space="preserve"> Madrid &amp; Lisbon operations</w:t>
            </w:r>
          </w:p>
        </w:tc>
        <w:tc>
          <w:tcPr>
            <w:tcW w:w="1952" w:type="pct"/>
            <w:shd w:val="clear" w:color="auto" w:fill="auto"/>
            <w:tcMar>
              <w:top w:w="85" w:type="dxa"/>
              <w:bottom w:w="85" w:type="dxa"/>
            </w:tcMar>
          </w:tcPr>
          <w:p w14:paraId="5121EC19" w14:textId="76F13561" w:rsidR="00CB11FC" w:rsidRPr="00795C1D" w:rsidRDefault="00CB11FC" w:rsidP="005A1F7F">
            <w:pPr>
              <w:rPr>
                <w:rFonts w:ascii="Arial" w:hAnsi="Arial" w:cs="Arial"/>
                <w:sz w:val="16"/>
                <w:szCs w:val="16"/>
                <w:highlight w:val="yellow"/>
              </w:rPr>
            </w:pPr>
            <w:r>
              <w:rPr>
                <w:rFonts w:ascii="Arial" w:hAnsi="Arial" w:cs="Arial"/>
                <w:color w:val="000000"/>
                <w:sz w:val="16"/>
                <w:szCs w:val="16"/>
              </w:rPr>
              <w:t>Client satisfaction</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1D6B5FF0" w14:textId="77777777" w:rsidR="00CB11FC" w:rsidRPr="00795C1D" w:rsidRDefault="00CB11FC" w:rsidP="005A1F7F">
            <w:pPr>
              <w:ind w:left="441"/>
              <w:rPr>
                <w:rFonts w:ascii="Arial" w:hAnsi="Arial" w:cs="Arial"/>
                <w:sz w:val="16"/>
                <w:szCs w:val="16"/>
                <w:highlight w:val="yellow"/>
                <w:lang w:bidi="th-TH"/>
              </w:rPr>
            </w:pPr>
            <w:r w:rsidRPr="00811500">
              <w:rPr>
                <w:rFonts w:ascii="Arial" w:hAnsi="Arial" w:cs="Arial"/>
                <w:sz w:val="16"/>
                <w:szCs w:val="16"/>
                <w:lang w:bidi="th-TH"/>
              </w:rPr>
              <w:t>Program 6</w:t>
            </w:r>
          </w:p>
        </w:tc>
      </w:tr>
      <w:tr w:rsidR="00CB11FC" w:rsidRPr="00811500" w14:paraId="233A2E9C" w14:textId="77777777" w:rsidTr="00DC2E3C">
        <w:trPr>
          <w:cantSplit/>
          <w:trHeight w:val="27"/>
        </w:trPr>
        <w:tc>
          <w:tcPr>
            <w:tcW w:w="1707" w:type="pct"/>
            <w:shd w:val="clear" w:color="auto" w:fill="auto"/>
            <w:tcMar>
              <w:top w:w="85" w:type="dxa"/>
              <w:bottom w:w="85" w:type="dxa"/>
            </w:tcMar>
          </w:tcPr>
          <w:p w14:paraId="774F4418"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6F45204" w14:textId="0B1DD811" w:rsidR="00CB11FC" w:rsidRPr="00811500" w:rsidRDefault="00CB11FC" w:rsidP="005A1F7F">
            <w:pPr>
              <w:rPr>
                <w:rFonts w:ascii="Arial" w:hAnsi="Arial" w:cs="Arial"/>
                <w:sz w:val="16"/>
                <w:szCs w:val="16"/>
              </w:rPr>
            </w:pPr>
            <w:r>
              <w:rPr>
                <w:rFonts w:ascii="Arial" w:hAnsi="Arial" w:cs="Arial"/>
                <w:color w:val="000000"/>
                <w:sz w:val="16"/>
                <w:szCs w:val="16"/>
              </w:rPr>
              <w:t>Unit cost</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55FB42B0"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6CF5FFB0" w14:textId="77777777" w:rsidTr="00DC2E3C">
        <w:trPr>
          <w:cantSplit/>
          <w:trHeight w:val="299"/>
        </w:trPr>
        <w:tc>
          <w:tcPr>
            <w:tcW w:w="1707" w:type="pct"/>
            <w:shd w:val="clear" w:color="auto" w:fill="auto"/>
            <w:tcMar>
              <w:top w:w="85" w:type="dxa"/>
              <w:bottom w:w="85" w:type="dxa"/>
            </w:tcMar>
          </w:tcPr>
          <w:p w14:paraId="0A1AD3E4"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423F94AA" w14:textId="77777777" w:rsidR="00CB11FC" w:rsidRDefault="00CB11FC" w:rsidP="005A1F7F">
            <w:pPr>
              <w:rPr>
                <w:rFonts w:ascii="Arial" w:hAnsi="Arial" w:cs="Arial"/>
                <w:color w:val="000000"/>
                <w:sz w:val="16"/>
                <w:szCs w:val="16"/>
              </w:rPr>
            </w:pPr>
            <w:r>
              <w:rPr>
                <w:rFonts w:ascii="Arial" w:hAnsi="Arial" w:cs="Arial"/>
                <w:color w:val="000000"/>
                <w:sz w:val="16"/>
                <w:szCs w:val="16"/>
              </w:rPr>
              <w:t>Timeliness of transactions</w:t>
            </w:r>
          </w:p>
          <w:p w14:paraId="1C371880" w14:textId="1C49C65A" w:rsidR="00CB11FC" w:rsidRPr="00811500" w:rsidRDefault="00CB11FC" w:rsidP="005A1F7F">
            <w:pPr>
              <w:rPr>
                <w:rFonts w:ascii="Arial" w:hAnsi="Arial" w:cs="Arial"/>
                <w:sz w:val="16"/>
                <w:szCs w:val="16"/>
              </w:rPr>
            </w:pPr>
            <w:r>
              <w:rPr>
                <w:rFonts w:ascii="Arial" w:hAnsi="Arial" w:cs="Arial"/>
                <w:color w:val="000000"/>
                <w:sz w:val="16"/>
                <w:szCs w:val="16"/>
              </w:rPr>
              <w:t>(days)</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08B398B5"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23D6A80B" w14:textId="77777777" w:rsidTr="00DC2E3C">
        <w:trPr>
          <w:cantSplit/>
          <w:trHeight w:val="138"/>
        </w:trPr>
        <w:tc>
          <w:tcPr>
            <w:tcW w:w="1707" w:type="pct"/>
            <w:shd w:val="clear" w:color="auto" w:fill="auto"/>
            <w:tcMar>
              <w:top w:w="85" w:type="dxa"/>
              <w:bottom w:w="85" w:type="dxa"/>
            </w:tcMar>
          </w:tcPr>
          <w:p w14:paraId="345EFC06"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AF73A09" w14:textId="424C3C0E" w:rsidR="00CB11FC" w:rsidRPr="00811500" w:rsidRDefault="00CB11FC" w:rsidP="005A1F7F">
            <w:pPr>
              <w:rPr>
                <w:rFonts w:ascii="Arial" w:hAnsi="Arial" w:cs="Arial"/>
                <w:sz w:val="16"/>
                <w:szCs w:val="16"/>
              </w:rPr>
            </w:pPr>
            <w:r>
              <w:rPr>
                <w:rFonts w:ascii="Arial" w:hAnsi="Arial" w:cs="Arial"/>
                <w:color w:val="000000"/>
                <w:sz w:val="16"/>
                <w:szCs w:val="16"/>
              </w:rPr>
              <w:t>Quality</w:t>
            </w:r>
            <w:r w:rsidR="007B4126">
              <w:rPr>
                <w:rFonts w:ascii="Arial" w:hAnsi="Arial" w:cs="Arial"/>
                <w:color w:val="000000"/>
                <w:sz w:val="16"/>
                <w:szCs w:val="16"/>
              </w:rPr>
              <w:t xml:space="preserve"> </w:t>
            </w:r>
            <w:r w:rsidR="007B4126">
              <w:rPr>
                <w:rFonts w:ascii="Arial" w:eastAsia="Times New Roman" w:hAnsi="Arial" w:cs="Arial"/>
                <w:color w:val="000000"/>
                <w:sz w:val="16"/>
                <w:szCs w:val="16"/>
              </w:rPr>
              <w:t>(Madrid)</w:t>
            </w:r>
          </w:p>
        </w:tc>
        <w:tc>
          <w:tcPr>
            <w:tcW w:w="1341" w:type="pct"/>
            <w:shd w:val="clear" w:color="auto" w:fill="FFFFFF"/>
            <w:tcMar>
              <w:top w:w="85" w:type="dxa"/>
              <w:bottom w:w="85" w:type="dxa"/>
            </w:tcMar>
          </w:tcPr>
          <w:p w14:paraId="397A4C87"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2E53F88" w14:textId="77777777" w:rsidTr="00DC2E3C">
        <w:trPr>
          <w:cantSplit/>
          <w:trHeight w:val="267"/>
        </w:trPr>
        <w:tc>
          <w:tcPr>
            <w:tcW w:w="1707" w:type="pct"/>
            <w:shd w:val="clear" w:color="auto" w:fill="auto"/>
            <w:tcMar>
              <w:top w:w="85" w:type="dxa"/>
              <w:bottom w:w="85" w:type="dxa"/>
            </w:tcMar>
          </w:tcPr>
          <w:p w14:paraId="7CF96F08"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0825793A" w14:textId="366FF674" w:rsidR="00CB11FC" w:rsidRPr="00811500" w:rsidRDefault="00CB11FC" w:rsidP="005A1F7F">
            <w:pPr>
              <w:rPr>
                <w:rFonts w:ascii="Arial" w:hAnsi="Arial" w:cs="Arial"/>
                <w:sz w:val="16"/>
                <w:szCs w:val="16"/>
              </w:rPr>
            </w:pPr>
            <w:r>
              <w:rPr>
                <w:rFonts w:ascii="Arial" w:hAnsi="Arial" w:cs="Arial"/>
                <w:color w:val="000000"/>
                <w:sz w:val="16"/>
                <w:szCs w:val="16"/>
              </w:rPr>
              <w:t>Improved operation of the Madrid Registry, including electronic processes and procedures</w:t>
            </w:r>
          </w:p>
        </w:tc>
        <w:tc>
          <w:tcPr>
            <w:tcW w:w="1341" w:type="pct"/>
            <w:shd w:val="clear" w:color="auto" w:fill="FFFFFF"/>
            <w:tcMar>
              <w:top w:w="85" w:type="dxa"/>
              <w:bottom w:w="85" w:type="dxa"/>
            </w:tcMar>
          </w:tcPr>
          <w:p w14:paraId="20A8482A"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5BB7335" w14:textId="77777777" w:rsidTr="00DC2E3C">
        <w:trPr>
          <w:cantSplit/>
          <w:trHeight w:val="265"/>
        </w:trPr>
        <w:tc>
          <w:tcPr>
            <w:tcW w:w="1707" w:type="pct"/>
            <w:shd w:val="clear" w:color="auto" w:fill="auto"/>
            <w:tcMar>
              <w:top w:w="85" w:type="dxa"/>
              <w:bottom w:w="85" w:type="dxa"/>
            </w:tcMar>
          </w:tcPr>
          <w:p w14:paraId="5FC34129"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60A7AC5E" w14:textId="1C980463" w:rsidR="00CB11FC" w:rsidRPr="00811500" w:rsidRDefault="00CB11FC" w:rsidP="007B4126">
            <w:pPr>
              <w:rPr>
                <w:rFonts w:ascii="Arial" w:hAnsi="Arial" w:cs="Arial"/>
                <w:sz w:val="16"/>
                <w:szCs w:val="16"/>
              </w:rPr>
            </w:pPr>
            <w:r>
              <w:rPr>
                <w:rFonts w:ascii="Arial" w:hAnsi="Arial" w:cs="Arial"/>
                <w:color w:val="000000"/>
                <w:sz w:val="16"/>
                <w:szCs w:val="16"/>
              </w:rPr>
              <w:t>Stable provision of evolving Madrid back office IT services</w:t>
            </w:r>
            <w:r w:rsidR="007B4126">
              <w:rPr>
                <w:rFonts w:ascii="Arial" w:hAnsi="Arial" w:cs="Arial"/>
                <w:color w:val="000000"/>
                <w:sz w:val="16"/>
                <w:szCs w:val="16"/>
              </w:rPr>
              <w:t xml:space="preserve"> </w:t>
            </w:r>
          </w:p>
        </w:tc>
        <w:tc>
          <w:tcPr>
            <w:tcW w:w="1341" w:type="pct"/>
            <w:shd w:val="clear" w:color="auto" w:fill="FFFFFF"/>
            <w:tcMar>
              <w:top w:w="85" w:type="dxa"/>
              <w:bottom w:w="85" w:type="dxa"/>
            </w:tcMar>
          </w:tcPr>
          <w:p w14:paraId="1B8C7043"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3F649FE5" w14:textId="77777777" w:rsidTr="00DC2E3C">
        <w:trPr>
          <w:cantSplit/>
          <w:trHeight w:val="131"/>
        </w:trPr>
        <w:tc>
          <w:tcPr>
            <w:tcW w:w="1707" w:type="pct"/>
            <w:shd w:val="clear" w:color="auto" w:fill="auto"/>
            <w:tcMar>
              <w:top w:w="85" w:type="dxa"/>
              <w:bottom w:w="85" w:type="dxa"/>
            </w:tcMar>
          </w:tcPr>
          <w:p w14:paraId="333FB34A"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DCDDB1A" w14:textId="77777777" w:rsidR="00CB11FC" w:rsidRPr="00811500" w:rsidRDefault="00CB11FC" w:rsidP="005A1F7F">
            <w:pPr>
              <w:rPr>
                <w:rFonts w:ascii="Arial" w:hAnsi="Arial" w:cs="Arial"/>
                <w:sz w:val="16"/>
                <w:szCs w:val="16"/>
              </w:rPr>
            </w:pPr>
            <w:r>
              <w:rPr>
                <w:rFonts w:ascii="Arial" w:hAnsi="Arial" w:cs="Arial"/>
                <w:color w:val="000000"/>
                <w:sz w:val="16"/>
                <w:szCs w:val="16"/>
              </w:rPr>
              <w:t>3 deployed versions of M-IRIS and 3 deployed versions of Madrid eFiling (IRPI)</w:t>
            </w:r>
          </w:p>
        </w:tc>
        <w:tc>
          <w:tcPr>
            <w:tcW w:w="1341" w:type="pct"/>
            <w:shd w:val="clear" w:color="auto" w:fill="FFFFFF"/>
            <w:tcMar>
              <w:top w:w="85" w:type="dxa"/>
              <w:bottom w:w="85" w:type="dxa"/>
            </w:tcMar>
          </w:tcPr>
          <w:p w14:paraId="4D5B3748"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45CCE4E" w14:textId="77777777" w:rsidTr="00DC2E3C">
        <w:trPr>
          <w:cantSplit/>
          <w:trHeight w:val="339"/>
        </w:trPr>
        <w:tc>
          <w:tcPr>
            <w:tcW w:w="1707" w:type="pct"/>
            <w:shd w:val="clear" w:color="auto" w:fill="auto"/>
            <w:tcMar>
              <w:top w:w="85" w:type="dxa"/>
              <w:bottom w:w="85" w:type="dxa"/>
            </w:tcMar>
          </w:tcPr>
          <w:p w14:paraId="1256ECC2"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BC59CC7" w14:textId="77777777" w:rsidR="00CB11FC" w:rsidRPr="00811500" w:rsidRDefault="00CB11FC" w:rsidP="005A1F7F">
            <w:pPr>
              <w:rPr>
                <w:rFonts w:ascii="Arial" w:hAnsi="Arial" w:cs="Arial"/>
                <w:sz w:val="16"/>
                <w:szCs w:val="16"/>
              </w:rPr>
            </w:pPr>
            <w:r w:rsidRPr="002D4AFB">
              <w:rPr>
                <w:rFonts w:ascii="Arial" w:hAnsi="Arial" w:cs="Arial"/>
                <w:color w:val="000000"/>
                <w:sz w:val="16"/>
                <w:szCs w:val="16"/>
              </w:rPr>
              <w:t>Adoption of provisions streamlining the Lisbon System legal framework</w:t>
            </w:r>
          </w:p>
        </w:tc>
        <w:tc>
          <w:tcPr>
            <w:tcW w:w="1341" w:type="pct"/>
            <w:shd w:val="clear" w:color="auto" w:fill="FFFFFF"/>
            <w:tcMar>
              <w:top w:w="85" w:type="dxa"/>
              <w:bottom w:w="85" w:type="dxa"/>
            </w:tcMar>
          </w:tcPr>
          <w:p w14:paraId="571C5103"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6</w:t>
            </w:r>
          </w:p>
        </w:tc>
      </w:tr>
      <w:tr w:rsidR="00CB11FC" w:rsidRPr="00811500" w14:paraId="7E7BB05E" w14:textId="77777777" w:rsidTr="00DC2E3C">
        <w:trPr>
          <w:cantSplit/>
          <w:trHeight w:val="475"/>
        </w:trPr>
        <w:tc>
          <w:tcPr>
            <w:tcW w:w="1707" w:type="pct"/>
            <w:shd w:val="clear" w:color="auto" w:fill="auto"/>
            <w:tcMar>
              <w:top w:w="85" w:type="dxa"/>
              <w:bottom w:w="85" w:type="dxa"/>
            </w:tcMar>
          </w:tcPr>
          <w:p w14:paraId="27638DF5"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3149C101" w14:textId="004E994F" w:rsidR="00CB11FC" w:rsidRPr="002D4AFB" w:rsidRDefault="00CB11FC" w:rsidP="005A1F7F">
            <w:pPr>
              <w:rPr>
                <w:rFonts w:ascii="Arial" w:hAnsi="Arial" w:cs="Arial"/>
                <w:sz w:val="16"/>
                <w:szCs w:val="16"/>
              </w:rPr>
            </w:pPr>
            <w:r w:rsidRPr="002D4AFB">
              <w:rPr>
                <w:rFonts w:ascii="Arial" w:hAnsi="Arial" w:cs="Arial"/>
                <w:color w:val="000000"/>
                <w:sz w:val="16"/>
                <w:szCs w:val="16"/>
              </w:rPr>
              <w:t>Increased use of electronic means for filing and processing international applications and other transactions</w:t>
            </w:r>
            <w:r w:rsidR="007B4126">
              <w:rPr>
                <w:rFonts w:ascii="Arial" w:hAnsi="Arial" w:cs="Arial"/>
                <w:color w:val="000000"/>
                <w:sz w:val="16"/>
                <w:szCs w:val="16"/>
              </w:rPr>
              <w:t xml:space="preserve"> (Lisbon)</w:t>
            </w:r>
          </w:p>
        </w:tc>
        <w:tc>
          <w:tcPr>
            <w:tcW w:w="1341" w:type="pct"/>
            <w:shd w:val="clear" w:color="auto" w:fill="FFFFFF"/>
            <w:tcMar>
              <w:top w:w="85" w:type="dxa"/>
              <w:bottom w:w="85" w:type="dxa"/>
            </w:tcMar>
          </w:tcPr>
          <w:p w14:paraId="757E0466"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23416635" w14:textId="77777777" w:rsidTr="00DC2E3C">
        <w:trPr>
          <w:cantSplit/>
          <w:trHeight w:val="401"/>
        </w:trPr>
        <w:tc>
          <w:tcPr>
            <w:tcW w:w="1707" w:type="pct"/>
            <w:shd w:val="clear" w:color="auto" w:fill="auto"/>
            <w:tcMar>
              <w:top w:w="85" w:type="dxa"/>
              <w:bottom w:w="85" w:type="dxa"/>
            </w:tcMar>
          </w:tcPr>
          <w:p w14:paraId="6A29F4F7" w14:textId="77777777"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66A79A72" w14:textId="77777777" w:rsidR="00CB11FC" w:rsidRPr="002D4AFB" w:rsidRDefault="00CB11FC" w:rsidP="005A1F7F">
            <w:pPr>
              <w:rPr>
                <w:rFonts w:ascii="Arial" w:hAnsi="Arial" w:cs="Arial"/>
                <w:color w:val="000000"/>
                <w:sz w:val="16"/>
                <w:szCs w:val="16"/>
              </w:rPr>
            </w:pPr>
            <w:r w:rsidRPr="002D4AFB">
              <w:rPr>
                <w:rFonts w:ascii="Arial" w:hAnsi="Arial" w:cs="Arial"/>
                <w:color w:val="000000"/>
                <w:sz w:val="16"/>
                <w:szCs w:val="16"/>
              </w:rPr>
              <w:t>Improved electronic services for the Lisbon Registry and Article 6</w:t>
            </w:r>
            <w:r w:rsidRPr="002D4AFB">
              <w:rPr>
                <w:rFonts w:ascii="Arial" w:hAnsi="Arial" w:cs="Arial"/>
                <w:i/>
                <w:color w:val="000000"/>
                <w:sz w:val="16"/>
                <w:szCs w:val="16"/>
              </w:rPr>
              <w:t>ter</w:t>
            </w:r>
          </w:p>
        </w:tc>
        <w:tc>
          <w:tcPr>
            <w:tcW w:w="1341" w:type="pct"/>
            <w:shd w:val="clear" w:color="auto" w:fill="FFFFFF"/>
            <w:tcMar>
              <w:top w:w="85" w:type="dxa"/>
              <w:bottom w:w="85" w:type="dxa"/>
            </w:tcMar>
          </w:tcPr>
          <w:p w14:paraId="46DCE4C6"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6</w:t>
            </w:r>
          </w:p>
        </w:tc>
      </w:tr>
      <w:tr w:rsidR="00CB11FC" w:rsidRPr="00811500" w14:paraId="77B516A4" w14:textId="77777777" w:rsidTr="00DC2E3C">
        <w:trPr>
          <w:cantSplit/>
          <w:trHeight w:val="383"/>
        </w:trPr>
        <w:tc>
          <w:tcPr>
            <w:tcW w:w="1707" w:type="pct"/>
            <w:shd w:val="clear" w:color="auto" w:fill="auto"/>
            <w:tcMar>
              <w:top w:w="85" w:type="dxa"/>
              <w:bottom w:w="85" w:type="dxa"/>
            </w:tcMar>
          </w:tcPr>
          <w:p w14:paraId="1EFAD6C6" w14:textId="0B0228B3" w:rsidR="00CB11FC" w:rsidRPr="00811500" w:rsidRDefault="00CB11FC" w:rsidP="005A1F7F">
            <w:pPr>
              <w:rPr>
                <w:rFonts w:ascii="Arial" w:hAnsi="Arial" w:cs="Arial"/>
                <w:sz w:val="16"/>
                <w:szCs w:val="16"/>
              </w:rPr>
            </w:pPr>
            <w:r w:rsidRPr="00811500">
              <w:rPr>
                <w:rFonts w:ascii="Arial" w:hAnsi="Arial" w:cs="Arial"/>
                <w:sz w:val="16"/>
                <w:szCs w:val="16"/>
              </w:rPr>
              <w:t>II.8</w:t>
            </w:r>
            <w:r>
              <w:rPr>
                <w:rFonts w:ascii="Arial" w:hAnsi="Arial" w:cs="Arial"/>
                <w:sz w:val="16"/>
                <w:szCs w:val="16"/>
              </w:rPr>
              <w:t xml:space="preserve"> </w:t>
            </w:r>
            <w:r w:rsidRPr="00811500">
              <w:rPr>
                <w:rFonts w:ascii="Arial" w:hAnsi="Arial" w:cs="Arial"/>
                <w:sz w:val="16"/>
                <w:szCs w:val="16"/>
              </w:rPr>
              <w:t xml:space="preserve"> International and domestic intellectual property disputes are increasingly prevented or resolved through WIPO mediation, arbitration and other alternative dispute resolution methods</w:t>
            </w:r>
          </w:p>
        </w:tc>
        <w:tc>
          <w:tcPr>
            <w:tcW w:w="1952" w:type="pct"/>
            <w:shd w:val="clear" w:color="auto" w:fill="auto"/>
            <w:tcMar>
              <w:top w:w="85" w:type="dxa"/>
              <w:bottom w:w="85" w:type="dxa"/>
            </w:tcMar>
          </w:tcPr>
          <w:p w14:paraId="180E2367" w14:textId="77777777" w:rsidR="00CB11FC" w:rsidRDefault="00CB11FC" w:rsidP="005A1F7F">
            <w:pPr>
              <w:rPr>
                <w:rFonts w:ascii="Arial" w:hAnsi="Arial" w:cs="Arial"/>
                <w:color w:val="000000"/>
                <w:sz w:val="16"/>
                <w:szCs w:val="16"/>
              </w:rPr>
            </w:pPr>
            <w:r>
              <w:rPr>
                <w:rFonts w:ascii="Arial" w:hAnsi="Arial" w:cs="Arial"/>
                <w:color w:val="000000"/>
                <w:sz w:val="16"/>
                <w:szCs w:val="16"/>
              </w:rPr>
              <w:t xml:space="preserve">Increased use of alternative dispute resolution services and clauses in intellectual property transactions and registrations, including through WIPO procedures </w:t>
            </w:r>
          </w:p>
          <w:p w14:paraId="7170E61B" w14:textId="77777777" w:rsidR="00CB11FC" w:rsidRDefault="00CB11FC" w:rsidP="005A1F7F">
            <w:pPr>
              <w:rPr>
                <w:rFonts w:ascii="Arial" w:hAnsi="Arial" w:cs="Arial"/>
                <w:sz w:val="16"/>
                <w:szCs w:val="16"/>
              </w:rPr>
            </w:pPr>
          </w:p>
          <w:p w14:paraId="133882C9" w14:textId="77777777" w:rsidR="00CB11FC" w:rsidRPr="002D4AFB" w:rsidRDefault="00CB11FC" w:rsidP="005A1F7F">
            <w:pPr>
              <w:rPr>
                <w:rFonts w:ascii="Arial" w:hAnsi="Arial" w:cs="Arial"/>
                <w:color w:val="000000"/>
                <w:sz w:val="16"/>
                <w:szCs w:val="16"/>
              </w:rPr>
            </w:pPr>
            <w:r>
              <w:rPr>
                <w:rFonts w:ascii="Arial" w:hAnsi="Arial" w:cs="Arial"/>
                <w:color w:val="000000"/>
                <w:sz w:val="16"/>
                <w:szCs w:val="16"/>
              </w:rPr>
              <w:t>Alternative dispute resolution policies to which the Center has contributed in respect of their development and implementation</w:t>
            </w:r>
          </w:p>
        </w:tc>
        <w:tc>
          <w:tcPr>
            <w:tcW w:w="1341" w:type="pct"/>
            <w:shd w:val="clear" w:color="auto" w:fill="FFFFFF"/>
            <w:tcMar>
              <w:top w:w="85" w:type="dxa"/>
              <w:bottom w:w="85" w:type="dxa"/>
            </w:tcMar>
          </w:tcPr>
          <w:p w14:paraId="79FE1EED"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7</w:t>
            </w:r>
          </w:p>
          <w:p w14:paraId="24F555FF" w14:textId="588577A7" w:rsidR="00CB11FC" w:rsidRPr="00795C1D" w:rsidRDefault="00CB11FC" w:rsidP="005A1F7F">
            <w:pPr>
              <w:ind w:left="441"/>
              <w:rPr>
                <w:rFonts w:ascii="Arial" w:hAnsi="Arial" w:cs="Arial"/>
                <w:sz w:val="16"/>
                <w:szCs w:val="16"/>
                <w:lang w:bidi="th-TH"/>
              </w:rPr>
            </w:pPr>
            <w:r w:rsidRPr="00795C1D">
              <w:rPr>
                <w:rFonts w:ascii="Arial" w:hAnsi="Arial" w:cs="Arial"/>
                <w:sz w:val="16"/>
                <w:szCs w:val="16"/>
                <w:lang w:bidi="th-TH"/>
              </w:rPr>
              <w:t xml:space="preserve"> </w:t>
            </w:r>
          </w:p>
          <w:p w14:paraId="72F0E0B0" w14:textId="77777777" w:rsidR="00CB11FC" w:rsidRDefault="00CB11FC" w:rsidP="005A1F7F">
            <w:pPr>
              <w:ind w:left="441"/>
              <w:rPr>
                <w:rFonts w:ascii="Arial" w:hAnsi="Arial" w:cs="Arial"/>
                <w:sz w:val="16"/>
                <w:szCs w:val="16"/>
                <w:lang w:bidi="th-TH"/>
              </w:rPr>
            </w:pPr>
          </w:p>
          <w:p w14:paraId="1DE8C3F7" w14:textId="77777777" w:rsidR="00CB11FC" w:rsidRDefault="00CB11FC" w:rsidP="005A1F7F">
            <w:pPr>
              <w:ind w:left="441"/>
              <w:rPr>
                <w:rFonts w:ascii="Arial" w:hAnsi="Arial" w:cs="Arial"/>
                <w:sz w:val="16"/>
                <w:szCs w:val="16"/>
                <w:lang w:bidi="th-TH"/>
              </w:rPr>
            </w:pPr>
          </w:p>
          <w:p w14:paraId="05B29029" w14:textId="77777777" w:rsidR="00CB11FC" w:rsidRDefault="00CB11FC" w:rsidP="005A1F7F">
            <w:pPr>
              <w:ind w:left="441"/>
              <w:rPr>
                <w:rFonts w:ascii="Arial" w:hAnsi="Arial" w:cs="Arial"/>
                <w:sz w:val="16"/>
                <w:szCs w:val="16"/>
                <w:lang w:bidi="th-TH"/>
              </w:rPr>
            </w:pPr>
          </w:p>
          <w:p w14:paraId="2E511591"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7</w:t>
            </w:r>
          </w:p>
        </w:tc>
      </w:tr>
      <w:tr w:rsidR="00CB11FC" w:rsidRPr="00811500" w14:paraId="2641656C" w14:textId="77777777" w:rsidTr="00DC2E3C">
        <w:trPr>
          <w:cantSplit/>
          <w:trHeight w:val="1611"/>
        </w:trPr>
        <w:tc>
          <w:tcPr>
            <w:tcW w:w="1707" w:type="pct"/>
            <w:shd w:val="clear" w:color="auto" w:fill="auto"/>
            <w:tcMar>
              <w:top w:w="85" w:type="dxa"/>
              <w:bottom w:w="85" w:type="dxa"/>
            </w:tcMar>
          </w:tcPr>
          <w:p w14:paraId="79328FE7" w14:textId="4684B15F"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23C79A90" w14:textId="77777777" w:rsidR="00CB11FC" w:rsidRDefault="00CB11FC" w:rsidP="005A1F7F">
            <w:pPr>
              <w:rPr>
                <w:rFonts w:ascii="Arial" w:hAnsi="Arial" w:cs="Arial"/>
                <w:color w:val="000000"/>
                <w:sz w:val="16"/>
                <w:szCs w:val="16"/>
              </w:rPr>
            </w:pPr>
            <w:r w:rsidRPr="0088483D">
              <w:rPr>
                <w:rFonts w:ascii="Arial" w:hAnsi="Arial" w:cs="Arial"/>
                <w:color w:val="000000"/>
                <w:sz w:val="16"/>
                <w:szCs w:val="16"/>
              </w:rPr>
              <w:t>No. of IP disputes originating from transition and developed countries prevented/resolved by  WIPO mediation, arbitration and other alternative dispute resolution methods</w:t>
            </w:r>
          </w:p>
          <w:p w14:paraId="3B8153B7" w14:textId="77777777" w:rsidR="00CB11FC" w:rsidRDefault="00CB11FC" w:rsidP="005A1F7F">
            <w:pPr>
              <w:rPr>
                <w:rFonts w:ascii="Arial" w:hAnsi="Arial" w:cs="Arial"/>
                <w:color w:val="000000"/>
                <w:sz w:val="16"/>
                <w:szCs w:val="16"/>
              </w:rPr>
            </w:pPr>
          </w:p>
          <w:p w14:paraId="6B755F4E" w14:textId="77777777" w:rsidR="00CB11FC" w:rsidRPr="00811500" w:rsidRDefault="00CB11FC" w:rsidP="005A1F7F">
            <w:pPr>
              <w:rPr>
                <w:rFonts w:ascii="Arial" w:hAnsi="Arial" w:cs="Arial"/>
                <w:sz w:val="16"/>
                <w:szCs w:val="16"/>
              </w:rPr>
            </w:pPr>
            <w:r>
              <w:rPr>
                <w:rFonts w:ascii="Arial" w:hAnsi="Arial" w:cs="Arial"/>
                <w:color w:val="000000"/>
                <w:sz w:val="16"/>
                <w:szCs w:val="16"/>
              </w:rPr>
              <w:t>Increased consideration of the use of alternative dispute resolution services in IP transactions, including through the use of WIPO procedures</w:t>
            </w:r>
          </w:p>
        </w:tc>
        <w:tc>
          <w:tcPr>
            <w:tcW w:w="1341" w:type="pct"/>
            <w:shd w:val="clear" w:color="auto" w:fill="FFFFFF"/>
            <w:tcMar>
              <w:top w:w="85" w:type="dxa"/>
              <w:bottom w:w="85" w:type="dxa"/>
            </w:tcMar>
          </w:tcPr>
          <w:p w14:paraId="10D62CA6" w14:textId="77777777" w:rsidR="00CB11FC" w:rsidRDefault="00CB11FC" w:rsidP="005A1F7F">
            <w:pPr>
              <w:ind w:left="441"/>
              <w:rPr>
                <w:rFonts w:ascii="Arial" w:hAnsi="Arial" w:cs="Arial"/>
                <w:sz w:val="16"/>
                <w:szCs w:val="16"/>
                <w:lang w:bidi="th-TH"/>
              </w:rPr>
            </w:pPr>
            <w:r w:rsidRPr="0088483D">
              <w:rPr>
                <w:rFonts w:ascii="Arial" w:hAnsi="Arial" w:cs="Arial"/>
                <w:sz w:val="16"/>
                <w:szCs w:val="16"/>
                <w:lang w:bidi="th-TH"/>
              </w:rPr>
              <w:t>Program 10</w:t>
            </w:r>
          </w:p>
          <w:p w14:paraId="037B92C8" w14:textId="77777777" w:rsidR="00CB11FC" w:rsidRDefault="00CB11FC" w:rsidP="005A1F7F">
            <w:pPr>
              <w:ind w:left="441"/>
              <w:rPr>
                <w:rFonts w:ascii="Arial" w:hAnsi="Arial" w:cs="Arial"/>
                <w:sz w:val="16"/>
                <w:szCs w:val="16"/>
                <w:lang w:bidi="th-TH"/>
              </w:rPr>
            </w:pPr>
          </w:p>
          <w:p w14:paraId="36BAB828" w14:textId="77777777" w:rsidR="00CB11FC" w:rsidRDefault="00CB11FC" w:rsidP="005A1F7F">
            <w:pPr>
              <w:ind w:left="441"/>
              <w:rPr>
                <w:rFonts w:ascii="Arial" w:hAnsi="Arial" w:cs="Arial"/>
                <w:sz w:val="16"/>
                <w:szCs w:val="16"/>
                <w:lang w:bidi="th-TH"/>
              </w:rPr>
            </w:pPr>
          </w:p>
          <w:p w14:paraId="3437A488" w14:textId="77777777" w:rsidR="00CB11FC" w:rsidRDefault="00CB11FC" w:rsidP="005A1F7F">
            <w:pPr>
              <w:ind w:left="441"/>
              <w:rPr>
                <w:rFonts w:ascii="Arial" w:hAnsi="Arial" w:cs="Arial"/>
                <w:sz w:val="16"/>
                <w:szCs w:val="16"/>
                <w:lang w:bidi="th-TH"/>
              </w:rPr>
            </w:pPr>
          </w:p>
          <w:p w14:paraId="55AFD29E" w14:textId="77777777" w:rsidR="00CB11FC" w:rsidRDefault="00CB11FC" w:rsidP="005A1F7F">
            <w:pPr>
              <w:ind w:left="441"/>
              <w:rPr>
                <w:rFonts w:ascii="Arial" w:hAnsi="Arial" w:cs="Arial"/>
                <w:sz w:val="16"/>
                <w:szCs w:val="16"/>
                <w:lang w:bidi="th-TH"/>
              </w:rPr>
            </w:pPr>
          </w:p>
          <w:p w14:paraId="552FCFBD" w14:textId="77777777" w:rsidR="00CB11FC" w:rsidRPr="00811500" w:rsidRDefault="00CB11FC" w:rsidP="005A1F7F">
            <w:pPr>
              <w:ind w:left="441"/>
              <w:rPr>
                <w:rFonts w:ascii="Arial" w:hAnsi="Arial" w:cs="Arial"/>
                <w:sz w:val="16"/>
                <w:szCs w:val="16"/>
                <w:lang w:bidi="th-TH"/>
              </w:rPr>
            </w:pPr>
            <w:r>
              <w:rPr>
                <w:rFonts w:ascii="Arial" w:hAnsi="Arial" w:cs="Arial"/>
                <w:sz w:val="16"/>
                <w:szCs w:val="16"/>
                <w:lang w:bidi="th-TH"/>
              </w:rPr>
              <w:t>Program 20</w:t>
            </w:r>
          </w:p>
        </w:tc>
      </w:tr>
      <w:tr w:rsidR="00CB11FC" w:rsidRPr="00811500" w14:paraId="64C23C6C" w14:textId="77777777" w:rsidTr="00DC2E3C">
        <w:trPr>
          <w:cantSplit/>
          <w:trHeight w:val="305"/>
        </w:trPr>
        <w:tc>
          <w:tcPr>
            <w:tcW w:w="1707" w:type="pct"/>
            <w:shd w:val="clear" w:color="auto" w:fill="auto"/>
            <w:tcMar>
              <w:top w:w="85" w:type="dxa"/>
              <w:bottom w:w="85" w:type="dxa"/>
            </w:tcMar>
          </w:tcPr>
          <w:p w14:paraId="35DC98F5" w14:textId="27B7B7BE" w:rsidR="00CB11FC" w:rsidRPr="00811500" w:rsidRDefault="00CB11FC" w:rsidP="005A1F7F">
            <w:pPr>
              <w:rPr>
                <w:rFonts w:ascii="Arial" w:hAnsi="Arial" w:cs="Arial"/>
                <w:sz w:val="16"/>
                <w:szCs w:val="16"/>
              </w:rPr>
            </w:pPr>
            <w:r w:rsidRPr="00811500">
              <w:rPr>
                <w:rFonts w:ascii="Arial" w:hAnsi="Arial" w:cs="Arial"/>
                <w:sz w:val="16"/>
                <w:szCs w:val="16"/>
              </w:rPr>
              <w:t>II.9 Effective intellectual property protection in the gTLDs and the ccTLDs</w:t>
            </w:r>
          </w:p>
        </w:tc>
        <w:tc>
          <w:tcPr>
            <w:tcW w:w="1952" w:type="pct"/>
            <w:shd w:val="clear" w:color="auto" w:fill="auto"/>
            <w:tcMar>
              <w:top w:w="85" w:type="dxa"/>
              <w:bottom w:w="85" w:type="dxa"/>
            </w:tcMar>
          </w:tcPr>
          <w:p w14:paraId="6AE4B5BC" w14:textId="77777777" w:rsidR="00CB11FC" w:rsidRPr="0088483D" w:rsidRDefault="00CB11FC" w:rsidP="005A1F7F">
            <w:pPr>
              <w:rPr>
                <w:rFonts w:ascii="Arial" w:hAnsi="Arial" w:cs="Arial"/>
                <w:sz w:val="16"/>
                <w:szCs w:val="16"/>
                <w:highlight w:val="yellow"/>
              </w:rPr>
            </w:pPr>
            <w:r>
              <w:rPr>
                <w:rFonts w:ascii="Arial" w:hAnsi="Arial" w:cs="Arial"/>
                <w:color w:val="000000"/>
                <w:sz w:val="16"/>
                <w:szCs w:val="16"/>
              </w:rPr>
              <w:t>No. of UDRP based gTLD and ccTLD cases administered by the Center</w:t>
            </w:r>
          </w:p>
        </w:tc>
        <w:tc>
          <w:tcPr>
            <w:tcW w:w="1341" w:type="pct"/>
            <w:shd w:val="clear" w:color="auto" w:fill="FFFFFF"/>
            <w:tcMar>
              <w:top w:w="85" w:type="dxa"/>
              <w:bottom w:w="85" w:type="dxa"/>
            </w:tcMar>
          </w:tcPr>
          <w:p w14:paraId="631CD91E" w14:textId="77777777" w:rsidR="00CB11FC" w:rsidRPr="00DD2110" w:rsidRDefault="00CB11FC" w:rsidP="005A1F7F">
            <w:pPr>
              <w:ind w:left="441"/>
              <w:rPr>
                <w:rFonts w:ascii="Arial" w:hAnsi="Arial" w:cs="Arial"/>
                <w:sz w:val="16"/>
                <w:szCs w:val="16"/>
                <w:highlight w:val="yellow"/>
                <w:lang w:bidi="th-TH"/>
              </w:rPr>
            </w:pPr>
            <w:r w:rsidRPr="00811500">
              <w:rPr>
                <w:rFonts w:ascii="Arial" w:hAnsi="Arial" w:cs="Arial"/>
                <w:sz w:val="16"/>
                <w:szCs w:val="16"/>
                <w:lang w:bidi="th-TH"/>
              </w:rPr>
              <w:t>Program 7</w:t>
            </w:r>
          </w:p>
        </w:tc>
      </w:tr>
      <w:tr w:rsidR="00CB11FC" w:rsidRPr="00811500" w14:paraId="64879552" w14:textId="77777777" w:rsidTr="00DC2E3C">
        <w:trPr>
          <w:cantSplit/>
          <w:trHeight w:val="289"/>
        </w:trPr>
        <w:tc>
          <w:tcPr>
            <w:tcW w:w="1707" w:type="pct"/>
            <w:shd w:val="clear" w:color="auto" w:fill="auto"/>
            <w:tcMar>
              <w:top w:w="85" w:type="dxa"/>
              <w:bottom w:w="85" w:type="dxa"/>
            </w:tcMar>
          </w:tcPr>
          <w:p w14:paraId="0A94E3FD" w14:textId="6B955C74" w:rsidR="00CB11FC" w:rsidRPr="00811500" w:rsidRDefault="00CB11FC" w:rsidP="005A1F7F">
            <w:pPr>
              <w:rPr>
                <w:rFonts w:ascii="Arial" w:hAnsi="Arial" w:cs="Arial"/>
                <w:sz w:val="16"/>
                <w:szCs w:val="16"/>
              </w:rPr>
            </w:pPr>
          </w:p>
        </w:tc>
        <w:tc>
          <w:tcPr>
            <w:tcW w:w="1952" w:type="pct"/>
            <w:shd w:val="clear" w:color="auto" w:fill="auto"/>
            <w:tcMar>
              <w:top w:w="85" w:type="dxa"/>
              <w:bottom w:w="85" w:type="dxa"/>
            </w:tcMar>
          </w:tcPr>
          <w:p w14:paraId="0CFB11D7" w14:textId="77777777" w:rsidR="00CB11FC" w:rsidRPr="00811500" w:rsidRDefault="00CB11FC" w:rsidP="005A1F7F">
            <w:pPr>
              <w:rPr>
                <w:rFonts w:ascii="Arial" w:hAnsi="Arial" w:cs="Arial"/>
                <w:sz w:val="16"/>
                <w:szCs w:val="16"/>
              </w:rPr>
            </w:pPr>
            <w:r>
              <w:rPr>
                <w:rFonts w:ascii="Arial" w:hAnsi="Arial" w:cs="Arial"/>
                <w:color w:val="000000"/>
                <w:sz w:val="16"/>
                <w:szCs w:val="16"/>
              </w:rPr>
              <w:t>Dispute resolution policies in the Domain Name System to which the Center has contributed in respect of their development and implementation</w:t>
            </w:r>
          </w:p>
        </w:tc>
        <w:tc>
          <w:tcPr>
            <w:tcW w:w="1341" w:type="pct"/>
            <w:shd w:val="clear" w:color="auto" w:fill="FFFFFF"/>
            <w:tcMar>
              <w:top w:w="85" w:type="dxa"/>
              <w:bottom w:w="85" w:type="dxa"/>
            </w:tcMar>
          </w:tcPr>
          <w:p w14:paraId="16E83009" w14:textId="77777777" w:rsidR="00CB11FC" w:rsidRPr="00811500" w:rsidRDefault="00CB11FC" w:rsidP="005A1F7F">
            <w:pPr>
              <w:ind w:left="441"/>
              <w:rPr>
                <w:rFonts w:ascii="Arial" w:hAnsi="Arial" w:cs="Arial"/>
                <w:sz w:val="16"/>
                <w:szCs w:val="16"/>
                <w:lang w:bidi="th-TH"/>
              </w:rPr>
            </w:pPr>
            <w:r w:rsidRPr="00811500">
              <w:rPr>
                <w:rFonts w:ascii="Arial" w:hAnsi="Arial" w:cs="Arial"/>
                <w:sz w:val="16"/>
                <w:szCs w:val="16"/>
                <w:lang w:bidi="th-TH"/>
              </w:rPr>
              <w:t>Program 7</w:t>
            </w:r>
          </w:p>
        </w:tc>
      </w:tr>
    </w:tbl>
    <w:p w14:paraId="13E90469" w14:textId="77777777" w:rsidR="00C9789B" w:rsidRDefault="00C9789B">
      <w:pPr>
        <w:rPr>
          <w:rFonts w:ascii="Arial" w:hAnsi="Arial" w:cs="Arial"/>
          <w:sz w:val="20"/>
          <w:szCs w:val="20"/>
        </w:rPr>
      </w:pPr>
    </w:p>
    <w:p w14:paraId="28F51D7C" w14:textId="767FFB56" w:rsidR="00D049E6" w:rsidRPr="009B4A78" w:rsidRDefault="00D049E6">
      <w:pPr>
        <w:rPr>
          <w:rFonts w:ascii="Arial" w:hAnsi="Arial" w:cs="Arial"/>
          <w:sz w:val="20"/>
          <w:szCs w:val="20"/>
        </w:rPr>
      </w:pPr>
      <w:r w:rsidRPr="009B4A78">
        <w:rPr>
          <w:rFonts w:ascii="Arial" w:hAnsi="Arial" w:cs="Arial"/>
          <w:sz w:val="20"/>
          <w:szCs w:val="20"/>
        </w:rPr>
        <w:br w:type="page"/>
      </w:r>
    </w:p>
    <w:p w14:paraId="3F08D412" w14:textId="28C6A685" w:rsidR="00D049E6" w:rsidRPr="009B4A78" w:rsidRDefault="00D049E6" w:rsidP="00FB68E0">
      <w:pPr>
        <w:pStyle w:val="StyleHeading3ComplexItalic"/>
        <w:tabs>
          <w:tab w:val="clear" w:pos="1985"/>
          <w:tab w:val="left" w:pos="1843"/>
        </w:tabs>
        <w:ind w:left="1843" w:hanging="1843"/>
        <w:rPr>
          <w:rStyle w:val="StyleStyleHeading3ComplexItalicLatin12ptChar"/>
          <w:rFonts w:eastAsia="SimSun"/>
        </w:rPr>
      </w:pPr>
      <w:bookmarkStart w:id="32" w:name="_Toc367350577"/>
      <w:bookmarkStart w:id="33" w:name="_Toc427154400"/>
      <w:r w:rsidRPr="009B4A78">
        <w:rPr>
          <w:rStyle w:val="StyleStyleHeading3ComplexItalicLatin12ptChar"/>
          <w:rFonts w:eastAsia="SimSun"/>
          <w:b/>
        </w:rPr>
        <w:lastRenderedPageBreak/>
        <w:t>PROGRAM 5</w:t>
      </w:r>
      <w:r w:rsidRPr="009B4A78">
        <w:rPr>
          <w:rStyle w:val="StyleStyleHeading3ComplexItalicLatin12ptChar"/>
          <w:rFonts w:eastAsia="SimSun"/>
          <w:b/>
        </w:rPr>
        <w:tab/>
        <w:t>THE PCT SYSTEM</w:t>
      </w:r>
      <w:bookmarkEnd w:id="32"/>
      <w:bookmarkEnd w:id="33"/>
    </w:p>
    <w:p w14:paraId="50BC9938" w14:textId="77777777" w:rsidR="00D049E6" w:rsidRPr="009B4A78" w:rsidRDefault="00D049E6" w:rsidP="00F33E49">
      <w:pPr>
        <w:tabs>
          <w:tab w:val="left" w:pos="2268"/>
        </w:tabs>
        <w:ind w:left="2268" w:hanging="2268"/>
        <w:rPr>
          <w:rFonts w:ascii="Arial" w:hAnsi="Arial" w:cs="Arial"/>
          <w:bCs/>
          <w:sz w:val="20"/>
        </w:rPr>
      </w:pPr>
    </w:p>
    <w:p w14:paraId="6E4EDBA6" w14:textId="77777777" w:rsidR="00D049E6" w:rsidRPr="009B4A78" w:rsidRDefault="00D049E6" w:rsidP="00F33E49">
      <w:pPr>
        <w:tabs>
          <w:tab w:val="left" w:pos="2268"/>
        </w:tabs>
        <w:ind w:left="2268" w:hanging="2268"/>
        <w:rPr>
          <w:rFonts w:ascii="Arial" w:hAnsi="Arial" w:cs="Arial"/>
          <w:bCs/>
          <w:sz w:val="20"/>
        </w:rPr>
      </w:pPr>
    </w:p>
    <w:p w14:paraId="624D5521" w14:textId="77777777" w:rsidR="00D049E6" w:rsidRPr="009B4A78" w:rsidRDefault="00D049E6" w:rsidP="00F33E49">
      <w:pPr>
        <w:pStyle w:val="BodyTextIndent"/>
        <w:ind w:left="1985" w:hanging="1985"/>
        <w:jc w:val="both"/>
        <w:rPr>
          <w:rFonts w:ascii="Arial" w:hAnsi="Arial" w:cs="Arial"/>
          <w:sz w:val="22"/>
          <w:szCs w:val="22"/>
        </w:rPr>
      </w:pPr>
      <w:r w:rsidRPr="009B4A78">
        <w:rPr>
          <w:rFonts w:ascii="Arial" w:hAnsi="Arial" w:cs="Arial"/>
          <w:sz w:val="22"/>
          <w:szCs w:val="22"/>
        </w:rPr>
        <w:t>PLANNING CONTEXT</w:t>
      </w:r>
    </w:p>
    <w:p w14:paraId="4BC7CD7F" w14:textId="77777777" w:rsidR="00D049E6" w:rsidRPr="009B4A78" w:rsidRDefault="00D049E6" w:rsidP="00F33E49">
      <w:pPr>
        <w:tabs>
          <w:tab w:val="left" w:pos="567"/>
          <w:tab w:val="left" w:pos="1985"/>
        </w:tabs>
        <w:jc w:val="both"/>
        <w:rPr>
          <w:rFonts w:ascii="Arial" w:hAnsi="Arial" w:cs="Arial"/>
          <w:bCs/>
          <w:sz w:val="20"/>
        </w:rPr>
      </w:pPr>
    </w:p>
    <w:p w14:paraId="4B235A4D" w14:textId="77777777" w:rsidR="00D049E6" w:rsidRPr="009B4A78" w:rsidRDefault="00D049E6" w:rsidP="00B66A4A">
      <w:pPr>
        <w:numPr>
          <w:ilvl w:val="0"/>
          <w:numId w:val="6"/>
        </w:numPr>
        <w:jc w:val="both"/>
        <w:rPr>
          <w:rFonts w:ascii="Arial" w:hAnsi="Arial" w:cs="Arial"/>
          <w:bCs/>
          <w:sz w:val="20"/>
        </w:rPr>
      </w:pPr>
      <w:r w:rsidRPr="009B4A78">
        <w:rPr>
          <w:rFonts w:ascii="Arial" w:hAnsi="Arial" w:cs="Arial"/>
          <w:sz w:val="20"/>
        </w:rPr>
        <w:t>The PCT system accounts for approximately three quarters of WIPO’s income.  The PCT also accounts for 54 per cent of patent applications filed in more than one country.  To maintain and strengthen the PCT as the preferred route for users of the international patent system in the next biennium, it will be necessary to ensure that the PCT System meets the challenges of an increasingly dynamic global market for patent services, characterized by:</w:t>
      </w:r>
    </w:p>
    <w:p w14:paraId="264C1BA8" w14:textId="77777777" w:rsidR="00D049E6" w:rsidRPr="009B4A78" w:rsidRDefault="00D049E6" w:rsidP="00F33E49">
      <w:pPr>
        <w:jc w:val="both"/>
        <w:rPr>
          <w:rFonts w:ascii="Arial" w:hAnsi="Arial" w:cs="Arial"/>
          <w:bCs/>
          <w:sz w:val="20"/>
        </w:rPr>
      </w:pPr>
    </w:p>
    <w:p w14:paraId="50CDD425"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An uncertain economic environment with a hesitant performance of the world economy;</w:t>
      </w:r>
    </w:p>
    <w:p w14:paraId="035080A9"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The need for quality and timeliness of reports prepared by International Searching and Preliminary Examination Authorities;</w:t>
      </w:r>
    </w:p>
    <w:p w14:paraId="4264987B"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Increasingly diverse geographical composition of demand for patent protection and of PCT international application filing activities;</w:t>
      </w:r>
    </w:p>
    <w:p w14:paraId="283A6C4C"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Increasing linguistic diversity of both prior art and PCT international applications;</w:t>
      </w:r>
    </w:p>
    <w:p w14:paraId="64596045"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Limited numbers of international applications filed by many developing and least developed countries;</w:t>
      </w:r>
    </w:p>
    <w:p w14:paraId="53CF2DE7"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Growing demand from existing and new PCT users for training;</w:t>
      </w:r>
    </w:p>
    <w:p w14:paraId="4E20D3E7" w14:textId="77777777" w:rsidR="00D049E6" w:rsidRPr="009B4A78" w:rsidRDefault="00D049E6" w:rsidP="00B66A4A">
      <w:pPr>
        <w:numPr>
          <w:ilvl w:val="0"/>
          <w:numId w:val="7"/>
        </w:numPr>
        <w:spacing w:after="120"/>
        <w:ind w:hanging="513"/>
        <w:jc w:val="both"/>
        <w:rPr>
          <w:rFonts w:ascii="Arial" w:hAnsi="Arial" w:cs="Arial"/>
          <w:bCs/>
          <w:sz w:val="20"/>
        </w:rPr>
      </w:pPr>
      <w:r w:rsidRPr="009B4A78">
        <w:rPr>
          <w:rFonts w:ascii="Arial" w:hAnsi="Arial" w:cs="Arial"/>
          <w:bCs/>
          <w:sz w:val="20"/>
        </w:rPr>
        <w:t>Variation in how, and the extent to which, customers use the PCT over other methods; and</w:t>
      </w:r>
    </w:p>
    <w:p w14:paraId="5C6E2EB7" w14:textId="77777777" w:rsidR="00D049E6" w:rsidRPr="009B4A78" w:rsidRDefault="00D049E6" w:rsidP="00B66A4A">
      <w:pPr>
        <w:numPr>
          <w:ilvl w:val="0"/>
          <w:numId w:val="7"/>
        </w:numPr>
        <w:ind w:left="1077" w:hanging="513"/>
        <w:jc w:val="both"/>
        <w:rPr>
          <w:rFonts w:ascii="Arial" w:hAnsi="Arial" w:cs="Arial"/>
          <w:bCs/>
          <w:sz w:val="20"/>
        </w:rPr>
      </w:pPr>
      <w:r w:rsidRPr="009B4A78">
        <w:rPr>
          <w:rFonts w:ascii="Arial" w:hAnsi="Arial" w:cs="Arial"/>
          <w:bCs/>
          <w:sz w:val="20"/>
        </w:rPr>
        <w:t>Availability of new information and communication technologies, increasing both expectations and practicality of making a fully electronic processing environment available to all applicants.</w:t>
      </w:r>
    </w:p>
    <w:p w14:paraId="0A030E9B" w14:textId="77777777" w:rsidR="00D049E6" w:rsidRPr="009B4A78" w:rsidRDefault="00D049E6" w:rsidP="00F33E49">
      <w:pPr>
        <w:tabs>
          <w:tab w:val="left" w:pos="1985"/>
        </w:tabs>
        <w:jc w:val="both"/>
        <w:rPr>
          <w:rFonts w:ascii="Arial" w:hAnsi="Arial" w:cs="Arial"/>
          <w:bCs/>
          <w:sz w:val="20"/>
        </w:rPr>
      </w:pPr>
    </w:p>
    <w:p w14:paraId="325407E8" w14:textId="77777777" w:rsidR="00D049E6" w:rsidRPr="009B4A78" w:rsidRDefault="00D049E6" w:rsidP="00F33E49">
      <w:pPr>
        <w:tabs>
          <w:tab w:val="left" w:pos="567"/>
          <w:tab w:val="left" w:pos="1985"/>
        </w:tabs>
        <w:jc w:val="both"/>
        <w:rPr>
          <w:rFonts w:ascii="Arial" w:hAnsi="Arial" w:cs="Arial"/>
          <w:bCs/>
          <w:sz w:val="20"/>
        </w:rPr>
      </w:pPr>
    </w:p>
    <w:p w14:paraId="5CC02094" w14:textId="77777777" w:rsidR="00D049E6" w:rsidRPr="009B4A78" w:rsidRDefault="00D049E6" w:rsidP="00F33E49">
      <w:pPr>
        <w:tabs>
          <w:tab w:val="left" w:pos="567"/>
          <w:tab w:val="left" w:pos="1985"/>
        </w:tabs>
        <w:jc w:val="both"/>
        <w:rPr>
          <w:rFonts w:ascii="Arial" w:hAnsi="Arial" w:cs="Arial"/>
          <w:bCs/>
        </w:rPr>
      </w:pPr>
      <w:r w:rsidRPr="009B4A78">
        <w:rPr>
          <w:rFonts w:ascii="Arial" w:hAnsi="Arial" w:cs="Arial"/>
          <w:bCs/>
        </w:rPr>
        <w:t>IMPLEMENTATION STRATEGIES</w:t>
      </w:r>
    </w:p>
    <w:p w14:paraId="51AEAAAD" w14:textId="77777777" w:rsidR="00D049E6" w:rsidRPr="009B4A78" w:rsidRDefault="00D049E6" w:rsidP="00F33E49">
      <w:pPr>
        <w:tabs>
          <w:tab w:val="left" w:pos="567"/>
          <w:tab w:val="left" w:pos="1985"/>
        </w:tabs>
        <w:jc w:val="both"/>
        <w:rPr>
          <w:rFonts w:ascii="Arial" w:hAnsi="Arial" w:cs="Arial"/>
          <w:bCs/>
          <w:sz w:val="20"/>
        </w:rPr>
      </w:pPr>
    </w:p>
    <w:p w14:paraId="34D691AE" w14:textId="77777777" w:rsidR="00D049E6" w:rsidRPr="009B4A78" w:rsidRDefault="00D049E6" w:rsidP="00B66A4A">
      <w:pPr>
        <w:numPr>
          <w:ilvl w:val="0"/>
          <w:numId w:val="6"/>
        </w:numPr>
        <w:jc w:val="both"/>
        <w:rPr>
          <w:rFonts w:ascii="Arial" w:hAnsi="Arial" w:cs="Arial"/>
          <w:bCs/>
          <w:sz w:val="20"/>
        </w:rPr>
      </w:pPr>
      <w:r w:rsidRPr="009B4A78">
        <w:rPr>
          <w:rFonts w:ascii="Arial" w:hAnsi="Arial" w:cs="Arial"/>
          <w:bCs/>
          <w:sz w:val="20"/>
        </w:rPr>
        <w:t xml:space="preserve">The engagement of all stakeholders is crucial for the optimum functioning of the PCT system. Therefore, the </w:t>
      </w:r>
      <w:r w:rsidRPr="009B4A78">
        <w:rPr>
          <w:rFonts w:ascii="Arial" w:hAnsi="Arial" w:cs="Arial"/>
          <w:sz w:val="20"/>
        </w:rPr>
        <w:t xml:space="preserve">Program </w:t>
      </w:r>
      <w:r w:rsidRPr="009B4A78">
        <w:rPr>
          <w:rFonts w:ascii="Arial" w:hAnsi="Arial" w:cs="Arial"/>
          <w:bCs/>
          <w:sz w:val="20"/>
        </w:rPr>
        <w:t>will focus on communication and cooperation among stakeholders, as well as on efficiency gains to the benefit of stakeholders.  The following implementation strategies will be pursued:</w:t>
      </w:r>
    </w:p>
    <w:p w14:paraId="269F8A18" w14:textId="77777777" w:rsidR="00D049E6" w:rsidRPr="009B4A78" w:rsidRDefault="00D049E6" w:rsidP="00F33E49">
      <w:pPr>
        <w:tabs>
          <w:tab w:val="left" w:pos="1985"/>
          <w:tab w:val="left" w:pos="2552"/>
        </w:tabs>
        <w:spacing w:after="60"/>
        <w:jc w:val="both"/>
        <w:rPr>
          <w:rFonts w:ascii="Arial" w:hAnsi="Arial" w:cs="Arial"/>
          <w:sz w:val="20"/>
        </w:rPr>
      </w:pPr>
    </w:p>
    <w:p w14:paraId="518171F1"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sz w:val="20"/>
        </w:rPr>
        <w:t>Using ePCT and other tools to provide greater automation of processing and more effective communication between applicants, the International Bureau and national Offices, with a view towards more efficient and higher quality interaction with the PCT system by its participants and towards perfecting security requirements;</w:t>
      </w:r>
    </w:p>
    <w:p w14:paraId="6DFCFF5E" w14:textId="7B0EF44F"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sz w:val="20"/>
        </w:rPr>
        <w:t>Initiate efforts to further enhance the resilience and security levels of the ICT Infrastru</w:t>
      </w:r>
      <w:r w:rsidR="000E09BC">
        <w:rPr>
          <w:rFonts w:ascii="Arial" w:hAnsi="Arial" w:cs="Arial"/>
          <w:sz w:val="20"/>
        </w:rPr>
        <w:t>c</w:t>
      </w:r>
      <w:r w:rsidRPr="009B4A78">
        <w:rPr>
          <w:rFonts w:ascii="Arial" w:hAnsi="Arial" w:cs="Arial"/>
          <w:sz w:val="20"/>
        </w:rPr>
        <w:t xml:space="preserve">ture underlying the PCT business and information systems in collaboration with Program </w:t>
      </w:r>
      <w:r w:rsidR="000E09BC">
        <w:rPr>
          <w:rFonts w:ascii="Arial" w:hAnsi="Arial" w:cs="Arial"/>
          <w:sz w:val="20"/>
        </w:rPr>
        <w:t>2</w:t>
      </w:r>
      <w:r w:rsidRPr="009B4A78">
        <w:rPr>
          <w:rFonts w:ascii="Arial" w:hAnsi="Arial" w:cs="Arial"/>
          <w:sz w:val="20"/>
        </w:rPr>
        <w:t>5 (ICT)</w:t>
      </w:r>
    </w:p>
    <w:p w14:paraId="1DDDAAAB"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sz w:val="20"/>
        </w:rPr>
        <w:t>Support for efforts by the International Authorities to improve the quality and timeliness of their work products, including the development of quality metrics and investigation of collaborative search and examination of PCT applications;</w:t>
      </w:r>
    </w:p>
    <w:p w14:paraId="5BE91CCA"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bCs/>
          <w:sz w:val="20"/>
        </w:rPr>
        <w:t>Continued</w:t>
      </w:r>
      <w:r w:rsidRPr="009B4A78">
        <w:rPr>
          <w:rFonts w:ascii="Arial" w:hAnsi="Arial" w:cs="Arial"/>
          <w:sz w:val="20"/>
        </w:rPr>
        <w:t xml:space="preserve"> study of additional ways to improve the PCT system, while implementing specific measures already approved by the Member States;</w:t>
      </w:r>
    </w:p>
    <w:p w14:paraId="190253D7"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bCs/>
          <w:sz w:val="20"/>
        </w:rPr>
        <w:t>Enhanced</w:t>
      </w:r>
      <w:r w:rsidRPr="009B4A78">
        <w:rPr>
          <w:rFonts w:ascii="Arial" w:hAnsi="Arial" w:cs="Arial"/>
          <w:sz w:val="20"/>
        </w:rPr>
        <w:t xml:space="preserve"> communications with PCT customers and stakeholders, through surveys and other outreach to</w:t>
      </w:r>
      <w:r w:rsidRPr="009B4A78">
        <w:rPr>
          <w:rFonts w:ascii="Arial" w:hAnsi="Arial" w:cs="Arial"/>
          <w:bCs/>
          <w:sz w:val="20"/>
        </w:rPr>
        <w:t xml:space="preserve"> identify needs and to improve effectiveness of PCT service;</w:t>
      </w:r>
    </w:p>
    <w:p w14:paraId="09572C83"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bCs/>
          <w:sz w:val="20"/>
        </w:rPr>
        <w:t>Provision of</w:t>
      </w:r>
      <w:r w:rsidRPr="009B4A78">
        <w:rPr>
          <w:rFonts w:ascii="Arial" w:hAnsi="Arial" w:cs="Arial"/>
          <w:sz w:val="20"/>
        </w:rPr>
        <w:t xml:space="preserve"> training to more PCT users, employing technological methods, such as webinars and video conferencing;</w:t>
      </w:r>
    </w:p>
    <w:p w14:paraId="7053430D"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bCs/>
          <w:sz w:val="20"/>
        </w:rPr>
        <w:t>Streamlined</w:t>
      </w:r>
      <w:r w:rsidRPr="009B4A78">
        <w:rPr>
          <w:rFonts w:ascii="Arial" w:hAnsi="Arial" w:cs="Arial"/>
          <w:sz w:val="20"/>
        </w:rPr>
        <w:t xml:space="preserve"> preparation and dissemination of PCT information;</w:t>
      </w:r>
    </w:p>
    <w:p w14:paraId="45404308" w14:textId="77777777" w:rsidR="00D049E6" w:rsidRPr="009B4A78" w:rsidRDefault="00D049E6" w:rsidP="00B66A4A">
      <w:pPr>
        <w:numPr>
          <w:ilvl w:val="0"/>
          <w:numId w:val="7"/>
        </w:numPr>
        <w:spacing w:after="120"/>
        <w:ind w:left="1134" w:hanging="567"/>
        <w:jc w:val="both"/>
        <w:rPr>
          <w:rFonts w:ascii="Arial" w:hAnsi="Arial" w:cs="Arial"/>
          <w:sz w:val="20"/>
        </w:rPr>
      </w:pPr>
      <w:r w:rsidRPr="009B4A78">
        <w:rPr>
          <w:rFonts w:ascii="Arial" w:hAnsi="Arial" w:cs="Arial"/>
          <w:bCs/>
          <w:sz w:val="20"/>
        </w:rPr>
        <w:lastRenderedPageBreak/>
        <w:t>Continued</w:t>
      </w:r>
      <w:r w:rsidRPr="009B4A78">
        <w:rPr>
          <w:rFonts w:ascii="Arial" w:hAnsi="Arial" w:cs="Arial"/>
          <w:sz w:val="20"/>
        </w:rPr>
        <w:t xml:space="preserve"> alignment of staff skill sets with needs, particularly in view of changing linguistic and geographical demand.</w:t>
      </w:r>
    </w:p>
    <w:p w14:paraId="4D5866BE" w14:textId="77777777" w:rsidR="00D049E6" w:rsidRPr="009B4A78" w:rsidRDefault="00D049E6" w:rsidP="00B66A4A">
      <w:pPr>
        <w:numPr>
          <w:ilvl w:val="0"/>
          <w:numId w:val="7"/>
        </w:numPr>
        <w:spacing w:after="120"/>
        <w:ind w:hanging="513"/>
        <w:jc w:val="both"/>
        <w:rPr>
          <w:rFonts w:ascii="Arial" w:hAnsi="Arial" w:cs="Arial"/>
          <w:sz w:val="20"/>
        </w:rPr>
      </w:pPr>
      <w:r w:rsidRPr="009B4A78">
        <w:rPr>
          <w:rFonts w:ascii="Arial" w:hAnsi="Arial" w:cs="Arial"/>
          <w:bCs/>
          <w:sz w:val="20"/>
        </w:rPr>
        <w:t>Continued</w:t>
      </w:r>
      <w:r w:rsidRPr="009B4A78">
        <w:rPr>
          <w:rFonts w:ascii="Arial" w:hAnsi="Arial" w:cs="Arial"/>
          <w:sz w:val="20"/>
        </w:rPr>
        <w:t xml:space="preserve"> study and implementation of cost control and efficiency measures within PCT operations;  and</w:t>
      </w:r>
    </w:p>
    <w:p w14:paraId="536A62E2" w14:textId="77777777" w:rsidR="00D049E6" w:rsidRPr="009B4A78" w:rsidRDefault="00D049E6" w:rsidP="00B66A4A">
      <w:pPr>
        <w:numPr>
          <w:ilvl w:val="0"/>
          <w:numId w:val="7"/>
        </w:numPr>
        <w:spacing w:after="120"/>
        <w:ind w:hanging="513"/>
        <w:jc w:val="both"/>
        <w:rPr>
          <w:rFonts w:ascii="Arial" w:hAnsi="Arial" w:cs="Arial"/>
          <w:sz w:val="20"/>
        </w:rPr>
      </w:pPr>
      <w:r w:rsidRPr="009B4A78">
        <w:rPr>
          <w:rFonts w:ascii="Arial" w:hAnsi="Arial" w:cs="Arial"/>
          <w:bCs/>
          <w:sz w:val="20"/>
        </w:rPr>
        <w:t>Continued</w:t>
      </w:r>
      <w:r w:rsidRPr="009B4A78">
        <w:rPr>
          <w:rFonts w:ascii="Arial" w:hAnsi="Arial" w:cs="Arial"/>
          <w:sz w:val="20"/>
        </w:rPr>
        <w:t xml:space="preserve"> cooperation with other Programs concerning PCT technical assistance and capacity building for developing countries and LDCs as illustrated below.</w:t>
      </w:r>
    </w:p>
    <w:p w14:paraId="33606C77" w14:textId="77777777" w:rsidR="00D049E6" w:rsidRPr="009B4A78" w:rsidRDefault="00D049E6" w:rsidP="00F33E49">
      <w:pPr>
        <w:spacing w:after="120"/>
        <w:jc w:val="both"/>
        <w:rPr>
          <w:rFonts w:ascii="Arial" w:hAnsi="Arial" w:cs="Arial"/>
          <w:sz w:val="20"/>
        </w:rPr>
      </w:pPr>
      <w:r w:rsidRPr="009B4A78">
        <w:rPr>
          <w:rFonts w:ascii="Arial" w:hAnsi="Arial" w:cs="Arial"/>
          <w:noProof/>
        </w:rPr>
        <w:t xml:space="preserve"> </w:t>
      </w:r>
      <w:r w:rsidRPr="002F58D0">
        <w:rPr>
          <w:rFonts w:ascii="Arial" w:hAnsi="Arial" w:cs="Arial"/>
          <w:noProof/>
          <w:lang w:eastAsia="en-US"/>
        </w:rPr>
        <w:drawing>
          <wp:inline distT="0" distB="0" distL="0" distR="0" wp14:anchorId="08BBDC9C" wp14:editId="2A0B017F">
            <wp:extent cx="5943600" cy="1958196"/>
            <wp:effectExtent l="0" t="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152DEE72" w14:textId="77777777" w:rsidR="00D049E6" w:rsidRPr="009B4A78" w:rsidRDefault="00D049E6" w:rsidP="00F33E49">
      <w:pPr>
        <w:rPr>
          <w:rFonts w:ascii="Arial" w:hAnsi="Arial" w:cs="Arial"/>
        </w:rPr>
      </w:pPr>
    </w:p>
    <w:p w14:paraId="1E213D65" w14:textId="77777777" w:rsidR="00D049E6" w:rsidRPr="00FB68E0" w:rsidRDefault="00D049E6" w:rsidP="00FB68E0">
      <w:pPr>
        <w:rPr>
          <w:rFonts w:ascii="Arial" w:hAnsi="Arial" w:cs="Arial"/>
        </w:rPr>
      </w:pPr>
      <w:r w:rsidRPr="00FB68E0">
        <w:rPr>
          <w:rFonts w:ascii="Arial" w:hAnsi="Arial" w:cs="Arial"/>
        </w:rPr>
        <w:t>MAJOR RISKS AND MITIGATION STRATEGIES</w:t>
      </w:r>
    </w:p>
    <w:p w14:paraId="7C3D0515" w14:textId="77777777" w:rsidR="00D049E6" w:rsidRPr="009B4A78" w:rsidRDefault="00D049E6" w:rsidP="00F33E49">
      <w:pPr>
        <w:rPr>
          <w:rFonts w:ascii="Arial" w:hAnsi="Arial" w:cs="Arial"/>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D049E6" w:rsidRPr="009B4A78" w14:paraId="43B86F54" w14:textId="77777777" w:rsidTr="00FB68E0">
        <w:trPr>
          <w:trHeight w:val="446"/>
        </w:trPr>
        <w:tc>
          <w:tcPr>
            <w:tcW w:w="4111" w:type="dxa"/>
            <w:tcBorders>
              <w:top w:val="single" w:sz="4" w:space="0" w:color="auto"/>
              <w:bottom w:val="single" w:sz="4" w:space="0" w:color="auto"/>
            </w:tcBorders>
            <w:shd w:val="clear" w:color="auto" w:fill="C6D9F1" w:themeFill="text2" w:themeFillTint="33"/>
            <w:vAlign w:val="center"/>
          </w:tcPr>
          <w:p w14:paraId="4BF8FC13" w14:textId="77777777" w:rsidR="00D049E6" w:rsidRPr="009B4A78" w:rsidRDefault="00D049E6" w:rsidP="00F33E49">
            <w:pPr>
              <w:jc w:val="center"/>
              <w:rPr>
                <w:rFonts w:ascii="Arial" w:hAnsi="Arial" w:cs="Arial"/>
                <w:b/>
                <w:bCs/>
                <w:sz w:val="18"/>
                <w:szCs w:val="18"/>
              </w:rPr>
            </w:pPr>
            <w:r w:rsidRPr="009B4A78">
              <w:rPr>
                <w:rFonts w:ascii="Arial" w:hAnsi="Arial" w:cs="Arial"/>
                <w:b/>
                <w:bCs/>
                <w:sz w:val="18"/>
                <w:szCs w:val="18"/>
              </w:rPr>
              <w:t>Risk</w:t>
            </w:r>
          </w:p>
        </w:tc>
        <w:tc>
          <w:tcPr>
            <w:tcW w:w="5245" w:type="dxa"/>
            <w:tcBorders>
              <w:top w:val="single" w:sz="4" w:space="0" w:color="auto"/>
              <w:bottom w:val="single" w:sz="4" w:space="0" w:color="auto"/>
            </w:tcBorders>
            <w:shd w:val="clear" w:color="auto" w:fill="C6D9F1" w:themeFill="text2" w:themeFillTint="33"/>
            <w:vAlign w:val="center"/>
          </w:tcPr>
          <w:p w14:paraId="29EB5213" w14:textId="77777777" w:rsidR="00D049E6" w:rsidRPr="009B4A78" w:rsidRDefault="00D049E6" w:rsidP="00F33E49">
            <w:pPr>
              <w:jc w:val="center"/>
              <w:rPr>
                <w:rFonts w:ascii="Arial" w:hAnsi="Arial" w:cs="Arial"/>
                <w:b/>
                <w:bCs/>
                <w:sz w:val="18"/>
                <w:szCs w:val="18"/>
              </w:rPr>
            </w:pPr>
            <w:r w:rsidRPr="009B4A78">
              <w:rPr>
                <w:rFonts w:ascii="Arial" w:hAnsi="Arial" w:cs="Arial"/>
                <w:b/>
                <w:bCs/>
                <w:sz w:val="18"/>
                <w:szCs w:val="18"/>
              </w:rPr>
              <w:t>Mitigation</w:t>
            </w:r>
          </w:p>
        </w:tc>
      </w:tr>
      <w:tr w:rsidR="00D049E6" w:rsidRPr="009B4A78" w14:paraId="347A0704" w14:textId="77777777" w:rsidTr="00F33E49">
        <w:trPr>
          <w:trHeight w:val="336"/>
        </w:trPr>
        <w:tc>
          <w:tcPr>
            <w:tcW w:w="4111" w:type="dxa"/>
            <w:tcBorders>
              <w:top w:val="single" w:sz="4" w:space="0" w:color="auto"/>
            </w:tcBorders>
            <w:shd w:val="clear" w:color="auto" w:fill="auto"/>
            <w:tcMar>
              <w:top w:w="113" w:type="dxa"/>
              <w:bottom w:w="113" w:type="dxa"/>
            </w:tcMar>
          </w:tcPr>
          <w:p w14:paraId="1593CDD9" w14:textId="77777777" w:rsidR="00D049E6" w:rsidRPr="009B4A78" w:rsidRDefault="00D049E6" w:rsidP="00F33E49">
            <w:pPr>
              <w:rPr>
                <w:rFonts w:ascii="Arial" w:hAnsi="Arial" w:cs="Arial"/>
                <w:sz w:val="16"/>
                <w:szCs w:val="16"/>
              </w:rPr>
            </w:pPr>
            <w:r w:rsidRPr="009B4A78">
              <w:rPr>
                <w:rFonts w:ascii="Arial" w:hAnsi="Arial" w:cs="Arial"/>
                <w:sz w:val="16"/>
                <w:szCs w:val="16"/>
              </w:rPr>
              <w:t>Decrease in PCT filings, in absolute terms or relative to Paris route filings</w:t>
            </w:r>
          </w:p>
        </w:tc>
        <w:tc>
          <w:tcPr>
            <w:tcW w:w="5245" w:type="dxa"/>
            <w:tcBorders>
              <w:top w:val="single" w:sz="4" w:space="0" w:color="auto"/>
            </w:tcBorders>
            <w:shd w:val="clear" w:color="auto" w:fill="auto"/>
            <w:tcMar>
              <w:top w:w="113" w:type="dxa"/>
              <w:bottom w:w="113" w:type="dxa"/>
            </w:tcMar>
          </w:tcPr>
          <w:p w14:paraId="624CB99F" w14:textId="77777777" w:rsidR="00D049E6" w:rsidRPr="009B4A78" w:rsidRDefault="00D049E6" w:rsidP="00F33E49">
            <w:pPr>
              <w:rPr>
                <w:rFonts w:ascii="Arial" w:hAnsi="Arial" w:cs="Arial"/>
                <w:sz w:val="16"/>
                <w:szCs w:val="16"/>
              </w:rPr>
            </w:pPr>
            <w:r w:rsidRPr="009B4A78">
              <w:rPr>
                <w:rFonts w:ascii="Arial" w:hAnsi="Arial" w:cs="Arial"/>
                <w:sz w:val="16"/>
                <w:szCs w:val="16"/>
              </w:rPr>
              <w:t xml:space="preserve">Continued promotion of the PCT to current and potential users </w:t>
            </w:r>
          </w:p>
        </w:tc>
      </w:tr>
      <w:tr w:rsidR="00D049E6" w:rsidRPr="009B4A78" w14:paraId="55653B27" w14:textId="77777777" w:rsidTr="00F33E49">
        <w:trPr>
          <w:trHeight w:val="454"/>
        </w:trPr>
        <w:tc>
          <w:tcPr>
            <w:tcW w:w="4111" w:type="dxa"/>
            <w:shd w:val="clear" w:color="auto" w:fill="auto"/>
            <w:tcMar>
              <w:top w:w="113" w:type="dxa"/>
              <w:bottom w:w="113" w:type="dxa"/>
            </w:tcMar>
          </w:tcPr>
          <w:p w14:paraId="486C00C4" w14:textId="77777777" w:rsidR="00D049E6" w:rsidRPr="009B4A78" w:rsidRDefault="00D049E6" w:rsidP="00F33E49">
            <w:pPr>
              <w:rPr>
                <w:rFonts w:ascii="Arial" w:hAnsi="Arial" w:cs="Arial"/>
                <w:sz w:val="16"/>
                <w:szCs w:val="16"/>
              </w:rPr>
            </w:pPr>
            <w:r w:rsidRPr="009B4A78">
              <w:rPr>
                <w:rFonts w:ascii="Arial" w:hAnsi="Arial" w:cs="Arial"/>
                <w:color w:val="000000"/>
                <w:sz w:val="16"/>
                <w:szCs w:val="16"/>
              </w:rPr>
              <w:t>Prolonged unavailability of PCT services</w:t>
            </w:r>
          </w:p>
        </w:tc>
        <w:tc>
          <w:tcPr>
            <w:tcW w:w="5245" w:type="dxa"/>
            <w:shd w:val="clear" w:color="auto" w:fill="auto"/>
            <w:tcMar>
              <w:top w:w="113" w:type="dxa"/>
              <w:bottom w:w="113" w:type="dxa"/>
            </w:tcMar>
          </w:tcPr>
          <w:p w14:paraId="726630A6" w14:textId="77777777" w:rsidR="00D049E6" w:rsidRPr="009B4A78" w:rsidRDefault="00D049E6" w:rsidP="00F33E49">
            <w:pPr>
              <w:rPr>
                <w:rFonts w:ascii="Arial" w:hAnsi="Arial" w:cs="Arial"/>
                <w:color w:val="000000"/>
                <w:sz w:val="16"/>
                <w:szCs w:val="16"/>
              </w:rPr>
            </w:pPr>
            <w:r w:rsidRPr="009B4A78">
              <w:rPr>
                <w:rFonts w:ascii="Arial" w:hAnsi="Arial" w:cs="Arial"/>
                <w:color w:val="000000"/>
                <w:sz w:val="16"/>
                <w:szCs w:val="16"/>
              </w:rPr>
              <w:t>Preparation and regular testing of Business Continuity Management plan and application of resilience improvements in system architecture.</w:t>
            </w:r>
          </w:p>
        </w:tc>
      </w:tr>
      <w:tr w:rsidR="00D049E6" w:rsidRPr="009B4A78" w14:paraId="6F3E1459" w14:textId="77777777" w:rsidTr="00F33E49">
        <w:trPr>
          <w:trHeight w:val="670"/>
        </w:trPr>
        <w:tc>
          <w:tcPr>
            <w:tcW w:w="4111" w:type="dxa"/>
            <w:shd w:val="clear" w:color="auto" w:fill="auto"/>
            <w:tcMar>
              <w:top w:w="113" w:type="dxa"/>
              <w:bottom w:w="113" w:type="dxa"/>
            </w:tcMar>
          </w:tcPr>
          <w:p w14:paraId="279B21C2" w14:textId="77777777" w:rsidR="00D049E6" w:rsidRPr="009B4A78" w:rsidRDefault="00D049E6" w:rsidP="00F33E49">
            <w:pPr>
              <w:rPr>
                <w:rFonts w:ascii="Arial" w:hAnsi="Arial" w:cs="Arial"/>
                <w:color w:val="000000"/>
                <w:sz w:val="16"/>
                <w:szCs w:val="16"/>
              </w:rPr>
            </w:pPr>
            <w:r w:rsidRPr="009B4A78">
              <w:rPr>
                <w:rFonts w:ascii="Arial" w:hAnsi="Arial" w:cs="Arial"/>
                <w:color w:val="000000"/>
                <w:sz w:val="16"/>
                <w:szCs w:val="16"/>
              </w:rPr>
              <w:t>Malicious or unintentional disclosure of confidential information</w:t>
            </w:r>
          </w:p>
        </w:tc>
        <w:tc>
          <w:tcPr>
            <w:tcW w:w="5245" w:type="dxa"/>
            <w:shd w:val="clear" w:color="auto" w:fill="auto"/>
            <w:tcMar>
              <w:top w:w="113" w:type="dxa"/>
              <w:bottom w:w="113" w:type="dxa"/>
            </w:tcMar>
          </w:tcPr>
          <w:p w14:paraId="056ADA1C" w14:textId="77777777" w:rsidR="00D049E6" w:rsidRPr="009B4A78" w:rsidRDefault="00D049E6" w:rsidP="00F33E49">
            <w:pPr>
              <w:rPr>
                <w:rFonts w:ascii="Arial" w:hAnsi="Arial" w:cs="Arial"/>
                <w:color w:val="000000"/>
                <w:sz w:val="16"/>
                <w:szCs w:val="16"/>
              </w:rPr>
            </w:pPr>
            <w:r w:rsidRPr="009B4A78">
              <w:rPr>
                <w:rFonts w:ascii="Arial" w:hAnsi="Arial" w:cs="Arial"/>
                <w:color w:val="000000"/>
                <w:sz w:val="16"/>
                <w:szCs w:val="16"/>
              </w:rPr>
              <w:t>Continued awareness program for staff; increase cutting-edge controls in the physical and electronic environment; continue to improve strategic surveillance; maintain high level of oversight with outsourced service providers.</w:t>
            </w:r>
          </w:p>
        </w:tc>
      </w:tr>
      <w:tr w:rsidR="00D049E6" w:rsidRPr="009B4A78" w14:paraId="399198EC" w14:textId="77777777" w:rsidTr="00F33E49">
        <w:trPr>
          <w:trHeight w:val="632"/>
        </w:trPr>
        <w:tc>
          <w:tcPr>
            <w:tcW w:w="4111" w:type="dxa"/>
            <w:shd w:val="clear" w:color="auto" w:fill="auto"/>
            <w:tcMar>
              <w:top w:w="113" w:type="dxa"/>
              <w:bottom w:w="113" w:type="dxa"/>
            </w:tcMar>
          </w:tcPr>
          <w:p w14:paraId="3B9F92AB" w14:textId="77777777" w:rsidR="00D049E6" w:rsidRPr="009B4A78" w:rsidRDefault="00D049E6" w:rsidP="00F33E49">
            <w:pPr>
              <w:rPr>
                <w:rFonts w:ascii="Arial" w:hAnsi="Arial" w:cs="Arial"/>
                <w:color w:val="000000"/>
                <w:sz w:val="16"/>
                <w:szCs w:val="16"/>
              </w:rPr>
            </w:pPr>
            <w:r w:rsidRPr="009B4A78">
              <w:rPr>
                <w:rFonts w:ascii="Arial" w:hAnsi="Arial" w:cs="Arial"/>
                <w:sz w:val="16"/>
                <w:szCs w:val="16"/>
                <w:lang w:eastAsia="zh-CN"/>
              </w:rPr>
              <w:t>Regression in quality of international work products</w:t>
            </w:r>
          </w:p>
        </w:tc>
        <w:tc>
          <w:tcPr>
            <w:tcW w:w="5245" w:type="dxa"/>
            <w:shd w:val="clear" w:color="auto" w:fill="auto"/>
            <w:tcMar>
              <w:top w:w="113" w:type="dxa"/>
              <w:bottom w:w="113" w:type="dxa"/>
            </w:tcMar>
          </w:tcPr>
          <w:p w14:paraId="73CA7905" w14:textId="77777777" w:rsidR="00D049E6" w:rsidRPr="009B4A78" w:rsidRDefault="00D049E6" w:rsidP="00F33E49">
            <w:pPr>
              <w:rPr>
                <w:rFonts w:ascii="Arial" w:hAnsi="Arial" w:cs="Arial"/>
                <w:b/>
                <w:i/>
                <w:color w:val="000000"/>
                <w:sz w:val="16"/>
                <w:szCs w:val="16"/>
              </w:rPr>
            </w:pPr>
            <w:r w:rsidRPr="009B4A78">
              <w:rPr>
                <w:rFonts w:ascii="Arial" w:hAnsi="Arial" w:cs="Arial"/>
                <w:color w:val="000000"/>
                <w:sz w:val="16"/>
                <w:szCs w:val="16"/>
              </w:rPr>
              <w:t>Improve staff profile alignment; continue to strengthen quality control procedures; provide training support, in particular in relation to new technologies such as</w:t>
            </w:r>
            <w:r w:rsidRPr="009B4A78" w:rsidDel="004F29C5">
              <w:rPr>
                <w:rFonts w:ascii="Arial" w:hAnsi="Arial" w:cs="Arial"/>
                <w:color w:val="000000"/>
                <w:sz w:val="16"/>
                <w:szCs w:val="16"/>
              </w:rPr>
              <w:t xml:space="preserve"> </w:t>
            </w:r>
            <w:r w:rsidRPr="009B4A78">
              <w:rPr>
                <w:rFonts w:ascii="Arial" w:hAnsi="Arial" w:cs="Arial"/>
                <w:color w:val="000000"/>
                <w:sz w:val="16"/>
                <w:szCs w:val="16"/>
              </w:rPr>
              <w:t>XML, ePCT etc.</w:t>
            </w:r>
          </w:p>
        </w:tc>
      </w:tr>
    </w:tbl>
    <w:p w14:paraId="21A462FD" w14:textId="77777777" w:rsidR="00D049E6" w:rsidRDefault="00D049E6" w:rsidP="00F33E49">
      <w:pPr>
        <w:rPr>
          <w:rFonts w:ascii="Arial" w:hAnsi="Arial" w:cs="Arial"/>
          <w:sz w:val="20"/>
        </w:rPr>
      </w:pPr>
    </w:p>
    <w:p w14:paraId="6C5F9AFC" w14:textId="77777777" w:rsidR="004B1807" w:rsidRDefault="004B1807" w:rsidP="00F33E49">
      <w:pPr>
        <w:rPr>
          <w:rFonts w:ascii="Arial" w:hAnsi="Arial" w:cs="Arial"/>
          <w:sz w:val="20"/>
        </w:rPr>
      </w:pPr>
    </w:p>
    <w:p w14:paraId="65C730A9" w14:textId="77777777" w:rsidR="00D049E6" w:rsidRPr="009B4A78" w:rsidRDefault="00D049E6" w:rsidP="004B1807">
      <w:pPr>
        <w:widowControl w:val="0"/>
        <w:tabs>
          <w:tab w:val="left" w:pos="567"/>
          <w:tab w:val="left" w:pos="1985"/>
        </w:tabs>
        <w:jc w:val="both"/>
        <w:rPr>
          <w:rFonts w:ascii="Arial" w:hAnsi="Arial" w:cs="Arial"/>
          <w:bCs/>
        </w:rPr>
      </w:pPr>
      <w:r w:rsidRPr="009B4A78">
        <w:rPr>
          <w:rFonts w:ascii="Arial" w:hAnsi="Arial" w:cs="Arial"/>
          <w:bCs/>
        </w:rPr>
        <w:t xml:space="preserve">RESULTS FRAMEWORK </w:t>
      </w:r>
    </w:p>
    <w:p w14:paraId="25A29F69" w14:textId="77777777" w:rsidR="00D049E6" w:rsidRPr="009B4A78" w:rsidRDefault="00D049E6" w:rsidP="004B1807">
      <w:pPr>
        <w:widowControl w:val="0"/>
        <w:tabs>
          <w:tab w:val="left" w:pos="567"/>
          <w:tab w:val="left" w:pos="1985"/>
        </w:tabs>
        <w:jc w:val="both"/>
        <w:rPr>
          <w:rFonts w:ascii="Arial" w:hAnsi="Arial" w:cs="Arial"/>
          <w:bCs/>
        </w:rPr>
      </w:pPr>
    </w:p>
    <w:tbl>
      <w:tblPr>
        <w:tblW w:w="9386" w:type="dxa"/>
        <w:tblLayout w:type="fixed"/>
        <w:tblCellMar>
          <w:left w:w="30" w:type="dxa"/>
          <w:right w:w="30" w:type="dxa"/>
        </w:tblCellMar>
        <w:tblLook w:val="0000" w:firstRow="0" w:lastRow="0" w:firstColumn="0" w:lastColumn="0" w:noHBand="0" w:noVBand="0"/>
      </w:tblPr>
      <w:tblGrid>
        <w:gridCol w:w="2674"/>
        <w:gridCol w:w="2397"/>
        <w:gridCol w:w="2256"/>
        <w:gridCol w:w="2059"/>
      </w:tblGrid>
      <w:tr w:rsidR="00D049E6" w:rsidRPr="009B4A78" w14:paraId="6EBD29D6" w14:textId="77777777" w:rsidTr="004B1807">
        <w:trPr>
          <w:trHeight w:val="470"/>
          <w:tblHeader/>
        </w:trPr>
        <w:tc>
          <w:tcPr>
            <w:tcW w:w="2674" w:type="dxa"/>
            <w:tcBorders>
              <w:top w:val="single" w:sz="4" w:space="0" w:color="auto"/>
              <w:left w:val="single" w:sz="4" w:space="0" w:color="auto"/>
              <w:bottom w:val="single" w:sz="4" w:space="0" w:color="auto"/>
              <w:right w:val="nil"/>
            </w:tcBorders>
            <w:shd w:val="clear" w:color="auto" w:fill="C6D9F1" w:themeFill="text2" w:themeFillTint="33"/>
            <w:vAlign w:val="center"/>
          </w:tcPr>
          <w:p w14:paraId="6ACA34B7" w14:textId="77777777" w:rsidR="00D049E6" w:rsidRPr="009B4A78" w:rsidRDefault="00D049E6" w:rsidP="004B1807">
            <w:pPr>
              <w:widowControl w:val="0"/>
              <w:autoSpaceDE w:val="0"/>
              <w:autoSpaceDN w:val="0"/>
              <w:adjustRightInd w:val="0"/>
              <w:jc w:val="center"/>
              <w:rPr>
                <w:rFonts w:ascii="Arial" w:eastAsia="SimSun" w:hAnsi="Arial" w:cs="Arial"/>
                <w:b/>
                <w:bCs/>
                <w:color w:val="000000"/>
                <w:sz w:val="18"/>
              </w:rPr>
            </w:pPr>
            <w:r w:rsidRPr="009B4A78">
              <w:rPr>
                <w:rFonts w:ascii="Arial" w:eastAsia="SimSun" w:hAnsi="Arial" w:cs="Arial"/>
                <w:b/>
                <w:bCs/>
                <w:color w:val="000000"/>
                <w:sz w:val="18"/>
              </w:rPr>
              <w:t>Expected Results</w:t>
            </w:r>
          </w:p>
        </w:tc>
        <w:tc>
          <w:tcPr>
            <w:tcW w:w="2397" w:type="dxa"/>
            <w:tcBorders>
              <w:top w:val="single" w:sz="4" w:space="0" w:color="auto"/>
              <w:left w:val="nil"/>
              <w:bottom w:val="single" w:sz="4" w:space="0" w:color="auto"/>
              <w:right w:val="nil"/>
            </w:tcBorders>
            <w:shd w:val="clear" w:color="auto" w:fill="C6D9F1" w:themeFill="text2" w:themeFillTint="33"/>
            <w:vAlign w:val="center"/>
          </w:tcPr>
          <w:p w14:paraId="6A554BCF" w14:textId="77777777" w:rsidR="00D049E6" w:rsidRPr="009B4A78" w:rsidRDefault="00D049E6" w:rsidP="004B1807">
            <w:pPr>
              <w:widowControl w:val="0"/>
              <w:autoSpaceDE w:val="0"/>
              <w:autoSpaceDN w:val="0"/>
              <w:adjustRightInd w:val="0"/>
              <w:jc w:val="center"/>
              <w:rPr>
                <w:rFonts w:ascii="Arial" w:eastAsia="SimSun" w:hAnsi="Arial" w:cs="Arial"/>
                <w:b/>
                <w:bCs/>
                <w:color w:val="000000"/>
                <w:sz w:val="18"/>
              </w:rPr>
            </w:pPr>
            <w:r w:rsidRPr="009B4A78">
              <w:rPr>
                <w:rFonts w:ascii="Arial" w:eastAsia="SimSun" w:hAnsi="Arial" w:cs="Arial"/>
                <w:b/>
                <w:bCs/>
                <w:color w:val="000000"/>
                <w:sz w:val="18"/>
              </w:rPr>
              <w:t>Performance Indicators</w:t>
            </w:r>
          </w:p>
        </w:tc>
        <w:tc>
          <w:tcPr>
            <w:tcW w:w="2256" w:type="dxa"/>
            <w:tcBorders>
              <w:top w:val="single" w:sz="4" w:space="0" w:color="auto"/>
              <w:left w:val="nil"/>
              <w:bottom w:val="single" w:sz="4" w:space="0" w:color="auto"/>
              <w:right w:val="nil"/>
            </w:tcBorders>
            <w:shd w:val="clear" w:color="auto" w:fill="C6D9F1" w:themeFill="text2" w:themeFillTint="33"/>
            <w:vAlign w:val="center"/>
          </w:tcPr>
          <w:p w14:paraId="654A43A6" w14:textId="77777777" w:rsidR="00D049E6" w:rsidRPr="009B4A78" w:rsidRDefault="00D049E6" w:rsidP="004B1807">
            <w:pPr>
              <w:widowControl w:val="0"/>
              <w:autoSpaceDE w:val="0"/>
              <w:autoSpaceDN w:val="0"/>
              <w:adjustRightInd w:val="0"/>
              <w:jc w:val="center"/>
              <w:rPr>
                <w:rFonts w:ascii="Arial" w:eastAsia="SimSun" w:hAnsi="Arial" w:cs="Arial"/>
                <w:b/>
                <w:bCs/>
                <w:color w:val="000000"/>
                <w:sz w:val="18"/>
              </w:rPr>
            </w:pPr>
            <w:r w:rsidRPr="009B4A78">
              <w:rPr>
                <w:rFonts w:ascii="Arial" w:eastAsia="SimSun" w:hAnsi="Arial" w:cs="Arial"/>
                <w:b/>
                <w:bCs/>
                <w:color w:val="000000"/>
                <w:sz w:val="18"/>
              </w:rPr>
              <w:t>Baselines</w:t>
            </w:r>
          </w:p>
        </w:tc>
        <w:tc>
          <w:tcPr>
            <w:tcW w:w="2059" w:type="dxa"/>
            <w:tcBorders>
              <w:top w:val="single" w:sz="4" w:space="0" w:color="auto"/>
              <w:left w:val="nil"/>
              <w:bottom w:val="single" w:sz="4" w:space="0" w:color="auto"/>
              <w:right w:val="single" w:sz="4" w:space="0" w:color="auto"/>
            </w:tcBorders>
            <w:shd w:val="clear" w:color="auto" w:fill="C6D9F1" w:themeFill="text2" w:themeFillTint="33"/>
            <w:vAlign w:val="center"/>
          </w:tcPr>
          <w:p w14:paraId="6D123661" w14:textId="77777777" w:rsidR="00D049E6" w:rsidRPr="009B4A78" w:rsidRDefault="00D049E6" w:rsidP="004B1807">
            <w:pPr>
              <w:widowControl w:val="0"/>
              <w:autoSpaceDE w:val="0"/>
              <w:autoSpaceDN w:val="0"/>
              <w:adjustRightInd w:val="0"/>
              <w:jc w:val="center"/>
              <w:rPr>
                <w:rFonts w:ascii="Arial" w:eastAsia="SimSun" w:hAnsi="Arial" w:cs="Arial"/>
                <w:b/>
                <w:bCs/>
                <w:color w:val="000000"/>
                <w:sz w:val="18"/>
              </w:rPr>
            </w:pPr>
            <w:r w:rsidRPr="009B4A78">
              <w:rPr>
                <w:rFonts w:ascii="Arial" w:eastAsia="SimSun" w:hAnsi="Arial" w:cs="Arial"/>
                <w:b/>
                <w:bCs/>
                <w:color w:val="000000"/>
                <w:sz w:val="18"/>
              </w:rPr>
              <w:t>Targets</w:t>
            </w:r>
          </w:p>
        </w:tc>
      </w:tr>
      <w:tr w:rsidR="00D049E6" w:rsidRPr="009B4A78" w14:paraId="6507A827" w14:textId="77777777" w:rsidTr="004B1807">
        <w:trPr>
          <w:trHeight w:val="1358"/>
        </w:trPr>
        <w:tc>
          <w:tcPr>
            <w:tcW w:w="2674" w:type="dxa"/>
            <w:tcBorders>
              <w:top w:val="single" w:sz="4" w:space="0" w:color="auto"/>
              <w:left w:val="single" w:sz="6" w:space="0" w:color="auto"/>
              <w:right w:val="nil"/>
            </w:tcBorders>
            <w:shd w:val="solid" w:color="FFFFFF" w:fill="auto"/>
          </w:tcPr>
          <w:p w14:paraId="69FAE7A8"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p>
          <w:p w14:paraId="59960E0B"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r w:rsidRPr="009B4A78">
              <w:rPr>
                <w:rFonts w:ascii="Arial" w:eastAsia="SimSun" w:hAnsi="Arial" w:cs="Arial"/>
                <w:color w:val="000000"/>
                <w:sz w:val="16"/>
                <w:szCs w:val="16"/>
              </w:rPr>
              <w:t>II.1 Wider and more effective use of the PCT system for filing international patent applications</w:t>
            </w:r>
          </w:p>
        </w:tc>
        <w:tc>
          <w:tcPr>
            <w:tcW w:w="2397" w:type="dxa"/>
            <w:tcBorders>
              <w:top w:val="single" w:sz="4" w:space="0" w:color="auto"/>
              <w:left w:val="nil"/>
              <w:right w:val="nil"/>
            </w:tcBorders>
            <w:shd w:val="solid" w:color="FFFFFF" w:fill="auto"/>
          </w:tcPr>
          <w:p w14:paraId="6CA5990E"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p>
          <w:p w14:paraId="27ED9EDB"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Level of satisfaction of PCT users with PCT-specific legal advice, information, training and customer service</w:t>
            </w:r>
          </w:p>
        </w:tc>
        <w:tc>
          <w:tcPr>
            <w:tcW w:w="2256" w:type="dxa"/>
            <w:tcBorders>
              <w:top w:val="single" w:sz="4" w:space="0" w:color="auto"/>
              <w:left w:val="nil"/>
              <w:right w:val="nil"/>
            </w:tcBorders>
            <w:shd w:val="solid" w:color="FFFFFF" w:fill="auto"/>
          </w:tcPr>
          <w:p w14:paraId="61F3F945"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p>
          <w:p w14:paraId="67AEB15E"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Results of 2009 and 2015 Surveys</w:t>
            </w:r>
          </w:p>
        </w:tc>
        <w:tc>
          <w:tcPr>
            <w:tcW w:w="2059" w:type="dxa"/>
            <w:tcBorders>
              <w:top w:val="single" w:sz="4" w:space="0" w:color="auto"/>
              <w:left w:val="nil"/>
              <w:right w:val="single" w:sz="6" w:space="0" w:color="auto"/>
            </w:tcBorders>
            <w:shd w:val="solid" w:color="FFFFFF" w:fill="auto"/>
          </w:tcPr>
          <w:p w14:paraId="33D7532B"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p>
          <w:p w14:paraId="669E614D"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 xml:space="preserve">Increase or at least maintain the level of satisfaction of PCT users </w:t>
            </w:r>
          </w:p>
        </w:tc>
      </w:tr>
      <w:tr w:rsidR="00D049E6" w:rsidRPr="009B4A78" w14:paraId="147C60FC" w14:textId="77777777" w:rsidTr="004B1807">
        <w:trPr>
          <w:trHeight w:val="1667"/>
        </w:trPr>
        <w:tc>
          <w:tcPr>
            <w:tcW w:w="2674" w:type="dxa"/>
            <w:tcBorders>
              <w:top w:val="nil"/>
              <w:left w:val="single" w:sz="6" w:space="0" w:color="auto"/>
              <w:bottom w:val="single" w:sz="4" w:space="0" w:color="auto"/>
              <w:right w:val="nil"/>
            </w:tcBorders>
            <w:shd w:val="solid" w:color="FFFFFF" w:fill="auto"/>
          </w:tcPr>
          <w:p w14:paraId="71CAD08F"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p>
        </w:tc>
        <w:tc>
          <w:tcPr>
            <w:tcW w:w="2397" w:type="dxa"/>
            <w:tcBorders>
              <w:top w:val="nil"/>
              <w:left w:val="nil"/>
              <w:bottom w:val="single" w:sz="4" w:space="0" w:color="auto"/>
              <w:right w:val="nil"/>
            </w:tcBorders>
            <w:shd w:val="solid" w:color="FFFFFF" w:fill="auto"/>
          </w:tcPr>
          <w:p w14:paraId="0CAFE97A"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Satisfaction of Offices and International Authorities with PCT cooperative activities</w:t>
            </w:r>
          </w:p>
        </w:tc>
        <w:tc>
          <w:tcPr>
            <w:tcW w:w="2256" w:type="dxa"/>
            <w:tcBorders>
              <w:top w:val="nil"/>
              <w:left w:val="nil"/>
              <w:bottom w:val="single" w:sz="4" w:space="0" w:color="auto"/>
              <w:right w:val="nil"/>
            </w:tcBorders>
            <w:shd w:val="solid" w:color="FFFFFF" w:fill="auto"/>
          </w:tcPr>
          <w:p w14:paraId="539C939C"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 xml:space="preserve">56 (95% out of 59 beneficiaries of PCT cooperative activities; 85% out of the 66 survey respondents) (2012 survey) The satisfaction survey is conducted once every biennium. </w:t>
            </w:r>
          </w:p>
        </w:tc>
        <w:tc>
          <w:tcPr>
            <w:tcW w:w="2059" w:type="dxa"/>
            <w:tcBorders>
              <w:top w:val="nil"/>
              <w:left w:val="nil"/>
              <w:bottom w:val="single" w:sz="4" w:space="0" w:color="auto"/>
              <w:right w:val="single" w:sz="6" w:space="0" w:color="auto"/>
            </w:tcBorders>
            <w:shd w:val="solid" w:color="FFFFFF" w:fill="auto"/>
          </w:tcPr>
          <w:p w14:paraId="38D79A8B"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Maintain the 2015</w:t>
            </w:r>
          </w:p>
          <w:p w14:paraId="42509C4A"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level of satisfaction</w:t>
            </w:r>
          </w:p>
          <w:p w14:paraId="29889BE6"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of Offices and</w:t>
            </w:r>
          </w:p>
          <w:p w14:paraId="78D1984C"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International</w:t>
            </w:r>
          </w:p>
          <w:p w14:paraId="1BCCA255"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Authorities</w:t>
            </w:r>
          </w:p>
        </w:tc>
      </w:tr>
      <w:tr w:rsidR="00D049E6" w:rsidRPr="009B4A78" w14:paraId="2BF6D74A" w14:textId="77777777" w:rsidTr="004B1807">
        <w:trPr>
          <w:trHeight w:val="1265"/>
        </w:trPr>
        <w:tc>
          <w:tcPr>
            <w:tcW w:w="2674" w:type="dxa"/>
            <w:tcBorders>
              <w:top w:val="single" w:sz="4" w:space="0" w:color="auto"/>
              <w:left w:val="single" w:sz="6" w:space="0" w:color="auto"/>
              <w:bottom w:val="nil"/>
              <w:right w:val="nil"/>
            </w:tcBorders>
            <w:shd w:val="solid" w:color="FFFFFF" w:fill="auto"/>
          </w:tcPr>
          <w:p w14:paraId="02A16FAE"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p>
        </w:tc>
        <w:tc>
          <w:tcPr>
            <w:tcW w:w="2397" w:type="dxa"/>
            <w:tcBorders>
              <w:top w:val="single" w:sz="4" w:space="0" w:color="auto"/>
              <w:left w:val="nil"/>
              <w:bottom w:val="nil"/>
              <w:right w:val="nil"/>
            </w:tcBorders>
            <w:shd w:val="solid" w:color="FFFFFF" w:fill="auto"/>
          </w:tcPr>
          <w:p w14:paraId="0646084F"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Further development of the PCT system, notably implementation of the PCT roadmap recommendations endorsed by PCT Member States</w:t>
            </w:r>
          </w:p>
        </w:tc>
        <w:tc>
          <w:tcPr>
            <w:tcW w:w="2256" w:type="dxa"/>
            <w:tcBorders>
              <w:top w:val="single" w:sz="4" w:space="0" w:color="auto"/>
              <w:left w:val="nil"/>
              <w:bottom w:val="nil"/>
              <w:right w:val="nil"/>
            </w:tcBorders>
            <w:shd w:val="solid" w:color="FFFFFF" w:fill="auto"/>
          </w:tcPr>
          <w:p w14:paraId="47B9649D"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Decisions by appropriate PCT bodies up to the end of 2014 (Document PCT/A/46/6)</w:t>
            </w:r>
          </w:p>
        </w:tc>
        <w:tc>
          <w:tcPr>
            <w:tcW w:w="2059" w:type="dxa"/>
            <w:tcBorders>
              <w:top w:val="single" w:sz="4" w:space="0" w:color="auto"/>
              <w:left w:val="nil"/>
              <w:bottom w:val="nil"/>
              <w:right w:val="single" w:sz="6" w:space="0" w:color="auto"/>
            </w:tcBorders>
            <w:shd w:val="solid" w:color="FFFFFF" w:fill="auto"/>
          </w:tcPr>
          <w:p w14:paraId="2E55C86D"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Decisions by appropriate PCT bodies up to the end of 2017</w:t>
            </w:r>
          </w:p>
        </w:tc>
      </w:tr>
      <w:tr w:rsidR="00D049E6" w:rsidRPr="009B4A78" w14:paraId="33A86D6A" w14:textId="77777777" w:rsidTr="00FB68E0">
        <w:trPr>
          <w:trHeight w:val="2559"/>
        </w:trPr>
        <w:tc>
          <w:tcPr>
            <w:tcW w:w="2674" w:type="dxa"/>
            <w:tcBorders>
              <w:top w:val="nil"/>
              <w:left w:val="single" w:sz="6" w:space="0" w:color="auto"/>
              <w:bottom w:val="nil"/>
              <w:right w:val="nil"/>
            </w:tcBorders>
            <w:shd w:val="solid" w:color="FFFFFF" w:fill="auto"/>
          </w:tcPr>
          <w:p w14:paraId="37ADF59E"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p>
        </w:tc>
        <w:tc>
          <w:tcPr>
            <w:tcW w:w="2397" w:type="dxa"/>
            <w:tcBorders>
              <w:top w:val="nil"/>
              <w:left w:val="nil"/>
              <w:bottom w:val="nil"/>
              <w:right w:val="nil"/>
            </w:tcBorders>
            <w:shd w:val="solid" w:color="FFFFFF" w:fill="auto"/>
          </w:tcPr>
          <w:p w14:paraId="27B49008"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Improved electronic services for applicants, third parties, Offices and Authorities</w:t>
            </w:r>
          </w:p>
        </w:tc>
        <w:tc>
          <w:tcPr>
            <w:tcW w:w="2256" w:type="dxa"/>
            <w:tcBorders>
              <w:top w:val="nil"/>
              <w:left w:val="nil"/>
              <w:bottom w:val="nil"/>
              <w:right w:val="nil"/>
            </w:tcBorders>
            <w:shd w:val="solid" w:color="FFFFFF" w:fill="auto"/>
          </w:tcPr>
          <w:p w14:paraId="55065062"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At the end of 2014, compared to the end of 2013:</w:t>
            </w:r>
          </w:p>
          <w:p w14:paraId="6E469265"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 xml:space="preserve">+32% applicants public; </w:t>
            </w:r>
          </w:p>
          <w:p w14:paraId="246B21E2"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 xml:space="preserve">+100% applicants private; </w:t>
            </w:r>
          </w:p>
          <w:p w14:paraId="3CFF91E0"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 xml:space="preserve">+25% third party observers; +329% Receiving Offices; </w:t>
            </w:r>
          </w:p>
          <w:p w14:paraId="338C0FC0"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-73% International Authorities (largest user Office moved to next level of automation)</w:t>
            </w:r>
          </w:p>
        </w:tc>
        <w:tc>
          <w:tcPr>
            <w:tcW w:w="2059" w:type="dxa"/>
            <w:tcBorders>
              <w:top w:val="nil"/>
              <w:left w:val="nil"/>
              <w:bottom w:val="nil"/>
              <w:right w:val="single" w:sz="6" w:space="0" w:color="auto"/>
            </w:tcBorders>
            <w:shd w:val="solid" w:color="FFFFFF" w:fill="auto"/>
          </w:tcPr>
          <w:p w14:paraId="1F44F645"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Increased number of Offices accepting e-filing from ePCT; Offices using ePCT or accepting documents transmitted by applicants using ePCT; applications filed using ePCT</w:t>
            </w:r>
          </w:p>
        </w:tc>
      </w:tr>
      <w:tr w:rsidR="00D049E6" w:rsidRPr="009B4A78" w14:paraId="187EAE8E" w14:textId="77777777" w:rsidTr="00FB68E0">
        <w:trPr>
          <w:trHeight w:val="904"/>
        </w:trPr>
        <w:tc>
          <w:tcPr>
            <w:tcW w:w="2674" w:type="dxa"/>
            <w:tcBorders>
              <w:top w:val="nil"/>
              <w:left w:val="single" w:sz="6" w:space="0" w:color="auto"/>
              <w:bottom w:val="nil"/>
              <w:right w:val="nil"/>
            </w:tcBorders>
            <w:shd w:val="solid" w:color="FFFFFF" w:fill="auto"/>
          </w:tcPr>
          <w:p w14:paraId="5F7A45C3" w14:textId="77777777" w:rsidR="00D049E6" w:rsidRPr="009B4A78" w:rsidRDefault="00D049E6" w:rsidP="004B1807">
            <w:pPr>
              <w:widowControl w:val="0"/>
              <w:tabs>
                <w:tab w:val="left" w:pos="1733"/>
                <w:tab w:val="left" w:pos="2127"/>
                <w:tab w:val="left" w:pos="2268"/>
              </w:tabs>
              <w:autoSpaceDE w:val="0"/>
              <w:autoSpaceDN w:val="0"/>
              <w:adjustRightInd w:val="0"/>
              <w:ind w:right="321"/>
              <w:rPr>
                <w:rFonts w:ascii="Arial" w:eastAsia="SimSun" w:hAnsi="Arial" w:cs="Arial"/>
                <w:color w:val="000000"/>
                <w:sz w:val="16"/>
                <w:szCs w:val="16"/>
              </w:rPr>
            </w:pPr>
            <w:r w:rsidRPr="009B4A78">
              <w:rPr>
                <w:rFonts w:ascii="Arial" w:eastAsia="SimSun" w:hAnsi="Arial" w:cs="Arial"/>
                <w:color w:val="000000"/>
                <w:sz w:val="16"/>
                <w:szCs w:val="16"/>
              </w:rPr>
              <w:t>II.3 Improved productivity and service quality of PCT operations</w:t>
            </w:r>
          </w:p>
        </w:tc>
        <w:tc>
          <w:tcPr>
            <w:tcW w:w="2397" w:type="dxa"/>
            <w:tcBorders>
              <w:top w:val="nil"/>
              <w:left w:val="nil"/>
              <w:bottom w:val="nil"/>
              <w:right w:val="nil"/>
            </w:tcBorders>
            <w:shd w:val="solid" w:color="FFFFFF" w:fill="auto"/>
          </w:tcPr>
          <w:p w14:paraId="70D323E7"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Application Unit Cost</w:t>
            </w:r>
          </w:p>
        </w:tc>
        <w:tc>
          <w:tcPr>
            <w:tcW w:w="2256" w:type="dxa"/>
            <w:tcBorders>
              <w:top w:val="nil"/>
              <w:left w:val="nil"/>
              <w:bottom w:val="nil"/>
              <w:right w:val="nil"/>
            </w:tcBorders>
            <w:shd w:val="solid" w:color="FFFFFF" w:fill="auto"/>
          </w:tcPr>
          <w:p w14:paraId="6F153B7E" w14:textId="27CBA6F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 xml:space="preserve">662 </w:t>
            </w:r>
            <w:r w:rsidR="00B70F0D">
              <w:rPr>
                <w:rFonts w:ascii="Arial" w:eastAsia="SimSun" w:hAnsi="Arial" w:cs="Arial"/>
                <w:color w:val="000000"/>
                <w:sz w:val="16"/>
                <w:szCs w:val="16"/>
              </w:rPr>
              <w:t>Swiss francs</w:t>
            </w:r>
            <w:r w:rsidR="00B70F0D" w:rsidRPr="009B4A78">
              <w:rPr>
                <w:rFonts w:ascii="Arial" w:eastAsia="SimSun" w:hAnsi="Arial" w:cs="Arial"/>
                <w:color w:val="000000"/>
                <w:sz w:val="16"/>
                <w:szCs w:val="16"/>
              </w:rPr>
              <w:t xml:space="preserve"> </w:t>
            </w:r>
            <w:r w:rsidRPr="009B4A78">
              <w:rPr>
                <w:rFonts w:ascii="Arial" w:eastAsia="SimSun" w:hAnsi="Arial" w:cs="Arial"/>
                <w:color w:val="000000"/>
                <w:sz w:val="16"/>
                <w:szCs w:val="16"/>
              </w:rPr>
              <w:t>(2014)</w:t>
            </w:r>
          </w:p>
        </w:tc>
        <w:tc>
          <w:tcPr>
            <w:tcW w:w="2059" w:type="dxa"/>
            <w:tcBorders>
              <w:top w:val="nil"/>
              <w:left w:val="nil"/>
              <w:bottom w:val="nil"/>
              <w:right w:val="single" w:sz="6" w:space="0" w:color="auto"/>
            </w:tcBorders>
            <w:shd w:val="solid" w:color="FFFFFF" w:fill="auto"/>
          </w:tcPr>
          <w:p w14:paraId="1C98443E" w14:textId="07BF6CAB" w:rsidR="00D049E6" w:rsidRPr="009B4A78" w:rsidRDefault="00416ECB" w:rsidP="004B1807">
            <w:pPr>
              <w:widowControl w:val="0"/>
              <w:autoSpaceDE w:val="0"/>
              <w:autoSpaceDN w:val="0"/>
              <w:adjustRightInd w:val="0"/>
              <w:ind w:left="53"/>
              <w:rPr>
                <w:rFonts w:ascii="Arial" w:eastAsia="SimSun" w:hAnsi="Arial" w:cs="Arial"/>
                <w:color w:val="000000"/>
                <w:sz w:val="16"/>
                <w:szCs w:val="16"/>
              </w:rPr>
            </w:pPr>
            <w:r>
              <w:rPr>
                <w:rFonts w:ascii="Arial" w:eastAsia="SimSun" w:hAnsi="Arial" w:cs="Arial"/>
                <w:color w:val="000000"/>
                <w:sz w:val="16"/>
                <w:szCs w:val="16"/>
              </w:rPr>
              <w:t>Maintain</w:t>
            </w:r>
            <w:r w:rsidRPr="009B4A78">
              <w:rPr>
                <w:rFonts w:ascii="Arial" w:eastAsia="SimSun" w:hAnsi="Arial" w:cs="Arial"/>
                <w:color w:val="000000"/>
                <w:sz w:val="16"/>
                <w:szCs w:val="16"/>
              </w:rPr>
              <w:t xml:space="preserve"> </w:t>
            </w:r>
            <w:r w:rsidR="00D049E6" w:rsidRPr="009B4A78">
              <w:rPr>
                <w:rFonts w:ascii="Arial" w:eastAsia="SimSun" w:hAnsi="Arial" w:cs="Arial"/>
                <w:color w:val="000000"/>
                <w:sz w:val="16"/>
                <w:szCs w:val="16"/>
              </w:rPr>
              <w:t>unit cost</w:t>
            </w:r>
            <w:r>
              <w:rPr>
                <w:rFonts w:ascii="Arial" w:eastAsia="SimSun" w:hAnsi="Arial" w:cs="Arial"/>
                <w:color w:val="000000"/>
                <w:sz w:val="16"/>
                <w:szCs w:val="16"/>
              </w:rPr>
              <w:t xml:space="preserve"> despite foreseen investments to enhance PCT resilience and security levels</w:t>
            </w:r>
          </w:p>
        </w:tc>
      </w:tr>
      <w:tr w:rsidR="00D049E6" w:rsidRPr="009B4A78" w14:paraId="0EFEB950" w14:textId="77777777" w:rsidTr="00FB68E0">
        <w:trPr>
          <w:trHeight w:val="712"/>
        </w:trPr>
        <w:tc>
          <w:tcPr>
            <w:tcW w:w="2674" w:type="dxa"/>
            <w:tcBorders>
              <w:top w:val="nil"/>
              <w:left w:val="single" w:sz="6" w:space="0" w:color="auto"/>
              <w:bottom w:val="nil"/>
              <w:right w:val="nil"/>
            </w:tcBorders>
            <w:shd w:val="solid" w:color="FFFFFF" w:fill="auto"/>
          </w:tcPr>
          <w:p w14:paraId="4EFB419F" w14:textId="77777777" w:rsidR="00D049E6" w:rsidRPr="009B4A78" w:rsidRDefault="00D049E6" w:rsidP="004B1807">
            <w:pPr>
              <w:widowControl w:val="0"/>
              <w:autoSpaceDE w:val="0"/>
              <w:autoSpaceDN w:val="0"/>
              <w:adjustRightInd w:val="0"/>
              <w:ind w:right="487"/>
              <w:rPr>
                <w:rFonts w:ascii="Arial" w:eastAsia="SimSun" w:hAnsi="Arial" w:cs="Arial"/>
                <w:color w:val="000000"/>
                <w:sz w:val="16"/>
                <w:szCs w:val="16"/>
              </w:rPr>
            </w:pPr>
          </w:p>
        </w:tc>
        <w:tc>
          <w:tcPr>
            <w:tcW w:w="2397" w:type="dxa"/>
            <w:tcBorders>
              <w:top w:val="nil"/>
              <w:left w:val="nil"/>
              <w:bottom w:val="nil"/>
              <w:right w:val="nil"/>
            </w:tcBorders>
            <w:shd w:val="solid" w:color="FFFFFF" w:fill="auto"/>
          </w:tcPr>
          <w:p w14:paraId="181147E8"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Aggregate quality of formalities examination (including timeliness)</w:t>
            </w:r>
          </w:p>
        </w:tc>
        <w:tc>
          <w:tcPr>
            <w:tcW w:w="2256" w:type="dxa"/>
            <w:tcBorders>
              <w:top w:val="nil"/>
              <w:left w:val="nil"/>
              <w:bottom w:val="nil"/>
              <w:right w:val="nil"/>
            </w:tcBorders>
            <w:shd w:val="solid" w:color="FFFFFF" w:fill="auto"/>
          </w:tcPr>
          <w:p w14:paraId="6A004C45"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93.1% (2014)</w:t>
            </w:r>
          </w:p>
        </w:tc>
        <w:tc>
          <w:tcPr>
            <w:tcW w:w="2059" w:type="dxa"/>
            <w:tcBorders>
              <w:top w:val="nil"/>
              <w:left w:val="nil"/>
              <w:bottom w:val="nil"/>
              <w:right w:val="single" w:sz="6" w:space="0" w:color="auto"/>
            </w:tcBorders>
            <w:shd w:val="solid" w:color="FFFFFF" w:fill="auto"/>
          </w:tcPr>
          <w:p w14:paraId="287AEDBA"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Higher quality indicator</w:t>
            </w:r>
          </w:p>
        </w:tc>
      </w:tr>
      <w:tr w:rsidR="00D049E6" w:rsidRPr="009B4A78" w14:paraId="50592E6D" w14:textId="77777777" w:rsidTr="00FB68E0">
        <w:trPr>
          <w:trHeight w:val="554"/>
        </w:trPr>
        <w:tc>
          <w:tcPr>
            <w:tcW w:w="2674" w:type="dxa"/>
            <w:tcBorders>
              <w:top w:val="nil"/>
              <w:left w:val="single" w:sz="6" w:space="0" w:color="auto"/>
              <w:bottom w:val="nil"/>
              <w:right w:val="nil"/>
            </w:tcBorders>
            <w:shd w:val="solid" w:color="FFFFFF" w:fill="auto"/>
          </w:tcPr>
          <w:p w14:paraId="5D17E324" w14:textId="77777777" w:rsidR="00D049E6" w:rsidRPr="009B4A78" w:rsidRDefault="00D049E6" w:rsidP="004B1807">
            <w:pPr>
              <w:widowControl w:val="0"/>
              <w:autoSpaceDE w:val="0"/>
              <w:autoSpaceDN w:val="0"/>
              <w:adjustRightInd w:val="0"/>
              <w:rPr>
                <w:rFonts w:ascii="Arial" w:eastAsia="SimSun" w:hAnsi="Arial" w:cs="Arial"/>
                <w:color w:val="000000"/>
                <w:sz w:val="16"/>
                <w:szCs w:val="16"/>
              </w:rPr>
            </w:pPr>
          </w:p>
        </w:tc>
        <w:tc>
          <w:tcPr>
            <w:tcW w:w="2397" w:type="dxa"/>
            <w:tcBorders>
              <w:top w:val="nil"/>
              <w:left w:val="nil"/>
              <w:bottom w:val="nil"/>
              <w:right w:val="nil"/>
            </w:tcBorders>
            <w:shd w:val="solid" w:color="FFFFFF" w:fill="auto"/>
          </w:tcPr>
          <w:p w14:paraId="7871B4F1"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Timeliness of Report Translation</w:t>
            </w:r>
          </w:p>
        </w:tc>
        <w:tc>
          <w:tcPr>
            <w:tcW w:w="2256" w:type="dxa"/>
            <w:tcBorders>
              <w:top w:val="nil"/>
              <w:left w:val="nil"/>
              <w:bottom w:val="nil"/>
              <w:right w:val="nil"/>
            </w:tcBorders>
            <w:shd w:val="solid" w:color="FFFFFF" w:fill="auto"/>
          </w:tcPr>
          <w:p w14:paraId="3D376BBA"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82.5% (2014)</w:t>
            </w:r>
          </w:p>
        </w:tc>
        <w:tc>
          <w:tcPr>
            <w:tcW w:w="2059" w:type="dxa"/>
            <w:tcBorders>
              <w:top w:val="nil"/>
              <w:left w:val="nil"/>
              <w:bottom w:val="nil"/>
              <w:right w:val="single" w:sz="6" w:space="0" w:color="auto"/>
            </w:tcBorders>
            <w:shd w:val="solid" w:color="FFFFFF" w:fill="auto"/>
          </w:tcPr>
          <w:p w14:paraId="122C80E3"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Improvement</w:t>
            </w:r>
          </w:p>
        </w:tc>
      </w:tr>
      <w:tr w:rsidR="00D049E6" w:rsidRPr="009B4A78" w14:paraId="111C8A01" w14:textId="77777777" w:rsidTr="00FB68E0">
        <w:trPr>
          <w:trHeight w:val="474"/>
        </w:trPr>
        <w:tc>
          <w:tcPr>
            <w:tcW w:w="2674" w:type="dxa"/>
            <w:tcBorders>
              <w:top w:val="nil"/>
              <w:left w:val="single" w:sz="6" w:space="0" w:color="auto"/>
              <w:bottom w:val="nil"/>
              <w:right w:val="nil"/>
            </w:tcBorders>
            <w:shd w:val="solid" w:color="FFFFFF" w:fill="auto"/>
          </w:tcPr>
          <w:p w14:paraId="0856DAA7" w14:textId="77777777" w:rsidR="00D049E6" w:rsidRPr="009B4A78" w:rsidRDefault="00D049E6" w:rsidP="004B1807">
            <w:pPr>
              <w:widowControl w:val="0"/>
              <w:autoSpaceDE w:val="0"/>
              <w:autoSpaceDN w:val="0"/>
              <w:adjustRightInd w:val="0"/>
              <w:rPr>
                <w:rFonts w:ascii="Arial" w:eastAsia="SimSun" w:hAnsi="Arial" w:cs="Arial"/>
                <w:color w:val="000000"/>
                <w:sz w:val="16"/>
                <w:szCs w:val="16"/>
              </w:rPr>
            </w:pPr>
          </w:p>
        </w:tc>
        <w:tc>
          <w:tcPr>
            <w:tcW w:w="2397" w:type="dxa"/>
            <w:tcBorders>
              <w:top w:val="nil"/>
              <w:left w:val="nil"/>
              <w:bottom w:val="nil"/>
              <w:right w:val="nil"/>
            </w:tcBorders>
            <w:shd w:val="solid" w:color="FFFFFF" w:fill="auto"/>
          </w:tcPr>
          <w:p w14:paraId="070EDDFC"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Quality of Translation</w:t>
            </w:r>
          </w:p>
        </w:tc>
        <w:tc>
          <w:tcPr>
            <w:tcW w:w="2256" w:type="dxa"/>
            <w:tcBorders>
              <w:top w:val="nil"/>
              <w:left w:val="nil"/>
              <w:bottom w:val="nil"/>
              <w:right w:val="nil"/>
            </w:tcBorders>
            <w:shd w:val="solid" w:color="FFFFFF" w:fill="auto"/>
          </w:tcPr>
          <w:p w14:paraId="6066D18E"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86% (2014)</w:t>
            </w:r>
          </w:p>
        </w:tc>
        <w:tc>
          <w:tcPr>
            <w:tcW w:w="2059" w:type="dxa"/>
            <w:tcBorders>
              <w:top w:val="nil"/>
              <w:left w:val="nil"/>
              <w:bottom w:val="nil"/>
              <w:right w:val="single" w:sz="6" w:space="0" w:color="auto"/>
            </w:tcBorders>
            <w:shd w:val="solid" w:color="FFFFFF" w:fill="auto"/>
          </w:tcPr>
          <w:p w14:paraId="63821996"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Higher quality</w:t>
            </w:r>
          </w:p>
        </w:tc>
      </w:tr>
      <w:tr w:rsidR="00D049E6" w:rsidRPr="009B4A78" w14:paraId="0CF3D7E8" w14:textId="77777777" w:rsidTr="00FB68E0">
        <w:trPr>
          <w:trHeight w:val="529"/>
        </w:trPr>
        <w:tc>
          <w:tcPr>
            <w:tcW w:w="2674" w:type="dxa"/>
            <w:tcBorders>
              <w:top w:val="nil"/>
              <w:left w:val="single" w:sz="6" w:space="0" w:color="auto"/>
              <w:bottom w:val="nil"/>
              <w:right w:val="nil"/>
            </w:tcBorders>
            <w:shd w:val="solid" w:color="FFFFFF" w:fill="auto"/>
          </w:tcPr>
          <w:p w14:paraId="0EE6FB2B" w14:textId="77777777" w:rsidR="00D049E6" w:rsidRPr="009B4A78" w:rsidRDefault="00D049E6" w:rsidP="004B1807">
            <w:pPr>
              <w:widowControl w:val="0"/>
              <w:autoSpaceDE w:val="0"/>
              <w:autoSpaceDN w:val="0"/>
              <w:adjustRightInd w:val="0"/>
              <w:rPr>
                <w:rFonts w:ascii="Arial" w:eastAsia="SimSun" w:hAnsi="Arial" w:cs="Arial"/>
                <w:color w:val="000000"/>
                <w:sz w:val="16"/>
                <w:szCs w:val="16"/>
              </w:rPr>
            </w:pPr>
          </w:p>
        </w:tc>
        <w:tc>
          <w:tcPr>
            <w:tcW w:w="2397" w:type="dxa"/>
            <w:tcBorders>
              <w:top w:val="nil"/>
              <w:left w:val="nil"/>
              <w:bottom w:val="nil"/>
              <w:right w:val="nil"/>
            </w:tcBorders>
            <w:shd w:val="solid" w:color="FFFFFF" w:fill="auto"/>
          </w:tcPr>
          <w:p w14:paraId="4E3E59F1"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Quality of software development (QSD)</w:t>
            </w:r>
          </w:p>
        </w:tc>
        <w:tc>
          <w:tcPr>
            <w:tcW w:w="2256" w:type="dxa"/>
            <w:tcBorders>
              <w:top w:val="nil"/>
              <w:left w:val="nil"/>
              <w:bottom w:val="nil"/>
              <w:right w:val="nil"/>
            </w:tcBorders>
            <w:shd w:val="solid" w:color="FFFFFF" w:fill="auto"/>
          </w:tcPr>
          <w:p w14:paraId="490D4AAB"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94.3% (2014)</w:t>
            </w:r>
          </w:p>
        </w:tc>
        <w:tc>
          <w:tcPr>
            <w:tcW w:w="2059" w:type="dxa"/>
            <w:tcBorders>
              <w:top w:val="nil"/>
              <w:left w:val="nil"/>
              <w:bottom w:val="nil"/>
              <w:right w:val="single" w:sz="6" w:space="0" w:color="auto"/>
            </w:tcBorders>
            <w:shd w:val="solid" w:color="FFFFFF" w:fill="auto"/>
          </w:tcPr>
          <w:p w14:paraId="1DF64CFA"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Higher QSD</w:t>
            </w:r>
          </w:p>
        </w:tc>
      </w:tr>
      <w:tr w:rsidR="00D049E6" w:rsidRPr="009B4A78" w14:paraId="6DA43CAC" w14:textId="77777777" w:rsidTr="00FB68E0">
        <w:trPr>
          <w:trHeight w:val="524"/>
        </w:trPr>
        <w:tc>
          <w:tcPr>
            <w:tcW w:w="2674" w:type="dxa"/>
            <w:tcBorders>
              <w:top w:val="nil"/>
              <w:left w:val="single" w:sz="6" w:space="0" w:color="auto"/>
              <w:bottom w:val="single" w:sz="6" w:space="0" w:color="auto"/>
              <w:right w:val="nil"/>
            </w:tcBorders>
            <w:shd w:val="solid" w:color="FFFFFF" w:fill="auto"/>
          </w:tcPr>
          <w:p w14:paraId="01AEA4E5" w14:textId="77777777" w:rsidR="00D049E6" w:rsidRPr="009B4A78" w:rsidRDefault="00D049E6" w:rsidP="004B1807">
            <w:pPr>
              <w:widowControl w:val="0"/>
              <w:autoSpaceDE w:val="0"/>
              <w:autoSpaceDN w:val="0"/>
              <w:adjustRightInd w:val="0"/>
              <w:rPr>
                <w:rFonts w:ascii="Arial" w:eastAsia="SimSun" w:hAnsi="Arial" w:cs="Arial"/>
                <w:color w:val="000000"/>
                <w:sz w:val="16"/>
                <w:szCs w:val="16"/>
              </w:rPr>
            </w:pPr>
          </w:p>
        </w:tc>
        <w:tc>
          <w:tcPr>
            <w:tcW w:w="2397" w:type="dxa"/>
            <w:tcBorders>
              <w:top w:val="nil"/>
              <w:left w:val="nil"/>
              <w:bottom w:val="single" w:sz="6" w:space="0" w:color="auto"/>
              <w:right w:val="nil"/>
            </w:tcBorders>
            <w:shd w:val="solid" w:color="FFFFFF" w:fill="auto"/>
          </w:tcPr>
          <w:p w14:paraId="23F88EDB" w14:textId="77777777" w:rsidR="00D049E6" w:rsidRPr="009B4A78" w:rsidRDefault="00D049E6" w:rsidP="004B1807">
            <w:pPr>
              <w:widowControl w:val="0"/>
              <w:autoSpaceDE w:val="0"/>
              <w:autoSpaceDN w:val="0"/>
              <w:adjustRightInd w:val="0"/>
              <w:ind w:right="333"/>
              <w:rPr>
                <w:rFonts w:ascii="Arial" w:eastAsia="SimSun" w:hAnsi="Arial" w:cs="Arial"/>
                <w:color w:val="000000"/>
                <w:sz w:val="16"/>
                <w:szCs w:val="16"/>
              </w:rPr>
            </w:pPr>
            <w:r w:rsidRPr="009B4A78">
              <w:rPr>
                <w:rFonts w:ascii="Arial" w:eastAsia="SimSun" w:hAnsi="Arial" w:cs="Arial"/>
                <w:color w:val="000000"/>
                <w:sz w:val="16"/>
                <w:szCs w:val="16"/>
              </w:rPr>
              <w:t>Information systems service levels</w:t>
            </w:r>
          </w:p>
        </w:tc>
        <w:tc>
          <w:tcPr>
            <w:tcW w:w="2256" w:type="dxa"/>
            <w:tcBorders>
              <w:top w:val="nil"/>
              <w:left w:val="nil"/>
              <w:bottom w:val="single" w:sz="6" w:space="0" w:color="auto"/>
              <w:right w:val="nil"/>
            </w:tcBorders>
            <w:shd w:val="solid" w:color="FFFFFF" w:fill="auto"/>
          </w:tcPr>
          <w:p w14:paraId="118D1ABD" w14:textId="77777777" w:rsidR="00D049E6" w:rsidRPr="009B4A78" w:rsidRDefault="00D049E6" w:rsidP="004B1807">
            <w:pPr>
              <w:widowControl w:val="0"/>
              <w:tabs>
                <w:tab w:val="left" w:pos="1733"/>
              </w:tabs>
              <w:autoSpaceDE w:val="0"/>
              <w:autoSpaceDN w:val="0"/>
              <w:adjustRightInd w:val="0"/>
              <w:ind w:left="59" w:right="321"/>
              <w:rPr>
                <w:rFonts w:ascii="Arial" w:eastAsia="SimSun" w:hAnsi="Arial" w:cs="Arial"/>
                <w:color w:val="000000"/>
                <w:sz w:val="16"/>
                <w:szCs w:val="16"/>
              </w:rPr>
            </w:pPr>
            <w:r w:rsidRPr="009B4A78">
              <w:rPr>
                <w:rFonts w:ascii="Arial" w:eastAsia="SimSun" w:hAnsi="Arial" w:cs="Arial"/>
                <w:color w:val="000000"/>
                <w:sz w:val="16"/>
                <w:szCs w:val="16"/>
              </w:rPr>
              <w:t>95.3% (2014)</w:t>
            </w:r>
          </w:p>
        </w:tc>
        <w:tc>
          <w:tcPr>
            <w:tcW w:w="2059" w:type="dxa"/>
            <w:tcBorders>
              <w:top w:val="nil"/>
              <w:left w:val="nil"/>
              <w:bottom w:val="single" w:sz="6" w:space="0" w:color="auto"/>
              <w:right w:val="single" w:sz="6" w:space="0" w:color="auto"/>
            </w:tcBorders>
            <w:shd w:val="solid" w:color="FFFFFF" w:fill="auto"/>
          </w:tcPr>
          <w:p w14:paraId="6D479176" w14:textId="77777777" w:rsidR="00D049E6" w:rsidRPr="009B4A78" w:rsidRDefault="00D049E6" w:rsidP="004B1807">
            <w:pPr>
              <w:widowControl w:val="0"/>
              <w:autoSpaceDE w:val="0"/>
              <w:autoSpaceDN w:val="0"/>
              <w:adjustRightInd w:val="0"/>
              <w:ind w:left="53"/>
              <w:rPr>
                <w:rFonts w:ascii="Arial" w:eastAsia="SimSun" w:hAnsi="Arial" w:cs="Arial"/>
                <w:color w:val="000000"/>
                <w:sz w:val="16"/>
                <w:szCs w:val="16"/>
              </w:rPr>
            </w:pPr>
            <w:r w:rsidRPr="009B4A78">
              <w:rPr>
                <w:rFonts w:ascii="Arial" w:eastAsia="SimSun" w:hAnsi="Arial" w:cs="Arial"/>
                <w:color w:val="000000"/>
                <w:sz w:val="16"/>
                <w:szCs w:val="16"/>
              </w:rPr>
              <w:t>Higher information systems service levels</w:t>
            </w:r>
          </w:p>
        </w:tc>
      </w:tr>
    </w:tbl>
    <w:p w14:paraId="50B88666" w14:textId="77777777" w:rsidR="00D049E6" w:rsidRPr="00FB68E0" w:rsidRDefault="00D049E6" w:rsidP="004B1807">
      <w:pPr>
        <w:widowControl w:val="0"/>
        <w:tabs>
          <w:tab w:val="left" w:pos="567"/>
          <w:tab w:val="left" w:pos="1985"/>
        </w:tabs>
        <w:jc w:val="both"/>
        <w:rPr>
          <w:rFonts w:ascii="Arial" w:hAnsi="Arial" w:cs="Arial"/>
          <w:bCs/>
          <w:sz w:val="20"/>
          <w:szCs w:val="16"/>
        </w:rPr>
      </w:pPr>
    </w:p>
    <w:p w14:paraId="5208D0E5" w14:textId="77777777" w:rsidR="00D049E6" w:rsidRPr="00FB68E0" w:rsidRDefault="00D049E6" w:rsidP="00F33E49">
      <w:pPr>
        <w:tabs>
          <w:tab w:val="left" w:pos="567"/>
          <w:tab w:val="left" w:pos="1985"/>
        </w:tabs>
        <w:jc w:val="both"/>
        <w:rPr>
          <w:rFonts w:ascii="Arial" w:hAnsi="Arial" w:cs="Arial"/>
          <w:bCs/>
          <w:sz w:val="20"/>
          <w:szCs w:val="16"/>
        </w:rPr>
      </w:pPr>
    </w:p>
    <w:p w14:paraId="3742B2DD" w14:textId="6338406A" w:rsidR="00D049E6" w:rsidRPr="009B4A78" w:rsidRDefault="00D049E6" w:rsidP="00FB68E0">
      <w:pPr>
        <w:keepNext/>
        <w:keepLines/>
        <w:tabs>
          <w:tab w:val="left" w:pos="567"/>
          <w:tab w:val="left" w:pos="1985"/>
        </w:tabs>
        <w:jc w:val="both"/>
        <w:rPr>
          <w:rFonts w:ascii="Arial" w:hAnsi="Arial" w:cs="Arial"/>
          <w:bCs/>
          <w:szCs w:val="16"/>
        </w:rPr>
      </w:pPr>
      <w:r w:rsidRPr="009B4A78">
        <w:rPr>
          <w:rFonts w:ascii="Arial" w:hAnsi="Arial" w:cs="Arial"/>
          <w:bCs/>
          <w:szCs w:val="16"/>
        </w:rPr>
        <w:t>RESOURCES FOR PROGRAM 5</w:t>
      </w:r>
    </w:p>
    <w:p w14:paraId="14D4A1AD" w14:textId="77777777" w:rsidR="00D049E6" w:rsidRPr="009B4A78" w:rsidRDefault="00D049E6" w:rsidP="00FB68E0">
      <w:pPr>
        <w:keepNext/>
        <w:keepLines/>
        <w:tabs>
          <w:tab w:val="left" w:pos="567"/>
          <w:tab w:val="left" w:pos="1985"/>
        </w:tabs>
        <w:jc w:val="both"/>
        <w:rPr>
          <w:rFonts w:ascii="Arial" w:hAnsi="Arial" w:cs="Arial"/>
          <w:bCs/>
          <w:szCs w:val="16"/>
        </w:rPr>
      </w:pPr>
    </w:p>
    <w:p w14:paraId="3C4B3813" w14:textId="31F9A539" w:rsidR="00D049E6" w:rsidRPr="009B4A78" w:rsidRDefault="00D049E6" w:rsidP="00B66A4A">
      <w:pPr>
        <w:numPr>
          <w:ilvl w:val="0"/>
          <w:numId w:val="6"/>
        </w:numPr>
        <w:jc w:val="both"/>
        <w:rPr>
          <w:rFonts w:ascii="Arial" w:hAnsi="Arial" w:cs="Arial"/>
          <w:bCs/>
          <w:sz w:val="20"/>
        </w:rPr>
      </w:pPr>
      <w:r w:rsidRPr="00FB68E0">
        <w:rPr>
          <w:rFonts w:ascii="Arial" w:hAnsi="Arial" w:cs="Arial"/>
          <w:bCs/>
          <w:sz w:val="20"/>
          <w:szCs w:val="20"/>
        </w:rPr>
        <w:t xml:space="preserve">The increase in the overall resources for Program 5 is due to: (i) an increase in PCT translation costs of 4.2 million Swiss francs in non-personnel resources, (ii) a provision for the strengthening of PCT resilience of 1.4 million Swiss francs (non-personnel resources), and (iii) </w:t>
      </w:r>
      <w:r w:rsidRPr="009B4A78">
        <w:rPr>
          <w:rFonts w:ascii="Arial" w:hAnsi="Arial" w:cs="Arial"/>
          <w:bCs/>
          <w:sz w:val="20"/>
        </w:rPr>
        <w:t xml:space="preserve">increase in </w:t>
      </w:r>
      <w:r w:rsidRPr="00FB68E0">
        <w:rPr>
          <w:rFonts w:ascii="Arial" w:hAnsi="Arial" w:cs="Arial"/>
          <w:bCs/>
          <w:sz w:val="20"/>
          <w:szCs w:val="20"/>
        </w:rPr>
        <w:t xml:space="preserve">personnel costs </w:t>
      </w:r>
      <w:r w:rsidRPr="009B4A78">
        <w:rPr>
          <w:rFonts w:ascii="Arial" w:hAnsi="Arial" w:cs="Arial"/>
          <w:bCs/>
          <w:sz w:val="20"/>
        </w:rPr>
        <w:t xml:space="preserve">following </w:t>
      </w:r>
      <w:r w:rsidRPr="009B4A78">
        <w:rPr>
          <w:rFonts w:ascii="Arial" w:hAnsi="Arial" w:cs="Arial"/>
          <w:sz w:val="20"/>
        </w:rPr>
        <w:t>the change in the costing methodology for personnel resources in 2016/17 based on actuals based costing.</w:t>
      </w:r>
      <w:r w:rsidRPr="00FB68E0">
        <w:rPr>
          <w:rFonts w:ascii="Arial" w:hAnsi="Arial" w:cs="Arial"/>
          <w:bCs/>
          <w:sz w:val="20"/>
          <w:szCs w:val="20"/>
        </w:rPr>
        <w:t xml:space="preserve"> These increases are reflected under Expected Result II.3.  </w:t>
      </w:r>
    </w:p>
    <w:p w14:paraId="2CB2FCA8" w14:textId="77777777" w:rsidR="00D049E6" w:rsidRPr="009B4A78" w:rsidRDefault="00D049E6" w:rsidP="00FB68E0">
      <w:pPr>
        <w:keepNext/>
        <w:keepLines/>
        <w:tabs>
          <w:tab w:val="left" w:pos="567"/>
          <w:tab w:val="left" w:pos="1985"/>
        </w:tabs>
        <w:jc w:val="both"/>
        <w:rPr>
          <w:rFonts w:ascii="Arial" w:hAnsi="Arial" w:cs="Arial"/>
          <w:bCs/>
          <w:sz w:val="20"/>
        </w:rPr>
      </w:pPr>
    </w:p>
    <w:p w14:paraId="69938502" w14:textId="299B15A7" w:rsidR="00D049E6" w:rsidRPr="006332D8" w:rsidRDefault="00D049E6" w:rsidP="00B66A4A">
      <w:pPr>
        <w:numPr>
          <w:ilvl w:val="0"/>
          <w:numId w:val="6"/>
        </w:numPr>
        <w:jc w:val="both"/>
        <w:rPr>
          <w:rFonts w:ascii="Arial" w:hAnsi="Arial" w:cs="Arial"/>
          <w:bCs/>
          <w:sz w:val="20"/>
          <w:szCs w:val="20"/>
        </w:rPr>
      </w:pPr>
      <w:r w:rsidRPr="009B4A78">
        <w:rPr>
          <w:rFonts w:ascii="Arial" w:hAnsi="Arial" w:cs="Arial"/>
          <w:bCs/>
          <w:sz w:val="20"/>
        </w:rPr>
        <w:t>The increase in r</w:t>
      </w:r>
      <w:r w:rsidR="00F07555">
        <w:rPr>
          <w:rFonts w:ascii="Arial" w:hAnsi="Arial" w:cs="Arial"/>
          <w:bCs/>
          <w:sz w:val="20"/>
        </w:rPr>
        <w:t>esources under Expected Result I</w:t>
      </w:r>
      <w:r w:rsidRPr="009B4A78">
        <w:rPr>
          <w:rFonts w:ascii="Arial" w:hAnsi="Arial" w:cs="Arial"/>
          <w:bCs/>
          <w:sz w:val="20"/>
        </w:rPr>
        <w:t>I.</w:t>
      </w:r>
      <w:r w:rsidR="00F07555">
        <w:rPr>
          <w:rFonts w:ascii="Arial" w:hAnsi="Arial" w:cs="Arial"/>
          <w:bCs/>
          <w:sz w:val="20"/>
        </w:rPr>
        <w:t>1</w:t>
      </w:r>
      <w:r w:rsidRPr="009B4A78">
        <w:rPr>
          <w:rFonts w:ascii="Arial" w:hAnsi="Arial" w:cs="Arial"/>
          <w:bCs/>
          <w:sz w:val="20"/>
        </w:rPr>
        <w:t xml:space="preserve"> reflects the merge of Expected Results II.1 and II.2 in the biennium 2016/17.</w:t>
      </w:r>
    </w:p>
    <w:p w14:paraId="2FEDAAE1" w14:textId="77777777" w:rsidR="006332D8" w:rsidRDefault="006332D8" w:rsidP="006332D8">
      <w:pPr>
        <w:pStyle w:val="ListParagraph"/>
        <w:rPr>
          <w:rFonts w:ascii="Arial" w:hAnsi="Arial" w:cs="Arial"/>
          <w:bCs/>
          <w:sz w:val="20"/>
          <w:szCs w:val="20"/>
        </w:rPr>
      </w:pPr>
    </w:p>
    <w:p w14:paraId="49C1EEA9" w14:textId="319A1914" w:rsidR="006332D8" w:rsidRPr="00FB68E0" w:rsidRDefault="006332D8" w:rsidP="00B66A4A">
      <w:pPr>
        <w:numPr>
          <w:ilvl w:val="0"/>
          <w:numId w:val="6"/>
        </w:numPr>
        <w:jc w:val="both"/>
        <w:rPr>
          <w:rFonts w:ascii="Arial" w:hAnsi="Arial" w:cs="Arial"/>
          <w:bCs/>
          <w:sz w:val="20"/>
          <w:szCs w:val="20"/>
        </w:rPr>
      </w:pPr>
      <w:r>
        <w:rPr>
          <w:rFonts w:ascii="Arial" w:hAnsi="Arial" w:cs="Arial"/>
          <w:bCs/>
          <w:sz w:val="20"/>
          <w:szCs w:val="20"/>
        </w:rPr>
        <w:t>The decrease in resources under Expected Result IV.2 in 2016/17 compared to the 2014/15 Budget After Transfers is the result of the completion of the DA Projects on IP and Technology Transfer and Open Collaborative Projects and IP-Based Models</w:t>
      </w:r>
    </w:p>
    <w:p w14:paraId="5B627E9C" w14:textId="1FBB4D2E" w:rsidR="004B1807" w:rsidRDefault="004B1807">
      <w:pPr>
        <w:rPr>
          <w:rFonts w:ascii="Arial" w:hAnsi="Arial" w:cs="Arial"/>
          <w:bCs/>
          <w:szCs w:val="16"/>
        </w:rPr>
      </w:pPr>
      <w:r>
        <w:rPr>
          <w:rFonts w:ascii="Arial" w:hAnsi="Arial" w:cs="Arial"/>
          <w:bCs/>
          <w:szCs w:val="16"/>
        </w:rPr>
        <w:br w:type="page"/>
      </w:r>
    </w:p>
    <w:p w14:paraId="6C9FFB30" w14:textId="77777777" w:rsidR="00D049E6" w:rsidRPr="009B4A78" w:rsidRDefault="00D049E6" w:rsidP="00F33E49">
      <w:pPr>
        <w:tabs>
          <w:tab w:val="center" w:pos="4513"/>
          <w:tab w:val="right" w:pos="9027"/>
        </w:tabs>
        <w:autoSpaceDE w:val="0"/>
        <w:autoSpaceDN w:val="0"/>
        <w:jc w:val="center"/>
        <w:rPr>
          <w:rFonts w:ascii="Arial" w:hAnsi="Arial" w:cs="Arial"/>
          <w:b/>
          <w:sz w:val="20"/>
        </w:rPr>
      </w:pPr>
      <w:r w:rsidRPr="009B4A78">
        <w:rPr>
          <w:rFonts w:ascii="Arial" w:hAnsi="Arial" w:cs="Arial"/>
          <w:b/>
          <w:sz w:val="20"/>
        </w:rPr>
        <w:lastRenderedPageBreak/>
        <w:t>Program 5:  Resources by Result</w:t>
      </w:r>
    </w:p>
    <w:p w14:paraId="50745C71" w14:textId="77777777" w:rsidR="00D049E6" w:rsidRPr="009B4A78" w:rsidRDefault="00D049E6"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1B0B4C92" w14:textId="77777777" w:rsidR="00D049E6" w:rsidRPr="009B4A78" w:rsidRDefault="00D049E6" w:rsidP="00F33E49">
      <w:pPr>
        <w:keepNext/>
        <w:keepLines/>
        <w:autoSpaceDE w:val="0"/>
        <w:autoSpaceDN w:val="0"/>
        <w:jc w:val="center"/>
        <w:rPr>
          <w:rFonts w:ascii="Arial" w:hAnsi="Arial" w:cs="Arial"/>
          <w:i/>
          <w:sz w:val="20"/>
        </w:rPr>
      </w:pPr>
    </w:p>
    <w:p w14:paraId="1B8537A3" w14:textId="77777777" w:rsidR="00D049E6" w:rsidRPr="009B4A78" w:rsidRDefault="00D049E6" w:rsidP="00F33E49">
      <w:pPr>
        <w:keepNext/>
        <w:keepLines/>
        <w:autoSpaceDE w:val="0"/>
        <w:autoSpaceDN w:val="0"/>
        <w:jc w:val="center"/>
        <w:rPr>
          <w:rFonts w:ascii="Arial" w:hAnsi="Arial" w:cs="Arial"/>
          <w:i/>
          <w:sz w:val="20"/>
        </w:rPr>
      </w:pPr>
      <w:r w:rsidRPr="009B4A78">
        <w:rPr>
          <w:rFonts w:ascii="Arial" w:hAnsi="Arial" w:cs="Arial"/>
          <w:noProof/>
          <w:lang w:eastAsia="en-US"/>
        </w:rPr>
        <w:drawing>
          <wp:inline distT="0" distB="0" distL="0" distR="0" wp14:anchorId="03454127" wp14:editId="287509CE">
            <wp:extent cx="4868883" cy="1709202"/>
            <wp:effectExtent l="0" t="0" r="825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10215" cy="1723711"/>
                    </a:xfrm>
                    <a:prstGeom prst="rect">
                      <a:avLst/>
                    </a:prstGeom>
                    <a:noFill/>
                    <a:ln>
                      <a:noFill/>
                    </a:ln>
                  </pic:spPr>
                </pic:pic>
              </a:graphicData>
            </a:graphic>
          </wp:inline>
        </w:drawing>
      </w:r>
    </w:p>
    <w:p w14:paraId="60B41D56" w14:textId="77777777" w:rsidR="00D049E6" w:rsidRPr="009B4A78" w:rsidRDefault="00D049E6" w:rsidP="00F33E49">
      <w:pPr>
        <w:autoSpaceDE w:val="0"/>
        <w:autoSpaceDN w:val="0"/>
        <w:jc w:val="center"/>
        <w:rPr>
          <w:rFonts w:ascii="Arial" w:hAnsi="Arial" w:cs="Arial"/>
          <w:i/>
          <w:sz w:val="20"/>
        </w:rPr>
      </w:pPr>
    </w:p>
    <w:p w14:paraId="78D66420" w14:textId="77777777" w:rsidR="00D049E6" w:rsidRPr="009B4A78" w:rsidRDefault="00D049E6" w:rsidP="00F33E49">
      <w:pPr>
        <w:autoSpaceDE w:val="0"/>
        <w:autoSpaceDN w:val="0"/>
        <w:jc w:val="center"/>
        <w:rPr>
          <w:rFonts w:ascii="Arial" w:hAnsi="Arial" w:cs="Arial"/>
          <w:i/>
          <w:sz w:val="20"/>
        </w:rPr>
      </w:pPr>
    </w:p>
    <w:p w14:paraId="53CC1171" w14:textId="77777777" w:rsidR="00D049E6" w:rsidRPr="009B4A78" w:rsidRDefault="00D049E6" w:rsidP="00F33E49">
      <w:pPr>
        <w:keepNext/>
        <w:keepLines/>
        <w:tabs>
          <w:tab w:val="center" w:pos="4513"/>
          <w:tab w:val="right" w:pos="9027"/>
        </w:tabs>
        <w:autoSpaceDE w:val="0"/>
        <w:autoSpaceDN w:val="0"/>
        <w:jc w:val="center"/>
        <w:rPr>
          <w:rFonts w:ascii="Arial" w:hAnsi="Arial" w:cs="Arial"/>
          <w:b/>
          <w:sz w:val="20"/>
        </w:rPr>
      </w:pPr>
      <w:r w:rsidRPr="009B4A78">
        <w:rPr>
          <w:rFonts w:ascii="Arial" w:hAnsi="Arial" w:cs="Arial"/>
          <w:b/>
          <w:sz w:val="20"/>
        </w:rPr>
        <w:t>Program 5:  Resources by Object of Expenditure</w:t>
      </w:r>
    </w:p>
    <w:p w14:paraId="56C5F298" w14:textId="77777777" w:rsidR="00D049E6" w:rsidRPr="009B4A78" w:rsidRDefault="00D049E6"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02F88332" w14:textId="77777777" w:rsidR="00D049E6" w:rsidRPr="009B4A78" w:rsidRDefault="00D049E6" w:rsidP="00F33E49">
      <w:pPr>
        <w:keepNext/>
        <w:keepLines/>
        <w:autoSpaceDE w:val="0"/>
        <w:autoSpaceDN w:val="0"/>
        <w:jc w:val="center"/>
        <w:rPr>
          <w:rFonts w:ascii="Arial" w:hAnsi="Arial" w:cs="Arial"/>
          <w:i/>
          <w:sz w:val="20"/>
        </w:rPr>
      </w:pPr>
    </w:p>
    <w:p w14:paraId="12CDBDB4" w14:textId="77777777" w:rsidR="00D049E6" w:rsidRPr="009B4A78" w:rsidRDefault="00D049E6" w:rsidP="002B052A">
      <w:pPr>
        <w:tabs>
          <w:tab w:val="left" w:pos="567"/>
          <w:tab w:val="left" w:pos="1985"/>
        </w:tabs>
        <w:jc w:val="center"/>
        <w:rPr>
          <w:rFonts w:ascii="Arial" w:hAnsi="Arial" w:cs="Arial"/>
          <w:bCs/>
          <w:sz w:val="20"/>
          <w:szCs w:val="16"/>
        </w:rPr>
      </w:pPr>
      <w:r w:rsidRPr="009B4A78">
        <w:rPr>
          <w:rFonts w:ascii="Arial" w:hAnsi="Arial" w:cs="Arial"/>
          <w:noProof/>
          <w:lang w:eastAsia="en-US"/>
        </w:rPr>
        <w:drawing>
          <wp:inline distT="0" distB="0" distL="0" distR="0" wp14:anchorId="63318FFE" wp14:editId="3E73F250">
            <wp:extent cx="5132879" cy="5783283"/>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127648" cy="5777389"/>
                    </a:xfrm>
                    <a:prstGeom prst="rect">
                      <a:avLst/>
                    </a:prstGeom>
                    <a:noFill/>
                    <a:ln>
                      <a:noFill/>
                    </a:ln>
                  </pic:spPr>
                </pic:pic>
              </a:graphicData>
            </a:graphic>
          </wp:inline>
        </w:drawing>
      </w:r>
    </w:p>
    <w:p w14:paraId="79F36021" w14:textId="77777777" w:rsidR="00D049E6" w:rsidRPr="009B4A78" w:rsidRDefault="00D049E6" w:rsidP="00F33E49">
      <w:pPr>
        <w:tabs>
          <w:tab w:val="left" w:pos="567"/>
          <w:tab w:val="left" w:pos="1985"/>
        </w:tabs>
        <w:jc w:val="both"/>
        <w:rPr>
          <w:rFonts w:ascii="Arial" w:hAnsi="Arial" w:cs="Arial"/>
          <w:bCs/>
          <w:sz w:val="20"/>
          <w:szCs w:val="16"/>
        </w:rPr>
      </w:pPr>
    </w:p>
    <w:p w14:paraId="4A1688AF" w14:textId="2596B146" w:rsidR="00250CF8" w:rsidRPr="009B4A78" w:rsidRDefault="00250CF8">
      <w:pPr>
        <w:rPr>
          <w:rFonts w:ascii="Arial" w:hAnsi="Arial" w:cs="Arial"/>
          <w:sz w:val="20"/>
          <w:szCs w:val="20"/>
        </w:rPr>
      </w:pPr>
      <w:r w:rsidRPr="009B4A78">
        <w:rPr>
          <w:rFonts w:ascii="Arial" w:hAnsi="Arial" w:cs="Arial"/>
          <w:sz w:val="20"/>
          <w:szCs w:val="20"/>
        </w:rPr>
        <w:br w:type="page"/>
      </w:r>
    </w:p>
    <w:p w14:paraId="7E61875C" w14:textId="77777777" w:rsidR="00250CF8" w:rsidRPr="009B4A78" w:rsidRDefault="00250CF8" w:rsidP="007E1546">
      <w:pPr>
        <w:pStyle w:val="StyleHeading3ComplexItalic"/>
        <w:tabs>
          <w:tab w:val="clear" w:pos="1985"/>
          <w:tab w:val="left" w:pos="1843"/>
        </w:tabs>
        <w:ind w:left="1843" w:hanging="1843"/>
        <w:rPr>
          <w:rStyle w:val="StyleStyleHeading3ComplexItalicLatin12ptChar"/>
          <w:rFonts w:eastAsia="SimSun"/>
          <w:b/>
        </w:rPr>
      </w:pPr>
      <w:bookmarkStart w:id="34" w:name="_Toc427154401"/>
      <w:r w:rsidRPr="009B4A78">
        <w:rPr>
          <w:rStyle w:val="StyleStyleHeading3ComplexItalicLatin12ptChar"/>
          <w:rFonts w:eastAsia="SimSun"/>
          <w:b/>
        </w:rPr>
        <w:lastRenderedPageBreak/>
        <w:t>PROGRAM 6</w:t>
      </w:r>
      <w:r w:rsidRPr="009B4A78">
        <w:rPr>
          <w:rStyle w:val="StyleStyleHeading3ComplexItalicLatin12ptChar"/>
          <w:rFonts w:eastAsia="SimSun"/>
          <w:b/>
        </w:rPr>
        <w:tab/>
        <w:t>MADRID AND LISBON SYSTEMS</w:t>
      </w:r>
      <w:bookmarkEnd w:id="34"/>
    </w:p>
    <w:p w14:paraId="7E92CD0E" w14:textId="77777777" w:rsidR="00250CF8" w:rsidRPr="009B4A78" w:rsidRDefault="00250CF8" w:rsidP="00F33E49">
      <w:pPr>
        <w:jc w:val="both"/>
        <w:rPr>
          <w:rFonts w:ascii="Arial" w:hAnsi="Arial" w:cs="Arial"/>
          <w:b/>
          <w:sz w:val="20"/>
        </w:rPr>
      </w:pPr>
    </w:p>
    <w:p w14:paraId="60D17CDB" w14:textId="77777777" w:rsidR="00250CF8" w:rsidRPr="009B4A78" w:rsidRDefault="00250CF8" w:rsidP="00F33E49">
      <w:pPr>
        <w:jc w:val="both"/>
        <w:rPr>
          <w:rFonts w:ascii="Arial" w:hAnsi="Arial" w:cs="Arial"/>
          <w:b/>
          <w:sz w:val="20"/>
        </w:rPr>
      </w:pPr>
    </w:p>
    <w:p w14:paraId="5FAFD79D" w14:textId="77777777" w:rsidR="00250CF8" w:rsidRPr="009B4A78" w:rsidRDefault="00250CF8" w:rsidP="00F33E49">
      <w:pPr>
        <w:jc w:val="both"/>
        <w:rPr>
          <w:rFonts w:ascii="Arial" w:hAnsi="Arial" w:cs="Arial"/>
          <w:b/>
        </w:rPr>
      </w:pPr>
      <w:r w:rsidRPr="009B4A78">
        <w:rPr>
          <w:rFonts w:ascii="Arial" w:hAnsi="Arial" w:cs="Arial"/>
          <w:b/>
        </w:rPr>
        <w:t>A.</w:t>
      </w:r>
      <w:r w:rsidRPr="009B4A78">
        <w:rPr>
          <w:rFonts w:ascii="Arial" w:hAnsi="Arial" w:cs="Arial"/>
          <w:b/>
        </w:rPr>
        <w:tab/>
        <w:t>MADRID SYSTEM</w:t>
      </w:r>
    </w:p>
    <w:p w14:paraId="77EF9E1D" w14:textId="77777777" w:rsidR="00250CF8" w:rsidRPr="009B4A78" w:rsidRDefault="00250CF8" w:rsidP="00F33E49">
      <w:pPr>
        <w:jc w:val="both"/>
        <w:rPr>
          <w:rFonts w:ascii="Arial" w:hAnsi="Arial" w:cs="Arial"/>
        </w:rPr>
      </w:pPr>
    </w:p>
    <w:p w14:paraId="3E91B6F2" w14:textId="77777777" w:rsidR="00250CF8" w:rsidRPr="009B4A78" w:rsidRDefault="00250CF8" w:rsidP="00F33E49">
      <w:pPr>
        <w:jc w:val="both"/>
        <w:rPr>
          <w:rFonts w:ascii="Arial" w:hAnsi="Arial" w:cs="Arial"/>
        </w:rPr>
      </w:pPr>
      <w:r w:rsidRPr="009B4A78">
        <w:rPr>
          <w:rFonts w:ascii="Arial" w:hAnsi="Arial" w:cs="Arial"/>
        </w:rPr>
        <w:t>PLANNING CONTEXT</w:t>
      </w:r>
    </w:p>
    <w:p w14:paraId="772437DB" w14:textId="77777777" w:rsidR="00250CF8" w:rsidRPr="009B4A78" w:rsidRDefault="00250CF8" w:rsidP="00F33E49">
      <w:pPr>
        <w:jc w:val="both"/>
        <w:rPr>
          <w:rFonts w:ascii="Arial" w:hAnsi="Arial" w:cs="Arial"/>
        </w:rPr>
      </w:pPr>
    </w:p>
    <w:p w14:paraId="437FB383" w14:textId="77777777"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 xml:space="preserve">The Madrid System is anticipated to face the following challenges in the biennium 2016/17:  (i) accurately forecasting the number of Madrid filings due to the continuing fragility of the global economy; (ii) ensuring the ability to effectively absorb the likely increase in the number of accessions by new countries;  (iii) enhancement of the Madrid System as a whole so that it may operate more effectively for both private sector users and Offices alike, including those in new member countries;  (iv), improvement in the consistency, predictability and overall quality of the work of the International Bureau (IB) in as cost-effective a manner as possible;  and (v) adequately identifying, harnessing and mastering opportunities offered by increased levels of automation in all aspects of the international procedure. </w:t>
      </w:r>
    </w:p>
    <w:p w14:paraId="15167219" w14:textId="77777777" w:rsidR="00250CF8" w:rsidRPr="009B4A78" w:rsidRDefault="00250CF8" w:rsidP="00F33E49">
      <w:pPr>
        <w:jc w:val="both"/>
        <w:rPr>
          <w:rFonts w:ascii="Arial" w:hAnsi="Arial" w:cs="Arial"/>
          <w:sz w:val="20"/>
          <w:szCs w:val="20"/>
        </w:rPr>
      </w:pPr>
    </w:p>
    <w:p w14:paraId="1923E3D4" w14:textId="77777777" w:rsidR="00250CF8" w:rsidRPr="009B4A78" w:rsidRDefault="00250CF8" w:rsidP="00F33E49">
      <w:pPr>
        <w:jc w:val="both"/>
        <w:rPr>
          <w:rFonts w:ascii="Arial" w:hAnsi="Arial" w:cs="Arial"/>
          <w:sz w:val="20"/>
          <w:szCs w:val="20"/>
        </w:rPr>
      </w:pPr>
    </w:p>
    <w:p w14:paraId="10E7FF14" w14:textId="77777777" w:rsidR="00250CF8" w:rsidRPr="009B4A78" w:rsidRDefault="00250CF8" w:rsidP="00F33E49">
      <w:pPr>
        <w:jc w:val="both"/>
        <w:rPr>
          <w:rFonts w:ascii="Arial" w:hAnsi="Arial" w:cs="Arial"/>
        </w:rPr>
      </w:pPr>
      <w:r w:rsidRPr="009B4A78">
        <w:rPr>
          <w:rFonts w:ascii="Arial" w:hAnsi="Arial" w:cs="Arial"/>
        </w:rPr>
        <w:t>IMPLEMENTATION STRATEGIES</w:t>
      </w:r>
    </w:p>
    <w:p w14:paraId="2F316B8C" w14:textId="77777777" w:rsidR="00250CF8" w:rsidRPr="009B4A78" w:rsidRDefault="00250CF8" w:rsidP="00F33E49">
      <w:pPr>
        <w:jc w:val="both"/>
        <w:rPr>
          <w:rFonts w:ascii="Arial" w:hAnsi="Arial" w:cs="Arial"/>
        </w:rPr>
      </w:pPr>
    </w:p>
    <w:p w14:paraId="15F7A610" w14:textId="04B941E9"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 xml:space="preserve">The IB will actively engage with potential new members at the early stages of the accession process to provide guidance on the requisite preparatory work, such as change </w:t>
      </w:r>
      <w:r w:rsidR="00763F27">
        <w:rPr>
          <w:rFonts w:ascii="Arial" w:hAnsi="Arial" w:cs="Arial"/>
          <w:sz w:val="20"/>
          <w:szCs w:val="20"/>
        </w:rPr>
        <w:t xml:space="preserve">management </w:t>
      </w:r>
      <w:r w:rsidRPr="009B4A78">
        <w:rPr>
          <w:rFonts w:ascii="Arial" w:hAnsi="Arial" w:cs="Arial"/>
          <w:sz w:val="20"/>
          <w:szCs w:val="20"/>
        </w:rPr>
        <w:t>leadership, legislation, organizational and institutional considerations, procedural and operational issues, IT automation and community changes.  The IB will also provide operational support and guidance to new members in the stages immediately following the entry into effect of the Madrid Protocol.  Given the extent of work likely to be involved and the need to bring various perspectives to the matter, the IB will use the WIPO External Offices, national and regional Offices and other key stakeholders to bring these efforts to a successful conclusion.</w:t>
      </w:r>
    </w:p>
    <w:p w14:paraId="58AA833C" w14:textId="77777777" w:rsidR="00250CF8" w:rsidRPr="009B4A78" w:rsidRDefault="00250CF8" w:rsidP="00F33E49">
      <w:pPr>
        <w:pStyle w:val="ListParagraph"/>
        <w:tabs>
          <w:tab w:val="left" w:pos="567"/>
        </w:tabs>
        <w:ind w:left="0"/>
        <w:jc w:val="both"/>
        <w:rPr>
          <w:rFonts w:ascii="Arial" w:hAnsi="Arial" w:cs="Arial"/>
          <w:sz w:val="20"/>
          <w:szCs w:val="20"/>
        </w:rPr>
      </w:pPr>
    </w:p>
    <w:p w14:paraId="20798351" w14:textId="77777777"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The series of initiatives launched in early 2014 to improve performance in the handling of Madrid international applications and the management of the International Register will also be sustained.  Foundational progress already made in the areas of workload/resource planning, customer services and staff training will be strengthened with a view to yielding tangible benefits for private sector users and Offices.  As these aspects of the work continue to mature, the focus will shift increasingly to quality, including more consistent and predictable examination results through enhanced examination documentation and process control.  In conjunction therewith, special efforts will be made to make the IB’s classification process more effective</w:t>
      </w:r>
      <w:r w:rsidRPr="009B4A78">
        <w:rPr>
          <w:rFonts w:ascii="Arial" w:eastAsia="MS Mincho" w:hAnsi="Arial" w:cs="Arial"/>
          <w:color w:val="000000"/>
          <w:sz w:val="20"/>
          <w:szCs w:val="20"/>
        </w:rPr>
        <w:t xml:space="preserve"> through advancement of the development of a seamless platform for the Nice listed goods and services and the Madrid Goods and Services Manager (MSG) database</w:t>
      </w:r>
      <w:r w:rsidRPr="009B4A78">
        <w:rPr>
          <w:rFonts w:ascii="Arial" w:hAnsi="Arial" w:cs="Arial"/>
          <w:sz w:val="20"/>
          <w:szCs w:val="20"/>
        </w:rPr>
        <w:t xml:space="preserve"> in order to make the classification practices in all concerned Offices more transparent.  </w:t>
      </w:r>
    </w:p>
    <w:p w14:paraId="70AF9131" w14:textId="77777777" w:rsidR="00250CF8" w:rsidRPr="009B4A78" w:rsidRDefault="00250CF8" w:rsidP="00F33E49">
      <w:pPr>
        <w:pStyle w:val="ListParagraph"/>
        <w:tabs>
          <w:tab w:val="left" w:pos="567"/>
        </w:tabs>
        <w:ind w:left="0"/>
        <w:jc w:val="both"/>
        <w:rPr>
          <w:rFonts w:ascii="Arial" w:hAnsi="Arial" w:cs="Arial"/>
          <w:sz w:val="20"/>
          <w:szCs w:val="20"/>
        </w:rPr>
      </w:pPr>
    </w:p>
    <w:p w14:paraId="1A61EBAE" w14:textId="55B89A3C"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 xml:space="preserve">In the area of promotion, greater emphasis will be placed on market research and marketing/outreach plans tailored to the specific needs and profiles of potential local users.  Additional and improved quality information regarding the Madrid System, including examination practices both within the IB and at designated Contracting Parties, will be made available on the IB’s web site, catering to the needs of both new and more experienced users.  The existing online tools for managing Madrid trademark portfolios </w:t>
      </w:r>
      <w:r w:rsidR="00EE027A">
        <w:rPr>
          <w:rFonts w:ascii="Arial" w:hAnsi="Arial" w:cs="Arial"/>
          <w:sz w:val="20"/>
          <w:szCs w:val="20"/>
        </w:rPr>
        <w:t xml:space="preserve">by trademark owners </w:t>
      </w:r>
      <w:r w:rsidRPr="009B4A78">
        <w:rPr>
          <w:rFonts w:ascii="Arial" w:hAnsi="Arial" w:cs="Arial"/>
          <w:sz w:val="20"/>
          <w:szCs w:val="20"/>
        </w:rPr>
        <w:t>will be streamlined into an integrated electronic environment, permitting users to seamlessly search, file, monitor and manage their trademarks online.</w:t>
      </w:r>
      <w:r w:rsidR="00F01245">
        <w:rPr>
          <w:rFonts w:ascii="Arial" w:hAnsi="Arial" w:cs="Arial"/>
          <w:sz w:val="20"/>
          <w:szCs w:val="20"/>
        </w:rPr>
        <w:t xml:space="preserve"> In addition, the existing online tools permitting Offices to manage Madrid applications, notifications of designations and other official notifications will be similarly streamlined into an integrated electronic environment. </w:t>
      </w:r>
    </w:p>
    <w:p w14:paraId="399B34D3" w14:textId="77777777" w:rsidR="00250CF8" w:rsidRPr="009B4A78" w:rsidRDefault="00250CF8" w:rsidP="00F33E49">
      <w:pPr>
        <w:pStyle w:val="ListParagraph"/>
        <w:tabs>
          <w:tab w:val="left" w:pos="567"/>
        </w:tabs>
        <w:ind w:left="0"/>
        <w:jc w:val="both"/>
        <w:rPr>
          <w:rFonts w:ascii="Arial" w:hAnsi="Arial" w:cs="Arial"/>
          <w:sz w:val="20"/>
          <w:szCs w:val="20"/>
        </w:rPr>
      </w:pPr>
    </w:p>
    <w:p w14:paraId="1246487D" w14:textId="2601DFE4"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 xml:space="preserve">With the rapid expansion of its geographical scope, the Madrid System will need to serve the interests of all </w:t>
      </w:r>
      <w:r w:rsidR="00F01245">
        <w:rPr>
          <w:rFonts w:ascii="Arial" w:hAnsi="Arial" w:cs="Arial"/>
          <w:sz w:val="20"/>
          <w:szCs w:val="20"/>
        </w:rPr>
        <w:t>stakeholders</w:t>
      </w:r>
      <w:r w:rsidR="00F01245" w:rsidRPr="009B4A78">
        <w:rPr>
          <w:rFonts w:ascii="Arial" w:hAnsi="Arial" w:cs="Arial"/>
          <w:sz w:val="20"/>
          <w:szCs w:val="20"/>
        </w:rPr>
        <w:t xml:space="preserve"> </w:t>
      </w:r>
      <w:r w:rsidRPr="009B4A78">
        <w:rPr>
          <w:rFonts w:ascii="Arial" w:hAnsi="Arial" w:cs="Arial"/>
          <w:sz w:val="20"/>
          <w:szCs w:val="20"/>
        </w:rPr>
        <w:t>equally to deliver its full potential in the new environment.  The Working Group on the Legal Development of the Madrid System will consider how the System’s legal framework needs to evolve to cater to the changing needs.</w:t>
      </w:r>
    </w:p>
    <w:p w14:paraId="2D57A1FA" w14:textId="77777777" w:rsidR="00250CF8" w:rsidRPr="009B4A78" w:rsidRDefault="00250CF8" w:rsidP="00F33E49">
      <w:pPr>
        <w:pStyle w:val="ListParagraph"/>
        <w:tabs>
          <w:tab w:val="left" w:pos="567"/>
        </w:tabs>
        <w:ind w:left="0"/>
        <w:jc w:val="both"/>
        <w:rPr>
          <w:rFonts w:ascii="Arial" w:hAnsi="Arial" w:cs="Arial"/>
          <w:sz w:val="20"/>
          <w:szCs w:val="20"/>
        </w:rPr>
      </w:pPr>
    </w:p>
    <w:p w14:paraId="15EDC100" w14:textId="522231C1"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szCs w:val="20"/>
        </w:rPr>
      </w:pPr>
      <w:r w:rsidRPr="009B4A78">
        <w:rPr>
          <w:rFonts w:ascii="Arial" w:hAnsi="Arial" w:cs="Arial"/>
          <w:sz w:val="20"/>
          <w:szCs w:val="20"/>
        </w:rPr>
        <w:t xml:space="preserve">As opportunities for increased and improved application of information and communication technologies present themselves, the IB will follow a number of guiding implementation policies aimed at accommodating the expectations of the various Madrid System stakeholders, including Offices, applicants, </w:t>
      </w:r>
      <w:r w:rsidR="00763F27">
        <w:rPr>
          <w:rFonts w:ascii="Arial" w:hAnsi="Arial" w:cs="Arial"/>
          <w:sz w:val="20"/>
          <w:szCs w:val="20"/>
        </w:rPr>
        <w:t>rights</w:t>
      </w:r>
      <w:r w:rsidRPr="009B4A78">
        <w:rPr>
          <w:rFonts w:ascii="Arial" w:hAnsi="Arial" w:cs="Arial"/>
          <w:sz w:val="20"/>
          <w:szCs w:val="20"/>
        </w:rPr>
        <w:t xml:space="preserve">holders or IP professionals, as part of efforts towards moving to a fully electronic </w:t>
      </w:r>
      <w:r w:rsidRPr="009B4A78">
        <w:rPr>
          <w:rFonts w:ascii="Arial" w:hAnsi="Arial" w:cs="Arial"/>
          <w:sz w:val="20"/>
          <w:szCs w:val="20"/>
        </w:rPr>
        <w:lastRenderedPageBreak/>
        <w:t>environment. Such implementation policies will ensure that stakeholders can safely and progressively interact with the international register online and synchronously, in a real-time, self-service mode. Great attention will be paid to delivering improved online services that offer identical services and performance to all stakeholders, irrespective of geographic location.</w:t>
      </w:r>
    </w:p>
    <w:p w14:paraId="5D11D3EC" w14:textId="77777777" w:rsidR="00250CF8" w:rsidRPr="009B4A78" w:rsidRDefault="00250CF8" w:rsidP="00F33E49">
      <w:pPr>
        <w:tabs>
          <w:tab w:val="left" w:pos="567"/>
        </w:tabs>
        <w:jc w:val="both"/>
        <w:rPr>
          <w:rFonts w:ascii="Arial" w:hAnsi="Arial" w:cs="Arial"/>
          <w:sz w:val="20"/>
          <w:szCs w:val="20"/>
        </w:rPr>
      </w:pPr>
    </w:p>
    <w:p w14:paraId="0FFBE40C" w14:textId="77777777" w:rsidR="00250CF8" w:rsidRPr="009B4A78" w:rsidRDefault="00250CF8" w:rsidP="00F33E49">
      <w:pPr>
        <w:jc w:val="both"/>
        <w:rPr>
          <w:rFonts w:ascii="Arial" w:hAnsi="Arial" w:cs="Arial"/>
          <w:b/>
          <w:sz w:val="20"/>
          <w:szCs w:val="20"/>
        </w:rPr>
      </w:pPr>
    </w:p>
    <w:p w14:paraId="4D6855A2" w14:textId="77777777" w:rsidR="00250CF8" w:rsidRPr="009B4A78" w:rsidRDefault="00250CF8" w:rsidP="00F33E49">
      <w:pPr>
        <w:jc w:val="both"/>
        <w:rPr>
          <w:rFonts w:ascii="Arial" w:hAnsi="Arial" w:cs="Arial"/>
          <w:b/>
        </w:rPr>
      </w:pPr>
      <w:r w:rsidRPr="009B4A78">
        <w:rPr>
          <w:rFonts w:ascii="Arial" w:hAnsi="Arial" w:cs="Arial"/>
          <w:b/>
        </w:rPr>
        <w:t>B.</w:t>
      </w:r>
      <w:r w:rsidRPr="009B4A78">
        <w:rPr>
          <w:rFonts w:ascii="Arial" w:hAnsi="Arial" w:cs="Arial"/>
          <w:b/>
        </w:rPr>
        <w:tab/>
        <w:t>LISBON SYSTEM</w:t>
      </w:r>
    </w:p>
    <w:p w14:paraId="36AA0750" w14:textId="77777777" w:rsidR="00250CF8" w:rsidRPr="009B4A78" w:rsidRDefault="00250CF8" w:rsidP="00F33E49">
      <w:pPr>
        <w:jc w:val="both"/>
        <w:rPr>
          <w:rFonts w:ascii="Arial" w:hAnsi="Arial" w:cs="Arial"/>
        </w:rPr>
      </w:pPr>
    </w:p>
    <w:p w14:paraId="33E74B46" w14:textId="77777777" w:rsidR="00250CF8" w:rsidRPr="009B4A78" w:rsidRDefault="00250CF8" w:rsidP="00F33E49">
      <w:pPr>
        <w:jc w:val="both"/>
        <w:rPr>
          <w:rFonts w:ascii="Arial" w:hAnsi="Arial" w:cs="Arial"/>
        </w:rPr>
      </w:pPr>
      <w:r w:rsidRPr="009B4A78">
        <w:rPr>
          <w:rFonts w:ascii="Arial" w:hAnsi="Arial" w:cs="Arial"/>
        </w:rPr>
        <w:t>PLANNING CONTEXT</w:t>
      </w:r>
    </w:p>
    <w:p w14:paraId="4B3F93A5" w14:textId="77777777" w:rsidR="00250CF8" w:rsidRPr="009B4A78" w:rsidRDefault="00250CF8" w:rsidP="00F33E49">
      <w:pPr>
        <w:jc w:val="both"/>
        <w:rPr>
          <w:rFonts w:ascii="Arial" w:hAnsi="Arial" w:cs="Arial"/>
          <w:sz w:val="20"/>
        </w:rPr>
      </w:pPr>
    </w:p>
    <w:p w14:paraId="61100B43" w14:textId="6A1FB3CA"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rPr>
      </w:pPr>
      <w:r w:rsidRPr="009B4A78">
        <w:rPr>
          <w:rFonts w:ascii="Arial" w:hAnsi="Arial" w:cs="Arial"/>
          <w:sz w:val="20"/>
        </w:rPr>
        <w:t xml:space="preserve">The main focus as regards the Lisbon System will be the effective administration of the International Registry for Appellations of Origin and preparations for the possible entry into force of the </w:t>
      </w:r>
      <w:r w:rsidR="002047DA">
        <w:rPr>
          <w:rFonts w:ascii="Arial" w:hAnsi="Arial" w:cs="Arial"/>
          <w:sz w:val="20"/>
        </w:rPr>
        <w:t>Geneva</w:t>
      </w:r>
      <w:r w:rsidRPr="009B4A78">
        <w:rPr>
          <w:rFonts w:ascii="Arial" w:hAnsi="Arial" w:cs="Arial"/>
          <w:sz w:val="20"/>
        </w:rPr>
        <w:t xml:space="preserve"> Act of the Lisbon Agreement on Appellations of Origin and Geographical Indications (“</w:t>
      </w:r>
      <w:r w:rsidR="002047DA">
        <w:rPr>
          <w:rFonts w:ascii="Arial" w:hAnsi="Arial" w:cs="Arial"/>
          <w:sz w:val="20"/>
        </w:rPr>
        <w:t>Geneva</w:t>
      </w:r>
      <w:r w:rsidR="002047DA" w:rsidRPr="009B4A78">
        <w:rPr>
          <w:rFonts w:ascii="Arial" w:hAnsi="Arial" w:cs="Arial"/>
          <w:sz w:val="20"/>
        </w:rPr>
        <w:t xml:space="preserve"> </w:t>
      </w:r>
      <w:r w:rsidRPr="009B4A78">
        <w:rPr>
          <w:rFonts w:ascii="Arial" w:hAnsi="Arial" w:cs="Arial"/>
          <w:sz w:val="20"/>
        </w:rPr>
        <w:t>Act”).</w:t>
      </w:r>
    </w:p>
    <w:p w14:paraId="3F8CFFE0" w14:textId="77777777" w:rsidR="00250CF8" w:rsidRPr="009B4A78" w:rsidRDefault="00250CF8" w:rsidP="00F33E49">
      <w:pPr>
        <w:jc w:val="both"/>
        <w:rPr>
          <w:rFonts w:ascii="Arial" w:hAnsi="Arial" w:cs="Arial"/>
          <w:sz w:val="20"/>
        </w:rPr>
      </w:pPr>
    </w:p>
    <w:p w14:paraId="1F411BDA" w14:textId="77777777" w:rsidR="00250CF8" w:rsidRPr="009B4A78" w:rsidRDefault="00250CF8" w:rsidP="00F33E49">
      <w:pPr>
        <w:jc w:val="both"/>
        <w:rPr>
          <w:rFonts w:ascii="Arial" w:hAnsi="Arial" w:cs="Arial"/>
          <w:sz w:val="20"/>
        </w:rPr>
      </w:pPr>
    </w:p>
    <w:p w14:paraId="1FD64E1E" w14:textId="77777777" w:rsidR="00250CF8" w:rsidRPr="009B4A78" w:rsidRDefault="00250CF8" w:rsidP="00F33E49">
      <w:pPr>
        <w:jc w:val="both"/>
        <w:rPr>
          <w:rFonts w:ascii="Arial" w:hAnsi="Arial" w:cs="Arial"/>
        </w:rPr>
      </w:pPr>
      <w:r w:rsidRPr="009B4A78">
        <w:rPr>
          <w:rFonts w:ascii="Arial" w:hAnsi="Arial" w:cs="Arial"/>
        </w:rPr>
        <w:t>IMPLEMENTATION STRATEGIES</w:t>
      </w:r>
    </w:p>
    <w:p w14:paraId="7B7F9928" w14:textId="77777777" w:rsidR="00250CF8" w:rsidRPr="009B4A78" w:rsidRDefault="00250CF8" w:rsidP="00F33E49">
      <w:pPr>
        <w:jc w:val="both"/>
        <w:rPr>
          <w:rFonts w:ascii="Arial" w:hAnsi="Arial" w:cs="Arial"/>
          <w:sz w:val="20"/>
        </w:rPr>
      </w:pPr>
    </w:p>
    <w:p w14:paraId="69237F93" w14:textId="792905FE"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rPr>
      </w:pPr>
      <w:r w:rsidRPr="009B4A78">
        <w:rPr>
          <w:rFonts w:ascii="Arial" w:hAnsi="Arial" w:cs="Arial"/>
          <w:sz w:val="20"/>
        </w:rPr>
        <w:t xml:space="preserve">The </w:t>
      </w:r>
      <w:r w:rsidR="002047DA">
        <w:rPr>
          <w:rFonts w:ascii="Arial" w:hAnsi="Arial" w:cs="Arial"/>
          <w:sz w:val="20"/>
        </w:rPr>
        <w:t>Geneva</w:t>
      </w:r>
      <w:r w:rsidR="002047DA" w:rsidRPr="009B4A78">
        <w:rPr>
          <w:rFonts w:ascii="Arial" w:hAnsi="Arial" w:cs="Arial"/>
          <w:sz w:val="20"/>
        </w:rPr>
        <w:t xml:space="preserve"> </w:t>
      </w:r>
      <w:r w:rsidRPr="009B4A78">
        <w:rPr>
          <w:rFonts w:ascii="Arial" w:hAnsi="Arial" w:cs="Arial"/>
          <w:sz w:val="20"/>
        </w:rPr>
        <w:t xml:space="preserve">Act is expected to pave the way for a significant increase in the membership of the Lisbon Union.  Although the accession rate is difficult to predict, entry into force of the </w:t>
      </w:r>
      <w:r w:rsidR="002047DA">
        <w:rPr>
          <w:rFonts w:ascii="Arial" w:hAnsi="Arial" w:cs="Arial"/>
          <w:sz w:val="20"/>
        </w:rPr>
        <w:t>Geneva</w:t>
      </w:r>
      <w:r w:rsidR="002047DA" w:rsidRPr="009B4A78">
        <w:rPr>
          <w:rFonts w:ascii="Arial" w:hAnsi="Arial" w:cs="Arial"/>
          <w:sz w:val="20"/>
        </w:rPr>
        <w:t xml:space="preserve"> </w:t>
      </w:r>
      <w:r w:rsidRPr="009B4A78">
        <w:rPr>
          <w:rFonts w:ascii="Arial" w:hAnsi="Arial" w:cs="Arial"/>
          <w:sz w:val="20"/>
        </w:rPr>
        <w:t xml:space="preserve">Act may already occur in the course of the biennium or soon thereafter.  Consequently, as the </w:t>
      </w:r>
      <w:r w:rsidR="002047DA">
        <w:rPr>
          <w:rFonts w:ascii="Arial" w:hAnsi="Arial" w:cs="Arial"/>
          <w:sz w:val="20"/>
        </w:rPr>
        <w:t>Geneva</w:t>
      </w:r>
      <w:r w:rsidR="002047DA" w:rsidRPr="009B4A78">
        <w:rPr>
          <w:rFonts w:ascii="Arial" w:hAnsi="Arial" w:cs="Arial"/>
          <w:sz w:val="20"/>
        </w:rPr>
        <w:t xml:space="preserve"> </w:t>
      </w:r>
      <w:r w:rsidRPr="009B4A78">
        <w:rPr>
          <w:rFonts w:ascii="Arial" w:hAnsi="Arial" w:cs="Arial"/>
          <w:sz w:val="20"/>
        </w:rPr>
        <w:t xml:space="preserve">Act will coexist with the current Lisbon Agreement for as long as not all Member States of the current Lisbon Agreement have acceded to the </w:t>
      </w:r>
      <w:r w:rsidR="002047DA">
        <w:rPr>
          <w:rFonts w:ascii="Arial" w:hAnsi="Arial" w:cs="Arial"/>
          <w:sz w:val="20"/>
        </w:rPr>
        <w:t>Geneva</w:t>
      </w:r>
      <w:r w:rsidR="002047DA" w:rsidRPr="009B4A78">
        <w:rPr>
          <w:rFonts w:ascii="Arial" w:hAnsi="Arial" w:cs="Arial"/>
          <w:sz w:val="20"/>
        </w:rPr>
        <w:t xml:space="preserve"> </w:t>
      </w:r>
      <w:r w:rsidRPr="009B4A78">
        <w:rPr>
          <w:rFonts w:ascii="Arial" w:hAnsi="Arial" w:cs="Arial"/>
          <w:sz w:val="20"/>
        </w:rPr>
        <w:t>Act, preparations need to be made for the adoption of Common Regulations under the two instruments.</w:t>
      </w:r>
    </w:p>
    <w:p w14:paraId="11E227C3" w14:textId="77777777" w:rsidR="00250CF8" w:rsidRPr="009B4A78" w:rsidRDefault="00250CF8" w:rsidP="00F33E49">
      <w:pPr>
        <w:pStyle w:val="ListParagraph"/>
        <w:tabs>
          <w:tab w:val="left" w:pos="567"/>
        </w:tabs>
        <w:ind w:left="0"/>
        <w:jc w:val="both"/>
        <w:rPr>
          <w:rFonts w:ascii="Arial" w:hAnsi="Arial" w:cs="Arial"/>
          <w:sz w:val="20"/>
        </w:rPr>
      </w:pPr>
    </w:p>
    <w:p w14:paraId="2C1C12E5" w14:textId="77777777"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rPr>
      </w:pPr>
      <w:r w:rsidRPr="009B4A78">
        <w:rPr>
          <w:rFonts w:ascii="Arial" w:hAnsi="Arial" w:cs="Arial"/>
          <w:sz w:val="20"/>
        </w:rPr>
        <w:t xml:space="preserve">The preparation of future Common Regulations will also provide an opportunity for critically reviewing current administration procedures and further developing electronic notification and publication tools to maximize efficiency. </w:t>
      </w:r>
    </w:p>
    <w:p w14:paraId="4C0DB7BA" w14:textId="77777777" w:rsidR="00250CF8" w:rsidRPr="009B4A78" w:rsidRDefault="00250CF8" w:rsidP="00F33E49">
      <w:pPr>
        <w:pStyle w:val="ListParagraph"/>
        <w:tabs>
          <w:tab w:val="left" w:pos="567"/>
        </w:tabs>
        <w:ind w:left="0"/>
        <w:jc w:val="both"/>
        <w:rPr>
          <w:rFonts w:ascii="Arial" w:hAnsi="Arial" w:cs="Arial"/>
          <w:sz w:val="20"/>
        </w:rPr>
      </w:pPr>
    </w:p>
    <w:p w14:paraId="454E40EC" w14:textId="77777777" w:rsidR="00250CF8" w:rsidRPr="009B4A78" w:rsidRDefault="00250CF8" w:rsidP="00B66A4A">
      <w:pPr>
        <w:pStyle w:val="ListParagraph"/>
        <w:numPr>
          <w:ilvl w:val="0"/>
          <w:numId w:val="8"/>
        </w:numPr>
        <w:tabs>
          <w:tab w:val="left" w:pos="567"/>
        </w:tabs>
        <w:ind w:left="0" w:firstLine="0"/>
        <w:contextualSpacing w:val="0"/>
        <w:jc w:val="both"/>
        <w:rPr>
          <w:rFonts w:ascii="Arial" w:hAnsi="Arial" w:cs="Arial"/>
          <w:sz w:val="20"/>
        </w:rPr>
      </w:pPr>
      <w:r w:rsidRPr="009B4A78">
        <w:rPr>
          <w:rFonts w:ascii="Arial" w:hAnsi="Arial" w:cs="Arial"/>
          <w:sz w:val="20"/>
        </w:rPr>
        <w:t>In addition, technical assistance will be provided to Member States and relevant regional organizations, in particular to developing countries and LDCs, interested in adhering to the Lisbon System.  Also in this context, outreach and additional training activities will be undertaken to further promote the use of the System.</w:t>
      </w:r>
    </w:p>
    <w:p w14:paraId="661D7C38" w14:textId="77777777" w:rsidR="00250CF8" w:rsidRPr="009B4A78" w:rsidRDefault="00250CF8" w:rsidP="00F33E49">
      <w:pPr>
        <w:pStyle w:val="ListParagraph"/>
        <w:tabs>
          <w:tab w:val="left" w:pos="567"/>
        </w:tabs>
        <w:ind w:left="0"/>
        <w:jc w:val="both"/>
        <w:rPr>
          <w:rFonts w:ascii="Arial" w:hAnsi="Arial" w:cs="Arial"/>
          <w:sz w:val="20"/>
        </w:rPr>
      </w:pPr>
    </w:p>
    <w:p w14:paraId="14334C0F" w14:textId="35D7D470" w:rsidR="00250CF8" w:rsidRDefault="00250CF8" w:rsidP="00B66A4A">
      <w:pPr>
        <w:pStyle w:val="ListParagraph"/>
        <w:numPr>
          <w:ilvl w:val="0"/>
          <w:numId w:val="8"/>
        </w:numPr>
        <w:tabs>
          <w:tab w:val="left" w:pos="567"/>
        </w:tabs>
        <w:ind w:left="0" w:firstLine="0"/>
        <w:contextualSpacing w:val="0"/>
        <w:jc w:val="both"/>
        <w:rPr>
          <w:rFonts w:ascii="Arial" w:hAnsi="Arial" w:cs="Arial"/>
          <w:sz w:val="20"/>
        </w:rPr>
      </w:pPr>
      <w:r w:rsidRPr="009B4A78">
        <w:rPr>
          <w:rFonts w:ascii="Arial" w:hAnsi="Arial" w:cs="Arial"/>
          <w:sz w:val="20"/>
        </w:rPr>
        <w:t xml:space="preserve">The average number of international applications and other requests for recording in the International Register under the Lisbon System since 1967 has amounted to approximately 25 such transactions per year, with large variations, however, between years (for example, seven requests for the recording of transactions were received in 2009 and 596 requests in 2007).  The number of transactions was considerably higher in 2014 (121) and in 2015 is also expected to be higher than the average.  In view of the possible entry into force of the </w:t>
      </w:r>
      <w:r w:rsidR="00830412">
        <w:rPr>
          <w:rFonts w:ascii="Arial" w:hAnsi="Arial" w:cs="Arial"/>
          <w:sz w:val="20"/>
        </w:rPr>
        <w:t>Geneva</w:t>
      </w:r>
      <w:r w:rsidR="00830412" w:rsidRPr="009B4A78">
        <w:rPr>
          <w:rFonts w:ascii="Arial" w:hAnsi="Arial" w:cs="Arial"/>
          <w:sz w:val="20"/>
        </w:rPr>
        <w:t xml:space="preserve"> </w:t>
      </w:r>
      <w:r w:rsidRPr="009B4A78">
        <w:rPr>
          <w:rFonts w:ascii="Arial" w:hAnsi="Arial" w:cs="Arial"/>
          <w:sz w:val="20"/>
        </w:rPr>
        <w:t>Act and further accessions, it is estimated that such an increased level of registration activity will continue in the years to come.</w:t>
      </w:r>
    </w:p>
    <w:p w14:paraId="11C405B5" w14:textId="77777777" w:rsidR="007A5A68" w:rsidRPr="00FB68E0" w:rsidRDefault="007A5A68" w:rsidP="00FB68E0">
      <w:pPr>
        <w:pStyle w:val="ListParagraph"/>
        <w:rPr>
          <w:rFonts w:ascii="Arial" w:hAnsi="Arial" w:cs="Arial"/>
          <w:sz w:val="20"/>
        </w:rPr>
      </w:pPr>
    </w:p>
    <w:p w14:paraId="15517E95" w14:textId="171F747C" w:rsidR="007A5A68" w:rsidRPr="00CB32BD" w:rsidRDefault="007A5A68" w:rsidP="00B66A4A">
      <w:pPr>
        <w:numPr>
          <w:ilvl w:val="0"/>
          <w:numId w:val="8"/>
        </w:numPr>
        <w:ind w:left="540" w:hanging="540"/>
        <w:jc w:val="both"/>
        <w:rPr>
          <w:rFonts w:ascii="Arial" w:hAnsi="Arial" w:cs="Arial"/>
          <w:sz w:val="20"/>
          <w:szCs w:val="20"/>
        </w:rPr>
      </w:pPr>
      <w:r>
        <w:rPr>
          <w:rFonts w:ascii="Arial" w:hAnsi="Arial" w:cs="Arial"/>
          <w:sz w:val="20"/>
          <w:szCs w:val="20"/>
        </w:rPr>
        <w:t xml:space="preserve">Program 6 collaborates primarily with </w:t>
      </w:r>
      <w:r w:rsidRPr="00CB32BD">
        <w:rPr>
          <w:rFonts w:ascii="Arial" w:hAnsi="Arial" w:cs="Arial"/>
          <w:sz w:val="20"/>
          <w:szCs w:val="20"/>
        </w:rPr>
        <w:t xml:space="preserve">other Programs as illustrated below: </w:t>
      </w:r>
    </w:p>
    <w:p w14:paraId="385E392B" w14:textId="77777777" w:rsidR="007A5A68" w:rsidRPr="009B4A78" w:rsidRDefault="007A5A68" w:rsidP="00FB68E0">
      <w:pPr>
        <w:pStyle w:val="ListParagraph"/>
        <w:tabs>
          <w:tab w:val="left" w:pos="567"/>
        </w:tabs>
        <w:ind w:left="0"/>
        <w:contextualSpacing w:val="0"/>
        <w:jc w:val="both"/>
        <w:rPr>
          <w:rFonts w:ascii="Arial" w:hAnsi="Arial" w:cs="Arial"/>
          <w:sz w:val="20"/>
        </w:rPr>
      </w:pPr>
    </w:p>
    <w:p w14:paraId="0EF99B84" w14:textId="77777777" w:rsidR="00250CF8" w:rsidRPr="009B4A78" w:rsidRDefault="00250CF8" w:rsidP="00F33E49">
      <w:pPr>
        <w:jc w:val="both"/>
        <w:rPr>
          <w:rFonts w:ascii="Arial" w:hAnsi="Arial" w:cs="Arial"/>
        </w:rPr>
      </w:pPr>
      <w:r w:rsidRPr="009B4A78">
        <w:rPr>
          <w:rFonts w:ascii="Arial" w:hAnsi="Arial" w:cs="Arial"/>
          <w:noProof/>
          <w:lang w:eastAsia="en-US"/>
        </w:rPr>
        <w:drawing>
          <wp:inline distT="0" distB="0" distL="0" distR="0" wp14:anchorId="17FAA5D1" wp14:editId="05B7F61B">
            <wp:extent cx="5943600" cy="1478280"/>
            <wp:effectExtent l="0" t="0" r="0" b="0"/>
            <wp:docPr id="16" name="Diagram 1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18CFD60C" w14:textId="77777777" w:rsidR="00250CF8" w:rsidRPr="009B4A78" w:rsidRDefault="00250CF8" w:rsidP="00F33E49">
      <w:pPr>
        <w:jc w:val="both"/>
        <w:rPr>
          <w:rFonts w:ascii="Arial" w:hAnsi="Arial" w:cs="Arial"/>
          <w:sz w:val="20"/>
        </w:rPr>
      </w:pPr>
    </w:p>
    <w:p w14:paraId="78533B96" w14:textId="77777777" w:rsidR="00250CF8" w:rsidRPr="009B4A78" w:rsidRDefault="00250CF8" w:rsidP="00F33E49">
      <w:pPr>
        <w:jc w:val="both"/>
        <w:rPr>
          <w:rFonts w:ascii="Arial" w:hAnsi="Arial" w:cs="Arial"/>
          <w:sz w:val="20"/>
        </w:rPr>
      </w:pPr>
    </w:p>
    <w:p w14:paraId="2C21D04C" w14:textId="77777777" w:rsidR="00250CF8" w:rsidRPr="009B4A78" w:rsidRDefault="00250CF8" w:rsidP="00F33E49">
      <w:pPr>
        <w:keepNext/>
        <w:keepLines/>
        <w:rPr>
          <w:rFonts w:ascii="Arial" w:hAnsi="Arial" w:cs="Arial"/>
        </w:rPr>
      </w:pPr>
      <w:bookmarkStart w:id="35" w:name="_Toc418840676"/>
      <w:r w:rsidRPr="009B4A78">
        <w:rPr>
          <w:rFonts w:ascii="Arial" w:hAnsi="Arial" w:cs="Arial"/>
        </w:rPr>
        <w:lastRenderedPageBreak/>
        <w:t>MAJOR RISKS AND MITIGATION STRATEGIES</w:t>
      </w:r>
      <w:bookmarkEnd w:id="35"/>
    </w:p>
    <w:p w14:paraId="2840AF2E" w14:textId="77777777" w:rsidR="00250CF8" w:rsidRPr="009B4A78" w:rsidRDefault="00250CF8" w:rsidP="00F33E49">
      <w:pPr>
        <w:keepNext/>
        <w:keepLines/>
        <w:rPr>
          <w:rFonts w:ascii="Arial" w:eastAsia="Times New Roman" w:hAnsi="Arial" w:cs="Arial"/>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250CF8" w:rsidRPr="009B4A78" w14:paraId="454D84EE" w14:textId="77777777" w:rsidTr="005412E8">
        <w:trPr>
          <w:trHeight w:val="478"/>
        </w:trPr>
        <w:tc>
          <w:tcPr>
            <w:tcW w:w="4111" w:type="dxa"/>
            <w:tcBorders>
              <w:top w:val="single" w:sz="4" w:space="0" w:color="auto"/>
              <w:left w:val="single" w:sz="4" w:space="0" w:color="auto"/>
              <w:bottom w:val="single" w:sz="4" w:space="0" w:color="auto"/>
              <w:right w:val="nil"/>
            </w:tcBorders>
            <w:shd w:val="clear" w:color="auto" w:fill="C6D9F1" w:themeFill="text2" w:themeFillTint="33"/>
            <w:vAlign w:val="center"/>
          </w:tcPr>
          <w:p w14:paraId="548D3AB2" w14:textId="77777777" w:rsidR="00250CF8" w:rsidRPr="009B4A78" w:rsidRDefault="00250CF8" w:rsidP="00F33E49">
            <w:pPr>
              <w:keepNext/>
              <w:keepLines/>
              <w:jc w:val="center"/>
              <w:rPr>
                <w:rFonts w:ascii="Arial" w:eastAsia="Times New Roman" w:hAnsi="Arial" w:cs="Arial"/>
                <w:b/>
                <w:bCs/>
                <w:sz w:val="18"/>
                <w:szCs w:val="18"/>
              </w:rPr>
            </w:pPr>
            <w:r w:rsidRPr="009B4A78">
              <w:rPr>
                <w:rFonts w:ascii="Arial" w:eastAsia="Times New Roman" w:hAnsi="Arial" w:cs="Arial"/>
                <w:b/>
                <w:bCs/>
                <w:sz w:val="18"/>
                <w:szCs w:val="18"/>
              </w:rPr>
              <w:t>Risk</w:t>
            </w:r>
          </w:p>
        </w:tc>
        <w:tc>
          <w:tcPr>
            <w:tcW w:w="5245" w:type="dxa"/>
            <w:tcBorders>
              <w:top w:val="single" w:sz="4" w:space="0" w:color="auto"/>
              <w:left w:val="nil"/>
              <w:bottom w:val="single" w:sz="4" w:space="0" w:color="auto"/>
              <w:right w:val="single" w:sz="4" w:space="0" w:color="auto"/>
            </w:tcBorders>
            <w:shd w:val="clear" w:color="auto" w:fill="C6D9F1" w:themeFill="text2" w:themeFillTint="33"/>
            <w:vAlign w:val="center"/>
          </w:tcPr>
          <w:p w14:paraId="4911A757" w14:textId="77777777" w:rsidR="00250CF8" w:rsidRPr="009B4A78" w:rsidRDefault="00250CF8" w:rsidP="00F33E49">
            <w:pPr>
              <w:keepNext/>
              <w:keepLines/>
              <w:jc w:val="center"/>
              <w:rPr>
                <w:rFonts w:ascii="Arial" w:eastAsia="Times New Roman" w:hAnsi="Arial" w:cs="Arial"/>
                <w:b/>
                <w:bCs/>
                <w:sz w:val="18"/>
                <w:szCs w:val="18"/>
              </w:rPr>
            </w:pPr>
            <w:r w:rsidRPr="009B4A78">
              <w:rPr>
                <w:rFonts w:ascii="Arial" w:eastAsia="Times New Roman" w:hAnsi="Arial" w:cs="Arial"/>
                <w:b/>
                <w:bCs/>
                <w:sz w:val="18"/>
                <w:szCs w:val="18"/>
              </w:rPr>
              <w:t>Mitigation</w:t>
            </w:r>
          </w:p>
        </w:tc>
      </w:tr>
      <w:tr w:rsidR="00250CF8" w:rsidRPr="009B4A78" w14:paraId="53855B6D" w14:textId="77777777" w:rsidTr="005412E8">
        <w:trPr>
          <w:trHeight w:val="211"/>
        </w:trPr>
        <w:tc>
          <w:tcPr>
            <w:tcW w:w="4111" w:type="dxa"/>
            <w:tcBorders>
              <w:top w:val="single" w:sz="4" w:space="0" w:color="auto"/>
              <w:left w:val="single" w:sz="4" w:space="0" w:color="auto"/>
              <w:bottom w:val="nil"/>
              <w:right w:val="nil"/>
            </w:tcBorders>
            <w:shd w:val="clear" w:color="auto" w:fill="auto"/>
            <w:tcMar>
              <w:top w:w="113" w:type="dxa"/>
              <w:bottom w:w="113" w:type="dxa"/>
            </w:tcMar>
          </w:tcPr>
          <w:p w14:paraId="49F16D83"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Madrid System is considered less attractive than the national route in respect of certain Designated Contracting Parties.</w:t>
            </w:r>
          </w:p>
        </w:tc>
        <w:tc>
          <w:tcPr>
            <w:tcW w:w="5245" w:type="dxa"/>
            <w:tcBorders>
              <w:top w:val="single" w:sz="4" w:space="0" w:color="auto"/>
              <w:left w:val="nil"/>
              <w:bottom w:val="nil"/>
              <w:right w:val="single" w:sz="4" w:space="0" w:color="auto"/>
            </w:tcBorders>
            <w:shd w:val="clear" w:color="auto" w:fill="auto"/>
            <w:tcMar>
              <w:top w:w="113" w:type="dxa"/>
              <w:bottom w:w="113" w:type="dxa"/>
            </w:tcMar>
          </w:tcPr>
          <w:p w14:paraId="4E030644"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Enhance the effectiveness of the Madrid System through legal and practical adjustments which facilitate the securing of trademark protection in all designated Contracting Parties</w:t>
            </w:r>
          </w:p>
          <w:p w14:paraId="65144A13" w14:textId="77777777" w:rsidR="00250CF8" w:rsidRPr="009B4A78" w:rsidRDefault="00250CF8" w:rsidP="00F33E49">
            <w:pPr>
              <w:rPr>
                <w:rFonts w:ascii="Arial" w:eastAsia="Times New Roman" w:hAnsi="Arial" w:cs="Arial"/>
                <w:sz w:val="16"/>
                <w:szCs w:val="16"/>
              </w:rPr>
            </w:pPr>
          </w:p>
          <w:p w14:paraId="566A9FE8"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Promote new accessions in key regions and countries</w:t>
            </w:r>
          </w:p>
        </w:tc>
      </w:tr>
      <w:tr w:rsidR="00250CF8" w:rsidRPr="009B4A78" w14:paraId="318D89CC" w14:textId="77777777" w:rsidTr="005412E8">
        <w:trPr>
          <w:trHeight w:val="211"/>
        </w:trPr>
        <w:tc>
          <w:tcPr>
            <w:tcW w:w="4111" w:type="dxa"/>
            <w:tcBorders>
              <w:top w:val="nil"/>
              <w:left w:val="single" w:sz="4" w:space="0" w:color="auto"/>
              <w:bottom w:val="nil"/>
              <w:right w:val="nil"/>
            </w:tcBorders>
            <w:shd w:val="clear" w:color="auto" w:fill="auto"/>
            <w:tcMar>
              <w:top w:w="113" w:type="dxa"/>
              <w:bottom w:w="113" w:type="dxa"/>
            </w:tcMar>
          </w:tcPr>
          <w:p w14:paraId="3E113DC3"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Quality of the International Bureau’s services does not meet customer expectations</w:t>
            </w:r>
          </w:p>
        </w:tc>
        <w:tc>
          <w:tcPr>
            <w:tcW w:w="5245" w:type="dxa"/>
            <w:tcBorders>
              <w:top w:val="nil"/>
              <w:left w:val="nil"/>
              <w:bottom w:val="nil"/>
              <w:right w:val="single" w:sz="4" w:space="0" w:color="auto"/>
            </w:tcBorders>
            <w:shd w:val="clear" w:color="auto" w:fill="auto"/>
            <w:tcMar>
              <w:top w:w="113" w:type="dxa"/>
              <w:bottom w:w="113" w:type="dxa"/>
            </w:tcMar>
          </w:tcPr>
          <w:p w14:paraId="367B4186"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Improve staff profile alignment; improve consistency of operational practices and their compliance with the legal framework; continue to strengthen quality control procedures; and provide training support.</w:t>
            </w:r>
          </w:p>
        </w:tc>
      </w:tr>
      <w:tr w:rsidR="00250CF8" w:rsidRPr="009B4A78" w14:paraId="51B4A889" w14:textId="77777777" w:rsidTr="005412E8">
        <w:trPr>
          <w:trHeight w:val="211"/>
        </w:trPr>
        <w:tc>
          <w:tcPr>
            <w:tcW w:w="4111" w:type="dxa"/>
            <w:tcBorders>
              <w:top w:val="nil"/>
              <w:left w:val="single" w:sz="4" w:space="0" w:color="auto"/>
              <w:bottom w:val="single" w:sz="4" w:space="0" w:color="auto"/>
              <w:right w:val="nil"/>
            </w:tcBorders>
            <w:shd w:val="clear" w:color="auto" w:fill="auto"/>
            <w:tcMar>
              <w:top w:w="113" w:type="dxa"/>
              <w:bottom w:w="113" w:type="dxa"/>
            </w:tcMar>
          </w:tcPr>
          <w:p w14:paraId="1DEC21F7"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sz w:val="16"/>
                <w:szCs w:val="16"/>
              </w:rPr>
              <w:t>Prolonged unavailability of operations at the International Bureau.</w:t>
            </w:r>
          </w:p>
        </w:tc>
        <w:tc>
          <w:tcPr>
            <w:tcW w:w="5245" w:type="dxa"/>
            <w:tcBorders>
              <w:top w:val="nil"/>
              <w:left w:val="nil"/>
              <w:bottom w:val="single" w:sz="4" w:space="0" w:color="auto"/>
              <w:right w:val="single" w:sz="4" w:space="0" w:color="auto"/>
            </w:tcBorders>
            <w:shd w:val="clear" w:color="auto" w:fill="auto"/>
            <w:tcMar>
              <w:top w:w="113" w:type="dxa"/>
              <w:bottom w:w="113" w:type="dxa"/>
            </w:tcMar>
          </w:tcPr>
          <w:p w14:paraId="06DFC5D1" w14:textId="77777777" w:rsidR="00250CF8" w:rsidRPr="009B4A78" w:rsidRDefault="00250CF8" w:rsidP="00F33E49">
            <w:pPr>
              <w:rPr>
                <w:rFonts w:ascii="Arial" w:eastAsia="Times New Roman" w:hAnsi="Arial" w:cs="Arial"/>
                <w:sz w:val="16"/>
                <w:szCs w:val="16"/>
              </w:rPr>
            </w:pPr>
            <w:r w:rsidRPr="009B4A78">
              <w:rPr>
                <w:rFonts w:ascii="Arial" w:eastAsia="Times New Roman" w:hAnsi="Arial" w:cs="Arial"/>
                <w:color w:val="000000"/>
                <w:sz w:val="16"/>
                <w:szCs w:val="16"/>
              </w:rPr>
              <w:t>Further develop the Business Continuity Plan of the International Bureau.</w:t>
            </w:r>
          </w:p>
        </w:tc>
      </w:tr>
    </w:tbl>
    <w:p w14:paraId="1AB25FCC" w14:textId="77777777" w:rsidR="00250CF8" w:rsidRPr="009B4A78" w:rsidRDefault="00250CF8" w:rsidP="00F33E49">
      <w:pPr>
        <w:rPr>
          <w:rFonts w:ascii="Arial" w:eastAsia="Times New Roman" w:hAnsi="Arial" w:cs="Arial"/>
        </w:rPr>
      </w:pPr>
    </w:p>
    <w:p w14:paraId="4811C849" w14:textId="77777777" w:rsidR="00250CF8" w:rsidRPr="009B4A78" w:rsidRDefault="00250CF8" w:rsidP="00F33E49">
      <w:pPr>
        <w:rPr>
          <w:rFonts w:ascii="Arial" w:eastAsia="Times New Roman" w:hAnsi="Arial" w:cs="Arial"/>
        </w:rPr>
      </w:pPr>
    </w:p>
    <w:p w14:paraId="6D3D74AE" w14:textId="77777777" w:rsidR="00250CF8" w:rsidRPr="009B4A78" w:rsidRDefault="00250CF8" w:rsidP="00F33E49">
      <w:pPr>
        <w:rPr>
          <w:rFonts w:ascii="Arial" w:eastAsia="Times New Roman" w:hAnsi="Arial" w:cs="Arial"/>
        </w:rPr>
      </w:pPr>
      <w:r w:rsidRPr="009B4A78">
        <w:rPr>
          <w:rFonts w:ascii="Arial" w:eastAsia="Times New Roman" w:hAnsi="Arial" w:cs="Arial"/>
        </w:rPr>
        <w:t>RESULTS FRAMEWORK</w:t>
      </w:r>
    </w:p>
    <w:p w14:paraId="69B22115" w14:textId="77777777" w:rsidR="00250CF8" w:rsidRPr="009B4A78" w:rsidRDefault="00250CF8" w:rsidP="00F33E49">
      <w:pPr>
        <w:rPr>
          <w:rFonts w:ascii="Arial" w:eastAsia="Times New Roman" w:hAnsi="Arial" w:cs="Arial"/>
        </w:rPr>
      </w:pPr>
    </w:p>
    <w:tbl>
      <w:tblPr>
        <w:tblW w:w="9513" w:type="dxa"/>
        <w:tblInd w:w="93" w:type="dxa"/>
        <w:tblLook w:val="04A0" w:firstRow="1" w:lastRow="0" w:firstColumn="1" w:lastColumn="0" w:noHBand="0" w:noVBand="1"/>
      </w:tblPr>
      <w:tblGrid>
        <w:gridCol w:w="2060"/>
        <w:gridCol w:w="2500"/>
        <w:gridCol w:w="2543"/>
        <w:gridCol w:w="2410"/>
      </w:tblGrid>
      <w:tr w:rsidR="00250CF8" w:rsidRPr="009B4A78" w14:paraId="6BB0EF41" w14:textId="77777777" w:rsidTr="008D4CE9">
        <w:trPr>
          <w:trHeight w:val="518"/>
          <w:tblHeader/>
        </w:trPr>
        <w:tc>
          <w:tcPr>
            <w:tcW w:w="20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71AC15CA" w14:textId="77777777" w:rsidR="00250CF8" w:rsidRPr="009B4A78" w:rsidRDefault="00250CF8"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Expected Results</w:t>
            </w:r>
          </w:p>
        </w:tc>
        <w:tc>
          <w:tcPr>
            <w:tcW w:w="2500" w:type="dxa"/>
            <w:tcBorders>
              <w:top w:val="single" w:sz="4" w:space="0" w:color="auto"/>
              <w:left w:val="nil"/>
              <w:bottom w:val="single" w:sz="4" w:space="0" w:color="auto"/>
              <w:right w:val="nil"/>
            </w:tcBorders>
            <w:shd w:val="clear" w:color="auto" w:fill="C6D9F1" w:themeFill="text2" w:themeFillTint="33"/>
            <w:vAlign w:val="center"/>
            <w:hideMark/>
          </w:tcPr>
          <w:p w14:paraId="71CCED8D" w14:textId="77777777" w:rsidR="00250CF8" w:rsidRPr="009B4A78" w:rsidRDefault="00250CF8"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Performance Indicators</w:t>
            </w:r>
          </w:p>
        </w:tc>
        <w:tc>
          <w:tcPr>
            <w:tcW w:w="2543" w:type="dxa"/>
            <w:tcBorders>
              <w:top w:val="single" w:sz="4" w:space="0" w:color="auto"/>
              <w:left w:val="nil"/>
              <w:bottom w:val="single" w:sz="4" w:space="0" w:color="auto"/>
              <w:right w:val="nil"/>
            </w:tcBorders>
            <w:shd w:val="clear" w:color="auto" w:fill="C6D9F1" w:themeFill="text2" w:themeFillTint="33"/>
            <w:vAlign w:val="center"/>
            <w:hideMark/>
          </w:tcPr>
          <w:p w14:paraId="5DC22E23" w14:textId="77777777" w:rsidR="00250CF8" w:rsidRPr="009B4A78" w:rsidRDefault="00250CF8"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Baselines</w:t>
            </w:r>
          </w:p>
        </w:tc>
        <w:tc>
          <w:tcPr>
            <w:tcW w:w="241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7D70CE8D" w14:textId="77777777" w:rsidR="00250CF8" w:rsidRPr="009B4A78" w:rsidRDefault="00250CF8"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Targets</w:t>
            </w:r>
          </w:p>
        </w:tc>
      </w:tr>
      <w:tr w:rsidR="00250CF8" w:rsidRPr="009B4A78" w14:paraId="7D034E34" w14:textId="77777777" w:rsidTr="008D4CE9">
        <w:trPr>
          <w:trHeight w:val="1304"/>
        </w:trPr>
        <w:tc>
          <w:tcPr>
            <w:tcW w:w="2060" w:type="dxa"/>
            <w:tcBorders>
              <w:top w:val="nil"/>
              <w:left w:val="single" w:sz="4" w:space="0" w:color="auto"/>
              <w:bottom w:val="nil"/>
              <w:right w:val="nil"/>
            </w:tcBorders>
            <w:shd w:val="clear" w:color="000000" w:fill="FFFFFF"/>
            <w:hideMark/>
          </w:tcPr>
          <w:p w14:paraId="7DD7905D"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br/>
              <w:t>II.6 Wider and more effective use of the Madrid &amp; Lisbon systems, including by developing countries and LDCs</w:t>
            </w:r>
          </w:p>
        </w:tc>
        <w:tc>
          <w:tcPr>
            <w:tcW w:w="2500" w:type="dxa"/>
            <w:tcBorders>
              <w:top w:val="nil"/>
              <w:left w:val="nil"/>
              <w:bottom w:val="nil"/>
              <w:right w:val="nil"/>
            </w:tcBorders>
            <w:shd w:val="clear" w:color="000000" w:fill="FFFFFF"/>
            <w:hideMark/>
          </w:tcPr>
          <w:p w14:paraId="51CA3473" w14:textId="3E95D2CA" w:rsidR="00250CF8" w:rsidRPr="009B4A78" w:rsidRDefault="00250CF8"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br/>
              <w:t>Total Membership of the Madrid System</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Market share (i.e., national route versus Madrid route)</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554AF292" w14:textId="77777777" w:rsidR="00250CF8" w:rsidRPr="009B4A78" w:rsidRDefault="00250CF8"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br/>
              <w:t>95 members (as at April 15, 2015)</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 xml:space="preserve">63.4% market share (as of Dec 31, 2012) </w:t>
            </w:r>
          </w:p>
        </w:tc>
        <w:tc>
          <w:tcPr>
            <w:tcW w:w="2410" w:type="dxa"/>
            <w:tcBorders>
              <w:top w:val="nil"/>
              <w:left w:val="nil"/>
              <w:bottom w:val="nil"/>
              <w:right w:val="single" w:sz="4" w:space="0" w:color="auto"/>
            </w:tcBorders>
            <w:shd w:val="clear" w:color="000000" w:fill="FFFFFF"/>
            <w:hideMark/>
          </w:tcPr>
          <w:p w14:paraId="3748C03A" w14:textId="77777777" w:rsidR="00250CF8" w:rsidRPr="009B4A78" w:rsidRDefault="00250CF8"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br/>
              <w:t>103</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Increase of  market share</w:t>
            </w:r>
          </w:p>
        </w:tc>
      </w:tr>
      <w:tr w:rsidR="00250CF8" w:rsidRPr="009B4A78" w14:paraId="0B11AC3C" w14:textId="77777777" w:rsidTr="008D4CE9">
        <w:trPr>
          <w:trHeight w:val="441"/>
        </w:trPr>
        <w:tc>
          <w:tcPr>
            <w:tcW w:w="2060" w:type="dxa"/>
            <w:tcBorders>
              <w:top w:val="nil"/>
              <w:left w:val="single" w:sz="4" w:space="0" w:color="auto"/>
              <w:bottom w:val="nil"/>
              <w:right w:val="nil"/>
            </w:tcBorders>
            <w:shd w:val="clear" w:color="000000" w:fill="FFFFFF"/>
            <w:hideMark/>
          </w:tcPr>
          <w:p w14:paraId="02DC18A1"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50A99601" w14:textId="14C469AD"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Filing rate</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14EC8314"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47,885 applications </w:t>
            </w:r>
          </w:p>
          <w:p w14:paraId="506D5129"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2.3% filing rate (as of Dec  31, 2014)</w:t>
            </w:r>
          </w:p>
        </w:tc>
        <w:tc>
          <w:tcPr>
            <w:tcW w:w="2410" w:type="dxa"/>
            <w:tcBorders>
              <w:top w:val="nil"/>
              <w:left w:val="nil"/>
              <w:bottom w:val="nil"/>
              <w:right w:val="single" w:sz="4" w:space="0" w:color="auto"/>
            </w:tcBorders>
            <w:shd w:val="clear" w:color="000000" w:fill="FFFFFF"/>
            <w:hideMark/>
          </w:tcPr>
          <w:p w14:paraId="0CCF62E5"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2016: + 4.6% Filing rate</w:t>
            </w:r>
            <w:r w:rsidRPr="009B4A78">
              <w:rPr>
                <w:rFonts w:ascii="Arial" w:eastAsia="Times New Roman" w:hAnsi="Arial" w:cs="Arial"/>
                <w:color w:val="000000"/>
                <w:sz w:val="16"/>
                <w:szCs w:val="16"/>
              </w:rPr>
              <w:br/>
              <w:t>2017: + 2.3% Filing rate</w:t>
            </w:r>
          </w:p>
        </w:tc>
      </w:tr>
      <w:tr w:rsidR="00250CF8" w:rsidRPr="009B4A78" w14:paraId="5AD54275" w14:textId="77777777" w:rsidTr="008D4CE9">
        <w:trPr>
          <w:trHeight w:val="2490"/>
        </w:trPr>
        <w:tc>
          <w:tcPr>
            <w:tcW w:w="2060" w:type="dxa"/>
            <w:tcBorders>
              <w:top w:val="nil"/>
              <w:left w:val="single" w:sz="4" w:space="0" w:color="auto"/>
              <w:bottom w:val="nil"/>
              <w:right w:val="nil"/>
            </w:tcBorders>
            <w:shd w:val="clear" w:color="000000" w:fill="FFFFFF"/>
            <w:hideMark/>
          </w:tcPr>
          <w:p w14:paraId="40092063"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392C3E59" w14:textId="29FCB2EF"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Registrations</w:t>
            </w:r>
            <w:r w:rsidR="007B4126">
              <w:rPr>
                <w:rFonts w:ascii="Arial" w:eastAsia="Times New Roman" w:hAnsi="Arial" w:cs="Arial"/>
                <w:color w:val="000000"/>
                <w:sz w:val="16"/>
                <w:szCs w:val="16"/>
              </w:rPr>
              <w:t xml:space="preserve"> (Madrid)</w:t>
            </w:r>
          </w:p>
          <w:p w14:paraId="7160A1A3" w14:textId="77777777" w:rsidR="00250CF8" w:rsidRPr="009B4A78" w:rsidRDefault="00250CF8" w:rsidP="00F33E49">
            <w:pPr>
              <w:rPr>
                <w:rFonts w:ascii="Arial" w:eastAsia="Times New Roman" w:hAnsi="Arial" w:cs="Arial"/>
                <w:color w:val="000000"/>
                <w:sz w:val="16"/>
                <w:szCs w:val="16"/>
              </w:rPr>
            </w:pPr>
          </w:p>
          <w:p w14:paraId="2325EB18" w14:textId="77777777" w:rsidR="00250CF8" w:rsidRPr="009B4A78" w:rsidRDefault="00250CF8" w:rsidP="00F33E49">
            <w:pPr>
              <w:rPr>
                <w:rFonts w:ascii="Arial" w:eastAsia="Times New Roman" w:hAnsi="Arial" w:cs="Arial"/>
                <w:color w:val="000000"/>
                <w:sz w:val="16"/>
                <w:szCs w:val="16"/>
              </w:rPr>
            </w:pPr>
          </w:p>
          <w:p w14:paraId="00B8BB62" w14:textId="049ACC3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Renewals</w:t>
            </w:r>
            <w:r w:rsidR="007B4126">
              <w:rPr>
                <w:rFonts w:ascii="Arial" w:eastAsia="Times New Roman" w:hAnsi="Arial" w:cs="Arial"/>
                <w:color w:val="000000"/>
                <w:sz w:val="16"/>
                <w:szCs w:val="16"/>
              </w:rPr>
              <w:t xml:space="preserve"> (Madrid)</w:t>
            </w:r>
          </w:p>
          <w:p w14:paraId="49F952E7" w14:textId="77777777" w:rsidR="00250CF8" w:rsidRPr="009B4A78" w:rsidRDefault="00250CF8" w:rsidP="00F33E49">
            <w:pPr>
              <w:rPr>
                <w:rFonts w:ascii="Arial" w:eastAsia="Times New Roman" w:hAnsi="Arial" w:cs="Arial"/>
                <w:color w:val="000000"/>
                <w:sz w:val="16"/>
                <w:szCs w:val="16"/>
              </w:rPr>
            </w:pPr>
          </w:p>
          <w:p w14:paraId="7CEE3983" w14:textId="77777777" w:rsidR="00250CF8" w:rsidRPr="009B4A78" w:rsidRDefault="00250CF8" w:rsidP="00F33E49">
            <w:pPr>
              <w:rPr>
                <w:rFonts w:ascii="Arial" w:eastAsia="Times New Roman" w:hAnsi="Arial" w:cs="Arial"/>
                <w:color w:val="000000"/>
                <w:sz w:val="16"/>
                <w:szCs w:val="16"/>
              </w:rPr>
            </w:pPr>
          </w:p>
          <w:p w14:paraId="5A215AD6" w14:textId="68D9585C"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Total no. of registrations</w:t>
            </w:r>
            <w:r w:rsidR="007B4126">
              <w:rPr>
                <w:rFonts w:ascii="Arial" w:eastAsia="Times New Roman" w:hAnsi="Arial" w:cs="Arial"/>
                <w:color w:val="000000"/>
                <w:sz w:val="16"/>
                <w:szCs w:val="16"/>
              </w:rPr>
              <w:t xml:space="preserve"> (Madrid)</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Total no. of designations</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4CA6B482"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42,430 (2014)</w:t>
            </w:r>
          </w:p>
          <w:p w14:paraId="3267C73A" w14:textId="77777777" w:rsidR="00250CF8" w:rsidRPr="009B4A78" w:rsidRDefault="00250CF8" w:rsidP="00F33E49">
            <w:pPr>
              <w:rPr>
                <w:rFonts w:ascii="Arial" w:eastAsia="Times New Roman" w:hAnsi="Arial" w:cs="Arial"/>
                <w:color w:val="000000"/>
                <w:sz w:val="16"/>
                <w:szCs w:val="16"/>
              </w:rPr>
            </w:pPr>
          </w:p>
          <w:p w14:paraId="5252DA67" w14:textId="77777777" w:rsidR="00250CF8" w:rsidRPr="009B4A78" w:rsidRDefault="00250CF8" w:rsidP="00F33E49">
            <w:pPr>
              <w:rPr>
                <w:rFonts w:ascii="Arial" w:eastAsia="Times New Roman" w:hAnsi="Arial" w:cs="Arial"/>
                <w:color w:val="000000"/>
                <w:sz w:val="16"/>
                <w:szCs w:val="16"/>
              </w:rPr>
            </w:pPr>
          </w:p>
          <w:p w14:paraId="4F91958E"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25,729 (2014)</w:t>
            </w:r>
          </w:p>
          <w:p w14:paraId="1F235742" w14:textId="77777777" w:rsidR="00250CF8" w:rsidRPr="009B4A78" w:rsidRDefault="00250CF8" w:rsidP="00F33E49">
            <w:pPr>
              <w:rPr>
                <w:rFonts w:ascii="Arial" w:eastAsia="Times New Roman" w:hAnsi="Arial" w:cs="Arial"/>
                <w:color w:val="000000"/>
                <w:sz w:val="16"/>
                <w:szCs w:val="16"/>
              </w:rPr>
            </w:pPr>
          </w:p>
          <w:p w14:paraId="29D73D52" w14:textId="77777777" w:rsidR="00250CF8" w:rsidRPr="009B4A78" w:rsidRDefault="00250CF8" w:rsidP="00F33E49">
            <w:pPr>
              <w:rPr>
                <w:rFonts w:ascii="Arial" w:eastAsia="Times New Roman" w:hAnsi="Arial" w:cs="Arial"/>
                <w:color w:val="000000"/>
                <w:sz w:val="16"/>
                <w:szCs w:val="16"/>
              </w:rPr>
            </w:pPr>
          </w:p>
          <w:p w14:paraId="41582B0F"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594,477 registrations </w:t>
            </w:r>
          </w:p>
          <w:p w14:paraId="6E78C818"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(as of  Dec 31, 2014)</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 xml:space="preserve">5.61 million designations </w:t>
            </w:r>
          </w:p>
          <w:p w14:paraId="2AA14545"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(as of Dec 31, 2014)</w:t>
            </w:r>
          </w:p>
        </w:tc>
        <w:tc>
          <w:tcPr>
            <w:tcW w:w="2410" w:type="dxa"/>
            <w:tcBorders>
              <w:top w:val="nil"/>
              <w:left w:val="nil"/>
              <w:bottom w:val="nil"/>
              <w:right w:val="single" w:sz="4" w:space="0" w:color="auto"/>
            </w:tcBorders>
            <w:shd w:val="clear" w:color="000000" w:fill="FFFFFF"/>
            <w:hideMark/>
          </w:tcPr>
          <w:p w14:paraId="07EB27FC"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47,387 (2016)</w:t>
            </w:r>
          </w:p>
          <w:p w14:paraId="63699FB3"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48,652 (2017)</w:t>
            </w:r>
          </w:p>
          <w:p w14:paraId="662075DC"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29,850 (2016)</w:t>
            </w:r>
          </w:p>
          <w:p w14:paraId="06565EFA"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31,020 (2017)</w:t>
            </w:r>
          </w:p>
          <w:p w14:paraId="3A865F6F" w14:textId="77777777" w:rsidR="00250CF8" w:rsidRPr="009B4A78" w:rsidRDefault="00250CF8" w:rsidP="00F33E49">
            <w:pPr>
              <w:rPr>
                <w:rFonts w:ascii="Arial" w:eastAsia="Times New Roman" w:hAnsi="Arial" w:cs="Arial"/>
                <w:color w:val="000000"/>
                <w:sz w:val="16"/>
                <w:szCs w:val="16"/>
              </w:rPr>
            </w:pPr>
          </w:p>
          <w:p w14:paraId="117F3B57" w14:textId="77777777" w:rsidR="006E030C" w:rsidRDefault="006E030C" w:rsidP="00F33E49">
            <w:pPr>
              <w:rPr>
                <w:rFonts w:ascii="Arial" w:eastAsia="Times New Roman" w:hAnsi="Arial" w:cs="Arial"/>
                <w:color w:val="000000"/>
                <w:sz w:val="16"/>
                <w:szCs w:val="16"/>
              </w:rPr>
            </w:pPr>
          </w:p>
          <w:p w14:paraId="5007EB28"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2016: 630,000 registrations</w:t>
            </w:r>
            <w:r w:rsidRPr="009B4A78">
              <w:rPr>
                <w:rFonts w:ascii="Arial" w:eastAsia="Times New Roman" w:hAnsi="Arial" w:cs="Arial"/>
                <w:color w:val="000000"/>
                <w:sz w:val="16"/>
                <w:szCs w:val="16"/>
              </w:rPr>
              <w:br/>
              <w:t>2017: 650,000 registrations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2016: 5.68 million designations</w:t>
            </w:r>
            <w:r w:rsidRPr="009B4A78">
              <w:rPr>
                <w:rFonts w:ascii="Arial" w:eastAsia="Times New Roman" w:hAnsi="Arial" w:cs="Arial"/>
                <w:color w:val="000000"/>
                <w:sz w:val="16"/>
                <w:szCs w:val="16"/>
              </w:rPr>
              <w:br/>
              <w:t>2017: 5.7 million designations</w:t>
            </w:r>
          </w:p>
        </w:tc>
      </w:tr>
      <w:tr w:rsidR="00250CF8" w:rsidRPr="009B4A78" w14:paraId="6B81FC6C" w14:textId="77777777" w:rsidTr="008D4CE9">
        <w:trPr>
          <w:trHeight w:val="1260"/>
        </w:trPr>
        <w:tc>
          <w:tcPr>
            <w:tcW w:w="2060" w:type="dxa"/>
            <w:tcBorders>
              <w:top w:val="nil"/>
              <w:left w:val="single" w:sz="4" w:space="0" w:color="auto"/>
              <w:bottom w:val="nil"/>
              <w:right w:val="nil"/>
            </w:tcBorders>
            <w:shd w:val="clear" w:color="000000" w:fill="FFFFFF"/>
            <w:hideMark/>
          </w:tcPr>
          <w:p w14:paraId="4263760B"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7CB46147" w14:textId="59ED1B7E"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Irregularity rate (Article 12 and 13)</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2F04E677"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36%  Irregularity rate </w:t>
            </w:r>
          </w:p>
          <w:p w14:paraId="6A0A3EDE"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(as of Dec 31,2014)</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 xml:space="preserve">Acceptable terms in Madrid Goods and Services Database (MGS) (In English) </w:t>
            </w:r>
            <w:r w:rsidRPr="009B4A78">
              <w:rPr>
                <w:rFonts w:ascii="Arial" w:eastAsia="Times New Roman" w:hAnsi="Arial" w:cs="Arial"/>
                <w:sz w:val="16"/>
                <w:szCs w:val="16"/>
              </w:rPr>
              <w:t>67,050</w:t>
            </w:r>
            <w:r w:rsidRPr="009B4A78">
              <w:rPr>
                <w:rFonts w:ascii="Arial" w:eastAsia="Times New Roman" w:hAnsi="Arial" w:cs="Arial"/>
                <w:color w:val="000000"/>
                <w:sz w:val="16"/>
                <w:szCs w:val="16"/>
              </w:rPr>
              <w:t xml:space="preserve"> (May 2015)</w:t>
            </w:r>
          </w:p>
        </w:tc>
        <w:tc>
          <w:tcPr>
            <w:tcW w:w="2410" w:type="dxa"/>
            <w:tcBorders>
              <w:top w:val="nil"/>
              <w:left w:val="nil"/>
              <w:bottom w:val="nil"/>
              <w:right w:val="single" w:sz="4" w:space="0" w:color="auto"/>
            </w:tcBorders>
            <w:shd w:val="clear" w:color="000000" w:fill="FFFFFF"/>
            <w:hideMark/>
          </w:tcPr>
          <w:p w14:paraId="261AAA1C"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Decrease</w:t>
            </w:r>
          </w:p>
          <w:p w14:paraId="67FCB761" w14:textId="77777777" w:rsidR="00250CF8" w:rsidRPr="009B4A78" w:rsidRDefault="00250CF8" w:rsidP="00F33E49">
            <w:pPr>
              <w:rPr>
                <w:rFonts w:ascii="Arial" w:eastAsia="Times New Roman" w:hAnsi="Arial" w:cs="Arial"/>
                <w:color w:val="000000"/>
                <w:sz w:val="16"/>
                <w:szCs w:val="16"/>
              </w:rPr>
            </w:pPr>
          </w:p>
          <w:p w14:paraId="651401D1" w14:textId="77777777" w:rsidR="00250CF8" w:rsidRPr="009B4A78" w:rsidRDefault="00250CF8" w:rsidP="00F33E49">
            <w:pPr>
              <w:rPr>
                <w:rFonts w:ascii="Arial" w:eastAsia="Times New Roman" w:hAnsi="Arial" w:cs="Arial"/>
                <w:color w:val="000000"/>
                <w:sz w:val="16"/>
                <w:szCs w:val="16"/>
              </w:rPr>
            </w:pPr>
          </w:p>
          <w:p w14:paraId="4B969940"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80,000</w:t>
            </w:r>
          </w:p>
        </w:tc>
      </w:tr>
      <w:tr w:rsidR="00250CF8" w:rsidRPr="009B4A78" w14:paraId="51E17F76" w14:textId="77777777" w:rsidTr="008D4CE9">
        <w:trPr>
          <w:trHeight w:val="729"/>
        </w:trPr>
        <w:tc>
          <w:tcPr>
            <w:tcW w:w="2060" w:type="dxa"/>
            <w:tcBorders>
              <w:top w:val="nil"/>
              <w:left w:val="single" w:sz="4" w:space="0" w:color="auto"/>
              <w:bottom w:val="nil"/>
              <w:right w:val="nil"/>
            </w:tcBorders>
            <w:shd w:val="clear" w:color="000000" w:fill="FFFFFF"/>
            <w:hideMark/>
          </w:tcPr>
          <w:p w14:paraId="74BDA2B5"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2A17F41D"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Functional improvements to the Madrid System</w:t>
            </w:r>
          </w:p>
        </w:tc>
        <w:tc>
          <w:tcPr>
            <w:tcW w:w="2543" w:type="dxa"/>
            <w:tcBorders>
              <w:top w:val="nil"/>
              <w:left w:val="nil"/>
              <w:bottom w:val="nil"/>
              <w:right w:val="nil"/>
            </w:tcBorders>
            <w:shd w:val="clear" w:color="000000" w:fill="FFFFFF"/>
            <w:hideMark/>
          </w:tcPr>
          <w:p w14:paraId="73FCC7D6"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Common Regulations and Administrative Instructions in force at December 31, 2014</w:t>
            </w:r>
          </w:p>
        </w:tc>
        <w:tc>
          <w:tcPr>
            <w:tcW w:w="2410" w:type="dxa"/>
            <w:tcBorders>
              <w:top w:val="nil"/>
              <w:left w:val="nil"/>
              <w:bottom w:val="nil"/>
              <w:right w:val="single" w:sz="4" w:space="0" w:color="auto"/>
            </w:tcBorders>
            <w:shd w:val="clear" w:color="000000" w:fill="FFFFFF"/>
            <w:hideMark/>
          </w:tcPr>
          <w:p w14:paraId="438B4BA3"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Amendments to the Common Regulations and Administrative Instructions</w:t>
            </w:r>
          </w:p>
        </w:tc>
      </w:tr>
      <w:tr w:rsidR="00250CF8" w:rsidRPr="009B4A78" w14:paraId="11F46F34" w14:textId="77777777" w:rsidTr="008D4CE9">
        <w:trPr>
          <w:trHeight w:val="711"/>
        </w:trPr>
        <w:tc>
          <w:tcPr>
            <w:tcW w:w="2060" w:type="dxa"/>
            <w:tcBorders>
              <w:top w:val="nil"/>
              <w:left w:val="single" w:sz="4" w:space="0" w:color="auto"/>
              <w:right w:val="nil"/>
            </w:tcBorders>
            <w:shd w:val="clear" w:color="000000" w:fill="FFFFFF"/>
            <w:hideMark/>
          </w:tcPr>
          <w:p w14:paraId="52E3A423"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right w:val="nil"/>
            </w:tcBorders>
            <w:shd w:val="clear" w:color="000000" w:fill="FFFFFF"/>
            <w:hideMark/>
          </w:tcPr>
          <w:p w14:paraId="021CBD7E"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Expansion of the geographical coverage of the Lisbon System</w:t>
            </w:r>
          </w:p>
        </w:tc>
        <w:tc>
          <w:tcPr>
            <w:tcW w:w="2543" w:type="dxa"/>
            <w:tcBorders>
              <w:top w:val="nil"/>
              <w:left w:val="nil"/>
              <w:right w:val="nil"/>
            </w:tcBorders>
            <w:shd w:val="clear" w:color="000000" w:fill="FFFFFF"/>
            <w:hideMark/>
          </w:tcPr>
          <w:p w14:paraId="239E3808" w14:textId="25F88E8F"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No. of Contracting Parties to the </w:t>
            </w:r>
            <w:r w:rsidR="00830412">
              <w:rPr>
                <w:rFonts w:ascii="Arial" w:eastAsia="Times New Roman" w:hAnsi="Arial" w:cs="Arial"/>
                <w:color w:val="000000"/>
                <w:sz w:val="16"/>
                <w:szCs w:val="16"/>
              </w:rPr>
              <w:t>Geneva</w:t>
            </w:r>
            <w:r w:rsidR="00830412" w:rsidRPr="009B4A78">
              <w:rPr>
                <w:rFonts w:ascii="Arial" w:eastAsia="Times New Roman" w:hAnsi="Arial" w:cs="Arial"/>
                <w:color w:val="000000"/>
                <w:sz w:val="16"/>
                <w:szCs w:val="16"/>
              </w:rPr>
              <w:t xml:space="preserve"> </w:t>
            </w:r>
            <w:r w:rsidRPr="009B4A78">
              <w:rPr>
                <w:rFonts w:ascii="Arial" w:eastAsia="Times New Roman" w:hAnsi="Arial" w:cs="Arial"/>
                <w:color w:val="000000"/>
                <w:sz w:val="16"/>
                <w:szCs w:val="16"/>
              </w:rPr>
              <w:t>Act at the end of</w:t>
            </w:r>
            <w:r w:rsidR="00EC30AE">
              <w:rPr>
                <w:rFonts w:ascii="Arial" w:eastAsia="Times New Roman" w:hAnsi="Arial" w:cs="Arial"/>
                <w:color w:val="000000"/>
                <w:sz w:val="16"/>
                <w:szCs w:val="16"/>
              </w:rPr>
              <w:t> </w:t>
            </w:r>
            <w:r w:rsidRPr="009B4A78">
              <w:rPr>
                <w:rFonts w:ascii="Arial" w:eastAsia="Times New Roman" w:hAnsi="Arial" w:cs="Arial"/>
                <w:color w:val="000000"/>
                <w:sz w:val="16"/>
                <w:szCs w:val="16"/>
              </w:rPr>
              <w:t>2015</w:t>
            </w:r>
          </w:p>
        </w:tc>
        <w:tc>
          <w:tcPr>
            <w:tcW w:w="2410" w:type="dxa"/>
            <w:tcBorders>
              <w:top w:val="nil"/>
              <w:left w:val="nil"/>
              <w:right w:val="single" w:sz="4" w:space="0" w:color="auto"/>
            </w:tcBorders>
            <w:shd w:val="clear" w:color="000000" w:fill="FFFFFF"/>
            <w:hideMark/>
          </w:tcPr>
          <w:p w14:paraId="07D859A9" w14:textId="4B81D998" w:rsidR="00250CF8" w:rsidRPr="009B4A78" w:rsidRDefault="00250CF8" w:rsidP="00830412">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Up to 5 Contracting parties to the </w:t>
            </w:r>
            <w:r w:rsidR="00830412">
              <w:rPr>
                <w:rFonts w:ascii="Arial" w:eastAsia="Times New Roman" w:hAnsi="Arial" w:cs="Arial"/>
                <w:color w:val="000000"/>
                <w:sz w:val="16"/>
                <w:szCs w:val="16"/>
              </w:rPr>
              <w:t>Geneva</w:t>
            </w:r>
            <w:r w:rsidR="00830412" w:rsidRPr="009B4A78">
              <w:rPr>
                <w:rFonts w:ascii="Arial" w:eastAsia="Times New Roman" w:hAnsi="Arial" w:cs="Arial"/>
                <w:color w:val="000000"/>
                <w:sz w:val="16"/>
                <w:szCs w:val="16"/>
              </w:rPr>
              <w:t xml:space="preserve"> </w:t>
            </w:r>
            <w:r w:rsidRPr="009B4A78">
              <w:rPr>
                <w:rFonts w:ascii="Arial" w:eastAsia="Times New Roman" w:hAnsi="Arial" w:cs="Arial"/>
                <w:color w:val="000000"/>
                <w:sz w:val="16"/>
                <w:szCs w:val="16"/>
              </w:rPr>
              <w:t>Act by the end of 2017</w:t>
            </w:r>
          </w:p>
        </w:tc>
      </w:tr>
      <w:tr w:rsidR="00250CF8" w:rsidRPr="009B4A78" w14:paraId="77AE3450" w14:textId="77777777" w:rsidTr="008D4CE9">
        <w:trPr>
          <w:trHeight w:val="936"/>
        </w:trPr>
        <w:tc>
          <w:tcPr>
            <w:tcW w:w="2060" w:type="dxa"/>
            <w:tcBorders>
              <w:top w:val="nil"/>
              <w:left w:val="single" w:sz="4" w:space="0" w:color="auto"/>
              <w:bottom w:val="single" w:sz="4" w:space="0" w:color="auto"/>
              <w:right w:val="nil"/>
            </w:tcBorders>
            <w:shd w:val="clear" w:color="000000" w:fill="FFFFFF"/>
            <w:hideMark/>
          </w:tcPr>
          <w:p w14:paraId="695AEA51"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single" w:sz="4" w:space="0" w:color="auto"/>
              <w:right w:val="nil"/>
            </w:tcBorders>
            <w:shd w:val="clear" w:color="000000" w:fill="FFFFFF"/>
            <w:hideMark/>
          </w:tcPr>
          <w:p w14:paraId="5FDC09C1"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 of participants in Lisbon System events satisfied and reporting enhanced awareness post an event </w:t>
            </w:r>
          </w:p>
        </w:tc>
        <w:tc>
          <w:tcPr>
            <w:tcW w:w="2543" w:type="dxa"/>
            <w:tcBorders>
              <w:top w:val="nil"/>
              <w:left w:val="nil"/>
              <w:bottom w:val="single" w:sz="4" w:space="0" w:color="auto"/>
              <w:right w:val="nil"/>
            </w:tcBorders>
            <w:shd w:val="clear" w:color="000000" w:fill="FFFFFF"/>
            <w:hideMark/>
          </w:tcPr>
          <w:p w14:paraId="176F1346"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84% of participants satisfied (2014) in 5 events</w:t>
            </w:r>
          </w:p>
        </w:tc>
        <w:tc>
          <w:tcPr>
            <w:tcW w:w="2410" w:type="dxa"/>
            <w:tcBorders>
              <w:top w:val="nil"/>
              <w:left w:val="nil"/>
              <w:bottom w:val="single" w:sz="4" w:space="0" w:color="auto"/>
              <w:right w:val="single" w:sz="4" w:space="0" w:color="auto"/>
            </w:tcBorders>
            <w:shd w:val="clear" w:color="000000" w:fill="FFFFFF"/>
            <w:hideMark/>
          </w:tcPr>
          <w:p w14:paraId="1B4315F6"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85% of participants satisfied</w:t>
            </w:r>
          </w:p>
        </w:tc>
      </w:tr>
      <w:tr w:rsidR="00250CF8" w:rsidRPr="009B4A78" w14:paraId="15CC13FB" w14:textId="77777777" w:rsidTr="008D4CE9">
        <w:trPr>
          <w:trHeight w:val="1449"/>
        </w:trPr>
        <w:tc>
          <w:tcPr>
            <w:tcW w:w="2060" w:type="dxa"/>
            <w:tcBorders>
              <w:top w:val="single" w:sz="4" w:space="0" w:color="auto"/>
              <w:left w:val="single" w:sz="4" w:space="0" w:color="auto"/>
              <w:bottom w:val="nil"/>
              <w:right w:val="nil"/>
            </w:tcBorders>
            <w:shd w:val="clear" w:color="000000" w:fill="FFFFFF"/>
            <w:tcMar>
              <w:top w:w="85" w:type="dxa"/>
            </w:tcMar>
            <w:hideMark/>
          </w:tcPr>
          <w:p w14:paraId="7119D8DF"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lastRenderedPageBreak/>
              <w:t> </w:t>
            </w:r>
          </w:p>
        </w:tc>
        <w:tc>
          <w:tcPr>
            <w:tcW w:w="2500" w:type="dxa"/>
            <w:tcBorders>
              <w:top w:val="single" w:sz="4" w:space="0" w:color="auto"/>
              <w:left w:val="nil"/>
              <w:bottom w:val="nil"/>
              <w:right w:val="nil"/>
            </w:tcBorders>
            <w:shd w:val="clear" w:color="000000" w:fill="FFFFFF"/>
            <w:tcMar>
              <w:top w:w="85" w:type="dxa"/>
            </w:tcMar>
            <w:hideMark/>
          </w:tcPr>
          <w:p w14:paraId="07A1CDF0"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No. of international applications and other transactions (Lisbon)</w:t>
            </w:r>
          </w:p>
        </w:tc>
        <w:tc>
          <w:tcPr>
            <w:tcW w:w="2543" w:type="dxa"/>
            <w:tcBorders>
              <w:top w:val="single" w:sz="4" w:space="0" w:color="auto"/>
              <w:left w:val="nil"/>
              <w:bottom w:val="nil"/>
              <w:right w:val="nil"/>
            </w:tcBorders>
            <w:shd w:val="clear" w:color="000000" w:fill="FFFFFF"/>
            <w:tcMar>
              <w:top w:w="85" w:type="dxa"/>
            </w:tcMar>
            <w:hideMark/>
          </w:tcPr>
          <w:p w14:paraId="65662B74"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121 transactions in 2014:</w:t>
            </w:r>
            <w:r w:rsidRPr="009B4A78">
              <w:rPr>
                <w:rFonts w:ascii="Arial" w:eastAsia="Times New Roman" w:hAnsi="Arial" w:cs="Arial"/>
                <w:color w:val="000000"/>
                <w:sz w:val="16"/>
                <w:szCs w:val="16"/>
              </w:rPr>
              <w:br/>
              <w:t>- 80 international  applications</w:t>
            </w:r>
            <w:r w:rsidRPr="009B4A78">
              <w:rPr>
                <w:rFonts w:ascii="Arial" w:eastAsia="Times New Roman" w:hAnsi="Arial" w:cs="Arial"/>
                <w:color w:val="000000"/>
                <w:sz w:val="16"/>
                <w:szCs w:val="16"/>
              </w:rPr>
              <w:br/>
              <w:t>- 26 statements of grant protection</w:t>
            </w:r>
            <w:r w:rsidRPr="009B4A78">
              <w:rPr>
                <w:rFonts w:ascii="Arial" w:eastAsia="Times New Roman" w:hAnsi="Arial" w:cs="Arial"/>
                <w:color w:val="000000"/>
                <w:sz w:val="16"/>
                <w:szCs w:val="16"/>
              </w:rPr>
              <w:br/>
              <w:t>- 15 refusal declarations</w:t>
            </w:r>
          </w:p>
        </w:tc>
        <w:tc>
          <w:tcPr>
            <w:tcW w:w="2410" w:type="dxa"/>
            <w:tcBorders>
              <w:top w:val="single" w:sz="4" w:space="0" w:color="auto"/>
              <w:left w:val="nil"/>
              <w:bottom w:val="nil"/>
              <w:right w:val="single" w:sz="4" w:space="0" w:color="auto"/>
            </w:tcBorders>
            <w:shd w:val="clear" w:color="000000" w:fill="FFFFFF"/>
            <w:tcMar>
              <w:top w:w="85" w:type="dxa"/>
            </w:tcMar>
            <w:hideMark/>
          </w:tcPr>
          <w:p w14:paraId="1B9DF4FB" w14:textId="3FD45334"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100 transactions in 2016/17</w:t>
            </w:r>
            <w:r w:rsidRPr="009B4A78">
              <w:rPr>
                <w:rFonts w:ascii="Arial" w:eastAsia="Times New Roman" w:hAnsi="Arial" w:cs="Arial"/>
                <w:color w:val="000000"/>
                <w:sz w:val="16"/>
                <w:szCs w:val="16"/>
              </w:rPr>
              <w:br/>
              <w:t>- 20 new international  applications</w:t>
            </w:r>
            <w:r w:rsidR="00174C9C">
              <w:rPr>
                <w:rFonts w:ascii="Arial" w:eastAsia="Times New Roman" w:hAnsi="Arial" w:cs="Arial"/>
                <w:color w:val="000000"/>
                <w:sz w:val="16"/>
                <w:szCs w:val="16"/>
              </w:rPr>
              <w:t xml:space="preserve"> (per annum)</w:t>
            </w:r>
            <w:r w:rsidRPr="009B4A78">
              <w:rPr>
                <w:rFonts w:ascii="Arial" w:eastAsia="Times New Roman" w:hAnsi="Arial" w:cs="Arial"/>
                <w:color w:val="000000"/>
                <w:sz w:val="16"/>
                <w:szCs w:val="16"/>
              </w:rPr>
              <w:br/>
              <w:t>- 60 statements of grant protection</w:t>
            </w:r>
            <w:r w:rsidRPr="009B4A78">
              <w:rPr>
                <w:rFonts w:ascii="Arial" w:eastAsia="Times New Roman" w:hAnsi="Arial" w:cs="Arial"/>
                <w:color w:val="000000"/>
                <w:sz w:val="16"/>
                <w:szCs w:val="16"/>
              </w:rPr>
              <w:br/>
              <w:t>- 20 refusal declarations</w:t>
            </w:r>
          </w:p>
        </w:tc>
      </w:tr>
      <w:tr w:rsidR="00250CF8" w:rsidRPr="009B4A78" w14:paraId="3DB0D05B" w14:textId="77777777" w:rsidTr="008D4CE9">
        <w:trPr>
          <w:trHeight w:val="1049"/>
        </w:trPr>
        <w:tc>
          <w:tcPr>
            <w:tcW w:w="2060" w:type="dxa"/>
            <w:tcBorders>
              <w:top w:val="nil"/>
              <w:left w:val="single" w:sz="4" w:space="0" w:color="auto"/>
              <w:bottom w:val="nil"/>
              <w:right w:val="nil"/>
            </w:tcBorders>
            <w:shd w:val="clear" w:color="000000" w:fill="FFFFFF"/>
            <w:hideMark/>
          </w:tcPr>
          <w:p w14:paraId="51275302"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6CA850DC"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No. of international registrations from developing countries and LDCs in force under the Lisbon System (in relation to the total no.)</w:t>
            </w:r>
          </w:p>
        </w:tc>
        <w:tc>
          <w:tcPr>
            <w:tcW w:w="2543" w:type="dxa"/>
            <w:tcBorders>
              <w:top w:val="nil"/>
              <w:left w:val="nil"/>
              <w:bottom w:val="nil"/>
              <w:right w:val="nil"/>
            </w:tcBorders>
            <w:shd w:val="clear" w:color="000000" w:fill="FFFFFF"/>
            <w:hideMark/>
          </w:tcPr>
          <w:p w14:paraId="1032FFA9"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78 (out of 896)</w:t>
            </w:r>
            <w:r w:rsidRPr="009B4A78">
              <w:rPr>
                <w:rFonts w:ascii="Arial" w:eastAsia="Times New Roman" w:hAnsi="Arial" w:cs="Arial"/>
                <w:color w:val="000000"/>
                <w:sz w:val="16"/>
                <w:szCs w:val="16"/>
              </w:rPr>
              <w:br/>
              <w:t>(March 2015)</w:t>
            </w:r>
          </w:p>
        </w:tc>
        <w:tc>
          <w:tcPr>
            <w:tcW w:w="2410" w:type="dxa"/>
            <w:tcBorders>
              <w:top w:val="nil"/>
              <w:left w:val="nil"/>
              <w:bottom w:val="nil"/>
              <w:right w:val="single" w:sz="4" w:space="0" w:color="auto"/>
            </w:tcBorders>
            <w:shd w:val="clear" w:color="000000" w:fill="FFFFFF"/>
            <w:hideMark/>
          </w:tcPr>
          <w:p w14:paraId="0F86B3EA"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90 (out of 950)</w:t>
            </w:r>
          </w:p>
        </w:tc>
      </w:tr>
      <w:tr w:rsidR="00250CF8" w:rsidRPr="009B4A78" w14:paraId="7BB663B8" w14:textId="77777777" w:rsidTr="008D4CE9">
        <w:trPr>
          <w:trHeight w:val="621"/>
        </w:trPr>
        <w:tc>
          <w:tcPr>
            <w:tcW w:w="2060" w:type="dxa"/>
            <w:tcBorders>
              <w:top w:val="nil"/>
              <w:left w:val="single" w:sz="4" w:space="0" w:color="auto"/>
              <w:bottom w:val="nil"/>
              <w:right w:val="nil"/>
            </w:tcBorders>
            <w:shd w:val="clear" w:color="000000" w:fill="FFFFFF"/>
            <w:hideMark/>
          </w:tcPr>
          <w:p w14:paraId="4335FD50"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II.7 Improved productivity and service quality of Madrid &amp; Lisbon operations</w:t>
            </w:r>
          </w:p>
        </w:tc>
        <w:tc>
          <w:tcPr>
            <w:tcW w:w="2500" w:type="dxa"/>
            <w:tcBorders>
              <w:top w:val="nil"/>
              <w:left w:val="nil"/>
              <w:bottom w:val="nil"/>
              <w:right w:val="nil"/>
            </w:tcBorders>
            <w:shd w:val="clear" w:color="000000" w:fill="FFFFFF"/>
            <w:hideMark/>
          </w:tcPr>
          <w:p w14:paraId="0943C021" w14:textId="7916343D"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Client satisfaction</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072E7235"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Service Orientation Index in 2014 (39)</w:t>
            </w:r>
          </w:p>
        </w:tc>
        <w:tc>
          <w:tcPr>
            <w:tcW w:w="2410" w:type="dxa"/>
            <w:tcBorders>
              <w:top w:val="nil"/>
              <w:left w:val="nil"/>
              <w:bottom w:val="nil"/>
              <w:right w:val="single" w:sz="4" w:space="0" w:color="auto"/>
            </w:tcBorders>
            <w:shd w:val="clear" w:color="000000" w:fill="FFFFFF"/>
            <w:hideMark/>
          </w:tcPr>
          <w:p w14:paraId="1BE001EB"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Improvement in Index</w:t>
            </w:r>
          </w:p>
        </w:tc>
      </w:tr>
      <w:tr w:rsidR="00250CF8" w:rsidRPr="009B4A78" w14:paraId="74E495E4" w14:textId="77777777" w:rsidTr="008D4CE9">
        <w:trPr>
          <w:trHeight w:val="486"/>
        </w:trPr>
        <w:tc>
          <w:tcPr>
            <w:tcW w:w="2060" w:type="dxa"/>
            <w:tcBorders>
              <w:top w:val="nil"/>
              <w:left w:val="single" w:sz="4" w:space="0" w:color="auto"/>
              <w:bottom w:val="nil"/>
              <w:right w:val="nil"/>
            </w:tcBorders>
            <w:shd w:val="clear" w:color="000000" w:fill="FFFFFF"/>
            <w:hideMark/>
          </w:tcPr>
          <w:p w14:paraId="1F1C7166"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21370A95" w14:textId="7C1D42E0"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Unit cost</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579DB644"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Registration/renewal Cost: </w:t>
            </w:r>
          </w:p>
          <w:p w14:paraId="58663B20" w14:textId="4BD8A899"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837 </w:t>
            </w:r>
            <w:r w:rsidR="003736E0">
              <w:rPr>
                <w:rFonts w:ascii="Arial" w:eastAsia="Times New Roman" w:hAnsi="Arial" w:cs="Arial"/>
                <w:color w:val="000000"/>
                <w:sz w:val="16"/>
                <w:szCs w:val="16"/>
              </w:rPr>
              <w:t>Swiss francs</w:t>
            </w:r>
            <w:r w:rsidRPr="009B4A78">
              <w:rPr>
                <w:rFonts w:ascii="Arial" w:eastAsia="Times New Roman" w:hAnsi="Arial" w:cs="Arial"/>
                <w:color w:val="000000"/>
                <w:sz w:val="16"/>
                <w:szCs w:val="16"/>
              </w:rPr>
              <w:br/>
              <w:t xml:space="preserve">Inscription Unit Cost: 320 </w:t>
            </w:r>
            <w:r w:rsidR="003736E0">
              <w:rPr>
                <w:rFonts w:ascii="Arial" w:eastAsia="Times New Roman" w:hAnsi="Arial" w:cs="Arial"/>
                <w:color w:val="000000"/>
                <w:sz w:val="16"/>
                <w:szCs w:val="16"/>
              </w:rPr>
              <w:t>Swiss francs</w:t>
            </w:r>
          </w:p>
        </w:tc>
        <w:tc>
          <w:tcPr>
            <w:tcW w:w="2410" w:type="dxa"/>
            <w:tcBorders>
              <w:top w:val="nil"/>
              <w:left w:val="nil"/>
              <w:bottom w:val="nil"/>
              <w:right w:val="single" w:sz="4" w:space="0" w:color="auto"/>
            </w:tcBorders>
            <w:shd w:val="clear" w:color="000000" w:fill="FFFFFF"/>
            <w:hideMark/>
          </w:tcPr>
          <w:p w14:paraId="64F70E18"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Reduction in both unit cost categories</w:t>
            </w:r>
          </w:p>
        </w:tc>
      </w:tr>
      <w:tr w:rsidR="00250CF8" w:rsidRPr="009B4A78" w14:paraId="74A094B5" w14:textId="77777777" w:rsidTr="008D4CE9">
        <w:trPr>
          <w:trHeight w:val="1424"/>
        </w:trPr>
        <w:tc>
          <w:tcPr>
            <w:tcW w:w="2060" w:type="dxa"/>
            <w:tcBorders>
              <w:top w:val="nil"/>
              <w:left w:val="single" w:sz="4" w:space="0" w:color="auto"/>
              <w:bottom w:val="nil"/>
              <w:right w:val="nil"/>
            </w:tcBorders>
            <w:shd w:val="clear" w:color="000000" w:fill="FFFFFF"/>
            <w:hideMark/>
          </w:tcPr>
          <w:p w14:paraId="0057509B"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30BBF8B1" w14:textId="77777777" w:rsidR="00250CF8" w:rsidRPr="009B4A78" w:rsidRDefault="00250CF8" w:rsidP="00F33E49">
            <w:pPr>
              <w:ind w:left="101"/>
              <w:rPr>
                <w:rFonts w:ascii="Arial" w:eastAsia="Times New Roman" w:hAnsi="Arial" w:cs="Arial"/>
                <w:color w:val="000000"/>
                <w:sz w:val="16"/>
                <w:szCs w:val="16"/>
              </w:rPr>
            </w:pPr>
            <w:r w:rsidRPr="009B4A78">
              <w:rPr>
                <w:rFonts w:ascii="Arial" w:eastAsia="Times New Roman" w:hAnsi="Arial" w:cs="Arial"/>
                <w:color w:val="000000"/>
                <w:sz w:val="16"/>
                <w:szCs w:val="16"/>
              </w:rPr>
              <w:t>Timeliness of transactions</w:t>
            </w:r>
          </w:p>
          <w:p w14:paraId="3640627D" w14:textId="30910F91"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(days)</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5F0F2283"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Applications: 70 </w:t>
            </w:r>
            <w:r w:rsidRPr="009B4A78">
              <w:rPr>
                <w:rFonts w:ascii="Arial" w:eastAsia="Times New Roman" w:hAnsi="Arial" w:cs="Arial"/>
                <w:color w:val="000000"/>
                <w:sz w:val="16"/>
                <w:szCs w:val="16"/>
              </w:rPr>
              <w:br/>
              <w:t xml:space="preserve">Renewals: 63 </w:t>
            </w:r>
            <w:r w:rsidRPr="009B4A78">
              <w:rPr>
                <w:rFonts w:ascii="Arial" w:eastAsia="Times New Roman" w:hAnsi="Arial" w:cs="Arial"/>
                <w:color w:val="000000"/>
                <w:sz w:val="16"/>
                <w:szCs w:val="16"/>
              </w:rPr>
              <w:br/>
              <w:t>Subsequent Designations: 56</w:t>
            </w:r>
            <w:r w:rsidRPr="009B4A78">
              <w:rPr>
                <w:rFonts w:ascii="Arial" w:eastAsia="Times New Roman" w:hAnsi="Arial" w:cs="Arial"/>
                <w:color w:val="000000"/>
                <w:sz w:val="16"/>
                <w:szCs w:val="16"/>
              </w:rPr>
              <w:br/>
              <w:t>Decisions:12</w:t>
            </w:r>
            <w:r w:rsidRPr="009B4A78">
              <w:rPr>
                <w:rFonts w:ascii="Arial" w:eastAsia="Times New Roman" w:hAnsi="Arial" w:cs="Arial"/>
                <w:color w:val="000000"/>
                <w:sz w:val="16"/>
                <w:szCs w:val="16"/>
              </w:rPr>
              <w:br/>
              <w:t>Modifications:79</w:t>
            </w:r>
            <w:r w:rsidRPr="009B4A78">
              <w:rPr>
                <w:rFonts w:ascii="Arial" w:eastAsia="Times New Roman" w:hAnsi="Arial" w:cs="Arial"/>
                <w:color w:val="000000"/>
                <w:sz w:val="16"/>
                <w:szCs w:val="16"/>
              </w:rPr>
              <w:br/>
              <w:t>Corrections 232</w:t>
            </w:r>
            <w:r w:rsidRPr="009B4A78">
              <w:rPr>
                <w:rFonts w:ascii="Arial" w:eastAsia="Times New Roman" w:hAnsi="Arial" w:cs="Arial"/>
                <w:color w:val="000000"/>
                <w:sz w:val="16"/>
                <w:szCs w:val="16"/>
              </w:rPr>
              <w:br/>
              <w:t>(as at December 31,2014)</w:t>
            </w:r>
          </w:p>
        </w:tc>
        <w:tc>
          <w:tcPr>
            <w:tcW w:w="2410" w:type="dxa"/>
            <w:tcBorders>
              <w:top w:val="nil"/>
              <w:left w:val="nil"/>
              <w:bottom w:val="nil"/>
              <w:right w:val="single" w:sz="4" w:space="0" w:color="auto"/>
            </w:tcBorders>
            <w:shd w:val="clear" w:color="000000" w:fill="FFFFFF"/>
            <w:hideMark/>
          </w:tcPr>
          <w:p w14:paraId="62ABD1E8"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Improvement across all transactions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p>
        </w:tc>
      </w:tr>
      <w:tr w:rsidR="00250CF8" w:rsidRPr="009B4A78" w14:paraId="5D5AF8BA" w14:textId="77777777" w:rsidTr="008D4CE9">
        <w:trPr>
          <w:trHeight w:val="360"/>
        </w:trPr>
        <w:tc>
          <w:tcPr>
            <w:tcW w:w="2060" w:type="dxa"/>
            <w:tcBorders>
              <w:top w:val="nil"/>
              <w:left w:val="single" w:sz="4" w:space="0" w:color="auto"/>
              <w:bottom w:val="nil"/>
              <w:right w:val="nil"/>
            </w:tcBorders>
            <w:shd w:val="clear" w:color="000000" w:fill="FFFFFF"/>
            <w:hideMark/>
          </w:tcPr>
          <w:p w14:paraId="4F75E561"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78ED9D37" w14:textId="01869CD0"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Quality</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4EB54529"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tbd</w:t>
            </w:r>
          </w:p>
        </w:tc>
        <w:tc>
          <w:tcPr>
            <w:tcW w:w="2410" w:type="dxa"/>
            <w:tcBorders>
              <w:top w:val="nil"/>
              <w:left w:val="nil"/>
              <w:bottom w:val="nil"/>
              <w:right w:val="single" w:sz="4" w:space="0" w:color="auto"/>
            </w:tcBorders>
            <w:shd w:val="clear" w:color="000000" w:fill="FFFFFF"/>
            <w:hideMark/>
          </w:tcPr>
          <w:p w14:paraId="1B2B0B3E"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tbd</w:t>
            </w:r>
          </w:p>
        </w:tc>
      </w:tr>
      <w:tr w:rsidR="00250CF8" w:rsidRPr="009B4A78" w14:paraId="739F4856" w14:textId="77777777" w:rsidTr="008D4CE9">
        <w:trPr>
          <w:trHeight w:val="3305"/>
        </w:trPr>
        <w:tc>
          <w:tcPr>
            <w:tcW w:w="2060" w:type="dxa"/>
            <w:tcBorders>
              <w:top w:val="nil"/>
              <w:left w:val="single" w:sz="4" w:space="0" w:color="auto"/>
              <w:bottom w:val="nil"/>
              <w:right w:val="nil"/>
            </w:tcBorders>
            <w:shd w:val="clear" w:color="000000" w:fill="FFFFFF"/>
            <w:hideMark/>
          </w:tcPr>
          <w:p w14:paraId="0604E20C"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04609E1C" w14:textId="7564EB42"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Improved operation of the Madrid Registry, including electronic processes and procedures</w:t>
            </w:r>
            <w:r w:rsidR="007B4126">
              <w:rPr>
                <w:rFonts w:ascii="Arial" w:eastAsia="Times New Roman" w:hAnsi="Arial" w:cs="Arial"/>
                <w:color w:val="000000"/>
                <w:sz w:val="16"/>
                <w:szCs w:val="16"/>
              </w:rPr>
              <w:t xml:space="preserve"> (Madrid)</w:t>
            </w:r>
          </w:p>
        </w:tc>
        <w:tc>
          <w:tcPr>
            <w:tcW w:w="2543" w:type="dxa"/>
            <w:tcBorders>
              <w:top w:val="nil"/>
              <w:left w:val="nil"/>
              <w:bottom w:val="nil"/>
              <w:right w:val="nil"/>
            </w:tcBorders>
            <w:shd w:val="clear" w:color="000000" w:fill="FFFFFF"/>
            <w:hideMark/>
          </w:tcPr>
          <w:p w14:paraId="099E510C"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70% of documents received electronically</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220,000 email notifications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1800 MPM Clients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17 Offices sending XML</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1 Intelligent web form</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690,000 documents inbound</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1,750,000 documents outbound</w:t>
            </w:r>
            <w:r w:rsidRPr="009B4A78">
              <w:rPr>
                <w:rFonts w:ascii="Arial" w:eastAsia="Times New Roman" w:hAnsi="Arial" w:cs="Arial"/>
                <w:color w:val="000000"/>
                <w:sz w:val="16"/>
                <w:szCs w:val="16"/>
              </w:rPr>
              <w:br/>
            </w:r>
          </w:p>
        </w:tc>
        <w:tc>
          <w:tcPr>
            <w:tcW w:w="2410" w:type="dxa"/>
            <w:tcBorders>
              <w:top w:val="nil"/>
              <w:left w:val="nil"/>
              <w:bottom w:val="nil"/>
              <w:right w:val="single" w:sz="4" w:space="0" w:color="auto"/>
            </w:tcBorders>
            <w:shd w:val="clear" w:color="000000" w:fill="FFFFFF"/>
            <w:hideMark/>
          </w:tcPr>
          <w:p w14:paraId="1997E7AB"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75% of documents received electronically</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250,000 email notifications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2000 MPM Clients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20 Offices sending XML</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6 Intelligent web forms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750,000 documents inbound</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2,000,000 documents outbound</w:t>
            </w:r>
          </w:p>
        </w:tc>
      </w:tr>
      <w:tr w:rsidR="00250CF8" w:rsidRPr="009B4A78" w14:paraId="02AD3E91" w14:textId="77777777" w:rsidTr="008D4CE9">
        <w:trPr>
          <w:trHeight w:val="1085"/>
        </w:trPr>
        <w:tc>
          <w:tcPr>
            <w:tcW w:w="2060" w:type="dxa"/>
            <w:tcBorders>
              <w:top w:val="nil"/>
              <w:left w:val="single" w:sz="4" w:space="0" w:color="auto"/>
              <w:bottom w:val="nil"/>
              <w:right w:val="nil"/>
            </w:tcBorders>
            <w:shd w:val="clear" w:color="000000" w:fill="FFFFFF"/>
            <w:hideMark/>
          </w:tcPr>
          <w:p w14:paraId="40A6F471"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bottom w:val="nil"/>
              <w:right w:val="nil"/>
            </w:tcBorders>
            <w:shd w:val="clear" w:color="000000" w:fill="FFFFFF"/>
            <w:hideMark/>
          </w:tcPr>
          <w:p w14:paraId="5FFC6DCA"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Stable provision of evolving Madrid back office IT services</w:t>
            </w:r>
          </w:p>
        </w:tc>
        <w:tc>
          <w:tcPr>
            <w:tcW w:w="2543" w:type="dxa"/>
            <w:tcBorders>
              <w:top w:val="nil"/>
              <w:left w:val="nil"/>
              <w:bottom w:val="nil"/>
              <w:right w:val="nil"/>
            </w:tcBorders>
            <w:shd w:val="clear" w:color="000000" w:fill="FFFFFF"/>
            <w:hideMark/>
          </w:tcPr>
          <w:p w14:paraId="720CB6F2"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No service interruption </w:t>
            </w:r>
            <w:r w:rsidRPr="009B4A78">
              <w:rPr>
                <w:rFonts w:ascii="Arial" w:eastAsia="Times New Roman" w:hAnsi="Arial" w:cs="Arial"/>
                <w:color w:val="000000"/>
                <w:sz w:val="16"/>
                <w:szCs w:val="16"/>
              </w:rPr>
              <w:br/>
              <w:t>(no. of ICT incidents)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Enhancements delivered and deployed on time</w:t>
            </w:r>
          </w:p>
        </w:tc>
        <w:tc>
          <w:tcPr>
            <w:tcW w:w="2410" w:type="dxa"/>
            <w:tcBorders>
              <w:top w:val="nil"/>
              <w:left w:val="nil"/>
              <w:bottom w:val="nil"/>
              <w:right w:val="single" w:sz="4" w:space="0" w:color="auto"/>
            </w:tcBorders>
            <w:shd w:val="clear" w:color="000000" w:fill="FFFFFF"/>
            <w:hideMark/>
          </w:tcPr>
          <w:p w14:paraId="6CD35693"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No service interruption</w:t>
            </w:r>
            <w:r w:rsidRPr="009B4A78">
              <w:rPr>
                <w:rFonts w:ascii="Arial" w:eastAsia="Times New Roman" w:hAnsi="Arial" w:cs="Arial"/>
                <w:color w:val="000000"/>
                <w:sz w:val="16"/>
                <w:szCs w:val="16"/>
              </w:rPr>
              <w:br/>
              <w:t>(no. of ICT incidents)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Enhancements delivered and deployed on time</w:t>
            </w:r>
          </w:p>
        </w:tc>
      </w:tr>
      <w:tr w:rsidR="00250CF8" w:rsidRPr="009B4A78" w14:paraId="70C27C18" w14:textId="77777777" w:rsidTr="008D4CE9">
        <w:trPr>
          <w:trHeight w:val="989"/>
        </w:trPr>
        <w:tc>
          <w:tcPr>
            <w:tcW w:w="2060" w:type="dxa"/>
            <w:tcBorders>
              <w:top w:val="nil"/>
              <w:left w:val="single" w:sz="4" w:space="0" w:color="auto"/>
              <w:right w:val="nil"/>
            </w:tcBorders>
            <w:shd w:val="clear" w:color="000000" w:fill="FFFFFF"/>
            <w:hideMark/>
          </w:tcPr>
          <w:p w14:paraId="4B45E936"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right w:val="nil"/>
            </w:tcBorders>
            <w:shd w:val="clear" w:color="000000" w:fill="FFFFFF"/>
            <w:hideMark/>
          </w:tcPr>
          <w:p w14:paraId="5410A0B9"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3 deployed versions of M-IRIS and 3 deployed versions of Madrid eFiling (IRPI)</w:t>
            </w:r>
          </w:p>
        </w:tc>
        <w:tc>
          <w:tcPr>
            <w:tcW w:w="2543" w:type="dxa"/>
            <w:tcBorders>
              <w:top w:val="nil"/>
              <w:left w:val="nil"/>
              <w:right w:val="nil"/>
            </w:tcBorders>
            <w:shd w:val="clear" w:color="000000" w:fill="FFFFFF"/>
            <w:hideMark/>
          </w:tcPr>
          <w:p w14:paraId="1CF2BD77" w14:textId="51C8D531"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M-IRIS deployed</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Madrid eFiling deployed</w:t>
            </w:r>
            <w:r w:rsidRPr="009B4A78">
              <w:rPr>
                <w:rFonts w:ascii="Arial" w:eastAsia="Times New Roman" w:hAnsi="Arial" w:cs="Arial"/>
                <w:color w:val="000000"/>
                <w:sz w:val="16"/>
                <w:szCs w:val="16"/>
              </w:rPr>
              <w:br/>
            </w:r>
          </w:p>
        </w:tc>
        <w:tc>
          <w:tcPr>
            <w:tcW w:w="2410" w:type="dxa"/>
            <w:tcBorders>
              <w:top w:val="nil"/>
              <w:left w:val="nil"/>
              <w:right w:val="single" w:sz="4" w:space="0" w:color="auto"/>
            </w:tcBorders>
            <w:shd w:val="clear" w:color="000000" w:fill="FFFFFF"/>
            <w:hideMark/>
          </w:tcPr>
          <w:p w14:paraId="275B330F" w14:textId="20A789F3" w:rsidR="00250CF8" w:rsidRPr="009B4A78" w:rsidRDefault="00250CF8" w:rsidP="007B4126">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3 new versions of</w:t>
            </w:r>
            <w:r w:rsidRPr="009B4A78">
              <w:rPr>
                <w:rFonts w:ascii="Arial" w:eastAsia="Times New Roman" w:hAnsi="Arial" w:cs="Arial"/>
                <w:color w:val="000000"/>
                <w:sz w:val="16"/>
                <w:szCs w:val="16"/>
              </w:rPr>
              <w:br/>
              <w:t>M-IRIS/D-IRIS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3 new versions of Madrid eFiling</w:t>
            </w:r>
          </w:p>
        </w:tc>
      </w:tr>
      <w:tr w:rsidR="00250CF8" w:rsidRPr="009B4A78" w14:paraId="442F2FCC" w14:textId="77777777" w:rsidTr="008D4CE9">
        <w:trPr>
          <w:trHeight w:val="537"/>
        </w:trPr>
        <w:tc>
          <w:tcPr>
            <w:tcW w:w="2060" w:type="dxa"/>
            <w:tcBorders>
              <w:top w:val="nil"/>
              <w:left w:val="single" w:sz="4" w:space="0" w:color="auto"/>
              <w:right w:val="nil"/>
            </w:tcBorders>
            <w:shd w:val="clear" w:color="000000" w:fill="FFFFFF"/>
            <w:hideMark/>
          </w:tcPr>
          <w:p w14:paraId="701FA704"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top w:val="nil"/>
              <w:left w:val="nil"/>
              <w:right w:val="nil"/>
            </w:tcBorders>
            <w:shd w:val="clear" w:color="000000" w:fill="FFFFFF"/>
            <w:hideMark/>
          </w:tcPr>
          <w:p w14:paraId="09573FDD"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Adoption of provisions streamlining the Lisbon System legal framework</w:t>
            </w:r>
          </w:p>
        </w:tc>
        <w:tc>
          <w:tcPr>
            <w:tcW w:w="2543" w:type="dxa"/>
            <w:tcBorders>
              <w:top w:val="nil"/>
              <w:left w:val="nil"/>
              <w:right w:val="nil"/>
            </w:tcBorders>
            <w:shd w:val="clear" w:color="000000" w:fill="FFFFFF"/>
            <w:hideMark/>
          </w:tcPr>
          <w:p w14:paraId="7339BB0D" w14:textId="5663FE40"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Current legal framework and legal framework of the </w:t>
            </w:r>
            <w:r w:rsidR="00830412">
              <w:rPr>
                <w:rFonts w:ascii="Arial" w:eastAsia="Times New Roman" w:hAnsi="Arial" w:cs="Arial"/>
                <w:color w:val="000000"/>
                <w:sz w:val="16"/>
                <w:szCs w:val="16"/>
              </w:rPr>
              <w:t>Geneva</w:t>
            </w:r>
            <w:r w:rsidR="00830412" w:rsidRPr="009B4A78">
              <w:rPr>
                <w:rFonts w:ascii="Arial" w:eastAsia="Times New Roman" w:hAnsi="Arial" w:cs="Arial"/>
                <w:color w:val="000000"/>
                <w:sz w:val="16"/>
                <w:szCs w:val="16"/>
              </w:rPr>
              <w:t xml:space="preserve"> </w:t>
            </w:r>
            <w:r w:rsidRPr="009B4A78">
              <w:rPr>
                <w:rFonts w:ascii="Arial" w:eastAsia="Times New Roman" w:hAnsi="Arial" w:cs="Arial"/>
                <w:color w:val="000000"/>
                <w:sz w:val="16"/>
                <w:szCs w:val="16"/>
              </w:rPr>
              <w:t>Act of May 2015</w:t>
            </w:r>
          </w:p>
        </w:tc>
        <w:tc>
          <w:tcPr>
            <w:tcW w:w="2410" w:type="dxa"/>
            <w:tcBorders>
              <w:top w:val="nil"/>
              <w:left w:val="nil"/>
              <w:right w:val="single" w:sz="4" w:space="0" w:color="auto"/>
            </w:tcBorders>
            <w:shd w:val="clear" w:color="000000" w:fill="FFFFFF"/>
            <w:hideMark/>
          </w:tcPr>
          <w:p w14:paraId="08C9E3A7" w14:textId="551DC852" w:rsidR="00250CF8" w:rsidRPr="009B4A78" w:rsidRDefault="00250CF8" w:rsidP="00830412">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Adoption of Common Regulations under Lisbon Agreement and </w:t>
            </w:r>
            <w:r w:rsidR="00830412">
              <w:rPr>
                <w:rFonts w:ascii="Arial" w:eastAsia="Times New Roman" w:hAnsi="Arial" w:cs="Arial"/>
                <w:color w:val="000000"/>
                <w:sz w:val="16"/>
                <w:szCs w:val="16"/>
              </w:rPr>
              <w:t>Geneva</w:t>
            </w:r>
            <w:r w:rsidR="00830412" w:rsidRPr="009B4A78">
              <w:rPr>
                <w:rFonts w:ascii="Arial" w:eastAsia="Times New Roman" w:hAnsi="Arial" w:cs="Arial"/>
                <w:color w:val="000000"/>
                <w:sz w:val="16"/>
                <w:szCs w:val="16"/>
              </w:rPr>
              <w:t xml:space="preserve"> </w:t>
            </w:r>
            <w:r w:rsidRPr="009B4A78">
              <w:rPr>
                <w:rFonts w:ascii="Arial" w:eastAsia="Times New Roman" w:hAnsi="Arial" w:cs="Arial"/>
                <w:color w:val="000000"/>
                <w:sz w:val="16"/>
                <w:szCs w:val="16"/>
              </w:rPr>
              <w:t>Act</w:t>
            </w:r>
          </w:p>
        </w:tc>
      </w:tr>
      <w:tr w:rsidR="00250CF8" w:rsidRPr="009B4A78" w14:paraId="09206215" w14:textId="77777777" w:rsidTr="008D4CE9">
        <w:trPr>
          <w:trHeight w:val="940"/>
        </w:trPr>
        <w:tc>
          <w:tcPr>
            <w:tcW w:w="2060" w:type="dxa"/>
            <w:tcBorders>
              <w:left w:val="single" w:sz="4" w:space="0" w:color="auto"/>
              <w:right w:val="nil"/>
            </w:tcBorders>
            <w:shd w:val="clear" w:color="000000" w:fill="FFFFFF"/>
            <w:tcMar>
              <w:top w:w="85" w:type="dxa"/>
            </w:tcMar>
            <w:hideMark/>
          </w:tcPr>
          <w:p w14:paraId="61496C70"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left w:val="nil"/>
              <w:right w:val="nil"/>
            </w:tcBorders>
            <w:shd w:val="clear" w:color="000000" w:fill="FFFFFF"/>
            <w:tcMar>
              <w:top w:w="85" w:type="dxa"/>
            </w:tcMar>
            <w:hideMark/>
          </w:tcPr>
          <w:p w14:paraId="58D201E4" w14:textId="3BA246F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Increased use of electronic means for filing and processing international applications and other transactions</w:t>
            </w:r>
            <w:r w:rsidR="007B4126">
              <w:rPr>
                <w:rFonts w:ascii="Arial" w:eastAsia="Times New Roman" w:hAnsi="Arial" w:cs="Arial"/>
                <w:color w:val="000000"/>
                <w:sz w:val="16"/>
                <w:szCs w:val="16"/>
              </w:rPr>
              <w:t xml:space="preserve"> (Lisbon)</w:t>
            </w:r>
          </w:p>
        </w:tc>
        <w:tc>
          <w:tcPr>
            <w:tcW w:w="2543" w:type="dxa"/>
            <w:tcBorders>
              <w:left w:val="nil"/>
              <w:right w:val="nil"/>
            </w:tcBorders>
            <w:shd w:val="clear" w:color="000000" w:fill="FFFFFF"/>
            <w:tcMar>
              <w:top w:w="85" w:type="dxa"/>
            </w:tcMar>
            <w:hideMark/>
          </w:tcPr>
          <w:p w14:paraId="0B9F75AD"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Current data entry tool</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Current Bulletin and database</w:t>
            </w:r>
          </w:p>
        </w:tc>
        <w:tc>
          <w:tcPr>
            <w:tcW w:w="2410" w:type="dxa"/>
            <w:tcBorders>
              <w:left w:val="nil"/>
              <w:right w:val="single" w:sz="4" w:space="0" w:color="auto"/>
            </w:tcBorders>
            <w:shd w:val="clear" w:color="000000" w:fill="FFFFFF"/>
            <w:tcMar>
              <w:top w:w="85" w:type="dxa"/>
            </w:tcMar>
            <w:hideMark/>
          </w:tcPr>
          <w:p w14:paraId="7F722C42" w14:textId="4AD11A1C"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Improved data entry tool</w:t>
            </w:r>
            <w:r w:rsidRPr="009B4A78">
              <w:rPr>
                <w:rFonts w:ascii="Arial" w:eastAsia="Times New Roman" w:hAnsi="Arial" w:cs="Arial"/>
                <w:color w:val="000000"/>
                <w:sz w:val="16"/>
                <w:szCs w:val="16"/>
              </w:rPr>
              <w:br/>
            </w:r>
          </w:p>
          <w:p w14:paraId="5A18EBF1" w14:textId="52E38FD8" w:rsidR="00250CF8" w:rsidRPr="009B4A78" w:rsidRDefault="00250CF8" w:rsidP="00B70F0D">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Integration of the Bulletin into the Lisbon Express database</w:t>
            </w:r>
          </w:p>
        </w:tc>
      </w:tr>
      <w:tr w:rsidR="00250CF8" w:rsidRPr="009B4A78" w14:paraId="4A0624FD" w14:textId="77777777" w:rsidTr="008D4CE9">
        <w:trPr>
          <w:trHeight w:val="558"/>
        </w:trPr>
        <w:tc>
          <w:tcPr>
            <w:tcW w:w="2060" w:type="dxa"/>
            <w:tcBorders>
              <w:left w:val="single" w:sz="4" w:space="0" w:color="auto"/>
              <w:bottom w:val="single" w:sz="4" w:space="0" w:color="auto"/>
              <w:right w:val="nil"/>
            </w:tcBorders>
            <w:shd w:val="clear" w:color="000000" w:fill="FFFFFF"/>
            <w:hideMark/>
          </w:tcPr>
          <w:p w14:paraId="3A5F77D3" w14:textId="77777777" w:rsidR="00250CF8" w:rsidRPr="009B4A78" w:rsidRDefault="00250CF8"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00" w:type="dxa"/>
            <w:tcBorders>
              <w:left w:val="nil"/>
              <w:bottom w:val="single" w:sz="4" w:space="0" w:color="auto"/>
              <w:right w:val="nil"/>
            </w:tcBorders>
            <w:shd w:val="clear" w:color="000000" w:fill="FFFFFF"/>
            <w:hideMark/>
          </w:tcPr>
          <w:p w14:paraId="7B84BC54" w14:textId="77777777" w:rsidR="00250CF8" w:rsidRPr="009B4A78" w:rsidRDefault="00250CF8" w:rsidP="00F33E49">
            <w:pPr>
              <w:ind w:left="97"/>
              <w:rPr>
                <w:rFonts w:ascii="Arial" w:eastAsia="Times New Roman" w:hAnsi="Arial" w:cs="Arial"/>
                <w:color w:val="000000"/>
                <w:sz w:val="16"/>
                <w:szCs w:val="16"/>
              </w:rPr>
            </w:pPr>
            <w:r w:rsidRPr="009B4A78">
              <w:rPr>
                <w:rFonts w:ascii="Arial" w:eastAsia="Times New Roman" w:hAnsi="Arial" w:cs="Arial"/>
                <w:color w:val="000000"/>
                <w:sz w:val="16"/>
                <w:szCs w:val="16"/>
              </w:rPr>
              <w:t>Improved electronic services for the Lisbon Registry and Article 6</w:t>
            </w:r>
            <w:r w:rsidRPr="009B4A78">
              <w:rPr>
                <w:rFonts w:ascii="Arial" w:eastAsia="Times New Roman" w:hAnsi="Arial" w:cs="Arial"/>
                <w:i/>
                <w:color w:val="000000"/>
                <w:sz w:val="16"/>
                <w:szCs w:val="16"/>
              </w:rPr>
              <w:t>ter</w:t>
            </w:r>
          </w:p>
        </w:tc>
        <w:tc>
          <w:tcPr>
            <w:tcW w:w="2543" w:type="dxa"/>
            <w:tcBorders>
              <w:left w:val="nil"/>
              <w:bottom w:val="single" w:sz="4" w:space="0" w:color="auto"/>
              <w:right w:val="nil"/>
            </w:tcBorders>
            <w:shd w:val="clear" w:color="000000" w:fill="FFFFFF"/>
            <w:hideMark/>
          </w:tcPr>
          <w:p w14:paraId="2E39EB30" w14:textId="77777777" w:rsidR="00250CF8" w:rsidRPr="009B4A78" w:rsidRDefault="00250CF8" w:rsidP="00D655F5">
            <w:pPr>
              <w:rPr>
                <w:rFonts w:ascii="Arial" w:eastAsia="Times New Roman" w:hAnsi="Arial" w:cs="Arial"/>
                <w:color w:val="000000"/>
                <w:sz w:val="16"/>
                <w:szCs w:val="16"/>
              </w:rPr>
            </w:pPr>
            <w:r w:rsidRPr="009B4A78">
              <w:rPr>
                <w:rFonts w:ascii="Arial" w:eastAsia="Times New Roman" w:hAnsi="Arial" w:cs="Arial"/>
                <w:color w:val="000000"/>
                <w:sz w:val="16"/>
                <w:szCs w:val="16"/>
              </w:rPr>
              <w:t>Simple implementation of an electronic register</w:t>
            </w:r>
          </w:p>
        </w:tc>
        <w:tc>
          <w:tcPr>
            <w:tcW w:w="2410" w:type="dxa"/>
            <w:tcBorders>
              <w:left w:val="nil"/>
              <w:bottom w:val="single" w:sz="4" w:space="0" w:color="auto"/>
              <w:right w:val="single" w:sz="4" w:space="0" w:color="auto"/>
            </w:tcBorders>
            <w:shd w:val="clear" w:color="000000" w:fill="FFFFFF"/>
            <w:hideMark/>
          </w:tcPr>
          <w:p w14:paraId="7F004FE6" w14:textId="77777777" w:rsidR="00250CF8" w:rsidRPr="009B4A78" w:rsidRDefault="00250CF8" w:rsidP="00F33E49">
            <w:pPr>
              <w:ind w:left="107"/>
              <w:rPr>
                <w:rFonts w:ascii="Arial" w:eastAsia="Times New Roman" w:hAnsi="Arial" w:cs="Arial"/>
                <w:color w:val="000000"/>
                <w:sz w:val="16"/>
                <w:szCs w:val="16"/>
              </w:rPr>
            </w:pPr>
            <w:r w:rsidRPr="009B4A78">
              <w:rPr>
                <w:rFonts w:ascii="Arial" w:eastAsia="Times New Roman" w:hAnsi="Arial" w:cs="Arial"/>
                <w:color w:val="000000"/>
                <w:sz w:val="16"/>
                <w:szCs w:val="16"/>
              </w:rPr>
              <w:t>Electronic filing web forms</w:t>
            </w:r>
          </w:p>
        </w:tc>
      </w:tr>
    </w:tbl>
    <w:p w14:paraId="71A581C6" w14:textId="77777777" w:rsidR="00250CF8" w:rsidRPr="009B4A78" w:rsidRDefault="00250CF8" w:rsidP="00F33E49">
      <w:pPr>
        <w:keepNext/>
        <w:jc w:val="both"/>
        <w:rPr>
          <w:rFonts w:ascii="Arial" w:eastAsia="SimSun" w:hAnsi="Arial" w:cs="Arial"/>
          <w:bCs/>
          <w:iCs/>
          <w:caps/>
          <w:szCs w:val="28"/>
        </w:rPr>
      </w:pPr>
      <w:r w:rsidRPr="009B4A78">
        <w:rPr>
          <w:rFonts w:ascii="Arial" w:eastAsia="SimSun" w:hAnsi="Arial" w:cs="Arial"/>
          <w:bCs/>
          <w:iCs/>
          <w:caps/>
          <w:szCs w:val="28"/>
        </w:rPr>
        <w:lastRenderedPageBreak/>
        <w:t xml:space="preserve">RESOURCES FOR PROGram 6 </w:t>
      </w:r>
    </w:p>
    <w:p w14:paraId="75707DAA" w14:textId="77777777" w:rsidR="00250CF8" w:rsidRPr="00DB4F15" w:rsidRDefault="00250CF8" w:rsidP="00F33E49">
      <w:pPr>
        <w:keepNext/>
        <w:jc w:val="both"/>
        <w:rPr>
          <w:rFonts w:ascii="Arial" w:eastAsia="SimSun" w:hAnsi="Arial" w:cs="Arial"/>
          <w:bCs/>
          <w:iCs/>
          <w:caps/>
          <w:sz w:val="20"/>
          <w:szCs w:val="28"/>
        </w:rPr>
      </w:pPr>
    </w:p>
    <w:p w14:paraId="7791E2CF" w14:textId="64B5D457" w:rsidR="00250CF8" w:rsidRPr="00DB4F15" w:rsidRDefault="00250CF8" w:rsidP="00B66A4A">
      <w:pPr>
        <w:pStyle w:val="ListParagraph"/>
        <w:numPr>
          <w:ilvl w:val="0"/>
          <w:numId w:val="8"/>
        </w:numPr>
        <w:tabs>
          <w:tab w:val="left" w:pos="567"/>
        </w:tabs>
        <w:ind w:left="0" w:firstLine="0"/>
        <w:contextualSpacing w:val="0"/>
        <w:jc w:val="both"/>
        <w:rPr>
          <w:rFonts w:ascii="Arial" w:eastAsia="SimSun" w:hAnsi="Arial" w:cs="Arial"/>
          <w:bCs/>
          <w:iCs/>
          <w:sz w:val="20"/>
          <w:szCs w:val="28"/>
        </w:rPr>
      </w:pPr>
      <w:r w:rsidRPr="00DB4F15">
        <w:rPr>
          <w:rFonts w:ascii="Arial" w:eastAsia="SimSun" w:hAnsi="Arial" w:cs="Arial"/>
          <w:bCs/>
          <w:iCs/>
          <w:sz w:val="20"/>
          <w:szCs w:val="28"/>
        </w:rPr>
        <w:t>The increase in resources under this Program is driven by the expanding membership of the Madrid System and the resulting expected increase in the demand for services and provisions to enhance the operational efficiencies of the system.  The increase is reflected under Expected Result</w:t>
      </w:r>
      <w:r w:rsidR="00F35FAB">
        <w:rPr>
          <w:rFonts w:ascii="Arial" w:eastAsia="SimSun" w:hAnsi="Arial" w:cs="Arial"/>
          <w:bCs/>
          <w:iCs/>
          <w:sz w:val="20"/>
          <w:szCs w:val="28"/>
        </w:rPr>
        <w:t> </w:t>
      </w:r>
      <w:r w:rsidRPr="00DB4F15">
        <w:rPr>
          <w:rFonts w:ascii="Arial" w:eastAsia="SimSun" w:hAnsi="Arial" w:cs="Arial"/>
          <w:bCs/>
          <w:iCs/>
          <w:sz w:val="20"/>
          <w:szCs w:val="28"/>
        </w:rPr>
        <w:t>II.7.</w:t>
      </w:r>
    </w:p>
    <w:p w14:paraId="32B70960" w14:textId="77777777" w:rsidR="00250CF8" w:rsidRDefault="00250CF8" w:rsidP="00F33E49">
      <w:pPr>
        <w:jc w:val="both"/>
        <w:rPr>
          <w:rFonts w:ascii="Arial" w:eastAsia="SimSun" w:hAnsi="Arial" w:cs="Arial"/>
          <w:bCs/>
          <w:iCs/>
          <w:caps/>
          <w:sz w:val="20"/>
          <w:szCs w:val="28"/>
        </w:rPr>
      </w:pPr>
    </w:p>
    <w:p w14:paraId="32EF6A30" w14:textId="77777777" w:rsidR="00250CF8" w:rsidRPr="009B4A78" w:rsidRDefault="00250CF8" w:rsidP="00F33E49">
      <w:pPr>
        <w:jc w:val="center"/>
        <w:rPr>
          <w:rFonts w:ascii="Arial" w:eastAsia="SimSun" w:hAnsi="Arial" w:cs="Arial"/>
          <w:b/>
          <w:bCs/>
          <w:iCs/>
          <w:sz w:val="20"/>
          <w:szCs w:val="28"/>
        </w:rPr>
      </w:pPr>
      <w:r w:rsidRPr="009B4A78">
        <w:rPr>
          <w:rFonts w:ascii="Arial" w:eastAsia="SimSun" w:hAnsi="Arial" w:cs="Arial"/>
          <w:b/>
          <w:bCs/>
          <w:iCs/>
          <w:sz w:val="20"/>
          <w:szCs w:val="28"/>
        </w:rPr>
        <w:t>Program 6: Resources by Result</w:t>
      </w:r>
    </w:p>
    <w:p w14:paraId="25C983C3" w14:textId="77777777" w:rsidR="00250CF8" w:rsidRPr="009B4A78" w:rsidRDefault="00250CF8" w:rsidP="00F33E49">
      <w:pPr>
        <w:keepNext/>
        <w:jc w:val="center"/>
        <w:rPr>
          <w:rFonts w:ascii="Arial" w:eastAsia="SimSun" w:hAnsi="Arial" w:cs="Arial"/>
          <w:bCs/>
          <w:i/>
          <w:iCs/>
          <w:sz w:val="20"/>
          <w:szCs w:val="28"/>
        </w:rPr>
      </w:pPr>
      <w:r w:rsidRPr="009B4A78">
        <w:rPr>
          <w:rFonts w:ascii="Arial" w:eastAsia="SimSun" w:hAnsi="Arial" w:cs="Arial"/>
          <w:bCs/>
          <w:i/>
          <w:iCs/>
          <w:sz w:val="20"/>
          <w:szCs w:val="28"/>
        </w:rPr>
        <w:t>(in thousands of Swiss francs)</w:t>
      </w:r>
    </w:p>
    <w:p w14:paraId="3ED09EE4" w14:textId="4A4EE364" w:rsidR="00250CF8" w:rsidRPr="00FB68E0" w:rsidRDefault="00250CF8" w:rsidP="00F33E49">
      <w:pPr>
        <w:keepNext/>
        <w:jc w:val="center"/>
        <w:rPr>
          <w:rFonts w:ascii="Arial" w:eastAsia="SimSun" w:hAnsi="Arial" w:cs="Arial"/>
          <w:bCs/>
          <w:i/>
          <w:iCs/>
          <w:sz w:val="18"/>
          <w:szCs w:val="20"/>
        </w:rPr>
      </w:pPr>
    </w:p>
    <w:p w14:paraId="646C5C81" w14:textId="729AE148" w:rsidR="00250CF8" w:rsidRPr="009B4A78" w:rsidRDefault="008030BF" w:rsidP="00F33E49">
      <w:pPr>
        <w:keepNext/>
        <w:tabs>
          <w:tab w:val="left" w:pos="0"/>
        </w:tabs>
        <w:jc w:val="center"/>
        <w:rPr>
          <w:rFonts w:ascii="Arial" w:eastAsia="SimSun" w:hAnsi="Arial" w:cs="Arial"/>
          <w:bCs/>
          <w:i/>
          <w:iCs/>
          <w:sz w:val="20"/>
          <w:szCs w:val="20"/>
        </w:rPr>
      </w:pPr>
      <w:r w:rsidRPr="008030BF">
        <w:rPr>
          <w:rFonts w:ascii="Arial" w:eastAsia="SimSun" w:hAnsi="Arial" w:cs="Arial"/>
          <w:bCs/>
          <w:i/>
          <w:iCs/>
          <w:sz w:val="20"/>
          <w:szCs w:val="20"/>
        </w:rPr>
        <w:t xml:space="preserve"> </w:t>
      </w:r>
      <w:r w:rsidRPr="008030BF">
        <w:rPr>
          <w:noProof/>
          <w:lang w:eastAsia="en-US"/>
        </w:rPr>
        <w:drawing>
          <wp:inline distT="0" distB="0" distL="0" distR="0" wp14:anchorId="77547843" wp14:editId="0D38FFBE">
            <wp:extent cx="5080958" cy="1096450"/>
            <wp:effectExtent l="0" t="0" r="5715" b="8890"/>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090698" cy="1098552"/>
                    </a:xfrm>
                    <a:prstGeom prst="rect">
                      <a:avLst/>
                    </a:prstGeom>
                    <a:noFill/>
                    <a:ln>
                      <a:noFill/>
                    </a:ln>
                  </pic:spPr>
                </pic:pic>
              </a:graphicData>
            </a:graphic>
          </wp:inline>
        </w:drawing>
      </w:r>
    </w:p>
    <w:p w14:paraId="2C25AC3D" w14:textId="77777777" w:rsidR="00250CF8" w:rsidRDefault="00250CF8" w:rsidP="00F33E49">
      <w:pPr>
        <w:rPr>
          <w:rFonts w:ascii="Arial" w:eastAsia="SimSun" w:hAnsi="Arial" w:cs="Arial"/>
          <w:bCs/>
          <w:i/>
          <w:iCs/>
          <w:sz w:val="20"/>
          <w:szCs w:val="20"/>
        </w:rPr>
      </w:pPr>
    </w:p>
    <w:p w14:paraId="7F3AB29D" w14:textId="77777777" w:rsidR="00250CF8" w:rsidRPr="009B4A78" w:rsidRDefault="00250CF8" w:rsidP="00F33E49">
      <w:pPr>
        <w:keepNext/>
        <w:jc w:val="center"/>
        <w:rPr>
          <w:rFonts w:ascii="Arial" w:eastAsia="SimSun" w:hAnsi="Arial" w:cs="Arial"/>
          <w:b/>
          <w:bCs/>
          <w:iCs/>
          <w:sz w:val="20"/>
          <w:szCs w:val="28"/>
        </w:rPr>
      </w:pPr>
      <w:r w:rsidRPr="009B4A78">
        <w:rPr>
          <w:rFonts w:ascii="Arial" w:eastAsia="SimSun" w:hAnsi="Arial" w:cs="Arial"/>
          <w:b/>
          <w:bCs/>
          <w:iCs/>
          <w:sz w:val="20"/>
          <w:szCs w:val="28"/>
        </w:rPr>
        <w:t>Program 6: Resources by Object of Expenditure</w:t>
      </w:r>
    </w:p>
    <w:p w14:paraId="09E33091" w14:textId="77777777" w:rsidR="00250CF8" w:rsidRPr="009B4A78" w:rsidRDefault="00250CF8" w:rsidP="00F33E49">
      <w:pPr>
        <w:keepNext/>
        <w:jc w:val="center"/>
        <w:rPr>
          <w:rFonts w:ascii="Arial" w:eastAsia="SimSun" w:hAnsi="Arial" w:cs="Arial"/>
          <w:bCs/>
          <w:i/>
          <w:iCs/>
          <w:sz w:val="20"/>
          <w:szCs w:val="28"/>
        </w:rPr>
      </w:pPr>
      <w:r w:rsidRPr="009B4A78">
        <w:rPr>
          <w:rFonts w:ascii="Arial" w:eastAsia="SimSun" w:hAnsi="Arial" w:cs="Arial"/>
          <w:bCs/>
          <w:i/>
          <w:iCs/>
          <w:sz w:val="20"/>
          <w:szCs w:val="28"/>
        </w:rPr>
        <w:t>(in thousands of Swiss francs)</w:t>
      </w:r>
    </w:p>
    <w:p w14:paraId="6BCAE3FE" w14:textId="77777777" w:rsidR="00250CF8" w:rsidRPr="008D4CE9" w:rsidRDefault="00250CF8" w:rsidP="00F33E49">
      <w:pPr>
        <w:keepNext/>
        <w:jc w:val="center"/>
        <w:rPr>
          <w:rFonts w:ascii="Arial" w:eastAsia="SimSun" w:hAnsi="Arial" w:cs="Arial"/>
          <w:bCs/>
          <w:i/>
          <w:iCs/>
          <w:sz w:val="16"/>
          <w:szCs w:val="28"/>
        </w:rPr>
      </w:pPr>
    </w:p>
    <w:p w14:paraId="539F7F22" w14:textId="3AC16BC9" w:rsidR="00C2428A" w:rsidRDefault="00250CF8" w:rsidP="008D4CE9">
      <w:pPr>
        <w:jc w:val="center"/>
        <w:rPr>
          <w:rFonts w:ascii="Arial" w:eastAsia="SimSun" w:hAnsi="Arial" w:cs="Arial"/>
          <w:bCs/>
          <w:iCs/>
          <w:sz w:val="20"/>
          <w:szCs w:val="20"/>
        </w:rPr>
      </w:pPr>
      <w:r w:rsidRPr="009B4A78">
        <w:rPr>
          <w:rFonts w:ascii="Arial" w:hAnsi="Arial" w:cs="Arial"/>
          <w:noProof/>
          <w:lang w:eastAsia="en-US"/>
        </w:rPr>
        <w:drawing>
          <wp:inline distT="0" distB="0" distL="0" distR="0" wp14:anchorId="08F942E1" wp14:editId="7A3A1999">
            <wp:extent cx="4925750" cy="5546785"/>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940487" cy="5563380"/>
                    </a:xfrm>
                    <a:prstGeom prst="rect">
                      <a:avLst/>
                    </a:prstGeom>
                    <a:noFill/>
                    <a:ln>
                      <a:noFill/>
                    </a:ln>
                  </pic:spPr>
                </pic:pic>
              </a:graphicData>
            </a:graphic>
          </wp:inline>
        </w:drawing>
      </w:r>
      <w:r w:rsidR="00C2428A">
        <w:rPr>
          <w:rFonts w:ascii="Arial" w:eastAsia="SimSun" w:hAnsi="Arial" w:cs="Arial"/>
          <w:bCs/>
          <w:iCs/>
          <w:sz w:val="20"/>
          <w:szCs w:val="20"/>
        </w:rPr>
        <w:br w:type="page"/>
      </w:r>
    </w:p>
    <w:p w14:paraId="23DD2330" w14:textId="77777777" w:rsidR="00C2428A" w:rsidRPr="00D407BA" w:rsidRDefault="00C2428A" w:rsidP="00C2428A">
      <w:pPr>
        <w:pStyle w:val="StyleStyleHeading3ComplexItalicLatin12pt"/>
      </w:pPr>
      <w:bookmarkStart w:id="36" w:name="_Toc301357248"/>
      <w:bookmarkStart w:id="37" w:name="_Toc427154402"/>
      <w:r w:rsidRPr="00D407BA">
        <w:rPr>
          <w:caps w:val="0"/>
        </w:rPr>
        <w:lastRenderedPageBreak/>
        <w:t>PROGRAM 31</w:t>
      </w:r>
      <w:r w:rsidRPr="00D407BA">
        <w:rPr>
          <w:caps w:val="0"/>
        </w:rPr>
        <w:tab/>
        <w:t>THE HAGUE SYSTEM</w:t>
      </w:r>
      <w:bookmarkEnd w:id="36"/>
      <w:bookmarkEnd w:id="37"/>
    </w:p>
    <w:p w14:paraId="759BBB4E" w14:textId="77777777" w:rsidR="00C2428A" w:rsidRPr="00AD663E" w:rsidRDefault="00C2428A" w:rsidP="00C2428A">
      <w:pPr>
        <w:tabs>
          <w:tab w:val="left" w:pos="2268"/>
        </w:tabs>
        <w:ind w:left="2268" w:hanging="2268"/>
        <w:rPr>
          <w:rFonts w:ascii="Arial" w:hAnsi="Arial"/>
          <w:b/>
          <w:sz w:val="20"/>
        </w:rPr>
      </w:pPr>
    </w:p>
    <w:p w14:paraId="726D9B7D" w14:textId="77777777" w:rsidR="00C2428A" w:rsidRDefault="00C2428A" w:rsidP="00C2428A">
      <w:pPr>
        <w:pStyle w:val="BodyTextIndent"/>
        <w:ind w:left="1985" w:hanging="1985"/>
        <w:jc w:val="both"/>
        <w:rPr>
          <w:rFonts w:ascii="Arial" w:hAnsi="Arial" w:cs="Arial"/>
          <w:sz w:val="22"/>
          <w:szCs w:val="22"/>
        </w:rPr>
      </w:pPr>
    </w:p>
    <w:p w14:paraId="71F309DC" w14:textId="77777777" w:rsidR="00C2428A" w:rsidRPr="00A522FE" w:rsidRDefault="00C2428A" w:rsidP="00C2428A">
      <w:pPr>
        <w:pStyle w:val="BodyTextIndent"/>
        <w:ind w:left="1985" w:hanging="1985"/>
        <w:jc w:val="both"/>
        <w:rPr>
          <w:rFonts w:ascii="Arial" w:hAnsi="Arial" w:cs="Arial"/>
          <w:sz w:val="22"/>
          <w:szCs w:val="22"/>
        </w:rPr>
      </w:pPr>
      <w:r w:rsidRPr="00A522FE">
        <w:rPr>
          <w:rFonts w:ascii="Arial" w:hAnsi="Arial" w:cs="Arial"/>
          <w:sz w:val="22"/>
          <w:szCs w:val="22"/>
        </w:rPr>
        <w:t>PLANNING CONTEXT</w:t>
      </w:r>
    </w:p>
    <w:p w14:paraId="13CE3C14" w14:textId="77777777" w:rsidR="00C2428A" w:rsidRPr="00A522FE" w:rsidRDefault="00C2428A" w:rsidP="00C2428A">
      <w:pPr>
        <w:rPr>
          <w:rFonts w:ascii="Arial" w:hAnsi="Arial"/>
          <w:sz w:val="20"/>
        </w:rPr>
      </w:pPr>
    </w:p>
    <w:p w14:paraId="69E3882E" w14:textId="77777777" w:rsidR="00C2428A" w:rsidRPr="002B1C08" w:rsidRDefault="00C2428A" w:rsidP="00B66A4A">
      <w:pPr>
        <w:numPr>
          <w:ilvl w:val="0"/>
          <w:numId w:val="31"/>
        </w:numPr>
        <w:jc w:val="both"/>
        <w:rPr>
          <w:rFonts w:ascii="Arial" w:hAnsi="Arial" w:cs="Arial"/>
          <w:sz w:val="20"/>
        </w:rPr>
      </w:pPr>
      <w:r w:rsidRPr="00660301">
        <w:rPr>
          <w:rFonts w:ascii="Arial" w:hAnsi="Arial"/>
          <w:sz w:val="20"/>
        </w:rPr>
        <w:t xml:space="preserve">Efforts to expand the </w:t>
      </w:r>
      <w:r>
        <w:rPr>
          <w:rFonts w:ascii="Arial" w:hAnsi="Arial"/>
          <w:sz w:val="20"/>
        </w:rPr>
        <w:t>geographical scope of the Hague System by encouraging accession to the Geneva (1999) Act of the Hague Agreement started to bear fruit during the</w:t>
      </w:r>
      <w:r w:rsidRPr="00660301">
        <w:rPr>
          <w:rFonts w:ascii="Arial" w:hAnsi="Arial" w:cs="Arial"/>
          <w:sz w:val="20"/>
        </w:rPr>
        <w:t xml:space="preserve"> 201</w:t>
      </w:r>
      <w:r>
        <w:rPr>
          <w:rFonts w:ascii="Arial" w:hAnsi="Arial" w:cs="Arial"/>
          <w:sz w:val="20"/>
        </w:rPr>
        <w:t>4</w:t>
      </w:r>
      <w:r w:rsidRPr="00660301">
        <w:rPr>
          <w:rFonts w:ascii="Arial" w:hAnsi="Arial" w:cs="Arial"/>
          <w:sz w:val="20"/>
        </w:rPr>
        <w:t>/1</w:t>
      </w:r>
      <w:r>
        <w:rPr>
          <w:rFonts w:ascii="Arial" w:hAnsi="Arial" w:cs="Arial"/>
          <w:sz w:val="20"/>
        </w:rPr>
        <w:t>5</w:t>
      </w:r>
      <w:r w:rsidRPr="00660301">
        <w:rPr>
          <w:rFonts w:ascii="Arial" w:hAnsi="Arial" w:cs="Arial"/>
          <w:sz w:val="20"/>
        </w:rPr>
        <w:t xml:space="preserve"> </w:t>
      </w:r>
      <w:r>
        <w:rPr>
          <w:rFonts w:ascii="Arial" w:hAnsi="Arial" w:cs="Arial"/>
          <w:sz w:val="20"/>
        </w:rPr>
        <w:t>biennium, with certain countries representing some of the world’s major trading areas joining or standing close to accession</w:t>
      </w:r>
      <w:r w:rsidRPr="00660301">
        <w:rPr>
          <w:rFonts w:ascii="Arial" w:hAnsi="Arial" w:cs="Arial"/>
          <w:sz w:val="20"/>
        </w:rPr>
        <w:t xml:space="preserve">.  </w:t>
      </w:r>
      <w:r>
        <w:rPr>
          <w:rFonts w:ascii="Arial" w:hAnsi="Arial" w:cs="Arial"/>
          <w:sz w:val="20"/>
        </w:rPr>
        <w:t>In as much a</w:t>
      </w:r>
      <w:r w:rsidRPr="00660301">
        <w:rPr>
          <w:rFonts w:ascii="Arial" w:hAnsi="Arial" w:cs="Arial"/>
          <w:sz w:val="20"/>
        </w:rPr>
        <w:t>s</w:t>
      </w:r>
      <w:r>
        <w:rPr>
          <w:rFonts w:ascii="Arial" w:hAnsi="Arial" w:cs="Arial"/>
          <w:sz w:val="20"/>
        </w:rPr>
        <w:t xml:space="preserve"> they will be new to the Hague System, they are amongst the world’s largest sources of design filings</w:t>
      </w:r>
      <w:r w:rsidRPr="00660301">
        <w:rPr>
          <w:rFonts w:ascii="Arial" w:hAnsi="Arial" w:cs="Arial"/>
          <w:sz w:val="20"/>
        </w:rPr>
        <w:t xml:space="preserve"> and are likely to stimulate further accessions</w:t>
      </w:r>
      <w:r>
        <w:rPr>
          <w:rFonts w:ascii="Arial" w:hAnsi="Arial" w:cs="Arial"/>
          <w:sz w:val="20"/>
        </w:rPr>
        <w:t>.  As such</w:t>
      </w:r>
      <w:r w:rsidRPr="00660301">
        <w:rPr>
          <w:rFonts w:ascii="Arial" w:hAnsi="Arial" w:cs="Arial"/>
          <w:sz w:val="20"/>
        </w:rPr>
        <w:t xml:space="preserve">, </w:t>
      </w:r>
      <w:r>
        <w:rPr>
          <w:rFonts w:ascii="Arial" w:hAnsi="Arial" w:cs="Arial"/>
          <w:sz w:val="20"/>
        </w:rPr>
        <w:t>the number of international applications filed during the 2016/17 biennium is expected to increase considerably.  Furthermore, some of these countries are those for which a number of features of the 1999 Act were developed, particularly in view of the thorough novelty examination undertaken by their Offices</w:t>
      </w:r>
      <w:r w:rsidRPr="00660301">
        <w:rPr>
          <w:rFonts w:ascii="Arial" w:hAnsi="Arial" w:cs="Arial"/>
          <w:sz w:val="20"/>
        </w:rPr>
        <w:t xml:space="preserve">.  </w:t>
      </w:r>
      <w:r w:rsidRPr="00660301">
        <w:rPr>
          <w:rFonts w:ascii="Arial" w:hAnsi="Arial"/>
          <w:sz w:val="20"/>
        </w:rPr>
        <w:t>These features</w:t>
      </w:r>
      <w:r>
        <w:rPr>
          <w:rFonts w:ascii="Arial" w:hAnsi="Arial"/>
          <w:sz w:val="20"/>
        </w:rPr>
        <w:t xml:space="preserve"> are </w:t>
      </w:r>
      <w:r w:rsidRPr="00660301">
        <w:rPr>
          <w:rFonts w:ascii="Arial" w:hAnsi="Arial"/>
          <w:sz w:val="20"/>
        </w:rPr>
        <w:t>among the more complex and have yet to be tested in practice.</w:t>
      </w:r>
    </w:p>
    <w:p w14:paraId="58EC4066" w14:textId="77777777" w:rsidR="00C2428A" w:rsidRPr="002B1C08" w:rsidRDefault="00C2428A" w:rsidP="00C2428A">
      <w:pPr>
        <w:jc w:val="both"/>
        <w:rPr>
          <w:rFonts w:ascii="Arial" w:hAnsi="Arial" w:cs="Arial"/>
          <w:sz w:val="20"/>
        </w:rPr>
      </w:pPr>
    </w:p>
    <w:p w14:paraId="7A6F7446" w14:textId="77777777" w:rsidR="00C2428A" w:rsidRPr="002B1C08" w:rsidRDefault="00C2428A" w:rsidP="00B66A4A">
      <w:pPr>
        <w:numPr>
          <w:ilvl w:val="0"/>
          <w:numId w:val="31"/>
        </w:numPr>
        <w:jc w:val="both"/>
        <w:rPr>
          <w:rFonts w:ascii="Arial" w:hAnsi="Arial" w:cs="Arial"/>
          <w:sz w:val="20"/>
        </w:rPr>
      </w:pPr>
      <w:r w:rsidRPr="002B1C08">
        <w:rPr>
          <w:rFonts w:ascii="Arial" w:hAnsi="Arial" w:cs="Arial"/>
          <w:sz w:val="20"/>
        </w:rPr>
        <w:t xml:space="preserve">In view of the above, the challenges for the </w:t>
      </w:r>
      <w:r>
        <w:rPr>
          <w:rFonts w:ascii="Arial" w:hAnsi="Arial" w:cs="Arial"/>
          <w:sz w:val="20"/>
        </w:rPr>
        <w:t>2016/17</w:t>
      </w:r>
      <w:r w:rsidRPr="002B1C08">
        <w:rPr>
          <w:rFonts w:ascii="Arial" w:hAnsi="Arial" w:cs="Arial"/>
          <w:sz w:val="20"/>
        </w:rPr>
        <w:t xml:space="preserve"> </w:t>
      </w:r>
      <w:r>
        <w:rPr>
          <w:rFonts w:ascii="Arial" w:hAnsi="Arial" w:cs="Arial"/>
          <w:sz w:val="20"/>
        </w:rPr>
        <w:t>biennium consist of coping</w:t>
      </w:r>
      <w:r w:rsidRPr="002B1C08">
        <w:rPr>
          <w:rFonts w:ascii="Arial" w:hAnsi="Arial" w:cs="Arial"/>
          <w:sz w:val="20"/>
        </w:rPr>
        <w:t xml:space="preserve"> with the expected growth; successfully implement</w:t>
      </w:r>
      <w:r>
        <w:rPr>
          <w:rFonts w:ascii="Arial" w:hAnsi="Arial" w:cs="Arial"/>
          <w:sz w:val="20"/>
        </w:rPr>
        <w:t>ing th</w:t>
      </w:r>
      <w:r w:rsidRPr="002B1C08">
        <w:rPr>
          <w:rFonts w:ascii="Arial" w:hAnsi="Arial" w:cs="Arial"/>
          <w:sz w:val="20"/>
        </w:rPr>
        <w:t>e features of the Geneva Act not yet put in practice</w:t>
      </w:r>
      <w:r>
        <w:rPr>
          <w:rFonts w:ascii="Arial" w:hAnsi="Arial" w:cs="Arial"/>
          <w:sz w:val="20"/>
        </w:rPr>
        <w:t xml:space="preserve"> and</w:t>
      </w:r>
      <w:r w:rsidRPr="002B1C08">
        <w:rPr>
          <w:rFonts w:ascii="Arial" w:hAnsi="Arial" w:cs="Arial"/>
          <w:sz w:val="20"/>
        </w:rPr>
        <w:t xml:space="preserve"> </w:t>
      </w:r>
      <w:r>
        <w:rPr>
          <w:rFonts w:ascii="Arial" w:hAnsi="Arial" w:cs="Arial"/>
          <w:sz w:val="20"/>
        </w:rPr>
        <w:t>ensuring that</w:t>
      </w:r>
      <w:r w:rsidRPr="002B1C08">
        <w:rPr>
          <w:rFonts w:ascii="Arial" w:hAnsi="Arial" w:cs="Arial"/>
          <w:sz w:val="20"/>
        </w:rPr>
        <w:t xml:space="preserve"> </w:t>
      </w:r>
      <w:r>
        <w:rPr>
          <w:rFonts w:ascii="Arial" w:hAnsi="Arial" w:cs="Arial"/>
          <w:sz w:val="20"/>
        </w:rPr>
        <w:t>the S</w:t>
      </w:r>
      <w:r w:rsidRPr="002B1C08">
        <w:rPr>
          <w:rFonts w:ascii="Arial" w:hAnsi="Arial" w:cs="Arial"/>
          <w:sz w:val="20"/>
        </w:rPr>
        <w:t>ystem remains attractive to users</w:t>
      </w:r>
      <w:r>
        <w:rPr>
          <w:rFonts w:ascii="Arial" w:hAnsi="Arial" w:cs="Arial"/>
          <w:sz w:val="20"/>
        </w:rPr>
        <w:t>.</w:t>
      </w:r>
    </w:p>
    <w:p w14:paraId="20CC9EDD" w14:textId="77777777" w:rsidR="00C2428A" w:rsidRDefault="00C2428A" w:rsidP="00C2428A">
      <w:pPr>
        <w:jc w:val="both"/>
        <w:rPr>
          <w:rFonts w:ascii="Arial" w:hAnsi="Arial" w:cs="Arial"/>
          <w:sz w:val="20"/>
        </w:rPr>
      </w:pPr>
    </w:p>
    <w:p w14:paraId="64F73A4E" w14:textId="77777777" w:rsidR="00C2428A" w:rsidRPr="00A522FE" w:rsidRDefault="00C2428A" w:rsidP="00C2428A">
      <w:pPr>
        <w:rPr>
          <w:rFonts w:ascii="Arial" w:hAnsi="Arial"/>
          <w:sz w:val="20"/>
        </w:rPr>
      </w:pPr>
    </w:p>
    <w:p w14:paraId="7B84C11C" w14:textId="77777777" w:rsidR="00C2428A" w:rsidRPr="00412D52" w:rsidRDefault="00C2428A" w:rsidP="00C2428A">
      <w:pPr>
        <w:tabs>
          <w:tab w:val="left" w:pos="567"/>
          <w:tab w:val="left" w:pos="1985"/>
        </w:tabs>
        <w:jc w:val="both"/>
        <w:rPr>
          <w:rFonts w:ascii="Arial" w:hAnsi="Arial" w:cs="Arial"/>
          <w:bCs/>
        </w:rPr>
      </w:pPr>
      <w:r w:rsidRPr="00412D52">
        <w:rPr>
          <w:rFonts w:ascii="Arial" w:hAnsi="Arial" w:cs="Arial"/>
          <w:bCs/>
        </w:rPr>
        <w:t xml:space="preserve">IMPLEMENTATION </w:t>
      </w:r>
      <w:r>
        <w:rPr>
          <w:rFonts w:ascii="Arial" w:hAnsi="Arial" w:cs="Arial"/>
          <w:bCs/>
        </w:rPr>
        <w:t>STRATEGIES</w:t>
      </w:r>
      <w:r w:rsidRPr="00412D52">
        <w:rPr>
          <w:rFonts w:ascii="Arial" w:hAnsi="Arial" w:cs="Arial"/>
          <w:bCs/>
        </w:rPr>
        <w:t xml:space="preserve"> </w:t>
      </w:r>
    </w:p>
    <w:p w14:paraId="2EF15C43" w14:textId="77777777" w:rsidR="00C2428A" w:rsidRDefault="00C2428A" w:rsidP="00C2428A">
      <w:pPr>
        <w:tabs>
          <w:tab w:val="left" w:pos="567"/>
          <w:tab w:val="left" w:pos="1985"/>
        </w:tabs>
        <w:jc w:val="both"/>
        <w:rPr>
          <w:rFonts w:ascii="Arial" w:hAnsi="Arial" w:cs="Arial"/>
          <w:bCs/>
          <w:sz w:val="20"/>
        </w:rPr>
      </w:pPr>
    </w:p>
    <w:p w14:paraId="7C6D5160" w14:textId="77777777" w:rsidR="00C2428A" w:rsidRDefault="00C2428A" w:rsidP="00B66A4A">
      <w:pPr>
        <w:numPr>
          <w:ilvl w:val="0"/>
          <w:numId w:val="31"/>
        </w:numPr>
        <w:tabs>
          <w:tab w:val="clear" w:pos="680"/>
          <w:tab w:val="num" w:pos="709"/>
        </w:tabs>
        <w:jc w:val="both"/>
        <w:rPr>
          <w:rFonts w:ascii="Arial" w:hAnsi="Arial" w:cs="Arial"/>
          <w:sz w:val="20"/>
        </w:rPr>
      </w:pPr>
      <w:r>
        <w:rPr>
          <w:rFonts w:ascii="Arial" w:hAnsi="Arial" w:cs="Arial"/>
          <w:sz w:val="20"/>
        </w:rPr>
        <w:t>WIPO</w:t>
      </w:r>
      <w:r w:rsidRPr="00660301">
        <w:rPr>
          <w:rFonts w:ascii="Arial" w:hAnsi="Arial" w:cs="Arial"/>
          <w:sz w:val="20"/>
        </w:rPr>
        <w:t xml:space="preserve"> aims at making the Hague </w:t>
      </w:r>
      <w:r>
        <w:rPr>
          <w:rFonts w:ascii="Arial" w:hAnsi="Arial" w:cs="Arial"/>
          <w:sz w:val="20"/>
        </w:rPr>
        <w:t>S</w:t>
      </w:r>
      <w:r w:rsidRPr="00660301">
        <w:rPr>
          <w:rFonts w:ascii="Arial" w:hAnsi="Arial" w:cs="Arial"/>
          <w:sz w:val="20"/>
        </w:rPr>
        <w:t xml:space="preserve">ystem </w:t>
      </w:r>
      <w:r>
        <w:rPr>
          <w:rFonts w:ascii="Arial" w:hAnsi="Arial" w:cs="Arial"/>
          <w:sz w:val="20"/>
        </w:rPr>
        <w:t>the</w:t>
      </w:r>
      <w:r w:rsidRPr="00660301">
        <w:rPr>
          <w:rFonts w:ascii="Arial" w:hAnsi="Arial" w:cs="Arial"/>
          <w:sz w:val="20"/>
        </w:rPr>
        <w:t xml:space="preserve"> first choice for design registration</w:t>
      </w:r>
      <w:r>
        <w:rPr>
          <w:rFonts w:ascii="Arial" w:hAnsi="Arial" w:cs="Arial"/>
          <w:sz w:val="20"/>
        </w:rPr>
        <w:t>s</w:t>
      </w:r>
      <w:r w:rsidRPr="00660301">
        <w:rPr>
          <w:rFonts w:ascii="Arial" w:hAnsi="Arial" w:cs="Arial"/>
          <w:sz w:val="20"/>
        </w:rPr>
        <w:t xml:space="preserve">. </w:t>
      </w:r>
      <w:r>
        <w:rPr>
          <w:rFonts w:ascii="Arial" w:hAnsi="Arial" w:cs="Arial"/>
          <w:sz w:val="20"/>
        </w:rPr>
        <w:t xml:space="preserve"> </w:t>
      </w:r>
      <w:r w:rsidRPr="00660301">
        <w:rPr>
          <w:rFonts w:ascii="Arial" w:hAnsi="Arial" w:cs="Arial"/>
          <w:sz w:val="20"/>
        </w:rPr>
        <w:t xml:space="preserve">To achieve this, </w:t>
      </w:r>
      <w:r>
        <w:rPr>
          <w:rFonts w:ascii="Arial" w:hAnsi="Arial" w:cs="Arial"/>
          <w:sz w:val="20"/>
        </w:rPr>
        <w:t>WIPO will e</w:t>
      </w:r>
      <w:r w:rsidRPr="00660301">
        <w:rPr>
          <w:rFonts w:ascii="Arial" w:hAnsi="Arial" w:cs="Arial"/>
          <w:sz w:val="20"/>
        </w:rPr>
        <w:t>n</w:t>
      </w:r>
      <w:r>
        <w:rPr>
          <w:rFonts w:ascii="Arial" w:hAnsi="Arial" w:cs="Arial"/>
          <w:sz w:val="20"/>
        </w:rPr>
        <w:t xml:space="preserve">hance </w:t>
      </w:r>
      <w:r w:rsidRPr="00660301">
        <w:rPr>
          <w:rFonts w:ascii="Arial" w:hAnsi="Arial" w:cs="Arial"/>
          <w:sz w:val="20"/>
        </w:rPr>
        <w:t xml:space="preserve">awareness of the Hague </w:t>
      </w:r>
      <w:r>
        <w:rPr>
          <w:rFonts w:ascii="Arial" w:hAnsi="Arial" w:cs="Arial"/>
          <w:sz w:val="20"/>
        </w:rPr>
        <w:t>S</w:t>
      </w:r>
      <w:r w:rsidRPr="00660301">
        <w:rPr>
          <w:rFonts w:ascii="Arial" w:hAnsi="Arial" w:cs="Arial"/>
          <w:sz w:val="20"/>
        </w:rPr>
        <w:t>ystem</w:t>
      </w:r>
      <w:r>
        <w:rPr>
          <w:rFonts w:ascii="Arial" w:hAnsi="Arial" w:cs="Arial"/>
          <w:sz w:val="20"/>
        </w:rPr>
        <w:t xml:space="preserve"> and</w:t>
      </w:r>
      <w:r w:rsidRPr="00660301">
        <w:rPr>
          <w:rFonts w:ascii="Arial" w:hAnsi="Arial" w:cs="Arial"/>
          <w:sz w:val="20"/>
        </w:rPr>
        <w:t xml:space="preserve"> </w:t>
      </w:r>
      <w:r>
        <w:rPr>
          <w:rFonts w:ascii="Arial" w:hAnsi="Arial" w:cs="Arial"/>
          <w:sz w:val="20"/>
        </w:rPr>
        <w:t>promote its</w:t>
      </w:r>
      <w:r w:rsidRPr="00660301">
        <w:rPr>
          <w:rFonts w:ascii="Arial" w:hAnsi="Arial" w:cs="Arial"/>
          <w:sz w:val="20"/>
        </w:rPr>
        <w:t xml:space="preserve"> wider and better use</w:t>
      </w:r>
      <w:r>
        <w:rPr>
          <w:rFonts w:ascii="Arial" w:hAnsi="Arial" w:cs="Arial"/>
          <w:sz w:val="20"/>
        </w:rPr>
        <w:t xml:space="preserve">, while, at the same time, improve its </w:t>
      </w:r>
      <w:r w:rsidRPr="00660301">
        <w:rPr>
          <w:rFonts w:ascii="Arial" w:hAnsi="Arial" w:cs="Arial"/>
          <w:sz w:val="20"/>
        </w:rPr>
        <w:t xml:space="preserve">administration </w:t>
      </w:r>
      <w:r>
        <w:rPr>
          <w:rFonts w:ascii="Arial" w:hAnsi="Arial" w:cs="Arial"/>
          <w:sz w:val="20"/>
        </w:rPr>
        <w:t>in the face of rising complexity and workloads.</w:t>
      </w:r>
    </w:p>
    <w:p w14:paraId="08D7C451" w14:textId="77777777" w:rsidR="00C2428A" w:rsidRPr="00660301" w:rsidRDefault="00C2428A" w:rsidP="00C2428A">
      <w:pPr>
        <w:ind w:left="709"/>
        <w:jc w:val="both"/>
        <w:rPr>
          <w:rFonts w:ascii="Arial" w:hAnsi="Arial" w:cs="Arial"/>
          <w:sz w:val="20"/>
        </w:rPr>
      </w:pPr>
    </w:p>
    <w:p w14:paraId="5893153E" w14:textId="77777777" w:rsidR="00C2428A" w:rsidRDefault="00C2428A" w:rsidP="00B66A4A">
      <w:pPr>
        <w:numPr>
          <w:ilvl w:val="0"/>
          <w:numId w:val="31"/>
        </w:numPr>
        <w:jc w:val="both"/>
        <w:rPr>
          <w:rFonts w:ascii="Arial" w:hAnsi="Arial" w:cs="Arial"/>
          <w:sz w:val="20"/>
        </w:rPr>
      </w:pPr>
      <w:r w:rsidRPr="00660301">
        <w:rPr>
          <w:rFonts w:ascii="Arial" w:hAnsi="Arial" w:cs="Arial"/>
          <w:sz w:val="20"/>
        </w:rPr>
        <w:t>Coordinated actions will take place on three fronts:  visibility, geographical scope and system development.</w:t>
      </w:r>
    </w:p>
    <w:p w14:paraId="1DA2BFBF" w14:textId="77777777" w:rsidR="00C2428A" w:rsidRPr="00660301" w:rsidRDefault="00C2428A" w:rsidP="00C2428A">
      <w:pPr>
        <w:tabs>
          <w:tab w:val="left" w:pos="1134"/>
        </w:tabs>
        <w:ind w:left="709"/>
        <w:jc w:val="both"/>
        <w:rPr>
          <w:rFonts w:ascii="Arial" w:hAnsi="Arial" w:cs="Arial"/>
          <w:sz w:val="20"/>
        </w:rPr>
      </w:pPr>
    </w:p>
    <w:p w14:paraId="07A2BC29" w14:textId="77777777" w:rsidR="00C2428A" w:rsidRDefault="00C2428A" w:rsidP="00C2428A">
      <w:pPr>
        <w:tabs>
          <w:tab w:val="left" w:pos="540"/>
          <w:tab w:val="left" w:pos="1276"/>
        </w:tabs>
        <w:ind w:left="709"/>
        <w:jc w:val="both"/>
        <w:rPr>
          <w:rFonts w:ascii="Arial" w:hAnsi="Arial" w:cs="Arial"/>
          <w:sz w:val="20"/>
        </w:rPr>
      </w:pPr>
      <w:r w:rsidRPr="00660301">
        <w:rPr>
          <w:rFonts w:ascii="Arial" w:hAnsi="Arial" w:cs="Arial"/>
          <w:sz w:val="20"/>
        </w:rPr>
        <w:t>(i)</w:t>
      </w:r>
      <w:r>
        <w:rPr>
          <w:rFonts w:ascii="Arial" w:hAnsi="Arial" w:cs="Arial"/>
          <w:sz w:val="20"/>
        </w:rPr>
        <w:tab/>
      </w:r>
      <w:r w:rsidRPr="0056733E">
        <w:rPr>
          <w:rFonts w:ascii="Arial" w:hAnsi="Arial" w:cs="Arial"/>
          <w:b/>
          <w:sz w:val="20"/>
        </w:rPr>
        <w:t>Visibility</w:t>
      </w:r>
      <w:r w:rsidRPr="0056733E">
        <w:rPr>
          <w:rFonts w:ascii="Arial" w:hAnsi="Arial" w:cs="Arial"/>
          <w:sz w:val="20"/>
        </w:rPr>
        <w:t>:  promotion will continue in the existing membership where there is significant untapped</w:t>
      </w:r>
      <w:r>
        <w:rPr>
          <w:rFonts w:ascii="Arial" w:hAnsi="Arial" w:cs="Arial"/>
          <w:sz w:val="20"/>
        </w:rPr>
        <w:t xml:space="preserve"> potential</w:t>
      </w:r>
      <w:r w:rsidRPr="0056733E">
        <w:rPr>
          <w:rFonts w:ascii="Arial" w:hAnsi="Arial" w:cs="Arial"/>
          <w:sz w:val="20"/>
        </w:rPr>
        <w:t xml:space="preserve">.  Promotion will also start in countries whose accession is imminent so as to foster immediate usage </w:t>
      </w:r>
      <w:r>
        <w:rPr>
          <w:rFonts w:ascii="Arial" w:hAnsi="Arial" w:cs="Arial"/>
          <w:sz w:val="20"/>
        </w:rPr>
        <w:t xml:space="preserve">of the system </w:t>
      </w:r>
      <w:r w:rsidRPr="0056733E">
        <w:rPr>
          <w:rFonts w:ascii="Arial" w:hAnsi="Arial" w:cs="Arial"/>
          <w:sz w:val="20"/>
        </w:rPr>
        <w:t>after effective accession.</w:t>
      </w:r>
    </w:p>
    <w:p w14:paraId="09192619" w14:textId="77777777" w:rsidR="00C2428A" w:rsidRPr="00660301" w:rsidRDefault="00C2428A" w:rsidP="00C2428A">
      <w:pPr>
        <w:tabs>
          <w:tab w:val="left" w:pos="540"/>
          <w:tab w:val="left" w:pos="1276"/>
        </w:tabs>
        <w:ind w:left="709"/>
        <w:jc w:val="both"/>
        <w:rPr>
          <w:rFonts w:ascii="Arial" w:hAnsi="Arial" w:cs="Arial"/>
          <w:sz w:val="20"/>
        </w:rPr>
      </w:pPr>
    </w:p>
    <w:p w14:paraId="24D73F36" w14:textId="77777777" w:rsidR="00C2428A" w:rsidRDefault="00C2428A" w:rsidP="00C2428A">
      <w:pPr>
        <w:tabs>
          <w:tab w:val="left" w:pos="540"/>
          <w:tab w:val="left" w:pos="1276"/>
        </w:tabs>
        <w:ind w:left="709"/>
        <w:jc w:val="both"/>
        <w:rPr>
          <w:rFonts w:ascii="Arial" w:hAnsi="Arial" w:cs="Arial"/>
          <w:sz w:val="20"/>
        </w:rPr>
      </w:pPr>
      <w:r>
        <w:rPr>
          <w:rFonts w:ascii="Arial" w:hAnsi="Arial" w:cs="Arial"/>
          <w:sz w:val="20"/>
        </w:rPr>
        <w:t>(ii</w:t>
      </w:r>
      <w:r w:rsidRPr="00660301">
        <w:rPr>
          <w:rFonts w:ascii="Arial" w:hAnsi="Arial" w:cs="Arial"/>
          <w:sz w:val="20"/>
        </w:rPr>
        <w:t>)</w:t>
      </w:r>
      <w:r w:rsidRPr="00660301">
        <w:rPr>
          <w:rFonts w:ascii="Arial" w:hAnsi="Arial" w:cs="Arial"/>
          <w:sz w:val="20"/>
        </w:rPr>
        <w:tab/>
      </w:r>
      <w:r w:rsidRPr="00660301">
        <w:rPr>
          <w:rFonts w:ascii="Arial" w:hAnsi="Arial" w:cs="Arial"/>
          <w:b/>
          <w:sz w:val="20"/>
        </w:rPr>
        <w:t>Geographical scope</w:t>
      </w:r>
      <w:r w:rsidRPr="00660301">
        <w:rPr>
          <w:rFonts w:ascii="Arial" w:hAnsi="Arial" w:cs="Arial"/>
          <w:sz w:val="20"/>
        </w:rPr>
        <w:t xml:space="preserve">:  promotion and </w:t>
      </w:r>
      <w:r>
        <w:rPr>
          <w:rFonts w:ascii="Arial" w:hAnsi="Arial" w:cs="Arial"/>
          <w:sz w:val="20"/>
        </w:rPr>
        <w:t xml:space="preserve">technical </w:t>
      </w:r>
      <w:r w:rsidRPr="00660301">
        <w:rPr>
          <w:rFonts w:ascii="Arial" w:hAnsi="Arial" w:cs="Arial"/>
          <w:sz w:val="20"/>
        </w:rPr>
        <w:t xml:space="preserve">assistance to foster expansion of the Hague </w:t>
      </w:r>
      <w:r>
        <w:rPr>
          <w:rFonts w:ascii="Arial" w:hAnsi="Arial" w:cs="Arial"/>
          <w:sz w:val="20"/>
        </w:rPr>
        <w:t>S</w:t>
      </w:r>
      <w:r w:rsidRPr="00660301">
        <w:rPr>
          <w:rFonts w:ascii="Arial" w:hAnsi="Arial" w:cs="Arial"/>
          <w:sz w:val="20"/>
        </w:rPr>
        <w:t>ystem through new accessions to the Geneva Act will continue</w:t>
      </w:r>
      <w:r>
        <w:rPr>
          <w:rFonts w:ascii="Arial" w:hAnsi="Arial" w:cs="Arial"/>
          <w:sz w:val="20"/>
        </w:rPr>
        <w:t xml:space="preserve"> in cooperation with relevant Programs.  Priority will be given to countries </w:t>
      </w:r>
      <w:r w:rsidRPr="00660301">
        <w:rPr>
          <w:rFonts w:ascii="Arial" w:hAnsi="Arial" w:cs="Arial"/>
          <w:sz w:val="20"/>
        </w:rPr>
        <w:t xml:space="preserve">whose accession is likely to make the </w:t>
      </w:r>
      <w:r>
        <w:rPr>
          <w:rFonts w:ascii="Arial" w:hAnsi="Arial" w:cs="Arial"/>
          <w:sz w:val="20"/>
        </w:rPr>
        <w:t>S</w:t>
      </w:r>
      <w:r w:rsidRPr="00660301">
        <w:rPr>
          <w:rFonts w:ascii="Arial" w:hAnsi="Arial" w:cs="Arial"/>
          <w:sz w:val="20"/>
        </w:rPr>
        <w:t>ystem more attractive to users or to prompt further accessions</w:t>
      </w:r>
    </w:p>
    <w:p w14:paraId="70A0C1F2" w14:textId="77777777" w:rsidR="00C2428A" w:rsidRDefault="00C2428A" w:rsidP="00C2428A">
      <w:pPr>
        <w:tabs>
          <w:tab w:val="left" w:pos="540"/>
          <w:tab w:val="left" w:pos="1276"/>
        </w:tabs>
        <w:ind w:left="709"/>
        <w:jc w:val="both"/>
        <w:rPr>
          <w:rFonts w:ascii="Arial" w:hAnsi="Arial" w:cs="Arial"/>
          <w:sz w:val="20"/>
        </w:rPr>
      </w:pPr>
    </w:p>
    <w:p w14:paraId="623D5E1E" w14:textId="77777777" w:rsidR="00C2428A" w:rsidRDefault="00C2428A" w:rsidP="00C2428A">
      <w:pPr>
        <w:tabs>
          <w:tab w:val="left" w:pos="540"/>
          <w:tab w:val="left" w:pos="1276"/>
        </w:tabs>
        <w:ind w:left="709"/>
        <w:jc w:val="both"/>
        <w:rPr>
          <w:rFonts w:ascii="Arial" w:hAnsi="Arial" w:cs="Arial"/>
          <w:sz w:val="20"/>
        </w:rPr>
      </w:pPr>
      <w:r w:rsidRPr="0056733E">
        <w:rPr>
          <w:rFonts w:ascii="Arial" w:hAnsi="Arial" w:cs="Arial"/>
          <w:sz w:val="20"/>
        </w:rPr>
        <w:t>(</w:t>
      </w:r>
      <w:r>
        <w:rPr>
          <w:rFonts w:ascii="Arial" w:hAnsi="Arial" w:cs="Arial"/>
          <w:sz w:val="20"/>
        </w:rPr>
        <w:t>ii</w:t>
      </w:r>
      <w:r w:rsidRPr="0056733E">
        <w:rPr>
          <w:rFonts w:ascii="Arial" w:hAnsi="Arial" w:cs="Arial"/>
          <w:sz w:val="20"/>
        </w:rPr>
        <w:t>i)</w:t>
      </w:r>
      <w:r w:rsidRPr="0056733E">
        <w:rPr>
          <w:rFonts w:ascii="Arial" w:hAnsi="Arial" w:cs="Arial"/>
          <w:sz w:val="20"/>
        </w:rPr>
        <w:tab/>
      </w:r>
      <w:r w:rsidRPr="00660301">
        <w:rPr>
          <w:rFonts w:ascii="Arial" w:hAnsi="Arial" w:cs="Arial"/>
          <w:b/>
          <w:sz w:val="20"/>
        </w:rPr>
        <w:t>System development</w:t>
      </w:r>
      <w:r w:rsidRPr="00660301">
        <w:rPr>
          <w:rFonts w:ascii="Arial" w:hAnsi="Arial" w:cs="Arial"/>
          <w:sz w:val="20"/>
        </w:rPr>
        <w:t xml:space="preserve">:  as the </w:t>
      </w:r>
      <w:r>
        <w:rPr>
          <w:rFonts w:ascii="Arial" w:hAnsi="Arial" w:cs="Arial"/>
          <w:sz w:val="20"/>
        </w:rPr>
        <w:t>S</w:t>
      </w:r>
      <w:r w:rsidRPr="00660301">
        <w:rPr>
          <w:rFonts w:ascii="Arial" w:hAnsi="Arial" w:cs="Arial"/>
          <w:sz w:val="20"/>
        </w:rPr>
        <w:t xml:space="preserve">ystem </w:t>
      </w:r>
      <w:r>
        <w:rPr>
          <w:rFonts w:ascii="Arial" w:hAnsi="Arial" w:cs="Arial"/>
          <w:sz w:val="20"/>
        </w:rPr>
        <w:t>expand</w:t>
      </w:r>
      <w:r w:rsidRPr="00660301">
        <w:rPr>
          <w:rFonts w:ascii="Arial" w:hAnsi="Arial" w:cs="Arial"/>
          <w:sz w:val="20"/>
        </w:rPr>
        <w:t xml:space="preserve">s, the sophistication of the IT support services will need to increase in order to achieve </w:t>
      </w:r>
      <w:r>
        <w:rPr>
          <w:rFonts w:ascii="Arial" w:hAnsi="Arial" w:cs="Arial"/>
          <w:sz w:val="20"/>
        </w:rPr>
        <w:t>higher</w:t>
      </w:r>
      <w:r w:rsidRPr="00660301">
        <w:rPr>
          <w:rFonts w:ascii="Arial" w:hAnsi="Arial" w:cs="Arial"/>
          <w:sz w:val="20"/>
        </w:rPr>
        <w:t xml:space="preserve"> levels of productivity through efficiency gains</w:t>
      </w:r>
      <w:r>
        <w:rPr>
          <w:rFonts w:ascii="Arial" w:hAnsi="Arial" w:cs="Arial"/>
          <w:sz w:val="20"/>
        </w:rPr>
        <w:t xml:space="preserve"> and to </w:t>
      </w:r>
      <w:r w:rsidRPr="00D76745">
        <w:rPr>
          <w:rFonts w:ascii="Arial" w:hAnsi="Arial" w:cs="Arial"/>
          <w:sz w:val="20"/>
        </w:rPr>
        <w:t>accommodate the expectations of the var</w:t>
      </w:r>
      <w:r>
        <w:rPr>
          <w:rFonts w:ascii="Arial" w:hAnsi="Arial" w:cs="Arial"/>
          <w:sz w:val="20"/>
        </w:rPr>
        <w:t xml:space="preserve">ious Hague System stakeholders, in particular the possibility of safely interacting </w:t>
      </w:r>
      <w:r w:rsidRPr="00D76745">
        <w:rPr>
          <w:rFonts w:ascii="Arial" w:hAnsi="Arial" w:cs="Arial"/>
          <w:sz w:val="20"/>
        </w:rPr>
        <w:t>with the international register online and in a real-time, self-service mode. Great attention will be paid to delivering improved online services</w:t>
      </w:r>
      <w:r>
        <w:rPr>
          <w:rFonts w:ascii="Arial" w:hAnsi="Arial" w:cs="Arial"/>
          <w:sz w:val="20"/>
        </w:rPr>
        <w:t xml:space="preserve"> </w:t>
      </w:r>
      <w:r w:rsidRPr="00D76745">
        <w:rPr>
          <w:rFonts w:ascii="Arial" w:hAnsi="Arial" w:cs="Arial"/>
          <w:sz w:val="20"/>
        </w:rPr>
        <w:t>that offer identical service and performance to all stakeholders, irrespective of geographic location</w:t>
      </w:r>
      <w:r>
        <w:rPr>
          <w:rFonts w:ascii="Arial" w:hAnsi="Arial" w:cs="Arial"/>
          <w:sz w:val="20"/>
        </w:rPr>
        <w:t>.</w:t>
      </w:r>
      <w:r w:rsidRPr="00D76745">
        <w:rPr>
          <w:rFonts w:ascii="Arial" w:hAnsi="Arial" w:cs="Arial"/>
          <w:sz w:val="20"/>
        </w:rPr>
        <w:t xml:space="preserve"> </w:t>
      </w:r>
      <w:r>
        <w:rPr>
          <w:rFonts w:ascii="Arial" w:hAnsi="Arial" w:cs="Arial"/>
          <w:sz w:val="20"/>
        </w:rPr>
        <w:t xml:space="preserve"> </w:t>
      </w:r>
      <w:r w:rsidRPr="00660301">
        <w:rPr>
          <w:rFonts w:ascii="Arial" w:hAnsi="Arial" w:cs="Arial"/>
          <w:sz w:val="20"/>
        </w:rPr>
        <w:t>Also, further development of the legal framework will be required in order to ensure that it remains in step with new Contract</w:t>
      </w:r>
      <w:r>
        <w:rPr>
          <w:rFonts w:ascii="Arial" w:hAnsi="Arial" w:cs="Arial"/>
          <w:sz w:val="20"/>
        </w:rPr>
        <w:t xml:space="preserve">ing Parties’ legal systems and users’ needs.  </w:t>
      </w:r>
      <w:r w:rsidRPr="00660301">
        <w:rPr>
          <w:rFonts w:ascii="Arial" w:hAnsi="Arial" w:cs="Arial"/>
          <w:sz w:val="20"/>
        </w:rPr>
        <w:t xml:space="preserve">Finally, focusing the </w:t>
      </w:r>
      <w:r>
        <w:rPr>
          <w:rFonts w:ascii="Arial" w:hAnsi="Arial" w:cs="Arial"/>
          <w:sz w:val="20"/>
        </w:rPr>
        <w:t>S</w:t>
      </w:r>
      <w:r w:rsidRPr="00660301">
        <w:rPr>
          <w:rFonts w:ascii="Arial" w:hAnsi="Arial" w:cs="Arial"/>
          <w:sz w:val="20"/>
        </w:rPr>
        <w:t xml:space="preserve">ystem around the </w:t>
      </w:r>
      <w:r>
        <w:rPr>
          <w:rFonts w:ascii="Arial" w:hAnsi="Arial" w:cs="Arial"/>
          <w:sz w:val="20"/>
        </w:rPr>
        <w:t>1999</w:t>
      </w:r>
      <w:r w:rsidRPr="00660301">
        <w:rPr>
          <w:rFonts w:ascii="Arial" w:hAnsi="Arial" w:cs="Arial"/>
          <w:sz w:val="20"/>
        </w:rPr>
        <w:t xml:space="preserve"> Act appears essential in view of simplification, starting with continued efforts to terminate the antiquated London (1934) Act.</w:t>
      </w:r>
    </w:p>
    <w:p w14:paraId="2CC487A6" w14:textId="77777777" w:rsidR="007A5A68" w:rsidRDefault="007A5A68" w:rsidP="00C2428A">
      <w:pPr>
        <w:jc w:val="both"/>
        <w:rPr>
          <w:rFonts w:ascii="Arial" w:hAnsi="Arial" w:cs="Arial"/>
          <w:sz w:val="20"/>
        </w:rPr>
      </w:pPr>
    </w:p>
    <w:p w14:paraId="0A94B38A" w14:textId="38957131" w:rsidR="007A5A68" w:rsidRPr="00B70B7D" w:rsidRDefault="007A5A68" w:rsidP="00B66A4A">
      <w:pPr>
        <w:numPr>
          <w:ilvl w:val="0"/>
          <w:numId w:val="31"/>
        </w:numPr>
        <w:jc w:val="both"/>
        <w:rPr>
          <w:rFonts w:ascii="Arial" w:hAnsi="Arial" w:cs="Arial"/>
          <w:sz w:val="20"/>
        </w:rPr>
      </w:pPr>
      <w:r w:rsidRPr="00B70B7D">
        <w:rPr>
          <w:rFonts w:ascii="Arial" w:hAnsi="Arial" w:cs="Arial"/>
          <w:sz w:val="20"/>
        </w:rPr>
        <w:t xml:space="preserve">Program </w:t>
      </w:r>
      <w:r>
        <w:rPr>
          <w:rFonts w:ascii="Arial" w:hAnsi="Arial" w:cs="Arial"/>
          <w:sz w:val="20"/>
        </w:rPr>
        <w:t>31</w:t>
      </w:r>
      <w:r w:rsidRPr="00B70B7D">
        <w:rPr>
          <w:rFonts w:ascii="Arial" w:hAnsi="Arial" w:cs="Arial"/>
          <w:sz w:val="20"/>
        </w:rPr>
        <w:t xml:space="preserve"> collaborates primarily with other Programs as illustrated below: </w:t>
      </w:r>
    </w:p>
    <w:p w14:paraId="675092D1" w14:textId="77777777" w:rsidR="00C2428A" w:rsidRDefault="00C2428A" w:rsidP="00C2428A">
      <w:pPr>
        <w:jc w:val="both"/>
        <w:rPr>
          <w:rFonts w:ascii="Arial" w:hAnsi="Arial" w:cs="Arial"/>
          <w:sz w:val="20"/>
        </w:rPr>
      </w:pPr>
      <w:r>
        <w:rPr>
          <w:noProof/>
          <w:lang w:eastAsia="en-US"/>
        </w:rPr>
        <w:drawing>
          <wp:anchor distT="0" distB="0" distL="114300" distR="114300" simplePos="0" relativeHeight="251669504" behindDoc="0" locked="0" layoutInCell="1" allowOverlap="1" wp14:anchorId="410DFBCD" wp14:editId="5081CA4D">
            <wp:simplePos x="0" y="0"/>
            <wp:positionH relativeFrom="column">
              <wp:posOffset>-1905</wp:posOffset>
            </wp:positionH>
            <wp:positionV relativeFrom="paragraph">
              <wp:posOffset>292100</wp:posOffset>
            </wp:positionV>
            <wp:extent cx="5486400" cy="1657350"/>
            <wp:effectExtent l="0" t="19050" r="0" b="0"/>
            <wp:wrapTopAndBottom/>
            <wp:docPr id="78" name="Diagram 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14:sizeRelH relativeFrom="page">
              <wp14:pctWidth>0</wp14:pctWidth>
            </wp14:sizeRelH>
            <wp14:sizeRelV relativeFrom="page">
              <wp14:pctHeight>0</wp14:pctHeight>
            </wp14:sizeRelV>
          </wp:anchor>
        </w:drawing>
      </w:r>
    </w:p>
    <w:p w14:paraId="191D47AD" w14:textId="77777777" w:rsidR="00C2428A" w:rsidRPr="001D4076" w:rsidRDefault="00C2428A" w:rsidP="00C2428A">
      <w:pPr>
        <w:jc w:val="both"/>
        <w:rPr>
          <w:rFonts w:ascii="Arial" w:hAnsi="Arial" w:cs="Arial"/>
        </w:rPr>
      </w:pPr>
      <w:r w:rsidRPr="001D4076">
        <w:rPr>
          <w:rFonts w:ascii="Arial" w:hAnsi="Arial" w:cs="Arial"/>
        </w:rPr>
        <w:lastRenderedPageBreak/>
        <w:t>RISKS AND MITIGATION STRATEGIES</w:t>
      </w:r>
    </w:p>
    <w:p w14:paraId="135372F8" w14:textId="77777777" w:rsidR="00C2428A" w:rsidRDefault="00C2428A" w:rsidP="00C2428A">
      <w:pPr>
        <w:jc w:val="both"/>
        <w:rPr>
          <w:rFonts w:ascii="Arial" w:hAnsi="Arial" w:cs="Arial"/>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C2428A" w:rsidRPr="00FA77A3" w14:paraId="0C7820E8" w14:textId="77777777" w:rsidTr="00F02301">
        <w:trPr>
          <w:trHeight w:val="503"/>
        </w:trPr>
        <w:tc>
          <w:tcPr>
            <w:tcW w:w="4253" w:type="dxa"/>
            <w:tcBorders>
              <w:top w:val="single" w:sz="4" w:space="0" w:color="auto"/>
              <w:bottom w:val="single" w:sz="4" w:space="0" w:color="auto"/>
            </w:tcBorders>
            <w:shd w:val="clear" w:color="auto" w:fill="C6D9F1" w:themeFill="text2" w:themeFillTint="33"/>
            <w:vAlign w:val="center"/>
          </w:tcPr>
          <w:p w14:paraId="036E53A3" w14:textId="77777777" w:rsidR="00C2428A" w:rsidRPr="00FA77A3" w:rsidRDefault="00C2428A" w:rsidP="00F02301">
            <w:pPr>
              <w:jc w:val="center"/>
              <w:rPr>
                <w:rFonts w:ascii="Arial" w:hAnsi="Arial" w:cs="Arial"/>
                <w:b/>
                <w:bCs/>
                <w:sz w:val="18"/>
                <w:szCs w:val="18"/>
              </w:rPr>
            </w:pPr>
            <w:r w:rsidRPr="00FA77A3">
              <w:rPr>
                <w:rFonts w:ascii="Arial" w:hAnsi="Arial" w:cs="Arial"/>
                <w:b/>
                <w:bCs/>
                <w:sz w:val="18"/>
                <w:szCs w:val="18"/>
              </w:rPr>
              <w:t>Risk</w:t>
            </w:r>
          </w:p>
        </w:tc>
        <w:tc>
          <w:tcPr>
            <w:tcW w:w="4961" w:type="dxa"/>
            <w:tcBorders>
              <w:top w:val="single" w:sz="4" w:space="0" w:color="auto"/>
              <w:bottom w:val="single" w:sz="4" w:space="0" w:color="auto"/>
            </w:tcBorders>
            <w:shd w:val="clear" w:color="auto" w:fill="C6D9F1" w:themeFill="text2" w:themeFillTint="33"/>
            <w:vAlign w:val="center"/>
          </w:tcPr>
          <w:p w14:paraId="3A8B48E4" w14:textId="77777777" w:rsidR="00C2428A" w:rsidRPr="00FA77A3" w:rsidRDefault="00C2428A" w:rsidP="00F02301">
            <w:pPr>
              <w:jc w:val="center"/>
              <w:rPr>
                <w:rFonts w:ascii="Arial" w:hAnsi="Arial" w:cs="Arial"/>
                <w:b/>
                <w:bCs/>
                <w:sz w:val="18"/>
                <w:szCs w:val="18"/>
              </w:rPr>
            </w:pPr>
            <w:r w:rsidRPr="00FA77A3">
              <w:rPr>
                <w:rFonts w:ascii="Arial" w:hAnsi="Arial" w:cs="Arial"/>
                <w:b/>
                <w:bCs/>
                <w:sz w:val="18"/>
                <w:szCs w:val="18"/>
              </w:rPr>
              <w:t>Mitigation</w:t>
            </w:r>
          </w:p>
        </w:tc>
      </w:tr>
      <w:tr w:rsidR="00C2428A" w:rsidRPr="00FA77A3" w14:paraId="468F831B" w14:textId="77777777" w:rsidTr="00F02301">
        <w:trPr>
          <w:trHeight w:val="71"/>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77932218" w14:textId="77777777" w:rsidR="00C2428A" w:rsidRPr="00FA77A3" w:rsidRDefault="00C2428A" w:rsidP="00F02301">
            <w:pPr>
              <w:rPr>
                <w:rFonts w:ascii="Arial" w:hAnsi="Arial" w:cs="Arial"/>
                <w:sz w:val="16"/>
                <w:szCs w:val="16"/>
              </w:rPr>
            </w:pPr>
            <w:r w:rsidRPr="00FA77A3">
              <w:rPr>
                <w:rFonts w:ascii="Arial" w:hAnsi="Arial" w:cs="Arial"/>
                <w:color w:val="000000"/>
                <w:sz w:val="16"/>
              </w:rPr>
              <w:t>Decline in the level of customer satisfaction due to difficulties in coping with growth in filings and information requests and to the growing complexity of the system as a result of the implementation of features supporting novelty examination in certain designated Offices.</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628FED4D" w14:textId="77777777" w:rsidR="00C2428A" w:rsidRPr="00FA77A3" w:rsidRDefault="00C2428A" w:rsidP="00F02301">
            <w:pPr>
              <w:rPr>
                <w:rFonts w:ascii="Arial" w:hAnsi="Arial" w:cs="Arial"/>
                <w:sz w:val="16"/>
                <w:szCs w:val="16"/>
              </w:rPr>
            </w:pPr>
            <w:r w:rsidRPr="00FA77A3">
              <w:rPr>
                <w:rFonts w:ascii="Arial" w:hAnsi="Arial" w:cs="Arial"/>
                <w:color w:val="000000"/>
                <w:sz w:val="16"/>
              </w:rPr>
              <w:t>Enhancing efficiency and effectiveness in all aspects of system administration, promotion of best practices and convergence amongst the Offices concerned; development of IT solutions to assist users and examiners of Offices and the International Bureau.</w:t>
            </w:r>
          </w:p>
        </w:tc>
      </w:tr>
    </w:tbl>
    <w:p w14:paraId="0AA57E60" w14:textId="77777777" w:rsidR="00C2428A" w:rsidRPr="00DB4F15" w:rsidRDefault="00C2428A" w:rsidP="00C2428A">
      <w:pPr>
        <w:rPr>
          <w:rFonts w:ascii="Arial" w:hAnsi="Arial" w:cs="Arial"/>
          <w:sz w:val="20"/>
        </w:rPr>
      </w:pPr>
    </w:p>
    <w:p w14:paraId="09EDDB01" w14:textId="77777777" w:rsidR="00C2428A" w:rsidRPr="00DB4F15" w:rsidRDefault="00C2428A" w:rsidP="00C2428A">
      <w:pPr>
        <w:rPr>
          <w:rFonts w:ascii="Arial" w:hAnsi="Arial" w:cs="Arial"/>
          <w:sz w:val="20"/>
        </w:rPr>
      </w:pPr>
    </w:p>
    <w:p w14:paraId="04F77CB3" w14:textId="77777777" w:rsidR="00C2428A" w:rsidRPr="001D4076" w:rsidRDefault="00C2428A" w:rsidP="00C2428A">
      <w:pPr>
        <w:jc w:val="both"/>
        <w:rPr>
          <w:rFonts w:ascii="Arial" w:hAnsi="Arial" w:cs="Arial"/>
        </w:rPr>
      </w:pPr>
      <w:r w:rsidRPr="001D4076">
        <w:rPr>
          <w:rFonts w:ascii="Arial" w:hAnsi="Arial" w:cs="Arial"/>
        </w:rPr>
        <w:t>RESULTS FRAMEWORK</w:t>
      </w:r>
    </w:p>
    <w:p w14:paraId="25778F82" w14:textId="77777777" w:rsidR="00C2428A" w:rsidRDefault="00C2428A" w:rsidP="00C2428A">
      <w:pPr>
        <w:jc w:val="both"/>
        <w:rPr>
          <w:rFonts w:ascii="Arial" w:hAnsi="Arial" w:cs="Arial"/>
          <w:sz w:val="20"/>
        </w:rPr>
      </w:pPr>
    </w:p>
    <w:tbl>
      <w:tblPr>
        <w:tblW w:w="9195" w:type="dxa"/>
        <w:tblInd w:w="93" w:type="dxa"/>
        <w:tblLook w:val="04A0" w:firstRow="1" w:lastRow="0" w:firstColumn="1" w:lastColumn="0" w:noHBand="0" w:noVBand="1"/>
      </w:tblPr>
      <w:tblGrid>
        <w:gridCol w:w="2340"/>
        <w:gridCol w:w="2340"/>
        <w:gridCol w:w="2340"/>
        <w:gridCol w:w="2175"/>
      </w:tblGrid>
      <w:tr w:rsidR="00C2428A" w:rsidRPr="009E67A2" w14:paraId="4F9F4810" w14:textId="77777777" w:rsidTr="00F02301">
        <w:trPr>
          <w:trHeight w:val="554"/>
          <w:tblHeader/>
        </w:trPr>
        <w:tc>
          <w:tcPr>
            <w:tcW w:w="234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76C935B5" w14:textId="77777777" w:rsidR="00C2428A" w:rsidRPr="009E67A2" w:rsidRDefault="00C2428A" w:rsidP="00F02301">
            <w:pPr>
              <w:jc w:val="center"/>
              <w:rPr>
                <w:rFonts w:ascii="Arial" w:hAnsi="Arial" w:cs="Arial"/>
                <w:b/>
                <w:bCs/>
                <w:color w:val="000000"/>
                <w:sz w:val="18"/>
                <w:szCs w:val="18"/>
              </w:rPr>
            </w:pPr>
            <w:r w:rsidRPr="009E67A2">
              <w:rPr>
                <w:rFonts w:ascii="Arial" w:hAnsi="Arial" w:cs="Arial"/>
                <w:b/>
                <w:bCs/>
                <w:color w:val="000000"/>
                <w:sz w:val="18"/>
                <w:szCs w:val="18"/>
              </w:rPr>
              <w:t xml:space="preserve">Expected Results </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201E4589" w14:textId="77777777" w:rsidR="00C2428A" w:rsidRPr="009E67A2" w:rsidRDefault="00C2428A" w:rsidP="00F02301">
            <w:pPr>
              <w:jc w:val="center"/>
              <w:rPr>
                <w:rFonts w:ascii="Arial" w:hAnsi="Arial" w:cs="Arial"/>
                <w:b/>
                <w:bCs/>
                <w:color w:val="000000"/>
                <w:sz w:val="18"/>
                <w:szCs w:val="18"/>
              </w:rPr>
            </w:pPr>
            <w:r w:rsidRPr="009E67A2">
              <w:rPr>
                <w:rFonts w:ascii="Arial" w:hAnsi="Arial" w:cs="Arial"/>
                <w:b/>
                <w:bCs/>
                <w:color w:val="000000"/>
                <w:sz w:val="18"/>
                <w:szCs w:val="18"/>
              </w:rPr>
              <w:t>Performance Indicators</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45E5816" w14:textId="77777777" w:rsidR="00C2428A" w:rsidRPr="009E67A2" w:rsidRDefault="00C2428A" w:rsidP="00F02301">
            <w:pPr>
              <w:jc w:val="center"/>
              <w:rPr>
                <w:rFonts w:ascii="Arial" w:hAnsi="Arial" w:cs="Arial"/>
                <w:b/>
                <w:bCs/>
                <w:color w:val="000000"/>
                <w:sz w:val="18"/>
                <w:szCs w:val="18"/>
              </w:rPr>
            </w:pPr>
            <w:r w:rsidRPr="009E67A2">
              <w:rPr>
                <w:rFonts w:ascii="Arial" w:hAnsi="Arial" w:cs="Arial"/>
                <w:b/>
                <w:bCs/>
                <w:color w:val="000000"/>
                <w:sz w:val="18"/>
                <w:szCs w:val="18"/>
              </w:rPr>
              <w:t>Baselines</w:t>
            </w:r>
          </w:p>
        </w:tc>
        <w:tc>
          <w:tcPr>
            <w:tcW w:w="217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72660A1F" w14:textId="77777777" w:rsidR="00C2428A" w:rsidRPr="009E67A2" w:rsidRDefault="00C2428A" w:rsidP="00F02301">
            <w:pPr>
              <w:jc w:val="center"/>
              <w:rPr>
                <w:rFonts w:ascii="Arial" w:hAnsi="Arial" w:cs="Arial"/>
                <w:b/>
                <w:bCs/>
                <w:color w:val="000000"/>
                <w:sz w:val="18"/>
                <w:szCs w:val="18"/>
              </w:rPr>
            </w:pPr>
            <w:r w:rsidRPr="009E67A2">
              <w:rPr>
                <w:rFonts w:ascii="Arial" w:hAnsi="Arial" w:cs="Arial"/>
                <w:b/>
                <w:bCs/>
                <w:color w:val="000000"/>
                <w:sz w:val="18"/>
                <w:szCs w:val="18"/>
              </w:rPr>
              <w:t>Targets</w:t>
            </w:r>
          </w:p>
        </w:tc>
      </w:tr>
      <w:tr w:rsidR="00C2428A" w:rsidRPr="009E67A2" w14:paraId="200170CC" w14:textId="77777777" w:rsidTr="00F02301">
        <w:trPr>
          <w:trHeight w:val="644"/>
        </w:trPr>
        <w:tc>
          <w:tcPr>
            <w:tcW w:w="2340" w:type="dxa"/>
            <w:tcBorders>
              <w:top w:val="nil"/>
              <w:left w:val="single" w:sz="4" w:space="0" w:color="auto"/>
              <w:bottom w:val="nil"/>
              <w:right w:val="nil"/>
            </w:tcBorders>
            <w:shd w:val="clear" w:color="000000" w:fill="FFFFFF"/>
            <w:tcMar>
              <w:top w:w="85" w:type="dxa"/>
            </w:tcMar>
            <w:hideMark/>
          </w:tcPr>
          <w:p w14:paraId="2C9C70F2" w14:textId="30F6FD7A" w:rsidR="00C2428A" w:rsidRPr="009E67A2" w:rsidRDefault="00C2428A">
            <w:pPr>
              <w:rPr>
                <w:rFonts w:ascii="Arial" w:hAnsi="Arial" w:cs="Arial"/>
                <w:color w:val="000000"/>
                <w:sz w:val="16"/>
                <w:szCs w:val="16"/>
              </w:rPr>
            </w:pPr>
            <w:r w:rsidRPr="009E67A2">
              <w:rPr>
                <w:rFonts w:ascii="Arial" w:hAnsi="Arial" w:cs="Arial"/>
                <w:color w:val="000000"/>
                <w:sz w:val="16"/>
                <w:szCs w:val="16"/>
              </w:rPr>
              <w:t xml:space="preserve">II.4 Wider and </w:t>
            </w:r>
            <w:r w:rsidR="004C341C">
              <w:rPr>
                <w:rFonts w:ascii="Arial" w:hAnsi="Arial" w:cs="Arial"/>
                <w:color w:val="000000"/>
                <w:sz w:val="16"/>
                <w:szCs w:val="16"/>
              </w:rPr>
              <w:t>more effective</w:t>
            </w:r>
            <w:r w:rsidRPr="009E67A2">
              <w:rPr>
                <w:rFonts w:ascii="Arial" w:hAnsi="Arial" w:cs="Arial"/>
                <w:color w:val="000000"/>
                <w:sz w:val="16"/>
                <w:szCs w:val="16"/>
              </w:rPr>
              <w:t xml:space="preserve"> use of the Hague system, including by developing countries and LDCs</w:t>
            </w:r>
          </w:p>
        </w:tc>
        <w:tc>
          <w:tcPr>
            <w:tcW w:w="2340" w:type="dxa"/>
            <w:tcBorders>
              <w:top w:val="nil"/>
              <w:left w:val="nil"/>
              <w:bottom w:val="nil"/>
              <w:right w:val="nil"/>
            </w:tcBorders>
            <w:shd w:val="clear" w:color="000000" w:fill="FFFFFF"/>
            <w:tcMar>
              <w:top w:w="85" w:type="dxa"/>
            </w:tcMar>
            <w:hideMark/>
          </w:tcPr>
          <w:p w14:paraId="08A5B34F"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Membership of the Geneva (1999) Act</w:t>
            </w:r>
          </w:p>
        </w:tc>
        <w:tc>
          <w:tcPr>
            <w:tcW w:w="2340" w:type="dxa"/>
            <w:tcBorders>
              <w:top w:val="nil"/>
              <w:left w:val="nil"/>
              <w:bottom w:val="nil"/>
              <w:right w:val="nil"/>
            </w:tcBorders>
            <w:shd w:val="clear" w:color="000000" w:fill="FFFFFF"/>
            <w:tcMar>
              <w:top w:w="85" w:type="dxa"/>
            </w:tcMar>
            <w:hideMark/>
          </w:tcPr>
          <w:p w14:paraId="57DC8470"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49 Contracting Parties as of February 13, 2015.</w:t>
            </w:r>
          </w:p>
        </w:tc>
        <w:tc>
          <w:tcPr>
            <w:tcW w:w="2175" w:type="dxa"/>
            <w:tcBorders>
              <w:top w:val="nil"/>
              <w:left w:val="nil"/>
              <w:bottom w:val="nil"/>
              <w:right w:val="single" w:sz="4" w:space="0" w:color="auto"/>
            </w:tcBorders>
            <w:shd w:val="clear" w:color="000000" w:fill="FFFFFF"/>
            <w:tcMar>
              <w:top w:w="85" w:type="dxa"/>
            </w:tcMar>
            <w:hideMark/>
          </w:tcPr>
          <w:p w14:paraId="41D19301"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60 Contracting Parties</w:t>
            </w:r>
          </w:p>
        </w:tc>
      </w:tr>
      <w:tr w:rsidR="00C2428A" w:rsidRPr="006F7229" w14:paraId="01328E11" w14:textId="77777777" w:rsidTr="00F02301">
        <w:trPr>
          <w:trHeight w:val="1076"/>
        </w:trPr>
        <w:tc>
          <w:tcPr>
            <w:tcW w:w="2340" w:type="dxa"/>
            <w:tcBorders>
              <w:top w:val="nil"/>
              <w:left w:val="single" w:sz="4" w:space="0" w:color="auto"/>
              <w:bottom w:val="nil"/>
              <w:right w:val="nil"/>
            </w:tcBorders>
            <w:shd w:val="clear" w:color="000000" w:fill="FFFFFF"/>
            <w:tcMar>
              <w:top w:w="85" w:type="dxa"/>
            </w:tcMar>
            <w:hideMark/>
          </w:tcPr>
          <w:p w14:paraId="7250F702"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w:t>
            </w:r>
          </w:p>
        </w:tc>
        <w:tc>
          <w:tcPr>
            <w:tcW w:w="2340" w:type="dxa"/>
            <w:tcBorders>
              <w:top w:val="nil"/>
              <w:left w:val="nil"/>
              <w:bottom w:val="nil"/>
              <w:right w:val="nil"/>
            </w:tcBorders>
            <w:shd w:val="clear" w:color="000000" w:fill="FFFFFF"/>
            <w:tcMar>
              <w:top w:w="85" w:type="dxa"/>
            </w:tcMar>
            <w:hideMark/>
          </w:tcPr>
          <w:p w14:paraId="2720EAB5"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rPr>
              <w:t>Share of Offices concerned providing information on the Hague System to their users.</w:t>
            </w:r>
          </w:p>
        </w:tc>
        <w:tc>
          <w:tcPr>
            <w:tcW w:w="2340" w:type="dxa"/>
            <w:tcBorders>
              <w:top w:val="nil"/>
              <w:left w:val="nil"/>
              <w:bottom w:val="nil"/>
              <w:right w:val="nil"/>
            </w:tcBorders>
            <w:shd w:val="clear" w:color="auto" w:fill="auto"/>
            <w:tcMar>
              <w:top w:w="85" w:type="dxa"/>
            </w:tcMar>
            <w:hideMark/>
          </w:tcPr>
          <w:p w14:paraId="34D8F9A5"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rPr>
              <w:t>38 national or regional Offices were providing information on the Hague System.  Ten Offices have no web site (end 2014)</w:t>
            </w:r>
          </w:p>
        </w:tc>
        <w:tc>
          <w:tcPr>
            <w:tcW w:w="2175" w:type="dxa"/>
            <w:tcBorders>
              <w:top w:val="nil"/>
              <w:left w:val="nil"/>
              <w:bottom w:val="nil"/>
              <w:right w:val="single" w:sz="4" w:space="0" w:color="auto"/>
            </w:tcBorders>
            <w:shd w:val="clear" w:color="000000" w:fill="FFFFFF"/>
            <w:tcMar>
              <w:top w:w="85" w:type="dxa"/>
            </w:tcMar>
            <w:hideMark/>
          </w:tcPr>
          <w:p w14:paraId="02EE0B42"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rPr>
              <w:t>Increased share of Offices providing information on the Hague System.</w:t>
            </w:r>
          </w:p>
        </w:tc>
      </w:tr>
      <w:tr w:rsidR="00C2428A" w:rsidRPr="006F7229" w14:paraId="1DC5327B" w14:textId="77777777" w:rsidTr="00F02301">
        <w:trPr>
          <w:trHeight w:val="1913"/>
        </w:trPr>
        <w:tc>
          <w:tcPr>
            <w:tcW w:w="2340" w:type="dxa"/>
            <w:tcBorders>
              <w:top w:val="nil"/>
              <w:left w:val="single" w:sz="4" w:space="0" w:color="auto"/>
              <w:bottom w:val="nil"/>
              <w:right w:val="nil"/>
            </w:tcBorders>
            <w:shd w:val="clear" w:color="000000" w:fill="FFFFFF"/>
            <w:tcMar>
              <w:top w:w="85" w:type="dxa"/>
            </w:tcMar>
            <w:hideMark/>
          </w:tcPr>
          <w:p w14:paraId="0B80C04E"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w:t>
            </w:r>
          </w:p>
        </w:tc>
        <w:tc>
          <w:tcPr>
            <w:tcW w:w="2340" w:type="dxa"/>
            <w:tcBorders>
              <w:top w:val="nil"/>
              <w:left w:val="nil"/>
              <w:bottom w:val="nil"/>
              <w:right w:val="nil"/>
            </w:tcBorders>
            <w:shd w:val="clear" w:color="000000" w:fill="FFFFFF"/>
            <w:tcMar>
              <w:top w:w="85" w:type="dxa"/>
            </w:tcMar>
            <w:hideMark/>
          </w:tcPr>
          <w:p w14:paraId="655E1531"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rPr>
              <w:t>Hague filings and renewals</w:t>
            </w:r>
          </w:p>
        </w:tc>
        <w:tc>
          <w:tcPr>
            <w:tcW w:w="2340" w:type="dxa"/>
            <w:tcBorders>
              <w:top w:val="nil"/>
              <w:left w:val="nil"/>
              <w:bottom w:val="nil"/>
              <w:right w:val="nil"/>
            </w:tcBorders>
            <w:shd w:val="clear" w:color="000000" w:fill="FFFFFF"/>
            <w:tcMar>
              <w:top w:w="85" w:type="dxa"/>
            </w:tcMar>
            <w:hideMark/>
          </w:tcPr>
          <w:p w14:paraId="655FF3F6"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rPr>
              <w:t>Applications 2,924</w:t>
            </w:r>
            <w:r w:rsidRPr="006F7229">
              <w:rPr>
                <w:rFonts w:ascii="Arial" w:hAnsi="Arial" w:cs="Arial"/>
                <w:color w:val="000000"/>
                <w:sz w:val="16"/>
                <w:szCs w:val="16"/>
              </w:rPr>
              <w:br/>
              <w:t>Designs contained: 14,441</w:t>
            </w:r>
            <w:r w:rsidRPr="006F7229">
              <w:rPr>
                <w:rFonts w:ascii="Arial" w:hAnsi="Arial" w:cs="Arial"/>
                <w:color w:val="000000"/>
                <w:sz w:val="16"/>
                <w:szCs w:val="16"/>
              </w:rPr>
              <w:br/>
              <w:t>Renewals: 2,703 (2014)</w:t>
            </w:r>
          </w:p>
        </w:tc>
        <w:tc>
          <w:tcPr>
            <w:tcW w:w="2175" w:type="dxa"/>
            <w:tcBorders>
              <w:top w:val="nil"/>
              <w:left w:val="nil"/>
              <w:bottom w:val="nil"/>
              <w:right w:val="single" w:sz="4" w:space="0" w:color="auto"/>
            </w:tcBorders>
            <w:shd w:val="clear" w:color="000000" w:fill="FFFFFF"/>
            <w:tcMar>
              <w:top w:w="85" w:type="dxa"/>
            </w:tcMar>
            <w:hideMark/>
          </w:tcPr>
          <w:p w14:paraId="2D1F1DC1" w14:textId="77777777" w:rsidR="00C2428A" w:rsidRPr="006F7229" w:rsidRDefault="00C2428A" w:rsidP="00F02301">
            <w:pPr>
              <w:rPr>
                <w:rFonts w:ascii="Arial" w:hAnsi="Arial" w:cs="Arial"/>
                <w:color w:val="000000"/>
                <w:sz w:val="16"/>
                <w:szCs w:val="16"/>
              </w:rPr>
            </w:pPr>
            <w:r w:rsidRPr="006F7229">
              <w:rPr>
                <w:rFonts w:ascii="Arial" w:hAnsi="Arial" w:cs="Arial"/>
                <w:color w:val="000000"/>
                <w:sz w:val="16"/>
                <w:szCs w:val="16"/>
                <w:u w:val="single"/>
              </w:rPr>
              <w:t>2016</w:t>
            </w:r>
            <w:r w:rsidRPr="006F7229">
              <w:rPr>
                <w:rFonts w:ascii="Arial" w:hAnsi="Arial" w:cs="Arial"/>
                <w:color w:val="000000"/>
                <w:sz w:val="16"/>
                <w:szCs w:val="16"/>
              </w:rPr>
              <w:br/>
              <w:t>Applications 4,940</w:t>
            </w:r>
            <w:r w:rsidRPr="006F7229">
              <w:rPr>
                <w:rFonts w:ascii="Arial" w:hAnsi="Arial" w:cs="Arial"/>
                <w:color w:val="000000"/>
                <w:sz w:val="16"/>
                <w:szCs w:val="16"/>
              </w:rPr>
              <w:br/>
              <w:t>Designs contained 22,730</w:t>
            </w:r>
            <w:r w:rsidRPr="006F7229">
              <w:rPr>
                <w:rFonts w:ascii="Arial" w:hAnsi="Arial" w:cs="Arial"/>
                <w:color w:val="000000"/>
                <w:sz w:val="16"/>
                <w:szCs w:val="16"/>
              </w:rPr>
              <w:br/>
              <w:t>Renewals 2,830 (-1.0%)</w:t>
            </w:r>
            <w:r w:rsidRPr="006F7229">
              <w:rPr>
                <w:rFonts w:ascii="Arial" w:hAnsi="Arial" w:cs="Arial"/>
                <w:color w:val="000000"/>
                <w:sz w:val="16"/>
                <w:szCs w:val="16"/>
              </w:rPr>
              <w:br/>
            </w:r>
            <w:r w:rsidRPr="006F7229">
              <w:rPr>
                <w:rFonts w:ascii="Arial" w:hAnsi="Arial" w:cs="Arial"/>
                <w:color w:val="000000"/>
                <w:sz w:val="16"/>
                <w:szCs w:val="16"/>
              </w:rPr>
              <w:br/>
            </w:r>
            <w:r w:rsidRPr="006F7229">
              <w:rPr>
                <w:rFonts w:ascii="Arial" w:hAnsi="Arial" w:cs="Arial"/>
                <w:color w:val="000000"/>
                <w:sz w:val="16"/>
                <w:szCs w:val="16"/>
                <w:u w:val="single"/>
              </w:rPr>
              <w:t>2017</w:t>
            </w:r>
            <w:r w:rsidRPr="006F7229">
              <w:rPr>
                <w:rFonts w:ascii="Arial" w:hAnsi="Arial" w:cs="Arial"/>
                <w:color w:val="000000"/>
                <w:sz w:val="16"/>
                <w:szCs w:val="16"/>
              </w:rPr>
              <w:br/>
              <w:t>Applications 5,710</w:t>
            </w:r>
            <w:r w:rsidRPr="006F7229">
              <w:rPr>
                <w:rFonts w:ascii="Arial" w:hAnsi="Arial" w:cs="Arial"/>
                <w:color w:val="000000"/>
                <w:sz w:val="16"/>
                <w:szCs w:val="16"/>
              </w:rPr>
              <w:br/>
              <w:t>Designs contained 26,140</w:t>
            </w:r>
            <w:r w:rsidRPr="006F7229">
              <w:rPr>
                <w:rFonts w:ascii="Arial" w:hAnsi="Arial" w:cs="Arial"/>
                <w:color w:val="000000"/>
                <w:sz w:val="16"/>
                <w:szCs w:val="16"/>
              </w:rPr>
              <w:br/>
              <w:t>Renewals 2,940 (+ 3.9%)</w:t>
            </w:r>
          </w:p>
        </w:tc>
      </w:tr>
      <w:tr w:rsidR="00C2428A" w:rsidRPr="00E02F12" w14:paraId="790DEC72" w14:textId="77777777" w:rsidTr="00F02301">
        <w:trPr>
          <w:trHeight w:val="1815"/>
        </w:trPr>
        <w:tc>
          <w:tcPr>
            <w:tcW w:w="2340" w:type="dxa"/>
            <w:tcBorders>
              <w:top w:val="nil"/>
              <w:left w:val="single" w:sz="4" w:space="0" w:color="auto"/>
              <w:bottom w:val="nil"/>
              <w:right w:val="nil"/>
            </w:tcBorders>
            <w:shd w:val="clear" w:color="000000" w:fill="FFFFFF"/>
            <w:tcMar>
              <w:top w:w="85" w:type="dxa"/>
            </w:tcMar>
            <w:hideMark/>
          </w:tcPr>
          <w:p w14:paraId="312E6975"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II.5 Improved productivity and service quality of Hague operations</w:t>
            </w:r>
          </w:p>
        </w:tc>
        <w:tc>
          <w:tcPr>
            <w:tcW w:w="2340" w:type="dxa"/>
            <w:tcBorders>
              <w:top w:val="nil"/>
              <w:left w:val="nil"/>
              <w:bottom w:val="nil"/>
              <w:right w:val="nil"/>
            </w:tcBorders>
            <w:shd w:val="clear" w:color="000000" w:fill="FFFFFF"/>
            <w:tcMar>
              <w:top w:w="85" w:type="dxa"/>
            </w:tcMar>
            <w:hideMark/>
          </w:tcPr>
          <w:p w14:paraId="5C908000"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Predominance of the Geneva (1999) Act in the Hague System</w:t>
            </w:r>
          </w:p>
        </w:tc>
        <w:tc>
          <w:tcPr>
            <w:tcW w:w="2340" w:type="dxa"/>
            <w:tcBorders>
              <w:top w:val="nil"/>
              <w:left w:val="nil"/>
              <w:bottom w:val="nil"/>
              <w:right w:val="nil"/>
            </w:tcBorders>
            <w:shd w:val="clear" w:color="000000" w:fill="FFFFFF"/>
            <w:tcMar>
              <w:top w:w="85" w:type="dxa"/>
            </w:tcMar>
            <w:hideMark/>
          </w:tcPr>
          <w:p w14:paraId="2E8B5951" w14:textId="229F9002" w:rsidR="00C2428A" w:rsidRPr="00E02F12" w:rsidRDefault="00C2428A">
            <w:pPr>
              <w:rPr>
                <w:rFonts w:ascii="Arial" w:hAnsi="Arial" w:cs="Arial"/>
                <w:color w:val="000000"/>
                <w:sz w:val="16"/>
                <w:szCs w:val="16"/>
              </w:rPr>
            </w:pPr>
            <w:r w:rsidRPr="00E02F12">
              <w:rPr>
                <w:rFonts w:ascii="Arial" w:hAnsi="Arial" w:cs="Arial"/>
                <w:color w:val="000000"/>
                <w:sz w:val="16"/>
                <w:szCs w:val="16"/>
              </w:rPr>
              <w:t>10 consents to termination of the 1934 Act received (3 still missing). 4 Contracting Parties bound only by the 1960 Act (which are not members of an intergovernmental organization party to the 1999</w:t>
            </w:r>
            <w:r w:rsidR="004C341C">
              <w:rPr>
                <w:rFonts w:ascii="Arial" w:hAnsi="Arial" w:cs="Arial"/>
                <w:color w:val="000000"/>
                <w:sz w:val="16"/>
                <w:szCs w:val="16"/>
              </w:rPr>
              <w:t> </w:t>
            </w:r>
            <w:r w:rsidRPr="00E02F12">
              <w:rPr>
                <w:rFonts w:ascii="Arial" w:hAnsi="Arial" w:cs="Arial"/>
                <w:color w:val="000000"/>
                <w:sz w:val="16"/>
                <w:szCs w:val="16"/>
              </w:rPr>
              <w:t>Act).</w:t>
            </w:r>
          </w:p>
        </w:tc>
        <w:tc>
          <w:tcPr>
            <w:tcW w:w="2175" w:type="dxa"/>
            <w:tcBorders>
              <w:top w:val="nil"/>
              <w:left w:val="nil"/>
              <w:bottom w:val="nil"/>
              <w:right w:val="single" w:sz="4" w:space="0" w:color="auto"/>
            </w:tcBorders>
            <w:shd w:val="clear" w:color="000000" w:fill="FFFFFF"/>
            <w:tcMar>
              <w:top w:w="85" w:type="dxa"/>
            </w:tcMar>
            <w:hideMark/>
          </w:tcPr>
          <w:p w14:paraId="32EE3FAF" w14:textId="5E645E5D"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 xml:space="preserve">All (13) consents to termination received.  All CPs to be bound by the 1999 Act (or members of an intergovernmental organization party to the 1999 Act).  </w:t>
            </w:r>
          </w:p>
        </w:tc>
      </w:tr>
      <w:tr w:rsidR="00C2428A" w:rsidRPr="009E67A2" w14:paraId="7C767ADB" w14:textId="77777777" w:rsidTr="004F798C">
        <w:trPr>
          <w:trHeight w:val="761"/>
        </w:trPr>
        <w:tc>
          <w:tcPr>
            <w:tcW w:w="2340" w:type="dxa"/>
            <w:tcBorders>
              <w:top w:val="nil"/>
              <w:left w:val="single" w:sz="4" w:space="0" w:color="auto"/>
              <w:right w:val="nil"/>
            </w:tcBorders>
            <w:shd w:val="clear" w:color="000000" w:fill="FFFFFF"/>
            <w:tcMar>
              <w:top w:w="85" w:type="dxa"/>
            </w:tcMar>
            <w:hideMark/>
          </w:tcPr>
          <w:p w14:paraId="2634C362"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 </w:t>
            </w:r>
          </w:p>
        </w:tc>
        <w:tc>
          <w:tcPr>
            <w:tcW w:w="2340" w:type="dxa"/>
            <w:tcBorders>
              <w:top w:val="nil"/>
              <w:left w:val="nil"/>
              <w:right w:val="nil"/>
            </w:tcBorders>
            <w:shd w:val="clear" w:color="auto" w:fill="auto"/>
            <w:tcMar>
              <w:top w:w="85" w:type="dxa"/>
            </w:tcMar>
            <w:hideMark/>
          </w:tcPr>
          <w:p w14:paraId="513844B7"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Processes and procedures adapted to geographical and legal evolution of the system</w:t>
            </w:r>
          </w:p>
        </w:tc>
        <w:tc>
          <w:tcPr>
            <w:tcW w:w="2340" w:type="dxa"/>
            <w:tcBorders>
              <w:top w:val="nil"/>
              <w:left w:val="nil"/>
              <w:right w:val="nil"/>
            </w:tcBorders>
            <w:shd w:val="clear" w:color="auto" w:fill="auto"/>
            <w:tcMar>
              <w:top w:w="85" w:type="dxa"/>
            </w:tcMar>
            <w:hideMark/>
          </w:tcPr>
          <w:p w14:paraId="76B11092"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Proce</w:t>
            </w:r>
            <w:r w:rsidRPr="0013619D">
              <w:rPr>
                <w:rFonts w:ascii="Arial" w:hAnsi="Arial" w:cs="Arial"/>
                <w:color w:val="000000"/>
                <w:sz w:val="16"/>
                <w:szCs w:val="16"/>
              </w:rPr>
              <w:t xml:space="preserve">sses </w:t>
            </w:r>
            <w:r w:rsidRPr="00F7383D">
              <w:rPr>
                <w:rFonts w:ascii="Arial" w:hAnsi="Arial" w:cs="Arial"/>
                <w:color w:val="000000"/>
                <w:sz w:val="16"/>
                <w:szCs w:val="16"/>
              </w:rPr>
              <w:t>and procedures adap</w:t>
            </w:r>
            <w:r w:rsidRPr="00E02F12">
              <w:rPr>
                <w:rFonts w:ascii="Arial" w:hAnsi="Arial" w:cs="Arial"/>
                <w:color w:val="000000"/>
                <w:sz w:val="16"/>
                <w:szCs w:val="16"/>
              </w:rPr>
              <w:t>ted</w:t>
            </w:r>
          </w:p>
        </w:tc>
        <w:tc>
          <w:tcPr>
            <w:tcW w:w="2175" w:type="dxa"/>
            <w:tcBorders>
              <w:top w:val="nil"/>
              <w:left w:val="nil"/>
              <w:right w:val="single" w:sz="4" w:space="0" w:color="auto"/>
            </w:tcBorders>
            <w:shd w:val="clear" w:color="auto" w:fill="auto"/>
            <w:tcMar>
              <w:top w:w="85" w:type="dxa"/>
            </w:tcMar>
            <w:hideMark/>
          </w:tcPr>
          <w:p w14:paraId="01D5A70E" w14:textId="77777777" w:rsidR="00C2428A" w:rsidRPr="00E02F12" w:rsidRDefault="00C2428A" w:rsidP="00F02301">
            <w:pPr>
              <w:rPr>
                <w:rFonts w:ascii="Arial" w:hAnsi="Arial" w:cs="Arial"/>
                <w:color w:val="000000"/>
                <w:sz w:val="16"/>
                <w:szCs w:val="16"/>
              </w:rPr>
            </w:pPr>
            <w:r w:rsidRPr="00E02F12">
              <w:rPr>
                <w:rFonts w:ascii="Arial" w:hAnsi="Arial" w:cs="Arial"/>
                <w:color w:val="000000"/>
                <w:sz w:val="16"/>
                <w:szCs w:val="16"/>
              </w:rPr>
              <w:t>processes and procedures adapted</w:t>
            </w:r>
          </w:p>
        </w:tc>
      </w:tr>
      <w:tr w:rsidR="00C2428A" w:rsidRPr="009E67A2" w14:paraId="4D81C33F" w14:textId="77777777" w:rsidTr="005412E8">
        <w:trPr>
          <w:trHeight w:val="1861"/>
        </w:trPr>
        <w:tc>
          <w:tcPr>
            <w:tcW w:w="2340" w:type="dxa"/>
            <w:tcBorders>
              <w:top w:val="nil"/>
              <w:left w:val="single" w:sz="4" w:space="0" w:color="auto"/>
              <w:right w:val="nil"/>
            </w:tcBorders>
            <w:shd w:val="clear" w:color="000000" w:fill="FFFFFF"/>
            <w:tcMar>
              <w:top w:w="85" w:type="dxa"/>
            </w:tcMar>
            <w:hideMark/>
          </w:tcPr>
          <w:p w14:paraId="68541B4B"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w:t>
            </w:r>
          </w:p>
        </w:tc>
        <w:tc>
          <w:tcPr>
            <w:tcW w:w="2340" w:type="dxa"/>
            <w:tcBorders>
              <w:top w:val="nil"/>
              <w:left w:val="nil"/>
              <w:right w:val="nil"/>
            </w:tcBorders>
            <w:shd w:val="clear" w:color="000000" w:fill="FFFFFF"/>
            <w:tcMar>
              <w:top w:w="85" w:type="dxa"/>
            </w:tcMar>
            <w:hideMark/>
          </w:tcPr>
          <w:p w14:paraId="7DA8070D"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Progress towards the enhancement of the legal framework</w:t>
            </w:r>
          </w:p>
        </w:tc>
        <w:tc>
          <w:tcPr>
            <w:tcW w:w="2340" w:type="dxa"/>
            <w:tcBorders>
              <w:top w:val="nil"/>
              <w:left w:val="nil"/>
              <w:right w:val="nil"/>
            </w:tcBorders>
            <w:shd w:val="clear" w:color="000000" w:fill="FFFFFF"/>
            <w:tcMar>
              <w:top w:w="85" w:type="dxa"/>
            </w:tcMar>
            <w:hideMark/>
          </w:tcPr>
          <w:p w14:paraId="322372C3" w14:textId="2950D5C3"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xml:space="preserve">Amendments to the Common Regulations </w:t>
            </w:r>
            <w:r w:rsidR="00A32B86" w:rsidRPr="009E67A2">
              <w:rPr>
                <w:rFonts w:ascii="Arial" w:hAnsi="Arial" w:cs="Arial"/>
                <w:color w:val="000000"/>
                <w:sz w:val="16"/>
                <w:szCs w:val="16"/>
              </w:rPr>
              <w:t>(into</w:t>
            </w:r>
            <w:r w:rsidRPr="009E67A2">
              <w:rPr>
                <w:rFonts w:ascii="Arial" w:hAnsi="Arial" w:cs="Arial"/>
                <w:color w:val="000000"/>
                <w:sz w:val="16"/>
                <w:szCs w:val="16"/>
              </w:rPr>
              <w:t xml:space="preserve"> force on 1.1.2015) and the Administrative Instructions (into force on 1.7.2014) to adapt the Hague System to its geographical expansion to new and prospective CPs with examination systems. </w:t>
            </w:r>
          </w:p>
        </w:tc>
        <w:tc>
          <w:tcPr>
            <w:tcW w:w="2175" w:type="dxa"/>
            <w:tcBorders>
              <w:top w:val="nil"/>
              <w:left w:val="nil"/>
              <w:right w:val="single" w:sz="4" w:space="0" w:color="auto"/>
            </w:tcBorders>
            <w:shd w:val="clear" w:color="000000" w:fill="FFFFFF"/>
            <w:tcMar>
              <w:top w:w="85" w:type="dxa"/>
            </w:tcMar>
            <w:hideMark/>
          </w:tcPr>
          <w:p w14:paraId="14F6720B"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xml:space="preserve">Updating the Hague legal framework to keep pace with the evolvement in the design field worldwide. </w:t>
            </w:r>
          </w:p>
        </w:tc>
      </w:tr>
      <w:tr w:rsidR="00C2428A" w:rsidRPr="009E67A2" w14:paraId="2615FF4F" w14:textId="77777777" w:rsidTr="005412E8">
        <w:trPr>
          <w:trHeight w:val="824"/>
        </w:trPr>
        <w:tc>
          <w:tcPr>
            <w:tcW w:w="2340" w:type="dxa"/>
            <w:tcBorders>
              <w:left w:val="single" w:sz="4" w:space="0" w:color="auto"/>
              <w:right w:val="nil"/>
            </w:tcBorders>
            <w:shd w:val="clear" w:color="000000" w:fill="FFFFFF"/>
            <w:tcMar>
              <w:top w:w="85" w:type="dxa"/>
            </w:tcMar>
          </w:tcPr>
          <w:p w14:paraId="062C2B05" w14:textId="77777777" w:rsidR="00C2428A" w:rsidRPr="009E67A2" w:rsidRDefault="00C2428A" w:rsidP="00F02301">
            <w:pPr>
              <w:rPr>
                <w:rFonts w:ascii="Arial" w:hAnsi="Arial" w:cs="Arial"/>
                <w:color w:val="000000"/>
                <w:sz w:val="16"/>
                <w:szCs w:val="16"/>
              </w:rPr>
            </w:pPr>
          </w:p>
        </w:tc>
        <w:tc>
          <w:tcPr>
            <w:tcW w:w="2340" w:type="dxa"/>
            <w:tcBorders>
              <w:left w:val="nil"/>
              <w:right w:val="nil"/>
            </w:tcBorders>
            <w:shd w:val="clear" w:color="000000" w:fill="FFFFFF"/>
            <w:tcMar>
              <w:top w:w="85" w:type="dxa"/>
            </w:tcMar>
          </w:tcPr>
          <w:p w14:paraId="677B1E34"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Improved operation of the Hague Registry, including electronic processes and procedures</w:t>
            </w:r>
          </w:p>
        </w:tc>
        <w:tc>
          <w:tcPr>
            <w:tcW w:w="2340" w:type="dxa"/>
            <w:tcBorders>
              <w:left w:val="nil"/>
              <w:right w:val="nil"/>
            </w:tcBorders>
            <w:shd w:val="clear" w:color="000000" w:fill="FFFFFF"/>
            <w:tcMar>
              <w:top w:w="85" w:type="dxa"/>
            </w:tcMar>
          </w:tcPr>
          <w:p w14:paraId="7942A45A"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2 electronic Hague interfaces</w:t>
            </w:r>
          </w:p>
        </w:tc>
        <w:tc>
          <w:tcPr>
            <w:tcW w:w="2175" w:type="dxa"/>
            <w:tcBorders>
              <w:left w:val="nil"/>
              <w:right w:val="single" w:sz="4" w:space="0" w:color="auto"/>
            </w:tcBorders>
            <w:shd w:val="clear" w:color="000000" w:fill="FFFFFF"/>
            <w:tcMar>
              <w:top w:w="85" w:type="dxa"/>
            </w:tcMar>
          </w:tcPr>
          <w:p w14:paraId="0CA80D61"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6 electronic Hague interfaces</w:t>
            </w:r>
          </w:p>
        </w:tc>
      </w:tr>
      <w:tr w:rsidR="00C2428A" w:rsidRPr="009E67A2" w14:paraId="6B9C8B96" w14:textId="77777777" w:rsidTr="005412E8">
        <w:trPr>
          <w:trHeight w:val="827"/>
        </w:trPr>
        <w:tc>
          <w:tcPr>
            <w:tcW w:w="2340" w:type="dxa"/>
            <w:tcBorders>
              <w:left w:val="single" w:sz="4" w:space="0" w:color="auto"/>
              <w:bottom w:val="single" w:sz="4" w:space="0" w:color="auto"/>
              <w:right w:val="nil"/>
            </w:tcBorders>
            <w:shd w:val="clear" w:color="000000" w:fill="FFFFFF"/>
            <w:tcMar>
              <w:top w:w="85" w:type="dxa"/>
            </w:tcMar>
            <w:hideMark/>
          </w:tcPr>
          <w:p w14:paraId="4212AAC2"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w:t>
            </w:r>
          </w:p>
        </w:tc>
        <w:tc>
          <w:tcPr>
            <w:tcW w:w="2340" w:type="dxa"/>
            <w:tcBorders>
              <w:left w:val="nil"/>
              <w:bottom w:val="single" w:sz="4" w:space="0" w:color="auto"/>
              <w:right w:val="nil"/>
            </w:tcBorders>
            <w:shd w:val="clear" w:color="000000" w:fill="FFFFFF"/>
            <w:tcMar>
              <w:top w:w="85" w:type="dxa"/>
            </w:tcMar>
            <w:hideMark/>
          </w:tcPr>
          <w:p w14:paraId="612DAE77"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Stable provision of evolving the Hague back office IT services</w:t>
            </w:r>
          </w:p>
        </w:tc>
        <w:tc>
          <w:tcPr>
            <w:tcW w:w="2340" w:type="dxa"/>
            <w:tcBorders>
              <w:left w:val="nil"/>
              <w:bottom w:val="single" w:sz="4" w:space="0" w:color="auto"/>
              <w:right w:val="nil"/>
            </w:tcBorders>
            <w:shd w:val="clear" w:color="000000" w:fill="FFFFFF"/>
            <w:tcMar>
              <w:top w:w="85" w:type="dxa"/>
            </w:tcMar>
            <w:hideMark/>
          </w:tcPr>
          <w:p w14:paraId="308AEAD7"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No service interruption Enhancements delivered and deployed on time</w:t>
            </w:r>
          </w:p>
        </w:tc>
        <w:tc>
          <w:tcPr>
            <w:tcW w:w="2175" w:type="dxa"/>
            <w:tcBorders>
              <w:left w:val="nil"/>
              <w:bottom w:val="single" w:sz="4" w:space="0" w:color="auto"/>
              <w:right w:val="single" w:sz="4" w:space="0" w:color="auto"/>
            </w:tcBorders>
            <w:shd w:val="clear" w:color="000000" w:fill="FFFFFF"/>
            <w:tcMar>
              <w:top w:w="85" w:type="dxa"/>
            </w:tcMar>
            <w:hideMark/>
          </w:tcPr>
          <w:p w14:paraId="5C600B40"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No service interruption Enhancements delivered and deployed on time</w:t>
            </w:r>
          </w:p>
        </w:tc>
      </w:tr>
      <w:tr w:rsidR="00C2428A" w:rsidRPr="009E67A2" w14:paraId="225222ED" w14:textId="77777777" w:rsidTr="005412E8">
        <w:trPr>
          <w:trHeight w:val="2189"/>
        </w:trPr>
        <w:tc>
          <w:tcPr>
            <w:tcW w:w="2340" w:type="dxa"/>
            <w:tcBorders>
              <w:top w:val="single" w:sz="4" w:space="0" w:color="auto"/>
              <w:left w:val="single" w:sz="4" w:space="0" w:color="auto"/>
              <w:bottom w:val="nil"/>
              <w:right w:val="nil"/>
            </w:tcBorders>
            <w:shd w:val="clear" w:color="000000" w:fill="FFFFFF"/>
            <w:tcMar>
              <w:top w:w="85" w:type="dxa"/>
            </w:tcMar>
            <w:hideMark/>
          </w:tcPr>
          <w:p w14:paraId="6FA3E490"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lastRenderedPageBreak/>
              <w:t> </w:t>
            </w:r>
          </w:p>
        </w:tc>
        <w:tc>
          <w:tcPr>
            <w:tcW w:w="2340" w:type="dxa"/>
            <w:tcBorders>
              <w:top w:val="single" w:sz="4" w:space="0" w:color="auto"/>
              <w:left w:val="nil"/>
              <w:bottom w:val="nil"/>
              <w:right w:val="nil"/>
            </w:tcBorders>
            <w:shd w:val="clear" w:color="000000" w:fill="FFFFFF"/>
            <w:tcMar>
              <w:top w:w="85" w:type="dxa"/>
            </w:tcMar>
            <w:hideMark/>
          </w:tcPr>
          <w:p w14:paraId="7D8457E1"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Flexibility of data recorded in the International Register</w:t>
            </w:r>
          </w:p>
        </w:tc>
        <w:tc>
          <w:tcPr>
            <w:tcW w:w="2340" w:type="dxa"/>
            <w:tcBorders>
              <w:top w:val="single" w:sz="4" w:space="0" w:color="auto"/>
              <w:left w:val="nil"/>
              <w:bottom w:val="nil"/>
              <w:right w:val="nil"/>
            </w:tcBorders>
            <w:shd w:val="clear" w:color="000000" w:fill="FFFFFF"/>
            <w:tcMar>
              <w:top w:w="85" w:type="dxa"/>
            </w:tcMar>
            <w:hideMark/>
          </w:tcPr>
          <w:p w14:paraId="18BEDF33" w14:textId="77777777" w:rsidR="006E030C" w:rsidRDefault="00C2428A" w:rsidP="00F02301">
            <w:pPr>
              <w:rPr>
                <w:rFonts w:ascii="Arial" w:hAnsi="Arial" w:cs="Arial"/>
                <w:color w:val="000000"/>
                <w:sz w:val="16"/>
                <w:szCs w:val="16"/>
              </w:rPr>
            </w:pPr>
            <w:r w:rsidRPr="009E67A2">
              <w:rPr>
                <w:rFonts w:ascii="Arial" w:hAnsi="Arial" w:cs="Arial"/>
                <w:color w:val="000000"/>
                <w:sz w:val="16"/>
                <w:szCs w:val="16"/>
              </w:rPr>
              <w:t>Following amendments to the legal framework of the Hague System, more flexibility concerning optional contents of an international application may be indicated and recorded in the International Register.</w:t>
            </w:r>
            <w:r w:rsidR="006E030C" w:rsidRPr="009E67A2">
              <w:rPr>
                <w:rFonts w:ascii="Arial" w:hAnsi="Arial" w:cs="Arial"/>
                <w:color w:val="000000"/>
                <w:sz w:val="16"/>
                <w:szCs w:val="16"/>
              </w:rPr>
              <w:t xml:space="preserve"> </w:t>
            </w:r>
          </w:p>
          <w:p w14:paraId="2F1DF141" w14:textId="77777777" w:rsidR="006E030C" w:rsidRDefault="006E030C" w:rsidP="00F02301">
            <w:pPr>
              <w:rPr>
                <w:rFonts w:ascii="Arial" w:hAnsi="Arial" w:cs="Arial"/>
                <w:color w:val="000000"/>
                <w:sz w:val="16"/>
                <w:szCs w:val="16"/>
              </w:rPr>
            </w:pPr>
          </w:p>
          <w:p w14:paraId="592C3E69" w14:textId="6D855515" w:rsidR="00C2428A" w:rsidRPr="009E67A2" w:rsidRDefault="006E030C" w:rsidP="00F02301">
            <w:pPr>
              <w:rPr>
                <w:rFonts w:ascii="Arial" w:hAnsi="Arial" w:cs="Arial"/>
                <w:color w:val="000000"/>
                <w:sz w:val="16"/>
                <w:szCs w:val="16"/>
              </w:rPr>
            </w:pPr>
            <w:r w:rsidRPr="009E67A2">
              <w:rPr>
                <w:rFonts w:ascii="Arial" w:hAnsi="Arial" w:cs="Arial"/>
                <w:color w:val="000000"/>
                <w:sz w:val="16"/>
                <w:szCs w:val="16"/>
              </w:rPr>
              <w:t>Inability to record granular design information</w:t>
            </w:r>
          </w:p>
        </w:tc>
        <w:tc>
          <w:tcPr>
            <w:tcW w:w="2175" w:type="dxa"/>
            <w:tcBorders>
              <w:top w:val="single" w:sz="4" w:space="0" w:color="auto"/>
              <w:left w:val="nil"/>
              <w:bottom w:val="nil"/>
              <w:right w:val="single" w:sz="4" w:space="0" w:color="auto"/>
            </w:tcBorders>
            <w:shd w:val="clear" w:color="000000" w:fill="FFFFFF"/>
            <w:tcMar>
              <w:top w:w="85" w:type="dxa"/>
            </w:tcMar>
            <w:hideMark/>
          </w:tcPr>
          <w:p w14:paraId="20071577" w14:textId="77777777" w:rsidR="006E030C" w:rsidRDefault="00C2428A" w:rsidP="00F02301">
            <w:pPr>
              <w:rPr>
                <w:rFonts w:ascii="Arial" w:hAnsi="Arial" w:cs="Arial"/>
                <w:color w:val="000000"/>
                <w:sz w:val="16"/>
                <w:szCs w:val="16"/>
              </w:rPr>
            </w:pPr>
            <w:r w:rsidRPr="009E67A2">
              <w:rPr>
                <w:rFonts w:ascii="Arial" w:hAnsi="Arial" w:cs="Arial"/>
                <w:color w:val="000000"/>
                <w:sz w:val="16"/>
                <w:szCs w:val="16"/>
              </w:rPr>
              <w:t>Flexibility of data recorded in the International Register</w:t>
            </w:r>
            <w:r w:rsidRPr="009E67A2">
              <w:rPr>
                <w:rFonts w:ascii="Arial" w:hAnsi="Arial" w:cs="Arial"/>
                <w:color w:val="000000"/>
                <w:sz w:val="16"/>
                <w:szCs w:val="16"/>
              </w:rPr>
              <w:br/>
              <w:t>and possible specification of further optional contents to be recorded in the International Register.</w:t>
            </w:r>
            <w:r w:rsidR="006E030C" w:rsidRPr="009E67A2">
              <w:rPr>
                <w:rFonts w:ascii="Arial" w:hAnsi="Arial" w:cs="Arial"/>
                <w:color w:val="000000"/>
                <w:sz w:val="16"/>
                <w:szCs w:val="16"/>
              </w:rPr>
              <w:t xml:space="preserve"> </w:t>
            </w:r>
          </w:p>
          <w:p w14:paraId="0D6DD4A8" w14:textId="77777777" w:rsidR="006E030C" w:rsidRDefault="006E030C" w:rsidP="00F02301">
            <w:pPr>
              <w:rPr>
                <w:rFonts w:ascii="Arial" w:hAnsi="Arial" w:cs="Arial"/>
                <w:color w:val="000000"/>
                <w:sz w:val="16"/>
                <w:szCs w:val="16"/>
              </w:rPr>
            </w:pPr>
          </w:p>
          <w:p w14:paraId="4983FB49" w14:textId="77777777" w:rsidR="006E030C" w:rsidRDefault="006E030C" w:rsidP="00F02301">
            <w:pPr>
              <w:rPr>
                <w:rFonts w:ascii="Arial" w:hAnsi="Arial" w:cs="Arial"/>
                <w:color w:val="000000"/>
                <w:sz w:val="16"/>
                <w:szCs w:val="16"/>
              </w:rPr>
            </w:pPr>
          </w:p>
          <w:p w14:paraId="674BF995" w14:textId="77777777" w:rsidR="006E030C" w:rsidRDefault="006E030C" w:rsidP="00F02301">
            <w:pPr>
              <w:rPr>
                <w:rFonts w:ascii="Arial" w:hAnsi="Arial" w:cs="Arial"/>
                <w:color w:val="000000"/>
                <w:sz w:val="16"/>
                <w:szCs w:val="16"/>
              </w:rPr>
            </w:pPr>
          </w:p>
          <w:p w14:paraId="11631CBC" w14:textId="4ACF4A9A" w:rsidR="00C2428A" w:rsidRPr="009E67A2" w:rsidRDefault="006E030C" w:rsidP="00F02301">
            <w:pPr>
              <w:rPr>
                <w:rFonts w:ascii="Arial" w:hAnsi="Arial" w:cs="Arial"/>
                <w:color w:val="000000"/>
                <w:sz w:val="16"/>
                <w:szCs w:val="16"/>
              </w:rPr>
            </w:pPr>
            <w:r w:rsidRPr="009E67A2">
              <w:rPr>
                <w:rFonts w:ascii="Arial" w:hAnsi="Arial" w:cs="Arial"/>
                <w:color w:val="000000"/>
                <w:sz w:val="16"/>
                <w:szCs w:val="16"/>
              </w:rPr>
              <w:t>Ability to record granular design information</w:t>
            </w:r>
          </w:p>
        </w:tc>
      </w:tr>
      <w:tr w:rsidR="00C2428A" w:rsidRPr="009E67A2" w14:paraId="0DF90567" w14:textId="77777777" w:rsidTr="00F02301">
        <w:trPr>
          <w:trHeight w:val="1473"/>
        </w:trPr>
        <w:tc>
          <w:tcPr>
            <w:tcW w:w="2340" w:type="dxa"/>
            <w:tcBorders>
              <w:top w:val="nil"/>
              <w:left w:val="single" w:sz="4" w:space="0" w:color="auto"/>
              <w:bottom w:val="single" w:sz="4" w:space="0" w:color="auto"/>
              <w:right w:val="nil"/>
            </w:tcBorders>
            <w:shd w:val="clear" w:color="000000" w:fill="FFFFFF"/>
            <w:tcMar>
              <w:top w:w="85" w:type="dxa"/>
            </w:tcMar>
            <w:hideMark/>
          </w:tcPr>
          <w:p w14:paraId="4412B4A4"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 </w:t>
            </w:r>
          </w:p>
        </w:tc>
        <w:tc>
          <w:tcPr>
            <w:tcW w:w="2340" w:type="dxa"/>
            <w:tcBorders>
              <w:top w:val="nil"/>
              <w:left w:val="nil"/>
              <w:bottom w:val="single" w:sz="4" w:space="0" w:color="auto"/>
              <w:right w:val="nil"/>
            </w:tcBorders>
            <w:shd w:val="clear" w:color="000000" w:fill="FFFFFF"/>
            <w:tcMar>
              <w:top w:w="85" w:type="dxa"/>
            </w:tcMar>
            <w:hideMark/>
          </w:tcPr>
          <w:p w14:paraId="1CA8C98D"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3 deployed versions of DIRIS and 3 deployed versions of Hague e-Filing</w:t>
            </w:r>
          </w:p>
        </w:tc>
        <w:tc>
          <w:tcPr>
            <w:tcW w:w="2340" w:type="dxa"/>
            <w:tcBorders>
              <w:top w:val="nil"/>
              <w:left w:val="nil"/>
              <w:bottom w:val="single" w:sz="4" w:space="0" w:color="auto"/>
              <w:right w:val="nil"/>
            </w:tcBorders>
            <w:shd w:val="clear" w:color="000000" w:fill="FFFFFF"/>
            <w:tcMar>
              <w:top w:w="85" w:type="dxa"/>
            </w:tcMar>
            <w:hideMark/>
          </w:tcPr>
          <w:p w14:paraId="1248F520"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DIRIS not deployed, e-Filing HPM in production, current database design does not reflect the newly required granularity, e-Filing does not enable the electronic reply to irregularity letters</w:t>
            </w:r>
          </w:p>
        </w:tc>
        <w:tc>
          <w:tcPr>
            <w:tcW w:w="2175" w:type="dxa"/>
            <w:tcBorders>
              <w:top w:val="nil"/>
              <w:left w:val="nil"/>
              <w:bottom w:val="single" w:sz="4" w:space="0" w:color="auto"/>
              <w:right w:val="single" w:sz="4" w:space="0" w:color="auto"/>
            </w:tcBorders>
            <w:shd w:val="clear" w:color="000000" w:fill="FFFFFF"/>
            <w:tcMar>
              <w:top w:w="85" w:type="dxa"/>
            </w:tcMar>
            <w:hideMark/>
          </w:tcPr>
          <w:p w14:paraId="13F08A5E" w14:textId="77777777" w:rsidR="00C2428A" w:rsidRPr="009E67A2" w:rsidRDefault="00C2428A" w:rsidP="00F02301">
            <w:pPr>
              <w:rPr>
                <w:rFonts w:ascii="Arial" w:hAnsi="Arial" w:cs="Arial"/>
                <w:color w:val="000000"/>
                <w:sz w:val="16"/>
                <w:szCs w:val="16"/>
              </w:rPr>
            </w:pPr>
            <w:r w:rsidRPr="009E67A2">
              <w:rPr>
                <w:rFonts w:ascii="Arial" w:hAnsi="Arial" w:cs="Arial"/>
                <w:color w:val="000000"/>
                <w:sz w:val="16"/>
                <w:szCs w:val="16"/>
              </w:rPr>
              <w:t>3 deployed new versions of DIRIS, 3 deployed updated versions of Hague e-Filing, electronic irregularity response enabled and a revised logical database design</w:t>
            </w:r>
          </w:p>
        </w:tc>
      </w:tr>
    </w:tbl>
    <w:p w14:paraId="2550FE50" w14:textId="77777777" w:rsidR="00C2428A" w:rsidRDefault="00C2428A" w:rsidP="00C2428A">
      <w:pPr>
        <w:jc w:val="both"/>
        <w:rPr>
          <w:rFonts w:ascii="Arial" w:hAnsi="Arial" w:cs="Arial"/>
          <w:sz w:val="20"/>
        </w:rPr>
      </w:pPr>
    </w:p>
    <w:p w14:paraId="2F38F7E3" w14:textId="77777777" w:rsidR="00C2428A" w:rsidRDefault="00C2428A" w:rsidP="00C2428A">
      <w:pPr>
        <w:jc w:val="both"/>
        <w:rPr>
          <w:rFonts w:ascii="Arial" w:hAnsi="Arial" w:cs="Arial"/>
          <w:sz w:val="20"/>
        </w:rPr>
      </w:pPr>
    </w:p>
    <w:p w14:paraId="378A9B7A" w14:textId="77777777" w:rsidR="00C2428A" w:rsidRDefault="00C2428A" w:rsidP="00C2428A">
      <w:pPr>
        <w:jc w:val="both"/>
        <w:rPr>
          <w:rFonts w:ascii="Arial" w:hAnsi="Arial" w:cs="Arial"/>
        </w:rPr>
      </w:pPr>
      <w:r w:rsidRPr="001D4076">
        <w:rPr>
          <w:rFonts w:ascii="Arial" w:hAnsi="Arial" w:cs="Arial"/>
        </w:rPr>
        <w:t>RESOURCES FOR PROGRAM 31</w:t>
      </w:r>
    </w:p>
    <w:p w14:paraId="5B7B7342" w14:textId="77777777" w:rsidR="00C2428A" w:rsidRPr="00FB68E0" w:rsidRDefault="00C2428A" w:rsidP="00C2428A">
      <w:pPr>
        <w:jc w:val="both"/>
        <w:rPr>
          <w:rFonts w:ascii="Arial" w:hAnsi="Arial" w:cs="Arial"/>
          <w:sz w:val="20"/>
        </w:rPr>
      </w:pPr>
    </w:p>
    <w:p w14:paraId="2A017FF2" w14:textId="28609520" w:rsidR="00C2428A" w:rsidRDefault="00C2428A" w:rsidP="00B66A4A">
      <w:pPr>
        <w:numPr>
          <w:ilvl w:val="0"/>
          <w:numId w:val="31"/>
        </w:numPr>
        <w:jc w:val="both"/>
        <w:rPr>
          <w:rFonts w:ascii="Arial" w:hAnsi="Arial" w:cs="Arial"/>
          <w:sz w:val="20"/>
        </w:rPr>
      </w:pPr>
      <w:r w:rsidRPr="00FB68E0">
        <w:rPr>
          <w:rFonts w:ascii="Arial" w:hAnsi="Arial" w:cs="Arial"/>
          <w:sz w:val="20"/>
        </w:rPr>
        <w:t xml:space="preserve">The total resources for the Hague System </w:t>
      </w:r>
      <w:r>
        <w:rPr>
          <w:rFonts w:ascii="Arial" w:hAnsi="Arial" w:cs="Arial"/>
          <w:sz w:val="20"/>
        </w:rPr>
        <w:t xml:space="preserve">show a slight decrease in 2016/17 compared to the 2014/15 Budget after Transfers. The decrease in personnel resources is due to the change in the costing methodology for personnel resources in 2016/17 based on actuals.  Non-personnel resources for the Program have been re-adjusted based on expenditure patterns in 2014/15. </w:t>
      </w:r>
    </w:p>
    <w:p w14:paraId="16964002" w14:textId="77777777" w:rsidR="00C2428A" w:rsidRPr="00FB68E0" w:rsidRDefault="00C2428A" w:rsidP="00C2428A">
      <w:pPr>
        <w:jc w:val="both"/>
        <w:rPr>
          <w:rFonts w:ascii="Arial" w:hAnsi="Arial" w:cs="Arial"/>
          <w:sz w:val="20"/>
        </w:rPr>
      </w:pPr>
    </w:p>
    <w:p w14:paraId="1D223F15" w14:textId="77777777" w:rsidR="00C2428A" w:rsidRDefault="00C2428A" w:rsidP="00C2428A">
      <w:pPr>
        <w:jc w:val="both"/>
        <w:rPr>
          <w:rFonts w:ascii="Arial" w:hAnsi="Arial" w:cs="Arial"/>
          <w:sz w:val="20"/>
        </w:rPr>
      </w:pPr>
    </w:p>
    <w:p w14:paraId="45DABE81" w14:textId="77777777" w:rsidR="00C2428A" w:rsidRPr="003D1AF3" w:rsidRDefault="00C2428A" w:rsidP="00C2428A">
      <w:pPr>
        <w:tabs>
          <w:tab w:val="left" w:pos="1427"/>
        </w:tabs>
        <w:jc w:val="center"/>
        <w:rPr>
          <w:rFonts w:ascii="Arial" w:hAnsi="Arial" w:cs="Arial"/>
          <w:sz w:val="20"/>
        </w:rPr>
      </w:pPr>
      <w:r>
        <w:rPr>
          <w:rFonts w:ascii="Arial" w:hAnsi="Arial" w:cs="Arial"/>
          <w:b/>
          <w:sz w:val="20"/>
          <w:szCs w:val="24"/>
        </w:rPr>
        <w:t>Program 31</w:t>
      </w:r>
      <w:r w:rsidRPr="003D1AF3">
        <w:rPr>
          <w:rFonts w:ascii="Arial" w:hAnsi="Arial" w:cs="Arial"/>
          <w:b/>
          <w:sz w:val="20"/>
          <w:szCs w:val="24"/>
        </w:rPr>
        <w:t xml:space="preserve">:  Resources by </w:t>
      </w:r>
      <w:r>
        <w:rPr>
          <w:rFonts w:ascii="Arial" w:hAnsi="Arial" w:cs="Arial"/>
          <w:b/>
          <w:sz w:val="20"/>
          <w:szCs w:val="24"/>
        </w:rPr>
        <w:t>Result</w:t>
      </w:r>
    </w:p>
    <w:p w14:paraId="73CB2557" w14:textId="77777777" w:rsidR="00C2428A" w:rsidRDefault="00C2428A" w:rsidP="00C2428A">
      <w:pPr>
        <w:tabs>
          <w:tab w:val="left" w:pos="1427"/>
        </w:tabs>
        <w:jc w:val="center"/>
        <w:rPr>
          <w:rFonts w:ascii="Arial" w:hAnsi="Arial" w:cs="Arial"/>
          <w:i/>
          <w:sz w:val="20"/>
          <w:szCs w:val="24"/>
        </w:rPr>
      </w:pPr>
      <w:r w:rsidRPr="003D1AF3">
        <w:rPr>
          <w:rFonts w:ascii="Arial" w:hAnsi="Arial" w:cs="Arial"/>
          <w:i/>
          <w:sz w:val="20"/>
          <w:szCs w:val="24"/>
        </w:rPr>
        <w:t>(In thousands of Swiss francs)</w:t>
      </w:r>
    </w:p>
    <w:p w14:paraId="53646993" w14:textId="77777777" w:rsidR="00C2428A" w:rsidRDefault="00C2428A" w:rsidP="00C2428A">
      <w:pPr>
        <w:tabs>
          <w:tab w:val="left" w:pos="1427"/>
        </w:tabs>
        <w:jc w:val="center"/>
        <w:rPr>
          <w:rFonts w:ascii="Arial" w:hAnsi="Arial" w:cs="Arial"/>
          <w:i/>
          <w:sz w:val="20"/>
          <w:szCs w:val="24"/>
        </w:rPr>
      </w:pPr>
    </w:p>
    <w:p w14:paraId="4E3306B1" w14:textId="4EFD1AFE" w:rsidR="00C2428A" w:rsidRDefault="00C2428A" w:rsidP="00C2428A">
      <w:pPr>
        <w:tabs>
          <w:tab w:val="left" w:pos="1427"/>
        </w:tabs>
        <w:jc w:val="center"/>
        <w:rPr>
          <w:rFonts w:ascii="Arial" w:hAnsi="Arial" w:cs="Arial"/>
          <w:i/>
          <w:sz w:val="20"/>
          <w:szCs w:val="24"/>
        </w:rPr>
      </w:pPr>
      <w:r w:rsidRPr="00C27876">
        <w:rPr>
          <w:noProof/>
          <w:lang w:eastAsia="en-US"/>
        </w:rPr>
        <w:drawing>
          <wp:inline distT="0" distB="0" distL="0" distR="0" wp14:anchorId="1E3ADC38" wp14:editId="5F016AF2">
            <wp:extent cx="5255813" cy="1354366"/>
            <wp:effectExtent l="0" t="0" r="254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84678" cy="1387573"/>
                    </a:xfrm>
                    <a:prstGeom prst="rect">
                      <a:avLst/>
                    </a:prstGeom>
                    <a:noFill/>
                    <a:ln>
                      <a:noFill/>
                    </a:ln>
                  </pic:spPr>
                </pic:pic>
              </a:graphicData>
            </a:graphic>
          </wp:inline>
        </w:drawing>
      </w:r>
    </w:p>
    <w:p w14:paraId="1694896C" w14:textId="77777777" w:rsidR="00C2428A" w:rsidRDefault="00C2428A" w:rsidP="00C2428A">
      <w:pPr>
        <w:tabs>
          <w:tab w:val="left" w:pos="1427"/>
        </w:tabs>
        <w:jc w:val="center"/>
        <w:rPr>
          <w:rFonts w:ascii="Arial" w:hAnsi="Arial" w:cs="Arial"/>
          <w:i/>
          <w:sz w:val="20"/>
          <w:szCs w:val="24"/>
        </w:rPr>
      </w:pPr>
    </w:p>
    <w:p w14:paraId="5B68B4E5" w14:textId="77777777" w:rsidR="00C2428A" w:rsidRDefault="00C2428A" w:rsidP="00C2428A">
      <w:pPr>
        <w:tabs>
          <w:tab w:val="left" w:pos="1427"/>
        </w:tabs>
        <w:jc w:val="center"/>
        <w:rPr>
          <w:rFonts w:ascii="Arial" w:hAnsi="Arial" w:cs="Arial"/>
          <w:i/>
          <w:sz w:val="20"/>
          <w:szCs w:val="24"/>
        </w:rPr>
      </w:pPr>
    </w:p>
    <w:p w14:paraId="5AF0AC07" w14:textId="77777777" w:rsidR="00C2428A" w:rsidRPr="003D1AF3" w:rsidRDefault="00C2428A" w:rsidP="00C2428A">
      <w:pPr>
        <w:keepNext/>
        <w:keepLines/>
        <w:tabs>
          <w:tab w:val="left" w:pos="1427"/>
        </w:tabs>
        <w:jc w:val="center"/>
        <w:rPr>
          <w:rFonts w:ascii="Arial" w:hAnsi="Arial" w:cs="Arial"/>
          <w:sz w:val="20"/>
        </w:rPr>
      </w:pPr>
      <w:r>
        <w:rPr>
          <w:rFonts w:ascii="Arial" w:hAnsi="Arial" w:cs="Arial"/>
          <w:b/>
          <w:sz w:val="20"/>
          <w:szCs w:val="24"/>
        </w:rPr>
        <w:lastRenderedPageBreak/>
        <w:t>Program 31</w:t>
      </w:r>
      <w:r w:rsidRPr="003D1AF3">
        <w:rPr>
          <w:rFonts w:ascii="Arial" w:hAnsi="Arial" w:cs="Arial"/>
          <w:b/>
          <w:sz w:val="20"/>
          <w:szCs w:val="24"/>
        </w:rPr>
        <w:t>:  Resources by Object of Expenditure</w:t>
      </w:r>
    </w:p>
    <w:p w14:paraId="5E046587" w14:textId="77777777" w:rsidR="00C2428A" w:rsidRDefault="00C2428A" w:rsidP="00C2428A">
      <w:pPr>
        <w:keepNext/>
        <w:keepLines/>
        <w:tabs>
          <w:tab w:val="left" w:pos="1427"/>
        </w:tabs>
        <w:jc w:val="center"/>
        <w:rPr>
          <w:rFonts w:ascii="Arial" w:hAnsi="Arial" w:cs="Arial"/>
          <w:i/>
          <w:sz w:val="20"/>
          <w:szCs w:val="24"/>
        </w:rPr>
      </w:pPr>
      <w:r w:rsidRPr="003D1AF3">
        <w:rPr>
          <w:rFonts w:ascii="Arial" w:hAnsi="Arial" w:cs="Arial"/>
          <w:i/>
          <w:sz w:val="20"/>
          <w:szCs w:val="24"/>
        </w:rPr>
        <w:t>(In thousands of Swiss francs)</w:t>
      </w:r>
    </w:p>
    <w:p w14:paraId="69B7D5D7" w14:textId="77777777" w:rsidR="00C2428A" w:rsidRDefault="00C2428A" w:rsidP="00C2428A">
      <w:pPr>
        <w:keepNext/>
        <w:keepLines/>
        <w:tabs>
          <w:tab w:val="left" w:pos="1427"/>
        </w:tabs>
        <w:jc w:val="center"/>
        <w:rPr>
          <w:rFonts w:ascii="Arial" w:hAnsi="Arial" w:cs="Arial"/>
          <w:i/>
          <w:sz w:val="20"/>
          <w:szCs w:val="24"/>
        </w:rPr>
      </w:pPr>
    </w:p>
    <w:p w14:paraId="4C93853A" w14:textId="77777777" w:rsidR="00C2428A" w:rsidRPr="003D1AF3" w:rsidRDefault="00C2428A" w:rsidP="00C2428A">
      <w:pPr>
        <w:keepNext/>
        <w:keepLines/>
        <w:tabs>
          <w:tab w:val="left" w:pos="1427"/>
        </w:tabs>
        <w:jc w:val="center"/>
        <w:rPr>
          <w:rFonts w:ascii="Arial" w:hAnsi="Arial" w:cs="Arial"/>
          <w:i/>
          <w:sz w:val="20"/>
          <w:szCs w:val="24"/>
        </w:rPr>
      </w:pPr>
      <w:r w:rsidRPr="00C27876">
        <w:rPr>
          <w:noProof/>
          <w:lang w:eastAsia="en-US"/>
        </w:rPr>
        <w:drawing>
          <wp:inline distT="0" distB="0" distL="0" distR="0" wp14:anchorId="68721A7E" wp14:editId="3DBF8BD6">
            <wp:extent cx="5087968" cy="5725575"/>
            <wp:effectExtent l="0" t="0" r="0" b="889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110124" cy="5750507"/>
                    </a:xfrm>
                    <a:prstGeom prst="rect">
                      <a:avLst/>
                    </a:prstGeom>
                    <a:noFill/>
                    <a:ln>
                      <a:noFill/>
                    </a:ln>
                  </pic:spPr>
                </pic:pic>
              </a:graphicData>
            </a:graphic>
          </wp:inline>
        </w:drawing>
      </w:r>
    </w:p>
    <w:p w14:paraId="526AE008" w14:textId="77777777" w:rsidR="00C2428A" w:rsidRPr="003D1AF3" w:rsidRDefault="00C2428A" w:rsidP="00C2428A">
      <w:pPr>
        <w:tabs>
          <w:tab w:val="left" w:pos="1427"/>
        </w:tabs>
        <w:jc w:val="center"/>
        <w:rPr>
          <w:rFonts w:ascii="Arial" w:hAnsi="Arial" w:cs="Arial"/>
          <w:i/>
          <w:sz w:val="20"/>
          <w:szCs w:val="24"/>
        </w:rPr>
      </w:pPr>
    </w:p>
    <w:p w14:paraId="69216434" w14:textId="77777777" w:rsidR="00C2428A" w:rsidRPr="0091583C" w:rsidRDefault="00C2428A" w:rsidP="00C2428A">
      <w:pPr>
        <w:jc w:val="both"/>
        <w:rPr>
          <w:rFonts w:ascii="Arial" w:hAnsi="Arial" w:cs="Arial"/>
          <w:sz w:val="20"/>
        </w:rPr>
      </w:pPr>
    </w:p>
    <w:p w14:paraId="45B6FC52" w14:textId="77777777" w:rsidR="00250CF8" w:rsidRPr="009B4A78" w:rsidRDefault="00250CF8" w:rsidP="00F33E49">
      <w:pPr>
        <w:rPr>
          <w:rFonts w:ascii="Arial" w:eastAsia="SimSun" w:hAnsi="Arial" w:cs="Arial"/>
          <w:bCs/>
          <w:iCs/>
          <w:sz w:val="20"/>
          <w:szCs w:val="20"/>
        </w:rPr>
      </w:pPr>
    </w:p>
    <w:p w14:paraId="211BA3AC" w14:textId="2F53011D" w:rsidR="00250CF8" w:rsidRPr="009B4A78" w:rsidRDefault="00250CF8">
      <w:pPr>
        <w:rPr>
          <w:rFonts w:ascii="Arial" w:hAnsi="Arial" w:cs="Arial"/>
          <w:sz w:val="20"/>
          <w:szCs w:val="20"/>
        </w:rPr>
      </w:pPr>
      <w:r w:rsidRPr="009B4A78">
        <w:rPr>
          <w:rFonts w:ascii="Arial" w:hAnsi="Arial" w:cs="Arial"/>
          <w:sz w:val="20"/>
          <w:szCs w:val="20"/>
        </w:rPr>
        <w:br w:type="page"/>
      </w:r>
    </w:p>
    <w:p w14:paraId="617D2F9D" w14:textId="77777777" w:rsidR="004A6C16" w:rsidRPr="00FB68E0" w:rsidRDefault="004A6C16" w:rsidP="00FB68E0">
      <w:pPr>
        <w:pStyle w:val="StyleHeading3ComplexItalic"/>
        <w:ind w:left="1985" w:hanging="1985"/>
        <w:rPr>
          <w:rStyle w:val="StyleStyleHeading3ComplexItalicLatin12ptChar"/>
          <w:rFonts w:eastAsia="SimSun"/>
          <w:b/>
        </w:rPr>
      </w:pPr>
      <w:bookmarkStart w:id="38" w:name="_Toc427154403"/>
      <w:r w:rsidRPr="00FB68E0">
        <w:rPr>
          <w:rStyle w:val="StyleStyleHeading3ComplexItalicLatin12ptChar"/>
          <w:rFonts w:eastAsia="SimSun"/>
          <w:b/>
        </w:rPr>
        <w:lastRenderedPageBreak/>
        <w:t>PROGRAM 7</w:t>
      </w:r>
      <w:r w:rsidRPr="00FB68E0">
        <w:rPr>
          <w:rStyle w:val="StyleStyleHeading3ComplexItalicLatin12ptChar"/>
          <w:rFonts w:eastAsia="SimSun"/>
          <w:b/>
        </w:rPr>
        <w:tab/>
        <w:t>WIPO ARBITRATION AND MEDIATION CENTER</w:t>
      </w:r>
      <w:bookmarkEnd w:id="38"/>
    </w:p>
    <w:p w14:paraId="1A987F44" w14:textId="77777777" w:rsidR="004A6C16" w:rsidRPr="009B4A78" w:rsidRDefault="004A6C16" w:rsidP="00F33E49">
      <w:pPr>
        <w:rPr>
          <w:rFonts w:ascii="Arial" w:hAnsi="Arial" w:cs="Arial"/>
          <w:sz w:val="20"/>
          <w:szCs w:val="20"/>
        </w:rPr>
      </w:pPr>
    </w:p>
    <w:p w14:paraId="67571663" w14:textId="77777777" w:rsidR="004A6C16" w:rsidRPr="009B4A78" w:rsidRDefault="004A6C16" w:rsidP="00F33E49">
      <w:pPr>
        <w:rPr>
          <w:rFonts w:ascii="Arial" w:hAnsi="Arial" w:cs="Arial"/>
          <w:sz w:val="20"/>
          <w:szCs w:val="20"/>
        </w:rPr>
      </w:pPr>
    </w:p>
    <w:p w14:paraId="1302C722" w14:textId="77777777" w:rsidR="004A6C16" w:rsidRPr="009B4A78" w:rsidRDefault="004A6C16" w:rsidP="00F33E49">
      <w:pPr>
        <w:pStyle w:val="BodyText"/>
        <w:rPr>
          <w:szCs w:val="22"/>
        </w:rPr>
      </w:pPr>
      <w:r w:rsidRPr="009B4A78">
        <w:rPr>
          <w:spacing w:val="-11"/>
          <w:w w:val="110"/>
          <w:szCs w:val="22"/>
        </w:rPr>
        <w:t xml:space="preserve">PLANNING </w:t>
      </w:r>
      <w:r w:rsidRPr="009B4A78">
        <w:rPr>
          <w:w w:val="110"/>
          <w:position w:val="1"/>
          <w:szCs w:val="22"/>
        </w:rPr>
        <w:t>CONTEXT</w:t>
      </w:r>
    </w:p>
    <w:p w14:paraId="08E9E8AA" w14:textId="77777777" w:rsidR="004A6C16" w:rsidRPr="00DB4F15" w:rsidRDefault="004A6C16" w:rsidP="00B66A4A">
      <w:pPr>
        <w:pStyle w:val="BodyText"/>
        <w:widowControl w:val="0"/>
        <w:numPr>
          <w:ilvl w:val="1"/>
          <w:numId w:val="9"/>
        </w:numPr>
        <w:tabs>
          <w:tab w:val="left" w:pos="567"/>
        </w:tabs>
        <w:spacing w:after="0"/>
        <w:ind w:firstLine="0"/>
        <w:jc w:val="both"/>
        <w:rPr>
          <w:rFonts w:eastAsiaTheme="minorEastAsia"/>
          <w:sz w:val="20"/>
          <w:lang w:eastAsia="ja-JP"/>
        </w:rPr>
      </w:pPr>
      <w:r w:rsidRPr="00DB4F15">
        <w:rPr>
          <w:rFonts w:eastAsiaTheme="minorEastAsia"/>
          <w:sz w:val="20"/>
          <w:lang w:eastAsia="ja-JP"/>
        </w:rPr>
        <w:t>In an IP-driven economy, stakeholders need to integrate conflict management into business processes (for example, the development of new technologies), contracting practices, and broader enforcement policies.  Awareness of dispute resolution risks and opportunities can help to minimize the disruption, which such disputes can cause in the exploitation of IP rights.</w:t>
      </w:r>
    </w:p>
    <w:p w14:paraId="108F753D" w14:textId="77777777" w:rsidR="004A6C16" w:rsidRPr="00DB4F15" w:rsidRDefault="004A6C16" w:rsidP="00DB4F15">
      <w:pPr>
        <w:tabs>
          <w:tab w:val="left" w:pos="567"/>
        </w:tabs>
        <w:jc w:val="both"/>
        <w:rPr>
          <w:rFonts w:ascii="Arial" w:hAnsi="Arial" w:cs="Arial"/>
          <w:sz w:val="20"/>
          <w:szCs w:val="20"/>
        </w:rPr>
      </w:pPr>
    </w:p>
    <w:p w14:paraId="6A915077" w14:textId="77777777" w:rsidR="004A6C16" w:rsidRPr="00DB4F15" w:rsidRDefault="004A6C16" w:rsidP="00B66A4A">
      <w:pPr>
        <w:pStyle w:val="BodyText"/>
        <w:widowControl w:val="0"/>
        <w:numPr>
          <w:ilvl w:val="1"/>
          <w:numId w:val="9"/>
        </w:numPr>
        <w:tabs>
          <w:tab w:val="left" w:pos="567"/>
          <w:tab w:val="left" w:pos="854"/>
        </w:tabs>
        <w:spacing w:after="0"/>
        <w:ind w:firstLine="0"/>
        <w:jc w:val="both"/>
        <w:rPr>
          <w:rFonts w:eastAsiaTheme="minorEastAsia"/>
          <w:sz w:val="20"/>
          <w:lang w:eastAsia="ja-JP"/>
        </w:rPr>
      </w:pPr>
      <w:r w:rsidRPr="00DB4F15">
        <w:rPr>
          <w:rFonts w:eastAsiaTheme="minorEastAsia"/>
          <w:sz w:val="20"/>
          <w:lang w:eastAsia="ja-JP"/>
        </w:rPr>
        <w:t>Courts and IP authorities tend to offer formal territorial solutions resulting from generally applicable rights-based procedures, but as the creation and use of IP are becoming more internationalized, rights holders and users are increasingly looking for cross-border solutions to their disputes.  As a global resource center, the WIPO Arbitration and Mediation Center, assists in these efforts by enhancing awareness and, as a service provider, by offering dispute management tools on the basis of WIPO-facilitated clauses and rules.  The potential beneficiaries of this activity include private entities as well as public authorities aiming to use alternative dispute resolution (ADR) options.</w:t>
      </w:r>
    </w:p>
    <w:p w14:paraId="63C8E4FB" w14:textId="77777777" w:rsidR="004A6C16" w:rsidRPr="00DB4F15" w:rsidRDefault="004A6C16" w:rsidP="00DB4F15">
      <w:pPr>
        <w:pStyle w:val="BodyText"/>
        <w:tabs>
          <w:tab w:val="left" w:pos="567"/>
          <w:tab w:val="left" w:pos="876"/>
        </w:tabs>
        <w:spacing w:after="0"/>
        <w:jc w:val="both"/>
        <w:rPr>
          <w:rFonts w:eastAsiaTheme="minorEastAsia"/>
          <w:sz w:val="20"/>
          <w:lang w:eastAsia="ja-JP"/>
        </w:rPr>
      </w:pPr>
    </w:p>
    <w:p w14:paraId="2D0565C6" w14:textId="77777777" w:rsidR="004A6C16" w:rsidRPr="00DB4F15" w:rsidRDefault="004A6C16" w:rsidP="00B66A4A">
      <w:pPr>
        <w:pStyle w:val="BodyText"/>
        <w:widowControl w:val="0"/>
        <w:numPr>
          <w:ilvl w:val="1"/>
          <w:numId w:val="9"/>
        </w:numPr>
        <w:tabs>
          <w:tab w:val="left" w:pos="567"/>
          <w:tab w:val="left" w:pos="876"/>
        </w:tabs>
        <w:spacing w:after="0"/>
        <w:ind w:firstLine="0"/>
        <w:jc w:val="both"/>
        <w:rPr>
          <w:rFonts w:eastAsiaTheme="minorEastAsia"/>
          <w:sz w:val="20"/>
          <w:lang w:eastAsia="ja-JP"/>
        </w:rPr>
      </w:pPr>
      <w:r w:rsidRPr="00DB4F15">
        <w:rPr>
          <w:rFonts w:eastAsiaTheme="minorEastAsia"/>
          <w:sz w:val="20"/>
          <w:lang w:eastAsia="ja-JP"/>
        </w:rPr>
        <w:t>The WIPO Arbitration and Mediation Center develops and maintains ADR frameworks for IP.  At the same time, for commercial and policy reasons, numerous private as well as public ADR service providers compete in the provision of such mechanisms.</w:t>
      </w:r>
    </w:p>
    <w:p w14:paraId="431E28AF" w14:textId="77777777" w:rsidR="004A6C16" w:rsidRPr="00DB4F15" w:rsidRDefault="004A6C16" w:rsidP="00DB4F15">
      <w:pPr>
        <w:pStyle w:val="BodyText"/>
        <w:tabs>
          <w:tab w:val="left" w:pos="567"/>
          <w:tab w:val="left" w:pos="876"/>
        </w:tabs>
        <w:spacing w:after="0"/>
        <w:jc w:val="both"/>
        <w:rPr>
          <w:rFonts w:eastAsiaTheme="minorEastAsia"/>
          <w:sz w:val="20"/>
          <w:lang w:eastAsia="ja-JP"/>
        </w:rPr>
      </w:pPr>
    </w:p>
    <w:p w14:paraId="770B8D8C" w14:textId="77777777" w:rsidR="004A6C16" w:rsidRPr="00DB4F15" w:rsidRDefault="004A6C16" w:rsidP="00B66A4A">
      <w:pPr>
        <w:pStyle w:val="BodyText"/>
        <w:widowControl w:val="0"/>
        <w:numPr>
          <w:ilvl w:val="1"/>
          <w:numId w:val="9"/>
        </w:numPr>
        <w:tabs>
          <w:tab w:val="left" w:pos="567"/>
          <w:tab w:val="left" w:pos="876"/>
        </w:tabs>
        <w:spacing w:after="0"/>
        <w:ind w:firstLine="0"/>
        <w:jc w:val="both"/>
        <w:rPr>
          <w:rFonts w:eastAsiaTheme="minorEastAsia"/>
          <w:sz w:val="20"/>
          <w:lang w:eastAsia="ja-JP"/>
        </w:rPr>
      </w:pPr>
      <w:r w:rsidRPr="00DB4F15">
        <w:rPr>
          <w:rFonts w:eastAsiaTheme="minorEastAsia"/>
          <w:sz w:val="20"/>
          <w:lang w:eastAsia="ja-JP"/>
        </w:rPr>
        <w:t>An example of the potential of ADR for IP is the WIPO-initiated Uniform Domain Name Dispute Resolution Policy (UDRP).  Under this global online alternative to court litigation for addressing trademark abuse in the Domain Name System (DNS), the WIPO Arbitration and Mediation Center has processed over 30,000 cases through 2014.  The DNS landscape is undergoing considerable change in the form of a broad expansion of the number of generic top-level Domains (gTLDs) and the introduction of internationalized (non-Latin script) gTLDs and domain names.</w:t>
      </w:r>
    </w:p>
    <w:p w14:paraId="11423B1C" w14:textId="77777777" w:rsidR="004A6C16" w:rsidRPr="00DB4F15" w:rsidRDefault="004A6C16" w:rsidP="00DB4F15">
      <w:pPr>
        <w:pStyle w:val="BodyText"/>
        <w:tabs>
          <w:tab w:val="left" w:pos="567"/>
          <w:tab w:val="left" w:pos="876"/>
        </w:tabs>
        <w:spacing w:after="0"/>
        <w:jc w:val="both"/>
        <w:rPr>
          <w:rFonts w:eastAsiaTheme="minorEastAsia"/>
          <w:sz w:val="20"/>
          <w:lang w:eastAsia="ja-JP"/>
        </w:rPr>
      </w:pPr>
    </w:p>
    <w:p w14:paraId="34E24F67" w14:textId="77777777" w:rsidR="004A6C16" w:rsidRPr="00DB4F15" w:rsidRDefault="004A6C16" w:rsidP="00B66A4A">
      <w:pPr>
        <w:pStyle w:val="BodyText"/>
        <w:widowControl w:val="0"/>
        <w:numPr>
          <w:ilvl w:val="1"/>
          <w:numId w:val="9"/>
        </w:numPr>
        <w:tabs>
          <w:tab w:val="left" w:pos="567"/>
          <w:tab w:val="left" w:pos="876"/>
        </w:tabs>
        <w:spacing w:after="0"/>
        <w:ind w:firstLine="0"/>
        <w:jc w:val="both"/>
        <w:rPr>
          <w:rFonts w:eastAsiaTheme="minorEastAsia"/>
          <w:sz w:val="20"/>
          <w:lang w:eastAsia="ja-JP"/>
        </w:rPr>
      </w:pPr>
      <w:r w:rsidRPr="00DB4F15">
        <w:rPr>
          <w:rFonts w:eastAsiaTheme="minorEastAsia"/>
          <w:sz w:val="20"/>
          <w:lang w:eastAsia="ja-JP"/>
        </w:rPr>
        <w:t>In order to reduce the adverse impact of these uncertain conditions on IP, the WIPO Arbitration and Mediation Center continues to play a proactive role in monitoring solutions to be adopted by the Internet Corporation for Assigned Names and Numbers (ICANN). In the same connection, substantial changes in UDRP demand may impact on this WIPO service.</w:t>
      </w:r>
    </w:p>
    <w:p w14:paraId="690CFF07" w14:textId="77777777" w:rsidR="004A6C16" w:rsidRPr="00DB4F15" w:rsidRDefault="004A6C16" w:rsidP="00DB4F15">
      <w:pPr>
        <w:pStyle w:val="BodyText"/>
        <w:tabs>
          <w:tab w:val="left" w:pos="567"/>
          <w:tab w:val="left" w:pos="876"/>
        </w:tabs>
        <w:spacing w:after="0"/>
        <w:jc w:val="both"/>
        <w:rPr>
          <w:rFonts w:eastAsiaTheme="minorEastAsia"/>
          <w:sz w:val="20"/>
          <w:lang w:eastAsia="ja-JP"/>
        </w:rPr>
      </w:pPr>
    </w:p>
    <w:p w14:paraId="32A09CDD" w14:textId="77777777" w:rsidR="004A6C16" w:rsidRPr="00DB4F15" w:rsidRDefault="004A6C16" w:rsidP="00B66A4A">
      <w:pPr>
        <w:pStyle w:val="BodyText"/>
        <w:widowControl w:val="0"/>
        <w:numPr>
          <w:ilvl w:val="1"/>
          <w:numId w:val="9"/>
        </w:numPr>
        <w:tabs>
          <w:tab w:val="left" w:pos="567"/>
          <w:tab w:val="left" w:pos="876"/>
        </w:tabs>
        <w:spacing w:after="0"/>
        <w:ind w:firstLine="0"/>
        <w:jc w:val="both"/>
        <w:rPr>
          <w:rFonts w:eastAsiaTheme="minorEastAsia"/>
          <w:sz w:val="20"/>
          <w:lang w:eastAsia="ja-JP"/>
        </w:rPr>
      </w:pPr>
      <w:r w:rsidRPr="00DB4F15">
        <w:rPr>
          <w:rFonts w:eastAsiaTheme="minorEastAsia"/>
          <w:sz w:val="20"/>
          <w:lang w:eastAsia="ja-JP"/>
        </w:rPr>
        <w:t>The WIPO Arbitration and Mediation Center assists country code top-level Domains (ccTLDs) in the establishment of best registry practices and domain name dispute resolution mechanisms.  In the area of IP ADR more generally, national IP authorities call on the WIPO Arbitration and Mediation Center for input on the development of optional ADR mechanisms complementing their existing procedures.  The WIPO Arbitration and Mediation Center also organizes training programs for IP officials, practitioners and students, including online programs.  These training and capacity building activities, conducted in line with DA Recommendations 1 and 6, will contribute to the implementation of DA Recommendation 10 by ensuring that developing countries and LDCs have enhanced institutional capacity to efficiently, fairly and cost-effectively resolve IP disputes.</w:t>
      </w:r>
    </w:p>
    <w:p w14:paraId="56AEA4A6" w14:textId="77777777" w:rsidR="004A6C16" w:rsidRPr="00DB4F15" w:rsidRDefault="004A6C16" w:rsidP="00DB4F15">
      <w:pPr>
        <w:tabs>
          <w:tab w:val="left" w:pos="567"/>
        </w:tabs>
        <w:jc w:val="both"/>
        <w:rPr>
          <w:rFonts w:ascii="Arial" w:hAnsi="Arial" w:cs="Arial"/>
          <w:sz w:val="20"/>
          <w:szCs w:val="20"/>
        </w:rPr>
      </w:pPr>
    </w:p>
    <w:p w14:paraId="04EF5065" w14:textId="77777777" w:rsidR="004A6C16" w:rsidRPr="00DB4F15" w:rsidRDefault="004A6C16" w:rsidP="00DB4F15">
      <w:pPr>
        <w:tabs>
          <w:tab w:val="left" w:pos="567"/>
        </w:tabs>
        <w:jc w:val="both"/>
        <w:rPr>
          <w:rFonts w:ascii="Arial" w:hAnsi="Arial" w:cs="Arial"/>
          <w:sz w:val="20"/>
          <w:szCs w:val="20"/>
        </w:rPr>
      </w:pPr>
    </w:p>
    <w:p w14:paraId="6BEBEF3B" w14:textId="77777777" w:rsidR="004A6C16" w:rsidRPr="009B4A78" w:rsidRDefault="004A6C16" w:rsidP="00DB4F15">
      <w:pPr>
        <w:tabs>
          <w:tab w:val="left" w:pos="567"/>
          <w:tab w:val="left" w:pos="1985"/>
        </w:tabs>
        <w:jc w:val="both"/>
        <w:rPr>
          <w:rFonts w:ascii="Arial" w:hAnsi="Arial" w:cs="Arial"/>
          <w:bCs/>
        </w:rPr>
      </w:pPr>
      <w:r w:rsidRPr="009B4A78">
        <w:rPr>
          <w:rFonts w:ascii="Arial" w:hAnsi="Arial" w:cs="Arial"/>
          <w:bCs/>
        </w:rPr>
        <w:t>IMPLEMENTATION STRATEGIES</w:t>
      </w:r>
    </w:p>
    <w:p w14:paraId="5545A1A5" w14:textId="77777777" w:rsidR="004A6C16" w:rsidRPr="00DB4F15" w:rsidRDefault="004A6C16" w:rsidP="00DB4F15">
      <w:pPr>
        <w:tabs>
          <w:tab w:val="left" w:pos="567"/>
        </w:tabs>
        <w:jc w:val="both"/>
        <w:rPr>
          <w:rFonts w:ascii="Arial" w:hAnsi="Arial" w:cs="Arial"/>
          <w:sz w:val="20"/>
          <w:szCs w:val="20"/>
        </w:rPr>
      </w:pPr>
    </w:p>
    <w:p w14:paraId="6B57107A" w14:textId="77777777" w:rsidR="004A6C16" w:rsidRPr="00DB4F15" w:rsidRDefault="004A6C16" w:rsidP="00B66A4A">
      <w:pPr>
        <w:pStyle w:val="BodyText"/>
        <w:widowControl w:val="0"/>
        <w:numPr>
          <w:ilvl w:val="1"/>
          <w:numId w:val="9"/>
        </w:numPr>
        <w:tabs>
          <w:tab w:val="left" w:pos="567"/>
          <w:tab w:val="left" w:pos="709"/>
        </w:tabs>
        <w:spacing w:after="0"/>
        <w:ind w:firstLine="0"/>
        <w:jc w:val="both"/>
        <w:rPr>
          <w:rFonts w:eastAsiaTheme="minorEastAsia"/>
          <w:sz w:val="20"/>
          <w:lang w:eastAsia="ja-JP"/>
        </w:rPr>
      </w:pPr>
      <w:r w:rsidRPr="00DB4F15">
        <w:rPr>
          <w:rFonts w:eastAsiaTheme="minorEastAsia"/>
          <w:sz w:val="20"/>
          <w:lang w:eastAsia="ja-JP"/>
        </w:rPr>
        <w:t>Against this background, the WIPO Arbitration and Mediation Center will pursue the following strategies:</w:t>
      </w:r>
    </w:p>
    <w:p w14:paraId="06201AD9" w14:textId="77777777" w:rsidR="004A6C16" w:rsidRPr="00DB4F15" w:rsidRDefault="004A6C16" w:rsidP="00DB4F15">
      <w:pPr>
        <w:tabs>
          <w:tab w:val="left" w:pos="567"/>
        </w:tabs>
        <w:jc w:val="both"/>
        <w:rPr>
          <w:rFonts w:ascii="Arial" w:hAnsi="Arial" w:cs="Arial"/>
          <w:sz w:val="20"/>
          <w:szCs w:val="20"/>
        </w:rPr>
      </w:pPr>
    </w:p>
    <w:p w14:paraId="18B2BA58" w14:textId="77777777" w:rsidR="004A6C16" w:rsidRPr="00DB4F15" w:rsidRDefault="004A6C16" w:rsidP="00B66A4A">
      <w:pPr>
        <w:pStyle w:val="BodyText"/>
        <w:widowControl w:val="0"/>
        <w:numPr>
          <w:ilvl w:val="2"/>
          <w:numId w:val="9"/>
        </w:numPr>
        <w:tabs>
          <w:tab w:val="left" w:pos="567"/>
          <w:tab w:val="left" w:pos="1134"/>
        </w:tabs>
        <w:spacing w:after="0"/>
        <w:ind w:left="567" w:firstLine="0"/>
        <w:jc w:val="both"/>
        <w:rPr>
          <w:position w:val="1"/>
          <w:sz w:val="20"/>
        </w:rPr>
      </w:pPr>
      <w:r w:rsidRPr="00DB4F15">
        <w:rPr>
          <w:position w:val="1"/>
          <w:sz w:val="20"/>
        </w:rPr>
        <w:t xml:space="preserve">Enhancing </w:t>
      </w:r>
      <w:r w:rsidRPr="00DB4F15">
        <w:rPr>
          <w:sz w:val="20"/>
        </w:rPr>
        <w:t xml:space="preserve">awareness among stakeholders of IP ADR options.  </w:t>
      </w:r>
    </w:p>
    <w:p w14:paraId="1BA38EB3" w14:textId="77777777" w:rsidR="004A6C16" w:rsidRPr="00DB4F15" w:rsidRDefault="004A6C16" w:rsidP="00DB4F15">
      <w:pPr>
        <w:pStyle w:val="BodyText"/>
        <w:tabs>
          <w:tab w:val="left" w:pos="567"/>
          <w:tab w:val="left" w:pos="1080"/>
          <w:tab w:val="left" w:pos="1330"/>
        </w:tabs>
        <w:spacing w:after="0"/>
        <w:ind w:left="1080" w:hanging="513"/>
        <w:jc w:val="both"/>
        <w:rPr>
          <w:position w:val="1"/>
          <w:sz w:val="20"/>
        </w:rPr>
      </w:pPr>
    </w:p>
    <w:p w14:paraId="6CA61C80" w14:textId="77777777" w:rsidR="004A6C16" w:rsidRPr="00DB4F15" w:rsidRDefault="004A6C16" w:rsidP="00B66A4A">
      <w:pPr>
        <w:pStyle w:val="BodyText"/>
        <w:widowControl w:val="0"/>
        <w:numPr>
          <w:ilvl w:val="2"/>
          <w:numId w:val="9"/>
        </w:numPr>
        <w:tabs>
          <w:tab w:val="left" w:pos="567"/>
          <w:tab w:val="left" w:pos="1134"/>
        </w:tabs>
        <w:spacing w:after="0"/>
        <w:ind w:left="567" w:firstLine="0"/>
        <w:jc w:val="both"/>
        <w:rPr>
          <w:position w:val="1"/>
          <w:sz w:val="20"/>
        </w:rPr>
      </w:pPr>
      <w:r w:rsidRPr="00DB4F15">
        <w:rPr>
          <w:position w:val="1"/>
          <w:sz w:val="20"/>
        </w:rPr>
        <w:t>Increasing the attractiveness of dispute resolution services offered by the WIPO Arbitration and Mediation Center by adapting its procedures and case infrastructure to the evolving needs of users, including through IT-based solutions.</w:t>
      </w:r>
    </w:p>
    <w:p w14:paraId="3BA05289" w14:textId="77777777" w:rsidR="004A6C16" w:rsidRPr="00DB4F15" w:rsidRDefault="004A6C16" w:rsidP="00DB4F15">
      <w:pPr>
        <w:tabs>
          <w:tab w:val="left" w:pos="567"/>
          <w:tab w:val="left" w:pos="1080"/>
        </w:tabs>
        <w:ind w:left="1080" w:hanging="513"/>
        <w:jc w:val="both"/>
        <w:rPr>
          <w:rFonts w:ascii="Arial" w:hAnsi="Arial" w:cs="Arial"/>
          <w:sz w:val="20"/>
          <w:szCs w:val="20"/>
        </w:rPr>
      </w:pPr>
    </w:p>
    <w:p w14:paraId="108B2B2A" w14:textId="77777777" w:rsidR="004A6C16" w:rsidRPr="00DB4F15" w:rsidRDefault="004A6C16" w:rsidP="00B66A4A">
      <w:pPr>
        <w:pStyle w:val="BodyText"/>
        <w:widowControl w:val="0"/>
        <w:numPr>
          <w:ilvl w:val="2"/>
          <w:numId w:val="9"/>
        </w:numPr>
        <w:tabs>
          <w:tab w:val="left" w:pos="567"/>
          <w:tab w:val="left" w:pos="1134"/>
        </w:tabs>
        <w:spacing w:after="0"/>
        <w:ind w:left="567" w:firstLine="0"/>
        <w:jc w:val="both"/>
        <w:rPr>
          <w:position w:val="1"/>
          <w:sz w:val="20"/>
        </w:rPr>
      </w:pPr>
      <w:r w:rsidRPr="00DB4F15">
        <w:rPr>
          <w:position w:val="1"/>
          <w:sz w:val="20"/>
        </w:rPr>
        <w:t xml:space="preserve">Working </w:t>
      </w:r>
      <w:r w:rsidRPr="00DB4F15">
        <w:rPr>
          <w:sz w:val="20"/>
        </w:rPr>
        <w:t xml:space="preserve">with </w:t>
      </w:r>
      <w:r w:rsidRPr="00DB4F15">
        <w:rPr>
          <w:position w:val="1"/>
          <w:sz w:val="20"/>
        </w:rPr>
        <w:t xml:space="preserve">IP owners, users, </w:t>
      </w:r>
      <w:r w:rsidRPr="00DB4F15">
        <w:rPr>
          <w:sz w:val="20"/>
        </w:rPr>
        <w:t xml:space="preserve">Offices and other entities to establish </w:t>
      </w:r>
      <w:r w:rsidRPr="00DB4F15">
        <w:rPr>
          <w:position w:val="1"/>
          <w:sz w:val="20"/>
        </w:rPr>
        <w:t xml:space="preserve">procedures </w:t>
      </w:r>
      <w:r w:rsidRPr="00DB4F15">
        <w:rPr>
          <w:sz w:val="20"/>
        </w:rPr>
        <w:t xml:space="preserve">specifically adapted to the particular features of recurrent disputes in their areas of activity.  </w:t>
      </w:r>
    </w:p>
    <w:p w14:paraId="4603921F" w14:textId="77777777" w:rsidR="004A6C16" w:rsidRDefault="004A6C16" w:rsidP="00F33E49">
      <w:pPr>
        <w:pStyle w:val="BodyText"/>
        <w:tabs>
          <w:tab w:val="left" w:pos="1080"/>
        </w:tabs>
        <w:ind w:hanging="513"/>
        <w:jc w:val="both"/>
        <w:rPr>
          <w:position w:val="1"/>
          <w:sz w:val="20"/>
        </w:rPr>
      </w:pPr>
    </w:p>
    <w:p w14:paraId="00B4F491" w14:textId="71575DC8" w:rsidR="007A5A68" w:rsidRPr="007A5A68" w:rsidRDefault="007A5A68" w:rsidP="00B66A4A">
      <w:pPr>
        <w:pStyle w:val="BodyText"/>
        <w:keepNext/>
        <w:keepLines/>
        <w:widowControl w:val="0"/>
        <w:numPr>
          <w:ilvl w:val="1"/>
          <w:numId w:val="9"/>
        </w:numPr>
        <w:tabs>
          <w:tab w:val="left" w:pos="567"/>
          <w:tab w:val="left" w:pos="876"/>
        </w:tabs>
        <w:spacing w:after="0"/>
        <w:ind w:firstLine="0"/>
        <w:jc w:val="both"/>
        <w:rPr>
          <w:sz w:val="20"/>
        </w:rPr>
      </w:pPr>
      <w:r w:rsidRPr="007A5A68">
        <w:rPr>
          <w:rFonts w:eastAsiaTheme="minorEastAsia"/>
          <w:sz w:val="20"/>
          <w:lang w:eastAsia="ja-JP"/>
        </w:rPr>
        <w:lastRenderedPageBreak/>
        <w:t xml:space="preserve">Program </w:t>
      </w:r>
      <w:r>
        <w:rPr>
          <w:rFonts w:eastAsiaTheme="minorEastAsia"/>
          <w:sz w:val="20"/>
          <w:lang w:eastAsia="ja-JP"/>
        </w:rPr>
        <w:t>7</w:t>
      </w:r>
      <w:r w:rsidRPr="007A5A68">
        <w:rPr>
          <w:rFonts w:eastAsiaTheme="minorEastAsia"/>
          <w:sz w:val="20"/>
          <w:lang w:eastAsia="ja-JP"/>
        </w:rPr>
        <w:t xml:space="preserve"> collaborates primarily with other Programs as illustrated below: </w:t>
      </w:r>
    </w:p>
    <w:p w14:paraId="5824393E" w14:textId="77777777" w:rsidR="007A5A68" w:rsidRPr="00DB4F15" w:rsidRDefault="007A5A68" w:rsidP="005412E8">
      <w:pPr>
        <w:pStyle w:val="BodyText"/>
        <w:keepNext/>
        <w:keepLines/>
        <w:tabs>
          <w:tab w:val="left" w:pos="1080"/>
        </w:tabs>
        <w:ind w:hanging="513"/>
        <w:jc w:val="both"/>
        <w:rPr>
          <w:position w:val="1"/>
          <w:sz w:val="20"/>
        </w:rPr>
      </w:pPr>
    </w:p>
    <w:p w14:paraId="12097B04" w14:textId="77777777" w:rsidR="004A6C16" w:rsidRPr="009B4A78" w:rsidRDefault="004A6C16" w:rsidP="005412E8">
      <w:pPr>
        <w:pStyle w:val="BodyText"/>
        <w:keepNext/>
        <w:keepLines/>
        <w:tabs>
          <w:tab w:val="left" w:pos="1377"/>
        </w:tabs>
        <w:jc w:val="both"/>
        <w:rPr>
          <w:position w:val="1"/>
          <w:szCs w:val="22"/>
        </w:rPr>
      </w:pPr>
      <w:r w:rsidRPr="009B4A78">
        <w:rPr>
          <w:noProof/>
        </w:rPr>
        <w:drawing>
          <wp:inline distT="0" distB="0" distL="0" distR="0" wp14:anchorId="24049177" wp14:editId="5E4D3D7F">
            <wp:extent cx="5956300" cy="2709975"/>
            <wp:effectExtent l="0" t="19050" r="0" b="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14:paraId="6FDC52FC" w14:textId="605EA123" w:rsidR="004A6C16" w:rsidRPr="009B4A78" w:rsidRDefault="004A6C16" w:rsidP="004A6C16">
      <w:pPr>
        <w:rPr>
          <w:rFonts w:ascii="Arial" w:hAnsi="Arial" w:cs="Arial"/>
        </w:rPr>
      </w:pPr>
      <w:r w:rsidRPr="009B4A78">
        <w:rPr>
          <w:rFonts w:ascii="Arial" w:hAnsi="Arial" w:cs="Arial"/>
        </w:rPr>
        <w:t>MAJOR RISKS AND MITIGATION STRATEGIES</w:t>
      </w:r>
    </w:p>
    <w:p w14:paraId="7268898D" w14:textId="77777777" w:rsidR="004A6C16" w:rsidRPr="009B4A78" w:rsidRDefault="004A6C16" w:rsidP="00F33E49">
      <w:pPr>
        <w:pStyle w:val="BodyText"/>
        <w:rPr>
          <w:w w:val="95"/>
        </w:rPr>
      </w:pPr>
    </w:p>
    <w:tbl>
      <w:tblPr>
        <w:tblW w:w="939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81"/>
      </w:tblGrid>
      <w:tr w:rsidR="004A6C16" w:rsidRPr="009B4A78" w14:paraId="4BCDBEC2" w14:textId="77777777" w:rsidTr="00FB68E0">
        <w:trPr>
          <w:trHeight w:val="577"/>
        </w:trPr>
        <w:tc>
          <w:tcPr>
            <w:tcW w:w="4111" w:type="dxa"/>
            <w:tcBorders>
              <w:top w:val="single" w:sz="4" w:space="0" w:color="auto"/>
              <w:bottom w:val="single" w:sz="4" w:space="0" w:color="auto"/>
            </w:tcBorders>
            <w:shd w:val="clear" w:color="auto" w:fill="C6D9F1" w:themeFill="text2" w:themeFillTint="33"/>
            <w:vAlign w:val="center"/>
          </w:tcPr>
          <w:p w14:paraId="2F71D7BE" w14:textId="77777777" w:rsidR="004A6C16" w:rsidRPr="009B4A78" w:rsidRDefault="004A6C16" w:rsidP="00F33E49">
            <w:pPr>
              <w:keepNext/>
              <w:keepLines/>
              <w:jc w:val="center"/>
              <w:rPr>
                <w:rFonts w:ascii="Arial" w:hAnsi="Arial" w:cs="Arial"/>
                <w:b/>
                <w:bCs/>
                <w:sz w:val="18"/>
                <w:szCs w:val="18"/>
              </w:rPr>
            </w:pPr>
            <w:r w:rsidRPr="009B4A78">
              <w:rPr>
                <w:rFonts w:ascii="Arial" w:hAnsi="Arial" w:cs="Arial"/>
                <w:b/>
                <w:bCs/>
                <w:sz w:val="18"/>
                <w:szCs w:val="18"/>
              </w:rPr>
              <w:t>Risk</w:t>
            </w:r>
          </w:p>
        </w:tc>
        <w:tc>
          <w:tcPr>
            <w:tcW w:w="5281" w:type="dxa"/>
            <w:tcBorders>
              <w:top w:val="single" w:sz="4" w:space="0" w:color="auto"/>
              <w:bottom w:val="single" w:sz="4" w:space="0" w:color="auto"/>
            </w:tcBorders>
            <w:shd w:val="clear" w:color="auto" w:fill="C6D9F1" w:themeFill="text2" w:themeFillTint="33"/>
            <w:vAlign w:val="center"/>
          </w:tcPr>
          <w:p w14:paraId="3D6E4EB1" w14:textId="77777777" w:rsidR="004A6C16" w:rsidRPr="009B4A78" w:rsidRDefault="004A6C16" w:rsidP="00F33E49">
            <w:pPr>
              <w:keepNext/>
              <w:keepLines/>
              <w:jc w:val="center"/>
              <w:rPr>
                <w:rFonts w:ascii="Arial" w:hAnsi="Arial" w:cs="Arial"/>
                <w:b/>
                <w:bCs/>
                <w:sz w:val="18"/>
                <w:szCs w:val="18"/>
              </w:rPr>
            </w:pPr>
            <w:r w:rsidRPr="009B4A78">
              <w:rPr>
                <w:rFonts w:ascii="Arial" w:hAnsi="Arial" w:cs="Arial"/>
                <w:b/>
                <w:bCs/>
                <w:sz w:val="18"/>
                <w:szCs w:val="18"/>
              </w:rPr>
              <w:t>Mitigation</w:t>
            </w:r>
          </w:p>
        </w:tc>
      </w:tr>
      <w:tr w:rsidR="004A6C16" w:rsidRPr="009B4A78" w14:paraId="784F3D85" w14:textId="77777777" w:rsidTr="00F33E49">
        <w:trPr>
          <w:trHeight w:val="1140"/>
        </w:trPr>
        <w:tc>
          <w:tcPr>
            <w:tcW w:w="4111" w:type="dxa"/>
            <w:tcBorders>
              <w:top w:val="single" w:sz="4" w:space="0" w:color="auto"/>
            </w:tcBorders>
            <w:shd w:val="clear" w:color="auto" w:fill="auto"/>
            <w:tcMar>
              <w:top w:w="113" w:type="dxa"/>
              <w:bottom w:w="113" w:type="dxa"/>
            </w:tcMar>
          </w:tcPr>
          <w:p w14:paraId="2F1BE5E1" w14:textId="77777777" w:rsidR="004A6C16" w:rsidRPr="009B4A78" w:rsidRDefault="004A6C16" w:rsidP="00F33E49">
            <w:pPr>
              <w:keepNext/>
              <w:keepLines/>
              <w:rPr>
                <w:rFonts w:ascii="Arial" w:hAnsi="Arial" w:cs="Arial"/>
                <w:color w:val="000000"/>
                <w:sz w:val="16"/>
                <w:szCs w:val="16"/>
              </w:rPr>
            </w:pPr>
            <w:r w:rsidRPr="009B4A78">
              <w:rPr>
                <w:rFonts w:ascii="Arial" w:hAnsi="Arial" w:cs="Arial"/>
                <w:color w:val="000000"/>
                <w:sz w:val="16"/>
                <w:szCs w:val="16"/>
              </w:rPr>
              <w:t>Reduced market recognition of WIPO arbitration and mediation services.</w:t>
            </w:r>
          </w:p>
          <w:p w14:paraId="5C4EB490" w14:textId="77777777" w:rsidR="004A6C16" w:rsidRPr="009B4A78" w:rsidRDefault="004A6C16" w:rsidP="00F33E49">
            <w:pPr>
              <w:keepNext/>
              <w:keepLines/>
              <w:rPr>
                <w:rFonts w:ascii="Arial" w:hAnsi="Arial" w:cs="Arial"/>
                <w:sz w:val="16"/>
                <w:szCs w:val="16"/>
              </w:rPr>
            </w:pPr>
          </w:p>
        </w:tc>
        <w:tc>
          <w:tcPr>
            <w:tcW w:w="5281" w:type="dxa"/>
            <w:tcBorders>
              <w:top w:val="single" w:sz="4" w:space="0" w:color="auto"/>
            </w:tcBorders>
            <w:shd w:val="clear" w:color="auto" w:fill="auto"/>
            <w:tcMar>
              <w:top w:w="113" w:type="dxa"/>
              <w:bottom w:w="113" w:type="dxa"/>
            </w:tcMar>
          </w:tcPr>
          <w:p w14:paraId="5271F19F" w14:textId="77777777" w:rsidR="004A6C16" w:rsidRPr="009B4A78" w:rsidRDefault="004A6C16" w:rsidP="00F33E49">
            <w:pPr>
              <w:keepNext/>
              <w:keepLines/>
              <w:rPr>
                <w:rFonts w:ascii="Arial" w:hAnsi="Arial" w:cs="Arial"/>
                <w:sz w:val="16"/>
                <w:szCs w:val="16"/>
              </w:rPr>
            </w:pPr>
            <w:r w:rsidRPr="009B4A78">
              <w:rPr>
                <w:rFonts w:ascii="Arial" w:hAnsi="Arial" w:cs="Arial"/>
                <w:color w:val="000000"/>
                <w:sz w:val="16"/>
                <w:szCs w:val="16"/>
              </w:rPr>
              <w:t>Leveraging Center position as the international IP ADR specialist:  intensified collaboration with the PCT and other Programs;  participation in events through WIPO neutrals;  more regular partnering with IP and related associations;  maximizing use of Center presence in Singapore for increased regional activity;  working off new research on user practices and expectations;   upgrading of marketing infrastructure.</w:t>
            </w:r>
          </w:p>
        </w:tc>
      </w:tr>
      <w:tr w:rsidR="004A6C16" w:rsidRPr="009B4A78" w14:paraId="674ACF20" w14:textId="77777777" w:rsidTr="00F33E49">
        <w:trPr>
          <w:trHeight w:val="1188"/>
        </w:trPr>
        <w:tc>
          <w:tcPr>
            <w:tcW w:w="4111" w:type="dxa"/>
            <w:shd w:val="clear" w:color="auto" w:fill="auto"/>
            <w:tcMar>
              <w:top w:w="113" w:type="dxa"/>
              <w:bottom w:w="113" w:type="dxa"/>
            </w:tcMar>
          </w:tcPr>
          <w:p w14:paraId="12F81294" w14:textId="77777777" w:rsidR="004A6C16" w:rsidRPr="009B4A78" w:rsidRDefault="004A6C16" w:rsidP="00F33E49">
            <w:pPr>
              <w:keepNext/>
              <w:keepLines/>
              <w:rPr>
                <w:rFonts w:ascii="Arial" w:hAnsi="Arial" w:cs="Arial"/>
                <w:color w:val="000000"/>
                <w:sz w:val="16"/>
                <w:szCs w:val="16"/>
              </w:rPr>
            </w:pPr>
            <w:r w:rsidRPr="009B4A78">
              <w:rPr>
                <w:rFonts w:ascii="Arial" w:hAnsi="Arial" w:cs="Arial"/>
                <w:color w:val="000000"/>
                <w:sz w:val="16"/>
                <w:szCs w:val="16"/>
              </w:rPr>
              <w:t>Decrease in UDRP filing, affecting WIPO DNS policy influence and Center status in DNS ADR.</w:t>
            </w:r>
          </w:p>
          <w:p w14:paraId="51ED6399" w14:textId="77777777" w:rsidR="004A6C16" w:rsidRPr="009B4A78" w:rsidRDefault="004A6C16" w:rsidP="00F33E49">
            <w:pPr>
              <w:keepNext/>
              <w:keepLines/>
              <w:rPr>
                <w:rFonts w:ascii="Arial" w:hAnsi="Arial" w:cs="Arial"/>
                <w:color w:val="000000"/>
                <w:sz w:val="16"/>
                <w:szCs w:val="16"/>
              </w:rPr>
            </w:pPr>
          </w:p>
          <w:p w14:paraId="1B12C864" w14:textId="77777777" w:rsidR="004A6C16" w:rsidRPr="009B4A78" w:rsidRDefault="004A6C16" w:rsidP="00F33E49">
            <w:pPr>
              <w:keepNext/>
              <w:keepLines/>
              <w:rPr>
                <w:rFonts w:ascii="Arial" w:hAnsi="Arial" w:cs="Arial"/>
                <w:b/>
                <w:i/>
                <w:color w:val="000000"/>
                <w:sz w:val="16"/>
                <w:szCs w:val="16"/>
              </w:rPr>
            </w:pPr>
          </w:p>
        </w:tc>
        <w:tc>
          <w:tcPr>
            <w:tcW w:w="5281" w:type="dxa"/>
            <w:shd w:val="clear" w:color="auto" w:fill="auto"/>
            <w:tcMar>
              <w:top w:w="113" w:type="dxa"/>
              <w:bottom w:w="113" w:type="dxa"/>
            </w:tcMar>
          </w:tcPr>
          <w:p w14:paraId="3A9E55B5" w14:textId="06FEA2F1" w:rsidR="004A6C16" w:rsidRPr="009B4A78" w:rsidRDefault="004A6C16" w:rsidP="00F33E49">
            <w:pPr>
              <w:keepNext/>
              <w:keepLines/>
              <w:rPr>
                <w:rFonts w:ascii="Arial" w:hAnsi="Arial" w:cs="Arial"/>
                <w:color w:val="000000"/>
                <w:sz w:val="16"/>
                <w:szCs w:val="16"/>
              </w:rPr>
            </w:pPr>
            <w:r w:rsidRPr="009B4A78">
              <w:rPr>
                <w:rFonts w:ascii="Arial" w:hAnsi="Arial" w:cs="Arial"/>
                <w:color w:val="000000"/>
                <w:sz w:val="16"/>
                <w:szCs w:val="16"/>
              </w:rPr>
              <w:t>Increasing user-friendliness;  Adjusting UDRP procedures (where ICANN-tolerated);  continued Uniform Rapid Suspension (i.e.(URS)) monitoring;  participating in ICANN UDRP review;  more regular partnering with IP and related associations;  prioritizing case administration and policy development resources to strike balance between “staying in the market” and adding specific WIPO value.</w:t>
            </w:r>
          </w:p>
        </w:tc>
      </w:tr>
    </w:tbl>
    <w:p w14:paraId="3BF8FEAE" w14:textId="77777777" w:rsidR="004A6C16" w:rsidRPr="009B4A78" w:rsidRDefault="004A6C16" w:rsidP="00F33E49">
      <w:pPr>
        <w:rPr>
          <w:rFonts w:ascii="Arial" w:hAnsi="Arial" w:cs="Arial"/>
        </w:rPr>
      </w:pPr>
    </w:p>
    <w:p w14:paraId="2958B52D" w14:textId="77777777" w:rsidR="004A6C16" w:rsidRPr="009B4A78" w:rsidRDefault="004A6C16" w:rsidP="004A6C16">
      <w:pPr>
        <w:pStyle w:val="BodyText"/>
        <w:spacing w:after="0"/>
      </w:pPr>
    </w:p>
    <w:p w14:paraId="2816518C" w14:textId="77777777" w:rsidR="004A6C16" w:rsidRPr="009B4A78" w:rsidRDefault="004A6C16" w:rsidP="004A6C16">
      <w:pPr>
        <w:pStyle w:val="BodyText"/>
        <w:keepNext/>
        <w:keepLines/>
        <w:spacing w:after="0"/>
      </w:pPr>
      <w:r w:rsidRPr="009B4A78">
        <w:lastRenderedPageBreak/>
        <w:t>RESULTS FRAMEWORK</w:t>
      </w:r>
    </w:p>
    <w:p w14:paraId="7B433555" w14:textId="77777777" w:rsidR="004A6C16" w:rsidRPr="009B4A78" w:rsidRDefault="004A6C16" w:rsidP="004A6C16">
      <w:pPr>
        <w:pStyle w:val="BodyText"/>
        <w:keepNext/>
        <w:keepLines/>
        <w:spacing w:after="0"/>
        <w:rPr>
          <w:w w:val="95"/>
        </w:rPr>
      </w:pPr>
    </w:p>
    <w:tbl>
      <w:tblPr>
        <w:tblW w:w="9371" w:type="dxa"/>
        <w:tblInd w:w="93" w:type="dxa"/>
        <w:tblLook w:val="04A0" w:firstRow="1" w:lastRow="0" w:firstColumn="1" w:lastColumn="0" w:noHBand="0" w:noVBand="1"/>
      </w:tblPr>
      <w:tblGrid>
        <w:gridCol w:w="2425"/>
        <w:gridCol w:w="2552"/>
        <w:gridCol w:w="2223"/>
        <w:gridCol w:w="2171"/>
      </w:tblGrid>
      <w:tr w:rsidR="004A6C16" w:rsidRPr="009B4A78" w14:paraId="52EC6C5C" w14:textId="77777777" w:rsidTr="00FB68E0">
        <w:trPr>
          <w:trHeight w:val="615"/>
        </w:trPr>
        <w:tc>
          <w:tcPr>
            <w:tcW w:w="2425"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5C61F709" w14:textId="77777777" w:rsidR="004A6C16" w:rsidRPr="009B4A78" w:rsidRDefault="004A6C16" w:rsidP="004A6C16">
            <w:pPr>
              <w:keepNext/>
              <w:keepLines/>
              <w:jc w:val="center"/>
              <w:rPr>
                <w:rFonts w:ascii="Arial" w:eastAsia="Times New Roman" w:hAnsi="Arial" w:cs="Arial"/>
                <w:b/>
                <w:bCs/>
                <w:color w:val="000000"/>
                <w:sz w:val="18"/>
                <w:szCs w:val="20"/>
              </w:rPr>
            </w:pPr>
            <w:r w:rsidRPr="009B4A78">
              <w:rPr>
                <w:rFonts w:ascii="Arial" w:eastAsia="Times New Roman" w:hAnsi="Arial" w:cs="Arial"/>
                <w:b/>
                <w:bCs/>
                <w:color w:val="000000"/>
                <w:sz w:val="18"/>
                <w:szCs w:val="20"/>
              </w:rPr>
              <w:t>Expected Results</w:t>
            </w:r>
          </w:p>
        </w:tc>
        <w:tc>
          <w:tcPr>
            <w:tcW w:w="2552" w:type="dxa"/>
            <w:tcBorders>
              <w:top w:val="single" w:sz="4" w:space="0" w:color="auto"/>
              <w:left w:val="nil"/>
              <w:bottom w:val="single" w:sz="4" w:space="0" w:color="auto"/>
              <w:right w:val="nil"/>
            </w:tcBorders>
            <w:shd w:val="clear" w:color="auto" w:fill="C6D9F1" w:themeFill="text2" w:themeFillTint="33"/>
            <w:noWrap/>
            <w:vAlign w:val="center"/>
            <w:hideMark/>
          </w:tcPr>
          <w:p w14:paraId="354F0989" w14:textId="77777777" w:rsidR="004A6C16" w:rsidRPr="009B4A78" w:rsidRDefault="004A6C16" w:rsidP="004A6C16">
            <w:pPr>
              <w:keepNext/>
              <w:keepLines/>
              <w:jc w:val="center"/>
              <w:rPr>
                <w:rFonts w:ascii="Arial" w:eastAsia="Times New Roman" w:hAnsi="Arial" w:cs="Arial"/>
                <w:b/>
                <w:bCs/>
                <w:color w:val="000000"/>
                <w:sz w:val="18"/>
                <w:szCs w:val="20"/>
              </w:rPr>
            </w:pPr>
            <w:r w:rsidRPr="009B4A78">
              <w:rPr>
                <w:rFonts w:ascii="Arial" w:eastAsia="Times New Roman" w:hAnsi="Arial" w:cs="Arial"/>
                <w:b/>
                <w:bCs/>
                <w:color w:val="000000"/>
                <w:sz w:val="18"/>
                <w:szCs w:val="20"/>
              </w:rPr>
              <w:t>Performance Indicators</w:t>
            </w:r>
          </w:p>
        </w:tc>
        <w:tc>
          <w:tcPr>
            <w:tcW w:w="2223" w:type="dxa"/>
            <w:tcBorders>
              <w:top w:val="single" w:sz="4" w:space="0" w:color="auto"/>
              <w:left w:val="nil"/>
              <w:bottom w:val="single" w:sz="4" w:space="0" w:color="auto"/>
              <w:right w:val="nil"/>
            </w:tcBorders>
            <w:shd w:val="clear" w:color="auto" w:fill="C6D9F1" w:themeFill="text2" w:themeFillTint="33"/>
            <w:noWrap/>
            <w:vAlign w:val="center"/>
            <w:hideMark/>
          </w:tcPr>
          <w:p w14:paraId="342D8A83" w14:textId="77777777" w:rsidR="004A6C16" w:rsidRPr="009B4A78" w:rsidRDefault="004A6C16" w:rsidP="004A6C16">
            <w:pPr>
              <w:keepNext/>
              <w:keepLines/>
              <w:jc w:val="center"/>
              <w:rPr>
                <w:rFonts w:ascii="Arial" w:eastAsia="Times New Roman" w:hAnsi="Arial" w:cs="Arial"/>
                <w:b/>
                <w:bCs/>
                <w:color w:val="000000"/>
                <w:sz w:val="18"/>
                <w:szCs w:val="20"/>
              </w:rPr>
            </w:pPr>
            <w:r w:rsidRPr="009B4A78">
              <w:rPr>
                <w:rFonts w:ascii="Arial" w:eastAsia="Times New Roman" w:hAnsi="Arial" w:cs="Arial"/>
                <w:b/>
                <w:bCs/>
                <w:color w:val="000000"/>
                <w:sz w:val="18"/>
                <w:szCs w:val="20"/>
              </w:rPr>
              <w:t>Baselines</w:t>
            </w:r>
          </w:p>
        </w:tc>
        <w:tc>
          <w:tcPr>
            <w:tcW w:w="2171"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522790D7" w14:textId="77777777" w:rsidR="004A6C16" w:rsidRPr="009B4A78" w:rsidRDefault="004A6C16" w:rsidP="004A6C16">
            <w:pPr>
              <w:keepNext/>
              <w:keepLines/>
              <w:jc w:val="center"/>
              <w:rPr>
                <w:rFonts w:ascii="Arial" w:eastAsia="Times New Roman" w:hAnsi="Arial" w:cs="Arial"/>
                <w:b/>
                <w:bCs/>
                <w:color w:val="000000"/>
                <w:sz w:val="18"/>
                <w:szCs w:val="20"/>
              </w:rPr>
            </w:pPr>
            <w:r w:rsidRPr="009B4A78">
              <w:rPr>
                <w:rFonts w:ascii="Arial" w:eastAsia="Times New Roman" w:hAnsi="Arial" w:cs="Arial"/>
                <w:b/>
                <w:bCs/>
                <w:color w:val="000000"/>
                <w:sz w:val="18"/>
                <w:szCs w:val="20"/>
              </w:rPr>
              <w:t>Targets</w:t>
            </w:r>
          </w:p>
        </w:tc>
      </w:tr>
      <w:tr w:rsidR="004A6C16" w:rsidRPr="009B4A78" w14:paraId="1613A871" w14:textId="77777777" w:rsidTr="00FB68E0">
        <w:trPr>
          <w:trHeight w:val="3561"/>
        </w:trPr>
        <w:tc>
          <w:tcPr>
            <w:tcW w:w="2425" w:type="dxa"/>
            <w:vMerge w:val="restart"/>
            <w:tcBorders>
              <w:top w:val="nil"/>
              <w:left w:val="single" w:sz="4" w:space="0" w:color="auto"/>
              <w:bottom w:val="nil"/>
              <w:right w:val="nil"/>
            </w:tcBorders>
            <w:shd w:val="clear" w:color="000000" w:fill="FFFFFF"/>
            <w:hideMark/>
          </w:tcPr>
          <w:p w14:paraId="5305E09C" w14:textId="77777777" w:rsidR="004A6C16" w:rsidRPr="009B4A78" w:rsidRDefault="004A6C16" w:rsidP="004A6C16">
            <w:pPr>
              <w:keepNext/>
              <w:keepLines/>
              <w:tabs>
                <w:tab w:val="left" w:pos="2175"/>
                <w:tab w:val="left" w:pos="2209"/>
              </w:tabs>
              <w:ind w:right="175"/>
              <w:rPr>
                <w:rFonts w:ascii="Arial" w:eastAsia="Times New Roman" w:hAnsi="Arial" w:cs="Arial"/>
                <w:color w:val="000000"/>
                <w:sz w:val="16"/>
                <w:szCs w:val="16"/>
              </w:rPr>
            </w:pPr>
            <w:r w:rsidRPr="009B4A78">
              <w:rPr>
                <w:rFonts w:ascii="Arial" w:eastAsia="Times New Roman" w:hAnsi="Arial" w:cs="Arial"/>
                <w:color w:val="000000"/>
                <w:sz w:val="16"/>
                <w:szCs w:val="16"/>
              </w:rPr>
              <w:br/>
              <w:t>II.8 International and domestic intellectual property disputes are increasingly prevented or resolved through  WIPO mediation, arbitration and other alternative dispute resolution methods</w:t>
            </w:r>
          </w:p>
        </w:tc>
        <w:tc>
          <w:tcPr>
            <w:tcW w:w="2552" w:type="dxa"/>
            <w:tcBorders>
              <w:top w:val="nil"/>
              <w:left w:val="nil"/>
              <w:bottom w:val="nil"/>
              <w:right w:val="nil"/>
            </w:tcBorders>
            <w:shd w:val="clear" w:color="000000" w:fill="FFFFFF"/>
            <w:hideMark/>
          </w:tcPr>
          <w:p w14:paraId="23869CB0" w14:textId="77777777" w:rsidR="004A6C16" w:rsidRPr="009B4A78" w:rsidRDefault="004A6C16" w:rsidP="004A6C16">
            <w:pPr>
              <w:keepNext/>
              <w:keepLines/>
              <w:ind w:right="176"/>
              <w:rPr>
                <w:rFonts w:ascii="Arial" w:eastAsia="Times New Roman" w:hAnsi="Arial" w:cs="Arial"/>
                <w:color w:val="000000"/>
                <w:sz w:val="16"/>
                <w:szCs w:val="16"/>
              </w:rPr>
            </w:pPr>
            <w:r w:rsidRPr="009B4A78">
              <w:rPr>
                <w:rFonts w:ascii="Arial" w:eastAsia="Times New Roman" w:hAnsi="Arial" w:cs="Arial"/>
                <w:color w:val="000000"/>
                <w:sz w:val="16"/>
                <w:szCs w:val="16"/>
              </w:rPr>
              <w:br/>
              <w:t xml:space="preserve">Increased use of alternative dispute resolution services and clauses in intellectual property transactions and registrations, including through WIPO procedures </w:t>
            </w:r>
          </w:p>
        </w:tc>
        <w:tc>
          <w:tcPr>
            <w:tcW w:w="2223" w:type="dxa"/>
            <w:tcBorders>
              <w:top w:val="nil"/>
              <w:left w:val="nil"/>
              <w:bottom w:val="nil"/>
              <w:right w:val="nil"/>
            </w:tcBorders>
            <w:shd w:val="clear" w:color="000000" w:fill="FFFFFF"/>
            <w:hideMark/>
          </w:tcPr>
          <w:p w14:paraId="7E35C182" w14:textId="77777777" w:rsidR="004A6C16" w:rsidRPr="009B4A78" w:rsidRDefault="004A6C16" w:rsidP="004A6C16">
            <w:pPr>
              <w:keepNext/>
              <w:keepLines/>
              <w:ind w:right="273"/>
              <w:rPr>
                <w:rFonts w:ascii="Arial" w:eastAsia="Times New Roman" w:hAnsi="Arial" w:cs="Arial"/>
                <w:color w:val="000000"/>
                <w:sz w:val="16"/>
                <w:szCs w:val="16"/>
              </w:rPr>
            </w:pPr>
            <w:r w:rsidRPr="009B4A78">
              <w:rPr>
                <w:rFonts w:ascii="Arial" w:eastAsia="Times New Roman" w:hAnsi="Arial" w:cs="Arial"/>
                <w:color w:val="000000"/>
                <w:sz w:val="16"/>
                <w:szCs w:val="16"/>
              </w:rPr>
              <w:br/>
              <w:t>393 disputes and 148 bons offices (cumulative per end 2014)</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4,000 incoming queries (2012/13)</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 xml:space="preserve">1.553 million Web visits (2014) </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408 participants at Center events (2012/13)</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4,000 participants at events involving Center representation (2012/13)</w:t>
            </w:r>
          </w:p>
        </w:tc>
        <w:tc>
          <w:tcPr>
            <w:tcW w:w="2171" w:type="dxa"/>
            <w:tcBorders>
              <w:top w:val="nil"/>
              <w:left w:val="nil"/>
              <w:bottom w:val="nil"/>
              <w:right w:val="single" w:sz="4" w:space="0" w:color="auto"/>
            </w:tcBorders>
            <w:shd w:val="clear" w:color="000000" w:fill="FFFFFF"/>
            <w:hideMark/>
          </w:tcPr>
          <w:p w14:paraId="6F4D938E" w14:textId="77777777" w:rsidR="004A6C16" w:rsidRPr="009B4A78" w:rsidRDefault="004A6C16" w:rsidP="004A6C16">
            <w:pPr>
              <w:keepNext/>
              <w:keepLines/>
              <w:ind w:right="34"/>
              <w:rPr>
                <w:rFonts w:ascii="Arial" w:eastAsia="Times New Roman" w:hAnsi="Arial" w:cs="Arial"/>
                <w:color w:val="000000"/>
                <w:sz w:val="16"/>
                <w:szCs w:val="16"/>
              </w:rPr>
            </w:pPr>
            <w:r w:rsidRPr="009B4A78">
              <w:rPr>
                <w:rFonts w:ascii="Arial" w:eastAsia="Times New Roman" w:hAnsi="Arial" w:cs="Arial"/>
                <w:color w:val="000000"/>
                <w:sz w:val="16"/>
                <w:szCs w:val="16"/>
              </w:rPr>
              <w:br/>
              <w:t>40 additional disputes and bons offices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p>
          <w:p w14:paraId="0E22AE0B" w14:textId="77777777" w:rsidR="004A6C16" w:rsidRPr="009B4A78" w:rsidRDefault="004A6C16" w:rsidP="004A6C16">
            <w:pPr>
              <w:keepNext/>
              <w:keepLines/>
              <w:ind w:right="34"/>
              <w:rPr>
                <w:rFonts w:ascii="Arial" w:eastAsia="Times New Roman" w:hAnsi="Arial" w:cs="Arial"/>
                <w:color w:val="000000"/>
                <w:sz w:val="16"/>
                <w:szCs w:val="16"/>
              </w:rPr>
            </w:pPr>
            <w:r w:rsidRPr="009B4A78">
              <w:rPr>
                <w:rFonts w:ascii="Arial" w:eastAsia="Times New Roman" w:hAnsi="Arial" w:cs="Arial"/>
                <w:color w:val="000000"/>
                <w:sz w:val="16"/>
                <w:szCs w:val="16"/>
              </w:rPr>
              <w:t>4,000 additional queries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p>
          <w:p w14:paraId="637B8E6C" w14:textId="77777777" w:rsidR="004A6C16" w:rsidRPr="009B4A78" w:rsidRDefault="004A6C16" w:rsidP="004A6C16">
            <w:pPr>
              <w:keepNext/>
              <w:keepLines/>
              <w:ind w:right="34"/>
              <w:rPr>
                <w:rFonts w:ascii="Arial" w:eastAsia="Times New Roman" w:hAnsi="Arial" w:cs="Arial"/>
                <w:color w:val="000000"/>
                <w:sz w:val="16"/>
                <w:szCs w:val="16"/>
              </w:rPr>
            </w:pPr>
            <w:r w:rsidRPr="009B4A78">
              <w:rPr>
                <w:rFonts w:ascii="Arial" w:eastAsia="Times New Roman" w:hAnsi="Arial" w:cs="Arial"/>
                <w:color w:val="000000"/>
                <w:sz w:val="16"/>
                <w:szCs w:val="16"/>
              </w:rPr>
              <w:t>1.5 million additional Web visits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 xml:space="preserve">250 participants at Center events </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6,000 participants at events involving Center representation</w:t>
            </w:r>
          </w:p>
        </w:tc>
      </w:tr>
      <w:tr w:rsidR="004A6C16" w:rsidRPr="009B4A78" w14:paraId="0230D8E7" w14:textId="77777777" w:rsidTr="00FB68E0">
        <w:trPr>
          <w:trHeight w:val="1818"/>
        </w:trPr>
        <w:tc>
          <w:tcPr>
            <w:tcW w:w="2425" w:type="dxa"/>
            <w:vMerge/>
            <w:tcBorders>
              <w:top w:val="nil"/>
              <w:left w:val="single" w:sz="4" w:space="0" w:color="auto"/>
              <w:bottom w:val="nil"/>
              <w:right w:val="nil"/>
            </w:tcBorders>
            <w:vAlign w:val="center"/>
            <w:hideMark/>
          </w:tcPr>
          <w:p w14:paraId="0B31BD69" w14:textId="77777777" w:rsidR="004A6C16" w:rsidRPr="009B4A78" w:rsidRDefault="004A6C16" w:rsidP="00F33E49">
            <w:pPr>
              <w:tabs>
                <w:tab w:val="left" w:pos="2175"/>
                <w:tab w:val="left" w:pos="2209"/>
              </w:tabs>
              <w:ind w:right="175"/>
              <w:rPr>
                <w:rFonts w:ascii="Arial" w:eastAsia="Times New Roman" w:hAnsi="Arial" w:cs="Arial"/>
                <w:color w:val="000000"/>
                <w:sz w:val="16"/>
                <w:szCs w:val="16"/>
              </w:rPr>
            </w:pPr>
          </w:p>
        </w:tc>
        <w:tc>
          <w:tcPr>
            <w:tcW w:w="2552" w:type="dxa"/>
            <w:tcBorders>
              <w:top w:val="nil"/>
              <w:left w:val="nil"/>
              <w:right w:val="nil"/>
            </w:tcBorders>
            <w:shd w:val="clear" w:color="000000" w:fill="FFFFFF"/>
            <w:hideMark/>
          </w:tcPr>
          <w:p w14:paraId="0E3C2E21" w14:textId="77777777" w:rsidR="004A6C16" w:rsidRPr="009B4A78" w:rsidRDefault="004A6C16" w:rsidP="00F33E49">
            <w:pPr>
              <w:ind w:right="176"/>
              <w:rPr>
                <w:rFonts w:ascii="Arial" w:eastAsia="Times New Roman" w:hAnsi="Arial" w:cs="Arial"/>
                <w:color w:val="000000"/>
                <w:sz w:val="16"/>
                <w:szCs w:val="16"/>
              </w:rPr>
            </w:pPr>
            <w:r w:rsidRPr="009B4A78">
              <w:rPr>
                <w:rFonts w:ascii="Arial" w:eastAsia="Times New Roman" w:hAnsi="Arial" w:cs="Arial"/>
                <w:color w:val="000000"/>
                <w:sz w:val="16"/>
                <w:szCs w:val="16"/>
              </w:rPr>
              <w:t>Alternative dispute resolution policies to which the Center has contributed in respect of their development and implementation</w:t>
            </w:r>
          </w:p>
        </w:tc>
        <w:tc>
          <w:tcPr>
            <w:tcW w:w="2223" w:type="dxa"/>
            <w:tcBorders>
              <w:top w:val="nil"/>
              <w:left w:val="nil"/>
              <w:right w:val="nil"/>
            </w:tcBorders>
            <w:shd w:val="clear" w:color="000000" w:fill="FFFFFF"/>
            <w:hideMark/>
          </w:tcPr>
          <w:p w14:paraId="35C25851" w14:textId="77777777" w:rsidR="004A6C16" w:rsidRPr="009B4A78" w:rsidRDefault="004A6C16" w:rsidP="00F33E49">
            <w:pPr>
              <w:ind w:right="273"/>
              <w:rPr>
                <w:rFonts w:ascii="Arial" w:eastAsia="Times New Roman" w:hAnsi="Arial" w:cs="Arial"/>
                <w:color w:val="000000"/>
                <w:sz w:val="16"/>
                <w:szCs w:val="16"/>
              </w:rPr>
            </w:pPr>
            <w:r w:rsidRPr="009B4A78">
              <w:rPr>
                <w:rFonts w:ascii="Arial" w:eastAsia="Times New Roman" w:hAnsi="Arial" w:cs="Arial"/>
                <w:color w:val="000000"/>
                <w:sz w:val="16"/>
                <w:szCs w:val="16"/>
              </w:rPr>
              <w:t>15 schemes adopted (AEF, AGICOA, DGIPR, DNDA, EGEDA, ETSI, Film and Media, ICOM, IMPI, INPI-BR, IPAG, IPOPHL, IPOS(M), IPOS(ED), ITPGRFA) (cumulative per end 2014)</w:t>
            </w:r>
          </w:p>
        </w:tc>
        <w:tc>
          <w:tcPr>
            <w:tcW w:w="2171" w:type="dxa"/>
            <w:tcBorders>
              <w:top w:val="nil"/>
              <w:left w:val="nil"/>
              <w:right w:val="single" w:sz="4" w:space="0" w:color="auto"/>
            </w:tcBorders>
            <w:shd w:val="clear" w:color="000000" w:fill="FFFFFF"/>
            <w:hideMark/>
          </w:tcPr>
          <w:p w14:paraId="7BC2FB55" w14:textId="77777777" w:rsidR="004A6C16" w:rsidRPr="009B4A78" w:rsidRDefault="004A6C16" w:rsidP="00F33E49">
            <w:pPr>
              <w:ind w:right="34"/>
              <w:rPr>
                <w:rFonts w:ascii="Arial" w:eastAsia="Times New Roman" w:hAnsi="Arial" w:cs="Arial"/>
                <w:color w:val="000000"/>
                <w:sz w:val="16"/>
                <w:szCs w:val="16"/>
              </w:rPr>
            </w:pPr>
            <w:r w:rsidRPr="009B4A78">
              <w:rPr>
                <w:rFonts w:ascii="Arial" w:eastAsia="Times New Roman" w:hAnsi="Arial" w:cs="Arial"/>
                <w:color w:val="000000"/>
                <w:sz w:val="16"/>
                <w:szCs w:val="16"/>
              </w:rPr>
              <w:t>One to three additional schemes</w:t>
            </w:r>
          </w:p>
        </w:tc>
      </w:tr>
      <w:tr w:rsidR="004A6C16" w:rsidRPr="009B4A78" w14:paraId="66982053" w14:textId="77777777" w:rsidTr="00FB68E0">
        <w:trPr>
          <w:trHeight w:val="1844"/>
        </w:trPr>
        <w:tc>
          <w:tcPr>
            <w:tcW w:w="2425" w:type="dxa"/>
            <w:vMerge w:val="restart"/>
            <w:tcBorders>
              <w:top w:val="nil"/>
              <w:left w:val="single" w:sz="4" w:space="0" w:color="auto"/>
              <w:bottom w:val="single" w:sz="4" w:space="0" w:color="000000"/>
              <w:right w:val="nil"/>
            </w:tcBorders>
            <w:shd w:val="clear" w:color="000000" w:fill="FFFFFF"/>
            <w:hideMark/>
          </w:tcPr>
          <w:p w14:paraId="26FDD47C" w14:textId="77777777" w:rsidR="004A6C16" w:rsidRPr="009B4A78" w:rsidRDefault="004A6C16" w:rsidP="00F33E49">
            <w:pPr>
              <w:tabs>
                <w:tab w:val="left" w:pos="2175"/>
                <w:tab w:val="left" w:pos="2209"/>
              </w:tabs>
              <w:ind w:right="175"/>
              <w:rPr>
                <w:rFonts w:ascii="Arial" w:eastAsia="Times New Roman" w:hAnsi="Arial" w:cs="Arial"/>
                <w:color w:val="000000"/>
                <w:sz w:val="16"/>
                <w:szCs w:val="16"/>
              </w:rPr>
            </w:pPr>
            <w:r w:rsidRPr="009B4A78">
              <w:rPr>
                <w:rFonts w:ascii="Arial" w:eastAsia="Times New Roman" w:hAnsi="Arial" w:cs="Arial"/>
                <w:color w:val="000000"/>
                <w:sz w:val="16"/>
                <w:szCs w:val="16"/>
              </w:rPr>
              <w:t>II.9 Effective intellectual property protection in the gTLDs and the ccTLDs</w:t>
            </w:r>
          </w:p>
        </w:tc>
        <w:tc>
          <w:tcPr>
            <w:tcW w:w="2552" w:type="dxa"/>
            <w:tcBorders>
              <w:top w:val="nil"/>
              <w:left w:val="nil"/>
              <w:right w:val="nil"/>
            </w:tcBorders>
            <w:shd w:val="clear" w:color="000000" w:fill="FFFFFF"/>
            <w:hideMark/>
          </w:tcPr>
          <w:p w14:paraId="72CD6639" w14:textId="77777777" w:rsidR="004A6C16" w:rsidRPr="009B4A78" w:rsidRDefault="004A6C16" w:rsidP="00F33E49">
            <w:pPr>
              <w:ind w:right="176"/>
              <w:rPr>
                <w:rFonts w:ascii="Arial" w:eastAsia="Times New Roman" w:hAnsi="Arial" w:cs="Arial"/>
                <w:color w:val="000000"/>
                <w:sz w:val="16"/>
                <w:szCs w:val="16"/>
              </w:rPr>
            </w:pPr>
            <w:r w:rsidRPr="009B4A78">
              <w:rPr>
                <w:rFonts w:ascii="Arial" w:eastAsia="Times New Roman" w:hAnsi="Arial" w:cs="Arial"/>
                <w:color w:val="000000"/>
                <w:sz w:val="16"/>
                <w:szCs w:val="16"/>
              </w:rPr>
              <w:t>No. of UDRP based gTLD and ccTLD cases administered by the Center</w:t>
            </w:r>
          </w:p>
        </w:tc>
        <w:tc>
          <w:tcPr>
            <w:tcW w:w="2223" w:type="dxa"/>
            <w:tcBorders>
              <w:top w:val="nil"/>
              <w:left w:val="nil"/>
              <w:right w:val="nil"/>
            </w:tcBorders>
            <w:shd w:val="clear" w:color="000000" w:fill="FFFFFF"/>
            <w:hideMark/>
          </w:tcPr>
          <w:p w14:paraId="4CD78CFF" w14:textId="77777777" w:rsidR="004A6C16" w:rsidRPr="009B4A78" w:rsidRDefault="004A6C16" w:rsidP="00F33E49">
            <w:pPr>
              <w:ind w:right="273"/>
              <w:rPr>
                <w:rFonts w:ascii="Arial" w:eastAsia="Times New Roman" w:hAnsi="Arial" w:cs="Arial"/>
                <w:color w:val="000000"/>
                <w:sz w:val="16"/>
                <w:szCs w:val="16"/>
              </w:rPr>
            </w:pPr>
            <w:r w:rsidRPr="009B4A78">
              <w:rPr>
                <w:rFonts w:ascii="Arial" w:eastAsia="Times New Roman" w:hAnsi="Arial" w:cs="Arial"/>
                <w:color w:val="000000"/>
                <w:sz w:val="16"/>
                <w:szCs w:val="16"/>
              </w:rPr>
              <w:t>27,189 gTLD cases administered by the Center (cumulative per end 2014)</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3,144 ccTLD-only cases administered by the Center (cumulative per end 2014)</w:t>
            </w:r>
          </w:p>
        </w:tc>
        <w:tc>
          <w:tcPr>
            <w:tcW w:w="2171" w:type="dxa"/>
            <w:tcBorders>
              <w:top w:val="nil"/>
              <w:left w:val="nil"/>
              <w:right w:val="single" w:sz="4" w:space="0" w:color="auto"/>
            </w:tcBorders>
            <w:shd w:val="clear" w:color="000000" w:fill="FFFFFF"/>
            <w:hideMark/>
          </w:tcPr>
          <w:p w14:paraId="0448E8E2" w14:textId="77777777" w:rsidR="004A6C16" w:rsidRPr="009B4A78" w:rsidRDefault="004A6C16" w:rsidP="00F33E49">
            <w:pPr>
              <w:ind w:right="34"/>
              <w:rPr>
                <w:rFonts w:ascii="Arial" w:eastAsia="Times New Roman" w:hAnsi="Arial" w:cs="Arial"/>
                <w:color w:val="000000"/>
                <w:sz w:val="16"/>
                <w:szCs w:val="16"/>
              </w:rPr>
            </w:pPr>
            <w:r w:rsidRPr="009B4A78">
              <w:rPr>
                <w:rFonts w:ascii="Arial" w:eastAsia="Times New Roman" w:hAnsi="Arial" w:cs="Arial"/>
                <w:color w:val="000000"/>
                <w:sz w:val="16"/>
                <w:szCs w:val="16"/>
              </w:rPr>
              <w:t>3,000 additional gTLD cases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r>
          </w:p>
          <w:p w14:paraId="7C1ADC32" w14:textId="77777777" w:rsidR="004A6C16" w:rsidRPr="009B4A78" w:rsidRDefault="004A6C16" w:rsidP="00F33E49">
            <w:pPr>
              <w:ind w:right="34"/>
              <w:rPr>
                <w:rFonts w:ascii="Arial" w:eastAsia="Times New Roman" w:hAnsi="Arial" w:cs="Arial"/>
                <w:color w:val="000000"/>
                <w:sz w:val="16"/>
                <w:szCs w:val="16"/>
              </w:rPr>
            </w:pPr>
          </w:p>
          <w:p w14:paraId="2D7E6FEA" w14:textId="77777777" w:rsidR="004A6C16" w:rsidRPr="009B4A78" w:rsidRDefault="004A6C16" w:rsidP="00F33E49">
            <w:pPr>
              <w:ind w:right="34"/>
              <w:rPr>
                <w:rFonts w:ascii="Arial" w:eastAsia="Times New Roman" w:hAnsi="Arial" w:cs="Arial"/>
                <w:color w:val="000000"/>
                <w:sz w:val="16"/>
                <w:szCs w:val="16"/>
              </w:rPr>
            </w:pPr>
            <w:r w:rsidRPr="009B4A78">
              <w:rPr>
                <w:rFonts w:ascii="Arial" w:eastAsia="Times New Roman" w:hAnsi="Arial" w:cs="Arial"/>
                <w:color w:val="000000"/>
                <w:sz w:val="16"/>
                <w:szCs w:val="16"/>
              </w:rPr>
              <w:t>350 additional ccTLD-only cases</w:t>
            </w:r>
          </w:p>
        </w:tc>
      </w:tr>
      <w:tr w:rsidR="004A6C16" w:rsidRPr="009B4A78" w14:paraId="491CE386" w14:textId="77777777" w:rsidTr="00FB68E0">
        <w:trPr>
          <w:trHeight w:val="2123"/>
        </w:trPr>
        <w:tc>
          <w:tcPr>
            <w:tcW w:w="2425" w:type="dxa"/>
            <w:vMerge/>
            <w:tcBorders>
              <w:top w:val="nil"/>
              <w:left w:val="single" w:sz="4" w:space="0" w:color="auto"/>
              <w:bottom w:val="single" w:sz="4" w:space="0" w:color="000000"/>
              <w:right w:val="nil"/>
            </w:tcBorders>
            <w:vAlign w:val="center"/>
            <w:hideMark/>
          </w:tcPr>
          <w:p w14:paraId="751CF275" w14:textId="77777777" w:rsidR="004A6C16" w:rsidRPr="009B4A78" w:rsidRDefault="004A6C16" w:rsidP="00F33E49">
            <w:pPr>
              <w:rPr>
                <w:rFonts w:ascii="Arial" w:eastAsia="Times New Roman" w:hAnsi="Arial" w:cs="Arial"/>
                <w:color w:val="000000"/>
                <w:sz w:val="16"/>
                <w:szCs w:val="16"/>
              </w:rPr>
            </w:pPr>
          </w:p>
        </w:tc>
        <w:tc>
          <w:tcPr>
            <w:tcW w:w="2552" w:type="dxa"/>
            <w:tcBorders>
              <w:left w:val="nil"/>
              <w:bottom w:val="single" w:sz="4" w:space="0" w:color="auto"/>
              <w:right w:val="nil"/>
            </w:tcBorders>
            <w:shd w:val="clear" w:color="000000" w:fill="FFFFFF"/>
            <w:hideMark/>
          </w:tcPr>
          <w:p w14:paraId="728E5854" w14:textId="77777777" w:rsidR="004A6C16" w:rsidRPr="009B4A78" w:rsidRDefault="004A6C16" w:rsidP="00F33E49">
            <w:pPr>
              <w:ind w:right="176"/>
              <w:rPr>
                <w:rFonts w:ascii="Arial" w:eastAsia="Times New Roman" w:hAnsi="Arial" w:cs="Arial"/>
                <w:color w:val="000000"/>
                <w:sz w:val="16"/>
                <w:szCs w:val="16"/>
              </w:rPr>
            </w:pPr>
            <w:r w:rsidRPr="009B4A78">
              <w:rPr>
                <w:rFonts w:ascii="Arial" w:eastAsia="Times New Roman" w:hAnsi="Arial" w:cs="Arial"/>
                <w:color w:val="000000"/>
                <w:sz w:val="16"/>
                <w:szCs w:val="16"/>
              </w:rPr>
              <w:t>Dispute resolution policies in the Domain Name System to which the Center has contributed in respect of their development and implementation</w:t>
            </w:r>
          </w:p>
        </w:tc>
        <w:tc>
          <w:tcPr>
            <w:tcW w:w="2223" w:type="dxa"/>
            <w:tcBorders>
              <w:left w:val="nil"/>
              <w:bottom w:val="single" w:sz="4" w:space="0" w:color="auto"/>
              <w:right w:val="nil"/>
            </w:tcBorders>
            <w:shd w:val="clear" w:color="000000" w:fill="FFFFFF"/>
            <w:hideMark/>
          </w:tcPr>
          <w:p w14:paraId="59DF8906" w14:textId="77777777" w:rsidR="004A6C16" w:rsidRPr="009B4A78" w:rsidRDefault="004A6C16" w:rsidP="00F33E49">
            <w:pPr>
              <w:ind w:right="273"/>
              <w:rPr>
                <w:rFonts w:ascii="Arial" w:eastAsia="Times New Roman" w:hAnsi="Arial" w:cs="Arial"/>
                <w:color w:val="000000"/>
                <w:sz w:val="16"/>
                <w:szCs w:val="16"/>
              </w:rPr>
            </w:pPr>
            <w:r w:rsidRPr="009B4A78">
              <w:rPr>
                <w:rFonts w:ascii="Arial" w:eastAsia="Times New Roman" w:hAnsi="Arial" w:cs="Arial"/>
                <w:color w:val="000000"/>
                <w:sz w:val="16"/>
                <w:szCs w:val="16"/>
              </w:rPr>
              <w:t>UDRP, Pre-Delegation Dispute Resolution Policy, Trademark Post-Delegation Dispute Resolution Procedure (cumulative per end 2014)</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72 ccTLD administrators (cumulative per end 2014)</w:t>
            </w:r>
          </w:p>
        </w:tc>
        <w:tc>
          <w:tcPr>
            <w:tcW w:w="2171" w:type="dxa"/>
            <w:tcBorders>
              <w:left w:val="nil"/>
              <w:bottom w:val="single" w:sz="4" w:space="0" w:color="auto"/>
              <w:right w:val="single" w:sz="4" w:space="0" w:color="auto"/>
            </w:tcBorders>
            <w:shd w:val="clear" w:color="000000" w:fill="FFFFFF"/>
            <w:hideMark/>
          </w:tcPr>
          <w:p w14:paraId="6F98846B" w14:textId="77777777" w:rsidR="004A6C16" w:rsidRPr="009B4A78" w:rsidRDefault="004A6C16" w:rsidP="00F33E49">
            <w:pPr>
              <w:ind w:right="34"/>
              <w:rPr>
                <w:rFonts w:ascii="Arial" w:eastAsia="Times New Roman" w:hAnsi="Arial" w:cs="Arial"/>
                <w:color w:val="000000"/>
                <w:sz w:val="16"/>
                <w:szCs w:val="16"/>
              </w:rPr>
            </w:pPr>
            <w:r w:rsidRPr="009B4A78">
              <w:rPr>
                <w:rFonts w:ascii="Arial" w:eastAsia="Times New Roman" w:hAnsi="Arial" w:cs="Arial"/>
                <w:color w:val="000000"/>
                <w:sz w:val="16"/>
                <w:szCs w:val="16"/>
              </w:rPr>
              <w:t>Implementation in the Domain Name System of WIPO policy and process recommendations</w:t>
            </w:r>
            <w:r w:rsidRPr="009B4A78">
              <w:rPr>
                <w:rFonts w:ascii="Arial" w:eastAsia="Times New Roman" w:hAnsi="Arial" w:cs="Arial"/>
                <w:color w:val="000000"/>
                <w:sz w:val="16"/>
                <w:szCs w:val="16"/>
              </w:rPr>
              <w:br/>
            </w:r>
            <w:r w:rsidRPr="009B4A78">
              <w:rPr>
                <w:rFonts w:ascii="Arial" w:eastAsia="Times New Roman" w:hAnsi="Arial" w:cs="Arial"/>
                <w:color w:val="000000"/>
                <w:sz w:val="16"/>
                <w:szCs w:val="16"/>
              </w:rPr>
              <w:br/>
              <w:t>Two to four new ccTLD administrators</w:t>
            </w:r>
          </w:p>
        </w:tc>
      </w:tr>
    </w:tbl>
    <w:p w14:paraId="74515FAC" w14:textId="77777777" w:rsidR="004A6C16" w:rsidRPr="009B4A78" w:rsidRDefault="004A6C16" w:rsidP="00F33E49">
      <w:pPr>
        <w:pStyle w:val="BodyText"/>
        <w:rPr>
          <w:w w:val="95"/>
        </w:rPr>
      </w:pPr>
    </w:p>
    <w:p w14:paraId="2DB62721" w14:textId="17B5C8D3" w:rsidR="00DB4F15" w:rsidRDefault="00DB4F15">
      <w:pPr>
        <w:rPr>
          <w:rFonts w:ascii="Arial" w:hAnsi="Arial" w:cs="Arial"/>
          <w:szCs w:val="20"/>
        </w:rPr>
      </w:pPr>
    </w:p>
    <w:p w14:paraId="7F772FD3" w14:textId="4E40F9A6" w:rsidR="004A6C16" w:rsidRPr="009B4A78" w:rsidRDefault="004A6C16" w:rsidP="00FB68E0">
      <w:pPr>
        <w:keepNext/>
        <w:keepLines/>
        <w:rPr>
          <w:rFonts w:ascii="Arial" w:hAnsi="Arial" w:cs="Arial"/>
          <w:szCs w:val="20"/>
        </w:rPr>
      </w:pPr>
      <w:r w:rsidRPr="009B4A78">
        <w:rPr>
          <w:rFonts w:ascii="Arial" w:hAnsi="Arial" w:cs="Arial"/>
          <w:szCs w:val="20"/>
        </w:rPr>
        <w:t>RESOURCES FOR PROGRAM 7</w:t>
      </w:r>
    </w:p>
    <w:p w14:paraId="1A72AF76" w14:textId="77777777" w:rsidR="004A6C16" w:rsidRPr="009B4A78" w:rsidRDefault="004A6C16" w:rsidP="00FB68E0">
      <w:pPr>
        <w:keepNext/>
        <w:keepLines/>
        <w:rPr>
          <w:rFonts w:ascii="Arial" w:hAnsi="Arial" w:cs="Arial"/>
          <w:szCs w:val="20"/>
        </w:rPr>
      </w:pPr>
    </w:p>
    <w:p w14:paraId="3CC1F472" w14:textId="6CEE944E" w:rsidR="004A6C16" w:rsidRPr="00FB68E0" w:rsidRDefault="004A6C16" w:rsidP="00B66A4A">
      <w:pPr>
        <w:pStyle w:val="BodyText"/>
        <w:widowControl w:val="0"/>
        <w:numPr>
          <w:ilvl w:val="1"/>
          <w:numId w:val="9"/>
        </w:numPr>
        <w:tabs>
          <w:tab w:val="left" w:pos="567"/>
          <w:tab w:val="left" w:pos="876"/>
        </w:tabs>
        <w:spacing w:after="0"/>
        <w:ind w:firstLine="0"/>
        <w:jc w:val="both"/>
        <w:rPr>
          <w:rFonts w:eastAsia="Arial"/>
          <w:sz w:val="20"/>
        </w:rPr>
      </w:pPr>
      <w:r w:rsidRPr="00FB68E0">
        <w:rPr>
          <w:rFonts w:eastAsia="Arial"/>
          <w:sz w:val="20"/>
        </w:rPr>
        <w:t xml:space="preserve">A slight increase can be observed in the overall resources for the Program in 2016/17 compared to the 2014/15 Budget after Transfers.  This is due to the change in the costing methodology for personnel resources in 2016/17 based on actuals. </w:t>
      </w:r>
    </w:p>
    <w:p w14:paraId="77CB8430" w14:textId="77777777" w:rsidR="004A6C16" w:rsidRPr="00FB68E0" w:rsidRDefault="004A6C16">
      <w:pPr>
        <w:rPr>
          <w:rFonts w:ascii="Arial" w:eastAsia="Arial" w:hAnsi="Arial" w:cs="Arial"/>
          <w:sz w:val="20"/>
          <w:szCs w:val="20"/>
          <w:lang w:eastAsia="en-US"/>
        </w:rPr>
      </w:pPr>
    </w:p>
    <w:p w14:paraId="559B3047" w14:textId="10C5F22C" w:rsidR="004A6C16" w:rsidRPr="00FB68E0" w:rsidRDefault="004A6C16" w:rsidP="00B66A4A">
      <w:pPr>
        <w:pStyle w:val="BodyText"/>
        <w:widowControl w:val="0"/>
        <w:numPr>
          <w:ilvl w:val="1"/>
          <w:numId w:val="9"/>
        </w:numPr>
        <w:tabs>
          <w:tab w:val="left" w:pos="567"/>
          <w:tab w:val="left" w:pos="876"/>
        </w:tabs>
        <w:spacing w:after="0"/>
        <w:ind w:firstLine="0"/>
        <w:jc w:val="both"/>
        <w:rPr>
          <w:rFonts w:eastAsia="Arial"/>
          <w:sz w:val="20"/>
        </w:rPr>
      </w:pPr>
      <w:r w:rsidRPr="00FB68E0">
        <w:rPr>
          <w:rFonts w:eastAsia="Arial"/>
          <w:sz w:val="20"/>
        </w:rPr>
        <w:t xml:space="preserve">The shift in resources from Expected Result II.9 to II.8 reflects the enhanced emphasis on </w:t>
      </w:r>
      <w:r w:rsidR="009A2E90" w:rsidRPr="00FB68E0">
        <w:rPr>
          <w:rFonts w:eastAsia="Arial"/>
          <w:sz w:val="20"/>
        </w:rPr>
        <w:t xml:space="preserve">developing the </w:t>
      </w:r>
      <w:r w:rsidRPr="00FB68E0">
        <w:rPr>
          <w:rFonts w:eastAsia="Arial"/>
          <w:sz w:val="20"/>
        </w:rPr>
        <w:t>use of alternative dispute resolution (ADR) options</w:t>
      </w:r>
      <w:r w:rsidR="009A2E90" w:rsidRPr="00FB68E0">
        <w:rPr>
          <w:rFonts w:eastAsia="Arial"/>
          <w:sz w:val="20"/>
        </w:rPr>
        <w:t xml:space="preserve"> in response to member States requests</w:t>
      </w:r>
      <w:r w:rsidRPr="00FB68E0">
        <w:rPr>
          <w:rFonts w:eastAsia="Arial"/>
          <w:sz w:val="20"/>
        </w:rPr>
        <w:t>.</w:t>
      </w:r>
    </w:p>
    <w:p w14:paraId="3D9803F6" w14:textId="77777777" w:rsidR="004A6C16" w:rsidRPr="00FB68E0" w:rsidRDefault="004A6C16">
      <w:pPr>
        <w:rPr>
          <w:rFonts w:ascii="Arial" w:eastAsia="Arial" w:hAnsi="Arial" w:cs="Arial"/>
          <w:sz w:val="20"/>
          <w:szCs w:val="20"/>
          <w:lang w:eastAsia="en-US"/>
        </w:rPr>
      </w:pPr>
    </w:p>
    <w:p w14:paraId="0BDCCAFD" w14:textId="77777777" w:rsidR="004A6C16" w:rsidRPr="009B4A78" w:rsidRDefault="004A6C16" w:rsidP="00F33E49">
      <w:pPr>
        <w:keepNext/>
        <w:keepLines/>
        <w:jc w:val="center"/>
        <w:rPr>
          <w:rFonts w:ascii="Arial" w:hAnsi="Arial" w:cs="Arial"/>
          <w:b/>
          <w:sz w:val="20"/>
          <w:szCs w:val="20"/>
        </w:rPr>
      </w:pPr>
    </w:p>
    <w:p w14:paraId="3063FE7D" w14:textId="77777777" w:rsidR="004A6C16" w:rsidRPr="009B4A78" w:rsidRDefault="004A6C16" w:rsidP="00F33E49">
      <w:pPr>
        <w:keepNext/>
        <w:keepLines/>
        <w:jc w:val="center"/>
        <w:rPr>
          <w:rFonts w:ascii="Arial" w:hAnsi="Arial" w:cs="Arial"/>
          <w:b/>
          <w:sz w:val="20"/>
          <w:szCs w:val="20"/>
        </w:rPr>
      </w:pPr>
      <w:r w:rsidRPr="009B4A78">
        <w:rPr>
          <w:rFonts w:ascii="Arial" w:hAnsi="Arial" w:cs="Arial"/>
          <w:b/>
          <w:sz w:val="20"/>
          <w:szCs w:val="20"/>
        </w:rPr>
        <w:t>Program 7: Resources by Result</w:t>
      </w:r>
    </w:p>
    <w:p w14:paraId="0726CC31" w14:textId="77777777" w:rsidR="004A6C16" w:rsidRPr="009B4A78" w:rsidRDefault="004A6C16" w:rsidP="00F33E49">
      <w:pPr>
        <w:keepNext/>
        <w:keepLines/>
        <w:jc w:val="center"/>
        <w:rPr>
          <w:rFonts w:ascii="Arial" w:hAnsi="Arial" w:cs="Arial"/>
          <w:i/>
          <w:sz w:val="20"/>
          <w:szCs w:val="20"/>
        </w:rPr>
      </w:pPr>
      <w:r w:rsidRPr="009B4A78">
        <w:rPr>
          <w:rFonts w:ascii="Arial" w:hAnsi="Arial" w:cs="Arial"/>
          <w:i/>
          <w:sz w:val="20"/>
          <w:szCs w:val="20"/>
        </w:rPr>
        <w:t>(in thousands of Swiss francs)</w:t>
      </w:r>
    </w:p>
    <w:p w14:paraId="767431EA" w14:textId="77777777" w:rsidR="004A6C16" w:rsidRPr="009B4A78" w:rsidRDefault="004A6C16" w:rsidP="00F33E49">
      <w:pPr>
        <w:keepNext/>
        <w:keepLines/>
        <w:jc w:val="center"/>
        <w:rPr>
          <w:rFonts w:ascii="Arial" w:hAnsi="Arial" w:cs="Arial"/>
          <w:i/>
          <w:sz w:val="20"/>
          <w:szCs w:val="20"/>
        </w:rPr>
      </w:pPr>
    </w:p>
    <w:p w14:paraId="62ABCE19" w14:textId="77777777" w:rsidR="004A6C16" w:rsidRPr="009B4A78" w:rsidRDefault="004A6C16" w:rsidP="00F33E49">
      <w:pPr>
        <w:keepNext/>
        <w:keepLines/>
        <w:tabs>
          <w:tab w:val="left" w:pos="9214"/>
        </w:tabs>
        <w:ind w:left="-284" w:firstLine="284"/>
        <w:jc w:val="center"/>
        <w:rPr>
          <w:rFonts w:ascii="Arial" w:hAnsi="Arial" w:cs="Arial"/>
          <w:i/>
          <w:sz w:val="20"/>
          <w:szCs w:val="20"/>
        </w:rPr>
      </w:pPr>
      <w:r w:rsidRPr="009B4A78">
        <w:rPr>
          <w:rFonts w:ascii="Arial" w:hAnsi="Arial" w:cs="Arial"/>
          <w:noProof/>
          <w:lang w:eastAsia="en-US"/>
        </w:rPr>
        <w:drawing>
          <wp:inline distT="0" distB="0" distL="0" distR="0" wp14:anchorId="543D24FA" wp14:editId="05A6C540">
            <wp:extent cx="5219700" cy="1327212"/>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55648" cy="1336353"/>
                    </a:xfrm>
                    <a:prstGeom prst="rect">
                      <a:avLst/>
                    </a:prstGeom>
                    <a:noFill/>
                    <a:ln>
                      <a:noFill/>
                    </a:ln>
                  </pic:spPr>
                </pic:pic>
              </a:graphicData>
            </a:graphic>
          </wp:inline>
        </w:drawing>
      </w:r>
    </w:p>
    <w:p w14:paraId="740E8B17" w14:textId="77777777" w:rsidR="004A6C16" w:rsidRPr="009B4A78" w:rsidRDefault="004A6C16" w:rsidP="00F33E49">
      <w:pPr>
        <w:jc w:val="center"/>
        <w:rPr>
          <w:rFonts w:ascii="Arial" w:hAnsi="Arial" w:cs="Arial"/>
          <w:i/>
          <w:sz w:val="20"/>
          <w:szCs w:val="20"/>
        </w:rPr>
      </w:pPr>
    </w:p>
    <w:p w14:paraId="6CFAF4C7" w14:textId="77777777" w:rsidR="004A6C16" w:rsidRPr="009B4A78" w:rsidRDefault="004A6C16" w:rsidP="00F33E49">
      <w:pPr>
        <w:jc w:val="center"/>
        <w:rPr>
          <w:rFonts w:ascii="Arial" w:hAnsi="Arial" w:cs="Arial"/>
          <w:b/>
          <w:sz w:val="20"/>
          <w:szCs w:val="20"/>
        </w:rPr>
      </w:pPr>
    </w:p>
    <w:p w14:paraId="728D670F" w14:textId="77777777" w:rsidR="004A6C16" w:rsidRPr="009B4A78" w:rsidRDefault="004A6C16" w:rsidP="00F33E49">
      <w:pPr>
        <w:keepNext/>
        <w:keepLines/>
        <w:tabs>
          <w:tab w:val="left" w:pos="9214"/>
        </w:tabs>
        <w:jc w:val="center"/>
        <w:rPr>
          <w:rFonts w:ascii="Arial" w:hAnsi="Arial" w:cs="Arial"/>
          <w:b/>
          <w:sz w:val="20"/>
          <w:szCs w:val="20"/>
        </w:rPr>
      </w:pPr>
      <w:r w:rsidRPr="009B4A78">
        <w:rPr>
          <w:rFonts w:ascii="Arial" w:hAnsi="Arial" w:cs="Arial"/>
          <w:b/>
          <w:sz w:val="20"/>
          <w:szCs w:val="20"/>
        </w:rPr>
        <w:t>Program 7: Resources by Object of Expenditure</w:t>
      </w:r>
    </w:p>
    <w:p w14:paraId="35B79287" w14:textId="77777777" w:rsidR="004A6C16" w:rsidRPr="009B4A78" w:rsidRDefault="004A6C16" w:rsidP="00F33E49">
      <w:pPr>
        <w:keepNext/>
        <w:keepLines/>
        <w:jc w:val="center"/>
        <w:rPr>
          <w:rFonts w:ascii="Arial" w:hAnsi="Arial" w:cs="Arial"/>
          <w:i/>
          <w:sz w:val="20"/>
          <w:szCs w:val="20"/>
        </w:rPr>
      </w:pPr>
      <w:r w:rsidRPr="009B4A78">
        <w:rPr>
          <w:rFonts w:ascii="Arial" w:hAnsi="Arial" w:cs="Arial"/>
          <w:i/>
          <w:sz w:val="20"/>
          <w:szCs w:val="20"/>
        </w:rPr>
        <w:t>(in thousands of Swiss francs)</w:t>
      </w:r>
    </w:p>
    <w:p w14:paraId="5E7D040E" w14:textId="77777777" w:rsidR="004A6C16" w:rsidRPr="009B4A78" w:rsidRDefault="004A6C16" w:rsidP="00F33E49">
      <w:pPr>
        <w:keepNext/>
        <w:keepLines/>
        <w:jc w:val="center"/>
        <w:rPr>
          <w:rFonts w:ascii="Arial" w:hAnsi="Arial" w:cs="Arial"/>
          <w:i/>
          <w:sz w:val="20"/>
          <w:szCs w:val="20"/>
        </w:rPr>
      </w:pPr>
    </w:p>
    <w:p w14:paraId="7D118412" w14:textId="77777777" w:rsidR="004A6C16" w:rsidRPr="009B4A78" w:rsidRDefault="004A6C16" w:rsidP="00F33E49">
      <w:pPr>
        <w:jc w:val="center"/>
        <w:rPr>
          <w:rFonts w:ascii="Arial" w:eastAsia="Arial" w:hAnsi="Arial" w:cs="Arial"/>
          <w:sz w:val="18"/>
          <w:szCs w:val="20"/>
        </w:rPr>
      </w:pPr>
      <w:r w:rsidRPr="009B4A78">
        <w:rPr>
          <w:rFonts w:ascii="Arial" w:hAnsi="Arial" w:cs="Arial"/>
          <w:noProof/>
          <w:lang w:eastAsia="en-US"/>
        </w:rPr>
        <w:drawing>
          <wp:inline distT="0" distB="0" distL="0" distR="0" wp14:anchorId="16D4453A" wp14:editId="56E9D294">
            <wp:extent cx="5295126" cy="5962733"/>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303005" cy="5971605"/>
                    </a:xfrm>
                    <a:prstGeom prst="rect">
                      <a:avLst/>
                    </a:prstGeom>
                    <a:noFill/>
                    <a:ln>
                      <a:noFill/>
                    </a:ln>
                  </pic:spPr>
                </pic:pic>
              </a:graphicData>
            </a:graphic>
          </wp:inline>
        </w:drawing>
      </w:r>
    </w:p>
    <w:p w14:paraId="32742882" w14:textId="77777777" w:rsidR="00901665" w:rsidRDefault="00901665">
      <w:pPr>
        <w:rPr>
          <w:rFonts w:ascii="Arial" w:hAnsi="Arial" w:cs="Arial"/>
          <w:sz w:val="20"/>
          <w:szCs w:val="20"/>
        </w:rPr>
      </w:pPr>
    </w:p>
    <w:p w14:paraId="4A09F5AF" w14:textId="7B2304AD" w:rsidR="001B7766" w:rsidRDefault="001B7766">
      <w:pPr>
        <w:rPr>
          <w:rFonts w:ascii="Arial" w:hAnsi="Arial" w:cs="Arial"/>
          <w:sz w:val="20"/>
          <w:szCs w:val="20"/>
        </w:rPr>
      </w:pPr>
      <w:r>
        <w:rPr>
          <w:rFonts w:ascii="Arial" w:hAnsi="Arial" w:cs="Arial"/>
          <w:sz w:val="20"/>
          <w:szCs w:val="20"/>
        </w:rPr>
        <w:br w:type="page"/>
      </w:r>
    </w:p>
    <w:p w14:paraId="09775357" w14:textId="77777777" w:rsidR="001B7766" w:rsidRDefault="001B7766">
      <w:pPr>
        <w:rPr>
          <w:rFonts w:ascii="Arial" w:hAnsi="Arial" w:cs="Arial"/>
          <w:sz w:val="20"/>
          <w:szCs w:val="20"/>
        </w:rPr>
      </w:pPr>
    </w:p>
    <w:p w14:paraId="249BF765" w14:textId="25EDEB08" w:rsidR="00901665" w:rsidRPr="00B30215" w:rsidRDefault="00901665" w:rsidP="004264B7">
      <w:pPr>
        <w:pStyle w:val="StyleHeading3ComplexItalic"/>
        <w:tabs>
          <w:tab w:val="clear" w:pos="1985"/>
          <w:tab w:val="left" w:pos="2835"/>
        </w:tabs>
        <w:ind w:left="1843" w:hanging="1843"/>
        <w:rPr>
          <w:rStyle w:val="StyleStyleHeading3ComplexItalicLatin12ptChar"/>
          <w:rFonts w:eastAsia="SimSun"/>
          <w:b/>
          <w:szCs w:val="24"/>
        </w:rPr>
      </w:pPr>
      <w:bookmarkStart w:id="39" w:name="_Toc367350581"/>
      <w:bookmarkStart w:id="40" w:name="_Toc427154404"/>
      <w:r w:rsidRPr="00B30215">
        <w:rPr>
          <w:rStyle w:val="StyleStyleHeading3ComplexItalicLatin12ptChar"/>
          <w:rFonts w:eastAsia="SimSun"/>
          <w:b/>
          <w:szCs w:val="24"/>
        </w:rPr>
        <w:t>STRATEGIC GOAL III</w:t>
      </w:r>
      <w:r w:rsidR="004264B7" w:rsidRPr="00B30215">
        <w:rPr>
          <w:rStyle w:val="StyleStyleHeading3ComplexItalicLatin12ptChar"/>
          <w:rFonts w:eastAsia="SimSun"/>
          <w:b/>
          <w:szCs w:val="24"/>
        </w:rPr>
        <w:tab/>
        <w:t>FACILITATING THE USE OF IP FOR DEVELOPMENT</w:t>
      </w:r>
      <w:bookmarkEnd w:id="39"/>
      <w:bookmarkEnd w:id="40"/>
    </w:p>
    <w:p w14:paraId="0E6E9DA5" w14:textId="77777777" w:rsidR="00901665" w:rsidRPr="004264B7" w:rsidRDefault="00901665" w:rsidP="00901665">
      <w:pPr>
        <w:tabs>
          <w:tab w:val="left" w:pos="1701"/>
        </w:tabs>
        <w:ind w:left="1701" w:hanging="1701"/>
        <w:jc w:val="center"/>
        <w:rPr>
          <w:rFonts w:ascii="Arial" w:hAnsi="Arial" w:cs="Arial"/>
          <w:bCs/>
          <w:caps/>
          <w:sz w:val="24"/>
          <w:szCs w:val="24"/>
        </w:rPr>
      </w:pPr>
    </w:p>
    <w:p w14:paraId="335E5BDD" w14:textId="77777777" w:rsidR="004264B7" w:rsidRPr="004F5380" w:rsidRDefault="004264B7" w:rsidP="00901665">
      <w:pPr>
        <w:tabs>
          <w:tab w:val="left" w:pos="1701"/>
        </w:tabs>
        <w:ind w:left="1701" w:hanging="1701"/>
        <w:jc w:val="center"/>
        <w:rPr>
          <w:rFonts w:ascii="Arial" w:hAnsi="Arial" w:cs="Arial"/>
          <w:bCs/>
          <w:caps/>
          <w:sz w:val="20"/>
        </w:rPr>
      </w:pPr>
    </w:p>
    <w:p w14:paraId="44A28AC3" w14:textId="77777777" w:rsidR="00901665" w:rsidRPr="00945A82" w:rsidRDefault="00901665" w:rsidP="00901665">
      <w:pPr>
        <w:jc w:val="both"/>
        <w:rPr>
          <w:rFonts w:ascii="Arial" w:hAnsi="Arial" w:cs="Arial"/>
          <w:sz w:val="20"/>
        </w:rPr>
      </w:pPr>
      <w:r w:rsidRPr="00945A82">
        <w:rPr>
          <w:rFonts w:ascii="Arial" w:hAnsi="Arial" w:cs="Arial"/>
          <w:sz w:val="20"/>
        </w:rPr>
        <w:t>The goal of facilitating the use of IP for social, cultural and economic development drives WIPO’s multiple technical assistance and capacity building activities, which are delivered through programs in every sector of the Organization.  Covering all these activities, the medium term focus of this cross</w:t>
      </w:r>
      <w:r w:rsidRPr="00945A82">
        <w:rPr>
          <w:rFonts w:ascii="Arial" w:hAnsi="Arial" w:cs="Arial"/>
          <w:sz w:val="20"/>
        </w:rPr>
        <w:noBreakHyphen/>
        <w:t xml:space="preserve">cutting Strategic Goal is to assist developing countries, least developed countries and countries with economies in transition to make effective use of the IP system in their specific context. </w:t>
      </w:r>
    </w:p>
    <w:p w14:paraId="2AB2256F" w14:textId="77777777" w:rsidR="00901665" w:rsidRPr="00945A82" w:rsidRDefault="00901665" w:rsidP="00901665">
      <w:pPr>
        <w:jc w:val="both"/>
        <w:rPr>
          <w:rFonts w:ascii="Arial" w:hAnsi="Arial" w:cs="Arial"/>
          <w:sz w:val="20"/>
        </w:rPr>
      </w:pPr>
    </w:p>
    <w:p w14:paraId="0F52D33E" w14:textId="77777777" w:rsidR="00901665" w:rsidRPr="00945A82" w:rsidRDefault="00901665" w:rsidP="00901665">
      <w:pPr>
        <w:autoSpaceDE w:val="0"/>
        <w:autoSpaceDN w:val="0"/>
        <w:adjustRightInd w:val="0"/>
        <w:jc w:val="both"/>
        <w:rPr>
          <w:rFonts w:ascii="Arial" w:hAnsi="Arial" w:cs="Arial"/>
          <w:i/>
          <w:iCs/>
          <w:sz w:val="20"/>
        </w:rPr>
      </w:pPr>
      <w:r w:rsidRPr="00945A82">
        <w:rPr>
          <w:rFonts w:ascii="Arial" w:hAnsi="Arial" w:cs="Arial"/>
          <w:sz w:val="20"/>
        </w:rPr>
        <w:t>The WIPO Development Agenda plays a central role in ensuring that all areas of WIPO’s activities contribute to this Strategic Goal.</w:t>
      </w:r>
    </w:p>
    <w:p w14:paraId="777EA2AC" w14:textId="77777777" w:rsidR="00901665" w:rsidRDefault="00901665" w:rsidP="00901665">
      <w:pPr>
        <w:tabs>
          <w:tab w:val="left" w:pos="1701"/>
        </w:tabs>
        <w:ind w:left="1701" w:hanging="1701"/>
        <w:jc w:val="center"/>
        <w:rPr>
          <w:rFonts w:ascii="Arial" w:hAnsi="Arial" w:cs="Arial"/>
          <w:b/>
          <w:bCs/>
          <w:caps/>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88"/>
        <w:gridCol w:w="3081"/>
        <w:gridCol w:w="2749"/>
      </w:tblGrid>
      <w:tr w:rsidR="00C9789B" w:rsidRPr="0016774F" w14:paraId="57122F30" w14:textId="77777777" w:rsidTr="004F798C">
        <w:trPr>
          <w:cantSplit/>
          <w:tblHeader/>
        </w:trPr>
        <w:tc>
          <w:tcPr>
            <w:tcW w:w="1768" w:type="pct"/>
            <w:tcBorders>
              <w:top w:val="single" w:sz="4" w:space="0" w:color="auto"/>
              <w:bottom w:val="single" w:sz="4" w:space="0" w:color="auto"/>
            </w:tcBorders>
            <w:shd w:val="clear" w:color="auto" w:fill="C6D9F1" w:themeFill="text2" w:themeFillTint="33"/>
            <w:tcMar>
              <w:top w:w="85" w:type="dxa"/>
              <w:bottom w:w="28" w:type="dxa"/>
            </w:tcMar>
            <w:vAlign w:val="center"/>
          </w:tcPr>
          <w:p w14:paraId="0E4AA9D4" w14:textId="77777777" w:rsidR="00C9789B" w:rsidRPr="0016774F" w:rsidRDefault="00C9789B" w:rsidP="005A1F7F">
            <w:pPr>
              <w:spacing w:after="120"/>
              <w:jc w:val="center"/>
              <w:rPr>
                <w:rFonts w:ascii="Arial" w:hAnsi="Arial" w:cs="Arial"/>
                <w:b/>
                <w:bCs/>
                <w:sz w:val="16"/>
                <w:szCs w:val="16"/>
              </w:rPr>
            </w:pPr>
            <w:r w:rsidRPr="0016774F">
              <w:rPr>
                <w:rFonts w:ascii="Arial" w:hAnsi="Arial" w:cs="Arial"/>
                <w:b/>
                <w:bCs/>
                <w:sz w:val="16"/>
                <w:szCs w:val="16"/>
              </w:rPr>
              <w:t>Expected Results</w:t>
            </w:r>
          </w:p>
        </w:tc>
        <w:tc>
          <w:tcPr>
            <w:tcW w:w="1708" w:type="pct"/>
            <w:tcBorders>
              <w:top w:val="single" w:sz="4" w:space="0" w:color="auto"/>
              <w:bottom w:val="single" w:sz="4" w:space="0" w:color="auto"/>
            </w:tcBorders>
            <w:shd w:val="clear" w:color="auto" w:fill="C6D9F1" w:themeFill="text2" w:themeFillTint="33"/>
            <w:tcMar>
              <w:top w:w="85" w:type="dxa"/>
              <w:bottom w:w="28" w:type="dxa"/>
            </w:tcMar>
            <w:vAlign w:val="center"/>
          </w:tcPr>
          <w:p w14:paraId="6161D65F" w14:textId="77777777" w:rsidR="00C9789B" w:rsidRPr="0016774F" w:rsidRDefault="00C9789B" w:rsidP="005A1F7F">
            <w:pPr>
              <w:spacing w:after="120"/>
              <w:jc w:val="center"/>
              <w:rPr>
                <w:rFonts w:ascii="Arial" w:hAnsi="Arial" w:cs="Arial"/>
                <w:b/>
                <w:bCs/>
                <w:sz w:val="16"/>
                <w:szCs w:val="16"/>
              </w:rPr>
            </w:pPr>
            <w:r w:rsidRPr="0016774F">
              <w:rPr>
                <w:rFonts w:ascii="Arial" w:hAnsi="Arial" w:cs="Arial"/>
                <w:b/>
                <w:bCs/>
                <w:sz w:val="16"/>
                <w:szCs w:val="16"/>
              </w:rPr>
              <w:t>Performance Indicators</w:t>
            </w:r>
          </w:p>
        </w:tc>
        <w:tc>
          <w:tcPr>
            <w:tcW w:w="1524" w:type="pct"/>
            <w:tcBorders>
              <w:top w:val="single" w:sz="4" w:space="0" w:color="auto"/>
              <w:bottom w:val="single" w:sz="4" w:space="0" w:color="auto"/>
            </w:tcBorders>
            <w:shd w:val="clear" w:color="auto" w:fill="C6D9F1" w:themeFill="text2" w:themeFillTint="33"/>
            <w:tcMar>
              <w:top w:w="85" w:type="dxa"/>
              <w:bottom w:w="28" w:type="dxa"/>
            </w:tcMar>
            <w:vAlign w:val="center"/>
          </w:tcPr>
          <w:p w14:paraId="0169E8BC" w14:textId="77777777" w:rsidR="00C9789B" w:rsidRPr="0016774F" w:rsidRDefault="00C9789B" w:rsidP="005A1F7F">
            <w:pPr>
              <w:spacing w:after="120"/>
              <w:ind w:left="85"/>
              <w:jc w:val="center"/>
              <w:rPr>
                <w:rFonts w:ascii="Arial" w:hAnsi="Arial" w:cs="Arial"/>
                <w:b/>
                <w:bCs/>
                <w:sz w:val="16"/>
                <w:szCs w:val="16"/>
              </w:rPr>
            </w:pPr>
            <w:r w:rsidRPr="0016774F">
              <w:rPr>
                <w:rFonts w:ascii="Arial" w:hAnsi="Arial" w:cs="Arial"/>
                <w:b/>
                <w:bCs/>
                <w:sz w:val="16"/>
                <w:szCs w:val="16"/>
              </w:rPr>
              <w:t>Responsible Program(s)</w:t>
            </w:r>
          </w:p>
        </w:tc>
      </w:tr>
      <w:tr w:rsidR="00C9789B" w:rsidRPr="0016774F" w14:paraId="6832E404" w14:textId="77777777" w:rsidTr="004F798C">
        <w:trPr>
          <w:cantSplit/>
        </w:trPr>
        <w:tc>
          <w:tcPr>
            <w:tcW w:w="1768" w:type="pct"/>
            <w:tcBorders>
              <w:top w:val="single" w:sz="4" w:space="0" w:color="auto"/>
            </w:tcBorders>
            <w:shd w:val="clear" w:color="auto" w:fill="auto"/>
            <w:tcMar>
              <w:top w:w="85" w:type="dxa"/>
              <w:bottom w:w="28" w:type="dxa"/>
            </w:tcMar>
          </w:tcPr>
          <w:p w14:paraId="6FA93BCC" w14:textId="77777777" w:rsidR="00C9789B" w:rsidRPr="00DD2110" w:rsidRDefault="00C9789B" w:rsidP="005A1F7F">
            <w:pPr>
              <w:rPr>
                <w:rFonts w:ascii="Arial" w:hAnsi="Arial" w:cs="Arial"/>
                <w:sz w:val="16"/>
                <w:szCs w:val="16"/>
                <w:highlight w:val="yellow"/>
              </w:rPr>
            </w:pPr>
            <w:r w:rsidRPr="00EB3998">
              <w:rPr>
                <w:rFonts w:ascii="Arial" w:hAnsi="Arial" w:cs="Arial"/>
                <w:sz w:val="16"/>
                <w:szCs w:val="16"/>
              </w:rPr>
              <w:t>III.1  National innovation and IP strategies and plans consistent with national development objectives</w:t>
            </w:r>
            <w:r w:rsidRPr="00EB3998">
              <w:rPr>
                <w:rFonts w:ascii="Arial" w:hAnsi="Arial" w:cs="Arial"/>
                <w:sz w:val="15"/>
                <w:szCs w:val="15"/>
              </w:rPr>
              <w:t xml:space="preserve"> </w:t>
            </w:r>
          </w:p>
        </w:tc>
        <w:tc>
          <w:tcPr>
            <w:tcW w:w="1708" w:type="pct"/>
            <w:tcBorders>
              <w:top w:val="single" w:sz="4" w:space="0" w:color="auto"/>
            </w:tcBorders>
            <w:shd w:val="clear" w:color="auto" w:fill="auto"/>
            <w:tcMar>
              <w:top w:w="85" w:type="dxa"/>
              <w:bottom w:w="28" w:type="dxa"/>
            </w:tcMar>
          </w:tcPr>
          <w:p w14:paraId="4A67F3F9" w14:textId="77777777" w:rsidR="00C9789B" w:rsidRPr="00EB3998" w:rsidRDefault="00C9789B" w:rsidP="005A1F7F">
            <w:pPr>
              <w:rPr>
                <w:rFonts w:ascii="Arial" w:hAnsi="Arial" w:cs="Arial"/>
                <w:sz w:val="16"/>
                <w:szCs w:val="16"/>
                <w:highlight w:val="yellow"/>
              </w:rPr>
            </w:pPr>
            <w:r w:rsidRPr="00EB3998">
              <w:rPr>
                <w:rFonts w:ascii="Arial" w:hAnsi="Arial" w:cs="Arial"/>
                <w:color w:val="000000"/>
                <w:sz w:val="16"/>
                <w:szCs w:val="16"/>
              </w:rPr>
              <w:t>No. of countries which are in the process of formulating national IP strategies</w:t>
            </w:r>
          </w:p>
        </w:tc>
        <w:tc>
          <w:tcPr>
            <w:tcW w:w="1524" w:type="pct"/>
            <w:tcBorders>
              <w:top w:val="single" w:sz="4" w:space="0" w:color="auto"/>
            </w:tcBorders>
            <w:shd w:val="clear" w:color="auto" w:fill="FFFFFF"/>
            <w:tcMar>
              <w:top w:w="85" w:type="dxa"/>
              <w:bottom w:w="28" w:type="dxa"/>
            </w:tcMar>
          </w:tcPr>
          <w:p w14:paraId="110782D5" w14:textId="77777777" w:rsidR="00C9789B" w:rsidRPr="00DD2110" w:rsidRDefault="00C9789B" w:rsidP="005A1F7F">
            <w:pPr>
              <w:ind w:left="551"/>
              <w:rPr>
                <w:rFonts w:ascii="Arial" w:hAnsi="Arial" w:cs="Arial"/>
                <w:sz w:val="16"/>
                <w:szCs w:val="16"/>
                <w:highlight w:val="yellow"/>
              </w:rPr>
            </w:pPr>
            <w:r w:rsidRPr="00EB3998">
              <w:rPr>
                <w:rFonts w:ascii="Arial" w:hAnsi="Arial" w:cs="Arial"/>
                <w:sz w:val="16"/>
                <w:szCs w:val="16"/>
                <w:lang w:bidi="th-TH"/>
              </w:rPr>
              <w:t>Program 9</w:t>
            </w:r>
          </w:p>
        </w:tc>
      </w:tr>
      <w:tr w:rsidR="00C9789B" w:rsidRPr="0016774F" w14:paraId="1394D08D" w14:textId="77777777" w:rsidTr="004F798C">
        <w:trPr>
          <w:cantSplit/>
          <w:trHeight w:val="556"/>
        </w:trPr>
        <w:tc>
          <w:tcPr>
            <w:tcW w:w="1768" w:type="pct"/>
            <w:shd w:val="clear" w:color="auto" w:fill="auto"/>
            <w:tcMar>
              <w:top w:w="85" w:type="dxa"/>
              <w:bottom w:w="28" w:type="dxa"/>
            </w:tcMar>
          </w:tcPr>
          <w:p w14:paraId="036267F7" w14:textId="77777777" w:rsidR="00C9789B" w:rsidRPr="00DD2110" w:rsidRDefault="00C9789B" w:rsidP="005A1F7F">
            <w:pPr>
              <w:rPr>
                <w:rFonts w:ascii="Arial" w:hAnsi="Arial" w:cs="Arial"/>
                <w:sz w:val="16"/>
                <w:szCs w:val="16"/>
                <w:highlight w:val="yellow"/>
              </w:rPr>
            </w:pPr>
          </w:p>
        </w:tc>
        <w:tc>
          <w:tcPr>
            <w:tcW w:w="1708" w:type="pct"/>
            <w:shd w:val="clear" w:color="auto" w:fill="auto"/>
            <w:tcMar>
              <w:top w:w="85" w:type="dxa"/>
              <w:bottom w:w="28" w:type="dxa"/>
            </w:tcMar>
          </w:tcPr>
          <w:p w14:paraId="713B2187" w14:textId="77777777" w:rsidR="00C9789B" w:rsidRPr="00EB3998" w:rsidRDefault="00C9789B" w:rsidP="005A1F7F">
            <w:pPr>
              <w:rPr>
                <w:rFonts w:ascii="Arial" w:hAnsi="Arial" w:cs="Arial"/>
                <w:sz w:val="16"/>
                <w:szCs w:val="16"/>
                <w:highlight w:val="yellow"/>
              </w:rPr>
            </w:pPr>
            <w:r w:rsidRPr="00EB3998">
              <w:rPr>
                <w:rFonts w:ascii="Arial" w:hAnsi="Arial" w:cs="Arial"/>
                <w:color w:val="000000"/>
                <w:sz w:val="16"/>
                <w:szCs w:val="16"/>
              </w:rPr>
              <w:t>No. of countries which have adopted national innovation and IP strategies</w:t>
            </w:r>
          </w:p>
        </w:tc>
        <w:tc>
          <w:tcPr>
            <w:tcW w:w="1524" w:type="pct"/>
            <w:shd w:val="clear" w:color="auto" w:fill="FFFFFF"/>
            <w:tcMar>
              <w:top w:w="85" w:type="dxa"/>
              <w:bottom w:w="28" w:type="dxa"/>
            </w:tcMar>
          </w:tcPr>
          <w:p w14:paraId="04823E18" w14:textId="77777777" w:rsidR="00C9789B" w:rsidRPr="00DD2110" w:rsidRDefault="00C9789B" w:rsidP="005A1F7F">
            <w:pPr>
              <w:ind w:left="551"/>
              <w:rPr>
                <w:rFonts w:ascii="Arial" w:hAnsi="Arial" w:cs="Arial"/>
                <w:sz w:val="16"/>
                <w:szCs w:val="16"/>
                <w:highlight w:val="yellow"/>
              </w:rPr>
            </w:pPr>
            <w:r w:rsidRPr="00EB3998">
              <w:rPr>
                <w:rFonts w:ascii="Arial" w:hAnsi="Arial" w:cs="Arial"/>
                <w:sz w:val="16"/>
                <w:szCs w:val="16"/>
                <w:lang w:bidi="th-TH"/>
              </w:rPr>
              <w:t>Program 9</w:t>
            </w:r>
          </w:p>
        </w:tc>
      </w:tr>
      <w:tr w:rsidR="00C9789B" w:rsidRPr="0016774F" w14:paraId="7AD38566" w14:textId="77777777" w:rsidTr="004F798C">
        <w:trPr>
          <w:cantSplit/>
          <w:trHeight w:val="556"/>
        </w:trPr>
        <w:tc>
          <w:tcPr>
            <w:tcW w:w="1768" w:type="pct"/>
            <w:shd w:val="clear" w:color="auto" w:fill="auto"/>
            <w:tcMar>
              <w:top w:w="85" w:type="dxa"/>
              <w:bottom w:w="28" w:type="dxa"/>
            </w:tcMar>
          </w:tcPr>
          <w:p w14:paraId="4F115CAE" w14:textId="77777777" w:rsidR="00C9789B" w:rsidRPr="00DD2110" w:rsidRDefault="00C9789B" w:rsidP="005A1F7F">
            <w:pPr>
              <w:rPr>
                <w:rFonts w:ascii="Arial" w:hAnsi="Arial" w:cs="Arial"/>
                <w:sz w:val="16"/>
                <w:szCs w:val="16"/>
                <w:highlight w:val="yellow"/>
              </w:rPr>
            </w:pPr>
          </w:p>
        </w:tc>
        <w:tc>
          <w:tcPr>
            <w:tcW w:w="1708" w:type="pct"/>
            <w:shd w:val="clear" w:color="auto" w:fill="auto"/>
            <w:tcMar>
              <w:top w:w="85" w:type="dxa"/>
              <w:bottom w:w="28" w:type="dxa"/>
            </w:tcMar>
          </w:tcPr>
          <w:p w14:paraId="681D6689" w14:textId="77777777" w:rsidR="00C9789B" w:rsidRPr="006E70A3" w:rsidRDefault="00C9789B" w:rsidP="005A1F7F">
            <w:pPr>
              <w:rPr>
                <w:rFonts w:ascii="Arial" w:hAnsi="Arial" w:cs="Arial"/>
                <w:color w:val="000000"/>
                <w:sz w:val="16"/>
                <w:szCs w:val="16"/>
              </w:rPr>
            </w:pPr>
            <w:r w:rsidRPr="006E70A3">
              <w:rPr>
                <w:rFonts w:ascii="Arial" w:hAnsi="Arial" w:cs="Arial"/>
                <w:color w:val="000000"/>
                <w:sz w:val="16"/>
                <w:szCs w:val="16"/>
              </w:rPr>
              <w:t>No. of countries which are in the process of implementing national innovation and IP strategies and IP development plans</w:t>
            </w:r>
          </w:p>
        </w:tc>
        <w:tc>
          <w:tcPr>
            <w:tcW w:w="1524" w:type="pct"/>
            <w:shd w:val="clear" w:color="auto" w:fill="FFFFFF"/>
            <w:tcMar>
              <w:top w:w="85" w:type="dxa"/>
              <w:bottom w:w="28" w:type="dxa"/>
            </w:tcMar>
          </w:tcPr>
          <w:p w14:paraId="4AF3821E" w14:textId="77777777" w:rsidR="00C9789B" w:rsidRPr="00EB3998" w:rsidRDefault="00C9789B" w:rsidP="005A1F7F">
            <w:pPr>
              <w:ind w:left="551"/>
              <w:rPr>
                <w:rFonts w:ascii="Arial" w:hAnsi="Arial" w:cs="Arial"/>
                <w:sz w:val="16"/>
                <w:szCs w:val="16"/>
                <w:lang w:bidi="th-TH"/>
              </w:rPr>
            </w:pPr>
            <w:r>
              <w:rPr>
                <w:rFonts w:ascii="Arial" w:hAnsi="Arial" w:cs="Arial"/>
                <w:sz w:val="16"/>
                <w:szCs w:val="16"/>
                <w:lang w:bidi="th-TH"/>
              </w:rPr>
              <w:t>Program 9</w:t>
            </w:r>
          </w:p>
        </w:tc>
      </w:tr>
      <w:tr w:rsidR="00C9789B" w:rsidRPr="0016774F" w14:paraId="59636651" w14:textId="77777777" w:rsidTr="004F798C">
        <w:trPr>
          <w:cantSplit/>
          <w:trHeight w:val="368"/>
        </w:trPr>
        <w:tc>
          <w:tcPr>
            <w:tcW w:w="1768" w:type="pct"/>
            <w:shd w:val="clear" w:color="auto" w:fill="auto"/>
            <w:tcMar>
              <w:top w:w="85" w:type="dxa"/>
              <w:bottom w:w="28" w:type="dxa"/>
            </w:tcMar>
          </w:tcPr>
          <w:p w14:paraId="1FB1855B" w14:textId="77777777" w:rsidR="00C9789B" w:rsidRPr="00DD2110" w:rsidRDefault="00C9789B" w:rsidP="005A1F7F">
            <w:pPr>
              <w:rPr>
                <w:rFonts w:ascii="Arial" w:hAnsi="Arial" w:cs="Arial"/>
                <w:sz w:val="16"/>
                <w:szCs w:val="16"/>
                <w:highlight w:val="yellow"/>
              </w:rPr>
            </w:pPr>
          </w:p>
        </w:tc>
        <w:tc>
          <w:tcPr>
            <w:tcW w:w="1708" w:type="pct"/>
            <w:shd w:val="clear" w:color="auto" w:fill="auto"/>
            <w:tcMar>
              <w:top w:w="85" w:type="dxa"/>
              <w:bottom w:w="28" w:type="dxa"/>
            </w:tcMar>
          </w:tcPr>
          <w:p w14:paraId="7855ABBA" w14:textId="77777777" w:rsidR="00C9789B" w:rsidRPr="009A1CE8" w:rsidRDefault="00C9789B" w:rsidP="005A1F7F">
            <w:pPr>
              <w:rPr>
                <w:rFonts w:ascii="Arial" w:hAnsi="Arial" w:cs="Arial"/>
                <w:sz w:val="16"/>
                <w:szCs w:val="16"/>
                <w:highlight w:val="yellow"/>
              </w:rPr>
            </w:pPr>
            <w:r w:rsidRPr="009A1CE8">
              <w:rPr>
                <w:rFonts w:ascii="Arial" w:hAnsi="Arial" w:cs="Arial"/>
                <w:color w:val="000000"/>
                <w:sz w:val="16"/>
                <w:szCs w:val="16"/>
              </w:rPr>
              <w:t>No. of countries having developed national IP strategies or IP plans, dovetailed with national development goals</w:t>
            </w:r>
          </w:p>
        </w:tc>
        <w:tc>
          <w:tcPr>
            <w:tcW w:w="1524" w:type="pct"/>
            <w:shd w:val="clear" w:color="auto" w:fill="FFFFFF"/>
            <w:tcMar>
              <w:top w:w="85" w:type="dxa"/>
              <w:bottom w:w="28" w:type="dxa"/>
            </w:tcMar>
          </w:tcPr>
          <w:p w14:paraId="09A9FD34" w14:textId="77777777" w:rsidR="00C9789B" w:rsidRPr="00DD2110" w:rsidRDefault="00C9789B" w:rsidP="005A1F7F">
            <w:pPr>
              <w:ind w:left="551"/>
              <w:rPr>
                <w:rFonts w:ascii="Arial" w:hAnsi="Arial" w:cs="Arial"/>
                <w:sz w:val="16"/>
                <w:szCs w:val="16"/>
                <w:highlight w:val="yellow"/>
              </w:rPr>
            </w:pPr>
            <w:r w:rsidRPr="009A1CE8">
              <w:rPr>
                <w:rFonts w:ascii="Arial" w:hAnsi="Arial" w:cs="Arial"/>
                <w:sz w:val="16"/>
                <w:szCs w:val="16"/>
                <w:lang w:bidi="th-TH"/>
              </w:rPr>
              <w:t>Program 10</w:t>
            </w:r>
          </w:p>
        </w:tc>
      </w:tr>
      <w:tr w:rsidR="00C9789B" w:rsidRPr="0016774F" w14:paraId="0B37FE44" w14:textId="77777777" w:rsidTr="004F798C">
        <w:trPr>
          <w:cantSplit/>
          <w:trHeight w:val="362"/>
        </w:trPr>
        <w:tc>
          <w:tcPr>
            <w:tcW w:w="1768" w:type="pct"/>
            <w:shd w:val="clear" w:color="auto" w:fill="auto"/>
            <w:tcMar>
              <w:top w:w="85" w:type="dxa"/>
              <w:bottom w:w="28" w:type="dxa"/>
            </w:tcMar>
          </w:tcPr>
          <w:p w14:paraId="555914A1" w14:textId="77777777" w:rsidR="00C9789B" w:rsidRPr="00DD2110" w:rsidRDefault="00C9789B" w:rsidP="005A1F7F">
            <w:pPr>
              <w:rPr>
                <w:rFonts w:ascii="Arial" w:hAnsi="Arial" w:cs="Arial"/>
                <w:sz w:val="16"/>
                <w:szCs w:val="16"/>
                <w:highlight w:val="yellow"/>
              </w:rPr>
            </w:pPr>
          </w:p>
        </w:tc>
        <w:tc>
          <w:tcPr>
            <w:tcW w:w="1708" w:type="pct"/>
            <w:shd w:val="clear" w:color="auto" w:fill="auto"/>
            <w:tcMar>
              <w:top w:w="85" w:type="dxa"/>
              <w:bottom w:w="28" w:type="dxa"/>
            </w:tcMar>
          </w:tcPr>
          <w:p w14:paraId="55795135" w14:textId="77777777" w:rsidR="00C9789B" w:rsidRPr="009A1CE8" w:rsidRDefault="00C9789B" w:rsidP="005A1F7F">
            <w:pPr>
              <w:rPr>
                <w:rFonts w:ascii="Arial" w:hAnsi="Arial" w:cs="Arial"/>
                <w:sz w:val="16"/>
                <w:szCs w:val="16"/>
              </w:rPr>
            </w:pPr>
          </w:p>
          <w:p w14:paraId="2A2D4D99" w14:textId="77777777" w:rsidR="00C9789B" w:rsidRPr="009A1CE8" w:rsidRDefault="00C9789B" w:rsidP="005A1F7F">
            <w:pPr>
              <w:rPr>
                <w:rFonts w:ascii="Arial" w:hAnsi="Arial" w:cs="Arial"/>
                <w:sz w:val="16"/>
                <w:szCs w:val="16"/>
              </w:rPr>
            </w:pPr>
            <w:r>
              <w:rPr>
                <w:rFonts w:ascii="Arial" w:hAnsi="Arial" w:cs="Arial"/>
                <w:color w:val="000000"/>
                <w:sz w:val="16"/>
                <w:szCs w:val="16"/>
              </w:rPr>
              <w:t>No. of national IP strategies that address the promotion of creativity including innovation</w:t>
            </w:r>
          </w:p>
        </w:tc>
        <w:tc>
          <w:tcPr>
            <w:tcW w:w="1524" w:type="pct"/>
            <w:shd w:val="clear" w:color="auto" w:fill="FFFFFF"/>
            <w:tcMar>
              <w:top w:w="85" w:type="dxa"/>
              <w:bottom w:w="28" w:type="dxa"/>
            </w:tcMar>
          </w:tcPr>
          <w:p w14:paraId="2706BD47" w14:textId="77777777" w:rsidR="00C9789B" w:rsidRPr="009A1CE8" w:rsidRDefault="00C9789B" w:rsidP="005A1F7F">
            <w:pPr>
              <w:ind w:left="551"/>
              <w:rPr>
                <w:rFonts w:ascii="Arial" w:hAnsi="Arial" w:cs="Arial"/>
                <w:sz w:val="16"/>
                <w:szCs w:val="16"/>
                <w:lang w:bidi="th-TH"/>
              </w:rPr>
            </w:pPr>
          </w:p>
          <w:p w14:paraId="48980656" w14:textId="77777777" w:rsidR="00C9789B" w:rsidRPr="009A1CE8" w:rsidRDefault="00C9789B" w:rsidP="005A1F7F">
            <w:pPr>
              <w:ind w:left="569"/>
              <w:rPr>
                <w:rFonts w:ascii="Arial" w:hAnsi="Arial" w:cs="Arial"/>
                <w:sz w:val="16"/>
                <w:szCs w:val="16"/>
                <w:lang w:bidi="th-TH"/>
              </w:rPr>
            </w:pPr>
            <w:r w:rsidRPr="009A1CE8">
              <w:rPr>
                <w:rFonts w:ascii="Arial" w:hAnsi="Arial" w:cs="Arial"/>
                <w:sz w:val="16"/>
                <w:szCs w:val="16"/>
                <w:lang w:bidi="th-TH"/>
              </w:rPr>
              <w:t>Program 30</w:t>
            </w:r>
          </w:p>
        </w:tc>
      </w:tr>
      <w:tr w:rsidR="00C9789B" w:rsidRPr="0016774F" w14:paraId="4E8AEC2D" w14:textId="77777777" w:rsidTr="00FB68E0">
        <w:trPr>
          <w:cantSplit/>
          <w:trHeight w:val="1314"/>
        </w:trPr>
        <w:tc>
          <w:tcPr>
            <w:tcW w:w="1768" w:type="pct"/>
            <w:shd w:val="clear" w:color="auto" w:fill="auto"/>
            <w:tcMar>
              <w:top w:w="85" w:type="dxa"/>
              <w:bottom w:w="28" w:type="dxa"/>
            </w:tcMar>
          </w:tcPr>
          <w:p w14:paraId="7E223531" w14:textId="77777777" w:rsidR="00C9789B" w:rsidRPr="0016774F" w:rsidRDefault="00C9789B" w:rsidP="005A1F7F">
            <w:pPr>
              <w:rPr>
                <w:rFonts w:ascii="Arial" w:hAnsi="Arial" w:cs="Arial"/>
                <w:sz w:val="16"/>
                <w:szCs w:val="16"/>
              </w:rPr>
            </w:pPr>
            <w:r w:rsidRPr="0016774F">
              <w:rPr>
                <w:rFonts w:ascii="Arial" w:hAnsi="Arial" w:cs="Arial"/>
                <w:sz w:val="16"/>
                <w:szCs w:val="16"/>
              </w:rPr>
              <w:t>III.2</w:t>
            </w:r>
            <w:r>
              <w:rPr>
                <w:rFonts w:ascii="Arial" w:hAnsi="Arial" w:cs="Arial"/>
                <w:sz w:val="16"/>
                <w:szCs w:val="16"/>
              </w:rPr>
              <w:t xml:space="preserve"> </w:t>
            </w:r>
            <w:r w:rsidRPr="0016774F">
              <w:rPr>
                <w:rFonts w:ascii="Arial" w:hAnsi="Arial" w:cs="Arial"/>
                <w:sz w:val="16"/>
                <w:szCs w:val="16"/>
              </w:rPr>
              <w:t xml:space="preserve"> </w:t>
            </w:r>
            <w:r>
              <w:rPr>
                <w:rFonts w:ascii="Arial" w:hAnsi="Arial" w:cs="Arial"/>
                <w:color w:val="000000"/>
                <w:sz w:val="16"/>
                <w:szCs w:val="16"/>
              </w:rPr>
              <w:t>Enhanced human resource capacities able to deal with the broad range of requirements for the effective use of IP for development in developing countries, LDCs and countries with economies in transition</w:t>
            </w:r>
          </w:p>
        </w:tc>
        <w:tc>
          <w:tcPr>
            <w:tcW w:w="1708" w:type="pct"/>
            <w:shd w:val="clear" w:color="auto" w:fill="auto"/>
            <w:tcMar>
              <w:top w:w="85" w:type="dxa"/>
              <w:bottom w:w="28" w:type="dxa"/>
            </w:tcMar>
          </w:tcPr>
          <w:p w14:paraId="0090F357" w14:textId="77777777" w:rsidR="00EE57D1" w:rsidRDefault="00C9789B" w:rsidP="005A1F7F">
            <w:pPr>
              <w:rPr>
                <w:rFonts w:ascii="Arial" w:hAnsi="Arial" w:cs="Arial"/>
                <w:color w:val="000000"/>
                <w:sz w:val="16"/>
                <w:szCs w:val="16"/>
              </w:rPr>
            </w:pPr>
            <w:r w:rsidRPr="002F442C">
              <w:rPr>
                <w:rFonts w:ascii="Arial" w:hAnsi="Arial" w:cs="Arial"/>
                <w:color w:val="000000"/>
                <w:sz w:val="16"/>
                <w:szCs w:val="16"/>
              </w:rPr>
              <w:t>No. of CMOs applying for TAG accreditation</w:t>
            </w:r>
          </w:p>
          <w:p w14:paraId="062C3CA3" w14:textId="77777777" w:rsidR="00EE57D1" w:rsidRDefault="00EE57D1" w:rsidP="005A1F7F">
            <w:pPr>
              <w:rPr>
                <w:rFonts w:ascii="Arial" w:hAnsi="Arial" w:cs="Arial"/>
                <w:color w:val="000000"/>
                <w:sz w:val="16"/>
                <w:szCs w:val="16"/>
              </w:rPr>
            </w:pPr>
          </w:p>
          <w:p w14:paraId="015F8560" w14:textId="53D3FA0A" w:rsidR="00C9789B" w:rsidRPr="0016774F" w:rsidRDefault="00EE57D1" w:rsidP="005A1F7F">
            <w:pPr>
              <w:rPr>
                <w:rFonts w:ascii="Arial" w:hAnsi="Arial" w:cs="Arial"/>
                <w:sz w:val="16"/>
                <w:szCs w:val="16"/>
              </w:rPr>
            </w:pPr>
            <w:r w:rsidRPr="002F442C">
              <w:rPr>
                <w:rFonts w:ascii="Arial" w:hAnsi="Arial" w:cs="Arial"/>
                <w:color w:val="000000"/>
                <w:sz w:val="16"/>
                <w:szCs w:val="16"/>
              </w:rPr>
              <w:t>% of participants that report positively on the collective management capacity building programs</w:t>
            </w:r>
          </w:p>
        </w:tc>
        <w:tc>
          <w:tcPr>
            <w:tcW w:w="1524" w:type="pct"/>
            <w:shd w:val="clear" w:color="auto" w:fill="FFFFFF"/>
            <w:tcMar>
              <w:top w:w="85" w:type="dxa"/>
              <w:bottom w:w="28" w:type="dxa"/>
            </w:tcMar>
          </w:tcPr>
          <w:p w14:paraId="7D96D047" w14:textId="77777777" w:rsidR="00EE57D1" w:rsidRDefault="00C9789B" w:rsidP="005A1F7F">
            <w:pPr>
              <w:ind w:left="551"/>
              <w:rPr>
                <w:rFonts w:ascii="Arial" w:hAnsi="Arial" w:cs="Arial"/>
                <w:sz w:val="16"/>
                <w:szCs w:val="16"/>
                <w:lang w:bidi="th-TH"/>
              </w:rPr>
            </w:pPr>
            <w:r w:rsidRPr="0016774F">
              <w:rPr>
                <w:rFonts w:ascii="Arial" w:hAnsi="Arial" w:cs="Arial"/>
                <w:sz w:val="16"/>
                <w:szCs w:val="16"/>
                <w:lang w:bidi="th-TH"/>
              </w:rPr>
              <w:t>Program 3</w:t>
            </w:r>
            <w:r w:rsidR="00EE57D1" w:rsidRPr="0016774F">
              <w:rPr>
                <w:rFonts w:ascii="Arial" w:hAnsi="Arial" w:cs="Arial"/>
                <w:sz w:val="16"/>
                <w:szCs w:val="16"/>
                <w:lang w:bidi="th-TH"/>
              </w:rPr>
              <w:t xml:space="preserve"> </w:t>
            </w:r>
          </w:p>
          <w:p w14:paraId="14F2320C" w14:textId="77777777" w:rsidR="00EE57D1" w:rsidRDefault="00EE57D1" w:rsidP="005A1F7F">
            <w:pPr>
              <w:ind w:left="551"/>
              <w:rPr>
                <w:rFonts w:ascii="Arial" w:hAnsi="Arial" w:cs="Arial"/>
                <w:sz w:val="16"/>
                <w:szCs w:val="16"/>
                <w:lang w:bidi="th-TH"/>
              </w:rPr>
            </w:pPr>
          </w:p>
          <w:p w14:paraId="2A76A843" w14:textId="77777777" w:rsidR="00EE57D1" w:rsidRDefault="00EE57D1" w:rsidP="005A1F7F">
            <w:pPr>
              <w:ind w:left="551"/>
              <w:rPr>
                <w:rFonts w:ascii="Arial" w:hAnsi="Arial" w:cs="Arial"/>
                <w:sz w:val="16"/>
                <w:szCs w:val="16"/>
                <w:lang w:bidi="th-TH"/>
              </w:rPr>
            </w:pPr>
          </w:p>
          <w:p w14:paraId="488C6EFE" w14:textId="1DC11FEB" w:rsidR="00C9789B" w:rsidRPr="0016774F" w:rsidRDefault="00EE57D1" w:rsidP="005A1F7F">
            <w:pPr>
              <w:ind w:left="551"/>
              <w:rPr>
                <w:rFonts w:ascii="Arial" w:hAnsi="Arial" w:cs="Arial"/>
                <w:sz w:val="16"/>
                <w:szCs w:val="16"/>
                <w:lang w:bidi="th-TH"/>
              </w:rPr>
            </w:pPr>
            <w:r w:rsidRPr="0016774F">
              <w:rPr>
                <w:rFonts w:ascii="Arial" w:hAnsi="Arial" w:cs="Arial"/>
                <w:sz w:val="16"/>
                <w:szCs w:val="16"/>
                <w:lang w:bidi="th-TH"/>
              </w:rPr>
              <w:t>Program 3</w:t>
            </w:r>
          </w:p>
        </w:tc>
      </w:tr>
      <w:tr w:rsidR="00C9789B" w:rsidRPr="0016774F" w14:paraId="1FA65D8E" w14:textId="77777777" w:rsidTr="004F798C">
        <w:trPr>
          <w:cantSplit/>
          <w:trHeight w:val="540"/>
        </w:trPr>
        <w:tc>
          <w:tcPr>
            <w:tcW w:w="1768" w:type="pct"/>
            <w:shd w:val="clear" w:color="auto" w:fill="auto"/>
            <w:tcMar>
              <w:top w:w="85" w:type="dxa"/>
              <w:bottom w:w="28" w:type="dxa"/>
            </w:tcMar>
          </w:tcPr>
          <w:p w14:paraId="3FA98752"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65B93080" w14:textId="77777777" w:rsidR="00C9789B" w:rsidRPr="0016774F" w:rsidRDefault="00C9789B" w:rsidP="005A1F7F">
            <w:pPr>
              <w:rPr>
                <w:rFonts w:ascii="Arial" w:hAnsi="Arial" w:cs="Arial"/>
                <w:sz w:val="16"/>
                <w:szCs w:val="16"/>
              </w:rPr>
            </w:pPr>
            <w:r w:rsidRPr="002F442C">
              <w:rPr>
                <w:rFonts w:ascii="Arial" w:hAnsi="Arial" w:cs="Arial"/>
                <w:color w:val="000000"/>
                <w:sz w:val="16"/>
                <w:szCs w:val="16"/>
              </w:rPr>
              <w:t>No. of visits to the Portal on Copyright Infrastructure.</w:t>
            </w:r>
          </w:p>
        </w:tc>
        <w:tc>
          <w:tcPr>
            <w:tcW w:w="1524" w:type="pct"/>
            <w:shd w:val="clear" w:color="auto" w:fill="FFFFFF"/>
            <w:tcMar>
              <w:top w:w="85" w:type="dxa"/>
              <w:bottom w:w="28" w:type="dxa"/>
            </w:tcMar>
          </w:tcPr>
          <w:p w14:paraId="0C8684EE"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3</w:t>
            </w:r>
          </w:p>
        </w:tc>
      </w:tr>
      <w:tr w:rsidR="00C9789B" w:rsidRPr="0016774F" w14:paraId="1B7729D5" w14:textId="77777777" w:rsidTr="00FB68E0">
        <w:trPr>
          <w:cantSplit/>
          <w:trHeight w:val="522"/>
        </w:trPr>
        <w:tc>
          <w:tcPr>
            <w:tcW w:w="1768" w:type="pct"/>
            <w:shd w:val="clear" w:color="auto" w:fill="auto"/>
            <w:tcMar>
              <w:top w:w="85" w:type="dxa"/>
              <w:bottom w:w="28" w:type="dxa"/>
            </w:tcMar>
          </w:tcPr>
          <w:p w14:paraId="4C5FC1D0"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109B2F5E" w14:textId="77777777" w:rsidR="00C9789B" w:rsidRPr="0016774F" w:rsidRDefault="00C9789B" w:rsidP="005A1F7F">
            <w:pPr>
              <w:rPr>
                <w:rFonts w:ascii="Arial" w:hAnsi="Arial" w:cs="Arial"/>
                <w:sz w:val="16"/>
                <w:szCs w:val="16"/>
              </w:rPr>
            </w:pPr>
            <w:r w:rsidRPr="002F442C">
              <w:rPr>
                <w:rFonts w:ascii="Arial" w:hAnsi="Arial" w:cs="Arial"/>
                <w:color w:val="000000"/>
                <w:sz w:val="16"/>
                <w:szCs w:val="16"/>
              </w:rPr>
              <w:t>No. of publishers signing ABC Charter for Accessible Publishing (“Charter”)</w:t>
            </w:r>
          </w:p>
        </w:tc>
        <w:tc>
          <w:tcPr>
            <w:tcW w:w="1524" w:type="pct"/>
            <w:shd w:val="clear" w:color="auto" w:fill="FFFFFF"/>
            <w:tcMar>
              <w:top w:w="85" w:type="dxa"/>
              <w:bottom w:w="28" w:type="dxa"/>
            </w:tcMar>
          </w:tcPr>
          <w:p w14:paraId="2C74E4B8"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3</w:t>
            </w:r>
          </w:p>
        </w:tc>
      </w:tr>
      <w:tr w:rsidR="00C9789B" w:rsidRPr="0016774F" w14:paraId="7775EF06" w14:textId="77777777" w:rsidTr="00FB68E0">
        <w:trPr>
          <w:cantSplit/>
          <w:trHeight w:val="666"/>
        </w:trPr>
        <w:tc>
          <w:tcPr>
            <w:tcW w:w="1768" w:type="pct"/>
            <w:shd w:val="clear" w:color="auto" w:fill="auto"/>
            <w:tcMar>
              <w:top w:w="85" w:type="dxa"/>
              <w:bottom w:w="28" w:type="dxa"/>
            </w:tcMar>
          </w:tcPr>
          <w:p w14:paraId="458C92B1"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3CE460A0" w14:textId="77777777" w:rsidR="00C9789B" w:rsidRPr="002F442C" w:rsidRDefault="00C9789B" w:rsidP="005A1F7F">
            <w:pPr>
              <w:rPr>
                <w:rFonts w:ascii="Arial" w:hAnsi="Arial" w:cs="Arial"/>
                <w:color w:val="000000"/>
                <w:sz w:val="16"/>
                <w:szCs w:val="16"/>
              </w:rPr>
            </w:pPr>
            <w:r w:rsidRPr="002F442C">
              <w:rPr>
                <w:rFonts w:ascii="Arial" w:hAnsi="Arial" w:cs="Arial"/>
                <w:color w:val="000000"/>
                <w:sz w:val="16"/>
                <w:szCs w:val="16"/>
              </w:rPr>
              <w:t>No. of books in accessible formats loaned to persons who are print-disabled</w:t>
            </w:r>
          </w:p>
        </w:tc>
        <w:tc>
          <w:tcPr>
            <w:tcW w:w="1524" w:type="pct"/>
            <w:shd w:val="clear" w:color="auto" w:fill="FFFFFF"/>
            <w:tcMar>
              <w:top w:w="85" w:type="dxa"/>
              <w:bottom w:w="28" w:type="dxa"/>
            </w:tcMar>
          </w:tcPr>
          <w:p w14:paraId="205BA92D"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3</w:t>
            </w:r>
          </w:p>
        </w:tc>
      </w:tr>
      <w:tr w:rsidR="00C9789B" w:rsidRPr="0016774F" w14:paraId="680DD309" w14:textId="77777777" w:rsidTr="004F798C">
        <w:trPr>
          <w:cantSplit/>
          <w:trHeight w:val="800"/>
        </w:trPr>
        <w:tc>
          <w:tcPr>
            <w:tcW w:w="1768" w:type="pct"/>
            <w:shd w:val="clear" w:color="auto" w:fill="auto"/>
            <w:tcMar>
              <w:top w:w="85" w:type="dxa"/>
              <w:bottom w:w="28" w:type="dxa"/>
            </w:tcMar>
          </w:tcPr>
          <w:p w14:paraId="025FA48E"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2A389A4D" w14:textId="77777777" w:rsidR="00C9789B" w:rsidRPr="002F442C" w:rsidRDefault="00C9789B" w:rsidP="005A1F7F">
            <w:pPr>
              <w:rPr>
                <w:rFonts w:ascii="Arial" w:hAnsi="Arial" w:cs="Arial"/>
                <w:color w:val="000000"/>
                <w:sz w:val="16"/>
                <w:szCs w:val="16"/>
              </w:rPr>
            </w:pPr>
            <w:r w:rsidRPr="002F442C">
              <w:rPr>
                <w:rFonts w:ascii="Arial" w:hAnsi="Arial" w:cs="Arial"/>
                <w:color w:val="000000"/>
                <w:sz w:val="16"/>
                <w:szCs w:val="16"/>
              </w:rPr>
              <w:t>% of participants' positive rating of the usefulness of copyright and related rights capacity building meetings and workshops</w:t>
            </w:r>
          </w:p>
        </w:tc>
        <w:tc>
          <w:tcPr>
            <w:tcW w:w="1524" w:type="pct"/>
            <w:shd w:val="clear" w:color="auto" w:fill="FFFFFF"/>
            <w:tcMar>
              <w:top w:w="85" w:type="dxa"/>
              <w:bottom w:w="28" w:type="dxa"/>
            </w:tcMar>
          </w:tcPr>
          <w:p w14:paraId="58845716"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3</w:t>
            </w:r>
          </w:p>
        </w:tc>
      </w:tr>
      <w:tr w:rsidR="00C9789B" w:rsidRPr="0016774F" w14:paraId="63F0DE42" w14:textId="77777777" w:rsidTr="004F798C">
        <w:trPr>
          <w:cantSplit/>
          <w:trHeight w:val="800"/>
        </w:trPr>
        <w:tc>
          <w:tcPr>
            <w:tcW w:w="1768" w:type="pct"/>
            <w:shd w:val="clear" w:color="auto" w:fill="auto"/>
            <w:tcMar>
              <w:top w:w="85" w:type="dxa"/>
              <w:bottom w:w="28" w:type="dxa"/>
            </w:tcMar>
          </w:tcPr>
          <w:p w14:paraId="7565FD9F"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64BFB88B" w14:textId="77777777" w:rsidR="00C9789B" w:rsidRPr="002F442C" w:rsidRDefault="00C9789B" w:rsidP="005A1F7F">
            <w:pPr>
              <w:rPr>
                <w:rFonts w:ascii="Arial" w:hAnsi="Arial" w:cs="Arial"/>
                <w:color w:val="000000"/>
                <w:sz w:val="16"/>
                <w:szCs w:val="16"/>
              </w:rPr>
            </w:pPr>
            <w:r w:rsidRPr="002F442C">
              <w:rPr>
                <w:rFonts w:ascii="Arial" w:hAnsi="Arial" w:cs="Arial"/>
                <w:color w:val="000000"/>
                <w:sz w:val="16"/>
                <w:szCs w:val="16"/>
              </w:rPr>
              <w:t xml:space="preserve">% of participants </w:t>
            </w:r>
            <w:r>
              <w:rPr>
                <w:rFonts w:ascii="Arial" w:hAnsi="Arial" w:cs="Arial"/>
                <w:color w:val="000000"/>
                <w:sz w:val="16"/>
                <w:szCs w:val="16"/>
              </w:rPr>
              <w:t xml:space="preserve">in copyright related capacity building workshops </w:t>
            </w:r>
            <w:r w:rsidRPr="002F442C">
              <w:rPr>
                <w:rFonts w:ascii="Arial" w:hAnsi="Arial" w:cs="Arial"/>
                <w:color w:val="000000"/>
                <w:sz w:val="16"/>
                <w:szCs w:val="16"/>
              </w:rPr>
              <w:t>reporting practical use of knowledge nine months after the workshop</w:t>
            </w:r>
          </w:p>
        </w:tc>
        <w:tc>
          <w:tcPr>
            <w:tcW w:w="1524" w:type="pct"/>
            <w:shd w:val="clear" w:color="auto" w:fill="FFFFFF"/>
            <w:tcMar>
              <w:top w:w="85" w:type="dxa"/>
              <w:bottom w:w="28" w:type="dxa"/>
            </w:tcMar>
          </w:tcPr>
          <w:p w14:paraId="2A178909"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3</w:t>
            </w:r>
          </w:p>
        </w:tc>
      </w:tr>
      <w:tr w:rsidR="00C9789B" w:rsidRPr="0016774F" w14:paraId="6E9FE340" w14:textId="77777777" w:rsidTr="004F798C">
        <w:trPr>
          <w:cantSplit/>
          <w:trHeight w:val="800"/>
        </w:trPr>
        <w:tc>
          <w:tcPr>
            <w:tcW w:w="1768" w:type="pct"/>
            <w:shd w:val="clear" w:color="auto" w:fill="auto"/>
            <w:tcMar>
              <w:top w:w="85" w:type="dxa"/>
              <w:bottom w:w="28" w:type="dxa"/>
            </w:tcMar>
          </w:tcPr>
          <w:p w14:paraId="2A8B6876"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41335294" w14:textId="77777777" w:rsidR="00C9789B" w:rsidRPr="002F442C" w:rsidRDefault="00C9789B" w:rsidP="005A1F7F">
            <w:pPr>
              <w:rPr>
                <w:rFonts w:ascii="Arial" w:hAnsi="Arial" w:cs="Arial"/>
                <w:color w:val="000000"/>
                <w:sz w:val="16"/>
                <w:szCs w:val="16"/>
              </w:rPr>
            </w:pPr>
            <w:r w:rsidRPr="002F442C">
              <w:rPr>
                <w:rFonts w:ascii="Arial" w:hAnsi="Arial" w:cs="Arial"/>
                <w:color w:val="000000"/>
                <w:sz w:val="16"/>
                <w:szCs w:val="16"/>
              </w:rPr>
              <w:t xml:space="preserve">% of </w:t>
            </w:r>
            <w:r>
              <w:rPr>
                <w:rFonts w:ascii="Arial" w:hAnsi="Arial" w:cs="Arial"/>
                <w:color w:val="000000"/>
                <w:sz w:val="16"/>
                <w:szCs w:val="16"/>
              </w:rPr>
              <w:t xml:space="preserve">participants </w:t>
            </w:r>
            <w:r w:rsidRPr="002F442C">
              <w:rPr>
                <w:rFonts w:ascii="Arial" w:hAnsi="Arial" w:cs="Arial"/>
                <w:color w:val="000000"/>
                <w:sz w:val="16"/>
                <w:szCs w:val="16"/>
              </w:rPr>
              <w:t xml:space="preserve">with improved knowledge and skills in conducting </w:t>
            </w:r>
            <w:r>
              <w:rPr>
                <w:rFonts w:ascii="Arial" w:hAnsi="Arial" w:cs="Arial"/>
                <w:color w:val="000000"/>
                <w:sz w:val="16"/>
                <w:szCs w:val="16"/>
              </w:rPr>
              <w:t xml:space="preserve">training activities </w:t>
            </w:r>
            <w:r w:rsidRPr="002F442C">
              <w:rPr>
                <w:rFonts w:ascii="Arial" w:hAnsi="Arial" w:cs="Arial"/>
                <w:color w:val="000000"/>
                <w:sz w:val="16"/>
                <w:szCs w:val="16"/>
              </w:rPr>
              <w:t>in their respective countries</w:t>
            </w:r>
          </w:p>
        </w:tc>
        <w:tc>
          <w:tcPr>
            <w:tcW w:w="1524" w:type="pct"/>
            <w:shd w:val="clear" w:color="auto" w:fill="FFFFFF"/>
            <w:tcMar>
              <w:top w:w="85" w:type="dxa"/>
              <w:bottom w:w="28" w:type="dxa"/>
            </w:tcMar>
          </w:tcPr>
          <w:p w14:paraId="68F3DE31"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3</w:t>
            </w:r>
          </w:p>
        </w:tc>
      </w:tr>
      <w:tr w:rsidR="00C9789B" w:rsidRPr="0016774F" w14:paraId="3861DA89" w14:textId="77777777" w:rsidTr="004F798C">
        <w:trPr>
          <w:cantSplit/>
          <w:trHeight w:val="800"/>
        </w:trPr>
        <w:tc>
          <w:tcPr>
            <w:tcW w:w="1768" w:type="pct"/>
            <w:shd w:val="clear" w:color="auto" w:fill="auto"/>
            <w:tcMar>
              <w:top w:w="85" w:type="dxa"/>
              <w:bottom w:w="28" w:type="dxa"/>
            </w:tcMar>
          </w:tcPr>
          <w:p w14:paraId="06DE0C35"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0F870DC5" w14:textId="77777777" w:rsidR="00C9789B" w:rsidRDefault="00C9789B" w:rsidP="005A1F7F">
            <w:pPr>
              <w:tabs>
                <w:tab w:val="left" w:pos="2043"/>
              </w:tabs>
              <w:ind w:right="199"/>
              <w:rPr>
                <w:rFonts w:ascii="Arial" w:hAnsi="Arial" w:cs="Arial"/>
                <w:color w:val="000000"/>
                <w:sz w:val="16"/>
                <w:szCs w:val="16"/>
              </w:rPr>
            </w:pPr>
            <w:r>
              <w:rPr>
                <w:rFonts w:ascii="Arial" w:hAnsi="Arial" w:cs="Arial"/>
                <w:color w:val="000000"/>
                <w:sz w:val="16"/>
                <w:szCs w:val="16"/>
              </w:rPr>
              <w:t>% of participants in WIPO activities who report enhanced capacity to understand and use IP principles, systems and tools for the protection of TK and TCEs and for addressing the interface between IP and GRs</w:t>
            </w:r>
          </w:p>
          <w:p w14:paraId="4B28011A" w14:textId="77777777" w:rsidR="00C9789B" w:rsidRPr="0016774F" w:rsidRDefault="00C9789B" w:rsidP="005A1F7F">
            <w:pPr>
              <w:rPr>
                <w:rFonts w:ascii="Arial" w:hAnsi="Arial" w:cs="Arial"/>
                <w:sz w:val="16"/>
                <w:szCs w:val="16"/>
              </w:rPr>
            </w:pPr>
          </w:p>
        </w:tc>
        <w:tc>
          <w:tcPr>
            <w:tcW w:w="1524" w:type="pct"/>
            <w:shd w:val="clear" w:color="auto" w:fill="FFFFFF"/>
            <w:tcMar>
              <w:top w:w="85" w:type="dxa"/>
              <w:bottom w:w="28" w:type="dxa"/>
            </w:tcMar>
          </w:tcPr>
          <w:p w14:paraId="58BF27AC"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4</w:t>
            </w:r>
          </w:p>
        </w:tc>
      </w:tr>
      <w:tr w:rsidR="00C9789B" w:rsidRPr="0016774F" w14:paraId="1E647A5E" w14:textId="77777777" w:rsidTr="004F798C">
        <w:trPr>
          <w:cantSplit/>
          <w:trHeight w:val="550"/>
        </w:trPr>
        <w:tc>
          <w:tcPr>
            <w:tcW w:w="1768" w:type="pct"/>
            <w:shd w:val="clear" w:color="auto" w:fill="auto"/>
            <w:tcMar>
              <w:top w:w="85" w:type="dxa"/>
              <w:bottom w:w="28" w:type="dxa"/>
            </w:tcMar>
          </w:tcPr>
          <w:p w14:paraId="1D098693"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117C6FD9" w14:textId="77777777" w:rsidR="00C9789B" w:rsidRPr="00DD2110" w:rsidRDefault="00C9789B" w:rsidP="005A1F7F">
            <w:pPr>
              <w:rPr>
                <w:rFonts w:ascii="Arial" w:hAnsi="Arial" w:cs="Arial"/>
                <w:sz w:val="16"/>
                <w:szCs w:val="16"/>
                <w:highlight w:val="yellow"/>
              </w:rPr>
            </w:pPr>
            <w:r w:rsidRPr="00836CA1">
              <w:rPr>
                <w:rFonts w:ascii="Arial" w:hAnsi="Arial" w:cs="Arial"/>
                <w:sz w:val="16"/>
                <w:szCs w:val="16"/>
              </w:rPr>
              <w:t>% of participants in WIPO events who express satisfaction with the content and organization of these events</w:t>
            </w:r>
          </w:p>
        </w:tc>
        <w:tc>
          <w:tcPr>
            <w:tcW w:w="1524" w:type="pct"/>
            <w:shd w:val="clear" w:color="auto" w:fill="FFFFFF"/>
            <w:tcMar>
              <w:top w:w="85" w:type="dxa"/>
              <w:bottom w:w="28" w:type="dxa"/>
            </w:tcMar>
          </w:tcPr>
          <w:p w14:paraId="6DDBA561" w14:textId="77777777" w:rsidR="00C9789B" w:rsidRPr="00DD2110" w:rsidRDefault="00C9789B" w:rsidP="005A1F7F">
            <w:pPr>
              <w:ind w:left="551"/>
              <w:rPr>
                <w:rFonts w:ascii="Arial" w:hAnsi="Arial" w:cs="Arial"/>
                <w:sz w:val="16"/>
                <w:szCs w:val="16"/>
                <w:highlight w:val="yellow"/>
                <w:lang w:bidi="th-TH"/>
              </w:rPr>
            </w:pPr>
            <w:r w:rsidRPr="00836CA1">
              <w:rPr>
                <w:rFonts w:ascii="Arial" w:hAnsi="Arial" w:cs="Arial"/>
                <w:sz w:val="16"/>
                <w:szCs w:val="16"/>
                <w:lang w:bidi="th-TH"/>
              </w:rPr>
              <w:t>Program 9</w:t>
            </w:r>
          </w:p>
        </w:tc>
      </w:tr>
      <w:tr w:rsidR="00C9789B" w:rsidRPr="0016774F" w14:paraId="759EE495" w14:textId="77777777" w:rsidTr="004F798C">
        <w:trPr>
          <w:cantSplit/>
          <w:trHeight w:val="554"/>
        </w:trPr>
        <w:tc>
          <w:tcPr>
            <w:tcW w:w="1768" w:type="pct"/>
            <w:shd w:val="clear" w:color="auto" w:fill="auto"/>
            <w:tcMar>
              <w:top w:w="85" w:type="dxa"/>
              <w:bottom w:w="28" w:type="dxa"/>
            </w:tcMar>
          </w:tcPr>
          <w:p w14:paraId="0FB732DB"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0226B2B6" w14:textId="77777777" w:rsidR="00C9789B" w:rsidRPr="00DD2110" w:rsidRDefault="00C9789B" w:rsidP="005A1F7F">
            <w:pPr>
              <w:rPr>
                <w:rFonts w:ascii="Arial" w:hAnsi="Arial" w:cs="Arial"/>
                <w:sz w:val="16"/>
                <w:szCs w:val="16"/>
                <w:highlight w:val="yellow"/>
              </w:rPr>
            </w:pPr>
            <w:r w:rsidRPr="00836CA1">
              <w:rPr>
                <w:rFonts w:ascii="Arial" w:hAnsi="Arial" w:cs="Arial"/>
                <w:sz w:val="16"/>
                <w:szCs w:val="16"/>
              </w:rPr>
              <w:t>% of participants in WIPO workshops who apply the skills learned in their work/enterprise</w:t>
            </w:r>
          </w:p>
        </w:tc>
        <w:tc>
          <w:tcPr>
            <w:tcW w:w="1524" w:type="pct"/>
            <w:shd w:val="clear" w:color="auto" w:fill="FFFFFF"/>
            <w:tcMar>
              <w:top w:w="85" w:type="dxa"/>
              <w:bottom w:w="28" w:type="dxa"/>
            </w:tcMar>
          </w:tcPr>
          <w:p w14:paraId="21A2979B" w14:textId="77777777" w:rsidR="00C9789B" w:rsidRPr="00DD2110" w:rsidRDefault="00C9789B" w:rsidP="005A1F7F">
            <w:pPr>
              <w:ind w:left="551"/>
              <w:rPr>
                <w:rFonts w:ascii="Arial" w:hAnsi="Arial" w:cs="Arial"/>
                <w:sz w:val="16"/>
                <w:szCs w:val="16"/>
                <w:highlight w:val="yellow"/>
                <w:lang w:bidi="th-TH"/>
              </w:rPr>
            </w:pPr>
            <w:r w:rsidRPr="00836CA1">
              <w:rPr>
                <w:rFonts w:ascii="Arial" w:hAnsi="Arial" w:cs="Arial"/>
                <w:sz w:val="16"/>
                <w:szCs w:val="16"/>
                <w:lang w:bidi="th-TH"/>
              </w:rPr>
              <w:t>Program 9</w:t>
            </w:r>
          </w:p>
        </w:tc>
      </w:tr>
      <w:tr w:rsidR="00C9789B" w:rsidRPr="0016774F" w14:paraId="6EFE45E3" w14:textId="77777777" w:rsidTr="004F798C">
        <w:trPr>
          <w:cantSplit/>
          <w:trHeight w:val="532"/>
        </w:trPr>
        <w:tc>
          <w:tcPr>
            <w:tcW w:w="1768" w:type="pct"/>
            <w:shd w:val="clear" w:color="auto" w:fill="auto"/>
            <w:tcMar>
              <w:top w:w="85" w:type="dxa"/>
              <w:bottom w:w="28" w:type="dxa"/>
            </w:tcMar>
          </w:tcPr>
          <w:p w14:paraId="6BB41FB6"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7831856C" w14:textId="77777777" w:rsidR="00C9789B" w:rsidRPr="00836CA1" w:rsidRDefault="00C9789B" w:rsidP="005A1F7F">
            <w:pPr>
              <w:rPr>
                <w:rFonts w:ascii="Arial" w:hAnsi="Arial" w:cs="Arial"/>
                <w:sz w:val="16"/>
                <w:szCs w:val="16"/>
                <w:highlight w:val="yellow"/>
              </w:rPr>
            </w:pPr>
            <w:r w:rsidRPr="00836CA1">
              <w:rPr>
                <w:rFonts w:ascii="Arial" w:hAnsi="Arial" w:cs="Arial"/>
                <w:color w:val="000000"/>
                <w:sz w:val="16"/>
                <w:szCs w:val="16"/>
              </w:rPr>
              <w:t>% of national and regional IP experts used as resource persons in WIPO events</w:t>
            </w:r>
          </w:p>
        </w:tc>
        <w:tc>
          <w:tcPr>
            <w:tcW w:w="1524" w:type="pct"/>
            <w:shd w:val="clear" w:color="auto" w:fill="FFFFFF"/>
            <w:tcMar>
              <w:top w:w="85" w:type="dxa"/>
              <w:bottom w:w="28" w:type="dxa"/>
            </w:tcMar>
          </w:tcPr>
          <w:p w14:paraId="1ED86743" w14:textId="77777777" w:rsidR="00C9789B" w:rsidRPr="00DD2110" w:rsidRDefault="00C9789B" w:rsidP="005A1F7F">
            <w:pPr>
              <w:ind w:left="551"/>
              <w:rPr>
                <w:rFonts w:ascii="Arial" w:hAnsi="Arial" w:cs="Arial"/>
                <w:sz w:val="16"/>
                <w:szCs w:val="16"/>
                <w:highlight w:val="yellow"/>
                <w:lang w:bidi="th-TH"/>
              </w:rPr>
            </w:pPr>
            <w:r w:rsidRPr="00836CA1">
              <w:rPr>
                <w:rFonts w:ascii="Arial" w:hAnsi="Arial" w:cs="Arial"/>
                <w:sz w:val="16"/>
                <w:szCs w:val="16"/>
                <w:lang w:bidi="th-TH"/>
              </w:rPr>
              <w:t>Program 9</w:t>
            </w:r>
          </w:p>
        </w:tc>
      </w:tr>
      <w:tr w:rsidR="00C9789B" w:rsidRPr="0016774F" w14:paraId="26A62380" w14:textId="77777777" w:rsidTr="004F798C">
        <w:trPr>
          <w:cantSplit/>
          <w:trHeight w:val="547"/>
        </w:trPr>
        <w:tc>
          <w:tcPr>
            <w:tcW w:w="1768" w:type="pct"/>
            <w:shd w:val="clear" w:color="auto" w:fill="auto"/>
            <w:tcMar>
              <w:top w:w="85" w:type="dxa"/>
              <w:bottom w:w="28" w:type="dxa"/>
            </w:tcMar>
          </w:tcPr>
          <w:p w14:paraId="2BCBF96C"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4B2C638C" w14:textId="77777777" w:rsidR="00C9789B" w:rsidRPr="00DE5B1F" w:rsidRDefault="00C9789B" w:rsidP="005A1F7F">
            <w:pPr>
              <w:rPr>
                <w:rFonts w:ascii="Arial" w:hAnsi="Arial" w:cs="Arial"/>
                <w:sz w:val="16"/>
                <w:szCs w:val="16"/>
                <w:highlight w:val="yellow"/>
              </w:rPr>
            </w:pPr>
            <w:r w:rsidRPr="00DE5B1F">
              <w:rPr>
                <w:rFonts w:ascii="Arial" w:hAnsi="Arial" w:cs="Arial"/>
                <w:color w:val="000000"/>
                <w:sz w:val="16"/>
                <w:szCs w:val="16"/>
              </w:rPr>
              <w:t>No. of countries in transition having established annual IP training programs and/or courses for IP Professionals</w:t>
            </w:r>
          </w:p>
        </w:tc>
        <w:tc>
          <w:tcPr>
            <w:tcW w:w="1524" w:type="pct"/>
            <w:shd w:val="clear" w:color="auto" w:fill="FFFFFF"/>
            <w:tcMar>
              <w:top w:w="85" w:type="dxa"/>
              <w:bottom w:w="28" w:type="dxa"/>
            </w:tcMar>
          </w:tcPr>
          <w:p w14:paraId="00F3DE5C" w14:textId="77777777" w:rsidR="00C9789B" w:rsidRPr="00DD2110" w:rsidRDefault="00C9789B" w:rsidP="005A1F7F">
            <w:pPr>
              <w:ind w:left="551"/>
              <w:rPr>
                <w:rFonts w:ascii="Arial" w:hAnsi="Arial" w:cs="Arial"/>
                <w:sz w:val="16"/>
                <w:szCs w:val="16"/>
                <w:highlight w:val="yellow"/>
                <w:lang w:bidi="th-TH"/>
              </w:rPr>
            </w:pPr>
            <w:r w:rsidRPr="00DE5B1F">
              <w:rPr>
                <w:rFonts w:ascii="Arial" w:hAnsi="Arial" w:cs="Arial"/>
                <w:sz w:val="16"/>
                <w:szCs w:val="16"/>
                <w:lang w:bidi="th-TH"/>
              </w:rPr>
              <w:t>Program 10</w:t>
            </w:r>
          </w:p>
        </w:tc>
      </w:tr>
      <w:tr w:rsidR="00C9789B" w:rsidRPr="0016774F" w14:paraId="3A01FF93" w14:textId="77777777" w:rsidTr="004F798C">
        <w:trPr>
          <w:cantSplit/>
          <w:trHeight w:val="538"/>
        </w:trPr>
        <w:tc>
          <w:tcPr>
            <w:tcW w:w="1768" w:type="pct"/>
            <w:shd w:val="clear" w:color="auto" w:fill="auto"/>
            <w:tcMar>
              <w:top w:w="85" w:type="dxa"/>
              <w:bottom w:w="28" w:type="dxa"/>
            </w:tcMar>
          </w:tcPr>
          <w:p w14:paraId="4EACA231"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4FD71C16" w14:textId="77777777" w:rsidR="00C9789B" w:rsidRPr="00DE5B1F" w:rsidRDefault="00C9789B" w:rsidP="005A1F7F">
            <w:pPr>
              <w:rPr>
                <w:rFonts w:ascii="Arial" w:hAnsi="Arial" w:cs="Arial"/>
                <w:sz w:val="16"/>
                <w:szCs w:val="16"/>
                <w:highlight w:val="yellow"/>
              </w:rPr>
            </w:pPr>
            <w:r w:rsidRPr="00DE5B1F">
              <w:rPr>
                <w:rFonts w:ascii="Arial" w:hAnsi="Arial" w:cs="Arial"/>
                <w:color w:val="000000"/>
                <w:sz w:val="16"/>
                <w:szCs w:val="16"/>
              </w:rPr>
              <w:t>% of trained IP professionals and IP Officials using upgraded skills in their work.</w:t>
            </w:r>
          </w:p>
        </w:tc>
        <w:tc>
          <w:tcPr>
            <w:tcW w:w="1524" w:type="pct"/>
            <w:shd w:val="clear" w:color="auto" w:fill="FFFFFF"/>
            <w:tcMar>
              <w:top w:w="85" w:type="dxa"/>
              <w:bottom w:w="28" w:type="dxa"/>
            </w:tcMar>
          </w:tcPr>
          <w:p w14:paraId="0A5D57E7" w14:textId="77777777" w:rsidR="00C9789B" w:rsidRPr="00DD2110" w:rsidRDefault="00C9789B" w:rsidP="005A1F7F">
            <w:pPr>
              <w:ind w:left="551"/>
              <w:rPr>
                <w:rFonts w:ascii="Arial" w:hAnsi="Arial" w:cs="Arial"/>
                <w:sz w:val="16"/>
                <w:szCs w:val="16"/>
                <w:highlight w:val="yellow"/>
                <w:lang w:bidi="th-TH"/>
              </w:rPr>
            </w:pPr>
            <w:r w:rsidRPr="00DE5B1F">
              <w:rPr>
                <w:rFonts w:ascii="Arial" w:hAnsi="Arial" w:cs="Arial"/>
                <w:sz w:val="16"/>
                <w:szCs w:val="16"/>
                <w:lang w:bidi="th-TH"/>
              </w:rPr>
              <w:t>Program 10</w:t>
            </w:r>
          </w:p>
        </w:tc>
      </w:tr>
      <w:tr w:rsidR="00C9789B" w:rsidRPr="0016774F" w14:paraId="19FD2E91" w14:textId="77777777" w:rsidTr="004F798C">
        <w:trPr>
          <w:cantSplit/>
          <w:trHeight w:val="800"/>
        </w:trPr>
        <w:tc>
          <w:tcPr>
            <w:tcW w:w="1768" w:type="pct"/>
            <w:shd w:val="clear" w:color="auto" w:fill="auto"/>
            <w:tcMar>
              <w:top w:w="85" w:type="dxa"/>
              <w:bottom w:w="28" w:type="dxa"/>
            </w:tcMar>
          </w:tcPr>
          <w:p w14:paraId="79B68F41"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6BA29D2F" w14:textId="77777777" w:rsidR="00C9789B" w:rsidRPr="0016774F" w:rsidRDefault="00C9789B" w:rsidP="005A1F7F">
            <w:pPr>
              <w:rPr>
                <w:rFonts w:ascii="Arial" w:hAnsi="Arial" w:cs="Arial"/>
                <w:sz w:val="16"/>
                <w:szCs w:val="16"/>
              </w:rPr>
            </w:pPr>
            <w:r>
              <w:rPr>
                <w:rFonts w:ascii="Arial" w:hAnsi="Arial" w:cs="Arial"/>
                <w:color w:val="000000"/>
                <w:sz w:val="16"/>
                <w:szCs w:val="16"/>
              </w:rPr>
              <w:t>% of trainees and supervisors who are satisfied with the training programs developed based on training needs assessment exercises</w:t>
            </w:r>
          </w:p>
        </w:tc>
        <w:tc>
          <w:tcPr>
            <w:tcW w:w="1524" w:type="pct"/>
            <w:shd w:val="clear" w:color="auto" w:fill="FFFFFF"/>
            <w:tcMar>
              <w:top w:w="85" w:type="dxa"/>
              <w:bottom w:w="28" w:type="dxa"/>
            </w:tcMar>
          </w:tcPr>
          <w:p w14:paraId="5874F58E"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11</w:t>
            </w:r>
          </w:p>
        </w:tc>
      </w:tr>
      <w:tr w:rsidR="00C9789B" w:rsidRPr="0016774F" w14:paraId="1EBF8E77" w14:textId="77777777" w:rsidTr="004F798C">
        <w:trPr>
          <w:cantSplit/>
          <w:trHeight w:val="453"/>
        </w:trPr>
        <w:tc>
          <w:tcPr>
            <w:tcW w:w="1768" w:type="pct"/>
            <w:shd w:val="clear" w:color="auto" w:fill="auto"/>
            <w:tcMar>
              <w:top w:w="85" w:type="dxa"/>
              <w:bottom w:w="28" w:type="dxa"/>
            </w:tcMar>
          </w:tcPr>
          <w:p w14:paraId="20F02C52"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38E10FBE" w14:textId="7F24DF1A" w:rsidR="00C9789B" w:rsidRPr="0016774F" w:rsidRDefault="00C9789B" w:rsidP="005A1F7F">
            <w:pPr>
              <w:rPr>
                <w:rFonts w:ascii="Arial" w:hAnsi="Arial" w:cs="Arial"/>
                <w:sz w:val="16"/>
                <w:szCs w:val="16"/>
              </w:rPr>
            </w:pPr>
            <w:r>
              <w:rPr>
                <w:rFonts w:ascii="Arial" w:hAnsi="Arial" w:cs="Arial"/>
                <w:color w:val="000000"/>
                <w:sz w:val="16"/>
                <w:szCs w:val="16"/>
              </w:rPr>
              <w:t>% of participants using enhanced knowledge and skills in various IP areas</w:t>
            </w:r>
          </w:p>
        </w:tc>
        <w:tc>
          <w:tcPr>
            <w:tcW w:w="1524" w:type="pct"/>
            <w:shd w:val="clear" w:color="auto" w:fill="FFFFFF"/>
            <w:tcMar>
              <w:top w:w="85" w:type="dxa"/>
              <w:bottom w:w="28" w:type="dxa"/>
            </w:tcMar>
          </w:tcPr>
          <w:p w14:paraId="2D25D094" w14:textId="2CF99DBB"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11</w:t>
            </w:r>
          </w:p>
        </w:tc>
      </w:tr>
      <w:tr w:rsidR="00C9789B" w:rsidRPr="0016774F" w14:paraId="70F7CE39" w14:textId="77777777" w:rsidTr="004F798C">
        <w:trPr>
          <w:cantSplit/>
          <w:trHeight w:val="800"/>
        </w:trPr>
        <w:tc>
          <w:tcPr>
            <w:tcW w:w="1768" w:type="pct"/>
            <w:shd w:val="clear" w:color="auto" w:fill="auto"/>
            <w:tcMar>
              <w:top w:w="85" w:type="dxa"/>
              <w:bottom w:w="28" w:type="dxa"/>
            </w:tcMar>
          </w:tcPr>
          <w:p w14:paraId="35C936C2"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03468DEB" w14:textId="77777777" w:rsidR="00C9789B" w:rsidRPr="0016774F" w:rsidRDefault="00C9789B" w:rsidP="005A1F7F">
            <w:pPr>
              <w:rPr>
                <w:rFonts w:ascii="Arial" w:hAnsi="Arial" w:cs="Arial"/>
                <w:sz w:val="16"/>
                <w:szCs w:val="16"/>
              </w:rPr>
            </w:pPr>
            <w:r>
              <w:rPr>
                <w:rFonts w:ascii="Arial" w:hAnsi="Arial" w:cs="Arial"/>
                <w:color w:val="000000"/>
                <w:sz w:val="16"/>
                <w:szCs w:val="16"/>
              </w:rPr>
              <w:t>No. of cooperation agreements and partnerships established in line with the Academy’s new vision</w:t>
            </w:r>
          </w:p>
        </w:tc>
        <w:tc>
          <w:tcPr>
            <w:tcW w:w="1524" w:type="pct"/>
            <w:shd w:val="clear" w:color="auto" w:fill="FFFFFF"/>
            <w:tcMar>
              <w:top w:w="85" w:type="dxa"/>
              <w:bottom w:w="28" w:type="dxa"/>
            </w:tcMar>
          </w:tcPr>
          <w:p w14:paraId="44BF10E4"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11</w:t>
            </w:r>
          </w:p>
        </w:tc>
      </w:tr>
      <w:tr w:rsidR="00B81E77" w:rsidRPr="0016774F" w14:paraId="1272E7D4" w14:textId="77777777" w:rsidTr="004F798C">
        <w:trPr>
          <w:cantSplit/>
          <w:trHeight w:val="588"/>
        </w:trPr>
        <w:tc>
          <w:tcPr>
            <w:tcW w:w="1768" w:type="pct"/>
            <w:shd w:val="clear" w:color="auto" w:fill="auto"/>
            <w:tcMar>
              <w:top w:w="85" w:type="dxa"/>
              <w:bottom w:w="28" w:type="dxa"/>
            </w:tcMar>
          </w:tcPr>
          <w:p w14:paraId="646C5C84" w14:textId="77777777" w:rsidR="00B81E77" w:rsidRPr="0016774F" w:rsidRDefault="00B81E77" w:rsidP="005A1F7F">
            <w:pPr>
              <w:rPr>
                <w:rFonts w:ascii="Arial" w:hAnsi="Arial" w:cs="Arial"/>
                <w:sz w:val="16"/>
                <w:szCs w:val="16"/>
              </w:rPr>
            </w:pPr>
          </w:p>
        </w:tc>
        <w:tc>
          <w:tcPr>
            <w:tcW w:w="1708" w:type="pct"/>
            <w:shd w:val="clear" w:color="auto" w:fill="auto"/>
            <w:tcMar>
              <w:top w:w="85" w:type="dxa"/>
              <w:bottom w:w="28" w:type="dxa"/>
            </w:tcMar>
          </w:tcPr>
          <w:p w14:paraId="2C260E18" w14:textId="4C0FA7C0" w:rsidR="00B81E77" w:rsidRDefault="00B81E77" w:rsidP="005A1F7F">
            <w:pPr>
              <w:rPr>
                <w:rFonts w:ascii="Arial" w:hAnsi="Arial" w:cs="Arial"/>
                <w:color w:val="000000"/>
                <w:sz w:val="16"/>
                <w:szCs w:val="16"/>
              </w:rPr>
            </w:pPr>
            <w:r>
              <w:rPr>
                <w:rFonts w:ascii="Arial" w:eastAsia="Times New Roman" w:hAnsi="Arial" w:cs="Arial"/>
                <w:color w:val="000000"/>
                <w:sz w:val="16"/>
                <w:szCs w:val="16"/>
              </w:rPr>
              <w:t>% of increase in the no. of participants following the Academy’s distance learning (DL) courses</w:t>
            </w:r>
          </w:p>
        </w:tc>
        <w:tc>
          <w:tcPr>
            <w:tcW w:w="1524" w:type="pct"/>
            <w:shd w:val="clear" w:color="auto" w:fill="FFFFFF"/>
            <w:tcMar>
              <w:top w:w="85" w:type="dxa"/>
              <w:bottom w:w="28" w:type="dxa"/>
            </w:tcMar>
          </w:tcPr>
          <w:p w14:paraId="4AF775E6" w14:textId="0CBE947C" w:rsidR="00B81E77" w:rsidRPr="0016774F" w:rsidRDefault="00B81E77" w:rsidP="005A1F7F">
            <w:pPr>
              <w:ind w:left="551"/>
              <w:rPr>
                <w:rFonts w:ascii="Arial" w:hAnsi="Arial" w:cs="Arial"/>
                <w:sz w:val="16"/>
                <w:szCs w:val="16"/>
                <w:lang w:bidi="th-TH"/>
              </w:rPr>
            </w:pPr>
            <w:r w:rsidRPr="004D6C91">
              <w:rPr>
                <w:rFonts w:ascii="Arial" w:hAnsi="Arial" w:cs="Arial"/>
                <w:sz w:val="16"/>
                <w:szCs w:val="16"/>
                <w:lang w:bidi="th-TH"/>
              </w:rPr>
              <w:t>Program 11</w:t>
            </w:r>
          </w:p>
        </w:tc>
      </w:tr>
      <w:tr w:rsidR="00B81E77" w:rsidRPr="0016774F" w14:paraId="3A4C7F7A" w14:textId="77777777" w:rsidTr="004F798C">
        <w:trPr>
          <w:cantSplit/>
          <w:trHeight w:val="588"/>
        </w:trPr>
        <w:tc>
          <w:tcPr>
            <w:tcW w:w="1768" w:type="pct"/>
            <w:shd w:val="clear" w:color="auto" w:fill="auto"/>
            <w:tcMar>
              <w:top w:w="85" w:type="dxa"/>
              <w:bottom w:w="28" w:type="dxa"/>
            </w:tcMar>
          </w:tcPr>
          <w:p w14:paraId="6A17E5A2" w14:textId="77777777" w:rsidR="00B81E77" w:rsidRPr="0016774F" w:rsidRDefault="00B81E77" w:rsidP="005A1F7F">
            <w:pPr>
              <w:rPr>
                <w:rFonts w:ascii="Arial" w:hAnsi="Arial" w:cs="Arial"/>
                <w:sz w:val="16"/>
                <w:szCs w:val="16"/>
              </w:rPr>
            </w:pPr>
          </w:p>
        </w:tc>
        <w:tc>
          <w:tcPr>
            <w:tcW w:w="1708" w:type="pct"/>
            <w:shd w:val="clear" w:color="auto" w:fill="auto"/>
            <w:tcMar>
              <w:top w:w="85" w:type="dxa"/>
              <w:bottom w:w="28" w:type="dxa"/>
            </w:tcMar>
          </w:tcPr>
          <w:p w14:paraId="31D17595" w14:textId="0FA35049" w:rsidR="00B81E77" w:rsidRDefault="00B81E77" w:rsidP="005A1F7F">
            <w:pPr>
              <w:rPr>
                <w:rFonts w:ascii="Arial" w:hAnsi="Arial" w:cs="Arial"/>
                <w:color w:val="000000"/>
                <w:sz w:val="16"/>
                <w:szCs w:val="16"/>
              </w:rPr>
            </w:pPr>
            <w:r>
              <w:rPr>
                <w:rFonts w:ascii="Arial" w:eastAsia="Times New Roman" w:hAnsi="Arial" w:cs="Arial"/>
                <w:color w:val="000000"/>
                <w:sz w:val="16"/>
                <w:szCs w:val="16"/>
              </w:rPr>
              <w:t>No. of DL courses that have been reviewed and updated</w:t>
            </w:r>
          </w:p>
        </w:tc>
        <w:tc>
          <w:tcPr>
            <w:tcW w:w="1524" w:type="pct"/>
            <w:shd w:val="clear" w:color="auto" w:fill="FFFFFF"/>
            <w:tcMar>
              <w:top w:w="85" w:type="dxa"/>
              <w:bottom w:w="28" w:type="dxa"/>
            </w:tcMar>
          </w:tcPr>
          <w:p w14:paraId="4B98A706" w14:textId="06530AE1" w:rsidR="00B81E77" w:rsidRPr="0016774F" w:rsidRDefault="00B81E77" w:rsidP="005A1F7F">
            <w:pPr>
              <w:ind w:left="551"/>
              <w:rPr>
                <w:rFonts w:ascii="Arial" w:hAnsi="Arial" w:cs="Arial"/>
                <w:sz w:val="16"/>
                <w:szCs w:val="16"/>
                <w:lang w:bidi="th-TH"/>
              </w:rPr>
            </w:pPr>
            <w:r w:rsidRPr="004D6C91">
              <w:rPr>
                <w:rFonts w:ascii="Arial" w:hAnsi="Arial" w:cs="Arial"/>
                <w:sz w:val="16"/>
                <w:szCs w:val="16"/>
                <w:lang w:bidi="th-TH"/>
              </w:rPr>
              <w:t>Program 11</w:t>
            </w:r>
          </w:p>
        </w:tc>
      </w:tr>
      <w:tr w:rsidR="00C9789B" w:rsidRPr="0016774F" w14:paraId="2CDED9A8" w14:textId="77777777" w:rsidTr="004F798C">
        <w:trPr>
          <w:cantSplit/>
          <w:trHeight w:val="588"/>
        </w:trPr>
        <w:tc>
          <w:tcPr>
            <w:tcW w:w="1768" w:type="pct"/>
            <w:shd w:val="clear" w:color="auto" w:fill="auto"/>
            <w:tcMar>
              <w:top w:w="85" w:type="dxa"/>
              <w:bottom w:w="28" w:type="dxa"/>
            </w:tcMar>
          </w:tcPr>
          <w:p w14:paraId="6DAF57EA"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7ACCABE8" w14:textId="7EFA0134" w:rsidR="00C9789B" w:rsidRPr="0016774F" w:rsidRDefault="00C9789B" w:rsidP="005A1F7F">
            <w:pPr>
              <w:rPr>
                <w:rFonts w:ascii="Arial" w:hAnsi="Arial" w:cs="Arial"/>
                <w:sz w:val="16"/>
                <w:szCs w:val="16"/>
              </w:rPr>
            </w:pPr>
            <w:r>
              <w:rPr>
                <w:rFonts w:ascii="Arial" w:hAnsi="Arial" w:cs="Arial"/>
                <w:color w:val="000000"/>
                <w:sz w:val="16"/>
                <w:szCs w:val="16"/>
              </w:rPr>
              <w:t>No. of national start-up academies created under the project which have become sustainable</w:t>
            </w:r>
            <w:r w:rsidR="00B81E77">
              <w:rPr>
                <w:rStyle w:val="FootnoteReference"/>
                <w:rFonts w:ascii="Arial" w:hAnsi="Arial" w:cs="Arial"/>
                <w:color w:val="000000"/>
                <w:sz w:val="16"/>
                <w:szCs w:val="16"/>
              </w:rPr>
              <w:footnoteReference w:id="16"/>
            </w:r>
          </w:p>
        </w:tc>
        <w:tc>
          <w:tcPr>
            <w:tcW w:w="1524" w:type="pct"/>
            <w:shd w:val="clear" w:color="auto" w:fill="FFFFFF"/>
            <w:tcMar>
              <w:top w:w="85" w:type="dxa"/>
              <w:bottom w:w="28" w:type="dxa"/>
            </w:tcMar>
          </w:tcPr>
          <w:p w14:paraId="18EBE5E2"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11</w:t>
            </w:r>
          </w:p>
        </w:tc>
      </w:tr>
      <w:tr w:rsidR="00C9789B" w:rsidRPr="0016774F" w14:paraId="5880B30C" w14:textId="77777777" w:rsidTr="004F798C">
        <w:trPr>
          <w:cantSplit/>
          <w:trHeight w:val="588"/>
        </w:trPr>
        <w:tc>
          <w:tcPr>
            <w:tcW w:w="1768" w:type="pct"/>
            <w:shd w:val="clear" w:color="auto" w:fill="auto"/>
            <w:tcMar>
              <w:top w:w="85" w:type="dxa"/>
              <w:bottom w:w="28" w:type="dxa"/>
            </w:tcMar>
          </w:tcPr>
          <w:p w14:paraId="7C50D19A"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4385FD67" w14:textId="77777777" w:rsidR="00C9789B" w:rsidRPr="0016774F" w:rsidRDefault="00C9789B" w:rsidP="005A1F7F">
            <w:pPr>
              <w:rPr>
                <w:rFonts w:ascii="Arial" w:hAnsi="Arial" w:cs="Arial"/>
                <w:sz w:val="16"/>
                <w:szCs w:val="16"/>
              </w:rPr>
            </w:pPr>
            <w:r>
              <w:rPr>
                <w:rFonts w:ascii="Arial" w:hAnsi="Arial" w:cs="Arial"/>
                <w:color w:val="000000"/>
                <w:sz w:val="16"/>
                <w:szCs w:val="16"/>
              </w:rPr>
              <w:t>New and improved IP courses and curricula in teaching institutions</w:t>
            </w:r>
          </w:p>
        </w:tc>
        <w:tc>
          <w:tcPr>
            <w:tcW w:w="1524" w:type="pct"/>
            <w:shd w:val="clear" w:color="auto" w:fill="FFFFFF"/>
            <w:tcMar>
              <w:top w:w="85" w:type="dxa"/>
              <w:bottom w:w="28" w:type="dxa"/>
            </w:tcMar>
          </w:tcPr>
          <w:p w14:paraId="06572706"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11</w:t>
            </w:r>
          </w:p>
        </w:tc>
      </w:tr>
      <w:tr w:rsidR="00C9789B" w:rsidRPr="0016774F" w14:paraId="43EEC024" w14:textId="77777777" w:rsidTr="004F798C">
        <w:trPr>
          <w:cantSplit/>
          <w:trHeight w:val="551"/>
        </w:trPr>
        <w:tc>
          <w:tcPr>
            <w:tcW w:w="1768" w:type="pct"/>
            <w:shd w:val="clear" w:color="auto" w:fill="auto"/>
            <w:tcMar>
              <w:top w:w="85" w:type="dxa"/>
              <w:bottom w:w="28" w:type="dxa"/>
            </w:tcMar>
          </w:tcPr>
          <w:p w14:paraId="5C61B118"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2AD3C87A" w14:textId="77777777" w:rsidR="00C9789B" w:rsidRDefault="00C9789B" w:rsidP="005A1F7F">
            <w:pPr>
              <w:rPr>
                <w:rFonts w:ascii="Arial" w:hAnsi="Arial" w:cs="Arial"/>
                <w:color w:val="000000"/>
                <w:sz w:val="16"/>
                <w:szCs w:val="16"/>
              </w:rPr>
            </w:pPr>
            <w:r>
              <w:rPr>
                <w:rFonts w:ascii="Arial" w:hAnsi="Arial" w:cs="Arial"/>
                <w:color w:val="000000"/>
                <w:sz w:val="16"/>
                <w:szCs w:val="16"/>
              </w:rPr>
              <w:t>Enhanced balance in geographical distribution of summer schools</w:t>
            </w:r>
          </w:p>
        </w:tc>
        <w:tc>
          <w:tcPr>
            <w:tcW w:w="1524" w:type="pct"/>
            <w:shd w:val="clear" w:color="auto" w:fill="FFFFFF"/>
            <w:tcMar>
              <w:top w:w="85" w:type="dxa"/>
              <w:bottom w:w="28" w:type="dxa"/>
            </w:tcMar>
          </w:tcPr>
          <w:p w14:paraId="19BEB33C"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11</w:t>
            </w:r>
          </w:p>
        </w:tc>
      </w:tr>
      <w:tr w:rsidR="00C9789B" w:rsidRPr="0016774F" w14:paraId="16153FAB" w14:textId="77777777" w:rsidTr="004F798C">
        <w:trPr>
          <w:cantSplit/>
          <w:trHeight w:val="726"/>
        </w:trPr>
        <w:tc>
          <w:tcPr>
            <w:tcW w:w="1768" w:type="pct"/>
            <w:shd w:val="clear" w:color="auto" w:fill="auto"/>
            <w:tcMar>
              <w:top w:w="85" w:type="dxa"/>
              <w:bottom w:w="28" w:type="dxa"/>
            </w:tcMar>
          </w:tcPr>
          <w:p w14:paraId="394DF986"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7F6A585A" w14:textId="77777777" w:rsidR="00C9789B" w:rsidRPr="00954EE3" w:rsidRDefault="00C9789B" w:rsidP="005A1F7F">
            <w:pPr>
              <w:rPr>
                <w:rFonts w:ascii="Arial" w:hAnsi="Arial" w:cs="Arial"/>
                <w:sz w:val="16"/>
                <w:szCs w:val="16"/>
              </w:rPr>
            </w:pPr>
            <w:r w:rsidRPr="00954EE3">
              <w:rPr>
                <w:rFonts w:ascii="Arial" w:hAnsi="Arial" w:cs="Arial"/>
                <w:color w:val="000000"/>
                <w:sz w:val="16"/>
                <w:szCs w:val="16"/>
              </w:rPr>
              <w:t>% of trained participants reporting satisfaction with the usefulness and relevance of the training provided for the exercising of their professional duties</w:t>
            </w:r>
          </w:p>
        </w:tc>
        <w:tc>
          <w:tcPr>
            <w:tcW w:w="1524" w:type="pct"/>
            <w:shd w:val="clear" w:color="auto" w:fill="FFFFFF"/>
            <w:tcMar>
              <w:top w:w="85" w:type="dxa"/>
              <w:bottom w:w="28" w:type="dxa"/>
            </w:tcMar>
          </w:tcPr>
          <w:p w14:paraId="2DCC6A42"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17</w:t>
            </w:r>
          </w:p>
        </w:tc>
      </w:tr>
      <w:tr w:rsidR="00C9789B" w:rsidRPr="0016774F" w14:paraId="21B8D097" w14:textId="77777777" w:rsidTr="004F798C">
        <w:trPr>
          <w:cantSplit/>
          <w:trHeight w:val="492"/>
        </w:trPr>
        <w:tc>
          <w:tcPr>
            <w:tcW w:w="1768" w:type="pct"/>
            <w:shd w:val="clear" w:color="auto" w:fill="auto"/>
            <w:tcMar>
              <w:top w:w="85" w:type="dxa"/>
              <w:bottom w:w="28" w:type="dxa"/>
            </w:tcMar>
          </w:tcPr>
          <w:p w14:paraId="483846DB"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32032131" w14:textId="32E655E1" w:rsidR="00C9789B" w:rsidRPr="0016774F" w:rsidRDefault="00C9789B">
            <w:pPr>
              <w:rPr>
                <w:rFonts w:ascii="Arial" w:hAnsi="Arial" w:cs="Arial"/>
                <w:sz w:val="16"/>
                <w:szCs w:val="16"/>
              </w:rPr>
            </w:pPr>
            <w:r>
              <w:rPr>
                <w:rFonts w:ascii="Arial" w:hAnsi="Arial" w:cs="Arial"/>
                <w:sz w:val="16"/>
                <w:szCs w:val="16"/>
              </w:rPr>
              <w:t xml:space="preserve">No. of hosting arrangements </w:t>
            </w:r>
            <w:r w:rsidR="004C341C">
              <w:rPr>
                <w:rFonts w:ascii="Arial" w:hAnsi="Arial" w:cs="Arial"/>
                <w:sz w:val="16"/>
                <w:szCs w:val="16"/>
              </w:rPr>
              <w:t>for</w:t>
            </w:r>
            <w:r>
              <w:rPr>
                <w:rFonts w:ascii="Arial" w:hAnsi="Arial" w:cs="Arial"/>
                <w:sz w:val="16"/>
                <w:szCs w:val="16"/>
              </w:rPr>
              <w:t xml:space="preserve"> developing country scientists</w:t>
            </w:r>
          </w:p>
        </w:tc>
        <w:tc>
          <w:tcPr>
            <w:tcW w:w="1524" w:type="pct"/>
            <w:shd w:val="clear" w:color="auto" w:fill="FFFFFF"/>
            <w:tcMar>
              <w:top w:w="85" w:type="dxa"/>
              <w:bottom w:w="28" w:type="dxa"/>
            </w:tcMar>
          </w:tcPr>
          <w:p w14:paraId="3D1D2247" w14:textId="77777777" w:rsidR="00C9789B" w:rsidRPr="0016774F" w:rsidRDefault="00C9789B" w:rsidP="005A1F7F">
            <w:pPr>
              <w:ind w:left="551"/>
              <w:rPr>
                <w:rFonts w:ascii="Arial" w:hAnsi="Arial" w:cs="Arial"/>
                <w:sz w:val="16"/>
                <w:szCs w:val="16"/>
                <w:lang w:bidi="th-TH"/>
              </w:rPr>
            </w:pPr>
            <w:r>
              <w:rPr>
                <w:rFonts w:ascii="Arial" w:hAnsi="Arial" w:cs="Arial"/>
                <w:sz w:val="16"/>
                <w:szCs w:val="16"/>
                <w:lang w:bidi="th-TH"/>
              </w:rPr>
              <w:t>Program 18</w:t>
            </w:r>
          </w:p>
        </w:tc>
      </w:tr>
      <w:tr w:rsidR="00C9789B" w:rsidRPr="0016774F" w14:paraId="0D2F7346" w14:textId="77777777" w:rsidTr="004F798C">
        <w:trPr>
          <w:cantSplit/>
          <w:trHeight w:val="492"/>
        </w:trPr>
        <w:tc>
          <w:tcPr>
            <w:tcW w:w="1768" w:type="pct"/>
            <w:shd w:val="clear" w:color="auto" w:fill="auto"/>
            <w:tcMar>
              <w:top w:w="85" w:type="dxa"/>
              <w:bottom w:w="28" w:type="dxa"/>
            </w:tcMar>
          </w:tcPr>
          <w:p w14:paraId="4A26FFAE"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552B9359" w14:textId="77777777" w:rsidR="00C9789B" w:rsidRDefault="00C9789B" w:rsidP="005A1F7F">
            <w:pPr>
              <w:rPr>
                <w:rFonts w:ascii="Arial" w:hAnsi="Arial" w:cs="Arial"/>
                <w:sz w:val="16"/>
                <w:szCs w:val="16"/>
              </w:rPr>
            </w:pPr>
            <w:r>
              <w:rPr>
                <w:rFonts w:ascii="Arial" w:hAnsi="Arial" w:cs="Arial"/>
                <w:color w:val="000000"/>
                <w:sz w:val="16"/>
                <w:szCs w:val="16"/>
              </w:rPr>
              <w:t>% of participants of the IP and Health DL module who affirm use of IP for development through transfer of knowledge and creation of skills</w:t>
            </w:r>
          </w:p>
        </w:tc>
        <w:tc>
          <w:tcPr>
            <w:tcW w:w="1524" w:type="pct"/>
            <w:shd w:val="clear" w:color="auto" w:fill="FFFFFF"/>
            <w:tcMar>
              <w:top w:w="85" w:type="dxa"/>
              <w:bottom w:w="28" w:type="dxa"/>
            </w:tcMar>
          </w:tcPr>
          <w:p w14:paraId="03C08EB5" w14:textId="77777777" w:rsidR="00C9789B" w:rsidRDefault="00C9789B" w:rsidP="005A1F7F">
            <w:pPr>
              <w:ind w:left="551"/>
              <w:rPr>
                <w:rFonts w:ascii="Arial" w:hAnsi="Arial" w:cs="Arial"/>
                <w:sz w:val="16"/>
                <w:szCs w:val="16"/>
                <w:lang w:bidi="th-TH"/>
              </w:rPr>
            </w:pPr>
            <w:r>
              <w:rPr>
                <w:rFonts w:ascii="Arial" w:hAnsi="Arial" w:cs="Arial"/>
                <w:sz w:val="16"/>
                <w:szCs w:val="16"/>
                <w:lang w:bidi="th-TH"/>
              </w:rPr>
              <w:t>Program 18</w:t>
            </w:r>
          </w:p>
        </w:tc>
      </w:tr>
      <w:tr w:rsidR="00C9789B" w:rsidRPr="0016774F" w14:paraId="7D43ED7A" w14:textId="77777777" w:rsidTr="004F798C">
        <w:trPr>
          <w:cantSplit/>
          <w:trHeight w:val="800"/>
        </w:trPr>
        <w:tc>
          <w:tcPr>
            <w:tcW w:w="1768" w:type="pct"/>
            <w:shd w:val="clear" w:color="auto" w:fill="auto"/>
            <w:tcMar>
              <w:top w:w="85" w:type="dxa"/>
              <w:bottom w:w="28" w:type="dxa"/>
            </w:tcMar>
          </w:tcPr>
          <w:p w14:paraId="7065FCC6"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139F288D" w14:textId="5C875DEF" w:rsidR="00C9789B" w:rsidRPr="00EB603B" w:rsidRDefault="004C341C" w:rsidP="005A1F7F">
            <w:pPr>
              <w:rPr>
                <w:rFonts w:ascii="Arial" w:hAnsi="Arial" w:cs="Arial"/>
                <w:sz w:val="16"/>
                <w:szCs w:val="16"/>
              </w:rPr>
            </w:pPr>
            <w:r>
              <w:rPr>
                <w:rFonts w:ascii="Arial" w:hAnsi="Arial" w:cs="Arial"/>
                <w:color w:val="000000"/>
                <w:sz w:val="16"/>
                <w:szCs w:val="16"/>
              </w:rPr>
              <w:t>% of policy mak</w:t>
            </w:r>
            <w:r w:rsidRPr="00BE1D07">
              <w:rPr>
                <w:rFonts w:ascii="Arial" w:hAnsi="Arial" w:cs="Arial"/>
                <w:color w:val="000000"/>
                <w:sz w:val="16"/>
                <w:szCs w:val="16"/>
              </w:rPr>
              <w:t>ers, governments officials, IP practitioners and other targeted groups, including universities, CMOs, journalists, with enhanced understanding of IP policies, and how to effectively use IP development</w:t>
            </w:r>
            <w:r w:rsidRPr="00EB603B">
              <w:rPr>
                <w:rFonts w:ascii="Arial" w:hAnsi="Arial" w:cs="Arial"/>
                <w:sz w:val="16"/>
                <w:szCs w:val="16"/>
              </w:rPr>
              <w:t xml:space="preserve"> </w:t>
            </w:r>
          </w:p>
          <w:p w14:paraId="5BE35CFF" w14:textId="77777777" w:rsidR="00C9789B" w:rsidRPr="00DD2110" w:rsidRDefault="00C9789B" w:rsidP="005A1F7F">
            <w:pPr>
              <w:rPr>
                <w:rFonts w:ascii="Arial" w:hAnsi="Arial" w:cs="Arial"/>
                <w:sz w:val="16"/>
                <w:szCs w:val="16"/>
                <w:highlight w:val="yellow"/>
              </w:rPr>
            </w:pPr>
          </w:p>
          <w:p w14:paraId="3C73902F" w14:textId="77777777" w:rsidR="00C9789B" w:rsidRPr="0017035A" w:rsidRDefault="00C9789B" w:rsidP="005A1F7F">
            <w:pPr>
              <w:rPr>
                <w:rFonts w:ascii="Arial" w:hAnsi="Arial" w:cs="Arial"/>
                <w:sz w:val="16"/>
                <w:szCs w:val="16"/>
              </w:rPr>
            </w:pPr>
            <w:r w:rsidRPr="0017035A">
              <w:rPr>
                <w:rFonts w:ascii="Arial" w:hAnsi="Arial" w:cs="Arial"/>
                <w:sz w:val="16"/>
                <w:szCs w:val="16"/>
              </w:rPr>
              <w:t>% of trained IP professionals using upgraded skills in their work</w:t>
            </w:r>
          </w:p>
          <w:p w14:paraId="386F23FB" w14:textId="77777777" w:rsidR="00C9789B" w:rsidRPr="00DD2110" w:rsidRDefault="00C9789B" w:rsidP="005A1F7F">
            <w:pPr>
              <w:rPr>
                <w:rFonts w:ascii="Arial" w:hAnsi="Arial" w:cs="Arial"/>
                <w:sz w:val="16"/>
                <w:szCs w:val="16"/>
                <w:highlight w:val="yellow"/>
              </w:rPr>
            </w:pPr>
          </w:p>
        </w:tc>
        <w:tc>
          <w:tcPr>
            <w:tcW w:w="1524" w:type="pct"/>
            <w:shd w:val="clear" w:color="auto" w:fill="FFFFFF"/>
            <w:tcMar>
              <w:top w:w="85" w:type="dxa"/>
              <w:bottom w:w="28" w:type="dxa"/>
            </w:tcMar>
          </w:tcPr>
          <w:p w14:paraId="1AC423E9" w14:textId="77777777" w:rsidR="00C9789B" w:rsidRPr="00EB603B" w:rsidRDefault="00C9789B" w:rsidP="005A1F7F">
            <w:pPr>
              <w:ind w:left="551"/>
              <w:rPr>
                <w:rFonts w:ascii="Arial" w:hAnsi="Arial" w:cs="Arial"/>
                <w:sz w:val="16"/>
                <w:szCs w:val="16"/>
                <w:lang w:bidi="th-TH"/>
              </w:rPr>
            </w:pPr>
            <w:r w:rsidRPr="00EB603B">
              <w:rPr>
                <w:rFonts w:ascii="Arial" w:hAnsi="Arial" w:cs="Arial"/>
                <w:sz w:val="16"/>
                <w:szCs w:val="16"/>
                <w:lang w:bidi="th-TH"/>
              </w:rPr>
              <w:t>Program 20</w:t>
            </w:r>
          </w:p>
          <w:p w14:paraId="71A25F4F" w14:textId="77777777" w:rsidR="00C9789B" w:rsidRPr="00DD2110" w:rsidRDefault="00C9789B" w:rsidP="005A1F7F">
            <w:pPr>
              <w:ind w:left="551"/>
              <w:rPr>
                <w:rFonts w:ascii="Arial" w:hAnsi="Arial" w:cs="Arial"/>
                <w:sz w:val="16"/>
                <w:szCs w:val="16"/>
                <w:highlight w:val="yellow"/>
                <w:lang w:bidi="th-TH"/>
              </w:rPr>
            </w:pPr>
          </w:p>
          <w:p w14:paraId="7D2F4658" w14:textId="77777777" w:rsidR="00C9789B" w:rsidRPr="00DD2110" w:rsidRDefault="00C9789B" w:rsidP="005A1F7F">
            <w:pPr>
              <w:ind w:left="551"/>
              <w:rPr>
                <w:rFonts w:ascii="Arial" w:hAnsi="Arial" w:cs="Arial"/>
                <w:sz w:val="16"/>
                <w:szCs w:val="16"/>
                <w:highlight w:val="yellow"/>
                <w:lang w:bidi="th-TH"/>
              </w:rPr>
            </w:pPr>
          </w:p>
          <w:p w14:paraId="19AA8659" w14:textId="77777777" w:rsidR="00C9789B" w:rsidRPr="00DD2110" w:rsidRDefault="00C9789B" w:rsidP="005A1F7F">
            <w:pPr>
              <w:ind w:left="551"/>
              <w:rPr>
                <w:rFonts w:ascii="Arial" w:hAnsi="Arial" w:cs="Arial"/>
                <w:sz w:val="16"/>
                <w:szCs w:val="16"/>
                <w:highlight w:val="yellow"/>
                <w:lang w:bidi="th-TH"/>
              </w:rPr>
            </w:pPr>
          </w:p>
          <w:p w14:paraId="3DF0B8DB" w14:textId="77777777" w:rsidR="00C9789B" w:rsidRPr="00DD2110" w:rsidRDefault="00C9789B" w:rsidP="005A1F7F">
            <w:pPr>
              <w:ind w:left="551"/>
              <w:rPr>
                <w:rFonts w:ascii="Arial" w:hAnsi="Arial" w:cs="Arial"/>
                <w:sz w:val="16"/>
                <w:szCs w:val="16"/>
                <w:highlight w:val="yellow"/>
                <w:lang w:bidi="th-TH"/>
              </w:rPr>
            </w:pPr>
          </w:p>
          <w:p w14:paraId="56F0900F" w14:textId="77777777" w:rsidR="00C9789B" w:rsidRPr="00DD2110" w:rsidRDefault="00C9789B" w:rsidP="005A1F7F">
            <w:pPr>
              <w:ind w:left="551"/>
              <w:rPr>
                <w:rFonts w:ascii="Arial" w:hAnsi="Arial" w:cs="Arial"/>
                <w:sz w:val="16"/>
                <w:szCs w:val="16"/>
                <w:highlight w:val="yellow"/>
                <w:lang w:bidi="th-TH"/>
              </w:rPr>
            </w:pPr>
          </w:p>
          <w:p w14:paraId="65D37BDE" w14:textId="77777777" w:rsidR="00C9789B" w:rsidRPr="00DD2110" w:rsidRDefault="00C9789B" w:rsidP="005A1F7F">
            <w:pPr>
              <w:ind w:left="551"/>
              <w:rPr>
                <w:rFonts w:ascii="Arial" w:hAnsi="Arial" w:cs="Arial"/>
                <w:sz w:val="16"/>
                <w:szCs w:val="16"/>
                <w:highlight w:val="yellow"/>
                <w:lang w:bidi="th-TH"/>
              </w:rPr>
            </w:pPr>
            <w:r w:rsidRPr="0017035A">
              <w:rPr>
                <w:rFonts w:ascii="Arial" w:hAnsi="Arial" w:cs="Arial"/>
                <w:sz w:val="16"/>
                <w:szCs w:val="16"/>
                <w:lang w:bidi="th-TH"/>
              </w:rPr>
              <w:t>Program 30</w:t>
            </w:r>
          </w:p>
        </w:tc>
      </w:tr>
      <w:tr w:rsidR="00C9789B" w:rsidRPr="0016774F" w14:paraId="191BEC87" w14:textId="77777777" w:rsidTr="004F798C">
        <w:trPr>
          <w:cantSplit/>
          <w:trHeight w:val="544"/>
        </w:trPr>
        <w:tc>
          <w:tcPr>
            <w:tcW w:w="1768" w:type="pct"/>
            <w:shd w:val="clear" w:color="auto" w:fill="auto"/>
            <w:tcMar>
              <w:top w:w="85" w:type="dxa"/>
              <w:bottom w:w="28" w:type="dxa"/>
            </w:tcMar>
          </w:tcPr>
          <w:p w14:paraId="31FA6EDC" w14:textId="77777777" w:rsidR="00C9789B" w:rsidRPr="0016774F" w:rsidRDefault="00C9789B" w:rsidP="005A1F7F">
            <w:pPr>
              <w:rPr>
                <w:rFonts w:ascii="Arial" w:hAnsi="Arial" w:cs="Arial"/>
                <w:sz w:val="16"/>
                <w:szCs w:val="16"/>
              </w:rPr>
            </w:pPr>
            <w:r w:rsidRPr="0016774F">
              <w:rPr>
                <w:rFonts w:ascii="Arial" w:hAnsi="Arial" w:cs="Arial"/>
                <w:sz w:val="16"/>
                <w:szCs w:val="16"/>
              </w:rPr>
              <w:t xml:space="preserve">III.3 </w:t>
            </w:r>
            <w:r>
              <w:rPr>
                <w:rFonts w:ascii="Arial" w:hAnsi="Arial" w:cs="Arial"/>
                <w:sz w:val="16"/>
                <w:szCs w:val="16"/>
              </w:rPr>
              <w:t xml:space="preserve"> </w:t>
            </w:r>
            <w:r w:rsidRPr="0016774F">
              <w:rPr>
                <w:rFonts w:ascii="Arial" w:hAnsi="Arial" w:cs="Arial"/>
                <w:sz w:val="16"/>
                <w:szCs w:val="16"/>
              </w:rPr>
              <w:t>Mainstreaming of the DA recommendations in the work of WIPO</w:t>
            </w:r>
          </w:p>
        </w:tc>
        <w:tc>
          <w:tcPr>
            <w:tcW w:w="1708" w:type="pct"/>
            <w:shd w:val="clear" w:color="auto" w:fill="auto"/>
            <w:tcMar>
              <w:top w:w="85" w:type="dxa"/>
              <w:bottom w:w="28" w:type="dxa"/>
            </w:tcMar>
          </w:tcPr>
          <w:p w14:paraId="6F7BCC67" w14:textId="77777777" w:rsidR="00C9789B" w:rsidRDefault="00C9789B" w:rsidP="005A1F7F">
            <w:pPr>
              <w:rPr>
                <w:rFonts w:ascii="Arial" w:hAnsi="Arial" w:cs="Arial"/>
                <w:sz w:val="16"/>
                <w:szCs w:val="16"/>
              </w:rPr>
            </w:pPr>
            <w:r>
              <w:rPr>
                <w:rFonts w:ascii="Arial" w:hAnsi="Arial" w:cs="Arial"/>
                <w:color w:val="000000"/>
                <w:sz w:val="16"/>
                <w:szCs w:val="16"/>
              </w:rPr>
              <w:t>Development principles included in the DA recommendations effectively integrated in the work of WIPO programs</w:t>
            </w:r>
            <w:r>
              <w:rPr>
                <w:rFonts w:ascii="Arial" w:hAnsi="Arial" w:cs="Arial"/>
                <w:sz w:val="16"/>
                <w:szCs w:val="16"/>
              </w:rPr>
              <w:t xml:space="preserve"> </w:t>
            </w:r>
          </w:p>
          <w:p w14:paraId="7B5D8D7D" w14:textId="77777777" w:rsidR="00C9789B" w:rsidRDefault="00C9789B" w:rsidP="005A1F7F">
            <w:pPr>
              <w:rPr>
                <w:rFonts w:ascii="Arial" w:hAnsi="Arial" w:cs="Arial"/>
                <w:sz w:val="16"/>
                <w:szCs w:val="16"/>
              </w:rPr>
            </w:pPr>
          </w:p>
          <w:p w14:paraId="4F0A0133" w14:textId="77777777" w:rsidR="00C9789B" w:rsidRPr="0016774F" w:rsidRDefault="00C9789B" w:rsidP="005A1F7F">
            <w:pPr>
              <w:rPr>
                <w:rFonts w:ascii="Arial" w:hAnsi="Arial" w:cs="Arial"/>
                <w:sz w:val="16"/>
                <w:szCs w:val="16"/>
              </w:rPr>
            </w:pPr>
            <w:r>
              <w:rPr>
                <w:rFonts w:ascii="Arial" w:hAnsi="Arial" w:cs="Arial"/>
                <w:color w:val="000000"/>
                <w:sz w:val="16"/>
                <w:szCs w:val="16"/>
              </w:rPr>
              <w:t>Effective follow up to the implementation of the recommendations of the Independent Review of the DA</w:t>
            </w:r>
            <w:r w:rsidRPr="0016774F">
              <w:rPr>
                <w:rFonts w:ascii="Arial" w:hAnsi="Arial" w:cs="Arial"/>
                <w:sz w:val="16"/>
                <w:szCs w:val="16"/>
              </w:rPr>
              <w:t xml:space="preserve"> </w:t>
            </w:r>
          </w:p>
        </w:tc>
        <w:tc>
          <w:tcPr>
            <w:tcW w:w="1524" w:type="pct"/>
            <w:shd w:val="clear" w:color="auto" w:fill="FFFFFF"/>
            <w:tcMar>
              <w:top w:w="85" w:type="dxa"/>
              <w:bottom w:w="28" w:type="dxa"/>
            </w:tcMar>
          </w:tcPr>
          <w:p w14:paraId="4DDCE70E" w14:textId="77777777" w:rsidR="00C9789B" w:rsidRDefault="00C9789B" w:rsidP="005A1F7F">
            <w:pPr>
              <w:ind w:left="551"/>
              <w:rPr>
                <w:rFonts w:ascii="Arial" w:hAnsi="Arial" w:cs="Arial"/>
                <w:sz w:val="16"/>
                <w:szCs w:val="16"/>
                <w:lang w:bidi="th-TH"/>
              </w:rPr>
            </w:pPr>
            <w:r w:rsidRPr="0016774F">
              <w:rPr>
                <w:rFonts w:ascii="Arial" w:hAnsi="Arial" w:cs="Arial"/>
                <w:sz w:val="16"/>
                <w:szCs w:val="16"/>
                <w:lang w:bidi="th-TH"/>
              </w:rPr>
              <w:t>Program 8</w:t>
            </w:r>
          </w:p>
          <w:p w14:paraId="2E98E2A6" w14:textId="77777777" w:rsidR="00C9789B" w:rsidRDefault="00C9789B" w:rsidP="005A1F7F">
            <w:pPr>
              <w:ind w:left="551"/>
              <w:rPr>
                <w:rFonts w:ascii="Arial" w:hAnsi="Arial" w:cs="Arial"/>
                <w:sz w:val="16"/>
                <w:szCs w:val="16"/>
                <w:lang w:bidi="th-TH"/>
              </w:rPr>
            </w:pPr>
          </w:p>
          <w:p w14:paraId="3A3BB69F" w14:textId="77777777" w:rsidR="00C9789B" w:rsidRDefault="00C9789B" w:rsidP="005A1F7F">
            <w:pPr>
              <w:ind w:left="551"/>
              <w:rPr>
                <w:rFonts w:ascii="Arial" w:hAnsi="Arial" w:cs="Arial"/>
                <w:sz w:val="16"/>
                <w:szCs w:val="16"/>
                <w:lang w:bidi="th-TH"/>
              </w:rPr>
            </w:pPr>
          </w:p>
          <w:p w14:paraId="1FD9D412" w14:textId="77777777" w:rsidR="00C9789B" w:rsidRDefault="00C9789B" w:rsidP="005A1F7F">
            <w:pPr>
              <w:ind w:left="551"/>
              <w:rPr>
                <w:rFonts w:ascii="Arial" w:hAnsi="Arial" w:cs="Arial"/>
                <w:sz w:val="16"/>
                <w:szCs w:val="16"/>
                <w:lang w:bidi="th-TH"/>
              </w:rPr>
            </w:pPr>
          </w:p>
          <w:p w14:paraId="707AC635" w14:textId="77777777" w:rsidR="009879E4" w:rsidRDefault="009879E4" w:rsidP="005A1F7F">
            <w:pPr>
              <w:ind w:left="551"/>
              <w:rPr>
                <w:rFonts w:ascii="Arial" w:hAnsi="Arial" w:cs="Arial"/>
                <w:sz w:val="16"/>
                <w:szCs w:val="16"/>
                <w:lang w:bidi="th-TH"/>
              </w:rPr>
            </w:pPr>
          </w:p>
          <w:p w14:paraId="02A97602" w14:textId="77777777" w:rsidR="00C9789B" w:rsidRDefault="00C9789B" w:rsidP="005A1F7F">
            <w:pPr>
              <w:ind w:left="551"/>
              <w:rPr>
                <w:rFonts w:ascii="Arial" w:hAnsi="Arial" w:cs="Arial"/>
                <w:sz w:val="16"/>
                <w:szCs w:val="16"/>
                <w:lang w:bidi="th-TH"/>
              </w:rPr>
            </w:pPr>
            <w:r w:rsidRPr="0016774F">
              <w:rPr>
                <w:rFonts w:ascii="Arial" w:hAnsi="Arial" w:cs="Arial"/>
                <w:sz w:val="16"/>
                <w:szCs w:val="16"/>
                <w:lang w:bidi="th-TH"/>
              </w:rPr>
              <w:t>Program 8</w:t>
            </w:r>
          </w:p>
          <w:p w14:paraId="3A20D86F" w14:textId="77777777" w:rsidR="00C9789B" w:rsidRPr="0016774F" w:rsidRDefault="00C9789B" w:rsidP="005A1F7F">
            <w:pPr>
              <w:ind w:left="551"/>
              <w:rPr>
                <w:rFonts w:ascii="Arial" w:hAnsi="Arial" w:cs="Arial"/>
                <w:sz w:val="16"/>
                <w:szCs w:val="16"/>
                <w:lang w:bidi="th-TH"/>
              </w:rPr>
            </w:pPr>
          </w:p>
        </w:tc>
      </w:tr>
      <w:tr w:rsidR="00C9789B" w:rsidRPr="0016774F" w14:paraId="3A11E999" w14:textId="77777777" w:rsidTr="004F798C">
        <w:trPr>
          <w:cantSplit/>
          <w:trHeight w:val="547"/>
        </w:trPr>
        <w:tc>
          <w:tcPr>
            <w:tcW w:w="1768" w:type="pct"/>
            <w:shd w:val="clear" w:color="auto" w:fill="auto"/>
            <w:tcMar>
              <w:top w:w="85" w:type="dxa"/>
              <w:bottom w:w="28" w:type="dxa"/>
            </w:tcMar>
          </w:tcPr>
          <w:p w14:paraId="5F4DA51F" w14:textId="77777777" w:rsidR="00C9789B" w:rsidRPr="0016774F" w:rsidRDefault="00C9789B" w:rsidP="005A1F7F">
            <w:pPr>
              <w:rPr>
                <w:rFonts w:ascii="Arial" w:hAnsi="Arial" w:cs="Arial"/>
                <w:sz w:val="16"/>
                <w:szCs w:val="16"/>
              </w:rPr>
            </w:pPr>
          </w:p>
        </w:tc>
        <w:tc>
          <w:tcPr>
            <w:tcW w:w="1708" w:type="pct"/>
            <w:shd w:val="clear" w:color="auto" w:fill="auto"/>
            <w:tcMar>
              <w:top w:w="85" w:type="dxa"/>
              <w:bottom w:w="28" w:type="dxa"/>
            </w:tcMar>
          </w:tcPr>
          <w:p w14:paraId="40C48B4D" w14:textId="2D7718A4" w:rsidR="00C9789B" w:rsidRPr="0016774F" w:rsidRDefault="00C9789B">
            <w:pPr>
              <w:rPr>
                <w:rFonts w:ascii="Arial" w:hAnsi="Arial" w:cs="Arial"/>
                <w:sz w:val="16"/>
                <w:szCs w:val="16"/>
              </w:rPr>
            </w:pPr>
            <w:r>
              <w:rPr>
                <w:rFonts w:ascii="Arial" w:hAnsi="Arial" w:cs="Arial"/>
                <w:color w:val="000000"/>
                <w:sz w:val="16"/>
                <w:szCs w:val="16"/>
              </w:rPr>
              <w:t>Improved mechanism for the development, implementation, monitoring</w:t>
            </w:r>
            <w:r w:rsidR="004C341C">
              <w:rPr>
                <w:rFonts w:ascii="Arial" w:hAnsi="Arial" w:cs="Arial"/>
                <w:color w:val="000000"/>
                <w:sz w:val="16"/>
                <w:szCs w:val="16"/>
              </w:rPr>
              <w:t>,</w:t>
            </w:r>
            <w:r>
              <w:rPr>
                <w:rFonts w:ascii="Arial" w:hAnsi="Arial" w:cs="Arial"/>
                <w:color w:val="000000"/>
                <w:sz w:val="16"/>
                <w:szCs w:val="16"/>
              </w:rPr>
              <w:t xml:space="preserve"> evaluation of </w:t>
            </w:r>
            <w:r w:rsidR="004C341C">
              <w:rPr>
                <w:rFonts w:ascii="Arial" w:hAnsi="Arial" w:cs="Arial"/>
                <w:color w:val="000000"/>
                <w:sz w:val="16"/>
                <w:szCs w:val="16"/>
              </w:rPr>
              <w:t xml:space="preserve">and reporting on, </w:t>
            </w:r>
            <w:r>
              <w:rPr>
                <w:rFonts w:ascii="Arial" w:hAnsi="Arial" w:cs="Arial"/>
                <w:color w:val="000000"/>
                <w:sz w:val="16"/>
                <w:szCs w:val="16"/>
              </w:rPr>
              <w:t>new DA projects and activities</w:t>
            </w:r>
          </w:p>
        </w:tc>
        <w:tc>
          <w:tcPr>
            <w:tcW w:w="1524" w:type="pct"/>
            <w:shd w:val="clear" w:color="auto" w:fill="FFFFFF"/>
            <w:tcMar>
              <w:top w:w="85" w:type="dxa"/>
              <w:bottom w:w="28" w:type="dxa"/>
            </w:tcMar>
          </w:tcPr>
          <w:p w14:paraId="4F20D82C"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8</w:t>
            </w:r>
          </w:p>
        </w:tc>
      </w:tr>
      <w:tr w:rsidR="00C9789B" w:rsidRPr="0016774F" w14:paraId="6EE2787E" w14:textId="77777777" w:rsidTr="004F798C">
        <w:trPr>
          <w:cantSplit/>
          <w:trHeight w:val="708"/>
        </w:trPr>
        <w:tc>
          <w:tcPr>
            <w:tcW w:w="1768" w:type="pct"/>
            <w:shd w:val="clear" w:color="auto" w:fill="auto"/>
            <w:tcMar>
              <w:top w:w="85" w:type="dxa"/>
              <w:bottom w:w="28" w:type="dxa"/>
            </w:tcMar>
          </w:tcPr>
          <w:p w14:paraId="5C3B75B6" w14:textId="1D256838" w:rsidR="00C9789B" w:rsidRPr="00C15BD1" w:rsidRDefault="00225D2B" w:rsidP="005A1F7F">
            <w:pPr>
              <w:keepNext/>
              <w:keepLines/>
              <w:tabs>
                <w:tab w:val="right" w:pos="2835"/>
              </w:tabs>
              <w:spacing w:after="60"/>
              <w:rPr>
                <w:rFonts w:ascii="Arial" w:hAnsi="Arial" w:cs="Arial"/>
                <w:sz w:val="15"/>
                <w:szCs w:val="15"/>
              </w:rPr>
            </w:pPr>
            <w:r>
              <w:rPr>
                <w:rFonts w:ascii="Arial" w:hAnsi="Arial" w:cs="Arial"/>
                <w:sz w:val="16"/>
                <w:szCs w:val="16"/>
              </w:rPr>
              <w:t>III.4  Strengthened cooperation mechanisms and programs tailored to the needs of developing countries, LDCs and countries with economies in transition</w:t>
            </w:r>
          </w:p>
          <w:p w14:paraId="701FACDE" w14:textId="77777777" w:rsidR="00C9789B" w:rsidRPr="00DD2110" w:rsidRDefault="00C9789B" w:rsidP="005A1F7F">
            <w:pPr>
              <w:keepNext/>
              <w:keepLines/>
              <w:rPr>
                <w:rFonts w:ascii="Arial" w:hAnsi="Arial" w:cs="Arial"/>
                <w:sz w:val="16"/>
                <w:szCs w:val="16"/>
                <w:highlight w:val="yellow"/>
              </w:rPr>
            </w:pPr>
          </w:p>
        </w:tc>
        <w:tc>
          <w:tcPr>
            <w:tcW w:w="1708" w:type="pct"/>
            <w:shd w:val="clear" w:color="auto" w:fill="auto"/>
            <w:tcMar>
              <w:top w:w="85" w:type="dxa"/>
              <w:bottom w:w="28" w:type="dxa"/>
            </w:tcMar>
          </w:tcPr>
          <w:p w14:paraId="0A37B41E" w14:textId="77777777" w:rsidR="00C9789B" w:rsidRPr="00EC31ED" w:rsidRDefault="00C9789B" w:rsidP="005A1F7F">
            <w:pPr>
              <w:keepNext/>
              <w:keepLines/>
              <w:rPr>
                <w:rFonts w:ascii="Arial" w:hAnsi="Arial" w:cs="Arial"/>
                <w:sz w:val="16"/>
                <w:szCs w:val="16"/>
                <w:highlight w:val="yellow"/>
              </w:rPr>
            </w:pPr>
            <w:r w:rsidRPr="00EC31ED">
              <w:rPr>
                <w:rFonts w:ascii="Arial" w:hAnsi="Arial" w:cs="Arial"/>
                <w:color w:val="000000"/>
                <w:sz w:val="16"/>
                <w:szCs w:val="16"/>
              </w:rPr>
              <w:t>No. of national, sub regional and regional/ interregional cooperation agreements, projects, programs, and partnerships to promote the effective use of the IP systems through sharing of best practices.</w:t>
            </w:r>
          </w:p>
        </w:tc>
        <w:tc>
          <w:tcPr>
            <w:tcW w:w="1524" w:type="pct"/>
            <w:shd w:val="clear" w:color="auto" w:fill="FFFFFF"/>
            <w:tcMar>
              <w:top w:w="85" w:type="dxa"/>
              <w:bottom w:w="28" w:type="dxa"/>
            </w:tcMar>
          </w:tcPr>
          <w:p w14:paraId="160592EE" w14:textId="77777777" w:rsidR="00C9789B" w:rsidRPr="00DD2110" w:rsidRDefault="00C9789B" w:rsidP="005A1F7F">
            <w:pPr>
              <w:ind w:left="551"/>
              <w:rPr>
                <w:rFonts w:ascii="Arial" w:hAnsi="Arial" w:cs="Arial"/>
                <w:sz w:val="16"/>
                <w:szCs w:val="16"/>
                <w:highlight w:val="yellow"/>
                <w:lang w:bidi="th-TH"/>
              </w:rPr>
            </w:pPr>
            <w:r w:rsidRPr="00B61113">
              <w:rPr>
                <w:rFonts w:ascii="Arial" w:hAnsi="Arial" w:cs="Arial"/>
                <w:sz w:val="16"/>
                <w:szCs w:val="16"/>
                <w:lang w:bidi="th-TH"/>
              </w:rPr>
              <w:t>Program 9</w:t>
            </w:r>
          </w:p>
        </w:tc>
      </w:tr>
      <w:tr w:rsidR="00C9789B" w:rsidRPr="00AF5E7C" w14:paraId="5C1D1B9D" w14:textId="77777777" w:rsidTr="004F798C">
        <w:trPr>
          <w:cantSplit/>
          <w:trHeight w:val="310"/>
        </w:trPr>
        <w:tc>
          <w:tcPr>
            <w:tcW w:w="1768" w:type="pct"/>
            <w:shd w:val="clear" w:color="auto" w:fill="auto"/>
            <w:tcMar>
              <w:top w:w="85" w:type="dxa"/>
              <w:bottom w:w="28" w:type="dxa"/>
            </w:tcMar>
          </w:tcPr>
          <w:p w14:paraId="01357748" w14:textId="77777777" w:rsidR="00C9789B" w:rsidRPr="00DD2110" w:rsidRDefault="00C9789B" w:rsidP="005A1F7F">
            <w:pPr>
              <w:keepNext/>
              <w:keepLines/>
              <w:rPr>
                <w:rFonts w:ascii="Arial" w:hAnsi="Arial" w:cs="Arial"/>
                <w:sz w:val="16"/>
                <w:szCs w:val="16"/>
                <w:highlight w:val="yellow"/>
              </w:rPr>
            </w:pPr>
          </w:p>
        </w:tc>
        <w:tc>
          <w:tcPr>
            <w:tcW w:w="1708" w:type="pct"/>
            <w:shd w:val="clear" w:color="auto" w:fill="auto"/>
            <w:tcMar>
              <w:top w:w="85" w:type="dxa"/>
              <w:bottom w:w="28" w:type="dxa"/>
            </w:tcMar>
          </w:tcPr>
          <w:p w14:paraId="7B2DC238" w14:textId="77777777" w:rsidR="00C9789B" w:rsidRPr="004456C9" w:rsidRDefault="00C9789B" w:rsidP="005A1F7F">
            <w:pPr>
              <w:keepNext/>
              <w:keepLines/>
              <w:rPr>
                <w:rFonts w:ascii="Arial" w:hAnsi="Arial" w:cs="Arial"/>
                <w:sz w:val="16"/>
                <w:szCs w:val="16"/>
                <w:highlight w:val="yellow"/>
              </w:rPr>
            </w:pPr>
            <w:r w:rsidRPr="004456C9">
              <w:rPr>
                <w:rFonts w:ascii="Arial" w:hAnsi="Arial" w:cs="Arial"/>
                <w:color w:val="000000"/>
                <w:sz w:val="16"/>
                <w:szCs w:val="16"/>
              </w:rPr>
              <w:t>No. of established partnerships</w:t>
            </w:r>
          </w:p>
        </w:tc>
        <w:tc>
          <w:tcPr>
            <w:tcW w:w="1524" w:type="pct"/>
            <w:shd w:val="clear" w:color="auto" w:fill="FFFFFF"/>
            <w:tcMar>
              <w:top w:w="85" w:type="dxa"/>
              <w:bottom w:w="28" w:type="dxa"/>
            </w:tcMar>
          </w:tcPr>
          <w:p w14:paraId="2580DFF9" w14:textId="77777777" w:rsidR="00C9789B" w:rsidRPr="00DD2110" w:rsidRDefault="00C9789B" w:rsidP="005A1F7F">
            <w:pPr>
              <w:ind w:left="551"/>
              <w:rPr>
                <w:rFonts w:ascii="Arial" w:hAnsi="Arial" w:cs="Arial"/>
                <w:sz w:val="16"/>
                <w:szCs w:val="16"/>
                <w:highlight w:val="yellow"/>
                <w:lang w:bidi="th-TH"/>
              </w:rPr>
            </w:pPr>
            <w:r w:rsidRPr="004456C9">
              <w:rPr>
                <w:rFonts w:ascii="Arial" w:hAnsi="Arial" w:cs="Arial"/>
                <w:sz w:val="16"/>
                <w:szCs w:val="16"/>
                <w:lang w:bidi="th-TH"/>
              </w:rPr>
              <w:t>Program 10</w:t>
            </w:r>
          </w:p>
        </w:tc>
      </w:tr>
      <w:tr w:rsidR="00C9789B" w:rsidRPr="00AF5E7C" w14:paraId="649952A9" w14:textId="77777777" w:rsidTr="004F798C">
        <w:trPr>
          <w:cantSplit/>
          <w:trHeight w:val="652"/>
        </w:trPr>
        <w:tc>
          <w:tcPr>
            <w:tcW w:w="1768" w:type="pct"/>
            <w:shd w:val="clear" w:color="auto" w:fill="auto"/>
            <w:tcMar>
              <w:top w:w="85" w:type="dxa"/>
              <w:bottom w:w="28" w:type="dxa"/>
            </w:tcMar>
          </w:tcPr>
          <w:p w14:paraId="63B92CCD" w14:textId="77777777" w:rsidR="00C9789B" w:rsidRPr="00534297" w:rsidRDefault="00C9789B" w:rsidP="005A1F7F">
            <w:pPr>
              <w:keepNext/>
              <w:keepLines/>
              <w:rPr>
                <w:rFonts w:ascii="Arial" w:hAnsi="Arial" w:cs="Arial"/>
                <w:sz w:val="16"/>
                <w:szCs w:val="16"/>
              </w:rPr>
            </w:pPr>
            <w:r>
              <w:rPr>
                <w:rFonts w:ascii="Arial" w:hAnsi="Arial" w:cs="Arial"/>
                <w:sz w:val="16"/>
                <w:szCs w:val="16"/>
              </w:rPr>
              <w:t>III.5</w:t>
            </w:r>
            <w:r w:rsidRPr="00534297">
              <w:rPr>
                <w:rFonts w:ascii="Arial" w:hAnsi="Arial" w:cs="Arial"/>
                <w:sz w:val="16"/>
                <w:szCs w:val="16"/>
              </w:rPr>
              <w:t xml:space="preserve"> Enhanced understanding of the DA by Member States, IGOs, civil society and other stakeholders</w:t>
            </w:r>
          </w:p>
        </w:tc>
        <w:tc>
          <w:tcPr>
            <w:tcW w:w="1708" w:type="pct"/>
            <w:shd w:val="clear" w:color="auto" w:fill="auto"/>
            <w:tcMar>
              <w:top w:w="85" w:type="dxa"/>
              <w:bottom w:w="28" w:type="dxa"/>
            </w:tcMar>
          </w:tcPr>
          <w:p w14:paraId="51F89B59" w14:textId="77777777" w:rsidR="00C9789B" w:rsidRPr="0016774F" w:rsidRDefault="00C9789B" w:rsidP="005A1F7F">
            <w:pPr>
              <w:keepNext/>
              <w:keepLines/>
              <w:rPr>
                <w:rFonts w:ascii="Arial" w:hAnsi="Arial" w:cs="Arial"/>
                <w:sz w:val="16"/>
                <w:szCs w:val="16"/>
              </w:rPr>
            </w:pPr>
            <w:r>
              <w:rPr>
                <w:rFonts w:ascii="Arial" w:hAnsi="Arial" w:cs="Arial"/>
                <w:color w:val="000000"/>
                <w:sz w:val="16"/>
                <w:szCs w:val="16"/>
              </w:rPr>
              <w:t>Technical assistance activities undertaken by WIPO reflect the Development Agenda dimension and outcomes of DA projects.</w:t>
            </w:r>
          </w:p>
        </w:tc>
        <w:tc>
          <w:tcPr>
            <w:tcW w:w="1524" w:type="pct"/>
            <w:shd w:val="clear" w:color="auto" w:fill="FFFFFF"/>
            <w:tcMar>
              <w:top w:w="85" w:type="dxa"/>
              <w:bottom w:w="28" w:type="dxa"/>
            </w:tcMar>
          </w:tcPr>
          <w:p w14:paraId="496C8E3B"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8</w:t>
            </w:r>
          </w:p>
        </w:tc>
      </w:tr>
      <w:tr w:rsidR="00C9789B" w:rsidRPr="00AF5E7C" w14:paraId="786488EF" w14:textId="77777777" w:rsidTr="004F798C">
        <w:trPr>
          <w:cantSplit/>
          <w:trHeight w:val="652"/>
        </w:trPr>
        <w:tc>
          <w:tcPr>
            <w:tcW w:w="1768" w:type="pct"/>
            <w:shd w:val="clear" w:color="auto" w:fill="auto"/>
            <w:tcMar>
              <w:top w:w="85" w:type="dxa"/>
              <w:bottom w:w="28" w:type="dxa"/>
            </w:tcMar>
          </w:tcPr>
          <w:p w14:paraId="69050671" w14:textId="77777777" w:rsidR="00C9789B" w:rsidRPr="0016774F" w:rsidRDefault="00C9789B" w:rsidP="005A1F7F">
            <w:pPr>
              <w:keepNext/>
              <w:keepLines/>
              <w:rPr>
                <w:rFonts w:ascii="Arial" w:hAnsi="Arial" w:cs="Arial"/>
                <w:sz w:val="16"/>
                <w:szCs w:val="16"/>
              </w:rPr>
            </w:pPr>
          </w:p>
        </w:tc>
        <w:tc>
          <w:tcPr>
            <w:tcW w:w="1708" w:type="pct"/>
            <w:shd w:val="clear" w:color="auto" w:fill="auto"/>
            <w:tcMar>
              <w:top w:w="85" w:type="dxa"/>
              <w:bottom w:w="28" w:type="dxa"/>
            </w:tcMar>
          </w:tcPr>
          <w:p w14:paraId="00D51038" w14:textId="4CF90499" w:rsidR="00C9789B" w:rsidRPr="00534297" w:rsidRDefault="00C9789B" w:rsidP="005A1F7F">
            <w:pPr>
              <w:keepNext/>
              <w:keepLines/>
              <w:rPr>
                <w:rFonts w:ascii="Arial" w:hAnsi="Arial" w:cs="Arial"/>
                <w:sz w:val="16"/>
                <w:szCs w:val="16"/>
              </w:rPr>
            </w:pPr>
            <w:r>
              <w:rPr>
                <w:rFonts w:ascii="Arial" w:hAnsi="Arial" w:cs="Arial"/>
                <w:color w:val="000000"/>
                <w:sz w:val="16"/>
                <w:szCs w:val="16"/>
              </w:rPr>
              <w:t>% of satisfied participants in events on the WIPO Development Agenda targeting Member States, Civil Society, IGOs and stakeholders</w:t>
            </w:r>
          </w:p>
        </w:tc>
        <w:tc>
          <w:tcPr>
            <w:tcW w:w="1524" w:type="pct"/>
            <w:shd w:val="clear" w:color="auto" w:fill="FFFFFF"/>
            <w:tcMar>
              <w:top w:w="85" w:type="dxa"/>
              <w:bottom w:w="28" w:type="dxa"/>
            </w:tcMar>
          </w:tcPr>
          <w:p w14:paraId="08DBEECB" w14:textId="77777777" w:rsidR="00C9789B" w:rsidRPr="0016774F" w:rsidRDefault="00C9789B" w:rsidP="005A1F7F">
            <w:pPr>
              <w:ind w:left="551"/>
              <w:rPr>
                <w:rFonts w:ascii="Arial" w:hAnsi="Arial" w:cs="Arial"/>
                <w:sz w:val="16"/>
                <w:szCs w:val="16"/>
                <w:lang w:bidi="th-TH"/>
              </w:rPr>
            </w:pPr>
            <w:r w:rsidRPr="0016774F">
              <w:rPr>
                <w:rFonts w:ascii="Arial" w:hAnsi="Arial" w:cs="Arial"/>
                <w:sz w:val="16"/>
                <w:szCs w:val="16"/>
                <w:lang w:bidi="th-TH"/>
              </w:rPr>
              <w:t>Program 8</w:t>
            </w:r>
          </w:p>
        </w:tc>
      </w:tr>
      <w:tr w:rsidR="005D4F01" w:rsidRPr="00AF5E7C" w14:paraId="307764CA" w14:textId="77777777" w:rsidTr="004F798C">
        <w:trPr>
          <w:cantSplit/>
          <w:trHeight w:val="652"/>
        </w:trPr>
        <w:tc>
          <w:tcPr>
            <w:tcW w:w="1768" w:type="pct"/>
            <w:shd w:val="clear" w:color="auto" w:fill="auto"/>
            <w:tcMar>
              <w:top w:w="85" w:type="dxa"/>
              <w:bottom w:w="28" w:type="dxa"/>
            </w:tcMar>
          </w:tcPr>
          <w:p w14:paraId="43E61E17" w14:textId="77777777" w:rsidR="005D4F01" w:rsidRPr="00DD2110" w:rsidRDefault="005D4F01" w:rsidP="005A1F7F">
            <w:pPr>
              <w:keepNext/>
              <w:keepLines/>
              <w:rPr>
                <w:rFonts w:ascii="Arial" w:hAnsi="Arial" w:cs="Arial"/>
                <w:sz w:val="16"/>
                <w:szCs w:val="16"/>
                <w:highlight w:val="yellow"/>
              </w:rPr>
            </w:pPr>
            <w:r w:rsidRPr="00C34EC3">
              <w:rPr>
                <w:rFonts w:ascii="Arial" w:hAnsi="Arial" w:cs="Arial"/>
                <w:sz w:val="16"/>
                <w:szCs w:val="16"/>
              </w:rPr>
              <w:t>III.6 Increased capacity of SMEs to successfully use IP to support innovation</w:t>
            </w:r>
          </w:p>
        </w:tc>
        <w:tc>
          <w:tcPr>
            <w:tcW w:w="1708" w:type="pct"/>
            <w:shd w:val="clear" w:color="auto" w:fill="auto"/>
            <w:tcMar>
              <w:top w:w="85" w:type="dxa"/>
              <w:bottom w:w="28" w:type="dxa"/>
            </w:tcMar>
          </w:tcPr>
          <w:p w14:paraId="6E1D31BE" w14:textId="0430F44B" w:rsidR="005D4F01" w:rsidRPr="00DD2110" w:rsidRDefault="005D4F01" w:rsidP="005A1F7F">
            <w:pPr>
              <w:keepNext/>
              <w:keepLines/>
              <w:rPr>
                <w:rFonts w:ascii="Arial" w:hAnsi="Arial" w:cs="Arial"/>
                <w:sz w:val="16"/>
                <w:szCs w:val="16"/>
                <w:highlight w:val="yellow"/>
              </w:rPr>
            </w:pPr>
            <w:r>
              <w:rPr>
                <w:rFonts w:ascii="Arial" w:eastAsia="Times New Roman" w:hAnsi="Arial" w:cs="Arial"/>
                <w:color w:val="000000"/>
                <w:sz w:val="16"/>
                <w:szCs w:val="16"/>
              </w:rPr>
              <w:t>No. of subscriptions to the SME Newsletter</w:t>
            </w:r>
          </w:p>
        </w:tc>
        <w:tc>
          <w:tcPr>
            <w:tcW w:w="1524" w:type="pct"/>
            <w:shd w:val="clear" w:color="auto" w:fill="FFFFFF"/>
            <w:tcMar>
              <w:top w:w="85" w:type="dxa"/>
              <w:bottom w:w="28" w:type="dxa"/>
            </w:tcMar>
          </w:tcPr>
          <w:p w14:paraId="710A3A9C" w14:textId="5E85ABFA" w:rsidR="005D4F01" w:rsidRPr="00DD2110" w:rsidRDefault="002979C6" w:rsidP="00DA3F93">
            <w:pPr>
              <w:ind w:left="569"/>
              <w:rPr>
                <w:rFonts w:ascii="Arial" w:hAnsi="Arial" w:cs="Arial"/>
                <w:sz w:val="16"/>
                <w:szCs w:val="16"/>
                <w:highlight w:val="yellow"/>
                <w:lang w:bidi="th-TH"/>
              </w:rPr>
            </w:pPr>
            <w:r>
              <w:rPr>
                <w:rFonts w:ascii="Arial" w:hAnsi="Arial" w:cs="Arial"/>
                <w:sz w:val="16"/>
                <w:szCs w:val="16"/>
                <w:lang w:bidi="th-TH"/>
              </w:rPr>
              <w:t>P</w:t>
            </w:r>
            <w:r w:rsidRPr="00C34EC3">
              <w:rPr>
                <w:rFonts w:ascii="Arial" w:hAnsi="Arial" w:cs="Arial"/>
                <w:sz w:val="16"/>
                <w:szCs w:val="16"/>
                <w:lang w:bidi="th-TH"/>
              </w:rPr>
              <w:t>rogram 30</w:t>
            </w:r>
          </w:p>
        </w:tc>
      </w:tr>
      <w:tr w:rsidR="002979C6" w:rsidRPr="00AF5E7C" w14:paraId="67307A5A" w14:textId="77777777" w:rsidTr="00DA3F93">
        <w:trPr>
          <w:cantSplit/>
          <w:trHeight w:val="418"/>
        </w:trPr>
        <w:tc>
          <w:tcPr>
            <w:tcW w:w="1768" w:type="pct"/>
            <w:shd w:val="clear" w:color="auto" w:fill="auto"/>
            <w:tcMar>
              <w:top w:w="85" w:type="dxa"/>
              <w:bottom w:w="28" w:type="dxa"/>
            </w:tcMar>
          </w:tcPr>
          <w:p w14:paraId="43088250" w14:textId="77777777" w:rsidR="002979C6" w:rsidRPr="00DD2110" w:rsidRDefault="002979C6" w:rsidP="005A1F7F">
            <w:pPr>
              <w:keepNext/>
              <w:keepLines/>
              <w:rPr>
                <w:rFonts w:ascii="Arial" w:hAnsi="Arial" w:cs="Arial"/>
                <w:sz w:val="16"/>
                <w:szCs w:val="16"/>
                <w:highlight w:val="yellow"/>
              </w:rPr>
            </w:pPr>
          </w:p>
        </w:tc>
        <w:tc>
          <w:tcPr>
            <w:tcW w:w="1708" w:type="pct"/>
            <w:tcBorders>
              <w:bottom w:val="nil"/>
            </w:tcBorders>
            <w:shd w:val="clear" w:color="auto" w:fill="auto"/>
            <w:tcMar>
              <w:top w:w="85" w:type="dxa"/>
              <w:bottom w:w="28" w:type="dxa"/>
            </w:tcMar>
          </w:tcPr>
          <w:p w14:paraId="387C0C08" w14:textId="6B35D911" w:rsidR="002979C6" w:rsidRDefault="002979C6" w:rsidP="005A1F7F">
            <w:pPr>
              <w:keepNext/>
              <w:keepLines/>
              <w:rPr>
                <w:rFonts w:ascii="Arial" w:hAnsi="Arial" w:cs="Arial"/>
                <w:color w:val="000000"/>
                <w:sz w:val="16"/>
                <w:szCs w:val="16"/>
              </w:rPr>
            </w:pPr>
            <w:r>
              <w:rPr>
                <w:rFonts w:ascii="Arial" w:eastAsia="Times New Roman" w:hAnsi="Arial" w:cs="Arial"/>
                <w:color w:val="000000"/>
                <w:sz w:val="16"/>
                <w:szCs w:val="16"/>
              </w:rPr>
              <w:t>No. of downloads of topical SME material and guidelines</w:t>
            </w:r>
          </w:p>
        </w:tc>
        <w:tc>
          <w:tcPr>
            <w:tcW w:w="1524" w:type="pct"/>
            <w:tcBorders>
              <w:bottom w:val="nil"/>
            </w:tcBorders>
            <w:shd w:val="clear" w:color="auto" w:fill="FFFFFF"/>
            <w:tcMar>
              <w:top w:w="85" w:type="dxa"/>
              <w:bottom w:w="28" w:type="dxa"/>
            </w:tcMar>
          </w:tcPr>
          <w:p w14:paraId="09E66800" w14:textId="135EDF7D" w:rsidR="002979C6" w:rsidRPr="00C34EC3" w:rsidRDefault="002979C6" w:rsidP="005A1F7F">
            <w:pPr>
              <w:ind w:left="551"/>
              <w:rPr>
                <w:rFonts w:ascii="Arial" w:hAnsi="Arial" w:cs="Arial"/>
                <w:sz w:val="16"/>
                <w:szCs w:val="16"/>
                <w:lang w:bidi="th-TH"/>
              </w:rPr>
            </w:pPr>
            <w:r>
              <w:rPr>
                <w:rFonts w:ascii="Arial" w:hAnsi="Arial" w:cs="Arial"/>
                <w:sz w:val="16"/>
                <w:szCs w:val="16"/>
                <w:lang w:bidi="th-TH"/>
              </w:rPr>
              <w:t>P</w:t>
            </w:r>
            <w:r w:rsidRPr="00C34EC3">
              <w:rPr>
                <w:rFonts w:ascii="Arial" w:hAnsi="Arial" w:cs="Arial"/>
                <w:sz w:val="16"/>
                <w:szCs w:val="16"/>
                <w:lang w:bidi="th-TH"/>
              </w:rPr>
              <w:t>rogram 30</w:t>
            </w:r>
          </w:p>
        </w:tc>
      </w:tr>
      <w:tr w:rsidR="005D4F01" w:rsidRPr="00AF5E7C" w14:paraId="6418D751" w14:textId="77777777" w:rsidTr="00DA3F93">
        <w:trPr>
          <w:cantSplit/>
          <w:trHeight w:val="418"/>
        </w:trPr>
        <w:tc>
          <w:tcPr>
            <w:tcW w:w="1768" w:type="pct"/>
            <w:shd w:val="clear" w:color="auto" w:fill="auto"/>
            <w:tcMar>
              <w:top w:w="85" w:type="dxa"/>
              <w:bottom w:w="28" w:type="dxa"/>
            </w:tcMar>
          </w:tcPr>
          <w:p w14:paraId="1D537F97" w14:textId="77777777" w:rsidR="005D4F01" w:rsidRPr="00DD2110" w:rsidRDefault="005D4F01" w:rsidP="005A1F7F">
            <w:pPr>
              <w:keepNext/>
              <w:keepLines/>
              <w:rPr>
                <w:rFonts w:ascii="Arial" w:hAnsi="Arial" w:cs="Arial"/>
                <w:sz w:val="16"/>
                <w:szCs w:val="16"/>
                <w:highlight w:val="yellow"/>
              </w:rPr>
            </w:pPr>
          </w:p>
        </w:tc>
        <w:tc>
          <w:tcPr>
            <w:tcW w:w="1708" w:type="pct"/>
            <w:tcBorders>
              <w:bottom w:val="nil"/>
            </w:tcBorders>
            <w:shd w:val="clear" w:color="auto" w:fill="auto"/>
            <w:tcMar>
              <w:top w:w="85" w:type="dxa"/>
              <w:bottom w:w="28" w:type="dxa"/>
            </w:tcMar>
          </w:tcPr>
          <w:p w14:paraId="27527A7B" w14:textId="06AC41F2" w:rsidR="005D4F01" w:rsidRDefault="005D4F01" w:rsidP="005A1F7F">
            <w:pPr>
              <w:keepNext/>
              <w:keepLines/>
              <w:rPr>
                <w:rFonts w:ascii="Arial" w:hAnsi="Arial" w:cs="Arial"/>
                <w:color w:val="000000"/>
                <w:sz w:val="16"/>
                <w:szCs w:val="16"/>
              </w:rPr>
            </w:pPr>
            <w:r>
              <w:rPr>
                <w:rFonts w:ascii="Arial" w:hAnsi="Arial" w:cs="Arial"/>
                <w:color w:val="000000"/>
                <w:sz w:val="16"/>
                <w:szCs w:val="16"/>
              </w:rPr>
              <w:t>% of participants in training programs targeting SME support institutions who express satisfaction with the content and organization of these events</w:t>
            </w:r>
          </w:p>
        </w:tc>
        <w:tc>
          <w:tcPr>
            <w:tcW w:w="1524" w:type="pct"/>
            <w:tcBorders>
              <w:bottom w:val="nil"/>
            </w:tcBorders>
            <w:shd w:val="clear" w:color="auto" w:fill="FFFFFF"/>
            <w:tcMar>
              <w:top w:w="85" w:type="dxa"/>
              <w:bottom w:w="28" w:type="dxa"/>
            </w:tcMar>
          </w:tcPr>
          <w:p w14:paraId="22319B20" w14:textId="4C0CF4D8" w:rsidR="005D4F01" w:rsidRPr="00C34EC3" w:rsidRDefault="005D4F01" w:rsidP="005A1F7F">
            <w:pPr>
              <w:ind w:left="551"/>
              <w:rPr>
                <w:rFonts w:ascii="Arial" w:hAnsi="Arial" w:cs="Arial"/>
                <w:sz w:val="16"/>
                <w:szCs w:val="16"/>
                <w:lang w:bidi="th-TH"/>
              </w:rPr>
            </w:pPr>
            <w:r>
              <w:rPr>
                <w:rFonts w:ascii="Arial" w:hAnsi="Arial" w:cs="Arial"/>
                <w:sz w:val="16"/>
                <w:szCs w:val="16"/>
                <w:lang w:bidi="th-TH"/>
              </w:rPr>
              <w:t>P</w:t>
            </w:r>
            <w:r w:rsidRPr="00C34EC3">
              <w:rPr>
                <w:rFonts w:ascii="Arial" w:hAnsi="Arial" w:cs="Arial"/>
                <w:sz w:val="16"/>
                <w:szCs w:val="16"/>
                <w:lang w:bidi="th-TH"/>
              </w:rPr>
              <w:t>rogram 30</w:t>
            </w:r>
          </w:p>
        </w:tc>
      </w:tr>
      <w:tr w:rsidR="00C9789B" w:rsidRPr="00AF5E7C" w14:paraId="323F5E68" w14:textId="77777777" w:rsidTr="00357038">
        <w:trPr>
          <w:cantSplit/>
          <w:trHeight w:val="418"/>
        </w:trPr>
        <w:tc>
          <w:tcPr>
            <w:tcW w:w="1768" w:type="pct"/>
            <w:shd w:val="clear" w:color="auto" w:fill="auto"/>
            <w:tcMar>
              <w:top w:w="85" w:type="dxa"/>
              <w:bottom w:w="28" w:type="dxa"/>
            </w:tcMar>
          </w:tcPr>
          <w:p w14:paraId="6F62656F" w14:textId="77777777" w:rsidR="00C9789B" w:rsidRPr="00DD2110" w:rsidRDefault="00C9789B" w:rsidP="005A1F7F">
            <w:pPr>
              <w:keepNext/>
              <w:keepLines/>
              <w:rPr>
                <w:rFonts w:ascii="Arial" w:hAnsi="Arial" w:cs="Arial"/>
                <w:sz w:val="16"/>
                <w:szCs w:val="16"/>
                <w:highlight w:val="yellow"/>
              </w:rPr>
            </w:pPr>
          </w:p>
        </w:tc>
        <w:tc>
          <w:tcPr>
            <w:tcW w:w="1708" w:type="pct"/>
            <w:tcBorders>
              <w:bottom w:val="nil"/>
            </w:tcBorders>
            <w:shd w:val="clear" w:color="auto" w:fill="auto"/>
            <w:tcMar>
              <w:top w:w="85" w:type="dxa"/>
              <w:bottom w:w="28" w:type="dxa"/>
            </w:tcMar>
          </w:tcPr>
          <w:p w14:paraId="2CDA3B2D" w14:textId="77777777" w:rsidR="00C9789B" w:rsidRPr="00DD2110" w:rsidRDefault="00C9789B" w:rsidP="005A1F7F">
            <w:pPr>
              <w:keepNext/>
              <w:keepLines/>
              <w:rPr>
                <w:rFonts w:ascii="Arial" w:hAnsi="Arial" w:cs="Arial"/>
                <w:sz w:val="16"/>
                <w:szCs w:val="16"/>
                <w:highlight w:val="yellow"/>
              </w:rPr>
            </w:pPr>
            <w:r>
              <w:rPr>
                <w:rFonts w:ascii="Arial" w:hAnsi="Arial" w:cs="Arial"/>
                <w:color w:val="000000"/>
                <w:sz w:val="16"/>
                <w:szCs w:val="16"/>
              </w:rPr>
              <w:t>% of trained SMEs support institutions who provide information and advisory services on IP asset management</w:t>
            </w:r>
          </w:p>
        </w:tc>
        <w:tc>
          <w:tcPr>
            <w:tcW w:w="1524" w:type="pct"/>
            <w:tcBorders>
              <w:bottom w:val="nil"/>
            </w:tcBorders>
            <w:shd w:val="clear" w:color="auto" w:fill="FFFFFF"/>
            <w:tcMar>
              <w:top w:w="85" w:type="dxa"/>
              <w:bottom w:w="28" w:type="dxa"/>
            </w:tcMar>
          </w:tcPr>
          <w:p w14:paraId="4B1CFDBF" w14:textId="77777777" w:rsidR="00C9789B" w:rsidRPr="00DD2110" w:rsidRDefault="00C9789B" w:rsidP="005A1F7F">
            <w:pPr>
              <w:ind w:left="551"/>
              <w:rPr>
                <w:rFonts w:ascii="Arial" w:hAnsi="Arial" w:cs="Arial"/>
                <w:sz w:val="16"/>
                <w:szCs w:val="16"/>
                <w:highlight w:val="yellow"/>
                <w:lang w:bidi="th-TH"/>
              </w:rPr>
            </w:pPr>
            <w:r w:rsidRPr="00C34EC3">
              <w:rPr>
                <w:rFonts w:ascii="Arial" w:hAnsi="Arial" w:cs="Arial"/>
                <w:sz w:val="16"/>
                <w:szCs w:val="16"/>
                <w:lang w:bidi="th-TH"/>
              </w:rPr>
              <w:t>Program 30</w:t>
            </w:r>
          </w:p>
        </w:tc>
      </w:tr>
      <w:tr w:rsidR="00C15235" w:rsidRPr="00AF5E7C" w14:paraId="6CA48CFE" w14:textId="77777777" w:rsidTr="00357038">
        <w:trPr>
          <w:cantSplit/>
          <w:trHeight w:val="418"/>
        </w:trPr>
        <w:tc>
          <w:tcPr>
            <w:tcW w:w="1768" w:type="pct"/>
            <w:shd w:val="clear" w:color="auto" w:fill="auto"/>
            <w:tcMar>
              <w:top w:w="85" w:type="dxa"/>
              <w:bottom w:w="28" w:type="dxa"/>
            </w:tcMar>
          </w:tcPr>
          <w:p w14:paraId="23B346CA" w14:textId="77777777" w:rsidR="00C15235" w:rsidRPr="00DD2110" w:rsidRDefault="00C15235" w:rsidP="005A1F7F">
            <w:pPr>
              <w:keepNext/>
              <w:keepLines/>
              <w:rPr>
                <w:rFonts w:ascii="Arial" w:hAnsi="Arial" w:cs="Arial"/>
                <w:sz w:val="16"/>
                <w:szCs w:val="16"/>
                <w:highlight w:val="yellow"/>
              </w:rPr>
            </w:pPr>
          </w:p>
        </w:tc>
        <w:tc>
          <w:tcPr>
            <w:tcW w:w="1708" w:type="pct"/>
            <w:tcBorders>
              <w:top w:val="nil"/>
              <w:bottom w:val="nil"/>
            </w:tcBorders>
            <w:shd w:val="clear" w:color="auto" w:fill="auto"/>
            <w:tcMar>
              <w:top w:w="85" w:type="dxa"/>
              <w:bottom w:w="28" w:type="dxa"/>
            </w:tcMar>
          </w:tcPr>
          <w:p w14:paraId="2FAF7BD7" w14:textId="6C1D6592" w:rsidR="00C15235" w:rsidRDefault="00C15235" w:rsidP="005A1F7F">
            <w:pPr>
              <w:keepNext/>
              <w:keepLines/>
              <w:rPr>
                <w:rFonts w:ascii="Arial" w:hAnsi="Arial" w:cs="Arial"/>
                <w:color w:val="000000"/>
                <w:sz w:val="16"/>
                <w:szCs w:val="16"/>
              </w:rPr>
            </w:pPr>
            <w:r w:rsidRPr="00AE06F9">
              <w:rPr>
                <w:rFonts w:ascii="Arial" w:eastAsia="Times New Roman" w:hAnsi="Arial" w:cs="Arial"/>
                <w:color w:val="000000"/>
                <w:sz w:val="16"/>
                <w:szCs w:val="16"/>
              </w:rPr>
              <w:t xml:space="preserve">% of participants in training programs targeting SME support institutions using </w:t>
            </w:r>
            <w:r>
              <w:rPr>
                <w:rFonts w:ascii="Arial" w:eastAsia="Times New Roman" w:hAnsi="Arial" w:cs="Arial"/>
                <w:color w:val="000000"/>
                <w:sz w:val="16"/>
                <w:szCs w:val="16"/>
              </w:rPr>
              <w:t xml:space="preserve">enhanced knowledge </w:t>
            </w:r>
            <w:r w:rsidR="00524085">
              <w:rPr>
                <w:rFonts w:ascii="Arial" w:eastAsia="Times New Roman" w:hAnsi="Arial" w:cs="Arial"/>
                <w:color w:val="000000"/>
                <w:sz w:val="16"/>
                <w:szCs w:val="16"/>
              </w:rPr>
              <w:t xml:space="preserve">and </w:t>
            </w:r>
            <w:r w:rsidRPr="00AE06F9">
              <w:rPr>
                <w:rFonts w:ascii="Arial" w:eastAsia="Times New Roman" w:hAnsi="Arial" w:cs="Arial"/>
                <w:color w:val="000000"/>
                <w:sz w:val="16"/>
                <w:szCs w:val="16"/>
              </w:rPr>
              <w:t>upgraded skills in their work</w:t>
            </w:r>
          </w:p>
        </w:tc>
        <w:tc>
          <w:tcPr>
            <w:tcW w:w="1524" w:type="pct"/>
            <w:tcBorders>
              <w:top w:val="nil"/>
              <w:bottom w:val="nil"/>
              <w:right w:val="single" w:sz="4" w:space="0" w:color="auto"/>
            </w:tcBorders>
            <w:shd w:val="clear" w:color="auto" w:fill="FFFFFF"/>
            <w:tcMar>
              <w:top w:w="85" w:type="dxa"/>
              <w:bottom w:w="28" w:type="dxa"/>
            </w:tcMar>
          </w:tcPr>
          <w:p w14:paraId="7A2EB361" w14:textId="281A98F2" w:rsidR="00C15235" w:rsidRPr="00C34EC3" w:rsidRDefault="00C15235" w:rsidP="005A1F7F">
            <w:pPr>
              <w:ind w:left="551"/>
              <w:rPr>
                <w:rFonts w:ascii="Arial" w:hAnsi="Arial" w:cs="Arial"/>
                <w:sz w:val="16"/>
                <w:szCs w:val="16"/>
                <w:lang w:bidi="th-TH"/>
              </w:rPr>
            </w:pPr>
            <w:r w:rsidRPr="00C34EC3">
              <w:rPr>
                <w:rFonts w:ascii="Arial" w:hAnsi="Arial" w:cs="Arial"/>
                <w:sz w:val="16"/>
                <w:szCs w:val="16"/>
                <w:lang w:bidi="th-TH"/>
              </w:rPr>
              <w:t>Program 30</w:t>
            </w:r>
          </w:p>
        </w:tc>
      </w:tr>
      <w:tr w:rsidR="00C9789B" w:rsidRPr="00AF5E7C" w14:paraId="4ED27808" w14:textId="77777777" w:rsidTr="00357038">
        <w:trPr>
          <w:cantSplit/>
          <w:trHeight w:val="418"/>
        </w:trPr>
        <w:tc>
          <w:tcPr>
            <w:tcW w:w="1768" w:type="pct"/>
            <w:shd w:val="clear" w:color="auto" w:fill="auto"/>
            <w:tcMar>
              <w:top w:w="85" w:type="dxa"/>
              <w:bottom w:w="28" w:type="dxa"/>
            </w:tcMar>
          </w:tcPr>
          <w:p w14:paraId="44158356" w14:textId="77777777" w:rsidR="00C9789B" w:rsidRPr="00DD2110" w:rsidRDefault="00C9789B" w:rsidP="005A1F7F">
            <w:pPr>
              <w:keepNext/>
              <w:keepLines/>
              <w:rPr>
                <w:rFonts w:ascii="Arial" w:hAnsi="Arial" w:cs="Arial"/>
                <w:sz w:val="16"/>
                <w:szCs w:val="16"/>
                <w:highlight w:val="yellow"/>
              </w:rPr>
            </w:pPr>
          </w:p>
        </w:tc>
        <w:tc>
          <w:tcPr>
            <w:tcW w:w="1708" w:type="pct"/>
            <w:tcBorders>
              <w:top w:val="nil"/>
              <w:bottom w:val="single" w:sz="4" w:space="0" w:color="auto"/>
            </w:tcBorders>
            <w:shd w:val="clear" w:color="auto" w:fill="auto"/>
            <w:tcMar>
              <w:top w:w="85" w:type="dxa"/>
              <w:bottom w:w="28" w:type="dxa"/>
            </w:tcMar>
          </w:tcPr>
          <w:p w14:paraId="085C65FE" w14:textId="77777777" w:rsidR="00C9789B" w:rsidRDefault="00C9789B" w:rsidP="005A1F7F">
            <w:pPr>
              <w:keepNext/>
              <w:keepLines/>
              <w:rPr>
                <w:rFonts w:ascii="Arial" w:hAnsi="Arial" w:cs="Arial"/>
                <w:color w:val="000000"/>
                <w:sz w:val="16"/>
                <w:szCs w:val="16"/>
              </w:rPr>
            </w:pPr>
            <w:r>
              <w:rPr>
                <w:rFonts w:ascii="Arial" w:hAnsi="Arial" w:cs="Arial"/>
                <w:color w:val="000000"/>
                <w:sz w:val="16"/>
                <w:szCs w:val="16"/>
              </w:rPr>
              <w:t>No. of countries having established or improved IP training programs for SMEs</w:t>
            </w:r>
          </w:p>
          <w:p w14:paraId="5BC17C64" w14:textId="77777777" w:rsidR="00C9789B" w:rsidRDefault="00C9789B" w:rsidP="005A1F7F">
            <w:pPr>
              <w:keepNext/>
              <w:keepLines/>
              <w:rPr>
                <w:rFonts w:ascii="Arial" w:hAnsi="Arial" w:cs="Arial"/>
                <w:color w:val="000000"/>
                <w:sz w:val="16"/>
                <w:szCs w:val="16"/>
              </w:rPr>
            </w:pPr>
          </w:p>
        </w:tc>
        <w:tc>
          <w:tcPr>
            <w:tcW w:w="1524" w:type="pct"/>
            <w:tcBorders>
              <w:top w:val="nil"/>
              <w:bottom w:val="single" w:sz="4" w:space="0" w:color="auto"/>
              <w:right w:val="single" w:sz="4" w:space="0" w:color="auto"/>
            </w:tcBorders>
            <w:shd w:val="clear" w:color="auto" w:fill="FFFFFF"/>
            <w:tcMar>
              <w:top w:w="85" w:type="dxa"/>
              <w:bottom w:w="28" w:type="dxa"/>
            </w:tcMar>
          </w:tcPr>
          <w:p w14:paraId="28CDEE3B" w14:textId="77777777" w:rsidR="00C9789B" w:rsidRPr="00C34EC3" w:rsidRDefault="00C9789B" w:rsidP="005A1F7F">
            <w:pPr>
              <w:ind w:left="551"/>
              <w:rPr>
                <w:rFonts w:ascii="Arial" w:hAnsi="Arial" w:cs="Arial"/>
                <w:sz w:val="16"/>
                <w:szCs w:val="16"/>
                <w:lang w:bidi="th-TH"/>
              </w:rPr>
            </w:pPr>
            <w:r w:rsidRPr="00C34EC3">
              <w:rPr>
                <w:rFonts w:ascii="Arial" w:hAnsi="Arial" w:cs="Arial"/>
                <w:sz w:val="16"/>
                <w:szCs w:val="16"/>
                <w:lang w:bidi="th-TH"/>
              </w:rPr>
              <w:t>Program 30</w:t>
            </w:r>
          </w:p>
          <w:p w14:paraId="7F392878" w14:textId="77777777" w:rsidR="00C9789B" w:rsidRPr="00C34EC3" w:rsidRDefault="00C9789B" w:rsidP="005A1F7F">
            <w:pPr>
              <w:ind w:left="551"/>
              <w:rPr>
                <w:rFonts w:ascii="Arial" w:hAnsi="Arial" w:cs="Arial"/>
                <w:sz w:val="16"/>
                <w:szCs w:val="16"/>
                <w:lang w:bidi="th-TH"/>
              </w:rPr>
            </w:pPr>
          </w:p>
        </w:tc>
      </w:tr>
    </w:tbl>
    <w:p w14:paraId="2D42CF21" w14:textId="7710FEE6" w:rsidR="00901665" w:rsidRDefault="00901665">
      <w:pPr>
        <w:rPr>
          <w:rFonts w:ascii="Arial" w:hAnsi="Arial" w:cs="Arial"/>
          <w:sz w:val="20"/>
          <w:szCs w:val="20"/>
        </w:rPr>
      </w:pPr>
    </w:p>
    <w:p w14:paraId="1E5E8DF4" w14:textId="45BB70C2" w:rsidR="00310671" w:rsidRPr="009B4A78" w:rsidRDefault="00310671">
      <w:pPr>
        <w:rPr>
          <w:rFonts w:ascii="Arial" w:hAnsi="Arial" w:cs="Arial"/>
          <w:sz w:val="20"/>
          <w:szCs w:val="20"/>
        </w:rPr>
      </w:pPr>
      <w:r w:rsidRPr="009B4A78">
        <w:rPr>
          <w:rFonts w:ascii="Arial" w:hAnsi="Arial" w:cs="Arial"/>
          <w:sz w:val="20"/>
          <w:szCs w:val="20"/>
        </w:rPr>
        <w:br w:type="page"/>
      </w:r>
    </w:p>
    <w:p w14:paraId="3A767FF2" w14:textId="77777777" w:rsidR="00566FDC" w:rsidRPr="009B4A78" w:rsidRDefault="00566FDC" w:rsidP="00F33E49">
      <w:pPr>
        <w:pStyle w:val="StyleHeading3ComplexItalic"/>
        <w:keepLines/>
        <w:ind w:left="1985" w:hanging="1985"/>
      </w:pPr>
      <w:bookmarkStart w:id="41" w:name="_Toc427154405"/>
      <w:r w:rsidRPr="009B4A78">
        <w:lastRenderedPageBreak/>
        <w:t>PROGRAM 8</w:t>
      </w:r>
      <w:r w:rsidRPr="009B4A78">
        <w:tab/>
        <w:t>DEVELOPMENT AGENDA COORDINATION</w:t>
      </w:r>
      <w:bookmarkEnd w:id="41"/>
    </w:p>
    <w:p w14:paraId="6F17465F" w14:textId="77777777" w:rsidR="00566FDC" w:rsidRPr="009B4A78" w:rsidRDefault="00566FDC" w:rsidP="00F33E49">
      <w:pPr>
        <w:autoSpaceDE w:val="0"/>
        <w:autoSpaceDN w:val="0"/>
        <w:adjustRightInd w:val="0"/>
        <w:rPr>
          <w:rFonts w:ascii="Arial" w:hAnsi="Arial" w:cs="Arial"/>
          <w:color w:val="000000"/>
          <w:sz w:val="20"/>
        </w:rPr>
      </w:pPr>
    </w:p>
    <w:p w14:paraId="6AF39415" w14:textId="77777777" w:rsidR="00566FDC" w:rsidRPr="009B4A78" w:rsidRDefault="00566FDC" w:rsidP="00F33E49">
      <w:pPr>
        <w:autoSpaceDE w:val="0"/>
        <w:autoSpaceDN w:val="0"/>
        <w:adjustRightInd w:val="0"/>
        <w:rPr>
          <w:rFonts w:ascii="Arial" w:hAnsi="Arial" w:cs="Arial"/>
          <w:color w:val="000000"/>
          <w:sz w:val="20"/>
        </w:rPr>
      </w:pPr>
    </w:p>
    <w:p w14:paraId="1D84E749" w14:textId="77777777" w:rsidR="00566FDC" w:rsidRPr="009B4A78" w:rsidRDefault="00566FDC" w:rsidP="00F33E49">
      <w:pPr>
        <w:autoSpaceDE w:val="0"/>
        <w:autoSpaceDN w:val="0"/>
        <w:adjustRightInd w:val="0"/>
        <w:rPr>
          <w:rFonts w:ascii="Arial" w:hAnsi="Arial" w:cs="Arial"/>
          <w:color w:val="000000"/>
        </w:rPr>
      </w:pPr>
      <w:r w:rsidRPr="009B4A78">
        <w:rPr>
          <w:rFonts w:ascii="Arial" w:hAnsi="Arial" w:cs="Arial"/>
          <w:color w:val="000000"/>
        </w:rPr>
        <w:t>PLANNING CONTEXT</w:t>
      </w:r>
    </w:p>
    <w:p w14:paraId="0EA9A687" w14:textId="77777777" w:rsidR="00566FDC" w:rsidRPr="009B4A78" w:rsidRDefault="00566FDC" w:rsidP="00F33E49">
      <w:pPr>
        <w:pStyle w:val="ListParagraph"/>
        <w:tabs>
          <w:tab w:val="left" w:pos="567"/>
        </w:tabs>
        <w:autoSpaceDE w:val="0"/>
        <w:autoSpaceDN w:val="0"/>
        <w:adjustRightInd w:val="0"/>
        <w:ind w:left="0"/>
        <w:jc w:val="both"/>
        <w:rPr>
          <w:rFonts w:ascii="Arial" w:hAnsi="Arial" w:cs="Arial"/>
          <w:color w:val="000000"/>
          <w:sz w:val="20"/>
        </w:rPr>
      </w:pPr>
    </w:p>
    <w:p w14:paraId="1D6635B4" w14:textId="5E1EFA97" w:rsidR="00566FDC" w:rsidRPr="009B4A78" w:rsidRDefault="00566FDC" w:rsidP="00B66A4A">
      <w:pPr>
        <w:pStyle w:val="ListParagraph"/>
        <w:numPr>
          <w:ilvl w:val="1"/>
          <w:numId w:val="10"/>
        </w:numPr>
        <w:tabs>
          <w:tab w:val="left" w:pos="567"/>
          <w:tab w:val="left" w:pos="709"/>
        </w:tabs>
        <w:autoSpaceDE w:val="0"/>
        <w:autoSpaceDN w:val="0"/>
        <w:adjustRightInd w:val="0"/>
        <w:jc w:val="both"/>
        <w:rPr>
          <w:rFonts w:ascii="Arial" w:hAnsi="Arial" w:cs="Arial"/>
          <w:color w:val="000000"/>
          <w:sz w:val="20"/>
          <w:szCs w:val="20"/>
        </w:rPr>
      </w:pPr>
      <w:r w:rsidRPr="009B4A78">
        <w:rPr>
          <w:rFonts w:ascii="Arial" w:hAnsi="Arial" w:cs="Arial"/>
          <w:color w:val="000000"/>
          <w:sz w:val="20"/>
          <w:szCs w:val="20"/>
        </w:rPr>
        <w:t>The increasing imprint of the DA on the Organization’s work and the corresponding needs and requests of Member States will be the driving force for the Program’s activities in the 2016/17 biennium.  Considerable progress has been made in previous biennia in the implementation of DA Recommendations, notably through the implementation of DA projects with a more mature project management methodology including systematic monitoring and evaluation of all DA projects mainstreaming of completed project activities into the Organization’s regular activities, implementation of the Coordination Mechanisms and Monitoring, Assessing and Reporting Modalities (‘Coordination Mechanism’) as approved by Member States in the form of progress and evaluation reports, undertaking of the Independent Review of the implementation of the DA Recommendations, and an increased involvement of Member States, in particular, developing countries and LDCs.</w:t>
      </w:r>
    </w:p>
    <w:p w14:paraId="7526F7C1" w14:textId="77777777" w:rsidR="00566FDC" w:rsidRPr="009B4A78" w:rsidRDefault="00566FDC" w:rsidP="00F33E49">
      <w:pPr>
        <w:pStyle w:val="ListParagraph"/>
        <w:tabs>
          <w:tab w:val="left" w:pos="567"/>
        </w:tabs>
        <w:autoSpaceDE w:val="0"/>
        <w:autoSpaceDN w:val="0"/>
        <w:adjustRightInd w:val="0"/>
        <w:ind w:left="0"/>
        <w:jc w:val="both"/>
        <w:rPr>
          <w:rFonts w:ascii="Arial" w:hAnsi="Arial" w:cs="Arial"/>
          <w:color w:val="000000"/>
          <w:sz w:val="20"/>
          <w:szCs w:val="20"/>
        </w:rPr>
      </w:pPr>
    </w:p>
    <w:p w14:paraId="72FB9E3F" w14:textId="77777777" w:rsidR="00566FDC" w:rsidRPr="009B4A78" w:rsidRDefault="00566FDC" w:rsidP="00B66A4A">
      <w:pPr>
        <w:pStyle w:val="ListParagraph"/>
        <w:numPr>
          <w:ilvl w:val="1"/>
          <w:numId w:val="10"/>
        </w:numPr>
        <w:tabs>
          <w:tab w:val="left" w:pos="567"/>
        </w:tabs>
        <w:autoSpaceDE w:val="0"/>
        <w:autoSpaceDN w:val="0"/>
        <w:adjustRightInd w:val="0"/>
        <w:jc w:val="both"/>
        <w:rPr>
          <w:rFonts w:ascii="Arial" w:hAnsi="Arial" w:cs="Arial"/>
          <w:color w:val="000000"/>
          <w:sz w:val="20"/>
          <w:szCs w:val="20"/>
        </w:rPr>
      </w:pPr>
      <w:r w:rsidRPr="009B4A78">
        <w:rPr>
          <w:rFonts w:ascii="Arial" w:hAnsi="Arial" w:cs="Arial"/>
          <w:color w:val="000000"/>
          <w:sz w:val="20"/>
          <w:szCs w:val="20"/>
        </w:rPr>
        <w:t>The continuation of the mainstreaming of the DA and the realization of its goals will continue to guide the expanding developmental landscape of the Organization’s work during the biennium.</w:t>
      </w:r>
    </w:p>
    <w:p w14:paraId="39F2CFBF" w14:textId="77777777" w:rsidR="00566FDC" w:rsidRPr="009B4A78" w:rsidRDefault="00566FDC" w:rsidP="00F33E49">
      <w:pPr>
        <w:pStyle w:val="ListParagraph"/>
        <w:tabs>
          <w:tab w:val="left" w:pos="567"/>
        </w:tabs>
        <w:jc w:val="both"/>
        <w:rPr>
          <w:rFonts w:ascii="Arial" w:hAnsi="Arial" w:cs="Arial"/>
          <w:color w:val="000000"/>
          <w:sz w:val="16"/>
          <w:szCs w:val="16"/>
        </w:rPr>
      </w:pPr>
    </w:p>
    <w:p w14:paraId="3318ABC7" w14:textId="77777777" w:rsidR="00566FDC" w:rsidRPr="009B4A78" w:rsidRDefault="00566FDC" w:rsidP="00F33E49">
      <w:pPr>
        <w:pStyle w:val="ListParagraph"/>
        <w:tabs>
          <w:tab w:val="left" w:pos="567"/>
        </w:tabs>
        <w:jc w:val="both"/>
        <w:rPr>
          <w:rFonts w:ascii="Arial" w:hAnsi="Arial" w:cs="Arial"/>
          <w:color w:val="000000"/>
          <w:sz w:val="16"/>
          <w:szCs w:val="16"/>
        </w:rPr>
      </w:pPr>
    </w:p>
    <w:p w14:paraId="5482BF84" w14:textId="77777777" w:rsidR="00566FDC" w:rsidRPr="009B4A78" w:rsidRDefault="00566FDC" w:rsidP="00F33E49">
      <w:pPr>
        <w:tabs>
          <w:tab w:val="left" w:pos="567"/>
        </w:tabs>
        <w:jc w:val="both"/>
        <w:rPr>
          <w:rFonts w:ascii="Arial" w:hAnsi="Arial" w:cs="Arial"/>
          <w:color w:val="000000"/>
        </w:rPr>
      </w:pPr>
      <w:r w:rsidRPr="009B4A78">
        <w:rPr>
          <w:rFonts w:ascii="Arial" w:hAnsi="Arial" w:cs="Arial"/>
          <w:color w:val="000000"/>
        </w:rPr>
        <w:t>IMPLEMENTATION STRATEGIES</w:t>
      </w:r>
    </w:p>
    <w:p w14:paraId="36FA1D12" w14:textId="77777777" w:rsidR="00566FDC" w:rsidRPr="009B4A78" w:rsidRDefault="00566FDC" w:rsidP="00F33E49">
      <w:pPr>
        <w:tabs>
          <w:tab w:val="left" w:pos="567"/>
        </w:tabs>
        <w:jc w:val="both"/>
        <w:rPr>
          <w:rFonts w:ascii="Arial" w:hAnsi="Arial" w:cs="Arial"/>
          <w:color w:val="000000"/>
        </w:rPr>
      </w:pPr>
    </w:p>
    <w:p w14:paraId="343A0784" w14:textId="0E5319B3" w:rsidR="00566FDC" w:rsidRPr="009B4A78" w:rsidRDefault="00566FDC" w:rsidP="00B66A4A">
      <w:pPr>
        <w:pStyle w:val="ListParagraph"/>
        <w:numPr>
          <w:ilvl w:val="1"/>
          <w:numId w:val="10"/>
        </w:numPr>
        <w:tabs>
          <w:tab w:val="left" w:pos="567"/>
        </w:tabs>
        <w:autoSpaceDE w:val="0"/>
        <w:autoSpaceDN w:val="0"/>
        <w:adjustRightInd w:val="0"/>
        <w:jc w:val="both"/>
        <w:rPr>
          <w:rFonts w:ascii="Arial" w:hAnsi="Arial" w:cs="Arial"/>
          <w:color w:val="000000"/>
          <w:sz w:val="20"/>
          <w:szCs w:val="20"/>
        </w:rPr>
      </w:pPr>
      <w:r w:rsidRPr="009B4A78">
        <w:rPr>
          <w:rFonts w:ascii="Arial" w:hAnsi="Arial" w:cs="Arial"/>
          <w:color w:val="000000"/>
          <w:sz w:val="20"/>
          <w:szCs w:val="20"/>
        </w:rPr>
        <w:t xml:space="preserve">The Program will continue to ensure that DA Recommendations and principles are mainstreamed in an appropriate, responsive and sustainable manner throughout the Organization’s development-related work.  To this end, it will continue to coordinate and facilitate the work of other programs in the implementation of the DA Recommendations.  The Program will facilitate the implementation of the decisions of the WIPO General Assembly and the Committee on Development and Intellectual Property (CDIP) through active coordination across all WIPO sectors, and by working collaboratively and proactively with Member States.  In this regard, the Program will support new projects and activities proposed by Member States and their implementation by the concerned Programs in the Organization.  </w:t>
      </w:r>
    </w:p>
    <w:p w14:paraId="313F33D6" w14:textId="77777777" w:rsidR="00566FDC" w:rsidRPr="009B4A78" w:rsidRDefault="00566FDC" w:rsidP="00F33E49">
      <w:pPr>
        <w:tabs>
          <w:tab w:val="left" w:pos="567"/>
        </w:tabs>
        <w:autoSpaceDE w:val="0"/>
        <w:autoSpaceDN w:val="0"/>
        <w:adjustRightInd w:val="0"/>
        <w:jc w:val="both"/>
        <w:rPr>
          <w:rFonts w:ascii="Arial" w:hAnsi="Arial" w:cs="Arial"/>
          <w:color w:val="000000"/>
          <w:sz w:val="20"/>
          <w:szCs w:val="20"/>
        </w:rPr>
      </w:pPr>
    </w:p>
    <w:p w14:paraId="60B46D42" w14:textId="0BA8E6D8" w:rsidR="00566FDC" w:rsidRPr="009B4A78" w:rsidRDefault="00566FDC" w:rsidP="00B66A4A">
      <w:pPr>
        <w:pStyle w:val="ListParagraph"/>
        <w:numPr>
          <w:ilvl w:val="1"/>
          <w:numId w:val="10"/>
        </w:numPr>
        <w:tabs>
          <w:tab w:val="left" w:pos="567"/>
        </w:tabs>
        <w:autoSpaceDE w:val="0"/>
        <w:autoSpaceDN w:val="0"/>
        <w:adjustRightInd w:val="0"/>
        <w:jc w:val="both"/>
        <w:rPr>
          <w:rFonts w:ascii="Arial" w:hAnsi="Arial" w:cs="Arial"/>
          <w:color w:val="000000"/>
          <w:sz w:val="20"/>
          <w:szCs w:val="20"/>
        </w:rPr>
      </w:pPr>
      <w:r w:rsidRPr="009B4A78">
        <w:rPr>
          <w:rFonts w:ascii="Arial" w:hAnsi="Arial" w:cs="Arial"/>
          <w:color w:val="000000"/>
          <w:sz w:val="20"/>
          <w:szCs w:val="20"/>
        </w:rPr>
        <w:t>The work of the CDIP will continue to be supported, in particular, through facilitating negotiation processes among Member States; developing strategies for the implementation of DA Recommendations; coordinating the management and effective implementation, monitoring, evaluation and reporting of DA projects and mainstreamed DA-related activities; implementing recommendations and activities arising from the Independent Review; and supporting the dissemination of information and awareness raising on DA-related matters.  DA projects, including subsequent phases of ongoing projects approved by the CDIP will continue to be fully funded in accordance with the Budgetary Process Applied to Projects, contained in document A/48/5/Rev., as approved by Member States in 2010.</w:t>
      </w:r>
    </w:p>
    <w:p w14:paraId="04D078FD" w14:textId="77777777" w:rsidR="00566FDC" w:rsidRPr="009B4A78" w:rsidRDefault="00566FDC" w:rsidP="00F33E49">
      <w:pPr>
        <w:tabs>
          <w:tab w:val="left" w:pos="567"/>
        </w:tabs>
        <w:autoSpaceDE w:val="0"/>
        <w:autoSpaceDN w:val="0"/>
        <w:adjustRightInd w:val="0"/>
        <w:jc w:val="both"/>
        <w:rPr>
          <w:rFonts w:ascii="Arial" w:hAnsi="Arial" w:cs="Arial"/>
          <w:color w:val="000000"/>
          <w:sz w:val="20"/>
          <w:szCs w:val="20"/>
        </w:rPr>
      </w:pPr>
    </w:p>
    <w:p w14:paraId="4CBE26A0" w14:textId="4D7F5648" w:rsidR="00566FDC" w:rsidRPr="009B4A78" w:rsidRDefault="00566FDC" w:rsidP="00B66A4A">
      <w:pPr>
        <w:pStyle w:val="ListParagraph"/>
        <w:numPr>
          <w:ilvl w:val="1"/>
          <w:numId w:val="10"/>
        </w:numPr>
        <w:tabs>
          <w:tab w:val="left" w:pos="567"/>
        </w:tabs>
        <w:autoSpaceDE w:val="0"/>
        <w:autoSpaceDN w:val="0"/>
        <w:adjustRightInd w:val="0"/>
        <w:jc w:val="both"/>
        <w:rPr>
          <w:rFonts w:ascii="Arial" w:hAnsi="Arial" w:cs="Arial"/>
          <w:color w:val="000000"/>
          <w:sz w:val="20"/>
          <w:szCs w:val="20"/>
        </w:rPr>
      </w:pPr>
      <w:r w:rsidRPr="009B4A78">
        <w:rPr>
          <w:rFonts w:ascii="Arial" w:hAnsi="Arial" w:cs="Arial"/>
          <w:color w:val="000000"/>
          <w:sz w:val="20"/>
          <w:szCs w:val="20"/>
        </w:rPr>
        <w:t xml:space="preserve">The biennium 2016/17 will see the organization of an International Conference on IP and Development. In addition, the Program will continue to facilitate the discussion and implementation of any new activities related to IP and development as requested by the CDIP and the WIPO General Assembly. </w:t>
      </w:r>
    </w:p>
    <w:p w14:paraId="35DCA21D" w14:textId="77777777" w:rsidR="00566FDC" w:rsidRPr="009B4A78" w:rsidRDefault="00566FDC" w:rsidP="00F33E49">
      <w:pPr>
        <w:tabs>
          <w:tab w:val="left" w:pos="567"/>
        </w:tabs>
        <w:autoSpaceDE w:val="0"/>
        <w:autoSpaceDN w:val="0"/>
        <w:adjustRightInd w:val="0"/>
        <w:jc w:val="both"/>
        <w:rPr>
          <w:rFonts w:ascii="Arial" w:hAnsi="Arial" w:cs="Arial"/>
          <w:color w:val="000000"/>
        </w:rPr>
      </w:pPr>
    </w:p>
    <w:p w14:paraId="6C441224" w14:textId="77777777" w:rsidR="00566FDC" w:rsidRPr="009B4A78" w:rsidRDefault="00566FDC" w:rsidP="00F33E49">
      <w:pPr>
        <w:tabs>
          <w:tab w:val="left" w:pos="567"/>
        </w:tabs>
        <w:autoSpaceDE w:val="0"/>
        <w:autoSpaceDN w:val="0"/>
        <w:adjustRightInd w:val="0"/>
        <w:jc w:val="both"/>
        <w:rPr>
          <w:rFonts w:ascii="Arial" w:hAnsi="Arial" w:cs="Arial"/>
          <w:color w:val="000000"/>
        </w:rPr>
      </w:pPr>
    </w:p>
    <w:p w14:paraId="0A78E698" w14:textId="77777777" w:rsidR="00566FDC" w:rsidRPr="009B4A78" w:rsidRDefault="00566FDC" w:rsidP="00F33E49">
      <w:pPr>
        <w:rPr>
          <w:rFonts w:ascii="Arial" w:hAnsi="Arial" w:cs="Arial"/>
        </w:rPr>
      </w:pPr>
      <w:r w:rsidRPr="009B4A78">
        <w:rPr>
          <w:rFonts w:ascii="Arial" w:hAnsi="Arial" w:cs="Arial"/>
        </w:rPr>
        <w:t>MAJOR RISKS AND MITIGATION STRATEGIES</w:t>
      </w:r>
    </w:p>
    <w:p w14:paraId="5B32FDE7" w14:textId="77777777" w:rsidR="00566FDC" w:rsidRPr="009B4A78" w:rsidRDefault="00566FDC" w:rsidP="00F33E49">
      <w:pPr>
        <w:autoSpaceDE w:val="0"/>
        <w:autoSpaceDN w:val="0"/>
        <w:adjustRightInd w:val="0"/>
        <w:rPr>
          <w:rFonts w:ascii="Arial" w:eastAsia="Times New Roman" w:hAnsi="Arial" w:cs="Aria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566FDC" w:rsidRPr="009B4A78" w14:paraId="24C059E1" w14:textId="77777777" w:rsidTr="00FB68E0">
        <w:trPr>
          <w:trHeight w:val="577"/>
        </w:trPr>
        <w:tc>
          <w:tcPr>
            <w:tcW w:w="4111" w:type="dxa"/>
            <w:tcBorders>
              <w:top w:val="single" w:sz="4" w:space="0" w:color="auto"/>
              <w:bottom w:val="single" w:sz="4" w:space="0" w:color="auto"/>
            </w:tcBorders>
            <w:shd w:val="clear" w:color="auto" w:fill="C6D9F1" w:themeFill="text2" w:themeFillTint="33"/>
            <w:vAlign w:val="center"/>
          </w:tcPr>
          <w:p w14:paraId="4E4378F5" w14:textId="77777777" w:rsidR="00566FDC" w:rsidRPr="009B4A78" w:rsidRDefault="00566FDC" w:rsidP="00F33E49">
            <w:pPr>
              <w:jc w:val="center"/>
              <w:rPr>
                <w:rFonts w:ascii="Arial" w:eastAsia="Times New Roman" w:hAnsi="Arial" w:cs="Arial"/>
                <w:b/>
                <w:bCs/>
                <w:sz w:val="18"/>
                <w:szCs w:val="18"/>
              </w:rPr>
            </w:pPr>
            <w:r w:rsidRPr="009B4A78">
              <w:rPr>
                <w:rFonts w:ascii="Arial" w:eastAsia="Times New Roman"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0D843A61" w14:textId="77777777" w:rsidR="00566FDC" w:rsidRPr="009B4A78" w:rsidRDefault="00566FDC" w:rsidP="00F33E49">
            <w:pPr>
              <w:jc w:val="center"/>
              <w:rPr>
                <w:rFonts w:ascii="Arial" w:eastAsia="Times New Roman" w:hAnsi="Arial" w:cs="Arial"/>
                <w:b/>
                <w:bCs/>
                <w:sz w:val="18"/>
                <w:szCs w:val="18"/>
              </w:rPr>
            </w:pPr>
            <w:r w:rsidRPr="009B4A78">
              <w:rPr>
                <w:rFonts w:ascii="Arial" w:eastAsia="Times New Roman" w:hAnsi="Arial" w:cs="Arial"/>
                <w:b/>
                <w:bCs/>
                <w:sz w:val="18"/>
                <w:szCs w:val="18"/>
              </w:rPr>
              <w:t>Mitigation</w:t>
            </w:r>
          </w:p>
        </w:tc>
      </w:tr>
      <w:tr w:rsidR="00566FDC" w:rsidRPr="009B4A78" w14:paraId="2BAD6B64" w14:textId="77777777" w:rsidTr="00F33E49">
        <w:trPr>
          <w:trHeight w:val="507"/>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0244E0E3" w14:textId="77777777" w:rsidR="00566FDC" w:rsidRPr="009B4A78" w:rsidRDefault="00566FDC" w:rsidP="00F33E49">
            <w:pPr>
              <w:rPr>
                <w:rFonts w:ascii="Arial" w:eastAsia="Times New Roman" w:hAnsi="Arial" w:cs="Arial"/>
                <w:sz w:val="16"/>
                <w:szCs w:val="16"/>
              </w:rPr>
            </w:pPr>
            <w:r w:rsidRPr="009B4A78">
              <w:rPr>
                <w:rFonts w:ascii="Arial" w:eastAsia="Times New Roman" w:hAnsi="Arial" w:cs="Arial"/>
                <w:color w:val="000000"/>
                <w:sz w:val="16"/>
                <w:szCs w:val="20"/>
              </w:rPr>
              <w:t>Divergent Member States' views regarding the mainstreaming of DA recommendations in the work of WIPO</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27741745" w14:textId="77777777" w:rsidR="00566FDC" w:rsidRPr="009B4A78" w:rsidRDefault="00566FDC" w:rsidP="00F33E49">
            <w:pPr>
              <w:rPr>
                <w:rFonts w:ascii="Arial" w:eastAsia="Times New Roman" w:hAnsi="Arial" w:cs="Arial"/>
                <w:sz w:val="16"/>
                <w:szCs w:val="16"/>
              </w:rPr>
            </w:pPr>
            <w:r w:rsidRPr="009B4A78">
              <w:rPr>
                <w:rFonts w:ascii="Arial" w:eastAsia="Times New Roman" w:hAnsi="Arial" w:cs="Arial"/>
                <w:sz w:val="16"/>
                <w:szCs w:val="16"/>
              </w:rPr>
              <w:t xml:space="preserve">Engage in regular consultations with Member States aiming at facilitating the convergence of Member State views on the </w:t>
            </w:r>
            <w:r w:rsidRPr="009B4A78">
              <w:rPr>
                <w:rFonts w:ascii="Arial" w:eastAsia="Times New Roman" w:hAnsi="Arial" w:cs="Arial"/>
                <w:color w:val="000000"/>
                <w:sz w:val="16"/>
                <w:szCs w:val="20"/>
              </w:rPr>
              <w:t>mainstreaming of DA recommendations</w:t>
            </w:r>
            <w:r w:rsidRPr="009B4A78">
              <w:rPr>
                <w:rFonts w:ascii="Arial" w:eastAsia="Times New Roman" w:hAnsi="Arial" w:cs="Arial"/>
                <w:sz w:val="16"/>
                <w:szCs w:val="16"/>
              </w:rPr>
              <w:t>.</w:t>
            </w:r>
          </w:p>
        </w:tc>
      </w:tr>
    </w:tbl>
    <w:p w14:paraId="36FDA416" w14:textId="77777777" w:rsidR="00566FDC" w:rsidRPr="009B4A78" w:rsidRDefault="00566FDC" w:rsidP="00F33E49">
      <w:pPr>
        <w:rPr>
          <w:rFonts w:ascii="Arial" w:eastAsia="Times New Roman" w:hAnsi="Arial" w:cs="Arial"/>
        </w:rPr>
      </w:pPr>
    </w:p>
    <w:p w14:paraId="3B8CA1C8" w14:textId="77777777" w:rsidR="00566FDC" w:rsidRPr="009B4A78" w:rsidRDefault="00566FDC" w:rsidP="00F33E49">
      <w:pPr>
        <w:rPr>
          <w:rFonts w:ascii="Arial" w:eastAsia="Times New Roman" w:hAnsi="Arial" w:cs="Arial"/>
        </w:rPr>
      </w:pPr>
    </w:p>
    <w:p w14:paraId="1D273B91" w14:textId="77777777" w:rsidR="00566FDC" w:rsidRPr="009B4A78" w:rsidRDefault="00566FDC" w:rsidP="001B7766">
      <w:pPr>
        <w:keepNext/>
        <w:keepLines/>
        <w:rPr>
          <w:rFonts w:ascii="Arial" w:eastAsia="Times New Roman" w:hAnsi="Arial" w:cs="Arial"/>
        </w:rPr>
      </w:pPr>
      <w:r w:rsidRPr="009B4A78">
        <w:rPr>
          <w:rFonts w:ascii="Arial" w:eastAsia="Times New Roman" w:hAnsi="Arial" w:cs="Arial"/>
        </w:rPr>
        <w:lastRenderedPageBreak/>
        <w:t>RESULTS FRAMEWORK</w:t>
      </w:r>
    </w:p>
    <w:p w14:paraId="0524EF37" w14:textId="77777777" w:rsidR="00566FDC" w:rsidRPr="009B4A78" w:rsidRDefault="00566FDC" w:rsidP="001B7766">
      <w:pPr>
        <w:keepNext/>
        <w:keepLines/>
        <w:rPr>
          <w:rFonts w:ascii="Arial" w:eastAsia="Times New Roman" w:hAnsi="Arial" w:cs="Arial"/>
        </w:rPr>
      </w:pPr>
    </w:p>
    <w:tbl>
      <w:tblPr>
        <w:tblW w:w="9483" w:type="dxa"/>
        <w:tblInd w:w="93" w:type="dxa"/>
        <w:tblLook w:val="04A0" w:firstRow="1" w:lastRow="0" w:firstColumn="1" w:lastColumn="0" w:noHBand="0" w:noVBand="1"/>
      </w:tblPr>
      <w:tblGrid>
        <w:gridCol w:w="2440"/>
        <w:gridCol w:w="2580"/>
        <w:gridCol w:w="1920"/>
        <w:gridCol w:w="2543"/>
      </w:tblGrid>
      <w:tr w:rsidR="00566FDC" w:rsidRPr="009B4A78" w14:paraId="12AC5291" w14:textId="77777777" w:rsidTr="00FB68E0">
        <w:trPr>
          <w:trHeight w:val="615"/>
        </w:trPr>
        <w:tc>
          <w:tcPr>
            <w:tcW w:w="244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74F9B3AB" w14:textId="77777777" w:rsidR="00566FDC" w:rsidRPr="009B4A78" w:rsidRDefault="00566FDC"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Expected Results</w:t>
            </w:r>
          </w:p>
        </w:tc>
        <w:tc>
          <w:tcPr>
            <w:tcW w:w="2580" w:type="dxa"/>
            <w:tcBorders>
              <w:top w:val="single" w:sz="4" w:space="0" w:color="auto"/>
              <w:left w:val="nil"/>
              <w:bottom w:val="single" w:sz="4" w:space="0" w:color="auto"/>
              <w:right w:val="nil"/>
            </w:tcBorders>
            <w:shd w:val="clear" w:color="auto" w:fill="C6D9F1" w:themeFill="text2" w:themeFillTint="33"/>
            <w:vAlign w:val="center"/>
            <w:hideMark/>
          </w:tcPr>
          <w:p w14:paraId="2A6EAB25" w14:textId="77777777" w:rsidR="00566FDC" w:rsidRPr="009B4A78" w:rsidRDefault="00566FDC"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Performance Indicators</w:t>
            </w:r>
          </w:p>
        </w:tc>
        <w:tc>
          <w:tcPr>
            <w:tcW w:w="1920" w:type="dxa"/>
            <w:tcBorders>
              <w:top w:val="single" w:sz="4" w:space="0" w:color="auto"/>
              <w:left w:val="nil"/>
              <w:bottom w:val="single" w:sz="4" w:space="0" w:color="auto"/>
              <w:right w:val="nil"/>
            </w:tcBorders>
            <w:shd w:val="clear" w:color="auto" w:fill="C6D9F1" w:themeFill="text2" w:themeFillTint="33"/>
            <w:vAlign w:val="center"/>
            <w:hideMark/>
          </w:tcPr>
          <w:p w14:paraId="72A8863A" w14:textId="77777777" w:rsidR="00566FDC" w:rsidRPr="009B4A78" w:rsidRDefault="00566FDC"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Baselines</w:t>
            </w:r>
          </w:p>
        </w:tc>
        <w:tc>
          <w:tcPr>
            <w:tcW w:w="2543"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6324C77" w14:textId="77777777" w:rsidR="00566FDC" w:rsidRPr="009B4A78" w:rsidRDefault="00566FDC" w:rsidP="00F33E49">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Targets</w:t>
            </w:r>
          </w:p>
        </w:tc>
      </w:tr>
      <w:tr w:rsidR="00566FDC" w:rsidRPr="009B4A78" w14:paraId="7C733933" w14:textId="77777777" w:rsidTr="00FB68E0">
        <w:trPr>
          <w:trHeight w:val="1316"/>
        </w:trPr>
        <w:tc>
          <w:tcPr>
            <w:tcW w:w="2440" w:type="dxa"/>
            <w:tcBorders>
              <w:top w:val="nil"/>
              <w:left w:val="single" w:sz="4" w:space="0" w:color="auto"/>
              <w:bottom w:val="nil"/>
              <w:right w:val="nil"/>
            </w:tcBorders>
            <w:shd w:val="clear" w:color="000000" w:fill="FFFFFF"/>
            <w:hideMark/>
          </w:tcPr>
          <w:p w14:paraId="77E83646" w14:textId="77777777" w:rsidR="00566FDC" w:rsidRPr="009B4A78" w:rsidRDefault="00566FD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br/>
              <w:t>III.3 Mainstreaming of the DA recommendations in the work of WIPO</w:t>
            </w:r>
          </w:p>
        </w:tc>
        <w:tc>
          <w:tcPr>
            <w:tcW w:w="2580" w:type="dxa"/>
            <w:tcBorders>
              <w:top w:val="nil"/>
              <w:left w:val="nil"/>
              <w:bottom w:val="nil"/>
              <w:right w:val="nil"/>
            </w:tcBorders>
            <w:shd w:val="clear" w:color="000000" w:fill="FFFFFF"/>
            <w:hideMark/>
          </w:tcPr>
          <w:p w14:paraId="22772513" w14:textId="77777777" w:rsidR="00566FDC" w:rsidRPr="009B4A78" w:rsidRDefault="00566FDC" w:rsidP="00F33E49">
            <w:pPr>
              <w:ind w:left="161" w:firstLineChars="99" w:firstLine="158"/>
              <w:rPr>
                <w:rFonts w:ascii="Arial" w:eastAsia="Times New Roman" w:hAnsi="Arial" w:cs="Arial"/>
                <w:color w:val="000000"/>
                <w:sz w:val="16"/>
                <w:szCs w:val="16"/>
              </w:rPr>
            </w:pPr>
            <w:r w:rsidRPr="009B4A78">
              <w:rPr>
                <w:rFonts w:ascii="Arial" w:eastAsia="Times New Roman" w:hAnsi="Arial" w:cs="Arial"/>
                <w:color w:val="000000"/>
                <w:sz w:val="16"/>
                <w:szCs w:val="16"/>
              </w:rPr>
              <w:br/>
              <w:t>Development principles included in the DA recommendations effectively integrated in the work of WIPO programs</w:t>
            </w:r>
          </w:p>
        </w:tc>
        <w:tc>
          <w:tcPr>
            <w:tcW w:w="1920" w:type="dxa"/>
            <w:tcBorders>
              <w:top w:val="nil"/>
              <w:left w:val="nil"/>
              <w:bottom w:val="nil"/>
              <w:right w:val="nil"/>
            </w:tcBorders>
            <w:shd w:val="clear" w:color="000000" w:fill="FFFFFF"/>
            <w:hideMark/>
          </w:tcPr>
          <w:p w14:paraId="4FD6174D" w14:textId="77777777" w:rsidR="00566FDC" w:rsidRPr="009B4A78" w:rsidRDefault="00566FDC" w:rsidP="00F33E49">
            <w:pPr>
              <w:ind w:left="274"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br/>
              <w:t>n/a (new PI)</w:t>
            </w:r>
          </w:p>
        </w:tc>
        <w:tc>
          <w:tcPr>
            <w:tcW w:w="2543" w:type="dxa"/>
            <w:tcBorders>
              <w:top w:val="nil"/>
              <w:left w:val="nil"/>
              <w:bottom w:val="nil"/>
              <w:right w:val="single" w:sz="4" w:space="0" w:color="auto"/>
            </w:tcBorders>
            <w:shd w:val="clear" w:color="000000" w:fill="FFFFFF"/>
            <w:hideMark/>
          </w:tcPr>
          <w:p w14:paraId="6348D729" w14:textId="77777777" w:rsidR="00566FDC" w:rsidRPr="009B4A78" w:rsidRDefault="00566FDC" w:rsidP="00F33E49">
            <w:pPr>
              <w:ind w:left="197" w:firstLineChars="76" w:firstLine="122"/>
              <w:rPr>
                <w:rFonts w:ascii="Arial" w:eastAsia="Times New Roman" w:hAnsi="Arial" w:cs="Arial"/>
                <w:color w:val="000000"/>
                <w:sz w:val="16"/>
                <w:szCs w:val="16"/>
              </w:rPr>
            </w:pPr>
            <w:r w:rsidRPr="009B4A78">
              <w:rPr>
                <w:rFonts w:ascii="Arial" w:eastAsia="Times New Roman" w:hAnsi="Arial" w:cs="Arial"/>
                <w:color w:val="000000"/>
                <w:sz w:val="16"/>
                <w:szCs w:val="16"/>
              </w:rPr>
              <w:br/>
              <w:t>Enhanced mainstreaming of principles included in the 45 DA recommendations into WIPO's programs</w:t>
            </w:r>
          </w:p>
        </w:tc>
      </w:tr>
      <w:tr w:rsidR="00566FDC" w:rsidRPr="009B4A78" w14:paraId="77FCDCAD" w14:textId="77777777" w:rsidTr="00FB68E0">
        <w:trPr>
          <w:trHeight w:val="1130"/>
        </w:trPr>
        <w:tc>
          <w:tcPr>
            <w:tcW w:w="2440" w:type="dxa"/>
            <w:tcBorders>
              <w:top w:val="nil"/>
              <w:left w:val="single" w:sz="4" w:space="0" w:color="auto"/>
              <w:bottom w:val="nil"/>
              <w:right w:val="nil"/>
            </w:tcBorders>
            <w:shd w:val="clear" w:color="000000" w:fill="FFFFFF"/>
            <w:hideMark/>
          </w:tcPr>
          <w:p w14:paraId="6B665CA6" w14:textId="77777777" w:rsidR="00566FDC" w:rsidRPr="009B4A78" w:rsidRDefault="00566FD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80" w:type="dxa"/>
            <w:tcBorders>
              <w:top w:val="nil"/>
              <w:left w:val="nil"/>
              <w:bottom w:val="nil"/>
              <w:right w:val="nil"/>
            </w:tcBorders>
            <w:shd w:val="clear" w:color="000000" w:fill="FFFFFF"/>
            <w:hideMark/>
          </w:tcPr>
          <w:p w14:paraId="50FD4790" w14:textId="77777777" w:rsidR="00566FDC" w:rsidRPr="009B4A78" w:rsidRDefault="00566FDC" w:rsidP="00F33E49">
            <w:pPr>
              <w:ind w:left="161"/>
              <w:rPr>
                <w:rFonts w:ascii="Arial" w:eastAsia="Times New Roman" w:hAnsi="Arial" w:cs="Arial"/>
                <w:color w:val="000000"/>
                <w:sz w:val="16"/>
                <w:szCs w:val="16"/>
              </w:rPr>
            </w:pPr>
            <w:r w:rsidRPr="009B4A78">
              <w:rPr>
                <w:rFonts w:ascii="Arial" w:eastAsia="Times New Roman" w:hAnsi="Arial" w:cs="Arial"/>
                <w:color w:val="000000"/>
                <w:sz w:val="16"/>
                <w:szCs w:val="16"/>
              </w:rPr>
              <w:t>Effective follow up to the implementation of the recommendations of the Independent Review of the DA</w:t>
            </w:r>
          </w:p>
        </w:tc>
        <w:tc>
          <w:tcPr>
            <w:tcW w:w="1920" w:type="dxa"/>
            <w:tcBorders>
              <w:top w:val="nil"/>
              <w:left w:val="nil"/>
              <w:bottom w:val="nil"/>
              <w:right w:val="nil"/>
            </w:tcBorders>
            <w:shd w:val="clear" w:color="000000" w:fill="FFFFFF"/>
            <w:hideMark/>
          </w:tcPr>
          <w:p w14:paraId="1FAF3183" w14:textId="77777777" w:rsidR="00566FDC" w:rsidRPr="009B4A78" w:rsidRDefault="00566FDC" w:rsidP="00F33E49">
            <w:pPr>
              <w:ind w:left="274"/>
              <w:rPr>
                <w:rFonts w:ascii="Arial" w:eastAsia="Times New Roman" w:hAnsi="Arial" w:cs="Arial"/>
                <w:color w:val="000000"/>
                <w:sz w:val="16"/>
                <w:szCs w:val="16"/>
              </w:rPr>
            </w:pPr>
            <w:r w:rsidRPr="009B4A78">
              <w:rPr>
                <w:rFonts w:ascii="Arial" w:eastAsia="Times New Roman" w:hAnsi="Arial" w:cs="Arial"/>
                <w:color w:val="000000"/>
                <w:sz w:val="16"/>
                <w:szCs w:val="16"/>
              </w:rPr>
              <w:t>n/a (new PI)</w:t>
            </w:r>
          </w:p>
        </w:tc>
        <w:tc>
          <w:tcPr>
            <w:tcW w:w="2543" w:type="dxa"/>
            <w:tcBorders>
              <w:top w:val="nil"/>
              <w:left w:val="nil"/>
              <w:bottom w:val="nil"/>
              <w:right w:val="single" w:sz="4" w:space="0" w:color="auto"/>
            </w:tcBorders>
            <w:shd w:val="clear" w:color="000000" w:fill="FFFFFF"/>
            <w:hideMark/>
          </w:tcPr>
          <w:p w14:paraId="1F0B2C09" w14:textId="77777777" w:rsidR="00566FDC" w:rsidRPr="009B4A78" w:rsidRDefault="00566FDC" w:rsidP="00F33E49">
            <w:pPr>
              <w:ind w:left="197"/>
              <w:rPr>
                <w:rFonts w:ascii="Arial" w:eastAsia="Times New Roman" w:hAnsi="Arial" w:cs="Arial"/>
                <w:color w:val="000000"/>
                <w:sz w:val="16"/>
                <w:szCs w:val="16"/>
              </w:rPr>
            </w:pPr>
            <w:r w:rsidRPr="009B4A78">
              <w:rPr>
                <w:rFonts w:ascii="Arial" w:eastAsia="Times New Roman" w:hAnsi="Arial" w:cs="Arial"/>
                <w:color w:val="000000"/>
                <w:sz w:val="16"/>
                <w:szCs w:val="16"/>
              </w:rPr>
              <w:t>WIPO has in place an effective system to monitor the implementation of the recommendations emanating from the review</w:t>
            </w:r>
          </w:p>
          <w:p w14:paraId="0AA506A7" w14:textId="77777777" w:rsidR="00566FDC" w:rsidRPr="009B4A78" w:rsidRDefault="00566FDC" w:rsidP="00F33E49">
            <w:pPr>
              <w:ind w:left="197"/>
              <w:rPr>
                <w:rFonts w:ascii="Arial" w:eastAsia="Times New Roman" w:hAnsi="Arial" w:cs="Arial"/>
                <w:color w:val="000000"/>
                <w:sz w:val="16"/>
                <w:szCs w:val="16"/>
              </w:rPr>
            </w:pPr>
          </w:p>
        </w:tc>
      </w:tr>
      <w:tr w:rsidR="00566FDC" w:rsidRPr="009B4A78" w14:paraId="6E96C398" w14:textId="77777777" w:rsidTr="00FB68E0">
        <w:trPr>
          <w:trHeight w:val="1557"/>
        </w:trPr>
        <w:tc>
          <w:tcPr>
            <w:tcW w:w="2440" w:type="dxa"/>
            <w:tcBorders>
              <w:top w:val="nil"/>
              <w:left w:val="single" w:sz="4" w:space="0" w:color="auto"/>
              <w:bottom w:val="nil"/>
              <w:right w:val="nil"/>
            </w:tcBorders>
            <w:shd w:val="clear" w:color="000000" w:fill="FFFFFF"/>
            <w:hideMark/>
          </w:tcPr>
          <w:p w14:paraId="3AAAD8E7" w14:textId="77777777" w:rsidR="00566FDC" w:rsidRPr="009B4A78" w:rsidRDefault="00566FD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80" w:type="dxa"/>
            <w:tcBorders>
              <w:top w:val="nil"/>
              <w:left w:val="nil"/>
              <w:bottom w:val="nil"/>
              <w:right w:val="nil"/>
            </w:tcBorders>
            <w:shd w:val="clear" w:color="000000" w:fill="FFFFFF"/>
            <w:hideMark/>
          </w:tcPr>
          <w:p w14:paraId="474FD9BA" w14:textId="22CA3398" w:rsidR="00566FDC" w:rsidRPr="009B4A78" w:rsidRDefault="00566FDC">
            <w:pPr>
              <w:ind w:left="161"/>
              <w:rPr>
                <w:rFonts w:ascii="Arial" w:eastAsia="Times New Roman" w:hAnsi="Arial" w:cs="Arial"/>
                <w:color w:val="000000"/>
                <w:sz w:val="16"/>
                <w:szCs w:val="16"/>
              </w:rPr>
            </w:pPr>
            <w:r w:rsidRPr="009B4A78">
              <w:rPr>
                <w:rFonts w:ascii="Arial" w:eastAsia="Times New Roman" w:hAnsi="Arial" w:cs="Arial"/>
                <w:color w:val="000000"/>
                <w:sz w:val="16"/>
                <w:szCs w:val="16"/>
              </w:rPr>
              <w:t>Improved mechanism for the development, implementation, monitoring</w:t>
            </w:r>
            <w:r w:rsidR="006E526F">
              <w:rPr>
                <w:rFonts w:ascii="Arial" w:eastAsia="Times New Roman" w:hAnsi="Arial" w:cs="Arial"/>
                <w:color w:val="000000"/>
                <w:sz w:val="16"/>
                <w:szCs w:val="16"/>
              </w:rPr>
              <w:t>,</w:t>
            </w:r>
            <w:r w:rsidRPr="009B4A78">
              <w:rPr>
                <w:rFonts w:ascii="Arial" w:eastAsia="Times New Roman" w:hAnsi="Arial" w:cs="Arial"/>
                <w:color w:val="000000"/>
                <w:sz w:val="16"/>
                <w:szCs w:val="16"/>
              </w:rPr>
              <w:t xml:space="preserve"> evaluation </w:t>
            </w:r>
            <w:r w:rsidR="006E526F">
              <w:rPr>
                <w:rFonts w:ascii="Arial" w:eastAsia="Times New Roman" w:hAnsi="Arial" w:cs="Arial"/>
                <w:color w:val="000000"/>
                <w:sz w:val="16"/>
                <w:szCs w:val="16"/>
              </w:rPr>
              <w:t xml:space="preserve">of and reporting on, </w:t>
            </w:r>
            <w:r w:rsidRPr="009B4A78">
              <w:rPr>
                <w:rFonts w:ascii="Arial" w:eastAsia="Times New Roman" w:hAnsi="Arial" w:cs="Arial"/>
                <w:color w:val="000000"/>
                <w:sz w:val="16"/>
                <w:szCs w:val="16"/>
              </w:rPr>
              <w:t>new DA projects and activities</w:t>
            </w:r>
          </w:p>
        </w:tc>
        <w:tc>
          <w:tcPr>
            <w:tcW w:w="1920" w:type="dxa"/>
            <w:tcBorders>
              <w:top w:val="nil"/>
              <w:left w:val="nil"/>
              <w:bottom w:val="nil"/>
              <w:right w:val="nil"/>
            </w:tcBorders>
            <w:shd w:val="clear" w:color="000000" w:fill="FFFFFF"/>
            <w:hideMark/>
          </w:tcPr>
          <w:p w14:paraId="5D609D2B" w14:textId="77777777" w:rsidR="00566FDC" w:rsidRPr="009B4A78" w:rsidRDefault="00566FDC" w:rsidP="00F33E49">
            <w:pPr>
              <w:ind w:left="274"/>
              <w:rPr>
                <w:rFonts w:ascii="Arial" w:eastAsia="Times New Roman" w:hAnsi="Arial" w:cs="Arial"/>
                <w:color w:val="000000"/>
                <w:sz w:val="16"/>
                <w:szCs w:val="16"/>
              </w:rPr>
            </w:pPr>
            <w:r w:rsidRPr="009B4A78">
              <w:rPr>
                <w:rFonts w:ascii="Arial" w:eastAsia="Times New Roman" w:hAnsi="Arial" w:cs="Arial"/>
                <w:color w:val="000000"/>
                <w:sz w:val="16"/>
                <w:szCs w:val="16"/>
              </w:rPr>
              <w:t>n/a (new PI)</w:t>
            </w:r>
          </w:p>
        </w:tc>
        <w:tc>
          <w:tcPr>
            <w:tcW w:w="2543" w:type="dxa"/>
            <w:tcBorders>
              <w:top w:val="nil"/>
              <w:left w:val="nil"/>
              <w:bottom w:val="nil"/>
              <w:right w:val="single" w:sz="4" w:space="0" w:color="auto"/>
            </w:tcBorders>
            <w:shd w:val="clear" w:color="000000" w:fill="FFFFFF"/>
            <w:hideMark/>
          </w:tcPr>
          <w:p w14:paraId="5E7A6A56" w14:textId="77777777" w:rsidR="00566FDC" w:rsidRPr="009B4A78" w:rsidRDefault="00566FDC" w:rsidP="00F33E49">
            <w:pPr>
              <w:ind w:left="197"/>
              <w:rPr>
                <w:rFonts w:ascii="Arial" w:eastAsia="Times New Roman" w:hAnsi="Arial" w:cs="Arial"/>
                <w:color w:val="000000"/>
                <w:sz w:val="16"/>
                <w:szCs w:val="16"/>
              </w:rPr>
            </w:pPr>
            <w:r w:rsidRPr="009B4A78">
              <w:rPr>
                <w:rFonts w:ascii="Arial" w:eastAsia="Times New Roman" w:hAnsi="Arial" w:cs="Arial"/>
                <w:color w:val="000000"/>
                <w:sz w:val="16"/>
                <w:szCs w:val="16"/>
              </w:rPr>
              <w:t>New mechanism that takes into account recommendations emanating from the evaluations of DA Projects discussed during the 12th, 13th, 14th and 15th sessions of the CDIP.</w:t>
            </w:r>
          </w:p>
          <w:p w14:paraId="194E5EC7" w14:textId="77777777" w:rsidR="00566FDC" w:rsidRPr="009B4A78" w:rsidRDefault="00566FDC" w:rsidP="00F33E49">
            <w:pPr>
              <w:ind w:left="197"/>
              <w:rPr>
                <w:rFonts w:ascii="Arial" w:eastAsia="Times New Roman" w:hAnsi="Arial" w:cs="Arial"/>
                <w:color w:val="000000"/>
                <w:sz w:val="16"/>
                <w:szCs w:val="16"/>
              </w:rPr>
            </w:pPr>
          </w:p>
        </w:tc>
      </w:tr>
      <w:tr w:rsidR="00566FDC" w:rsidRPr="009B4A78" w14:paraId="18EAC2A2" w14:textId="77777777" w:rsidTr="00FB68E0">
        <w:trPr>
          <w:trHeight w:val="1410"/>
        </w:trPr>
        <w:tc>
          <w:tcPr>
            <w:tcW w:w="2440" w:type="dxa"/>
            <w:tcBorders>
              <w:top w:val="nil"/>
              <w:left w:val="single" w:sz="4" w:space="0" w:color="auto"/>
              <w:bottom w:val="nil"/>
              <w:right w:val="nil"/>
            </w:tcBorders>
            <w:shd w:val="clear" w:color="000000" w:fill="FFFFFF"/>
            <w:hideMark/>
          </w:tcPr>
          <w:p w14:paraId="28DA8D1D" w14:textId="77777777" w:rsidR="00566FDC" w:rsidRPr="009B4A78" w:rsidRDefault="00566FD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III.5 Enhanced understanding of the DA by Member States, IGOs, civil society and other stakeholders</w:t>
            </w:r>
          </w:p>
        </w:tc>
        <w:tc>
          <w:tcPr>
            <w:tcW w:w="2580" w:type="dxa"/>
            <w:tcBorders>
              <w:top w:val="nil"/>
              <w:left w:val="nil"/>
              <w:bottom w:val="nil"/>
              <w:right w:val="nil"/>
            </w:tcBorders>
            <w:shd w:val="clear" w:color="000000" w:fill="FFFFFF"/>
            <w:hideMark/>
          </w:tcPr>
          <w:p w14:paraId="636464C7" w14:textId="77777777" w:rsidR="00566FDC" w:rsidRPr="009B4A78" w:rsidRDefault="00566FDC" w:rsidP="00F33E49">
            <w:pPr>
              <w:ind w:left="161"/>
              <w:rPr>
                <w:rFonts w:ascii="Arial" w:eastAsia="Times New Roman" w:hAnsi="Arial" w:cs="Arial"/>
                <w:color w:val="000000"/>
                <w:sz w:val="16"/>
                <w:szCs w:val="16"/>
              </w:rPr>
            </w:pPr>
            <w:r w:rsidRPr="009B4A78">
              <w:rPr>
                <w:rFonts w:ascii="Arial" w:eastAsia="Times New Roman" w:hAnsi="Arial" w:cs="Arial"/>
                <w:color w:val="000000"/>
                <w:sz w:val="16"/>
                <w:szCs w:val="16"/>
              </w:rPr>
              <w:t>Technical assistance activities undertaken by WIPO reflect the Development Agenda dimension and outcomes of DA projects.</w:t>
            </w:r>
          </w:p>
        </w:tc>
        <w:tc>
          <w:tcPr>
            <w:tcW w:w="1920" w:type="dxa"/>
            <w:tcBorders>
              <w:top w:val="nil"/>
              <w:left w:val="nil"/>
              <w:bottom w:val="nil"/>
              <w:right w:val="nil"/>
            </w:tcBorders>
            <w:shd w:val="clear" w:color="000000" w:fill="FFFFFF"/>
            <w:hideMark/>
          </w:tcPr>
          <w:p w14:paraId="1D7B1EEE" w14:textId="77777777" w:rsidR="00566FDC" w:rsidRPr="009B4A78" w:rsidRDefault="00566FDC" w:rsidP="00F33E49">
            <w:pPr>
              <w:ind w:left="274"/>
              <w:rPr>
                <w:rFonts w:ascii="Arial" w:eastAsia="Times New Roman" w:hAnsi="Arial" w:cs="Arial"/>
                <w:color w:val="000000"/>
                <w:sz w:val="16"/>
                <w:szCs w:val="16"/>
              </w:rPr>
            </w:pPr>
            <w:r w:rsidRPr="009B4A78">
              <w:rPr>
                <w:rFonts w:ascii="Arial" w:eastAsia="Times New Roman" w:hAnsi="Arial" w:cs="Arial"/>
                <w:color w:val="000000"/>
                <w:sz w:val="16"/>
                <w:szCs w:val="16"/>
              </w:rPr>
              <w:t>n/a (new PI)</w:t>
            </w:r>
          </w:p>
        </w:tc>
        <w:tc>
          <w:tcPr>
            <w:tcW w:w="2543" w:type="dxa"/>
            <w:tcBorders>
              <w:top w:val="nil"/>
              <w:left w:val="nil"/>
              <w:bottom w:val="nil"/>
              <w:right w:val="single" w:sz="4" w:space="0" w:color="auto"/>
            </w:tcBorders>
            <w:shd w:val="clear" w:color="000000" w:fill="FFFFFF"/>
            <w:hideMark/>
          </w:tcPr>
          <w:p w14:paraId="175E54E0" w14:textId="77777777" w:rsidR="00566FDC" w:rsidRPr="009B4A78" w:rsidRDefault="00566FDC" w:rsidP="00F33E49">
            <w:pPr>
              <w:ind w:left="197"/>
              <w:rPr>
                <w:rFonts w:ascii="Arial" w:eastAsia="Times New Roman" w:hAnsi="Arial" w:cs="Arial"/>
                <w:color w:val="000000"/>
                <w:sz w:val="16"/>
                <w:szCs w:val="16"/>
              </w:rPr>
            </w:pPr>
            <w:r w:rsidRPr="009B4A78">
              <w:rPr>
                <w:rFonts w:ascii="Arial" w:eastAsia="Times New Roman" w:hAnsi="Arial" w:cs="Arial"/>
                <w:color w:val="000000"/>
                <w:sz w:val="16"/>
                <w:szCs w:val="16"/>
              </w:rPr>
              <w:t>System developed to ensure that all technical assistance activities undertaken are in compliance with the DA principles</w:t>
            </w:r>
          </w:p>
        </w:tc>
      </w:tr>
      <w:tr w:rsidR="00566FDC" w:rsidRPr="009B4A78" w14:paraId="40F589C7" w14:textId="77777777" w:rsidTr="00FB68E0">
        <w:trPr>
          <w:trHeight w:val="1228"/>
        </w:trPr>
        <w:tc>
          <w:tcPr>
            <w:tcW w:w="2440" w:type="dxa"/>
            <w:tcBorders>
              <w:top w:val="nil"/>
              <w:left w:val="single" w:sz="4" w:space="0" w:color="auto"/>
              <w:bottom w:val="single" w:sz="4" w:space="0" w:color="auto"/>
              <w:right w:val="nil"/>
            </w:tcBorders>
            <w:shd w:val="clear" w:color="000000" w:fill="FFFFFF"/>
            <w:hideMark/>
          </w:tcPr>
          <w:p w14:paraId="01398F9B" w14:textId="77777777" w:rsidR="00566FDC" w:rsidRPr="009B4A78" w:rsidRDefault="00566FD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580" w:type="dxa"/>
            <w:tcBorders>
              <w:top w:val="nil"/>
              <w:left w:val="nil"/>
              <w:bottom w:val="single" w:sz="4" w:space="0" w:color="auto"/>
              <w:right w:val="nil"/>
            </w:tcBorders>
            <w:shd w:val="clear" w:color="000000" w:fill="FFFFFF"/>
            <w:hideMark/>
          </w:tcPr>
          <w:p w14:paraId="1846DD1E" w14:textId="77777777" w:rsidR="00566FDC" w:rsidRPr="009B4A78" w:rsidRDefault="00566FDC" w:rsidP="00F33E49">
            <w:pPr>
              <w:ind w:left="161"/>
              <w:rPr>
                <w:rFonts w:ascii="Arial" w:eastAsia="Times New Roman" w:hAnsi="Arial" w:cs="Arial"/>
                <w:color w:val="000000"/>
                <w:sz w:val="16"/>
                <w:szCs w:val="16"/>
              </w:rPr>
            </w:pPr>
            <w:r w:rsidRPr="009B4A78">
              <w:rPr>
                <w:rFonts w:ascii="Arial" w:eastAsia="Times New Roman" w:hAnsi="Arial" w:cs="Arial"/>
                <w:color w:val="000000"/>
                <w:sz w:val="16"/>
                <w:szCs w:val="16"/>
              </w:rPr>
              <w:t>% of satisfied participants in events on the WIPO Development Agenda targeting Member States, Civil Society,  IGOs and stakeholders</w:t>
            </w:r>
          </w:p>
        </w:tc>
        <w:tc>
          <w:tcPr>
            <w:tcW w:w="1920" w:type="dxa"/>
            <w:tcBorders>
              <w:top w:val="nil"/>
              <w:left w:val="nil"/>
              <w:bottom w:val="single" w:sz="4" w:space="0" w:color="auto"/>
              <w:right w:val="nil"/>
            </w:tcBorders>
            <w:shd w:val="clear" w:color="000000" w:fill="FFFFFF"/>
            <w:hideMark/>
          </w:tcPr>
          <w:p w14:paraId="719D7707" w14:textId="77777777" w:rsidR="00566FDC" w:rsidRPr="009B4A78" w:rsidRDefault="00566FDC" w:rsidP="00F33E49">
            <w:pPr>
              <w:ind w:left="274"/>
              <w:rPr>
                <w:rFonts w:ascii="Arial" w:eastAsia="Times New Roman" w:hAnsi="Arial" w:cs="Arial"/>
                <w:color w:val="000000"/>
                <w:sz w:val="16"/>
                <w:szCs w:val="16"/>
              </w:rPr>
            </w:pPr>
            <w:r w:rsidRPr="009B4A78">
              <w:rPr>
                <w:rFonts w:ascii="Arial" w:eastAsia="Times New Roman" w:hAnsi="Arial" w:cs="Arial"/>
                <w:color w:val="000000"/>
                <w:sz w:val="16"/>
                <w:szCs w:val="16"/>
              </w:rPr>
              <w:t>n/a in 2014 (per PPR 2014)</w:t>
            </w:r>
          </w:p>
        </w:tc>
        <w:tc>
          <w:tcPr>
            <w:tcW w:w="2543" w:type="dxa"/>
            <w:tcBorders>
              <w:top w:val="nil"/>
              <w:left w:val="nil"/>
              <w:bottom w:val="single" w:sz="4" w:space="0" w:color="auto"/>
              <w:right w:val="single" w:sz="4" w:space="0" w:color="auto"/>
            </w:tcBorders>
            <w:shd w:val="clear" w:color="000000" w:fill="FFFFFF"/>
            <w:hideMark/>
          </w:tcPr>
          <w:p w14:paraId="40EC368D" w14:textId="77777777" w:rsidR="00566FDC" w:rsidRPr="009B4A78" w:rsidRDefault="00566FDC" w:rsidP="00F33E49">
            <w:pPr>
              <w:ind w:left="197"/>
              <w:rPr>
                <w:rFonts w:ascii="Arial" w:eastAsia="Times New Roman" w:hAnsi="Arial" w:cs="Arial"/>
                <w:color w:val="000000"/>
                <w:sz w:val="16"/>
                <w:szCs w:val="16"/>
              </w:rPr>
            </w:pPr>
            <w:r w:rsidRPr="009B4A78">
              <w:rPr>
                <w:rFonts w:ascii="Arial" w:eastAsia="Times New Roman" w:hAnsi="Arial" w:cs="Arial"/>
                <w:color w:val="000000"/>
                <w:sz w:val="16"/>
                <w:szCs w:val="16"/>
              </w:rPr>
              <w:t>80%</w:t>
            </w:r>
          </w:p>
        </w:tc>
      </w:tr>
    </w:tbl>
    <w:p w14:paraId="26B366DE" w14:textId="77777777" w:rsidR="00566FDC" w:rsidRPr="009B4A78" w:rsidRDefault="00566FDC" w:rsidP="00F33E49">
      <w:pPr>
        <w:rPr>
          <w:rFonts w:ascii="Arial" w:hAnsi="Arial" w:cs="Arial"/>
          <w:sz w:val="20"/>
        </w:rPr>
      </w:pPr>
    </w:p>
    <w:p w14:paraId="4B7E28BE" w14:textId="77777777" w:rsidR="00566FDC" w:rsidRPr="009B4A78" w:rsidRDefault="00566FDC" w:rsidP="00F33E49">
      <w:pPr>
        <w:rPr>
          <w:rFonts w:ascii="Arial" w:hAnsi="Arial" w:cs="Arial"/>
          <w:sz w:val="20"/>
        </w:rPr>
      </w:pPr>
    </w:p>
    <w:p w14:paraId="5B40157C" w14:textId="50AAAD62" w:rsidR="00566FDC" w:rsidRPr="009B4A78" w:rsidRDefault="00566FDC" w:rsidP="00F33E49">
      <w:pPr>
        <w:rPr>
          <w:rFonts w:ascii="Arial" w:hAnsi="Arial" w:cs="Arial"/>
        </w:rPr>
      </w:pPr>
      <w:r w:rsidRPr="009B4A78">
        <w:rPr>
          <w:rFonts w:ascii="Arial" w:hAnsi="Arial" w:cs="Arial"/>
        </w:rPr>
        <w:t>RESOURCES FOR PROGRAM 8</w:t>
      </w:r>
    </w:p>
    <w:p w14:paraId="448517E7" w14:textId="77777777" w:rsidR="00566FDC" w:rsidRPr="009B4A78" w:rsidRDefault="00566FDC" w:rsidP="00FB68E0">
      <w:pPr>
        <w:jc w:val="both"/>
        <w:rPr>
          <w:rFonts w:ascii="Arial" w:hAnsi="Arial" w:cs="Arial"/>
          <w:sz w:val="20"/>
        </w:rPr>
      </w:pPr>
    </w:p>
    <w:p w14:paraId="40F2DB4D" w14:textId="77777777" w:rsidR="00566FDC" w:rsidRPr="009B4A78" w:rsidRDefault="00566FDC" w:rsidP="00B66A4A">
      <w:pPr>
        <w:pStyle w:val="ListParagraph"/>
        <w:numPr>
          <w:ilvl w:val="1"/>
          <w:numId w:val="10"/>
        </w:numPr>
        <w:tabs>
          <w:tab w:val="left" w:pos="567"/>
        </w:tabs>
        <w:autoSpaceDE w:val="0"/>
        <w:autoSpaceDN w:val="0"/>
        <w:adjustRightInd w:val="0"/>
        <w:jc w:val="both"/>
        <w:rPr>
          <w:rFonts w:ascii="Arial" w:hAnsi="Arial" w:cs="Arial"/>
          <w:sz w:val="20"/>
        </w:rPr>
      </w:pPr>
      <w:r w:rsidRPr="009B4A78">
        <w:rPr>
          <w:rFonts w:ascii="Arial" w:hAnsi="Arial" w:cs="Arial"/>
          <w:sz w:val="20"/>
        </w:rPr>
        <w:t xml:space="preserve">The overall resources for Program 8 in the 2016/17 biennium remain at the same level as the 2014/15 Budget after Transfers.  The variances in resources across Expected Results III.3 and III.5 are primarily due to the postponement of the International Conference on IP and Development from 2014/15 to 2016/17 and increased focus on events on the WIPO Development Agenda targeting Member States, IGOs, civil society and other stakeholders.  As a result, additional resources are directed towards activities under Expected Result III.5.   </w:t>
      </w:r>
    </w:p>
    <w:p w14:paraId="3FD3DF68" w14:textId="77777777" w:rsidR="00566FDC" w:rsidRPr="009B4A78" w:rsidRDefault="00566FDC" w:rsidP="00F33E49">
      <w:pPr>
        <w:jc w:val="both"/>
        <w:rPr>
          <w:rFonts w:ascii="Arial" w:hAnsi="Arial" w:cs="Arial"/>
          <w:sz w:val="20"/>
        </w:rPr>
      </w:pPr>
    </w:p>
    <w:p w14:paraId="3E2E68BB" w14:textId="77777777" w:rsidR="00566FDC" w:rsidRPr="009B4A78" w:rsidRDefault="00566FDC" w:rsidP="00F33E49">
      <w:pPr>
        <w:rPr>
          <w:rFonts w:ascii="Arial" w:hAnsi="Arial" w:cs="Arial"/>
          <w:sz w:val="20"/>
        </w:rPr>
      </w:pPr>
    </w:p>
    <w:p w14:paraId="1574A082" w14:textId="77777777" w:rsidR="00566FDC" w:rsidRPr="009B4A78" w:rsidRDefault="00566FDC" w:rsidP="00F33E49">
      <w:pPr>
        <w:pStyle w:val="ListParagraph"/>
        <w:keepNext/>
        <w:keepLines/>
        <w:spacing w:after="240"/>
        <w:jc w:val="center"/>
        <w:rPr>
          <w:rFonts w:ascii="Arial" w:hAnsi="Arial" w:cs="Arial"/>
          <w:b/>
          <w:sz w:val="20"/>
        </w:rPr>
      </w:pPr>
      <w:r w:rsidRPr="009B4A78">
        <w:rPr>
          <w:rFonts w:ascii="Arial" w:hAnsi="Arial" w:cs="Arial"/>
          <w:b/>
          <w:sz w:val="20"/>
        </w:rPr>
        <w:t xml:space="preserve">Program 8: Resources by Result </w:t>
      </w:r>
    </w:p>
    <w:p w14:paraId="363E5526" w14:textId="77777777" w:rsidR="00566FDC" w:rsidRPr="009B4A78" w:rsidRDefault="00566FDC" w:rsidP="00F33E49">
      <w:pPr>
        <w:pStyle w:val="ListParagraph"/>
        <w:keepNext/>
        <w:keepLines/>
        <w:tabs>
          <w:tab w:val="left" w:pos="9072"/>
        </w:tabs>
        <w:spacing w:after="240"/>
        <w:jc w:val="center"/>
        <w:rPr>
          <w:rFonts w:ascii="Arial" w:hAnsi="Arial" w:cs="Arial"/>
          <w:i/>
          <w:sz w:val="20"/>
        </w:rPr>
      </w:pPr>
      <w:r w:rsidRPr="009B4A78">
        <w:rPr>
          <w:rFonts w:ascii="Arial" w:hAnsi="Arial" w:cs="Arial"/>
          <w:i/>
          <w:sz w:val="20"/>
        </w:rPr>
        <w:t>(in thousands of Swiss francs)</w:t>
      </w:r>
    </w:p>
    <w:p w14:paraId="105555F2" w14:textId="77777777" w:rsidR="00566FDC" w:rsidRPr="009B4A78" w:rsidRDefault="00566FDC" w:rsidP="00F33E49">
      <w:pPr>
        <w:pStyle w:val="ListParagraph"/>
        <w:keepNext/>
        <w:keepLines/>
        <w:spacing w:after="240"/>
        <w:ind w:left="284" w:firstLine="436"/>
        <w:jc w:val="center"/>
        <w:rPr>
          <w:rFonts w:ascii="Arial" w:hAnsi="Arial" w:cs="Arial"/>
          <w:i/>
          <w:sz w:val="20"/>
        </w:rPr>
      </w:pPr>
    </w:p>
    <w:p w14:paraId="34CECECD" w14:textId="77777777" w:rsidR="00566FDC" w:rsidRPr="009B4A78" w:rsidRDefault="00566FDC" w:rsidP="00F33E49">
      <w:pPr>
        <w:pStyle w:val="ListParagraph"/>
        <w:keepNext/>
        <w:keepLines/>
        <w:tabs>
          <w:tab w:val="left" w:pos="9072"/>
        </w:tabs>
        <w:spacing w:after="240"/>
        <w:ind w:left="0"/>
        <w:jc w:val="center"/>
        <w:rPr>
          <w:rFonts w:ascii="Arial" w:hAnsi="Arial" w:cs="Arial"/>
          <w:i/>
          <w:sz w:val="20"/>
        </w:rPr>
      </w:pPr>
      <w:r w:rsidRPr="009B4A78">
        <w:rPr>
          <w:rFonts w:ascii="Arial" w:hAnsi="Arial" w:cs="Arial"/>
          <w:noProof/>
          <w:lang w:eastAsia="en-US"/>
        </w:rPr>
        <w:drawing>
          <wp:inline distT="0" distB="0" distL="0" distR="0" wp14:anchorId="38792AD2" wp14:editId="49F7E356">
            <wp:extent cx="5049078" cy="1229060"/>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107743" cy="1243340"/>
                    </a:xfrm>
                    <a:prstGeom prst="rect">
                      <a:avLst/>
                    </a:prstGeom>
                    <a:noFill/>
                    <a:ln>
                      <a:noFill/>
                    </a:ln>
                  </pic:spPr>
                </pic:pic>
              </a:graphicData>
            </a:graphic>
          </wp:inline>
        </w:drawing>
      </w:r>
    </w:p>
    <w:p w14:paraId="7CE0568D" w14:textId="77777777" w:rsidR="00566FDC" w:rsidRPr="009B4A78" w:rsidRDefault="00566FDC" w:rsidP="00F33E49">
      <w:pPr>
        <w:pStyle w:val="ListParagraph"/>
        <w:spacing w:after="240"/>
        <w:jc w:val="center"/>
        <w:rPr>
          <w:rFonts w:ascii="Arial" w:hAnsi="Arial" w:cs="Arial"/>
          <w:i/>
          <w:sz w:val="20"/>
        </w:rPr>
      </w:pPr>
    </w:p>
    <w:p w14:paraId="45655562" w14:textId="77777777" w:rsidR="00566FDC" w:rsidRPr="009B4A78" w:rsidRDefault="00566FDC" w:rsidP="00F33E49">
      <w:pPr>
        <w:pStyle w:val="ListParagraph"/>
        <w:spacing w:after="240"/>
        <w:jc w:val="center"/>
        <w:rPr>
          <w:rFonts w:ascii="Arial" w:hAnsi="Arial" w:cs="Arial"/>
          <w:b/>
          <w:sz w:val="20"/>
        </w:rPr>
      </w:pPr>
    </w:p>
    <w:p w14:paraId="5B897BAC" w14:textId="77777777" w:rsidR="00566FDC" w:rsidRPr="009B4A78" w:rsidRDefault="00566FDC" w:rsidP="00F33E49">
      <w:pPr>
        <w:pStyle w:val="ListParagraph"/>
        <w:keepNext/>
        <w:keepLines/>
        <w:spacing w:after="240"/>
        <w:jc w:val="center"/>
        <w:rPr>
          <w:rFonts w:ascii="Arial" w:hAnsi="Arial" w:cs="Arial"/>
          <w:b/>
          <w:sz w:val="20"/>
        </w:rPr>
      </w:pPr>
      <w:r w:rsidRPr="009B4A78">
        <w:rPr>
          <w:rFonts w:ascii="Arial" w:hAnsi="Arial" w:cs="Arial"/>
          <w:b/>
          <w:sz w:val="20"/>
        </w:rPr>
        <w:lastRenderedPageBreak/>
        <w:t xml:space="preserve">Program 8: Resources by Object of Expenditure </w:t>
      </w:r>
    </w:p>
    <w:p w14:paraId="445A64FA" w14:textId="77777777" w:rsidR="00566FDC" w:rsidRPr="009B4A78" w:rsidRDefault="00566FDC" w:rsidP="00F33E49">
      <w:pPr>
        <w:pStyle w:val="ListParagraph"/>
        <w:keepNext/>
        <w:keepLines/>
        <w:spacing w:after="240"/>
        <w:jc w:val="center"/>
        <w:rPr>
          <w:rFonts w:ascii="Arial" w:hAnsi="Arial" w:cs="Arial"/>
          <w:i/>
          <w:sz w:val="20"/>
        </w:rPr>
      </w:pPr>
      <w:r w:rsidRPr="009B4A78">
        <w:rPr>
          <w:rFonts w:ascii="Arial" w:hAnsi="Arial" w:cs="Arial"/>
          <w:i/>
          <w:sz w:val="20"/>
        </w:rPr>
        <w:t>(in thousands of Swiss francs)</w:t>
      </w:r>
    </w:p>
    <w:p w14:paraId="5AE0AF73" w14:textId="77777777" w:rsidR="00566FDC" w:rsidRPr="009B4A78" w:rsidRDefault="00566FDC" w:rsidP="00F33E49">
      <w:pPr>
        <w:pStyle w:val="ListParagraph"/>
        <w:keepNext/>
        <w:keepLines/>
        <w:spacing w:after="240"/>
        <w:ind w:left="0"/>
        <w:jc w:val="center"/>
        <w:rPr>
          <w:rFonts w:ascii="Arial" w:hAnsi="Arial" w:cs="Arial"/>
          <w:i/>
          <w:sz w:val="20"/>
        </w:rPr>
      </w:pPr>
    </w:p>
    <w:p w14:paraId="78B7A671" w14:textId="77777777" w:rsidR="00566FDC" w:rsidRPr="009B4A78" w:rsidRDefault="00566FDC" w:rsidP="00F33E49">
      <w:pPr>
        <w:jc w:val="center"/>
        <w:rPr>
          <w:rFonts w:ascii="Arial" w:hAnsi="Arial" w:cs="Arial"/>
          <w:sz w:val="20"/>
        </w:rPr>
      </w:pPr>
      <w:r w:rsidRPr="009B4A78">
        <w:rPr>
          <w:rFonts w:ascii="Arial" w:hAnsi="Arial" w:cs="Arial"/>
          <w:noProof/>
          <w:lang w:eastAsia="en-US"/>
        </w:rPr>
        <w:drawing>
          <wp:inline distT="0" distB="0" distL="0" distR="0" wp14:anchorId="3016C0AE" wp14:editId="4F919DEB">
            <wp:extent cx="5101536" cy="5740842"/>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09475" cy="5749776"/>
                    </a:xfrm>
                    <a:prstGeom prst="rect">
                      <a:avLst/>
                    </a:prstGeom>
                    <a:noFill/>
                    <a:ln>
                      <a:noFill/>
                    </a:ln>
                  </pic:spPr>
                </pic:pic>
              </a:graphicData>
            </a:graphic>
          </wp:inline>
        </w:drawing>
      </w:r>
    </w:p>
    <w:p w14:paraId="7E319EEC" w14:textId="77777777" w:rsidR="002B052A" w:rsidRDefault="002B052A">
      <w:pPr>
        <w:rPr>
          <w:rFonts w:ascii="Arial" w:hAnsi="Arial" w:cs="Arial"/>
          <w:sz w:val="20"/>
          <w:szCs w:val="20"/>
        </w:rPr>
      </w:pPr>
    </w:p>
    <w:p w14:paraId="6C613E42" w14:textId="699E6276" w:rsidR="00566FDC" w:rsidRPr="009B4A78" w:rsidRDefault="00566FDC">
      <w:pPr>
        <w:rPr>
          <w:rFonts w:ascii="Arial" w:hAnsi="Arial" w:cs="Arial"/>
          <w:sz w:val="20"/>
          <w:szCs w:val="20"/>
        </w:rPr>
      </w:pPr>
      <w:r w:rsidRPr="009B4A78">
        <w:rPr>
          <w:rFonts w:ascii="Arial" w:hAnsi="Arial" w:cs="Arial"/>
          <w:sz w:val="20"/>
          <w:szCs w:val="20"/>
        </w:rPr>
        <w:br w:type="page"/>
      </w:r>
    </w:p>
    <w:p w14:paraId="7A62C142" w14:textId="51942D92" w:rsidR="00B65F7B" w:rsidRPr="009B4A78" w:rsidRDefault="00B65F7B" w:rsidP="00B65F7B">
      <w:pPr>
        <w:pStyle w:val="StyleHeading3ComplexItalic"/>
        <w:keepLines/>
        <w:ind w:left="1985" w:hanging="1985"/>
      </w:pPr>
      <w:bookmarkStart w:id="42" w:name="_Toc427154406"/>
      <w:r w:rsidRPr="009B4A78">
        <w:lastRenderedPageBreak/>
        <w:t>PROGRAM 9</w:t>
      </w:r>
      <w:r w:rsidRPr="009B4A78">
        <w:tab/>
        <w:t>AFRICA, ARAB, ASIA AND THE PACIFIC, LATIN AMERICA AND THE CARIBBEAN COUNTR</w:t>
      </w:r>
      <w:r w:rsidR="00D06C7D" w:rsidRPr="009B4A78">
        <w:t>I</w:t>
      </w:r>
      <w:r w:rsidRPr="009B4A78">
        <w:t>ES, LEAST DEVELOPED COUNTRIES</w:t>
      </w:r>
      <w:bookmarkEnd w:id="42"/>
      <w:r w:rsidRPr="009B4A78">
        <w:t xml:space="preserve">  </w:t>
      </w:r>
    </w:p>
    <w:p w14:paraId="399D00A8" w14:textId="77777777" w:rsidR="00B65F7B" w:rsidRPr="009B4A78" w:rsidRDefault="00B65F7B" w:rsidP="00F33E49">
      <w:pPr>
        <w:jc w:val="both"/>
        <w:rPr>
          <w:rFonts w:ascii="Arial" w:hAnsi="Arial" w:cs="Arial"/>
          <w:bCs/>
        </w:rPr>
      </w:pPr>
    </w:p>
    <w:p w14:paraId="2BDA0AFC" w14:textId="77777777" w:rsidR="00B65F7B" w:rsidRPr="009B4A78" w:rsidRDefault="00B65F7B" w:rsidP="00B65F7B">
      <w:pPr>
        <w:jc w:val="both"/>
        <w:rPr>
          <w:rFonts w:ascii="Arial" w:hAnsi="Arial" w:cs="Arial"/>
          <w:bCs/>
        </w:rPr>
      </w:pPr>
    </w:p>
    <w:p w14:paraId="572EF449" w14:textId="77777777" w:rsidR="00B65F7B" w:rsidRPr="009B4A78" w:rsidRDefault="00B65F7B" w:rsidP="00F33E49">
      <w:pPr>
        <w:spacing w:after="240"/>
        <w:jc w:val="both"/>
        <w:rPr>
          <w:rFonts w:ascii="Arial" w:hAnsi="Arial" w:cs="Arial"/>
          <w:bCs/>
        </w:rPr>
      </w:pPr>
      <w:r w:rsidRPr="009B4A78">
        <w:rPr>
          <w:rFonts w:ascii="Arial" w:hAnsi="Arial" w:cs="Arial"/>
          <w:bCs/>
        </w:rPr>
        <w:t>PLANNING CONTEXT</w:t>
      </w:r>
    </w:p>
    <w:p w14:paraId="3F5E8AC2" w14:textId="77777777" w:rsidR="00B65F7B" w:rsidRPr="009B4A78" w:rsidRDefault="00B65F7B" w:rsidP="00B66A4A">
      <w:pPr>
        <w:pStyle w:val="ListParagraph"/>
        <w:numPr>
          <w:ilvl w:val="0"/>
          <w:numId w:val="11"/>
        </w:numPr>
        <w:tabs>
          <w:tab w:val="left" w:pos="709"/>
        </w:tabs>
        <w:jc w:val="both"/>
        <w:rPr>
          <w:rFonts w:ascii="Arial" w:hAnsi="Arial" w:cs="Arial"/>
          <w:sz w:val="20"/>
        </w:rPr>
      </w:pPr>
      <w:r w:rsidRPr="009B4A78">
        <w:rPr>
          <w:rFonts w:ascii="Arial" w:hAnsi="Arial" w:cs="Arial"/>
          <w:sz w:val="20"/>
        </w:rPr>
        <w:t>In line with WIPO’s Strategic Goal III, the main driver of Program 9 continues to be the facilitation of the use of IP to promote economic, social and cultural development in developing countries and LDCs thereby contributing to the achievement of the</w:t>
      </w:r>
      <w:r w:rsidRPr="009B4A78">
        <w:rPr>
          <w:rFonts w:ascii="Arial" w:eastAsiaTheme="minorHAnsi" w:hAnsi="Arial" w:cs="Arial"/>
          <w:sz w:val="20"/>
        </w:rPr>
        <w:t xml:space="preserve"> </w:t>
      </w:r>
      <w:r w:rsidRPr="009B4A78">
        <w:rPr>
          <w:rFonts w:ascii="Arial" w:hAnsi="Arial" w:cs="Arial"/>
          <w:sz w:val="20"/>
        </w:rPr>
        <w:t xml:space="preserve">Post 2015 Development Agenda and Sustainable Development Goals (SDGs).  At the heart of this Program is therefore the enabling of the effective use of IP for development in Member States in Africa, the Arab region, Asia and the Pacific, and Latin America and the Caribbean countries. </w:t>
      </w:r>
    </w:p>
    <w:p w14:paraId="28FE0015" w14:textId="77777777" w:rsidR="00B65F7B" w:rsidRPr="009B4A78" w:rsidRDefault="00B65F7B" w:rsidP="00F33E49">
      <w:pPr>
        <w:pStyle w:val="ListParagraph"/>
        <w:tabs>
          <w:tab w:val="left" w:pos="709"/>
        </w:tabs>
        <w:ind w:left="0"/>
        <w:jc w:val="both"/>
        <w:rPr>
          <w:rFonts w:ascii="Arial" w:hAnsi="Arial" w:cs="Arial"/>
          <w:sz w:val="20"/>
        </w:rPr>
      </w:pPr>
    </w:p>
    <w:p w14:paraId="3355E3AC" w14:textId="77777777" w:rsidR="00B65F7B" w:rsidRPr="009B4A78" w:rsidRDefault="00B65F7B" w:rsidP="00B66A4A">
      <w:pPr>
        <w:pStyle w:val="ListParagraph"/>
        <w:numPr>
          <w:ilvl w:val="0"/>
          <w:numId w:val="11"/>
        </w:numPr>
        <w:tabs>
          <w:tab w:val="left" w:pos="709"/>
        </w:tabs>
        <w:jc w:val="both"/>
        <w:rPr>
          <w:rFonts w:ascii="Arial" w:hAnsi="Arial" w:cs="Arial"/>
          <w:sz w:val="20"/>
        </w:rPr>
      </w:pPr>
      <w:r w:rsidRPr="009B4A78">
        <w:rPr>
          <w:rFonts w:ascii="Arial" w:hAnsi="Arial" w:cs="Arial"/>
          <w:sz w:val="20"/>
        </w:rPr>
        <w:t>The Program seeks to empower countries to use the IP system as a contributing factor in achieving their national development goals, to leverage their participation in the global knowledge and innovation economy, in line with the relevant DA Recommendations, and to assist them in the development and implementation of comprehensive, coherent and well-coordinated IP national policies.</w:t>
      </w:r>
    </w:p>
    <w:p w14:paraId="010C0040" w14:textId="77777777" w:rsidR="00B65F7B" w:rsidRPr="009B4A78" w:rsidRDefault="00B65F7B" w:rsidP="00F33E49">
      <w:pPr>
        <w:pStyle w:val="ListParagraph"/>
        <w:tabs>
          <w:tab w:val="left" w:pos="709"/>
        </w:tabs>
        <w:jc w:val="both"/>
        <w:rPr>
          <w:rFonts w:ascii="Arial" w:hAnsi="Arial" w:cs="Arial"/>
          <w:sz w:val="20"/>
        </w:rPr>
      </w:pPr>
    </w:p>
    <w:p w14:paraId="447244A8" w14:textId="7BB4436F" w:rsidR="00B65F7B" w:rsidRPr="009B4A78" w:rsidRDefault="00B65F7B" w:rsidP="00B66A4A">
      <w:pPr>
        <w:pStyle w:val="ListParagraph"/>
        <w:numPr>
          <w:ilvl w:val="0"/>
          <w:numId w:val="11"/>
        </w:numPr>
        <w:tabs>
          <w:tab w:val="left" w:pos="709"/>
        </w:tabs>
        <w:jc w:val="both"/>
        <w:rPr>
          <w:rFonts w:ascii="Arial" w:hAnsi="Arial" w:cs="Arial"/>
          <w:sz w:val="20"/>
        </w:rPr>
      </w:pPr>
      <w:r w:rsidRPr="009B4A78">
        <w:rPr>
          <w:rFonts w:ascii="Arial" w:hAnsi="Arial" w:cs="Arial"/>
          <w:sz w:val="20"/>
        </w:rPr>
        <w:t xml:space="preserve">Several key challenges need to be overcome in order to achieve these objectives.  These consist of (a) limited resources;  (b) diversity in terms of social, economic, cultural, political and legal systems;  (c) different stages of development; (d) broad range and multiplicity of stakeholders with varying skills, competencies and knowledge requirements;  (d) an ever-increasing need and demand for development-related, as well as other WIPO services; and (e) the challenge of translating the notion of IP for development into concrete </w:t>
      </w:r>
      <w:r w:rsidR="00AF5A57">
        <w:rPr>
          <w:rFonts w:ascii="Arial" w:hAnsi="Arial" w:cs="Arial"/>
          <w:sz w:val="20"/>
        </w:rPr>
        <w:t xml:space="preserve">sustainable </w:t>
      </w:r>
      <w:r w:rsidRPr="009B4A78">
        <w:rPr>
          <w:rFonts w:ascii="Arial" w:hAnsi="Arial" w:cs="Arial"/>
          <w:sz w:val="20"/>
        </w:rPr>
        <w:t>results with tangible benefits.  These challenges are reflected in the heterogeneous status of national IP systems, in particular in terms of IP Institutional frameworks and countries’ absorptive capacity of the technical cooperation. </w:t>
      </w:r>
    </w:p>
    <w:p w14:paraId="6EC0BDB7" w14:textId="77777777" w:rsidR="00B65F7B" w:rsidRPr="009B4A78" w:rsidRDefault="00B65F7B" w:rsidP="00F33E49">
      <w:pPr>
        <w:pStyle w:val="ListParagraph"/>
        <w:tabs>
          <w:tab w:val="left" w:pos="709"/>
        </w:tabs>
        <w:jc w:val="both"/>
        <w:rPr>
          <w:rFonts w:ascii="Arial" w:hAnsi="Arial" w:cs="Arial"/>
        </w:rPr>
      </w:pPr>
    </w:p>
    <w:p w14:paraId="733B153B" w14:textId="77777777" w:rsidR="00B65F7B" w:rsidRPr="009B4A78" w:rsidRDefault="00B65F7B" w:rsidP="00B66A4A">
      <w:pPr>
        <w:pStyle w:val="ListParagraph"/>
        <w:numPr>
          <w:ilvl w:val="0"/>
          <w:numId w:val="11"/>
        </w:numPr>
        <w:tabs>
          <w:tab w:val="left" w:pos="709"/>
        </w:tabs>
        <w:jc w:val="both"/>
        <w:rPr>
          <w:rFonts w:ascii="Arial" w:hAnsi="Arial" w:cs="Arial"/>
          <w:bCs/>
        </w:rPr>
      </w:pPr>
      <w:r w:rsidRPr="009B4A78">
        <w:rPr>
          <w:rFonts w:ascii="Arial" w:hAnsi="Arial" w:cs="Arial"/>
          <w:sz w:val="20"/>
        </w:rPr>
        <w:t xml:space="preserve">The design, planning and implementation of technical cooperation activities under this Program is informed and guided by the relevant DA Recommendations, in particular Recommendations under Cluster A on WIPO’s technical assistance and capacity building. </w:t>
      </w:r>
    </w:p>
    <w:p w14:paraId="3CAA6D19" w14:textId="77777777" w:rsidR="00B65F7B" w:rsidRPr="009B4A78" w:rsidRDefault="00B65F7B" w:rsidP="00F33E49">
      <w:pPr>
        <w:pStyle w:val="ListParagraph"/>
        <w:tabs>
          <w:tab w:val="left" w:pos="709"/>
        </w:tabs>
        <w:spacing w:after="240"/>
        <w:ind w:left="0"/>
        <w:jc w:val="both"/>
        <w:rPr>
          <w:rFonts w:ascii="Arial" w:hAnsi="Arial" w:cs="Arial"/>
          <w:bCs/>
        </w:rPr>
      </w:pPr>
    </w:p>
    <w:p w14:paraId="71282AE0" w14:textId="77777777" w:rsidR="00B65F7B" w:rsidRPr="009B4A78" w:rsidRDefault="00B65F7B" w:rsidP="00F33E49">
      <w:pPr>
        <w:pStyle w:val="ListParagraph"/>
        <w:tabs>
          <w:tab w:val="left" w:pos="709"/>
        </w:tabs>
        <w:spacing w:after="240"/>
        <w:ind w:left="0"/>
        <w:jc w:val="both"/>
        <w:rPr>
          <w:rFonts w:ascii="Arial" w:hAnsi="Arial" w:cs="Arial"/>
          <w:bCs/>
        </w:rPr>
      </w:pPr>
    </w:p>
    <w:p w14:paraId="2D01C890" w14:textId="77777777" w:rsidR="00B65F7B" w:rsidRPr="009B4A78" w:rsidRDefault="00B65F7B" w:rsidP="00F33E49">
      <w:pPr>
        <w:pStyle w:val="ListParagraph"/>
        <w:tabs>
          <w:tab w:val="left" w:pos="709"/>
        </w:tabs>
        <w:spacing w:after="240"/>
        <w:ind w:left="0"/>
        <w:jc w:val="both"/>
        <w:rPr>
          <w:rFonts w:ascii="Arial" w:hAnsi="Arial" w:cs="Arial"/>
          <w:bCs/>
        </w:rPr>
      </w:pPr>
      <w:r w:rsidRPr="009B4A78">
        <w:rPr>
          <w:rFonts w:ascii="Arial" w:hAnsi="Arial" w:cs="Arial"/>
          <w:bCs/>
        </w:rPr>
        <w:t>IMPLEMENTATION STRATEGIES</w:t>
      </w:r>
    </w:p>
    <w:p w14:paraId="38781973" w14:textId="77777777" w:rsidR="00B65F7B" w:rsidRPr="009B4A78" w:rsidRDefault="00B65F7B" w:rsidP="00F33E49">
      <w:pPr>
        <w:pStyle w:val="ListParagraph"/>
        <w:tabs>
          <w:tab w:val="left" w:pos="709"/>
        </w:tabs>
        <w:spacing w:after="240"/>
        <w:ind w:left="0"/>
        <w:jc w:val="both"/>
        <w:rPr>
          <w:rFonts w:ascii="Arial" w:hAnsi="Arial" w:cs="Arial"/>
          <w:bCs/>
        </w:rPr>
      </w:pPr>
    </w:p>
    <w:p w14:paraId="72752226" w14:textId="77777777" w:rsidR="00B65F7B" w:rsidRPr="009B4A78" w:rsidRDefault="00B65F7B" w:rsidP="00B66A4A">
      <w:pPr>
        <w:pStyle w:val="ListParagraph"/>
        <w:numPr>
          <w:ilvl w:val="0"/>
          <w:numId w:val="11"/>
        </w:numPr>
        <w:tabs>
          <w:tab w:val="left" w:pos="709"/>
        </w:tabs>
        <w:spacing w:after="240"/>
        <w:jc w:val="both"/>
        <w:rPr>
          <w:rFonts w:ascii="Arial" w:hAnsi="Arial" w:cs="Arial"/>
          <w:b/>
          <w:bCs/>
          <w:sz w:val="20"/>
        </w:rPr>
      </w:pPr>
      <w:r w:rsidRPr="009B4A78">
        <w:rPr>
          <w:rFonts w:ascii="Arial" w:hAnsi="Arial" w:cs="Arial"/>
          <w:sz w:val="20"/>
        </w:rPr>
        <w:t>To achieve the above objectives, emphasis in the next biennium will be on improving the Organization’s delivery by working closely with other Programs and in close consultation with beneficiary Member States. </w:t>
      </w:r>
    </w:p>
    <w:p w14:paraId="12ABEFB0" w14:textId="77777777" w:rsidR="00B65F7B" w:rsidRPr="009B4A78" w:rsidRDefault="00B65F7B" w:rsidP="00F33E49">
      <w:pPr>
        <w:pStyle w:val="ListParagraph"/>
        <w:tabs>
          <w:tab w:val="left" w:pos="709"/>
        </w:tabs>
        <w:jc w:val="both"/>
        <w:rPr>
          <w:rFonts w:ascii="Arial" w:hAnsi="Arial" w:cs="Arial"/>
          <w:b/>
          <w:sz w:val="20"/>
        </w:rPr>
      </w:pPr>
    </w:p>
    <w:p w14:paraId="6916EB5B" w14:textId="77777777" w:rsidR="00B65F7B" w:rsidRPr="009B4A78" w:rsidRDefault="00B65F7B" w:rsidP="00B66A4A">
      <w:pPr>
        <w:pStyle w:val="ListParagraph"/>
        <w:numPr>
          <w:ilvl w:val="0"/>
          <w:numId w:val="11"/>
        </w:numPr>
        <w:tabs>
          <w:tab w:val="left" w:pos="709"/>
        </w:tabs>
        <w:spacing w:after="240"/>
        <w:jc w:val="both"/>
        <w:rPr>
          <w:rFonts w:ascii="Arial" w:hAnsi="Arial" w:cs="Arial"/>
          <w:b/>
          <w:bCs/>
          <w:sz w:val="20"/>
        </w:rPr>
      </w:pPr>
      <w:r w:rsidRPr="009B4A78">
        <w:rPr>
          <w:rFonts w:ascii="Arial" w:hAnsi="Arial" w:cs="Arial"/>
          <w:b/>
          <w:sz w:val="20"/>
        </w:rPr>
        <w:t>National IP strategies</w:t>
      </w:r>
      <w:r w:rsidRPr="009B4A78">
        <w:rPr>
          <w:rFonts w:ascii="Arial" w:hAnsi="Arial" w:cs="Arial"/>
          <w:sz w:val="20"/>
        </w:rPr>
        <w:t>.  The development and adoption of national IP strategies should address the specific needs of each country and will be prepared on the basis of an inclusive process of national consultation involving, </w:t>
      </w:r>
      <w:r w:rsidRPr="009B4A78">
        <w:rPr>
          <w:rFonts w:ascii="Arial" w:hAnsi="Arial" w:cs="Arial"/>
          <w:i/>
          <w:iCs/>
          <w:sz w:val="20"/>
        </w:rPr>
        <w:t>inter alia</w:t>
      </w:r>
      <w:r w:rsidRPr="009B4A78">
        <w:rPr>
          <w:rFonts w:ascii="Arial" w:hAnsi="Arial" w:cs="Arial"/>
          <w:sz w:val="20"/>
        </w:rPr>
        <w:t>, government officials, legislators, the private sector, academia and civil society.  High-level government commitment is a central prerequisite for this process both in terms of funding and political support.  The IP strategy formulation methodology, designed under a DA project, will serve as a basis and a model for achieving this objective.  The intention is to increase the number of countries with customized IP strategies during the biennium.</w:t>
      </w:r>
    </w:p>
    <w:p w14:paraId="2F4FF9A5" w14:textId="77777777" w:rsidR="00B65F7B" w:rsidRPr="009B4A78" w:rsidRDefault="00B65F7B" w:rsidP="00F33E49">
      <w:pPr>
        <w:pStyle w:val="ListParagraph"/>
        <w:tabs>
          <w:tab w:val="left" w:pos="709"/>
        </w:tabs>
        <w:ind w:left="0"/>
        <w:jc w:val="both"/>
        <w:rPr>
          <w:rFonts w:ascii="Arial" w:hAnsi="Arial" w:cs="Arial"/>
          <w:b/>
          <w:bCs/>
          <w:sz w:val="20"/>
        </w:rPr>
      </w:pPr>
    </w:p>
    <w:p w14:paraId="2A2904E3" w14:textId="344F8768" w:rsidR="00B65F7B" w:rsidRPr="009B4A78" w:rsidRDefault="00B65F7B" w:rsidP="00B66A4A">
      <w:pPr>
        <w:pStyle w:val="ListParagraph"/>
        <w:numPr>
          <w:ilvl w:val="0"/>
          <w:numId w:val="11"/>
        </w:numPr>
        <w:tabs>
          <w:tab w:val="left" w:pos="709"/>
        </w:tabs>
        <w:spacing w:after="240"/>
        <w:jc w:val="both"/>
        <w:rPr>
          <w:rFonts w:ascii="Arial" w:hAnsi="Arial" w:cs="Arial"/>
          <w:b/>
          <w:bCs/>
          <w:sz w:val="20"/>
        </w:rPr>
      </w:pPr>
      <w:r w:rsidRPr="009B4A78">
        <w:rPr>
          <w:rFonts w:ascii="Arial" w:hAnsi="Arial" w:cs="Arial"/>
          <w:b/>
          <w:sz w:val="20"/>
        </w:rPr>
        <w:t>Country plans</w:t>
      </w:r>
      <w:r w:rsidRPr="009B4A78">
        <w:rPr>
          <w:rFonts w:ascii="Arial" w:hAnsi="Arial" w:cs="Arial"/>
          <w:sz w:val="20"/>
        </w:rPr>
        <w:t xml:space="preserve">.  The process of adopting IP strategies is usually lengthy and a limited number of countries have to date fully completed it. Where the process is still ongoing, country plans will continue to be the main tool for delivery of technical assistance.  The country plans, developed and maintained by the Regional Bureaus on the basis of the needs and realities of the recipient countries, are designed to cover a minimum period of two years and contain all </w:t>
      </w:r>
      <w:r w:rsidR="00AF5A57">
        <w:rPr>
          <w:rFonts w:ascii="Arial" w:hAnsi="Arial" w:cs="Arial"/>
          <w:sz w:val="20"/>
        </w:rPr>
        <w:t xml:space="preserve">IP-related </w:t>
      </w:r>
      <w:r w:rsidRPr="009B4A78">
        <w:rPr>
          <w:rFonts w:ascii="Arial" w:hAnsi="Arial" w:cs="Arial"/>
          <w:sz w:val="20"/>
        </w:rPr>
        <w:t>projects and activities that will take place in each country.  The plans are defined and implemented in close consultation with other Programs and all relevant stakeholders in beneficiary countries.  The goal is to improve the delivery and coherence of technical cooperation provided by WIPO.</w:t>
      </w:r>
    </w:p>
    <w:p w14:paraId="02AD390F" w14:textId="77777777" w:rsidR="00B65F7B" w:rsidRPr="009B4A78" w:rsidRDefault="00B65F7B" w:rsidP="00F33E49">
      <w:pPr>
        <w:pStyle w:val="ListParagraph"/>
        <w:tabs>
          <w:tab w:val="left" w:pos="709"/>
        </w:tabs>
        <w:jc w:val="both"/>
        <w:rPr>
          <w:rFonts w:ascii="Arial" w:hAnsi="Arial" w:cs="Arial"/>
          <w:b/>
          <w:sz w:val="20"/>
        </w:rPr>
      </w:pPr>
    </w:p>
    <w:p w14:paraId="4A729797" w14:textId="77777777" w:rsidR="00B65F7B" w:rsidRPr="009B4A78" w:rsidRDefault="00B65F7B" w:rsidP="00B66A4A">
      <w:pPr>
        <w:pStyle w:val="ListParagraph"/>
        <w:numPr>
          <w:ilvl w:val="0"/>
          <w:numId w:val="11"/>
        </w:numPr>
        <w:tabs>
          <w:tab w:val="left" w:pos="709"/>
        </w:tabs>
        <w:spacing w:after="240"/>
        <w:jc w:val="both"/>
        <w:rPr>
          <w:rFonts w:ascii="Arial" w:hAnsi="Arial" w:cs="Arial"/>
          <w:b/>
          <w:bCs/>
          <w:sz w:val="20"/>
        </w:rPr>
      </w:pPr>
      <w:r w:rsidRPr="009B4A78">
        <w:rPr>
          <w:rFonts w:ascii="Arial" w:hAnsi="Arial" w:cs="Arial"/>
          <w:b/>
          <w:sz w:val="20"/>
        </w:rPr>
        <w:t>Project-based approach</w:t>
      </w:r>
      <w:r w:rsidRPr="009B4A78">
        <w:rPr>
          <w:rFonts w:ascii="Arial" w:hAnsi="Arial" w:cs="Arial"/>
          <w:sz w:val="20"/>
        </w:rPr>
        <w:t xml:space="preserve">.  In order to maximize the effectiveness of technical assistance efforts, technical cooperation will increasingly be delivered through project-based approaches, leveraging the experience gained in recent years through the implementation of DA and other special development projects  </w:t>
      </w:r>
    </w:p>
    <w:p w14:paraId="292E5CF7" w14:textId="77777777" w:rsidR="00B65F7B" w:rsidRPr="009B4A78" w:rsidRDefault="00B65F7B" w:rsidP="00F33E49">
      <w:pPr>
        <w:pStyle w:val="ListParagraph"/>
        <w:tabs>
          <w:tab w:val="left" w:pos="709"/>
        </w:tabs>
        <w:jc w:val="both"/>
        <w:rPr>
          <w:rFonts w:ascii="Arial" w:hAnsi="Arial" w:cs="Arial"/>
          <w:b/>
          <w:sz w:val="20"/>
        </w:rPr>
      </w:pPr>
    </w:p>
    <w:p w14:paraId="72B149CB" w14:textId="77777777" w:rsidR="00B65F7B" w:rsidRPr="009B4A78" w:rsidRDefault="00B65F7B" w:rsidP="00B66A4A">
      <w:pPr>
        <w:pStyle w:val="ListParagraph"/>
        <w:numPr>
          <w:ilvl w:val="0"/>
          <w:numId w:val="11"/>
        </w:numPr>
        <w:tabs>
          <w:tab w:val="left" w:pos="709"/>
        </w:tabs>
        <w:spacing w:after="240"/>
        <w:jc w:val="both"/>
        <w:rPr>
          <w:rFonts w:ascii="Arial" w:hAnsi="Arial" w:cs="Arial"/>
          <w:b/>
          <w:bCs/>
          <w:sz w:val="20"/>
        </w:rPr>
      </w:pPr>
      <w:r w:rsidRPr="009B4A78">
        <w:rPr>
          <w:rFonts w:ascii="Arial" w:hAnsi="Arial" w:cs="Arial"/>
          <w:b/>
          <w:sz w:val="20"/>
        </w:rPr>
        <w:lastRenderedPageBreak/>
        <w:t>Areas of specific activities.</w:t>
      </w:r>
      <w:r w:rsidRPr="009B4A78">
        <w:rPr>
          <w:rFonts w:ascii="Arial" w:hAnsi="Arial" w:cs="Arial"/>
          <w:sz w:val="20"/>
        </w:rPr>
        <w:t xml:space="preserve">  The Program will continue to strengthen the development of human and professional skills, facilitate the modernization of IP infrastructure and the development of appropriate IP legal and regulatory frameworks, taking into account the specific commitments and national development objectives of the recipient countries, and promoting accessions to WIPO administered treaties and conventions. In these undertakings Regional Bureaus have a pivotal role as overall coordinators to ensure efficient and effective planning and implementation of coherent and concrete deliverables in Member States.  </w:t>
      </w:r>
    </w:p>
    <w:p w14:paraId="1668D753" w14:textId="77777777" w:rsidR="00B65F7B" w:rsidRPr="009B4A78" w:rsidRDefault="00B65F7B" w:rsidP="00F33E49">
      <w:pPr>
        <w:pStyle w:val="ListParagraph"/>
        <w:tabs>
          <w:tab w:val="left" w:pos="709"/>
        </w:tabs>
        <w:jc w:val="both"/>
        <w:rPr>
          <w:rFonts w:ascii="Arial" w:hAnsi="Arial" w:cs="Arial"/>
          <w:sz w:val="20"/>
        </w:rPr>
      </w:pPr>
    </w:p>
    <w:p w14:paraId="4F195841" w14:textId="20913DBB" w:rsidR="00B65F7B" w:rsidRPr="009B4A78"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 xml:space="preserve">The special focus on LDCs will be reinforced in order to respond to increasing individual and common needs. Special emphasis will be given to develop the national and technological IP capacity of LDCs to assist in achieving their main development goals of poverty alleviation, economic growth and social and cultural development. </w:t>
      </w:r>
      <w:r w:rsidR="008D0DE4">
        <w:rPr>
          <w:rFonts w:ascii="Arial" w:hAnsi="Arial" w:cs="Arial"/>
          <w:sz w:val="20"/>
        </w:rPr>
        <w:t>The</w:t>
      </w:r>
      <w:r w:rsidR="001339CA">
        <w:rPr>
          <w:rFonts w:ascii="Arial" w:hAnsi="Arial" w:cs="Arial"/>
          <w:sz w:val="20"/>
        </w:rPr>
        <w:t xml:space="preserve"> </w:t>
      </w:r>
      <w:r w:rsidRPr="009B4A78">
        <w:rPr>
          <w:rFonts w:ascii="Arial" w:hAnsi="Arial" w:cs="Arial"/>
          <w:sz w:val="20"/>
        </w:rPr>
        <w:t xml:space="preserve">WIPO </w:t>
      </w:r>
      <w:r w:rsidR="008D0DE4">
        <w:rPr>
          <w:rFonts w:ascii="Arial" w:hAnsi="Arial" w:cs="Arial"/>
          <w:sz w:val="20"/>
        </w:rPr>
        <w:t>program</w:t>
      </w:r>
      <w:r w:rsidR="00B81E77">
        <w:rPr>
          <w:rFonts w:ascii="Arial" w:hAnsi="Arial" w:cs="Arial"/>
          <w:sz w:val="20"/>
        </w:rPr>
        <w:t xml:space="preserve"> of work</w:t>
      </w:r>
      <w:r w:rsidR="008D0DE4">
        <w:rPr>
          <w:rFonts w:ascii="Arial" w:hAnsi="Arial" w:cs="Arial"/>
          <w:sz w:val="20"/>
        </w:rPr>
        <w:t xml:space="preserve"> for LDCs</w:t>
      </w:r>
      <w:r w:rsidR="001339CA">
        <w:rPr>
          <w:rFonts w:ascii="Arial" w:hAnsi="Arial" w:cs="Arial"/>
          <w:sz w:val="20"/>
        </w:rPr>
        <w:t xml:space="preserve"> </w:t>
      </w:r>
      <w:r w:rsidRPr="009B4A78">
        <w:rPr>
          <w:rFonts w:ascii="Arial" w:hAnsi="Arial" w:cs="Arial"/>
          <w:sz w:val="20"/>
        </w:rPr>
        <w:t xml:space="preserve">will, in particular, continue supporting activities within the priority areas identified in the WIPO Deliverables, adopted on the occasion of the Fourth United Nations Conference on the LDCs (LDC IV) and designed to contribute towards the implementation of the Istanbul Programme of Action (IPoA). </w:t>
      </w:r>
    </w:p>
    <w:p w14:paraId="1A5B8BEF" w14:textId="77777777" w:rsidR="00B65F7B" w:rsidRPr="009B4A78" w:rsidRDefault="00B65F7B" w:rsidP="00F33E49">
      <w:pPr>
        <w:pStyle w:val="ListParagraph"/>
        <w:tabs>
          <w:tab w:val="left" w:pos="709"/>
        </w:tabs>
        <w:jc w:val="both"/>
        <w:rPr>
          <w:rFonts w:ascii="Arial" w:hAnsi="Arial" w:cs="Arial"/>
          <w:sz w:val="20"/>
        </w:rPr>
      </w:pPr>
    </w:p>
    <w:p w14:paraId="45140CE4" w14:textId="77777777" w:rsidR="00B65F7B" w:rsidRPr="009B4A78"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Noting the increasing relevance of sub-regional, regional as well as interregional cooperation, including South-South cooperation, among developing countries, the Regional Bureaus will play an instrumental role in facilitating the modalities of this horizontal cooperation.  This will include strengthening partnerships between and among countries and regions, especially in the context of existing sub-regional or regional groupings.  The Program will ensure a coherent planning and reporting of South South activities at the Organizational level and interface with all internal and external stakeholders.</w:t>
      </w:r>
    </w:p>
    <w:p w14:paraId="2D3F6218" w14:textId="77777777" w:rsidR="00B65F7B" w:rsidRPr="009B4A78" w:rsidRDefault="00B65F7B" w:rsidP="00F33E49">
      <w:pPr>
        <w:pStyle w:val="ListParagraph"/>
        <w:tabs>
          <w:tab w:val="left" w:pos="709"/>
        </w:tabs>
        <w:rPr>
          <w:rFonts w:ascii="Arial" w:hAnsi="Arial" w:cs="Arial"/>
          <w:sz w:val="20"/>
        </w:rPr>
      </w:pPr>
    </w:p>
    <w:p w14:paraId="73A2EF55" w14:textId="4D8BED3D" w:rsidR="00B65F7B" w:rsidRPr="009B4A78"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 xml:space="preserve">Existing databases (IP-TAD, IP-ROC and IP-DMD) have proved to be a useful tool to monitor and orient the Organization's development cooperation. During the biennium, these databases will be synchronized with the Enterprise Performance Management system in order to </w:t>
      </w:r>
      <w:r w:rsidR="00AF5A57" w:rsidRPr="009B4A78">
        <w:rPr>
          <w:rFonts w:ascii="Arial" w:hAnsi="Arial" w:cs="Arial"/>
          <w:sz w:val="20"/>
        </w:rPr>
        <w:t>automat</w:t>
      </w:r>
      <w:r w:rsidR="00AF5A57">
        <w:rPr>
          <w:rFonts w:ascii="Arial" w:hAnsi="Arial" w:cs="Arial"/>
          <w:sz w:val="20"/>
        </w:rPr>
        <w:t>e</w:t>
      </w:r>
      <w:r w:rsidR="00AF5A57" w:rsidRPr="009B4A78">
        <w:rPr>
          <w:rFonts w:ascii="Arial" w:hAnsi="Arial" w:cs="Arial"/>
          <w:sz w:val="20"/>
        </w:rPr>
        <w:t xml:space="preserve"> </w:t>
      </w:r>
      <w:r w:rsidRPr="009B4A78">
        <w:rPr>
          <w:rFonts w:ascii="Arial" w:hAnsi="Arial" w:cs="Arial"/>
          <w:sz w:val="20"/>
        </w:rPr>
        <w:t>data entries.  This will ensure that Member States and other users have access to the most current information on development cooperation activities.  In addition, new tools, intended to facilitate the process of formulation of national IP strategies, as well as the assessment of South-South cooperation projects, will continue to be developed and implemented.</w:t>
      </w:r>
    </w:p>
    <w:p w14:paraId="4CC48E0F" w14:textId="77777777" w:rsidR="00B65F7B" w:rsidRPr="009B4A78" w:rsidRDefault="00B65F7B" w:rsidP="00F33E49">
      <w:pPr>
        <w:pStyle w:val="ListParagraph"/>
        <w:tabs>
          <w:tab w:val="left" w:pos="709"/>
        </w:tabs>
        <w:jc w:val="both"/>
        <w:rPr>
          <w:rFonts w:ascii="Arial" w:hAnsi="Arial" w:cs="Arial"/>
          <w:sz w:val="20"/>
        </w:rPr>
      </w:pPr>
    </w:p>
    <w:p w14:paraId="2B8AAACB" w14:textId="77777777" w:rsidR="00B65F7B"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 xml:space="preserve">Cooperation with UN Bodies and other relevant intergovernmental organizational and non-governmental institutions will continue to be promoted as a means to mobilize and pool more resources and expertise for higher impact.  No effort will be spared to constantly improve the quality and effectiveness of technical cooperation, focusing on concrete and tangible results, and to ensure sustainability and continuity of programs. </w:t>
      </w:r>
    </w:p>
    <w:p w14:paraId="3671396B" w14:textId="77777777" w:rsidR="007A5A68" w:rsidRPr="00FB68E0" w:rsidRDefault="007A5A68" w:rsidP="00FB68E0">
      <w:pPr>
        <w:pStyle w:val="ListParagraph"/>
        <w:rPr>
          <w:rFonts w:ascii="Arial" w:hAnsi="Arial" w:cs="Arial"/>
          <w:sz w:val="20"/>
        </w:rPr>
      </w:pPr>
    </w:p>
    <w:p w14:paraId="199B81AD" w14:textId="5DFFB643" w:rsidR="007A5A68" w:rsidRPr="00CB32BD" w:rsidRDefault="007A5A68" w:rsidP="00B66A4A">
      <w:pPr>
        <w:numPr>
          <w:ilvl w:val="0"/>
          <w:numId w:val="11"/>
        </w:numPr>
        <w:jc w:val="both"/>
        <w:rPr>
          <w:rFonts w:ascii="Arial" w:hAnsi="Arial" w:cs="Arial"/>
          <w:sz w:val="20"/>
          <w:szCs w:val="20"/>
        </w:rPr>
      </w:pPr>
      <w:r>
        <w:rPr>
          <w:rFonts w:ascii="Arial" w:hAnsi="Arial" w:cs="Arial"/>
          <w:sz w:val="20"/>
          <w:szCs w:val="20"/>
        </w:rPr>
        <w:t xml:space="preserve">Program 9 collaborates primarily with </w:t>
      </w:r>
      <w:r w:rsidRPr="00CB32BD">
        <w:rPr>
          <w:rFonts w:ascii="Arial" w:hAnsi="Arial" w:cs="Arial"/>
          <w:sz w:val="20"/>
          <w:szCs w:val="20"/>
        </w:rPr>
        <w:t xml:space="preserve">other Programs as illustrated below: </w:t>
      </w:r>
    </w:p>
    <w:p w14:paraId="3FB5A469" w14:textId="77777777" w:rsidR="007A5A68" w:rsidRPr="009B4A78" w:rsidRDefault="007A5A68" w:rsidP="00FB68E0">
      <w:pPr>
        <w:pStyle w:val="ListParagraph"/>
        <w:tabs>
          <w:tab w:val="left" w:pos="709"/>
        </w:tabs>
        <w:spacing w:after="240"/>
        <w:ind w:left="0"/>
        <w:jc w:val="both"/>
        <w:rPr>
          <w:rFonts w:ascii="Arial" w:hAnsi="Arial" w:cs="Arial"/>
          <w:sz w:val="20"/>
        </w:rPr>
      </w:pPr>
    </w:p>
    <w:p w14:paraId="01C70351" w14:textId="77777777" w:rsidR="00B65F7B" w:rsidRPr="009B4A78" w:rsidRDefault="00B65F7B" w:rsidP="00F33E49">
      <w:pPr>
        <w:pStyle w:val="ListParagraph"/>
        <w:rPr>
          <w:rFonts w:ascii="Arial" w:hAnsi="Arial" w:cs="Arial"/>
        </w:rPr>
      </w:pPr>
    </w:p>
    <w:p w14:paraId="4AD6FE89" w14:textId="2391089E" w:rsidR="00B65F7B" w:rsidRPr="009B4A78" w:rsidRDefault="00EB2496" w:rsidP="00F33E49">
      <w:pPr>
        <w:jc w:val="both"/>
        <w:rPr>
          <w:rFonts w:ascii="Arial" w:hAnsi="Arial" w:cs="Arial"/>
        </w:rPr>
      </w:pPr>
      <w:r>
        <w:rPr>
          <w:rFonts w:ascii="Arial" w:eastAsia="Times New Roman" w:hAnsi="Arial" w:cs="Arial"/>
          <w:noProof/>
          <w:szCs w:val="20"/>
          <w:lang w:eastAsia="en-US"/>
        </w:rPr>
        <w:drawing>
          <wp:inline distT="0" distB="0" distL="0" distR="0" wp14:anchorId="73DEB4B5" wp14:editId="41C788FB">
            <wp:extent cx="5943600" cy="2703830"/>
            <wp:effectExtent l="0" t="19050" r="0" b="0"/>
            <wp:docPr id="981" name="Diagram 98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34EFABE2" w14:textId="56A61217" w:rsidR="00B65F7B" w:rsidRPr="009B4A78" w:rsidRDefault="00B65F7B">
      <w:pPr>
        <w:rPr>
          <w:rFonts w:ascii="Arial" w:eastAsia="SimSun" w:hAnsi="Arial" w:cs="Arial"/>
          <w:bCs/>
          <w:iCs/>
          <w:caps/>
          <w:szCs w:val="28"/>
        </w:rPr>
      </w:pPr>
    </w:p>
    <w:p w14:paraId="69A1CCF9" w14:textId="77777777" w:rsidR="00B65F7B" w:rsidRPr="009B4A78" w:rsidRDefault="00B65F7B" w:rsidP="00FB68E0">
      <w:pPr>
        <w:keepNext/>
        <w:keepLines/>
        <w:rPr>
          <w:rFonts w:ascii="Arial" w:hAnsi="Arial" w:cs="Arial"/>
        </w:rPr>
      </w:pPr>
      <w:r w:rsidRPr="009B4A78">
        <w:rPr>
          <w:rFonts w:ascii="Arial" w:hAnsi="Arial" w:cs="Arial"/>
        </w:rPr>
        <w:lastRenderedPageBreak/>
        <w:t>MAJOR RISKS AND MITIGATION STRATEGIES</w:t>
      </w:r>
    </w:p>
    <w:p w14:paraId="7F415E6B" w14:textId="77777777" w:rsidR="00B65F7B" w:rsidRPr="009B4A78" w:rsidRDefault="00B65F7B" w:rsidP="00FB68E0">
      <w:pPr>
        <w:keepNext/>
        <w:keepLines/>
        <w:rPr>
          <w:rFonts w:ascii="Arial" w:hAnsi="Arial" w:cs="Arial"/>
        </w:rPr>
      </w:pPr>
    </w:p>
    <w:tbl>
      <w:tblPr>
        <w:tblW w:w="930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51"/>
        <w:gridCol w:w="5153"/>
      </w:tblGrid>
      <w:tr w:rsidR="00B65F7B" w:rsidRPr="009B4A78" w14:paraId="77FFDC5F" w14:textId="77777777" w:rsidTr="008D4CE9">
        <w:trPr>
          <w:trHeight w:val="589"/>
        </w:trPr>
        <w:tc>
          <w:tcPr>
            <w:tcW w:w="4151" w:type="dxa"/>
            <w:tcBorders>
              <w:top w:val="single" w:sz="4" w:space="0" w:color="auto"/>
              <w:bottom w:val="single" w:sz="4" w:space="0" w:color="auto"/>
            </w:tcBorders>
            <w:shd w:val="clear" w:color="auto" w:fill="C6D9F1" w:themeFill="text2" w:themeFillTint="33"/>
            <w:vAlign w:val="center"/>
          </w:tcPr>
          <w:p w14:paraId="09D039A4" w14:textId="77777777" w:rsidR="00B65F7B" w:rsidRPr="009B4A78" w:rsidRDefault="00B65F7B" w:rsidP="00FB68E0">
            <w:pPr>
              <w:keepNext/>
              <w:keepLines/>
              <w:jc w:val="center"/>
              <w:rPr>
                <w:rFonts w:ascii="Arial" w:hAnsi="Arial" w:cs="Arial"/>
                <w:b/>
                <w:bCs/>
                <w:sz w:val="18"/>
                <w:szCs w:val="18"/>
              </w:rPr>
            </w:pPr>
            <w:r w:rsidRPr="009B4A78">
              <w:rPr>
                <w:rFonts w:ascii="Arial" w:hAnsi="Arial" w:cs="Arial"/>
                <w:b/>
                <w:bCs/>
                <w:sz w:val="18"/>
                <w:szCs w:val="18"/>
              </w:rPr>
              <w:t>Risk</w:t>
            </w:r>
          </w:p>
        </w:tc>
        <w:tc>
          <w:tcPr>
            <w:tcW w:w="5153" w:type="dxa"/>
            <w:tcBorders>
              <w:top w:val="single" w:sz="4" w:space="0" w:color="auto"/>
              <w:bottom w:val="single" w:sz="4" w:space="0" w:color="auto"/>
            </w:tcBorders>
            <w:shd w:val="clear" w:color="auto" w:fill="C6D9F1" w:themeFill="text2" w:themeFillTint="33"/>
            <w:vAlign w:val="center"/>
          </w:tcPr>
          <w:p w14:paraId="14400B58" w14:textId="77777777" w:rsidR="00B65F7B" w:rsidRPr="009B4A78" w:rsidRDefault="00B65F7B" w:rsidP="00FB68E0">
            <w:pPr>
              <w:keepNext/>
              <w:keepLines/>
              <w:jc w:val="center"/>
              <w:rPr>
                <w:rFonts w:ascii="Arial" w:hAnsi="Arial" w:cs="Arial"/>
                <w:b/>
                <w:bCs/>
                <w:sz w:val="18"/>
                <w:szCs w:val="18"/>
              </w:rPr>
            </w:pPr>
            <w:r w:rsidRPr="009B4A78">
              <w:rPr>
                <w:rFonts w:ascii="Arial" w:hAnsi="Arial" w:cs="Arial"/>
                <w:b/>
                <w:bCs/>
                <w:sz w:val="18"/>
                <w:szCs w:val="18"/>
              </w:rPr>
              <w:t>Mitigation</w:t>
            </w:r>
          </w:p>
        </w:tc>
      </w:tr>
      <w:tr w:rsidR="00B65F7B" w:rsidRPr="009B4A78" w14:paraId="196D90C2" w14:textId="77777777" w:rsidTr="008D4CE9">
        <w:trPr>
          <w:trHeight w:val="265"/>
        </w:trPr>
        <w:tc>
          <w:tcPr>
            <w:tcW w:w="4151" w:type="dxa"/>
            <w:tcBorders>
              <w:top w:val="single" w:sz="4" w:space="0" w:color="auto"/>
            </w:tcBorders>
            <w:shd w:val="clear" w:color="auto" w:fill="auto"/>
            <w:tcMar>
              <w:top w:w="113" w:type="dxa"/>
              <w:bottom w:w="113" w:type="dxa"/>
            </w:tcMar>
          </w:tcPr>
          <w:p w14:paraId="2DB62B90" w14:textId="77777777" w:rsidR="00B65F7B" w:rsidRPr="009B4A78" w:rsidRDefault="00B65F7B" w:rsidP="00FB68E0">
            <w:pPr>
              <w:keepNext/>
              <w:keepLines/>
              <w:rPr>
                <w:rFonts w:ascii="Arial" w:hAnsi="Arial" w:cs="Arial"/>
                <w:sz w:val="16"/>
                <w:szCs w:val="16"/>
              </w:rPr>
            </w:pPr>
            <w:r w:rsidRPr="009B4A78">
              <w:rPr>
                <w:rFonts w:ascii="Arial" w:hAnsi="Arial" w:cs="Arial"/>
                <w:sz w:val="16"/>
                <w:szCs w:val="16"/>
              </w:rPr>
              <w:t>Political change leading to IP policy changes at the national level may affect the delivery of services.</w:t>
            </w:r>
          </w:p>
          <w:p w14:paraId="40B20150" w14:textId="77777777" w:rsidR="00B65F7B" w:rsidRPr="009B4A78" w:rsidRDefault="00B65F7B" w:rsidP="00FB68E0">
            <w:pPr>
              <w:keepNext/>
              <w:keepLines/>
              <w:rPr>
                <w:rFonts w:ascii="Arial" w:hAnsi="Arial" w:cs="Arial"/>
                <w:sz w:val="16"/>
                <w:szCs w:val="16"/>
              </w:rPr>
            </w:pPr>
          </w:p>
          <w:p w14:paraId="07E93747" w14:textId="77777777" w:rsidR="00B65F7B" w:rsidRPr="009B4A78" w:rsidRDefault="00B65F7B" w:rsidP="00FB68E0">
            <w:pPr>
              <w:keepNext/>
              <w:keepLines/>
              <w:rPr>
                <w:rFonts w:ascii="Arial" w:hAnsi="Arial" w:cs="Arial"/>
                <w:sz w:val="16"/>
                <w:szCs w:val="16"/>
              </w:rPr>
            </w:pPr>
          </w:p>
          <w:p w14:paraId="18FA50C6" w14:textId="77777777" w:rsidR="00B65F7B" w:rsidRPr="009B4A78" w:rsidRDefault="00B65F7B" w:rsidP="00FB68E0">
            <w:pPr>
              <w:keepNext/>
              <w:keepLines/>
              <w:rPr>
                <w:rFonts w:ascii="Arial" w:hAnsi="Arial" w:cs="Arial"/>
                <w:sz w:val="16"/>
                <w:szCs w:val="16"/>
              </w:rPr>
            </w:pPr>
            <w:r w:rsidRPr="009B4A78">
              <w:rPr>
                <w:rFonts w:ascii="Arial" w:hAnsi="Arial" w:cs="Arial"/>
                <w:sz w:val="16"/>
                <w:szCs w:val="16"/>
              </w:rPr>
              <w:t>Political instability in Member States and the resulting change in UN security assessment may result in delays in technical assistance delivery.</w:t>
            </w:r>
          </w:p>
        </w:tc>
        <w:tc>
          <w:tcPr>
            <w:tcW w:w="5153" w:type="dxa"/>
            <w:tcBorders>
              <w:top w:val="single" w:sz="4" w:space="0" w:color="auto"/>
            </w:tcBorders>
            <w:shd w:val="clear" w:color="auto" w:fill="auto"/>
            <w:tcMar>
              <w:top w:w="113" w:type="dxa"/>
              <w:bottom w:w="113" w:type="dxa"/>
            </w:tcMar>
          </w:tcPr>
          <w:p w14:paraId="55F97553" w14:textId="77777777" w:rsidR="00B65F7B" w:rsidRPr="009B4A78" w:rsidRDefault="00B65F7B" w:rsidP="00FB68E0">
            <w:pPr>
              <w:keepNext/>
              <w:keepLines/>
              <w:rPr>
                <w:rFonts w:ascii="Arial" w:hAnsi="Arial" w:cs="Arial"/>
                <w:color w:val="000000"/>
                <w:sz w:val="16"/>
              </w:rPr>
            </w:pPr>
            <w:r w:rsidRPr="009B4A78">
              <w:rPr>
                <w:rFonts w:ascii="Arial" w:hAnsi="Arial" w:cs="Arial"/>
                <w:color w:val="000000"/>
                <w:sz w:val="16"/>
              </w:rPr>
              <w:t>Flexibility retained to make adjustments in work plans for individual countries.</w:t>
            </w:r>
          </w:p>
          <w:p w14:paraId="5E16D03C" w14:textId="77777777" w:rsidR="00B65F7B" w:rsidRPr="009B4A78" w:rsidRDefault="00B65F7B" w:rsidP="00FB68E0">
            <w:pPr>
              <w:keepNext/>
              <w:keepLines/>
              <w:rPr>
                <w:rFonts w:ascii="Arial" w:hAnsi="Arial" w:cs="Arial"/>
                <w:color w:val="000000"/>
                <w:sz w:val="16"/>
              </w:rPr>
            </w:pPr>
          </w:p>
          <w:p w14:paraId="2C3F7AE5" w14:textId="77777777" w:rsidR="00B65F7B" w:rsidRPr="009B4A78" w:rsidRDefault="00B65F7B" w:rsidP="00FB68E0">
            <w:pPr>
              <w:keepNext/>
              <w:keepLines/>
              <w:rPr>
                <w:rFonts w:ascii="Arial" w:hAnsi="Arial" w:cs="Arial"/>
                <w:color w:val="000000"/>
                <w:sz w:val="16"/>
              </w:rPr>
            </w:pPr>
          </w:p>
          <w:p w14:paraId="1A5A68A7" w14:textId="77777777" w:rsidR="00B65F7B" w:rsidRPr="009B4A78" w:rsidRDefault="00B65F7B" w:rsidP="00FB68E0">
            <w:pPr>
              <w:keepNext/>
              <w:keepLines/>
              <w:rPr>
                <w:rFonts w:ascii="Arial" w:hAnsi="Arial" w:cs="Arial"/>
                <w:sz w:val="16"/>
                <w:szCs w:val="16"/>
              </w:rPr>
            </w:pPr>
            <w:r w:rsidRPr="009B4A78">
              <w:rPr>
                <w:rFonts w:ascii="Arial" w:hAnsi="Arial" w:cs="Arial"/>
                <w:color w:val="000000"/>
                <w:sz w:val="16"/>
              </w:rPr>
              <w:t xml:space="preserve">Monitoring with IP office and stakeholders to develop alternative plans. </w:t>
            </w:r>
          </w:p>
        </w:tc>
      </w:tr>
    </w:tbl>
    <w:p w14:paraId="1B571DE6" w14:textId="77777777" w:rsidR="00B65F7B" w:rsidRDefault="00B65F7B" w:rsidP="00FB68E0">
      <w:pPr>
        <w:keepNext/>
        <w:keepLines/>
        <w:spacing w:line="276" w:lineRule="auto"/>
        <w:rPr>
          <w:rFonts w:ascii="Arial" w:hAnsi="Arial" w:cs="Arial"/>
        </w:rPr>
      </w:pPr>
    </w:p>
    <w:p w14:paraId="67384505" w14:textId="77777777" w:rsidR="001B7766" w:rsidRPr="009B4A78" w:rsidRDefault="001B7766" w:rsidP="001B7766">
      <w:pPr>
        <w:spacing w:line="276" w:lineRule="auto"/>
        <w:rPr>
          <w:rFonts w:ascii="Arial" w:hAnsi="Arial" w:cs="Arial"/>
        </w:rPr>
      </w:pPr>
    </w:p>
    <w:p w14:paraId="7822B59A" w14:textId="77777777" w:rsidR="00B65F7B" w:rsidRPr="009B4A78" w:rsidRDefault="00B65F7B" w:rsidP="00F33E49">
      <w:pPr>
        <w:spacing w:after="200" w:line="276" w:lineRule="auto"/>
        <w:rPr>
          <w:rFonts w:ascii="Arial" w:hAnsi="Arial" w:cs="Arial"/>
        </w:rPr>
      </w:pPr>
      <w:r w:rsidRPr="009B4A78">
        <w:rPr>
          <w:rFonts w:ascii="Arial" w:hAnsi="Arial" w:cs="Arial"/>
        </w:rPr>
        <w:t>RESULTS FRAMEWORK</w:t>
      </w:r>
    </w:p>
    <w:tbl>
      <w:tblPr>
        <w:tblW w:w="9371" w:type="dxa"/>
        <w:tblInd w:w="93" w:type="dxa"/>
        <w:tblLook w:val="04A0" w:firstRow="1" w:lastRow="0" w:firstColumn="1" w:lastColumn="0" w:noHBand="0" w:noVBand="1"/>
      </w:tblPr>
      <w:tblGrid>
        <w:gridCol w:w="2280"/>
        <w:gridCol w:w="2180"/>
        <w:gridCol w:w="2760"/>
        <w:gridCol w:w="2151"/>
      </w:tblGrid>
      <w:tr w:rsidR="00B65F7B" w:rsidRPr="009B4A78" w14:paraId="6AD24DA6" w14:textId="77777777" w:rsidTr="00865AEC">
        <w:trPr>
          <w:trHeight w:val="615"/>
          <w:tblHeader/>
        </w:trPr>
        <w:tc>
          <w:tcPr>
            <w:tcW w:w="2280" w:type="dxa"/>
            <w:tcBorders>
              <w:top w:val="single" w:sz="4" w:space="0" w:color="auto"/>
              <w:left w:val="single" w:sz="4" w:space="0" w:color="auto"/>
              <w:bottom w:val="single" w:sz="4" w:space="0" w:color="auto"/>
              <w:right w:val="nil"/>
            </w:tcBorders>
            <w:shd w:val="clear" w:color="000000" w:fill="C5D9F1"/>
            <w:noWrap/>
            <w:tcMar>
              <w:top w:w="85" w:type="dxa"/>
            </w:tcMar>
            <w:vAlign w:val="center"/>
            <w:hideMark/>
          </w:tcPr>
          <w:p w14:paraId="669DC5DC" w14:textId="77777777" w:rsidR="00B65F7B" w:rsidRPr="009B4A78" w:rsidRDefault="00B65F7B" w:rsidP="00F33E49">
            <w:pPr>
              <w:jc w:val="center"/>
              <w:rPr>
                <w:rFonts w:ascii="Arial" w:hAnsi="Arial" w:cs="Arial"/>
                <w:b/>
                <w:bCs/>
                <w:color w:val="000000"/>
                <w:sz w:val="18"/>
                <w:szCs w:val="18"/>
              </w:rPr>
            </w:pPr>
            <w:r w:rsidRPr="009B4A78">
              <w:rPr>
                <w:rFonts w:ascii="Arial" w:hAnsi="Arial" w:cs="Arial"/>
                <w:b/>
                <w:bCs/>
                <w:color w:val="000000"/>
                <w:sz w:val="18"/>
                <w:szCs w:val="18"/>
              </w:rPr>
              <w:t>Expected Results</w:t>
            </w:r>
          </w:p>
        </w:tc>
        <w:tc>
          <w:tcPr>
            <w:tcW w:w="2180" w:type="dxa"/>
            <w:tcBorders>
              <w:top w:val="single" w:sz="4" w:space="0" w:color="auto"/>
              <w:left w:val="nil"/>
              <w:bottom w:val="single" w:sz="4" w:space="0" w:color="auto"/>
              <w:right w:val="nil"/>
            </w:tcBorders>
            <w:shd w:val="clear" w:color="000000" w:fill="C5D9F1"/>
            <w:noWrap/>
            <w:tcMar>
              <w:top w:w="85" w:type="dxa"/>
            </w:tcMar>
            <w:vAlign w:val="center"/>
            <w:hideMark/>
          </w:tcPr>
          <w:p w14:paraId="4DBC7EEF" w14:textId="77777777" w:rsidR="00B65F7B" w:rsidRPr="009B4A78" w:rsidRDefault="00B65F7B" w:rsidP="00F33E49">
            <w:pPr>
              <w:jc w:val="center"/>
              <w:rPr>
                <w:rFonts w:ascii="Arial" w:hAnsi="Arial" w:cs="Arial"/>
                <w:b/>
                <w:bCs/>
                <w:color w:val="000000"/>
                <w:sz w:val="18"/>
                <w:szCs w:val="18"/>
              </w:rPr>
            </w:pPr>
            <w:r w:rsidRPr="009B4A78">
              <w:rPr>
                <w:rFonts w:ascii="Arial" w:hAnsi="Arial" w:cs="Arial"/>
                <w:b/>
                <w:bCs/>
                <w:color w:val="000000"/>
                <w:sz w:val="18"/>
                <w:szCs w:val="18"/>
              </w:rPr>
              <w:t>Performance Indicators</w:t>
            </w:r>
          </w:p>
        </w:tc>
        <w:tc>
          <w:tcPr>
            <w:tcW w:w="2760" w:type="dxa"/>
            <w:tcBorders>
              <w:top w:val="single" w:sz="4" w:space="0" w:color="auto"/>
              <w:left w:val="nil"/>
              <w:bottom w:val="single" w:sz="4" w:space="0" w:color="auto"/>
              <w:right w:val="nil"/>
            </w:tcBorders>
            <w:shd w:val="clear" w:color="000000" w:fill="C5D9F1"/>
            <w:noWrap/>
            <w:tcMar>
              <w:top w:w="85" w:type="dxa"/>
            </w:tcMar>
            <w:vAlign w:val="center"/>
            <w:hideMark/>
          </w:tcPr>
          <w:p w14:paraId="535E73E2" w14:textId="77777777" w:rsidR="00B65F7B" w:rsidRPr="009B4A78" w:rsidRDefault="00B65F7B" w:rsidP="00F33E49">
            <w:pPr>
              <w:jc w:val="center"/>
              <w:rPr>
                <w:rFonts w:ascii="Arial" w:hAnsi="Arial" w:cs="Arial"/>
                <w:b/>
                <w:bCs/>
                <w:color w:val="000000"/>
                <w:sz w:val="18"/>
                <w:szCs w:val="18"/>
              </w:rPr>
            </w:pPr>
            <w:r w:rsidRPr="009B4A78">
              <w:rPr>
                <w:rFonts w:ascii="Arial" w:hAnsi="Arial" w:cs="Arial"/>
                <w:b/>
                <w:bCs/>
                <w:color w:val="000000"/>
                <w:sz w:val="18"/>
                <w:szCs w:val="18"/>
              </w:rPr>
              <w:t>Baselines</w:t>
            </w:r>
          </w:p>
        </w:tc>
        <w:tc>
          <w:tcPr>
            <w:tcW w:w="2151" w:type="dxa"/>
            <w:tcBorders>
              <w:top w:val="single" w:sz="4" w:space="0" w:color="auto"/>
              <w:left w:val="nil"/>
              <w:bottom w:val="single" w:sz="4" w:space="0" w:color="auto"/>
              <w:right w:val="single" w:sz="4" w:space="0" w:color="auto"/>
            </w:tcBorders>
            <w:shd w:val="clear" w:color="000000" w:fill="C5D9F1"/>
            <w:noWrap/>
            <w:tcMar>
              <w:top w:w="85" w:type="dxa"/>
            </w:tcMar>
            <w:vAlign w:val="center"/>
            <w:hideMark/>
          </w:tcPr>
          <w:p w14:paraId="699095DE" w14:textId="77777777" w:rsidR="00B65F7B" w:rsidRPr="009B4A78" w:rsidRDefault="00B65F7B" w:rsidP="00F33E49">
            <w:pPr>
              <w:jc w:val="center"/>
              <w:rPr>
                <w:rFonts w:ascii="Arial" w:hAnsi="Arial" w:cs="Arial"/>
                <w:b/>
                <w:bCs/>
                <w:color w:val="000000"/>
                <w:sz w:val="18"/>
                <w:szCs w:val="18"/>
              </w:rPr>
            </w:pPr>
            <w:r w:rsidRPr="009B4A78">
              <w:rPr>
                <w:rFonts w:ascii="Arial" w:hAnsi="Arial" w:cs="Arial"/>
                <w:b/>
                <w:bCs/>
                <w:color w:val="000000"/>
                <w:sz w:val="18"/>
                <w:szCs w:val="18"/>
              </w:rPr>
              <w:t>Targets</w:t>
            </w:r>
          </w:p>
        </w:tc>
      </w:tr>
      <w:tr w:rsidR="00B65F7B" w:rsidRPr="009B4A78" w14:paraId="03623D40" w14:textId="77777777" w:rsidTr="00865AEC">
        <w:trPr>
          <w:trHeight w:val="974"/>
        </w:trPr>
        <w:tc>
          <w:tcPr>
            <w:tcW w:w="2280" w:type="dxa"/>
            <w:tcBorders>
              <w:top w:val="nil"/>
              <w:left w:val="single" w:sz="4" w:space="0" w:color="auto"/>
              <w:bottom w:val="nil"/>
              <w:right w:val="nil"/>
            </w:tcBorders>
            <w:shd w:val="clear" w:color="000000" w:fill="FFFFFF"/>
            <w:tcMar>
              <w:top w:w="85" w:type="dxa"/>
            </w:tcMar>
            <w:hideMark/>
          </w:tcPr>
          <w:p w14:paraId="20F9B7A4"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I.2 Tailored and balanced IP legislative, regulatory and policy frameworks</w:t>
            </w:r>
          </w:p>
        </w:tc>
        <w:tc>
          <w:tcPr>
            <w:tcW w:w="2180" w:type="dxa"/>
            <w:tcBorders>
              <w:top w:val="nil"/>
              <w:left w:val="nil"/>
              <w:bottom w:val="nil"/>
              <w:right w:val="nil"/>
            </w:tcBorders>
            <w:shd w:val="clear" w:color="000000" w:fill="FFFFFF"/>
            <w:tcMar>
              <w:top w:w="85" w:type="dxa"/>
            </w:tcMar>
            <w:hideMark/>
          </w:tcPr>
          <w:p w14:paraId="2706DC6E"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and/or % of countries providing positive feedback on WIPO’s Legislative policy advice</w:t>
            </w:r>
          </w:p>
        </w:tc>
        <w:tc>
          <w:tcPr>
            <w:tcW w:w="2760" w:type="dxa"/>
            <w:tcBorders>
              <w:top w:val="nil"/>
              <w:left w:val="nil"/>
              <w:bottom w:val="nil"/>
              <w:right w:val="nil"/>
            </w:tcBorders>
            <w:shd w:val="clear" w:color="000000" w:fill="FFFFFF"/>
            <w:tcMar>
              <w:top w:w="85" w:type="dxa"/>
            </w:tcMar>
            <w:hideMark/>
          </w:tcPr>
          <w:p w14:paraId="4D43373C"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Regional breakdowns to be determined in cooperation with Programs 1, 2, 3 and 4</w:t>
            </w:r>
          </w:p>
        </w:tc>
        <w:tc>
          <w:tcPr>
            <w:tcW w:w="2151" w:type="dxa"/>
            <w:tcBorders>
              <w:top w:val="nil"/>
              <w:left w:val="nil"/>
              <w:bottom w:val="nil"/>
              <w:right w:val="single" w:sz="4" w:space="0" w:color="auto"/>
            </w:tcBorders>
            <w:shd w:val="clear" w:color="000000" w:fill="FFFFFF"/>
            <w:tcMar>
              <w:top w:w="85" w:type="dxa"/>
            </w:tcMar>
            <w:hideMark/>
          </w:tcPr>
          <w:p w14:paraId="26AAD962"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Africa (90%)</w:t>
            </w:r>
            <w:r w:rsidRPr="009B4A78">
              <w:rPr>
                <w:rFonts w:ascii="Arial" w:hAnsi="Arial" w:cs="Arial"/>
                <w:color w:val="000000"/>
                <w:sz w:val="16"/>
                <w:szCs w:val="16"/>
              </w:rPr>
              <w:br/>
              <w:t>Arab (90%)</w:t>
            </w:r>
            <w:r w:rsidRPr="009B4A78">
              <w:rPr>
                <w:rFonts w:ascii="Arial" w:hAnsi="Arial" w:cs="Arial"/>
                <w:color w:val="000000"/>
                <w:sz w:val="16"/>
                <w:szCs w:val="16"/>
              </w:rPr>
              <w:br/>
              <w:t>Asia and Pacific (90%)</w:t>
            </w:r>
            <w:r w:rsidRPr="009B4A78">
              <w:rPr>
                <w:rFonts w:ascii="Arial" w:hAnsi="Arial" w:cs="Arial"/>
                <w:color w:val="000000"/>
                <w:sz w:val="16"/>
                <w:szCs w:val="16"/>
              </w:rPr>
              <w:br/>
              <w:t>Latin America &amp; the Caribbean (90%)</w:t>
            </w:r>
          </w:p>
        </w:tc>
      </w:tr>
      <w:tr w:rsidR="003C2E0B" w:rsidRPr="009B4A78" w14:paraId="58C7C46C" w14:textId="77777777" w:rsidTr="00C90AAF">
        <w:trPr>
          <w:trHeight w:val="1475"/>
        </w:trPr>
        <w:tc>
          <w:tcPr>
            <w:tcW w:w="2280" w:type="dxa"/>
            <w:tcBorders>
              <w:top w:val="nil"/>
              <w:left w:val="single" w:sz="4" w:space="0" w:color="auto"/>
              <w:right w:val="nil"/>
            </w:tcBorders>
            <w:shd w:val="clear" w:color="000000" w:fill="FFFFFF"/>
            <w:tcMar>
              <w:top w:w="85" w:type="dxa"/>
            </w:tcMar>
          </w:tcPr>
          <w:p w14:paraId="491E099E" w14:textId="6C94C7E4" w:rsidR="003C2E0B" w:rsidRPr="009B4A78" w:rsidRDefault="003C2E0B" w:rsidP="00F33E49">
            <w:pPr>
              <w:rPr>
                <w:rFonts w:ascii="Arial" w:hAnsi="Arial" w:cs="Arial"/>
                <w:color w:val="000000"/>
                <w:sz w:val="16"/>
                <w:szCs w:val="16"/>
              </w:rPr>
            </w:pPr>
            <w:r w:rsidRPr="001B7766">
              <w:rPr>
                <w:rFonts w:ascii="Arial" w:hAnsi="Arial" w:cs="Arial"/>
                <w:color w:val="000000"/>
                <w:sz w:val="16"/>
                <w:szCs w:val="16"/>
              </w:rPr>
              <w:t>II.1 Wider and more effective use of the PCT system for filing international patent applications</w:t>
            </w:r>
          </w:p>
        </w:tc>
        <w:tc>
          <w:tcPr>
            <w:tcW w:w="2180" w:type="dxa"/>
            <w:tcBorders>
              <w:top w:val="nil"/>
              <w:left w:val="nil"/>
              <w:right w:val="nil"/>
            </w:tcBorders>
            <w:shd w:val="clear" w:color="000000" w:fill="FFFFFF"/>
            <w:tcMar>
              <w:top w:w="85" w:type="dxa"/>
            </w:tcMar>
          </w:tcPr>
          <w:p w14:paraId="2063C7AB" w14:textId="08E9C9B7" w:rsidR="003C2E0B" w:rsidRPr="009B4A78" w:rsidRDefault="003C2E0B" w:rsidP="00A2699E">
            <w:pPr>
              <w:rPr>
                <w:rFonts w:ascii="Arial" w:hAnsi="Arial" w:cs="Arial"/>
                <w:color w:val="000000"/>
                <w:sz w:val="16"/>
                <w:szCs w:val="16"/>
              </w:rPr>
            </w:pPr>
            <w:r w:rsidRPr="001B7766">
              <w:rPr>
                <w:rFonts w:ascii="Arial" w:hAnsi="Arial" w:cs="Arial"/>
                <w:color w:val="000000"/>
                <w:sz w:val="16"/>
                <w:szCs w:val="16"/>
              </w:rPr>
              <w:t xml:space="preserve">No. of PCT applications originating from </w:t>
            </w:r>
            <w:r>
              <w:rPr>
                <w:rFonts w:ascii="Arial" w:hAnsi="Arial" w:cs="Arial"/>
                <w:color w:val="000000"/>
                <w:sz w:val="16"/>
                <w:szCs w:val="16"/>
              </w:rPr>
              <w:t>developing countries and LDCs.</w:t>
            </w:r>
          </w:p>
        </w:tc>
        <w:tc>
          <w:tcPr>
            <w:tcW w:w="2760" w:type="dxa"/>
            <w:tcBorders>
              <w:top w:val="nil"/>
              <w:left w:val="nil"/>
              <w:right w:val="nil"/>
            </w:tcBorders>
            <w:shd w:val="clear" w:color="000000" w:fill="FFFFFF"/>
            <w:tcMar>
              <w:top w:w="85" w:type="dxa"/>
            </w:tcMar>
          </w:tcPr>
          <w:p w14:paraId="77E46359" w14:textId="5F65D96C" w:rsidR="003C2E0B" w:rsidRDefault="007202F3" w:rsidP="009539C7">
            <w:pPr>
              <w:rPr>
                <w:rFonts w:ascii="Arial" w:hAnsi="Arial" w:cs="Arial"/>
                <w:sz w:val="16"/>
                <w:szCs w:val="16"/>
              </w:rPr>
            </w:pPr>
            <w:r>
              <w:rPr>
                <w:rFonts w:ascii="Arial" w:hAnsi="Arial" w:cs="Arial"/>
                <w:sz w:val="16"/>
                <w:szCs w:val="16"/>
              </w:rPr>
              <w:t>43,972</w:t>
            </w:r>
            <w:r w:rsidR="003C2E0B">
              <w:rPr>
                <w:rFonts w:ascii="Arial" w:hAnsi="Arial" w:cs="Arial"/>
                <w:sz w:val="16"/>
                <w:szCs w:val="16"/>
              </w:rPr>
              <w:t xml:space="preserve"> (2014)</w:t>
            </w:r>
          </w:p>
          <w:p w14:paraId="0FC44033" w14:textId="34E3D5CA" w:rsidR="003C2E0B" w:rsidRDefault="003C2E0B" w:rsidP="009539C7">
            <w:pPr>
              <w:pStyle w:val="ListParagraph"/>
              <w:numPr>
                <w:ilvl w:val="0"/>
                <w:numId w:val="76"/>
              </w:numPr>
              <w:contextualSpacing w:val="0"/>
              <w:rPr>
                <w:rFonts w:ascii="Arial" w:hAnsi="Arial" w:cs="Arial"/>
                <w:sz w:val="16"/>
                <w:szCs w:val="16"/>
              </w:rPr>
            </w:pPr>
            <w:r>
              <w:rPr>
                <w:rFonts w:ascii="Arial" w:hAnsi="Arial" w:cs="Arial"/>
                <w:sz w:val="16"/>
                <w:szCs w:val="16"/>
              </w:rPr>
              <w:t>Africa (</w:t>
            </w:r>
            <w:r w:rsidR="007202F3">
              <w:rPr>
                <w:rFonts w:ascii="Arial" w:hAnsi="Arial" w:cs="Arial"/>
                <w:sz w:val="16"/>
                <w:szCs w:val="16"/>
              </w:rPr>
              <w:t>352</w:t>
            </w:r>
            <w:r>
              <w:rPr>
                <w:rFonts w:ascii="Arial" w:hAnsi="Arial" w:cs="Arial"/>
                <w:sz w:val="16"/>
                <w:szCs w:val="16"/>
              </w:rPr>
              <w:t>)</w:t>
            </w:r>
          </w:p>
          <w:p w14:paraId="76DFA989" w14:textId="7BD48647" w:rsidR="003C2E0B" w:rsidRDefault="003C2E0B" w:rsidP="009539C7">
            <w:pPr>
              <w:pStyle w:val="ListParagraph"/>
              <w:numPr>
                <w:ilvl w:val="0"/>
                <w:numId w:val="76"/>
              </w:numPr>
              <w:contextualSpacing w:val="0"/>
              <w:rPr>
                <w:rFonts w:ascii="Arial" w:hAnsi="Arial" w:cs="Arial"/>
                <w:sz w:val="16"/>
                <w:szCs w:val="16"/>
              </w:rPr>
            </w:pPr>
            <w:r>
              <w:rPr>
                <w:rFonts w:ascii="Arial" w:hAnsi="Arial" w:cs="Arial"/>
                <w:sz w:val="16"/>
                <w:szCs w:val="16"/>
              </w:rPr>
              <w:t>Arab (</w:t>
            </w:r>
            <w:r w:rsidR="007202F3">
              <w:rPr>
                <w:rFonts w:ascii="Arial" w:hAnsi="Arial" w:cs="Arial"/>
                <w:sz w:val="16"/>
                <w:szCs w:val="16"/>
              </w:rPr>
              <w:t>616</w:t>
            </w:r>
            <w:r>
              <w:rPr>
                <w:rFonts w:ascii="Arial" w:hAnsi="Arial" w:cs="Arial"/>
                <w:sz w:val="16"/>
                <w:szCs w:val="16"/>
              </w:rPr>
              <w:t>)</w:t>
            </w:r>
          </w:p>
          <w:p w14:paraId="7D77D1C5" w14:textId="079799B2" w:rsidR="003C2E0B" w:rsidRDefault="003C2E0B" w:rsidP="009539C7">
            <w:pPr>
              <w:pStyle w:val="ListParagraph"/>
              <w:numPr>
                <w:ilvl w:val="0"/>
                <w:numId w:val="76"/>
              </w:numPr>
              <w:contextualSpacing w:val="0"/>
              <w:rPr>
                <w:rFonts w:ascii="Arial" w:hAnsi="Arial" w:cs="Arial"/>
                <w:sz w:val="16"/>
                <w:szCs w:val="16"/>
              </w:rPr>
            </w:pPr>
            <w:r>
              <w:rPr>
                <w:rFonts w:ascii="Arial" w:hAnsi="Arial" w:cs="Arial"/>
                <w:sz w:val="16"/>
                <w:szCs w:val="16"/>
              </w:rPr>
              <w:t>Asia and the Pacific (</w:t>
            </w:r>
            <w:r w:rsidR="007202F3">
              <w:rPr>
                <w:rFonts w:ascii="Arial" w:hAnsi="Arial" w:cs="Arial"/>
                <w:sz w:val="16"/>
                <w:szCs w:val="16"/>
              </w:rPr>
              <w:t>41,569</w:t>
            </w:r>
            <w:r>
              <w:rPr>
                <w:rFonts w:ascii="Arial" w:hAnsi="Arial" w:cs="Arial"/>
                <w:sz w:val="16"/>
                <w:szCs w:val="16"/>
              </w:rPr>
              <w:t>)</w:t>
            </w:r>
          </w:p>
          <w:p w14:paraId="2C17C3E0" w14:textId="77777777" w:rsidR="00081691" w:rsidRDefault="00081691" w:rsidP="008D4CE9">
            <w:pPr>
              <w:pStyle w:val="ListParagraph"/>
              <w:ind w:left="360"/>
              <w:contextualSpacing w:val="0"/>
              <w:rPr>
                <w:rFonts w:ascii="Arial" w:hAnsi="Arial" w:cs="Arial"/>
                <w:sz w:val="16"/>
                <w:szCs w:val="16"/>
              </w:rPr>
            </w:pPr>
          </w:p>
          <w:p w14:paraId="2EEFB9B9" w14:textId="63A22684" w:rsidR="003C2E0B" w:rsidRPr="008D4CE9" w:rsidRDefault="003C2E0B">
            <w:pPr>
              <w:pStyle w:val="ListParagraph"/>
              <w:numPr>
                <w:ilvl w:val="0"/>
                <w:numId w:val="76"/>
              </w:numPr>
              <w:contextualSpacing w:val="0"/>
              <w:rPr>
                <w:rFonts w:ascii="Arial" w:hAnsi="Arial" w:cs="Arial"/>
                <w:sz w:val="16"/>
                <w:szCs w:val="16"/>
              </w:rPr>
            </w:pPr>
            <w:r>
              <w:rPr>
                <w:rFonts w:ascii="Arial" w:hAnsi="Arial" w:cs="Arial"/>
                <w:sz w:val="16"/>
                <w:szCs w:val="16"/>
              </w:rPr>
              <w:t>Latin America and the Caribbean (</w:t>
            </w:r>
            <w:r w:rsidR="007202F3">
              <w:rPr>
                <w:rFonts w:ascii="Arial" w:hAnsi="Arial" w:cs="Arial"/>
                <w:sz w:val="16"/>
                <w:szCs w:val="16"/>
              </w:rPr>
              <w:t>1,412</w:t>
            </w:r>
            <w:r>
              <w:rPr>
                <w:rFonts w:ascii="Arial" w:hAnsi="Arial" w:cs="Arial"/>
                <w:sz w:val="16"/>
                <w:szCs w:val="16"/>
              </w:rPr>
              <w:t>)</w:t>
            </w:r>
          </w:p>
        </w:tc>
        <w:tc>
          <w:tcPr>
            <w:tcW w:w="2151" w:type="dxa"/>
            <w:tcBorders>
              <w:top w:val="nil"/>
              <w:left w:val="nil"/>
              <w:right w:val="single" w:sz="4" w:space="0" w:color="auto"/>
            </w:tcBorders>
            <w:shd w:val="clear" w:color="000000" w:fill="FFFFFF"/>
            <w:tcMar>
              <w:top w:w="85" w:type="dxa"/>
            </w:tcMar>
          </w:tcPr>
          <w:p w14:paraId="2D1BC485" w14:textId="77777777" w:rsidR="00954EE5" w:rsidRDefault="00954EE5" w:rsidP="008D4CE9">
            <w:pPr>
              <w:pStyle w:val="ListParagraph"/>
              <w:ind w:left="360"/>
              <w:contextualSpacing w:val="0"/>
              <w:rPr>
                <w:rFonts w:ascii="Arial" w:hAnsi="Arial" w:cs="Arial"/>
                <w:sz w:val="16"/>
                <w:szCs w:val="16"/>
              </w:rPr>
            </w:pPr>
          </w:p>
          <w:p w14:paraId="402F7FD1" w14:textId="4600D170"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Africa (maintain)</w:t>
            </w:r>
          </w:p>
          <w:p w14:paraId="79474266" w14:textId="5481FB7E"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Arab (2% annual)</w:t>
            </w:r>
          </w:p>
          <w:p w14:paraId="04850CF0" w14:textId="4536B33B" w:rsidR="00954EE5" w:rsidRDefault="00954EE5">
            <w:pPr>
              <w:pStyle w:val="ListParagraph"/>
              <w:numPr>
                <w:ilvl w:val="0"/>
                <w:numId w:val="76"/>
              </w:numPr>
              <w:contextualSpacing w:val="0"/>
              <w:rPr>
                <w:rFonts w:ascii="Arial" w:hAnsi="Arial" w:cs="Arial"/>
                <w:sz w:val="16"/>
                <w:szCs w:val="16"/>
              </w:rPr>
            </w:pPr>
            <w:r>
              <w:rPr>
                <w:rFonts w:ascii="Arial" w:hAnsi="Arial" w:cs="Arial"/>
                <w:sz w:val="16"/>
                <w:szCs w:val="16"/>
              </w:rPr>
              <w:t>Asia and the Pacific (2.5% annual)</w:t>
            </w:r>
          </w:p>
          <w:p w14:paraId="3DB4B670" w14:textId="7387652D" w:rsidR="003C2E0B" w:rsidRPr="008D4CE9" w:rsidRDefault="00954EE5">
            <w:pPr>
              <w:pStyle w:val="ListParagraph"/>
              <w:numPr>
                <w:ilvl w:val="0"/>
                <w:numId w:val="76"/>
              </w:numPr>
              <w:contextualSpacing w:val="0"/>
              <w:rPr>
                <w:rFonts w:ascii="Arial" w:hAnsi="Arial" w:cs="Arial"/>
                <w:sz w:val="16"/>
                <w:szCs w:val="16"/>
              </w:rPr>
            </w:pPr>
            <w:r w:rsidRPr="008D4CE9">
              <w:rPr>
                <w:rFonts w:ascii="Arial" w:hAnsi="Arial" w:cs="Arial"/>
                <w:sz w:val="16"/>
                <w:szCs w:val="16"/>
              </w:rPr>
              <w:t>Latin America and the Caribbean (</w:t>
            </w:r>
            <w:r>
              <w:rPr>
                <w:rFonts w:ascii="Arial" w:hAnsi="Arial" w:cs="Arial"/>
                <w:sz w:val="16"/>
                <w:szCs w:val="16"/>
              </w:rPr>
              <w:t>1.5% annual</w:t>
            </w:r>
            <w:r w:rsidRPr="008D4CE9">
              <w:rPr>
                <w:rFonts w:ascii="Arial" w:hAnsi="Arial" w:cs="Arial"/>
                <w:sz w:val="16"/>
                <w:szCs w:val="16"/>
              </w:rPr>
              <w:t>)</w:t>
            </w:r>
          </w:p>
        </w:tc>
      </w:tr>
      <w:tr w:rsidR="003C2E0B" w:rsidRPr="009B4A78" w14:paraId="2515B4AC" w14:textId="77777777" w:rsidTr="00C90AAF">
        <w:trPr>
          <w:trHeight w:val="1475"/>
        </w:trPr>
        <w:tc>
          <w:tcPr>
            <w:tcW w:w="2280" w:type="dxa"/>
            <w:tcBorders>
              <w:top w:val="nil"/>
              <w:left w:val="single" w:sz="4" w:space="0" w:color="auto"/>
              <w:right w:val="nil"/>
            </w:tcBorders>
            <w:shd w:val="clear" w:color="000000" w:fill="FFFFFF"/>
            <w:tcMar>
              <w:top w:w="85" w:type="dxa"/>
            </w:tcMar>
          </w:tcPr>
          <w:p w14:paraId="77F7B855" w14:textId="65D86033" w:rsidR="003C2E0B" w:rsidRPr="009B4A78" w:rsidRDefault="003C2E0B" w:rsidP="00F33E49">
            <w:pPr>
              <w:rPr>
                <w:rFonts w:ascii="Arial" w:hAnsi="Arial" w:cs="Arial"/>
                <w:color w:val="000000"/>
                <w:sz w:val="16"/>
                <w:szCs w:val="16"/>
              </w:rPr>
            </w:pPr>
            <w:r w:rsidRPr="0036187D">
              <w:rPr>
                <w:rFonts w:ascii="Arial" w:hAnsi="Arial" w:cs="Arial"/>
                <w:color w:val="000000"/>
                <w:sz w:val="16"/>
                <w:szCs w:val="16"/>
              </w:rPr>
              <w:t>II.4 Wider and more effective use of the Hague system, including by developing countries and LDCs</w:t>
            </w:r>
          </w:p>
        </w:tc>
        <w:tc>
          <w:tcPr>
            <w:tcW w:w="2180" w:type="dxa"/>
            <w:tcBorders>
              <w:top w:val="nil"/>
              <w:left w:val="nil"/>
              <w:right w:val="nil"/>
            </w:tcBorders>
            <w:shd w:val="clear" w:color="000000" w:fill="FFFFFF"/>
            <w:tcMar>
              <w:top w:w="85" w:type="dxa"/>
            </w:tcMar>
          </w:tcPr>
          <w:p w14:paraId="75677CA7" w14:textId="1FDB1773" w:rsidR="003C2E0B" w:rsidRPr="009B4A78" w:rsidRDefault="003C2E0B" w:rsidP="00F33E49">
            <w:pPr>
              <w:rPr>
                <w:rFonts w:ascii="Arial" w:hAnsi="Arial" w:cs="Arial"/>
                <w:color w:val="000000"/>
                <w:sz w:val="16"/>
                <w:szCs w:val="16"/>
              </w:rPr>
            </w:pPr>
            <w:r w:rsidRPr="0036187D">
              <w:rPr>
                <w:rFonts w:ascii="Arial" w:hAnsi="Arial" w:cs="Arial"/>
                <w:color w:val="000000"/>
                <w:sz w:val="16"/>
                <w:szCs w:val="16"/>
              </w:rPr>
              <w:t xml:space="preserve">No. of Hague applications originating from </w:t>
            </w:r>
            <w:r>
              <w:rPr>
                <w:rFonts w:ascii="Arial" w:hAnsi="Arial" w:cs="Arial"/>
                <w:color w:val="000000"/>
                <w:sz w:val="16"/>
                <w:szCs w:val="16"/>
              </w:rPr>
              <w:t>developing countries and LDCs</w:t>
            </w:r>
          </w:p>
        </w:tc>
        <w:tc>
          <w:tcPr>
            <w:tcW w:w="2760" w:type="dxa"/>
            <w:tcBorders>
              <w:top w:val="nil"/>
              <w:left w:val="nil"/>
              <w:right w:val="nil"/>
            </w:tcBorders>
            <w:shd w:val="clear" w:color="000000" w:fill="FFFFFF"/>
            <w:tcMar>
              <w:top w:w="85" w:type="dxa"/>
            </w:tcMar>
          </w:tcPr>
          <w:p w14:paraId="14F6A4D5" w14:textId="77777777" w:rsidR="00954EE5" w:rsidRDefault="00954EE5" w:rsidP="00954EE5">
            <w:pPr>
              <w:rPr>
                <w:rFonts w:ascii="Arial" w:hAnsi="Arial" w:cs="Arial"/>
                <w:sz w:val="16"/>
                <w:szCs w:val="16"/>
              </w:rPr>
            </w:pPr>
            <w:r>
              <w:rPr>
                <w:rFonts w:ascii="Arial" w:hAnsi="Arial" w:cs="Arial"/>
                <w:sz w:val="16"/>
                <w:szCs w:val="16"/>
              </w:rPr>
              <w:t>105 (2014)</w:t>
            </w:r>
          </w:p>
          <w:p w14:paraId="551E480F" w14:textId="77777777"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Africa (5)</w:t>
            </w:r>
          </w:p>
          <w:p w14:paraId="70C6ABCC" w14:textId="77777777" w:rsidR="0043390E" w:rsidRDefault="00954EE5">
            <w:pPr>
              <w:pStyle w:val="ListParagraph"/>
              <w:numPr>
                <w:ilvl w:val="0"/>
                <w:numId w:val="76"/>
              </w:numPr>
              <w:contextualSpacing w:val="0"/>
              <w:rPr>
                <w:rFonts w:ascii="Arial" w:hAnsi="Arial" w:cs="Arial"/>
                <w:sz w:val="16"/>
                <w:szCs w:val="16"/>
              </w:rPr>
            </w:pPr>
            <w:r>
              <w:rPr>
                <w:rFonts w:ascii="Arial" w:hAnsi="Arial" w:cs="Arial"/>
                <w:sz w:val="16"/>
                <w:szCs w:val="16"/>
              </w:rPr>
              <w:t>Arab (6)</w:t>
            </w:r>
          </w:p>
          <w:p w14:paraId="1E26028A" w14:textId="10B9AF5E" w:rsidR="003C2E0B" w:rsidRPr="008D4CE9" w:rsidRDefault="00954EE5">
            <w:pPr>
              <w:pStyle w:val="ListParagraph"/>
              <w:numPr>
                <w:ilvl w:val="0"/>
                <w:numId w:val="76"/>
              </w:numPr>
              <w:contextualSpacing w:val="0"/>
              <w:rPr>
                <w:rFonts w:ascii="Arial" w:hAnsi="Arial" w:cs="Arial"/>
                <w:sz w:val="16"/>
                <w:szCs w:val="16"/>
              </w:rPr>
            </w:pPr>
            <w:r w:rsidRPr="008D4CE9">
              <w:rPr>
                <w:rFonts w:ascii="Arial" w:hAnsi="Arial" w:cs="Arial"/>
                <w:sz w:val="16"/>
                <w:szCs w:val="16"/>
              </w:rPr>
              <w:t>Asia and the Pacific (94)</w:t>
            </w:r>
          </w:p>
        </w:tc>
        <w:tc>
          <w:tcPr>
            <w:tcW w:w="2151" w:type="dxa"/>
            <w:tcBorders>
              <w:top w:val="nil"/>
              <w:left w:val="nil"/>
              <w:right w:val="single" w:sz="4" w:space="0" w:color="auto"/>
            </w:tcBorders>
            <w:shd w:val="clear" w:color="000000" w:fill="FFFFFF"/>
            <w:tcMar>
              <w:top w:w="85" w:type="dxa"/>
            </w:tcMar>
          </w:tcPr>
          <w:p w14:paraId="3CD23847" w14:textId="77777777" w:rsidR="00954EE5" w:rsidRDefault="00954EE5" w:rsidP="008D4CE9">
            <w:pPr>
              <w:pStyle w:val="ListParagraph"/>
              <w:ind w:left="360"/>
              <w:contextualSpacing w:val="0"/>
              <w:rPr>
                <w:rFonts w:ascii="Arial" w:hAnsi="Arial" w:cs="Arial"/>
                <w:sz w:val="16"/>
                <w:szCs w:val="16"/>
              </w:rPr>
            </w:pPr>
          </w:p>
          <w:p w14:paraId="38165FF4" w14:textId="75AAD102"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Africa (maintain)</w:t>
            </w:r>
          </w:p>
          <w:p w14:paraId="48EB41AD" w14:textId="77777777" w:rsidR="00174C9C" w:rsidRDefault="00954EE5">
            <w:pPr>
              <w:pStyle w:val="ListParagraph"/>
              <w:numPr>
                <w:ilvl w:val="0"/>
                <w:numId w:val="76"/>
              </w:numPr>
              <w:contextualSpacing w:val="0"/>
              <w:rPr>
                <w:rFonts w:ascii="Arial" w:hAnsi="Arial" w:cs="Arial"/>
                <w:sz w:val="16"/>
                <w:szCs w:val="16"/>
              </w:rPr>
            </w:pPr>
            <w:r w:rsidRPr="00174C9C">
              <w:rPr>
                <w:rFonts w:ascii="Arial" w:hAnsi="Arial" w:cs="Arial"/>
                <w:sz w:val="16"/>
                <w:szCs w:val="16"/>
              </w:rPr>
              <w:t>Arab (maintain)</w:t>
            </w:r>
          </w:p>
          <w:p w14:paraId="333C22F4" w14:textId="0443554E" w:rsidR="003C2E0B" w:rsidRPr="008D4CE9" w:rsidRDefault="00954EE5">
            <w:pPr>
              <w:pStyle w:val="ListParagraph"/>
              <w:numPr>
                <w:ilvl w:val="0"/>
                <w:numId w:val="76"/>
              </w:numPr>
              <w:contextualSpacing w:val="0"/>
              <w:rPr>
                <w:rFonts w:ascii="Arial" w:hAnsi="Arial" w:cs="Arial"/>
                <w:sz w:val="16"/>
                <w:szCs w:val="16"/>
              </w:rPr>
            </w:pPr>
            <w:r w:rsidRPr="00174C9C">
              <w:rPr>
                <w:rFonts w:ascii="Arial" w:hAnsi="Arial" w:cs="Arial"/>
                <w:sz w:val="16"/>
                <w:szCs w:val="16"/>
              </w:rPr>
              <w:t>Asia and the Pacific (</w:t>
            </w:r>
            <w:r w:rsidR="00174C9C" w:rsidRPr="008D4CE9">
              <w:rPr>
                <w:rFonts w:ascii="Arial" w:hAnsi="Arial" w:cs="Arial"/>
                <w:sz w:val="16"/>
                <w:szCs w:val="16"/>
              </w:rPr>
              <w:t>10</w:t>
            </w:r>
            <w:r w:rsidRPr="00174C9C">
              <w:rPr>
                <w:rFonts w:ascii="Arial" w:hAnsi="Arial" w:cs="Arial"/>
                <w:sz w:val="16"/>
                <w:szCs w:val="16"/>
              </w:rPr>
              <w:t>% annual)</w:t>
            </w:r>
            <w:r w:rsidR="003C2E0B" w:rsidRPr="008D4CE9">
              <w:rPr>
                <w:rFonts w:ascii="Arial" w:hAnsi="Arial" w:cs="Arial"/>
                <w:sz w:val="16"/>
                <w:szCs w:val="16"/>
              </w:rPr>
              <w:br/>
            </w:r>
            <w:r w:rsidR="003C2E0B" w:rsidRPr="008D4CE9">
              <w:rPr>
                <w:rFonts w:ascii="Arial" w:hAnsi="Arial" w:cs="Arial"/>
                <w:color w:val="000000"/>
                <w:sz w:val="16"/>
                <w:szCs w:val="16"/>
              </w:rPr>
              <w:br/>
            </w:r>
          </w:p>
        </w:tc>
      </w:tr>
      <w:tr w:rsidR="003C2E0B" w:rsidRPr="009B4A78" w14:paraId="09E1004E" w14:textId="77777777" w:rsidTr="00D655F5">
        <w:trPr>
          <w:trHeight w:val="1475"/>
        </w:trPr>
        <w:tc>
          <w:tcPr>
            <w:tcW w:w="2280" w:type="dxa"/>
            <w:tcBorders>
              <w:top w:val="nil"/>
              <w:left w:val="single" w:sz="4" w:space="0" w:color="auto"/>
              <w:right w:val="nil"/>
            </w:tcBorders>
            <w:shd w:val="clear" w:color="000000" w:fill="FFFFFF"/>
            <w:tcMar>
              <w:top w:w="85" w:type="dxa"/>
            </w:tcMar>
          </w:tcPr>
          <w:p w14:paraId="3A3FFA4A" w14:textId="77777777" w:rsidR="003C2E0B" w:rsidRDefault="003C2E0B" w:rsidP="009539C7">
            <w:pPr>
              <w:rPr>
                <w:rFonts w:ascii="Arial" w:hAnsi="Arial" w:cs="Arial"/>
                <w:color w:val="000000"/>
                <w:sz w:val="16"/>
                <w:szCs w:val="16"/>
              </w:rPr>
            </w:pPr>
          </w:p>
          <w:p w14:paraId="533AB494" w14:textId="7840F412" w:rsidR="003C2E0B" w:rsidRPr="009B4A78" w:rsidRDefault="003C2E0B" w:rsidP="00F33E49">
            <w:pPr>
              <w:rPr>
                <w:rFonts w:ascii="Arial" w:hAnsi="Arial" w:cs="Arial"/>
                <w:color w:val="000000"/>
                <w:sz w:val="16"/>
                <w:szCs w:val="16"/>
              </w:rPr>
            </w:pPr>
            <w:r w:rsidRPr="0036187D">
              <w:rPr>
                <w:rFonts w:ascii="Arial" w:hAnsi="Arial" w:cs="Arial"/>
                <w:color w:val="000000"/>
                <w:sz w:val="16"/>
                <w:szCs w:val="16"/>
              </w:rPr>
              <w:t>II.6 Wider and more effective use of the Madrid &amp; Lisbon systems, including by developing countries and LDCs</w:t>
            </w:r>
          </w:p>
        </w:tc>
        <w:tc>
          <w:tcPr>
            <w:tcW w:w="2180" w:type="dxa"/>
            <w:tcBorders>
              <w:top w:val="nil"/>
              <w:left w:val="nil"/>
              <w:right w:val="nil"/>
            </w:tcBorders>
            <w:shd w:val="clear" w:color="000000" w:fill="FFFFFF"/>
            <w:tcMar>
              <w:top w:w="85" w:type="dxa"/>
            </w:tcMar>
          </w:tcPr>
          <w:p w14:paraId="643D581D" w14:textId="77777777" w:rsidR="003C2E0B" w:rsidRDefault="003C2E0B" w:rsidP="009539C7">
            <w:pPr>
              <w:rPr>
                <w:rFonts w:ascii="Arial" w:hAnsi="Arial" w:cs="Arial"/>
                <w:color w:val="000000"/>
                <w:sz w:val="16"/>
                <w:szCs w:val="16"/>
              </w:rPr>
            </w:pPr>
          </w:p>
          <w:p w14:paraId="206A41E7" w14:textId="77777777" w:rsidR="003C2E0B" w:rsidRPr="0036187D" w:rsidRDefault="003C2E0B" w:rsidP="009539C7">
            <w:pPr>
              <w:rPr>
                <w:rFonts w:ascii="Arial" w:hAnsi="Arial" w:cs="Arial"/>
                <w:color w:val="000000"/>
                <w:sz w:val="16"/>
                <w:szCs w:val="16"/>
              </w:rPr>
            </w:pPr>
            <w:r w:rsidRPr="0036187D">
              <w:rPr>
                <w:rFonts w:ascii="Arial" w:hAnsi="Arial" w:cs="Arial"/>
                <w:color w:val="000000"/>
                <w:sz w:val="16"/>
                <w:szCs w:val="16"/>
              </w:rPr>
              <w:t xml:space="preserve">No. of Madrid System applications originating from </w:t>
            </w:r>
            <w:r>
              <w:rPr>
                <w:rFonts w:ascii="Arial" w:hAnsi="Arial" w:cs="Arial"/>
                <w:color w:val="000000"/>
                <w:sz w:val="16"/>
                <w:szCs w:val="16"/>
              </w:rPr>
              <w:t>developing countries and LDCs</w:t>
            </w:r>
            <w:r w:rsidRPr="0036187D">
              <w:rPr>
                <w:rFonts w:ascii="Arial" w:hAnsi="Arial" w:cs="Arial"/>
                <w:color w:val="000000"/>
                <w:sz w:val="16"/>
                <w:szCs w:val="16"/>
              </w:rPr>
              <w:br/>
            </w:r>
            <w:r w:rsidRPr="0036187D">
              <w:rPr>
                <w:rFonts w:ascii="Arial" w:hAnsi="Arial" w:cs="Arial"/>
                <w:color w:val="000000"/>
                <w:sz w:val="16"/>
                <w:szCs w:val="16"/>
              </w:rPr>
              <w:br/>
            </w:r>
          </w:p>
          <w:p w14:paraId="276F0DF1" w14:textId="77777777" w:rsidR="003C2E0B" w:rsidRDefault="003C2E0B" w:rsidP="009539C7">
            <w:pPr>
              <w:rPr>
                <w:rFonts w:ascii="Arial" w:hAnsi="Arial" w:cs="Arial"/>
                <w:color w:val="000000"/>
                <w:sz w:val="16"/>
                <w:szCs w:val="16"/>
              </w:rPr>
            </w:pPr>
          </w:p>
          <w:p w14:paraId="6A7693EA" w14:textId="77777777" w:rsidR="003C2E0B" w:rsidRDefault="003C2E0B" w:rsidP="009539C7">
            <w:pPr>
              <w:rPr>
                <w:rFonts w:ascii="Arial" w:hAnsi="Arial" w:cs="Arial"/>
                <w:color w:val="000000"/>
                <w:sz w:val="16"/>
                <w:szCs w:val="16"/>
              </w:rPr>
            </w:pPr>
          </w:p>
          <w:p w14:paraId="62156F24" w14:textId="77777777" w:rsidR="003C2E0B" w:rsidRDefault="003C2E0B" w:rsidP="009539C7">
            <w:pPr>
              <w:rPr>
                <w:rFonts w:ascii="Arial" w:hAnsi="Arial" w:cs="Arial"/>
                <w:color w:val="000000"/>
                <w:sz w:val="16"/>
                <w:szCs w:val="16"/>
              </w:rPr>
            </w:pPr>
          </w:p>
          <w:p w14:paraId="6B55B0EF" w14:textId="77777777" w:rsidR="003C2E0B" w:rsidRDefault="003C2E0B" w:rsidP="009539C7">
            <w:pPr>
              <w:rPr>
                <w:rFonts w:ascii="Arial" w:hAnsi="Arial" w:cs="Arial"/>
                <w:color w:val="000000"/>
                <w:sz w:val="16"/>
                <w:szCs w:val="16"/>
              </w:rPr>
            </w:pPr>
          </w:p>
          <w:p w14:paraId="5171C080" w14:textId="77777777" w:rsidR="003C2E0B" w:rsidRDefault="003C2E0B" w:rsidP="009539C7">
            <w:pPr>
              <w:rPr>
                <w:rFonts w:ascii="Arial" w:hAnsi="Arial" w:cs="Arial"/>
                <w:color w:val="000000"/>
                <w:sz w:val="16"/>
                <w:szCs w:val="16"/>
              </w:rPr>
            </w:pPr>
          </w:p>
          <w:p w14:paraId="0E2E786C" w14:textId="0D6AE2E2" w:rsidR="003C2E0B" w:rsidRPr="009B4A78" w:rsidRDefault="003C2E0B" w:rsidP="000C277A">
            <w:pPr>
              <w:rPr>
                <w:rFonts w:ascii="Arial" w:hAnsi="Arial" w:cs="Arial"/>
                <w:color w:val="000000"/>
                <w:sz w:val="16"/>
                <w:szCs w:val="16"/>
              </w:rPr>
            </w:pPr>
            <w:r w:rsidRPr="0036187D">
              <w:rPr>
                <w:rFonts w:ascii="Arial" w:hAnsi="Arial" w:cs="Arial"/>
                <w:color w:val="000000"/>
                <w:sz w:val="16"/>
                <w:szCs w:val="16"/>
              </w:rPr>
              <w:t xml:space="preserve">No. of </w:t>
            </w:r>
            <w:r>
              <w:rPr>
                <w:rFonts w:ascii="Arial" w:hAnsi="Arial" w:cs="Arial"/>
                <w:color w:val="000000"/>
                <w:sz w:val="16"/>
                <w:szCs w:val="16"/>
              </w:rPr>
              <w:t>international registrations from</w:t>
            </w:r>
            <w:r w:rsidRPr="0036187D">
              <w:rPr>
                <w:rFonts w:ascii="Arial" w:hAnsi="Arial" w:cs="Arial"/>
                <w:color w:val="000000"/>
                <w:sz w:val="16"/>
                <w:szCs w:val="16"/>
              </w:rPr>
              <w:t xml:space="preserve"> </w:t>
            </w:r>
            <w:r>
              <w:rPr>
                <w:rFonts w:ascii="Arial" w:hAnsi="Arial" w:cs="Arial"/>
                <w:color w:val="000000"/>
                <w:sz w:val="16"/>
                <w:szCs w:val="16"/>
              </w:rPr>
              <w:t>developing countries and LDCs in force under the Lisbon System (in relation to the total no.)</w:t>
            </w:r>
          </w:p>
        </w:tc>
        <w:tc>
          <w:tcPr>
            <w:tcW w:w="2760" w:type="dxa"/>
            <w:tcBorders>
              <w:top w:val="nil"/>
              <w:left w:val="nil"/>
              <w:right w:val="nil"/>
            </w:tcBorders>
            <w:shd w:val="clear" w:color="000000" w:fill="FFFFFF"/>
            <w:tcMar>
              <w:top w:w="85" w:type="dxa"/>
            </w:tcMar>
          </w:tcPr>
          <w:p w14:paraId="2C577944" w14:textId="77777777" w:rsidR="003C2E0B" w:rsidRDefault="003C2E0B" w:rsidP="009539C7">
            <w:pPr>
              <w:rPr>
                <w:rFonts w:ascii="Arial" w:hAnsi="Arial" w:cs="Arial"/>
                <w:sz w:val="16"/>
                <w:szCs w:val="16"/>
                <w:lang w:bidi="th-TH"/>
              </w:rPr>
            </w:pPr>
          </w:p>
          <w:p w14:paraId="08DADEC8" w14:textId="19D0CA56" w:rsidR="00954EE5" w:rsidRDefault="00954EE5" w:rsidP="00954EE5">
            <w:pPr>
              <w:rPr>
                <w:rFonts w:ascii="Arial" w:hAnsi="Arial" w:cs="Arial"/>
                <w:sz w:val="16"/>
                <w:szCs w:val="16"/>
              </w:rPr>
            </w:pPr>
            <w:r>
              <w:rPr>
                <w:rFonts w:ascii="Arial" w:hAnsi="Arial" w:cs="Arial"/>
                <w:sz w:val="16"/>
                <w:szCs w:val="16"/>
              </w:rPr>
              <w:t>3,6</w:t>
            </w:r>
            <w:r w:rsidR="00081691">
              <w:rPr>
                <w:rFonts w:ascii="Arial" w:hAnsi="Arial" w:cs="Arial"/>
                <w:sz w:val="16"/>
                <w:szCs w:val="16"/>
              </w:rPr>
              <w:t>29</w:t>
            </w:r>
            <w:r>
              <w:rPr>
                <w:rFonts w:ascii="Arial" w:hAnsi="Arial" w:cs="Arial"/>
                <w:sz w:val="16"/>
                <w:szCs w:val="16"/>
              </w:rPr>
              <w:t xml:space="preserve"> (2014)</w:t>
            </w:r>
          </w:p>
          <w:p w14:paraId="4FA15940" w14:textId="77777777"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Africa (18)</w:t>
            </w:r>
          </w:p>
          <w:p w14:paraId="7BE9C7BC" w14:textId="77777777"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Arab (122)</w:t>
            </w:r>
          </w:p>
          <w:p w14:paraId="3348B242" w14:textId="77777777" w:rsidR="00954EE5" w:rsidRDefault="00954EE5" w:rsidP="008D4CE9">
            <w:pPr>
              <w:pStyle w:val="ListParagraph"/>
              <w:numPr>
                <w:ilvl w:val="0"/>
                <w:numId w:val="76"/>
              </w:numPr>
              <w:contextualSpacing w:val="0"/>
              <w:rPr>
                <w:rFonts w:ascii="Arial" w:hAnsi="Arial" w:cs="Arial"/>
                <w:sz w:val="16"/>
                <w:szCs w:val="16"/>
              </w:rPr>
            </w:pPr>
            <w:r>
              <w:rPr>
                <w:rFonts w:ascii="Arial" w:hAnsi="Arial" w:cs="Arial"/>
                <w:sz w:val="16"/>
                <w:szCs w:val="16"/>
              </w:rPr>
              <w:t>Asia and the Pacific (3,338)</w:t>
            </w:r>
          </w:p>
          <w:p w14:paraId="669ED11E" w14:textId="06EB559D" w:rsidR="00A81184" w:rsidRPr="008D4CE9" w:rsidRDefault="00954EE5" w:rsidP="008D4CE9">
            <w:pPr>
              <w:pStyle w:val="ListParagraph"/>
              <w:numPr>
                <w:ilvl w:val="0"/>
                <w:numId w:val="76"/>
              </w:numPr>
              <w:contextualSpacing w:val="0"/>
              <w:rPr>
                <w:rFonts w:ascii="Arial" w:hAnsi="Arial" w:cs="Arial"/>
                <w:sz w:val="16"/>
                <w:szCs w:val="16"/>
              </w:rPr>
            </w:pPr>
            <w:r w:rsidRPr="008D4CE9">
              <w:rPr>
                <w:rFonts w:ascii="Arial" w:hAnsi="Arial" w:cs="Arial"/>
                <w:sz w:val="16"/>
                <w:szCs w:val="16"/>
              </w:rPr>
              <w:t>Latin America and the Caribbean (151)</w:t>
            </w:r>
          </w:p>
          <w:p w14:paraId="71C50031" w14:textId="77777777" w:rsidR="003C2E0B" w:rsidRDefault="003C2E0B" w:rsidP="009539C7">
            <w:pPr>
              <w:rPr>
                <w:rFonts w:ascii="Arial" w:hAnsi="Arial" w:cs="Arial"/>
                <w:sz w:val="16"/>
                <w:szCs w:val="16"/>
              </w:rPr>
            </w:pPr>
          </w:p>
          <w:p w14:paraId="49BCEEEB" w14:textId="77777777" w:rsidR="00954EE5" w:rsidRDefault="00954EE5" w:rsidP="009539C7">
            <w:pPr>
              <w:rPr>
                <w:rFonts w:ascii="Arial" w:hAnsi="Arial" w:cs="Arial"/>
                <w:sz w:val="16"/>
                <w:szCs w:val="16"/>
              </w:rPr>
            </w:pPr>
          </w:p>
          <w:p w14:paraId="2DA547F8" w14:textId="77777777" w:rsidR="003C2E0B" w:rsidRDefault="003C2E0B" w:rsidP="009539C7">
            <w:pPr>
              <w:rPr>
                <w:rFonts w:ascii="Arial" w:hAnsi="Arial" w:cs="Arial"/>
                <w:sz w:val="16"/>
                <w:szCs w:val="16"/>
              </w:rPr>
            </w:pPr>
            <w:r>
              <w:rPr>
                <w:rFonts w:ascii="Arial" w:hAnsi="Arial" w:cs="Arial"/>
                <w:sz w:val="16"/>
                <w:szCs w:val="16"/>
              </w:rPr>
              <w:t>78 out of 896:</w:t>
            </w:r>
          </w:p>
          <w:p w14:paraId="38C6CBC9" w14:textId="77777777" w:rsidR="003C2E0B" w:rsidRDefault="003C2E0B" w:rsidP="009539C7">
            <w:pPr>
              <w:pStyle w:val="ListParagraph"/>
              <w:numPr>
                <w:ilvl w:val="0"/>
                <w:numId w:val="75"/>
              </w:numPr>
              <w:rPr>
                <w:rFonts w:ascii="Arial" w:hAnsi="Arial" w:cs="Arial"/>
                <w:sz w:val="16"/>
                <w:szCs w:val="16"/>
              </w:rPr>
            </w:pPr>
            <w:r>
              <w:rPr>
                <w:rFonts w:ascii="Arial" w:hAnsi="Arial" w:cs="Arial"/>
                <w:sz w:val="16"/>
                <w:szCs w:val="16"/>
              </w:rPr>
              <w:t>Arab (14)</w:t>
            </w:r>
          </w:p>
          <w:p w14:paraId="3D84BDEE" w14:textId="77777777" w:rsidR="003C2E0B" w:rsidRDefault="003C2E0B" w:rsidP="009539C7">
            <w:pPr>
              <w:pStyle w:val="ListParagraph"/>
              <w:numPr>
                <w:ilvl w:val="0"/>
                <w:numId w:val="75"/>
              </w:numPr>
              <w:rPr>
                <w:rFonts w:ascii="Arial" w:hAnsi="Arial" w:cs="Arial"/>
                <w:sz w:val="16"/>
                <w:szCs w:val="16"/>
              </w:rPr>
            </w:pPr>
            <w:r>
              <w:rPr>
                <w:rFonts w:ascii="Arial" w:hAnsi="Arial" w:cs="Arial"/>
                <w:sz w:val="16"/>
                <w:szCs w:val="16"/>
              </w:rPr>
              <w:t>Asia and the Pacific (22)</w:t>
            </w:r>
          </w:p>
          <w:p w14:paraId="28771A1F" w14:textId="77777777" w:rsidR="003C2E0B" w:rsidRPr="00A2699E" w:rsidRDefault="003C2E0B" w:rsidP="009539C7">
            <w:pPr>
              <w:pStyle w:val="ListParagraph"/>
              <w:numPr>
                <w:ilvl w:val="0"/>
                <w:numId w:val="75"/>
              </w:numPr>
              <w:rPr>
                <w:rFonts w:ascii="Arial" w:hAnsi="Arial" w:cs="Arial"/>
                <w:sz w:val="16"/>
                <w:szCs w:val="16"/>
              </w:rPr>
            </w:pPr>
            <w:r>
              <w:rPr>
                <w:rFonts w:ascii="Arial" w:hAnsi="Arial" w:cs="Arial"/>
                <w:sz w:val="16"/>
                <w:szCs w:val="16"/>
              </w:rPr>
              <w:t>Latin America and the Caribbean (42)</w:t>
            </w:r>
          </w:p>
          <w:p w14:paraId="27CE74DE" w14:textId="575FE961" w:rsidR="003C2E0B" w:rsidRPr="009B4A78" w:rsidRDefault="003C2E0B" w:rsidP="005F1F8F">
            <w:pPr>
              <w:spacing w:after="240"/>
              <w:rPr>
                <w:rFonts w:ascii="Arial" w:hAnsi="Arial" w:cs="Arial"/>
                <w:sz w:val="16"/>
                <w:szCs w:val="16"/>
              </w:rPr>
            </w:pPr>
            <w:r>
              <w:rPr>
                <w:rFonts w:ascii="Arial" w:hAnsi="Arial" w:cs="Arial"/>
                <w:sz w:val="16"/>
                <w:szCs w:val="16"/>
              </w:rPr>
              <w:t>(March 2015)</w:t>
            </w:r>
          </w:p>
        </w:tc>
        <w:tc>
          <w:tcPr>
            <w:tcW w:w="2151" w:type="dxa"/>
            <w:tcBorders>
              <w:top w:val="nil"/>
              <w:left w:val="nil"/>
              <w:right w:val="single" w:sz="4" w:space="0" w:color="auto"/>
            </w:tcBorders>
            <w:shd w:val="clear" w:color="000000" w:fill="FFFFFF"/>
            <w:tcMar>
              <w:top w:w="85" w:type="dxa"/>
            </w:tcMar>
          </w:tcPr>
          <w:p w14:paraId="7618C41C" w14:textId="77777777" w:rsidR="00954EE5" w:rsidRDefault="00954EE5" w:rsidP="008D4CE9">
            <w:pPr>
              <w:pStyle w:val="ListParagraph"/>
              <w:ind w:left="360"/>
              <w:contextualSpacing w:val="0"/>
              <w:rPr>
                <w:rFonts w:ascii="Arial" w:hAnsi="Arial" w:cs="Arial"/>
                <w:sz w:val="16"/>
                <w:szCs w:val="16"/>
              </w:rPr>
            </w:pPr>
          </w:p>
          <w:p w14:paraId="700D4D4B" w14:textId="31185AC8"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Africa (</w:t>
            </w:r>
            <w:r w:rsidR="00081691">
              <w:rPr>
                <w:rFonts w:ascii="Arial" w:hAnsi="Arial" w:cs="Arial"/>
                <w:sz w:val="16"/>
                <w:szCs w:val="16"/>
              </w:rPr>
              <w:t>maintain</w:t>
            </w:r>
            <w:r>
              <w:rPr>
                <w:rFonts w:ascii="Arial" w:hAnsi="Arial" w:cs="Arial"/>
                <w:sz w:val="16"/>
                <w:szCs w:val="16"/>
              </w:rPr>
              <w:t>)</w:t>
            </w:r>
          </w:p>
          <w:p w14:paraId="495B33E7" w14:textId="5E2A4D29" w:rsidR="00954EE5" w:rsidRDefault="00954EE5" w:rsidP="00954EE5">
            <w:pPr>
              <w:pStyle w:val="ListParagraph"/>
              <w:numPr>
                <w:ilvl w:val="0"/>
                <w:numId w:val="76"/>
              </w:numPr>
              <w:contextualSpacing w:val="0"/>
              <w:rPr>
                <w:rFonts w:ascii="Arial" w:hAnsi="Arial" w:cs="Arial"/>
                <w:sz w:val="16"/>
                <w:szCs w:val="16"/>
              </w:rPr>
            </w:pPr>
            <w:r>
              <w:rPr>
                <w:rFonts w:ascii="Arial" w:hAnsi="Arial" w:cs="Arial"/>
                <w:sz w:val="16"/>
                <w:szCs w:val="16"/>
              </w:rPr>
              <w:t>Arab (</w:t>
            </w:r>
            <w:r w:rsidR="00081691">
              <w:rPr>
                <w:rFonts w:ascii="Arial" w:hAnsi="Arial" w:cs="Arial"/>
                <w:sz w:val="16"/>
                <w:szCs w:val="16"/>
              </w:rPr>
              <w:t>maintain</w:t>
            </w:r>
            <w:r>
              <w:rPr>
                <w:rFonts w:ascii="Arial" w:hAnsi="Arial" w:cs="Arial"/>
                <w:sz w:val="16"/>
                <w:szCs w:val="16"/>
              </w:rPr>
              <w:t>)</w:t>
            </w:r>
          </w:p>
          <w:p w14:paraId="0DBF335F" w14:textId="7EE81A53" w:rsidR="00954EE5" w:rsidRDefault="00954EE5" w:rsidP="008D4CE9">
            <w:pPr>
              <w:pStyle w:val="ListParagraph"/>
              <w:numPr>
                <w:ilvl w:val="0"/>
                <w:numId w:val="76"/>
              </w:numPr>
              <w:contextualSpacing w:val="0"/>
              <w:rPr>
                <w:rFonts w:ascii="Arial" w:hAnsi="Arial" w:cs="Arial"/>
                <w:sz w:val="16"/>
                <w:szCs w:val="16"/>
              </w:rPr>
            </w:pPr>
            <w:r>
              <w:rPr>
                <w:rFonts w:ascii="Arial" w:hAnsi="Arial" w:cs="Arial"/>
                <w:sz w:val="16"/>
                <w:szCs w:val="16"/>
              </w:rPr>
              <w:t>Asia and the Pacific (</w:t>
            </w:r>
            <w:r w:rsidR="00081691">
              <w:rPr>
                <w:rFonts w:ascii="Arial" w:hAnsi="Arial" w:cs="Arial"/>
                <w:sz w:val="16"/>
                <w:szCs w:val="16"/>
              </w:rPr>
              <w:t>5% annual</w:t>
            </w:r>
            <w:r>
              <w:rPr>
                <w:rFonts w:ascii="Arial" w:hAnsi="Arial" w:cs="Arial"/>
                <w:sz w:val="16"/>
                <w:szCs w:val="16"/>
              </w:rPr>
              <w:t>)</w:t>
            </w:r>
          </w:p>
          <w:p w14:paraId="45D5AF71" w14:textId="5076CA83" w:rsidR="00D852D8" w:rsidRDefault="00954EE5" w:rsidP="008D4CE9">
            <w:pPr>
              <w:pStyle w:val="ListParagraph"/>
              <w:numPr>
                <w:ilvl w:val="0"/>
                <w:numId w:val="76"/>
              </w:numPr>
              <w:contextualSpacing w:val="0"/>
              <w:rPr>
                <w:rFonts w:ascii="Arial" w:hAnsi="Arial" w:cs="Arial"/>
                <w:sz w:val="16"/>
                <w:szCs w:val="16"/>
              </w:rPr>
            </w:pPr>
            <w:r w:rsidRPr="008D4CE9">
              <w:rPr>
                <w:rFonts w:ascii="Arial" w:hAnsi="Arial" w:cs="Arial"/>
                <w:sz w:val="16"/>
                <w:szCs w:val="16"/>
              </w:rPr>
              <w:t>Latin America and the Caribbean (</w:t>
            </w:r>
            <w:r w:rsidR="00081691">
              <w:rPr>
                <w:rFonts w:ascii="Arial" w:hAnsi="Arial" w:cs="Arial"/>
                <w:sz w:val="16"/>
                <w:szCs w:val="16"/>
              </w:rPr>
              <w:t>10% annual</w:t>
            </w:r>
            <w:r w:rsidRPr="008D4CE9">
              <w:rPr>
                <w:rFonts w:ascii="Arial" w:hAnsi="Arial" w:cs="Arial"/>
                <w:sz w:val="16"/>
                <w:szCs w:val="16"/>
              </w:rPr>
              <w:t>)</w:t>
            </w:r>
          </w:p>
          <w:p w14:paraId="7843EC69" w14:textId="77777777" w:rsidR="00081691" w:rsidRPr="008D4CE9" w:rsidRDefault="00081691" w:rsidP="008D4CE9">
            <w:pPr>
              <w:pStyle w:val="ListParagraph"/>
              <w:ind w:left="360"/>
              <w:contextualSpacing w:val="0"/>
              <w:rPr>
                <w:rFonts w:ascii="Arial" w:hAnsi="Arial" w:cs="Arial"/>
                <w:sz w:val="16"/>
                <w:szCs w:val="16"/>
              </w:rPr>
            </w:pPr>
          </w:p>
          <w:p w14:paraId="366633E1" w14:textId="752602B3" w:rsidR="003C2E0B" w:rsidRPr="009B4A78" w:rsidRDefault="003C2E0B" w:rsidP="005F1F8F">
            <w:pPr>
              <w:spacing w:after="240"/>
              <w:rPr>
                <w:rFonts w:ascii="Arial" w:hAnsi="Arial" w:cs="Arial"/>
                <w:sz w:val="16"/>
                <w:szCs w:val="16"/>
              </w:rPr>
            </w:pPr>
            <w:r>
              <w:rPr>
                <w:rFonts w:ascii="Arial" w:eastAsia="Times New Roman" w:hAnsi="Arial" w:cs="Arial"/>
                <w:color w:val="000000"/>
                <w:sz w:val="16"/>
                <w:szCs w:val="16"/>
              </w:rPr>
              <w:t>90 (out of 950)</w:t>
            </w:r>
            <w:r w:rsidR="00B7224E">
              <w:rPr>
                <w:rFonts w:ascii="Arial" w:eastAsia="Times New Roman" w:hAnsi="Arial" w:cs="Arial"/>
                <w:color w:val="000000"/>
                <w:sz w:val="16"/>
                <w:szCs w:val="16"/>
              </w:rPr>
              <w:t xml:space="preserve"> (biennial)</w:t>
            </w:r>
            <w:r w:rsidRPr="0036187D">
              <w:rPr>
                <w:rFonts w:ascii="Arial" w:hAnsi="Arial" w:cs="Arial"/>
                <w:color w:val="000000"/>
                <w:sz w:val="16"/>
                <w:szCs w:val="16"/>
              </w:rPr>
              <w:br/>
            </w:r>
          </w:p>
        </w:tc>
      </w:tr>
      <w:tr w:rsidR="00B65F7B" w:rsidRPr="009B4A78" w14:paraId="55A377EF" w14:textId="77777777" w:rsidTr="00D655F5">
        <w:trPr>
          <w:trHeight w:val="1475"/>
        </w:trPr>
        <w:tc>
          <w:tcPr>
            <w:tcW w:w="2280" w:type="dxa"/>
            <w:tcBorders>
              <w:top w:val="nil"/>
              <w:left w:val="single" w:sz="4" w:space="0" w:color="auto"/>
              <w:bottom w:val="single" w:sz="4" w:space="0" w:color="auto"/>
              <w:right w:val="nil"/>
            </w:tcBorders>
            <w:shd w:val="clear" w:color="000000" w:fill="FFFFFF"/>
            <w:tcMar>
              <w:top w:w="85" w:type="dxa"/>
            </w:tcMar>
            <w:hideMark/>
          </w:tcPr>
          <w:p w14:paraId="6AD48003" w14:textId="384E7A05"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III.1 National innovation and IP strategies and plans consistent with national development objectives</w:t>
            </w:r>
          </w:p>
        </w:tc>
        <w:tc>
          <w:tcPr>
            <w:tcW w:w="2180" w:type="dxa"/>
            <w:tcBorders>
              <w:top w:val="nil"/>
              <w:left w:val="nil"/>
              <w:bottom w:val="single" w:sz="4" w:space="0" w:color="auto"/>
              <w:right w:val="nil"/>
            </w:tcBorders>
            <w:shd w:val="clear" w:color="000000" w:fill="FFFFFF"/>
            <w:tcMar>
              <w:top w:w="85" w:type="dxa"/>
            </w:tcMar>
            <w:hideMark/>
          </w:tcPr>
          <w:p w14:paraId="753FE308"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of countries which are in the process of formulating national IP strategies</w:t>
            </w:r>
          </w:p>
        </w:tc>
        <w:tc>
          <w:tcPr>
            <w:tcW w:w="2760" w:type="dxa"/>
            <w:tcBorders>
              <w:top w:val="nil"/>
              <w:left w:val="nil"/>
              <w:bottom w:val="single" w:sz="4" w:space="0" w:color="auto"/>
              <w:right w:val="nil"/>
            </w:tcBorders>
            <w:shd w:val="clear" w:color="000000" w:fill="FFFFFF"/>
            <w:tcMar>
              <w:top w:w="85" w:type="dxa"/>
            </w:tcMar>
            <w:hideMark/>
          </w:tcPr>
          <w:p w14:paraId="2EF591FC" w14:textId="21A2AE9A" w:rsidR="00B65F7B" w:rsidRPr="009B4A78" w:rsidRDefault="00B65F7B" w:rsidP="005F1F8F">
            <w:pPr>
              <w:spacing w:after="240"/>
              <w:rPr>
                <w:rFonts w:ascii="Arial" w:hAnsi="Arial" w:cs="Arial"/>
                <w:sz w:val="16"/>
                <w:szCs w:val="16"/>
              </w:rPr>
            </w:pPr>
            <w:r w:rsidRPr="009B4A78">
              <w:rPr>
                <w:rFonts w:ascii="Arial" w:hAnsi="Arial" w:cs="Arial"/>
                <w:sz w:val="16"/>
                <w:szCs w:val="16"/>
              </w:rPr>
              <w:t>Africa (</w:t>
            </w:r>
            <w:r w:rsidR="005F1F8F">
              <w:rPr>
                <w:rFonts w:ascii="Arial" w:hAnsi="Arial" w:cs="Arial"/>
                <w:sz w:val="16"/>
                <w:szCs w:val="16"/>
              </w:rPr>
              <w:t>24 cumulative</w:t>
            </w:r>
            <w:r w:rsidRPr="009B4A78">
              <w:rPr>
                <w:rFonts w:ascii="Arial" w:hAnsi="Arial" w:cs="Arial"/>
                <w:sz w:val="16"/>
                <w:szCs w:val="16"/>
              </w:rPr>
              <w:t>)</w:t>
            </w:r>
            <w:r w:rsidRPr="009B4A78">
              <w:rPr>
                <w:rFonts w:ascii="Arial" w:hAnsi="Arial" w:cs="Arial"/>
                <w:sz w:val="16"/>
                <w:szCs w:val="16"/>
              </w:rPr>
              <w:br/>
              <w:t>Arab (4 in 2014)</w:t>
            </w:r>
            <w:r w:rsidRPr="009B4A78">
              <w:rPr>
                <w:rFonts w:ascii="Arial" w:hAnsi="Arial" w:cs="Arial"/>
                <w:sz w:val="16"/>
                <w:szCs w:val="16"/>
              </w:rPr>
              <w:br/>
              <w:t>Asia and Pacific (</w:t>
            </w:r>
            <w:r w:rsidR="005F1F8F">
              <w:rPr>
                <w:rFonts w:ascii="Arial" w:hAnsi="Arial" w:cs="Arial"/>
                <w:sz w:val="16"/>
                <w:szCs w:val="16"/>
              </w:rPr>
              <w:t>14 cumulative</w:t>
            </w:r>
            <w:r w:rsidRPr="009B4A78">
              <w:rPr>
                <w:rFonts w:ascii="Arial" w:hAnsi="Arial" w:cs="Arial"/>
                <w:sz w:val="16"/>
                <w:szCs w:val="16"/>
              </w:rPr>
              <w:t>)</w:t>
            </w:r>
            <w:r w:rsidRPr="009B4A78">
              <w:rPr>
                <w:rFonts w:ascii="Arial" w:hAnsi="Arial" w:cs="Arial"/>
                <w:sz w:val="16"/>
                <w:szCs w:val="16"/>
              </w:rPr>
              <w:br/>
              <w:t>Latin America &amp; the Caribbean (12 cumulative)</w:t>
            </w:r>
          </w:p>
        </w:tc>
        <w:tc>
          <w:tcPr>
            <w:tcW w:w="2151" w:type="dxa"/>
            <w:tcBorders>
              <w:top w:val="nil"/>
              <w:left w:val="nil"/>
              <w:bottom w:val="single" w:sz="4" w:space="0" w:color="auto"/>
              <w:right w:val="single" w:sz="4" w:space="0" w:color="auto"/>
            </w:tcBorders>
            <w:shd w:val="clear" w:color="000000" w:fill="FFFFFF"/>
            <w:tcMar>
              <w:top w:w="85" w:type="dxa"/>
            </w:tcMar>
            <w:hideMark/>
          </w:tcPr>
          <w:p w14:paraId="1DEE2F90" w14:textId="343A3B6D" w:rsidR="00B65F7B" w:rsidRPr="009B4A78" w:rsidRDefault="00B65F7B" w:rsidP="005F1F8F">
            <w:pPr>
              <w:spacing w:after="240"/>
              <w:rPr>
                <w:rFonts w:ascii="Arial" w:hAnsi="Arial" w:cs="Arial"/>
                <w:sz w:val="16"/>
                <w:szCs w:val="16"/>
              </w:rPr>
            </w:pPr>
            <w:r w:rsidRPr="009B4A78">
              <w:rPr>
                <w:rFonts w:ascii="Arial" w:hAnsi="Arial" w:cs="Arial"/>
                <w:sz w:val="16"/>
                <w:szCs w:val="16"/>
              </w:rPr>
              <w:t>Africa (</w:t>
            </w:r>
            <w:r w:rsidR="005F1F8F">
              <w:rPr>
                <w:rFonts w:ascii="Arial" w:hAnsi="Arial" w:cs="Arial"/>
                <w:sz w:val="16"/>
                <w:szCs w:val="16"/>
              </w:rPr>
              <w:t>additional 3</w:t>
            </w:r>
            <w:r w:rsidRPr="009B4A78">
              <w:rPr>
                <w:rFonts w:ascii="Arial" w:hAnsi="Arial" w:cs="Arial"/>
                <w:sz w:val="16"/>
                <w:szCs w:val="16"/>
              </w:rPr>
              <w:t>)</w:t>
            </w:r>
            <w:r w:rsidRPr="009B4A78">
              <w:rPr>
                <w:rFonts w:ascii="Arial" w:hAnsi="Arial" w:cs="Arial"/>
                <w:sz w:val="16"/>
                <w:szCs w:val="16"/>
              </w:rPr>
              <w:br/>
              <w:t>Arab (</w:t>
            </w:r>
            <w:r w:rsidR="005F1F8F">
              <w:rPr>
                <w:rFonts w:ascii="Arial" w:hAnsi="Arial" w:cs="Arial"/>
                <w:sz w:val="16"/>
                <w:szCs w:val="16"/>
              </w:rPr>
              <w:t>additional 4</w:t>
            </w:r>
            <w:r w:rsidRPr="009B4A78">
              <w:rPr>
                <w:rFonts w:ascii="Arial" w:hAnsi="Arial" w:cs="Arial"/>
                <w:sz w:val="16"/>
                <w:szCs w:val="16"/>
              </w:rPr>
              <w:t>)</w:t>
            </w:r>
            <w:r w:rsidRPr="009B4A78">
              <w:rPr>
                <w:rFonts w:ascii="Arial" w:hAnsi="Arial" w:cs="Arial"/>
                <w:sz w:val="16"/>
                <w:szCs w:val="16"/>
              </w:rPr>
              <w:br/>
              <w:t>Asia and Pacific (additional 4)</w:t>
            </w:r>
            <w:r w:rsidRPr="009B4A78">
              <w:rPr>
                <w:rFonts w:ascii="Arial" w:hAnsi="Arial" w:cs="Arial"/>
                <w:sz w:val="16"/>
                <w:szCs w:val="16"/>
              </w:rPr>
              <w:br/>
              <w:t>Latin America &amp; the Caribbean (</w:t>
            </w:r>
            <w:r w:rsidR="005F1F8F">
              <w:rPr>
                <w:rFonts w:ascii="Arial" w:hAnsi="Arial" w:cs="Arial"/>
                <w:sz w:val="16"/>
                <w:szCs w:val="16"/>
              </w:rPr>
              <w:t>additional 5</w:t>
            </w:r>
            <w:r w:rsidRPr="009B4A78">
              <w:rPr>
                <w:rFonts w:ascii="Arial" w:hAnsi="Arial" w:cs="Arial"/>
                <w:sz w:val="16"/>
                <w:szCs w:val="16"/>
              </w:rPr>
              <w:t>)</w:t>
            </w:r>
          </w:p>
        </w:tc>
      </w:tr>
      <w:tr w:rsidR="00B65F7B" w:rsidRPr="009B4A78" w14:paraId="1EF5E491" w14:textId="77777777" w:rsidTr="00D655F5">
        <w:trPr>
          <w:trHeight w:val="1265"/>
        </w:trPr>
        <w:tc>
          <w:tcPr>
            <w:tcW w:w="2280" w:type="dxa"/>
            <w:tcBorders>
              <w:top w:val="single" w:sz="4" w:space="0" w:color="auto"/>
              <w:left w:val="single" w:sz="4" w:space="0" w:color="auto"/>
              <w:right w:val="nil"/>
            </w:tcBorders>
            <w:shd w:val="clear" w:color="000000" w:fill="FFFFFF"/>
            <w:tcMar>
              <w:top w:w="85" w:type="dxa"/>
            </w:tcMar>
            <w:hideMark/>
          </w:tcPr>
          <w:p w14:paraId="7B3CF6BE"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lastRenderedPageBreak/>
              <w:t> </w:t>
            </w:r>
          </w:p>
        </w:tc>
        <w:tc>
          <w:tcPr>
            <w:tcW w:w="2180" w:type="dxa"/>
            <w:tcBorders>
              <w:top w:val="single" w:sz="4" w:space="0" w:color="auto"/>
              <w:left w:val="nil"/>
              <w:right w:val="nil"/>
            </w:tcBorders>
            <w:shd w:val="clear" w:color="000000" w:fill="FFFFFF"/>
            <w:tcMar>
              <w:top w:w="85" w:type="dxa"/>
            </w:tcMar>
            <w:hideMark/>
          </w:tcPr>
          <w:p w14:paraId="6CD2DEF1"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of countries which have adopted national innovation and IP strategies</w:t>
            </w:r>
          </w:p>
        </w:tc>
        <w:tc>
          <w:tcPr>
            <w:tcW w:w="2760" w:type="dxa"/>
            <w:tcBorders>
              <w:top w:val="single" w:sz="4" w:space="0" w:color="auto"/>
              <w:left w:val="nil"/>
              <w:right w:val="nil"/>
            </w:tcBorders>
            <w:shd w:val="clear" w:color="000000" w:fill="FFFFFF"/>
            <w:tcMar>
              <w:top w:w="85" w:type="dxa"/>
            </w:tcMar>
            <w:hideMark/>
          </w:tcPr>
          <w:p w14:paraId="70BFB06B" w14:textId="0860265B" w:rsidR="00B65F7B" w:rsidRPr="009B4A78" w:rsidRDefault="00B65F7B" w:rsidP="009023D4">
            <w:pPr>
              <w:spacing w:after="240"/>
              <w:rPr>
                <w:rFonts w:ascii="Arial" w:hAnsi="Arial" w:cs="Arial"/>
                <w:sz w:val="16"/>
                <w:szCs w:val="16"/>
              </w:rPr>
            </w:pPr>
            <w:r w:rsidRPr="009B4A78">
              <w:rPr>
                <w:rFonts w:ascii="Arial" w:hAnsi="Arial" w:cs="Arial"/>
                <w:sz w:val="16"/>
                <w:szCs w:val="16"/>
              </w:rPr>
              <w:t>Africa (</w:t>
            </w:r>
            <w:r w:rsidR="00A42BA1">
              <w:rPr>
                <w:rFonts w:ascii="Arial" w:hAnsi="Arial" w:cs="Arial"/>
                <w:sz w:val="16"/>
                <w:szCs w:val="16"/>
              </w:rPr>
              <w:t>21 cumulative</w:t>
            </w:r>
            <w:r w:rsidRPr="009B4A78">
              <w:rPr>
                <w:rFonts w:ascii="Arial" w:hAnsi="Arial" w:cs="Arial"/>
                <w:sz w:val="16"/>
                <w:szCs w:val="16"/>
              </w:rPr>
              <w:t>)</w:t>
            </w:r>
            <w:r w:rsidRPr="009B4A78">
              <w:rPr>
                <w:rFonts w:ascii="Arial" w:hAnsi="Arial" w:cs="Arial"/>
                <w:sz w:val="16"/>
                <w:szCs w:val="16"/>
              </w:rPr>
              <w:br/>
              <w:t>Arab (</w:t>
            </w:r>
            <w:r w:rsidR="00A42BA1">
              <w:rPr>
                <w:rFonts w:ascii="Arial" w:hAnsi="Arial" w:cs="Arial"/>
                <w:sz w:val="16"/>
                <w:szCs w:val="16"/>
              </w:rPr>
              <w:t>2 cumulative</w:t>
            </w:r>
            <w:r w:rsidRPr="009B4A78">
              <w:rPr>
                <w:rFonts w:ascii="Arial" w:hAnsi="Arial" w:cs="Arial"/>
                <w:sz w:val="16"/>
                <w:szCs w:val="16"/>
              </w:rPr>
              <w:t>)</w:t>
            </w:r>
            <w:r w:rsidRPr="009B4A78">
              <w:rPr>
                <w:rFonts w:ascii="Arial" w:hAnsi="Arial" w:cs="Arial"/>
                <w:sz w:val="16"/>
                <w:szCs w:val="16"/>
              </w:rPr>
              <w:br/>
              <w:t>Asia and Pacific (</w:t>
            </w:r>
            <w:r w:rsidR="009023D4">
              <w:rPr>
                <w:rFonts w:ascii="Arial" w:hAnsi="Arial" w:cs="Arial"/>
                <w:sz w:val="16"/>
                <w:szCs w:val="16"/>
              </w:rPr>
              <w:t>8 cumulative</w:t>
            </w:r>
            <w:r w:rsidRPr="009B4A78">
              <w:rPr>
                <w:rFonts w:ascii="Arial" w:hAnsi="Arial" w:cs="Arial"/>
                <w:sz w:val="16"/>
                <w:szCs w:val="16"/>
              </w:rPr>
              <w:t>)</w:t>
            </w:r>
            <w:r w:rsidRPr="009B4A78">
              <w:rPr>
                <w:rFonts w:ascii="Arial" w:hAnsi="Arial" w:cs="Arial"/>
                <w:sz w:val="16"/>
                <w:szCs w:val="16"/>
              </w:rPr>
              <w:br/>
              <w:t>Latin America &amp; the Caribbean (6</w:t>
            </w:r>
            <w:r w:rsidR="009023D4">
              <w:rPr>
                <w:rFonts w:ascii="Arial" w:hAnsi="Arial" w:cs="Arial"/>
                <w:sz w:val="16"/>
                <w:szCs w:val="16"/>
              </w:rPr>
              <w:t xml:space="preserve"> cumulative</w:t>
            </w:r>
            <w:r w:rsidRPr="009B4A78">
              <w:rPr>
                <w:rFonts w:ascii="Arial" w:hAnsi="Arial" w:cs="Arial"/>
                <w:sz w:val="16"/>
                <w:szCs w:val="16"/>
              </w:rPr>
              <w:t>)</w:t>
            </w:r>
            <w:r w:rsidRPr="009B4A78">
              <w:rPr>
                <w:rFonts w:ascii="Arial" w:hAnsi="Arial" w:cs="Arial"/>
                <w:sz w:val="16"/>
                <w:szCs w:val="16"/>
              </w:rPr>
              <w:br/>
            </w:r>
            <w:r w:rsidRPr="009B4A78">
              <w:rPr>
                <w:rFonts w:ascii="Arial" w:hAnsi="Arial" w:cs="Arial"/>
                <w:sz w:val="16"/>
                <w:szCs w:val="16"/>
              </w:rPr>
              <w:br/>
            </w:r>
          </w:p>
        </w:tc>
        <w:tc>
          <w:tcPr>
            <w:tcW w:w="2151" w:type="dxa"/>
            <w:tcBorders>
              <w:top w:val="single" w:sz="4" w:space="0" w:color="auto"/>
              <w:left w:val="nil"/>
              <w:right w:val="single" w:sz="4" w:space="0" w:color="auto"/>
            </w:tcBorders>
            <w:shd w:val="clear" w:color="000000" w:fill="FFFFFF"/>
            <w:tcMar>
              <w:top w:w="85" w:type="dxa"/>
            </w:tcMar>
            <w:hideMark/>
          </w:tcPr>
          <w:p w14:paraId="04DFF63B" w14:textId="6E45661F" w:rsidR="00B65F7B" w:rsidRPr="009B4A78" w:rsidRDefault="00B65F7B" w:rsidP="000B1931">
            <w:pPr>
              <w:spacing w:after="240"/>
              <w:rPr>
                <w:rFonts w:ascii="Arial" w:hAnsi="Arial" w:cs="Arial"/>
                <w:sz w:val="16"/>
                <w:szCs w:val="16"/>
              </w:rPr>
            </w:pPr>
            <w:r w:rsidRPr="009B4A78">
              <w:rPr>
                <w:rFonts w:ascii="Arial" w:hAnsi="Arial" w:cs="Arial"/>
                <w:sz w:val="16"/>
                <w:szCs w:val="16"/>
              </w:rPr>
              <w:t>Africa (</w:t>
            </w:r>
            <w:r w:rsidR="00A42BA1">
              <w:rPr>
                <w:rFonts w:ascii="Arial" w:hAnsi="Arial" w:cs="Arial"/>
                <w:sz w:val="16"/>
                <w:szCs w:val="16"/>
              </w:rPr>
              <w:t xml:space="preserve">additional </w:t>
            </w:r>
            <w:r w:rsidR="000B1931">
              <w:rPr>
                <w:rFonts w:ascii="Arial" w:hAnsi="Arial" w:cs="Arial"/>
                <w:sz w:val="16"/>
                <w:szCs w:val="16"/>
              </w:rPr>
              <w:t>8</w:t>
            </w:r>
            <w:r w:rsidRPr="009B4A78">
              <w:rPr>
                <w:rFonts w:ascii="Arial" w:hAnsi="Arial" w:cs="Arial"/>
                <w:sz w:val="16"/>
                <w:szCs w:val="16"/>
              </w:rPr>
              <w:t>)</w:t>
            </w:r>
            <w:r w:rsidRPr="009B4A78">
              <w:rPr>
                <w:rFonts w:ascii="Arial" w:hAnsi="Arial" w:cs="Arial"/>
                <w:sz w:val="16"/>
                <w:szCs w:val="16"/>
              </w:rPr>
              <w:br/>
              <w:t>Arab (additional</w:t>
            </w:r>
            <w:r w:rsidR="00A42BA1">
              <w:rPr>
                <w:rFonts w:ascii="Arial" w:hAnsi="Arial" w:cs="Arial"/>
                <w:sz w:val="16"/>
                <w:szCs w:val="16"/>
              </w:rPr>
              <w:t xml:space="preserve"> 2</w:t>
            </w:r>
            <w:r w:rsidRPr="009B4A78">
              <w:rPr>
                <w:rFonts w:ascii="Arial" w:hAnsi="Arial" w:cs="Arial"/>
                <w:sz w:val="16"/>
                <w:szCs w:val="16"/>
              </w:rPr>
              <w:t>)</w:t>
            </w:r>
            <w:r w:rsidRPr="009B4A78">
              <w:rPr>
                <w:rFonts w:ascii="Arial" w:hAnsi="Arial" w:cs="Arial"/>
                <w:sz w:val="16"/>
                <w:szCs w:val="16"/>
              </w:rPr>
              <w:br/>
              <w:t>Asia and Pacific (additional 7)</w:t>
            </w:r>
            <w:r w:rsidRPr="009B4A78">
              <w:rPr>
                <w:rFonts w:ascii="Arial" w:hAnsi="Arial" w:cs="Arial"/>
                <w:sz w:val="16"/>
                <w:szCs w:val="16"/>
              </w:rPr>
              <w:br/>
              <w:t>Latin America &amp; the Caribbean (</w:t>
            </w:r>
            <w:r w:rsidR="009023D4">
              <w:rPr>
                <w:rFonts w:ascii="Arial" w:hAnsi="Arial" w:cs="Arial"/>
                <w:sz w:val="16"/>
                <w:szCs w:val="16"/>
              </w:rPr>
              <w:t>additional 2</w:t>
            </w:r>
            <w:r w:rsidRPr="009B4A78">
              <w:rPr>
                <w:rFonts w:ascii="Arial" w:hAnsi="Arial" w:cs="Arial"/>
                <w:sz w:val="16"/>
                <w:szCs w:val="16"/>
              </w:rPr>
              <w:t>)</w:t>
            </w:r>
          </w:p>
        </w:tc>
      </w:tr>
      <w:tr w:rsidR="00B65F7B" w:rsidRPr="009B4A78" w14:paraId="2E428824" w14:textId="77777777" w:rsidTr="00C90AAF">
        <w:trPr>
          <w:trHeight w:val="1187"/>
        </w:trPr>
        <w:tc>
          <w:tcPr>
            <w:tcW w:w="2280" w:type="dxa"/>
            <w:tcBorders>
              <w:left w:val="single" w:sz="4" w:space="0" w:color="auto"/>
              <w:bottom w:val="nil"/>
              <w:right w:val="nil"/>
            </w:tcBorders>
            <w:shd w:val="clear" w:color="000000" w:fill="FFFFFF"/>
            <w:tcMar>
              <w:top w:w="85" w:type="dxa"/>
            </w:tcMar>
            <w:hideMark/>
          </w:tcPr>
          <w:p w14:paraId="5A4E4BD1"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left w:val="nil"/>
              <w:bottom w:val="nil"/>
              <w:right w:val="nil"/>
            </w:tcBorders>
            <w:shd w:val="clear" w:color="000000" w:fill="FFFFFF"/>
            <w:tcMar>
              <w:top w:w="85" w:type="dxa"/>
            </w:tcMar>
            <w:hideMark/>
          </w:tcPr>
          <w:p w14:paraId="08BF7329"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of countries which are in the process of implementing national innovation and IP strategies and IP development plans</w:t>
            </w:r>
          </w:p>
        </w:tc>
        <w:tc>
          <w:tcPr>
            <w:tcW w:w="2760" w:type="dxa"/>
            <w:tcBorders>
              <w:left w:val="nil"/>
              <w:bottom w:val="nil"/>
              <w:right w:val="nil"/>
            </w:tcBorders>
            <w:shd w:val="clear" w:color="000000" w:fill="FFFFFF"/>
            <w:tcMar>
              <w:top w:w="85" w:type="dxa"/>
            </w:tcMar>
            <w:hideMark/>
          </w:tcPr>
          <w:p w14:paraId="33B1A464" w14:textId="776BA2C1" w:rsidR="00B65F7B" w:rsidRPr="009B4A78" w:rsidRDefault="00B65F7B" w:rsidP="00EC3E4D">
            <w:pPr>
              <w:spacing w:after="240"/>
              <w:rPr>
                <w:rFonts w:ascii="Arial" w:hAnsi="Arial" w:cs="Arial"/>
                <w:sz w:val="16"/>
                <w:szCs w:val="16"/>
              </w:rPr>
            </w:pPr>
            <w:r w:rsidRPr="009B4A78">
              <w:rPr>
                <w:rFonts w:ascii="Arial" w:hAnsi="Arial" w:cs="Arial"/>
                <w:sz w:val="16"/>
                <w:szCs w:val="16"/>
              </w:rPr>
              <w:t>Africa (</w:t>
            </w:r>
            <w:r w:rsidR="00EC3E4D">
              <w:rPr>
                <w:rFonts w:ascii="Arial" w:hAnsi="Arial" w:cs="Arial"/>
                <w:sz w:val="16"/>
                <w:szCs w:val="16"/>
              </w:rPr>
              <w:t>21 cumulative</w:t>
            </w:r>
            <w:r w:rsidRPr="009B4A78">
              <w:rPr>
                <w:rFonts w:ascii="Arial" w:hAnsi="Arial" w:cs="Arial"/>
                <w:sz w:val="16"/>
                <w:szCs w:val="16"/>
              </w:rPr>
              <w:t>)</w:t>
            </w:r>
            <w:r w:rsidRPr="009B4A78">
              <w:rPr>
                <w:rFonts w:ascii="Arial" w:hAnsi="Arial" w:cs="Arial"/>
                <w:sz w:val="16"/>
                <w:szCs w:val="16"/>
              </w:rPr>
              <w:br/>
              <w:t>Arab (2</w:t>
            </w:r>
            <w:r w:rsidR="00EC3E4D">
              <w:rPr>
                <w:rFonts w:ascii="Arial" w:hAnsi="Arial" w:cs="Arial"/>
                <w:sz w:val="16"/>
                <w:szCs w:val="16"/>
              </w:rPr>
              <w:t xml:space="preserve"> cumulative</w:t>
            </w:r>
            <w:r w:rsidRPr="009B4A78">
              <w:rPr>
                <w:rFonts w:ascii="Arial" w:hAnsi="Arial" w:cs="Arial"/>
                <w:sz w:val="16"/>
                <w:szCs w:val="16"/>
              </w:rPr>
              <w:t>)</w:t>
            </w:r>
            <w:r w:rsidRPr="009B4A78">
              <w:rPr>
                <w:rFonts w:ascii="Arial" w:hAnsi="Arial" w:cs="Arial"/>
                <w:sz w:val="16"/>
                <w:szCs w:val="16"/>
              </w:rPr>
              <w:br/>
              <w:t>Asia and Pacific (4</w:t>
            </w:r>
            <w:r w:rsidR="00EC3E4D">
              <w:rPr>
                <w:rFonts w:ascii="Arial" w:hAnsi="Arial" w:cs="Arial"/>
                <w:sz w:val="16"/>
                <w:szCs w:val="16"/>
              </w:rPr>
              <w:t xml:space="preserve"> cumulative</w:t>
            </w:r>
            <w:r w:rsidRPr="009B4A78">
              <w:rPr>
                <w:rFonts w:ascii="Arial" w:hAnsi="Arial" w:cs="Arial"/>
                <w:sz w:val="16"/>
                <w:szCs w:val="16"/>
              </w:rPr>
              <w:t>)</w:t>
            </w:r>
            <w:r w:rsidRPr="009B4A78">
              <w:rPr>
                <w:rFonts w:ascii="Arial" w:hAnsi="Arial" w:cs="Arial"/>
                <w:sz w:val="16"/>
                <w:szCs w:val="16"/>
              </w:rPr>
              <w:br/>
              <w:t>Latin America &amp; the Caribbean (6</w:t>
            </w:r>
            <w:r w:rsidR="00EC3E4D">
              <w:rPr>
                <w:rFonts w:ascii="Arial" w:hAnsi="Arial" w:cs="Arial"/>
                <w:sz w:val="16"/>
                <w:szCs w:val="16"/>
              </w:rPr>
              <w:t xml:space="preserve"> cumulative</w:t>
            </w:r>
            <w:r w:rsidRPr="009B4A78">
              <w:rPr>
                <w:rFonts w:ascii="Arial" w:hAnsi="Arial" w:cs="Arial"/>
                <w:sz w:val="16"/>
                <w:szCs w:val="16"/>
              </w:rPr>
              <w:t>)</w:t>
            </w:r>
            <w:r w:rsidRPr="009B4A78">
              <w:rPr>
                <w:rFonts w:ascii="Arial" w:hAnsi="Arial" w:cs="Arial"/>
                <w:sz w:val="16"/>
                <w:szCs w:val="16"/>
              </w:rPr>
              <w:br/>
            </w:r>
          </w:p>
        </w:tc>
        <w:tc>
          <w:tcPr>
            <w:tcW w:w="2151" w:type="dxa"/>
            <w:tcBorders>
              <w:left w:val="nil"/>
              <w:bottom w:val="nil"/>
              <w:right w:val="single" w:sz="4" w:space="0" w:color="auto"/>
            </w:tcBorders>
            <w:shd w:val="clear" w:color="000000" w:fill="FFFFFF"/>
            <w:tcMar>
              <w:top w:w="85" w:type="dxa"/>
            </w:tcMar>
            <w:hideMark/>
          </w:tcPr>
          <w:p w14:paraId="40FC6885" w14:textId="6F1AB7A7" w:rsidR="00B65F7B" w:rsidRPr="009B4A78" w:rsidRDefault="00B65F7B" w:rsidP="000B1931">
            <w:pPr>
              <w:spacing w:after="240"/>
              <w:rPr>
                <w:rFonts w:ascii="Arial" w:hAnsi="Arial" w:cs="Arial"/>
                <w:sz w:val="16"/>
                <w:szCs w:val="16"/>
              </w:rPr>
            </w:pPr>
            <w:r w:rsidRPr="009B4A78">
              <w:rPr>
                <w:rFonts w:ascii="Arial" w:hAnsi="Arial" w:cs="Arial"/>
                <w:sz w:val="16"/>
                <w:szCs w:val="16"/>
              </w:rPr>
              <w:t>Africa (</w:t>
            </w:r>
            <w:r w:rsidR="00EC3E4D">
              <w:rPr>
                <w:rFonts w:ascii="Arial" w:hAnsi="Arial" w:cs="Arial"/>
                <w:sz w:val="16"/>
                <w:szCs w:val="16"/>
              </w:rPr>
              <w:t xml:space="preserve">additional </w:t>
            </w:r>
            <w:r w:rsidR="000B1931">
              <w:rPr>
                <w:rFonts w:ascii="Arial" w:hAnsi="Arial" w:cs="Arial"/>
                <w:sz w:val="16"/>
                <w:szCs w:val="16"/>
              </w:rPr>
              <w:t>8</w:t>
            </w:r>
            <w:r w:rsidRPr="009B4A78">
              <w:rPr>
                <w:rFonts w:ascii="Arial" w:hAnsi="Arial" w:cs="Arial"/>
                <w:sz w:val="16"/>
                <w:szCs w:val="16"/>
              </w:rPr>
              <w:t>)</w:t>
            </w:r>
            <w:r w:rsidRPr="009B4A78">
              <w:rPr>
                <w:rFonts w:ascii="Arial" w:hAnsi="Arial" w:cs="Arial"/>
                <w:sz w:val="16"/>
                <w:szCs w:val="16"/>
              </w:rPr>
              <w:br/>
              <w:t>Arab (</w:t>
            </w:r>
            <w:r w:rsidR="00EC3E4D">
              <w:rPr>
                <w:rFonts w:ascii="Arial" w:hAnsi="Arial" w:cs="Arial"/>
                <w:sz w:val="16"/>
                <w:szCs w:val="16"/>
              </w:rPr>
              <w:t>additional 2</w:t>
            </w:r>
            <w:r w:rsidRPr="009B4A78">
              <w:rPr>
                <w:rFonts w:ascii="Arial" w:hAnsi="Arial" w:cs="Arial"/>
                <w:sz w:val="16"/>
                <w:szCs w:val="16"/>
              </w:rPr>
              <w:t>)</w:t>
            </w:r>
            <w:r w:rsidRPr="009B4A78">
              <w:rPr>
                <w:rFonts w:ascii="Arial" w:hAnsi="Arial" w:cs="Arial"/>
                <w:sz w:val="16"/>
                <w:szCs w:val="16"/>
              </w:rPr>
              <w:br/>
              <w:t>Asia and Pacific (additional 7)</w:t>
            </w:r>
            <w:r w:rsidRPr="009B4A78">
              <w:rPr>
                <w:rFonts w:ascii="Arial" w:hAnsi="Arial" w:cs="Arial"/>
                <w:sz w:val="16"/>
                <w:szCs w:val="16"/>
              </w:rPr>
              <w:br/>
              <w:t>Latin America &amp; the Caribbean (</w:t>
            </w:r>
            <w:r w:rsidR="00EC3E4D">
              <w:rPr>
                <w:rFonts w:ascii="Arial" w:hAnsi="Arial" w:cs="Arial"/>
                <w:sz w:val="16"/>
                <w:szCs w:val="16"/>
              </w:rPr>
              <w:t>additional 6</w:t>
            </w:r>
            <w:r w:rsidRPr="009B4A78">
              <w:rPr>
                <w:rFonts w:ascii="Arial" w:hAnsi="Arial" w:cs="Arial"/>
                <w:sz w:val="16"/>
                <w:szCs w:val="16"/>
              </w:rPr>
              <w:t>)</w:t>
            </w:r>
          </w:p>
        </w:tc>
      </w:tr>
      <w:tr w:rsidR="00B65F7B" w:rsidRPr="009B4A78" w14:paraId="734AD30B" w14:textId="77777777" w:rsidTr="00C90AAF">
        <w:trPr>
          <w:trHeight w:val="1355"/>
        </w:trPr>
        <w:tc>
          <w:tcPr>
            <w:tcW w:w="2280" w:type="dxa"/>
            <w:tcBorders>
              <w:top w:val="nil"/>
              <w:left w:val="single" w:sz="4" w:space="0" w:color="auto"/>
              <w:right w:val="nil"/>
            </w:tcBorders>
            <w:shd w:val="clear" w:color="000000" w:fill="FFFFFF"/>
            <w:tcMar>
              <w:top w:w="85" w:type="dxa"/>
            </w:tcMar>
            <w:hideMark/>
          </w:tcPr>
          <w:p w14:paraId="496D8E0A"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180" w:type="dxa"/>
            <w:tcBorders>
              <w:top w:val="nil"/>
              <w:left w:val="nil"/>
              <w:right w:val="nil"/>
            </w:tcBorders>
            <w:shd w:val="clear" w:color="000000" w:fill="FFFFFF"/>
            <w:tcMar>
              <w:top w:w="85" w:type="dxa"/>
            </w:tcMar>
            <w:hideMark/>
          </w:tcPr>
          <w:p w14:paraId="0AEF01FC"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of participants in WIPO events who express satisfaction with the content and organization of these events</w:t>
            </w:r>
          </w:p>
        </w:tc>
        <w:tc>
          <w:tcPr>
            <w:tcW w:w="2760" w:type="dxa"/>
            <w:tcBorders>
              <w:top w:val="nil"/>
              <w:left w:val="nil"/>
              <w:right w:val="nil"/>
            </w:tcBorders>
            <w:shd w:val="clear" w:color="000000" w:fill="FFFFFF"/>
            <w:tcMar>
              <w:top w:w="85" w:type="dxa"/>
            </w:tcMar>
            <w:hideMark/>
          </w:tcPr>
          <w:p w14:paraId="0E2BC6B0" w14:textId="1909F777" w:rsidR="00B65F7B" w:rsidRPr="009B4A78" w:rsidRDefault="00B65F7B" w:rsidP="006D631E">
            <w:pPr>
              <w:rPr>
                <w:rFonts w:ascii="Arial" w:hAnsi="Arial" w:cs="Arial"/>
                <w:color w:val="000000"/>
                <w:sz w:val="16"/>
                <w:szCs w:val="16"/>
              </w:rPr>
            </w:pPr>
            <w:r w:rsidRPr="009B4A78">
              <w:rPr>
                <w:rFonts w:ascii="Arial" w:hAnsi="Arial" w:cs="Arial"/>
                <w:color w:val="000000"/>
                <w:sz w:val="16"/>
                <w:szCs w:val="16"/>
              </w:rPr>
              <w:t>Africa (70%)</w:t>
            </w:r>
            <w:r w:rsidRPr="009B4A78">
              <w:rPr>
                <w:rFonts w:ascii="Arial" w:hAnsi="Arial" w:cs="Arial"/>
                <w:color w:val="000000"/>
                <w:sz w:val="16"/>
                <w:szCs w:val="16"/>
              </w:rPr>
              <w:br/>
              <w:t>Arab (</w:t>
            </w:r>
            <w:r w:rsidR="006D631E">
              <w:rPr>
                <w:rFonts w:ascii="Arial" w:hAnsi="Arial" w:cs="Arial"/>
                <w:color w:val="000000"/>
                <w:sz w:val="16"/>
                <w:szCs w:val="16"/>
              </w:rPr>
              <w:t>not available in 2014; system to be implemented in 2015</w:t>
            </w:r>
            <w:r w:rsidRPr="009B4A78">
              <w:rPr>
                <w:rFonts w:ascii="Arial" w:hAnsi="Arial" w:cs="Arial"/>
                <w:color w:val="000000"/>
                <w:sz w:val="16"/>
                <w:szCs w:val="16"/>
              </w:rPr>
              <w:t>)</w:t>
            </w:r>
            <w:r w:rsidRPr="009B4A78">
              <w:rPr>
                <w:rFonts w:ascii="Arial" w:hAnsi="Arial" w:cs="Arial"/>
                <w:color w:val="000000"/>
                <w:sz w:val="16"/>
                <w:szCs w:val="16"/>
              </w:rPr>
              <w:br/>
              <w:t>Asia and Pacific (</w:t>
            </w:r>
            <w:r w:rsidR="006D631E">
              <w:rPr>
                <w:rFonts w:ascii="Arial" w:hAnsi="Arial" w:cs="Arial"/>
                <w:color w:val="000000"/>
                <w:sz w:val="16"/>
                <w:szCs w:val="16"/>
              </w:rPr>
              <w:t>92</w:t>
            </w:r>
            <w:r w:rsidRPr="009B4A78">
              <w:rPr>
                <w:rFonts w:ascii="Arial" w:hAnsi="Arial" w:cs="Arial"/>
                <w:color w:val="000000"/>
                <w:sz w:val="16"/>
                <w:szCs w:val="16"/>
              </w:rPr>
              <w:t>%)</w:t>
            </w:r>
            <w:r w:rsidRPr="009B4A78">
              <w:rPr>
                <w:rFonts w:ascii="Arial" w:hAnsi="Arial" w:cs="Arial"/>
                <w:color w:val="000000"/>
                <w:sz w:val="16"/>
                <w:szCs w:val="16"/>
              </w:rPr>
              <w:br/>
              <w:t>Latin America &amp; the Caribbean (</w:t>
            </w:r>
            <w:r w:rsidR="006D631E">
              <w:rPr>
                <w:rFonts w:ascii="Arial" w:hAnsi="Arial" w:cs="Arial"/>
                <w:color w:val="000000"/>
                <w:sz w:val="16"/>
                <w:szCs w:val="16"/>
              </w:rPr>
              <w:t>not available in 2014; system to be implemented in 2015</w:t>
            </w:r>
            <w:r w:rsidRPr="009B4A78">
              <w:rPr>
                <w:rFonts w:ascii="Arial" w:hAnsi="Arial" w:cs="Arial"/>
                <w:color w:val="000000"/>
                <w:sz w:val="16"/>
                <w:szCs w:val="16"/>
              </w:rPr>
              <w:t>)</w:t>
            </w:r>
            <w:r w:rsidRPr="009B4A78">
              <w:rPr>
                <w:rFonts w:ascii="Arial" w:hAnsi="Arial" w:cs="Arial"/>
                <w:color w:val="000000"/>
                <w:sz w:val="16"/>
                <w:szCs w:val="16"/>
              </w:rPr>
              <w:br/>
              <w:t>LDCs (</w:t>
            </w:r>
            <w:r w:rsidR="006D631E">
              <w:rPr>
                <w:rFonts w:ascii="Arial" w:hAnsi="Arial" w:cs="Arial"/>
                <w:color w:val="000000"/>
                <w:sz w:val="16"/>
                <w:szCs w:val="16"/>
              </w:rPr>
              <w:t>90</w:t>
            </w:r>
            <w:r w:rsidRPr="009B4A78">
              <w:rPr>
                <w:rFonts w:ascii="Arial" w:hAnsi="Arial" w:cs="Arial"/>
                <w:color w:val="000000"/>
                <w:sz w:val="16"/>
                <w:szCs w:val="16"/>
              </w:rPr>
              <w:t>%)</w:t>
            </w:r>
          </w:p>
        </w:tc>
        <w:tc>
          <w:tcPr>
            <w:tcW w:w="2151" w:type="dxa"/>
            <w:tcBorders>
              <w:top w:val="nil"/>
              <w:left w:val="nil"/>
              <w:right w:val="single" w:sz="4" w:space="0" w:color="auto"/>
            </w:tcBorders>
            <w:shd w:val="clear" w:color="000000" w:fill="FFFFFF"/>
            <w:tcMar>
              <w:top w:w="85" w:type="dxa"/>
            </w:tcMar>
            <w:hideMark/>
          </w:tcPr>
          <w:p w14:paraId="407212DF"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Africa (70%)</w:t>
            </w:r>
            <w:r w:rsidRPr="009B4A78">
              <w:rPr>
                <w:rFonts w:ascii="Arial" w:hAnsi="Arial" w:cs="Arial"/>
                <w:color w:val="000000"/>
                <w:sz w:val="16"/>
                <w:szCs w:val="16"/>
              </w:rPr>
              <w:br/>
              <w:t>Arab (70%)</w:t>
            </w:r>
            <w:r w:rsidRPr="009B4A78">
              <w:rPr>
                <w:rFonts w:ascii="Arial" w:hAnsi="Arial" w:cs="Arial"/>
                <w:color w:val="000000"/>
                <w:sz w:val="16"/>
                <w:szCs w:val="16"/>
              </w:rPr>
              <w:br/>
              <w:t>Asia and Pacific (70%)</w:t>
            </w:r>
            <w:r w:rsidRPr="009B4A78">
              <w:rPr>
                <w:rFonts w:ascii="Arial" w:hAnsi="Arial" w:cs="Arial"/>
                <w:color w:val="000000"/>
                <w:sz w:val="16"/>
                <w:szCs w:val="16"/>
              </w:rPr>
              <w:br/>
              <w:t>Latin America &amp; the Caribbean (85%)</w:t>
            </w:r>
            <w:r w:rsidRPr="009B4A78">
              <w:rPr>
                <w:rFonts w:ascii="Arial" w:hAnsi="Arial" w:cs="Arial"/>
                <w:color w:val="000000"/>
                <w:sz w:val="16"/>
                <w:szCs w:val="16"/>
              </w:rPr>
              <w:br/>
              <w:t>LDCs (70%)</w:t>
            </w:r>
          </w:p>
        </w:tc>
      </w:tr>
      <w:tr w:rsidR="00B65F7B" w:rsidRPr="009B4A78" w14:paraId="159CA8E0" w14:textId="77777777" w:rsidTr="00B46E15">
        <w:trPr>
          <w:trHeight w:val="1319"/>
        </w:trPr>
        <w:tc>
          <w:tcPr>
            <w:tcW w:w="2280" w:type="dxa"/>
            <w:tcBorders>
              <w:top w:val="nil"/>
              <w:left w:val="single" w:sz="4" w:space="0" w:color="auto"/>
              <w:right w:val="nil"/>
            </w:tcBorders>
            <w:shd w:val="clear" w:color="000000" w:fill="FFFFFF"/>
            <w:tcMar>
              <w:top w:w="85" w:type="dxa"/>
            </w:tcMar>
            <w:hideMark/>
          </w:tcPr>
          <w:p w14:paraId="188F4BA1"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top w:val="nil"/>
              <w:left w:val="nil"/>
              <w:right w:val="nil"/>
            </w:tcBorders>
            <w:shd w:val="clear" w:color="000000" w:fill="FFFFFF"/>
            <w:tcMar>
              <w:top w:w="85" w:type="dxa"/>
            </w:tcMar>
            <w:hideMark/>
          </w:tcPr>
          <w:p w14:paraId="4C5511EA" w14:textId="77777777" w:rsidR="00B65F7B" w:rsidRPr="009B4A78" w:rsidRDefault="00B65F7B" w:rsidP="00F33E49">
            <w:pPr>
              <w:spacing w:after="240"/>
              <w:rPr>
                <w:rFonts w:ascii="Arial" w:hAnsi="Arial" w:cs="Arial"/>
                <w:color w:val="000000"/>
                <w:sz w:val="16"/>
                <w:szCs w:val="16"/>
              </w:rPr>
            </w:pPr>
            <w:r w:rsidRPr="009B4A78">
              <w:rPr>
                <w:rFonts w:ascii="Arial" w:hAnsi="Arial" w:cs="Arial"/>
                <w:color w:val="000000"/>
                <w:sz w:val="16"/>
                <w:szCs w:val="16"/>
              </w:rPr>
              <w:t>% of participants in WIPO workshops who apply the skills learned in their work/enterprise</w:t>
            </w:r>
          </w:p>
        </w:tc>
        <w:tc>
          <w:tcPr>
            <w:tcW w:w="2760" w:type="dxa"/>
            <w:tcBorders>
              <w:top w:val="nil"/>
              <w:left w:val="nil"/>
              <w:right w:val="nil"/>
            </w:tcBorders>
            <w:shd w:val="clear" w:color="000000" w:fill="FFFFFF"/>
            <w:tcMar>
              <w:top w:w="85" w:type="dxa"/>
            </w:tcMar>
            <w:hideMark/>
          </w:tcPr>
          <w:p w14:paraId="769D2136" w14:textId="7724BD5D" w:rsidR="00B65F7B" w:rsidRPr="009B4A78" w:rsidRDefault="00B65F7B" w:rsidP="00F33E49">
            <w:pPr>
              <w:rPr>
                <w:rFonts w:ascii="Arial" w:hAnsi="Arial" w:cs="Arial"/>
                <w:color w:val="000000"/>
                <w:sz w:val="16"/>
                <w:szCs w:val="16"/>
              </w:rPr>
            </w:pPr>
            <w:r w:rsidRPr="009B4A78">
              <w:rPr>
                <w:rFonts w:ascii="Arial" w:hAnsi="Arial" w:cs="Arial"/>
                <w:sz w:val="16"/>
                <w:szCs w:val="16"/>
              </w:rPr>
              <w:t>Africa (70%)</w:t>
            </w:r>
            <w:r w:rsidRPr="009B4A78">
              <w:rPr>
                <w:rFonts w:ascii="Arial" w:hAnsi="Arial" w:cs="Arial"/>
                <w:sz w:val="16"/>
                <w:szCs w:val="16"/>
              </w:rPr>
              <w:br/>
              <w:t>Arab (</w:t>
            </w:r>
            <w:r w:rsidR="00D76EB7">
              <w:rPr>
                <w:rFonts w:ascii="Arial" w:hAnsi="Arial" w:cs="Arial"/>
                <w:color w:val="000000"/>
                <w:sz w:val="16"/>
                <w:szCs w:val="16"/>
              </w:rPr>
              <w:t>not available in 2014; system to be implemented in 2015</w:t>
            </w:r>
            <w:r w:rsidRPr="009B4A78">
              <w:rPr>
                <w:rFonts w:ascii="Arial" w:hAnsi="Arial" w:cs="Arial"/>
                <w:sz w:val="16"/>
                <w:szCs w:val="16"/>
              </w:rPr>
              <w:t>)</w:t>
            </w:r>
            <w:r w:rsidRPr="009B4A78">
              <w:rPr>
                <w:rFonts w:ascii="Arial" w:hAnsi="Arial" w:cs="Arial"/>
                <w:sz w:val="16"/>
                <w:szCs w:val="16"/>
              </w:rPr>
              <w:br/>
              <w:t>Asia and Pacific (</w:t>
            </w:r>
            <w:r w:rsidR="00D76EB7">
              <w:rPr>
                <w:rFonts w:ascii="Arial" w:hAnsi="Arial" w:cs="Arial"/>
                <w:sz w:val="16"/>
                <w:szCs w:val="16"/>
              </w:rPr>
              <w:t>89</w:t>
            </w:r>
            <w:r w:rsidRPr="009B4A78">
              <w:rPr>
                <w:rFonts w:ascii="Arial" w:hAnsi="Arial" w:cs="Arial"/>
                <w:sz w:val="16"/>
                <w:szCs w:val="16"/>
              </w:rPr>
              <w:t>%)</w:t>
            </w:r>
            <w:r w:rsidRPr="009B4A78">
              <w:rPr>
                <w:rFonts w:ascii="Arial" w:hAnsi="Arial" w:cs="Arial"/>
                <w:sz w:val="16"/>
                <w:szCs w:val="16"/>
              </w:rPr>
              <w:br/>
              <w:t>Latin America &amp; the Caribbean (</w:t>
            </w:r>
            <w:r w:rsidR="00D76EB7">
              <w:rPr>
                <w:rFonts w:ascii="Arial" w:hAnsi="Arial" w:cs="Arial"/>
                <w:color w:val="000000"/>
                <w:sz w:val="16"/>
                <w:szCs w:val="16"/>
              </w:rPr>
              <w:t>not available in 2014; system to be implemented in 2015</w:t>
            </w:r>
            <w:r w:rsidRPr="009B4A78">
              <w:rPr>
                <w:rFonts w:ascii="Arial" w:hAnsi="Arial" w:cs="Arial"/>
                <w:sz w:val="16"/>
                <w:szCs w:val="16"/>
              </w:rPr>
              <w:t>)</w:t>
            </w:r>
            <w:r w:rsidRPr="009B4A78">
              <w:rPr>
                <w:rFonts w:ascii="Arial" w:hAnsi="Arial" w:cs="Arial"/>
                <w:color w:val="000000"/>
                <w:sz w:val="16"/>
                <w:szCs w:val="16"/>
              </w:rPr>
              <w:t xml:space="preserve"> </w:t>
            </w:r>
          </w:p>
          <w:p w14:paraId="05100158" w14:textId="578187FA" w:rsidR="00B65F7B" w:rsidRPr="009B4A78" w:rsidRDefault="00B65F7B" w:rsidP="00D76EB7">
            <w:pPr>
              <w:rPr>
                <w:rFonts w:ascii="Arial" w:hAnsi="Arial" w:cs="Arial"/>
                <w:color w:val="000000"/>
                <w:sz w:val="16"/>
                <w:szCs w:val="16"/>
              </w:rPr>
            </w:pPr>
            <w:r w:rsidRPr="009B4A78">
              <w:rPr>
                <w:rFonts w:ascii="Arial" w:hAnsi="Arial" w:cs="Arial"/>
                <w:color w:val="000000"/>
                <w:sz w:val="16"/>
                <w:szCs w:val="16"/>
              </w:rPr>
              <w:t>LDCs (</w:t>
            </w:r>
            <w:r w:rsidR="00D76EB7">
              <w:rPr>
                <w:rFonts w:ascii="Arial" w:hAnsi="Arial" w:cs="Arial"/>
                <w:color w:val="000000"/>
                <w:sz w:val="16"/>
                <w:szCs w:val="16"/>
              </w:rPr>
              <w:t>95</w:t>
            </w:r>
            <w:r w:rsidRPr="009B4A78">
              <w:rPr>
                <w:rFonts w:ascii="Arial" w:hAnsi="Arial" w:cs="Arial"/>
                <w:color w:val="000000"/>
                <w:sz w:val="16"/>
                <w:szCs w:val="16"/>
              </w:rPr>
              <w:t>%)</w:t>
            </w:r>
            <w:r w:rsidRPr="009B4A78">
              <w:rPr>
                <w:rFonts w:ascii="Arial" w:hAnsi="Arial" w:cs="Arial"/>
                <w:color w:val="000000"/>
                <w:sz w:val="16"/>
                <w:szCs w:val="16"/>
              </w:rPr>
              <w:br/>
            </w:r>
          </w:p>
        </w:tc>
        <w:tc>
          <w:tcPr>
            <w:tcW w:w="2151" w:type="dxa"/>
            <w:tcBorders>
              <w:top w:val="nil"/>
              <w:left w:val="nil"/>
              <w:right w:val="single" w:sz="4" w:space="0" w:color="auto"/>
            </w:tcBorders>
            <w:shd w:val="clear" w:color="000000" w:fill="FFFFFF"/>
            <w:tcMar>
              <w:top w:w="85" w:type="dxa"/>
            </w:tcMar>
            <w:hideMark/>
          </w:tcPr>
          <w:p w14:paraId="52102FA9" w14:textId="77777777" w:rsidR="00B65F7B" w:rsidRPr="009B4A78" w:rsidRDefault="00B65F7B" w:rsidP="00F33E49">
            <w:pPr>
              <w:rPr>
                <w:rFonts w:ascii="Arial" w:hAnsi="Arial" w:cs="Arial"/>
                <w:color w:val="000000"/>
                <w:sz w:val="16"/>
                <w:szCs w:val="16"/>
              </w:rPr>
            </w:pPr>
            <w:r w:rsidRPr="009B4A78">
              <w:rPr>
                <w:rFonts w:ascii="Arial" w:hAnsi="Arial" w:cs="Arial"/>
                <w:sz w:val="16"/>
                <w:szCs w:val="16"/>
              </w:rPr>
              <w:t>Africa (70%)</w:t>
            </w:r>
            <w:r w:rsidRPr="009B4A78">
              <w:rPr>
                <w:rFonts w:ascii="Arial" w:hAnsi="Arial" w:cs="Arial"/>
                <w:sz w:val="16"/>
                <w:szCs w:val="16"/>
              </w:rPr>
              <w:br/>
              <w:t>Arab (50%)</w:t>
            </w:r>
            <w:r w:rsidRPr="009B4A78">
              <w:rPr>
                <w:rFonts w:ascii="Arial" w:hAnsi="Arial" w:cs="Arial"/>
                <w:sz w:val="16"/>
                <w:szCs w:val="16"/>
              </w:rPr>
              <w:br/>
              <w:t>Asia and Pacific (70%)</w:t>
            </w:r>
            <w:r w:rsidRPr="009B4A78">
              <w:rPr>
                <w:rFonts w:ascii="Arial" w:hAnsi="Arial" w:cs="Arial"/>
                <w:sz w:val="16"/>
                <w:szCs w:val="16"/>
              </w:rPr>
              <w:br/>
              <w:t>Latin America &amp; the Caribbean (45%)</w:t>
            </w:r>
            <w:r w:rsidRPr="009B4A78">
              <w:rPr>
                <w:rFonts w:ascii="Arial" w:hAnsi="Arial" w:cs="Arial"/>
                <w:color w:val="000000"/>
                <w:sz w:val="16"/>
                <w:szCs w:val="16"/>
              </w:rPr>
              <w:t xml:space="preserve"> </w:t>
            </w:r>
          </w:p>
          <w:p w14:paraId="5201440E"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LDCs (50%)</w:t>
            </w:r>
          </w:p>
        </w:tc>
      </w:tr>
      <w:tr w:rsidR="00B65F7B" w:rsidRPr="009B4A78" w14:paraId="667155FB" w14:textId="77777777" w:rsidTr="00B46E15">
        <w:trPr>
          <w:trHeight w:val="1190"/>
        </w:trPr>
        <w:tc>
          <w:tcPr>
            <w:tcW w:w="2280" w:type="dxa"/>
            <w:tcBorders>
              <w:left w:val="single" w:sz="4" w:space="0" w:color="auto"/>
              <w:bottom w:val="nil"/>
              <w:right w:val="nil"/>
            </w:tcBorders>
            <w:shd w:val="clear" w:color="000000" w:fill="FFFFFF"/>
            <w:tcMar>
              <w:top w:w="85" w:type="dxa"/>
            </w:tcMar>
            <w:hideMark/>
          </w:tcPr>
          <w:p w14:paraId="36076068"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left w:val="nil"/>
              <w:bottom w:val="nil"/>
              <w:right w:val="nil"/>
            </w:tcBorders>
            <w:shd w:val="clear" w:color="000000" w:fill="FFFFFF"/>
            <w:tcMar>
              <w:top w:w="85" w:type="dxa"/>
            </w:tcMar>
            <w:hideMark/>
          </w:tcPr>
          <w:p w14:paraId="540A571D"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of national and regional IP experts used as resource persons in WIPO events</w:t>
            </w:r>
          </w:p>
        </w:tc>
        <w:tc>
          <w:tcPr>
            <w:tcW w:w="2760" w:type="dxa"/>
            <w:tcBorders>
              <w:left w:val="nil"/>
              <w:bottom w:val="nil"/>
              <w:right w:val="nil"/>
            </w:tcBorders>
            <w:shd w:val="clear" w:color="000000" w:fill="FFFFFF"/>
            <w:tcMar>
              <w:top w:w="85" w:type="dxa"/>
            </w:tcMar>
            <w:hideMark/>
          </w:tcPr>
          <w:p w14:paraId="2BBCCB81" w14:textId="05DB8F57" w:rsidR="00B65F7B" w:rsidRPr="009B4A78" w:rsidRDefault="00B65F7B" w:rsidP="009B6E57">
            <w:pPr>
              <w:rPr>
                <w:rFonts w:ascii="Arial" w:hAnsi="Arial" w:cs="Arial"/>
                <w:color w:val="000000"/>
                <w:sz w:val="16"/>
                <w:szCs w:val="16"/>
              </w:rPr>
            </w:pPr>
            <w:r w:rsidRPr="009B4A78">
              <w:rPr>
                <w:rFonts w:ascii="Arial" w:hAnsi="Arial" w:cs="Arial"/>
                <w:color w:val="000000"/>
                <w:sz w:val="16"/>
                <w:szCs w:val="16"/>
              </w:rPr>
              <w:t>Africa (80%)</w:t>
            </w:r>
            <w:r w:rsidRPr="009B4A78">
              <w:rPr>
                <w:rFonts w:ascii="Arial" w:hAnsi="Arial" w:cs="Arial"/>
                <w:color w:val="000000"/>
                <w:sz w:val="16"/>
                <w:szCs w:val="16"/>
              </w:rPr>
              <w:br/>
              <w:t>Arab (35%)</w:t>
            </w:r>
            <w:r w:rsidRPr="009B4A78">
              <w:rPr>
                <w:rFonts w:ascii="Arial" w:hAnsi="Arial" w:cs="Arial"/>
                <w:color w:val="000000"/>
                <w:sz w:val="16"/>
                <w:szCs w:val="16"/>
              </w:rPr>
              <w:br/>
              <w:t>Asia and Pacific (</w:t>
            </w:r>
            <w:r w:rsidR="009B6E57">
              <w:rPr>
                <w:rFonts w:ascii="Arial" w:hAnsi="Arial" w:cs="Arial"/>
                <w:color w:val="000000"/>
                <w:sz w:val="16"/>
                <w:szCs w:val="16"/>
              </w:rPr>
              <w:t>71</w:t>
            </w:r>
            <w:r w:rsidRPr="009B4A78">
              <w:rPr>
                <w:rFonts w:ascii="Arial" w:hAnsi="Arial" w:cs="Arial"/>
                <w:color w:val="000000"/>
                <w:sz w:val="16"/>
                <w:szCs w:val="16"/>
              </w:rPr>
              <w:t>%)</w:t>
            </w:r>
            <w:r w:rsidRPr="009B4A78">
              <w:rPr>
                <w:rFonts w:ascii="Arial" w:hAnsi="Arial" w:cs="Arial"/>
                <w:color w:val="000000"/>
                <w:sz w:val="16"/>
                <w:szCs w:val="16"/>
              </w:rPr>
              <w:br/>
              <w:t>Latin America &amp; the Caribbean (80%)</w:t>
            </w:r>
            <w:r w:rsidRPr="009B4A78">
              <w:rPr>
                <w:rFonts w:ascii="Arial" w:hAnsi="Arial" w:cs="Arial"/>
                <w:color w:val="000000"/>
                <w:sz w:val="16"/>
                <w:szCs w:val="16"/>
              </w:rPr>
              <w:br/>
              <w:t>LDCs (</w:t>
            </w:r>
            <w:r w:rsidR="009B6E57">
              <w:rPr>
                <w:rFonts w:ascii="Arial" w:hAnsi="Arial" w:cs="Arial"/>
                <w:color w:val="000000"/>
                <w:sz w:val="16"/>
                <w:szCs w:val="16"/>
              </w:rPr>
              <w:t>95</w:t>
            </w:r>
            <w:r w:rsidRPr="009B4A78">
              <w:rPr>
                <w:rFonts w:ascii="Arial" w:hAnsi="Arial" w:cs="Arial"/>
                <w:color w:val="000000"/>
                <w:sz w:val="16"/>
                <w:szCs w:val="16"/>
              </w:rPr>
              <w:t>%)</w:t>
            </w:r>
          </w:p>
        </w:tc>
        <w:tc>
          <w:tcPr>
            <w:tcW w:w="2151" w:type="dxa"/>
            <w:tcBorders>
              <w:left w:val="nil"/>
              <w:bottom w:val="nil"/>
              <w:right w:val="single" w:sz="4" w:space="0" w:color="auto"/>
            </w:tcBorders>
            <w:shd w:val="clear" w:color="000000" w:fill="FFFFFF"/>
            <w:tcMar>
              <w:top w:w="85" w:type="dxa"/>
            </w:tcMar>
            <w:hideMark/>
          </w:tcPr>
          <w:p w14:paraId="04D7D0C9" w14:textId="5316C283" w:rsidR="00B65F7B" w:rsidRPr="009B4A78" w:rsidRDefault="00B65F7B" w:rsidP="000B1931">
            <w:pPr>
              <w:rPr>
                <w:rFonts w:ascii="Arial" w:hAnsi="Arial" w:cs="Arial"/>
                <w:color w:val="000000"/>
                <w:sz w:val="16"/>
                <w:szCs w:val="16"/>
              </w:rPr>
            </w:pPr>
            <w:r w:rsidRPr="009B4A78">
              <w:rPr>
                <w:rFonts w:ascii="Arial" w:hAnsi="Arial" w:cs="Arial"/>
                <w:color w:val="000000"/>
                <w:sz w:val="16"/>
                <w:szCs w:val="16"/>
              </w:rPr>
              <w:t>Africa (85%)</w:t>
            </w:r>
            <w:r w:rsidRPr="009B4A78">
              <w:rPr>
                <w:rFonts w:ascii="Arial" w:hAnsi="Arial" w:cs="Arial"/>
                <w:color w:val="000000"/>
                <w:sz w:val="16"/>
                <w:szCs w:val="16"/>
              </w:rPr>
              <w:br/>
              <w:t>Arab (</w:t>
            </w:r>
            <w:r w:rsidR="000B1931">
              <w:rPr>
                <w:rFonts w:ascii="Arial" w:hAnsi="Arial" w:cs="Arial"/>
                <w:color w:val="000000"/>
                <w:sz w:val="16"/>
                <w:szCs w:val="16"/>
              </w:rPr>
              <w:t>55</w:t>
            </w:r>
            <w:r w:rsidRPr="009B4A78">
              <w:rPr>
                <w:rFonts w:ascii="Arial" w:hAnsi="Arial" w:cs="Arial"/>
                <w:color w:val="000000"/>
                <w:sz w:val="16"/>
                <w:szCs w:val="16"/>
              </w:rPr>
              <w:t>%)</w:t>
            </w:r>
            <w:r w:rsidRPr="009B4A78">
              <w:rPr>
                <w:rFonts w:ascii="Arial" w:hAnsi="Arial" w:cs="Arial"/>
                <w:color w:val="000000"/>
                <w:sz w:val="16"/>
                <w:szCs w:val="16"/>
              </w:rPr>
              <w:br/>
              <w:t>Asia and Pacific (40%)</w:t>
            </w:r>
            <w:r w:rsidRPr="009B4A78">
              <w:rPr>
                <w:rFonts w:ascii="Arial" w:hAnsi="Arial" w:cs="Arial"/>
                <w:color w:val="000000"/>
                <w:sz w:val="16"/>
                <w:szCs w:val="16"/>
              </w:rPr>
              <w:br/>
              <w:t>Latin America &amp; the Caribbean (80%)</w:t>
            </w:r>
            <w:r w:rsidRPr="009B4A78">
              <w:rPr>
                <w:rFonts w:ascii="Arial" w:hAnsi="Arial" w:cs="Arial"/>
                <w:color w:val="000000"/>
                <w:sz w:val="16"/>
                <w:szCs w:val="16"/>
              </w:rPr>
              <w:br/>
              <w:t>LDCs (70%)</w:t>
            </w:r>
          </w:p>
        </w:tc>
      </w:tr>
      <w:tr w:rsidR="00B65F7B" w:rsidRPr="009B4A78" w14:paraId="6F45DA34" w14:textId="77777777" w:rsidTr="00FB68E0">
        <w:trPr>
          <w:trHeight w:val="2124"/>
        </w:trPr>
        <w:tc>
          <w:tcPr>
            <w:tcW w:w="2280" w:type="dxa"/>
            <w:tcBorders>
              <w:top w:val="nil"/>
              <w:left w:val="single" w:sz="4" w:space="0" w:color="auto"/>
              <w:bottom w:val="nil"/>
              <w:right w:val="nil"/>
            </w:tcBorders>
            <w:shd w:val="clear" w:color="000000" w:fill="FFFFFF"/>
            <w:tcMar>
              <w:top w:w="85" w:type="dxa"/>
            </w:tcMar>
            <w:hideMark/>
          </w:tcPr>
          <w:p w14:paraId="24FC6968" w14:textId="2B608D39" w:rsidR="00B65F7B" w:rsidRPr="009B4A78" w:rsidRDefault="00B65F7B">
            <w:pPr>
              <w:rPr>
                <w:rFonts w:ascii="Arial" w:hAnsi="Arial" w:cs="Arial"/>
                <w:color w:val="000000"/>
                <w:sz w:val="16"/>
                <w:szCs w:val="16"/>
              </w:rPr>
            </w:pPr>
            <w:r w:rsidRPr="009B4A78">
              <w:rPr>
                <w:rFonts w:ascii="Arial" w:hAnsi="Arial" w:cs="Arial"/>
                <w:color w:val="000000"/>
                <w:sz w:val="16"/>
                <w:szCs w:val="16"/>
              </w:rPr>
              <w:t>III.4 Strengthened cooperation mechanisms and programs tailored to the needs of developing countries</w:t>
            </w:r>
            <w:r w:rsidR="00522CE6">
              <w:rPr>
                <w:rFonts w:ascii="Arial" w:hAnsi="Arial" w:cs="Arial"/>
                <w:sz w:val="16"/>
                <w:szCs w:val="16"/>
              </w:rPr>
              <w:t>, LDCs and countries with economies in transition</w:t>
            </w:r>
          </w:p>
        </w:tc>
        <w:tc>
          <w:tcPr>
            <w:tcW w:w="2180" w:type="dxa"/>
            <w:tcBorders>
              <w:top w:val="nil"/>
              <w:left w:val="nil"/>
              <w:bottom w:val="nil"/>
              <w:right w:val="nil"/>
            </w:tcBorders>
            <w:shd w:val="clear" w:color="000000" w:fill="FFFFFF"/>
            <w:tcMar>
              <w:top w:w="85" w:type="dxa"/>
            </w:tcMar>
            <w:hideMark/>
          </w:tcPr>
          <w:p w14:paraId="026491DA"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xml:space="preserve">No. of national, sub regional and regional/ interregional cooperation agreements, projects, programs, and partnerships to promote the effective use of the IP systems through sharing of best practices. </w:t>
            </w:r>
          </w:p>
        </w:tc>
        <w:tc>
          <w:tcPr>
            <w:tcW w:w="2760" w:type="dxa"/>
            <w:tcBorders>
              <w:top w:val="nil"/>
              <w:left w:val="nil"/>
              <w:bottom w:val="nil"/>
              <w:right w:val="nil"/>
            </w:tcBorders>
            <w:shd w:val="clear" w:color="000000" w:fill="FFFFFF"/>
            <w:tcMar>
              <w:top w:w="85" w:type="dxa"/>
            </w:tcMar>
            <w:hideMark/>
          </w:tcPr>
          <w:p w14:paraId="673C0E37" w14:textId="5F33A50A" w:rsidR="00B65F7B" w:rsidRPr="009B4A78" w:rsidRDefault="00B65F7B">
            <w:pPr>
              <w:spacing w:after="240"/>
              <w:rPr>
                <w:rFonts w:ascii="Arial" w:hAnsi="Arial" w:cs="Arial"/>
                <w:sz w:val="16"/>
                <w:szCs w:val="16"/>
              </w:rPr>
            </w:pPr>
            <w:r w:rsidRPr="009B4A78">
              <w:rPr>
                <w:rFonts w:ascii="Arial" w:hAnsi="Arial" w:cs="Arial"/>
                <w:sz w:val="16"/>
                <w:szCs w:val="16"/>
              </w:rPr>
              <w:t>Africa (</w:t>
            </w:r>
            <w:r w:rsidR="000B1931">
              <w:rPr>
                <w:rFonts w:ascii="Arial" w:hAnsi="Arial" w:cs="Arial"/>
                <w:sz w:val="16"/>
                <w:szCs w:val="16"/>
              </w:rPr>
              <w:t>1 in 2014</w:t>
            </w:r>
            <w:r w:rsidRPr="009B4A78">
              <w:rPr>
                <w:rFonts w:ascii="Arial" w:hAnsi="Arial" w:cs="Arial"/>
                <w:sz w:val="16"/>
                <w:szCs w:val="16"/>
              </w:rPr>
              <w:t>)</w:t>
            </w:r>
            <w:r w:rsidRPr="009B4A78">
              <w:rPr>
                <w:rFonts w:ascii="Arial" w:hAnsi="Arial" w:cs="Arial"/>
                <w:sz w:val="16"/>
                <w:szCs w:val="16"/>
              </w:rPr>
              <w:br/>
              <w:t>Arab (</w:t>
            </w:r>
            <w:r w:rsidR="0082581D">
              <w:rPr>
                <w:rFonts w:ascii="Arial" w:hAnsi="Arial" w:cs="Arial"/>
                <w:sz w:val="16"/>
                <w:szCs w:val="16"/>
              </w:rPr>
              <w:t>1 in 2014</w:t>
            </w:r>
            <w:r w:rsidRPr="009B4A78">
              <w:rPr>
                <w:rFonts w:ascii="Arial" w:hAnsi="Arial" w:cs="Arial"/>
                <w:sz w:val="16"/>
                <w:szCs w:val="16"/>
              </w:rPr>
              <w:t>)</w:t>
            </w:r>
            <w:r w:rsidRPr="009B4A78">
              <w:rPr>
                <w:rFonts w:ascii="Arial" w:hAnsi="Arial" w:cs="Arial"/>
                <w:sz w:val="16"/>
                <w:szCs w:val="16"/>
              </w:rPr>
              <w:br/>
              <w:t>Asia and Pacific (</w:t>
            </w:r>
            <w:r w:rsidR="000B1931">
              <w:rPr>
                <w:rFonts w:ascii="Arial" w:hAnsi="Arial" w:cs="Arial"/>
                <w:sz w:val="16"/>
                <w:szCs w:val="16"/>
              </w:rPr>
              <w:t>2 in 2014</w:t>
            </w:r>
            <w:r w:rsidRPr="009B4A78">
              <w:rPr>
                <w:rFonts w:ascii="Arial" w:hAnsi="Arial" w:cs="Arial"/>
                <w:sz w:val="16"/>
                <w:szCs w:val="16"/>
              </w:rPr>
              <w:t>)</w:t>
            </w:r>
            <w:r w:rsidRPr="009B4A78">
              <w:rPr>
                <w:rFonts w:ascii="Arial" w:hAnsi="Arial" w:cs="Arial"/>
                <w:sz w:val="16"/>
                <w:szCs w:val="16"/>
              </w:rPr>
              <w:br/>
              <w:t>Latin America &amp; the Caribbean (6</w:t>
            </w:r>
            <w:r w:rsidR="000B1931">
              <w:rPr>
                <w:rFonts w:ascii="Arial" w:hAnsi="Arial" w:cs="Arial"/>
                <w:sz w:val="16"/>
                <w:szCs w:val="16"/>
              </w:rPr>
              <w:t xml:space="preserve"> in 2014</w:t>
            </w:r>
            <w:r w:rsidRPr="009B4A78">
              <w:rPr>
                <w:rFonts w:ascii="Arial" w:hAnsi="Arial" w:cs="Arial"/>
                <w:sz w:val="16"/>
                <w:szCs w:val="16"/>
              </w:rPr>
              <w:t>)</w:t>
            </w:r>
            <w:r w:rsidRPr="009B4A78">
              <w:rPr>
                <w:rFonts w:ascii="Arial" w:hAnsi="Arial" w:cs="Arial"/>
                <w:sz w:val="16"/>
                <w:szCs w:val="16"/>
              </w:rPr>
              <w:br/>
              <w:t>LDCs: 1 regional/sub regional program, 4 national programs</w:t>
            </w:r>
            <w:r w:rsidR="007F1DFA">
              <w:rPr>
                <w:rFonts w:ascii="Arial" w:hAnsi="Arial" w:cs="Arial"/>
                <w:sz w:val="16"/>
                <w:szCs w:val="16"/>
              </w:rPr>
              <w:t xml:space="preserve"> (</w:t>
            </w:r>
            <w:r w:rsidR="003C2E0B">
              <w:rPr>
                <w:rFonts w:ascii="Arial" w:hAnsi="Arial" w:cs="Arial"/>
                <w:sz w:val="16"/>
                <w:szCs w:val="16"/>
              </w:rPr>
              <w:t>2014)</w:t>
            </w:r>
          </w:p>
        </w:tc>
        <w:tc>
          <w:tcPr>
            <w:tcW w:w="2151" w:type="dxa"/>
            <w:tcBorders>
              <w:top w:val="nil"/>
              <w:left w:val="nil"/>
              <w:bottom w:val="nil"/>
              <w:right w:val="single" w:sz="4" w:space="0" w:color="auto"/>
            </w:tcBorders>
            <w:shd w:val="clear" w:color="000000" w:fill="FFFFFF"/>
            <w:tcMar>
              <w:top w:w="85" w:type="dxa"/>
            </w:tcMar>
            <w:hideMark/>
          </w:tcPr>
          <w:p w14:paraId="05FA52C4" w14:textId="21FC8EFA" w:rsidR="00B65F7B" w:rsidRPr="009B4A78" w:rsidRDefault="00B65F7B" w:rsidP="0082581D">
            <w:pPr>
              <w:spacing w:after="240"/>
              <w:rPr>
                <w:rFonts w:ascii="Arial" w:hAnsi="Arial" w:cs="Arial"/>
                <w:sz w:val="16"/>
                <w:szCs w:val="16"/>
              </w:rPr>
            </w:pPr>
            <w:r w:rsidRPr="009B4A78">
              <w:rPr>
                <w:rFonts w:ascii="Arial" w:hAnsi="Arial" w:cs="Arial"/>
                <w:sz w:val="16"/>
                <w:szCs w:val="16"/>
              </w:rPr>
              <w:t xml:space="preserve">Africa </w:t>
            </w:r>
            <w:r w:rsidR="000B1931">
              <w:rPr>
                <w:rFonts w:ascii="Arial" w:hAnsi="Arial" w:cs="Arial"/>
                <w:sz w:val="16"/>
                <w:szCs w:val="16"/>
              </w:rPr>
              <w:t>(additional 2)</w:t>
            </w:r>
            <w:r w:rsidRPr="009B4A78">
              <w:rPr>
                <w:rFonts w:ascii="Arial" w:hAnsi="Arial" w:cs="Arial"/>
                <w:sz w:val="16"/>
                <w:szCs w:val="16"/>
              </w:rPr>
              <w:br/>
              <w:t>Arab (</w:t>
            </w:r>
            <w:r w:rsidR="0082581D">
              <w:rPr>
                <w:rFonts w:ascii="Arial" w:hAnsi="Arial" w:cs="Arial"/>
                <w:sz w:val="16"/>
                <w:szCs w:val="16"/>
              </w:rPr>
              <w:t>additional 2</w:t>
            </w:r>
            <w:r w:rsidRPr="009B4A78">
              <w:rPr>
                <w:rFonts w:ascii="Arial" w:hAnsi="Arial" w:cs="Arial"/>
                <w:sz w:val="16"/>
                <w:szCs w:val="16"/>
              </w:rPr>
              <w:t>)</w:t>
            </w:r>
            <w:r w:rsidRPr="009B4A78">
              <w:rPr>
                <w:rFonts w:ascii="Arial" w:hAnsi="Arial" w:cs="Arial"/>
                <w:sz w:val="16"/>
                <w:szCs w:val="16"/>
              </w:rPr>
              <w:br/>
              <w:t>Asia and Pacific (</w:t>
            </w:r>
            <w:r w:rsidR="000B1931">
              <w:rPr>
                <w:rFonts w:ascii="Arial" w:hAnsi="Arial" w:cs="Arial"/>
                <w:sz w:val="16"/>
                <w:szCs w:val="16"/>
              </w:rPr>
              <w:t>additional 1</w:t>
            </w:r>
            <w:r w:rsidRPr="009B4A78">
              <w:rPr>
                <w:rFonts w:ascii="Arial" w:hAnsi="Arial" w:cs="Arial"/>
                <w:sz w:val="16"/>
                <w:szCs w:val="16"/>
              </w:rPr>
              <w:t>)</w:t>
            </w:r>
            <w:r w:rsidRPr="009B4A78">
              <w:rPr>
                <w:rFonts w:ascii="Arial" w:hAnsi="Arial" w:cs="Arial"/>
                <w:sz w:val="16"/>
                <w:szCs w:val="16"/>
              </w:rPr>
              <w:br/>
              <w:t>Latin America &amp; the Caribbean (</w:t>
            </w:r>
            <w:r w:rsidR="000B1931">
              <w:rPr>
                <w:rFonts w:ascii="Arial" w:hAnsi="Arial" w:cs="Arial"/>
                <w:sz w:val="16"/>
                <w:szCs w:val="16"/>
              </w:rPr>
              <w:t>–additional 4</w:t>
            </w:r>
            <w:r w:rsidRPr="009B4A78">
              <w:rPr>
                <w:rFonts w:ascii="Arial" w:hAnsi="Arial" w:cs="Arial"/>
                <w:sz w:val="16"/>
                <w:szCs w:val="16"/>
              </w:rPr>
              <w:t>)</w:t>
            </w:r>
            <w:r w:rsidRPr="009B4A78">
              <w:rPr>
                <w:rFonts w:ascii="Arial" w:hAnsi="Arial" w:cs="Arial"/>
                <w:sz w:val="16"/>
                <w:szCs w:val="16"/>
              </w:rPr>
              <w:br/>
              <w:t>LDCs: 3 regional/sub-regional programs, 8 national programs</w:t>
            </w:r>
          </w:p>
        </w:tc>
      </w:tr>
      <w:tr w:rsidR="00B65F7B" w:rsidRPr="009B4A78" w14:paraId="097ABA62" w14:textId="77777777" w:rsidTr="00D655F5">
        <w:trPr>
          <w:trHeight w:val="1058"/>
        </w:trPr>
        <w:tc>
          <w:tcPr>
            <w:tcW w:w="2280" w:type="dxa"/>
            <w:tcBorders>
              <w:top w:val="nil"/>
              <w:left w:val="single" w:sz="4" w:space="0" w:color="auto"/>
              <w:right w:val="nil"/>
            </w:tcBorders>
            <w:shd w:val="clear" w:color="000000" w:fill="FFFFFF"/>
            <w:tcMar>
              <w:top w:w="85" w:type="dxa"/>
            </w:tcMar>
            <w:hideMark/>
          </w:tcPr>
          <w:p w14:paraId="65D0F526"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IV.2 Enhanced access to, and use of, IP information by IP institutions and the public to promote innovation and creativity</w:t>
            </w:r>
          </w:p>
        </w:tc>
        <w:tc>
          <w:tcPr>
            <w:tcW w:w="2180" w:type="dxa"/>
            <w:tcBorders>
              <w:top w:val="nil"/>
              <w:left w:val="nil"/>
              <w:right w:val="nil"/>
            </w:tcBorders>
            <w:shd w:val="clear" w:color="000000" w:fill="FFFFFF"/>
            <w:tcMar>
              <w:top w:w="85" w:type="dxa"/>
            </w:tcMar>
            <w:hideMark/>
          </w:tcPr>
          <w:p w14:paraId="1C59A12D" w14:textId="65E17F21"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of sustainable</w:t>
            </w:r>
            <w:r w:rsidR="00B46E15">
              <w:rPr>
                <w:rStyle w:val="FootnoteReference"/>
                <w:rFonts w:ascii="Arial" w:hAnsi="Arial" w:cs="Arial"/>
                <w:color w:val="000000"/>
                <w:sz w:val="16"/>
                <w:szCs w:val="16"/>
              </w:rPr>
              <w:footnoteReference w:id="17"/>
            </w:r>
            <w:r w:rsidRPr="009B4A78">
              <w:rPr>
                <w:rFonts w:ascii="Arial" w:hAnsi="Arial" w:cs="Arial"/>
                <w:color w:val="000000"/>
                <w:sz w:val="16"/>
                <w:szCs w:val="16"/>
              </w:rPr>
              <w:t xml:space="preserve"> national TISC networks (numbers cumulative)</w:t>
            </w:r>
          </w:p>
        </w:tc>
        <w:tc>
          <w:tcPr>
            <w:tcW w:w="2760" w:type="dxa"/>
            <w:tcBorders>
              <w:top w:val="nil"/>
              <w:left w:val="nil"/>
              <w:right w:val="nil"/>
            </w:tcBorders>
            <w:shd w:val="clear" w:color="000000" w:fill="FFFFFF"/>
            <w:tcMar>
              <w:top w:w="85" w:type="dxa"/>
            </w:tcMar>
            <w:hideMark/>
          </w:tcPr>
          <w:p w14:paraId="3589042E" w14:textId="77777777" w:rsidR="00B65F7B" w:rsidRPr="009B4A78" w:rsidRDefault="00B65F7B" w:rsidP="00F33E49">
            <w:pPr>
              <w:spacing w:after="240"/>
              <w:rPr>
                <w:rFonts w:ascii="Arial" w:hAnsi="Arial" w:cs="Arial"/>
                <w:color w:val="000000"/>
                <w:sz w:val="16"/>
                <w:szCs w:val="16"/>
              </w:rPr>
            </w:pPr>
            <w:r w:rsidRPr="009B4A78">
              <w:rPr>
                <w:rFonts w:ascii="Arial" w:hAnsi="Arial" w:cs="Arial"/>
                <w:color w:val="000000"/>
                <w:sz w:val="16"/>
                <w:szCs w:val="16"/>
              </w:rPr>
              <w:t>Africa (9)</w:t>
            </w:r>
            <w:r w:rsidRPr="009B4A78">
              <w:rPr>
                <w:rFonts w:ascii="Arial" w:hAnsi="Arial" w:cs="Arial"/>
                <w:color w:val="000000"/>
                <w:sz w:val="16"/>
                <w:szCs w:val="16"/>
              </w:rPr>
              <w:br/>
              <w:t>Arab (2)</w:t>
            </w:r>
            <w:r w:rsidRPr="009B4A78">
              <w:rPr>
                <w:rFonts w:ascii="Arial" w:hAnsi="Arial" w:cs="Arial"/>
                <w:color w:val="000000"/>
                <w:sz w:val="16"/>
                <w:szCs w:val="16"/>
              </w:rPr>
              <w:br/>
              <w:t>Asia and the Pacific (3)</w:t>
            </w:r>
            <w:r w:rsidRPr="009B4A78">
              <w:rPr>
                <w:rFonts w:ascii="Arial" w:hAnsi="Arial" w:cs="Arial"/>
                <w:color w:val="000000"/>
                <w:sz w:val="16"/>
                <w:szCs w:val="16"/>
              </w:rPr>
              <w:br/>
              <w:t>Latin America &amp; the Caribbean (5)</w:t>
            </w:r>
            <w:r w:rsidRPr="009B4A78">
              <w:rPr>
                <w:rFonts w:ascii="Arial" w:hAnsi="Arial" w:cs="Arial"/>
                <w:color w:val="000000"/>
                <w:sz w:val="16"/>
                <w:szCs w:val="16"/>
              </w:rPr>
              <w:br/>
            </w:r>
          </w:p>
        </w:tc>
        <w:tc>
          <w:tcPr>
            <w:tcW w:w="2151" w:type="dxa"/>
            <w:tcBorders>
              <w:top w:val="nil"/>
              <w:left w:val="nil"/>
              <w:right w:val="single" w:sz="4" w:space="0" w:color="auto"/>
            </w:tcBorders>
            <w:shd w:val="clear" w:color="000000" w:fill="FFFFFF"/>
            <w:tcMar>
              <w:top w:w="85" w:type="dxa"/>
            </w:tcMar>
            <w:hideMark/>
          </w:tcPr>
          <w:p w14:paraId="64722177" w14:textId="77777777" w:rsidR="00B65F7B" w:rsidRPr="009B4A78" w:rsidRDefault="00B65F7B" w:rsidP="00F33E49">
            <w:pPr>
              <w:spacing w:after="240"/>
              <w:rPr>
                <w:rFonts w:ascii="Arial" w:hAnsi="Arial" w:cs="Arial"/>
                <w:sz w:val="16"/>
                <w:szCs w:val="16"/>
              </w:rPr>
            </w:pPr>
            <w:r w:rsidRPr="009B4A78">
              <w:rPr>
                <w:rFonts w:ascii="Arial" w:hAnsi="Arial" w:cs="Arial"/>
                <w:sz w:val="16"/>
                <w:szCs w:val="16"/>
              </w:rPr>
              <w:t>Africa (11)</w:t>
            </w:r>
            <w:r w:rsidRPr="009B4A78">
              <w:rPr>
                <w:rFonts w:ascii="Arial" w:hAnsi="Arial" w:cs="Arial"/>
                <w:sz w:val="16"/>
                <w:szCs w:val="16"/>
              </w:rPr>
              <w:br/>
              <w:t>Arab (4)</w:t>
            </w:r>
            <w:r w:rsidRPr="009B4A78">
              <w:rPr>
                <w:rFonts w:ascii="Arial" w:hAnsi="Arial" w:cs="Arial"/>
                <w:sz w:val="16"/>
                <w:szCs w:val="16"/>
              </w:rPr>
              <w:br/>
              <w:t>Asia and Pacific (5)</w:t>
            </w:r>
            <w:r w:rsidRPr="009B4A78">
              <w:rPr>
                <w:rFonts w:ascii="Arial" w:hAnsi="Arial" w:cs="Arial"/>
                <w:sz w:val="16"/>
                <w:szCs w:val="16"/>
              </w:rPr>
              <w:br/>
              <w:t>Latin America &amp; the Caribbean (9)</w:t>
            </w:r>
          </w:p>
        </w:tc>
      </w:tr>
      <w:tr w:rsidR="00B65F7B" w:rsidRPr="009B4A78" w14:paraId="44D264CD" w14:textId="77777777" w:rsidTr="00D655F5">
        <w:trPr>
          <w:trHeight w:val="1436"/>
        </w:trPr>
        <w:tc>
          <w:tcPr>
            <w:tcW w:w="2280" w:type="dxa"/>
            <w:tcBorders>
              <w:top w:val="nil"/>
              <w:left w:val="single" w:sz="4" w:space="0" w:color="auto"/>
              <w:bottom w:val="single" w:sz="4" w:space="0" w:color="auto"/>
              <w:right w:val="nil"/>
            </w:tcBorders>
            <w:shd w:val="clear" w:color="000000" w:fill="FFFFFF"/>
            <w:tcMar>
              <w:top w:w="85" w:type="dxa"/>
            </w:tcMar>
            <w:hideMark/>
          </w:tcPr>
          <w:p w14:paraId="444D0782"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top w:val="nil"/>
              <w:left w:val="nil"/>
              <w:bottom w:val="single" w:sz="4" w:space="0" w:color="auto"/>
              <w:right w:val="nil"/>
            </w:tcBorders>
            <w:shd w:val="clear" w:color="000000" w:fill="FFFFFF"/>
            <w:tcMar>
              <w:top w:w="85" w:type="dxa"/>
            </w:tcMar>
            <w:hideMark/>
          </w:tcPr>
          <w:p w14:paraId="5A25F21F"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No. of organizations, communities, individuals that applied and used the Appropriate Technology as a solution to identified development challenges in LDCs</w:t>
            </w:r>
          </w:p>
        </w:tc>
        <w:tc>
          <w:tcPr>
            <w:tcW w:w="2760" w:type="dxa"/>
            <w:tcBorders>
              <w:top w:val="nil"/>
              <w:left w:val="nil"/>
              <w:bottom w:val="single" w:sz="4" w:space="0" w:color="auto"/>
              <w:right w:val="nil"/>
            </w:tcBorders>
            <w:shd w:val="clear" w:color="000000" w:fill="FFFFFF"/>
            <w:tcMar>
              <w:top w:w="85" w:type="dxa"/>
            </w:tcMar>
            <w:hideMark/>
          </w:tcPr>
          <w:p w14:paraId="7CC67EAD" w14:textId="19914880"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Organizations in 6 LDCs</w:t>
            </w:r>
            <w:r w:rsidR="003C2E0B">
              <w:rPr>
                <w:rFonts w:ascii="Arial" w:hAnsi="Arial" w:cs="Arial"/>
                <w:color w:val="000000"/>
                <w:sz w:val="16"/>
                <w:szCs w:val="16"/>
              </w:rPr>
              <w:t xml:space="preserve"> (2014)</w:t>
            </w:r>
          </w:p>
        </w:tc>
        <w:tc>
          <w:tcPr>
            <w:tcW w:w="2151" w:type="dxa"/>
            <w:tcBorders>
              <w:top w:val="nil"/>
              <w:left w:val="nil"/>
              <w:bottom w:val="single" w:sz="4" w:space="0" w:color="auto"/>
              <w:right w:val="single" w:sz="4" w:space="0" w:color="auto"/>
            </w:tcBorders>
            <w:shd w:val="clear" w:color="000000" w:fill="FFFFFF"/>
            <w:tcMar>
              <w:top w:w="85" w:type="dxa"/>
            </w:tcMar>
            <w:hideMark/>
          </w:tcPr>
          <w:p w14:paraId="65F6B6DF"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Organizations in 3 additional LDCs</w:t>
            </w:r>
          </w:p>
        </w:tc>
      </w:tr>
      <w:tr w:rsidR="00B65F7B" w:rsidRPr="009B4A78" w14:paraId="79485C64" w14:textId="77777777" w:rsidTr="00D655F5">
        <w:trPr>
          <w:trHeight w:val="1796"/>
        </w:trPr>
        <w:tc>
          <w:tcPr>
            <w:tcW w:w="2280" w:type="dxa"/>
            <w:tcBorders>
              <w:top w:val="single" w:sz="4" w:space="0" w:color="auto"/>
              <w:left w:val="single" w:sz="4" w:space="0" w:color="auto"/>
              <w:bottom w:val="nil"/>
              <w:right w:val="nil"/>
            </w:tcBorders>
            <w:shd w:val="clear" w:color="000000" w:fill="FFFFFF"/>
            <w:tcMar>
              <w:top w:w="85" w:type="dxa"/>
            </w:tcMar>
            <w:hideMark/>
          </w:tcPr>
          <w:p w14:paraId="5671D381"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lastRenderedPageBreak/>
              <w:t> </w:t>
            </w:r>
          </w:p>
        </w:tc>
        <w:tc>
          <w:tcPr>
            <w:tcW w:w="2180" w:type="dxa"/>
            <w:tcBorders>
              <w:top w:val="single" w:sz="4" w:space="0" w:color="auto"/>
              <w:left w:val="nil"/>
              <w:bottom w:val="nil"/>
              <w:right w:val="nil"/>
            </w:tcBorders>
            <w:shd w:val="clear" w:color="000000" w:fill="FFFFFF"/>
            <w:tcMar>
              <w:top w:w="85" w:type="dxa"/>
            </w:tcMar>
            <w:hideMark/>
          </w:tcPr>
          <w:p w14:paraId="67CBDD31"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Use of Appropriate Technology for development through  patent searches and reports, technology landscapes, business plans (Number of experts, National Expert Groups (NEGs) in LDCs)</w:t>
            </w:r>
          </w:p>
        </w:tc>
        <w:tc>
          <w:tcPr>
            <w:tcW w:w="2760" w:type="dxa"/>
            <w:tcBorders>
              <w:top w:val="single" w:sz="4" w:space="0" w:color="auto"/>
              <w:left w:val="nil"/>
              <w:bottom w:val="nil"/>
              <w:right w:val="nil"/>
            </w:tcBorders>
            <w:shd w:val="clear" w:color="000000" w:fill="FFFFFF"/>
            <w:tcMar>
              <w:top w:w="85" w:type="dxa"/>
            </w:tcMar>
            <w:hideMark/>
          </w:tcPr>
          <w:p w14:paraId="12F19F22" w14:textId="78F831D8"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6 in LDCs</w:t>
            </w:r>
            <w:r w:rsidR="003C2E0B">
              <w:rPr>
                <w:rFonts w:ascii="Arial" w:hAnsi="Arial" w:cs="Arial"/>
                <w:color w:val="000000"/>
                <w:sz w:val="16"/>
                <w:szCs w:val="16"/>
              </w:rPr>
              <w:t xml:space="preserve"> (2014)</w:t>
            </w:r>
          </w:p>
        </w:tc>
        <w:tc>
          <w:tcPr>
            <w:tcW w:w="2151" w:type="dxa"/>
            <w:tcBorders>
              <w:top w:val="single" w:sz="4" w:space="0" w:color="auto"/>
              <w:left w:val="nil"/>
              <w:bottom w:val="nil"/>
              <w:right w:val="single" w:sz="4" w:space="0" w:color="auto"/>
            </w:tcBorders>
            <w:shd w:val="clear" w:color="000000" w:fill="FFFFFF"/>
            <w:tcMar>
              <w:top w:w="85" w:type="dxa"/>
            </w:tcMar>
            <w:hideMark/>
          </w:tcPr>
          <w:p w14:paraId="5A729844"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Additional 3 in LDCs</w:t>
            </w:r>
          </w:p>
        </w:tc>
      </w:tr>
      <w:tr w:rsidR="00B65F7B" w:rsidRPr="009B4A78" w14:paraId="50B61EB0" w14:textId="77777777" w:rsidTr="00865AEC">
        <w:trPr>
          <w:trHeight w:val="2165"/>
        </w:trPr>
        <w:tc>
          <w:tcPr>
            <w:tcW w:w="2280" w:type="dxa"/>
            <w:tcBorders>
              <w:top w:val="nil"/>
              <w:left w:val="single" w:sz="4" w:space="0" w:color="auto"/>
              <w:bottom w:val="nil"/>
              <w:right w:val="nil"/>
            </w:tcBorders>
            <w:shd w:val="clear" w:color="000000" w:fill="FFFFFF"/>
            <w:tcMar>
              <w:top w:w="85" w:type="dxa"/>
            </w:tcMar>
            <w:hideMark/>
          </w:tcPr>
          <w:p w14:paraId="680D538C"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top w:val="nil"/>
              <w:left w:val="nil"/>
              <w:bottom w:val="nil"/>
              <w:right w:val="nil"/>
            </w:tcBorders>
            <w:shd w:val="clear" w:color="000000" w:fill="FFFFFF"/>
            <w:tcMar>
              <w:top w:w="85" w:type="dxa"/>
            </w:tcMar>
            <w:hideMark/>
          </w:tcPr>
          <w:p w14:paraId="624B1F5D"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Identified Appropriate Technology commercialized in LDCs</w:t>
            </w:r>
            <w:r w:rsidRPr="009B4A78">
              <w:rPr>
                <w:rFonts w:ascii="Arial" w:hAnsi="Arial" w:cs="Arial"/>
                <w:color w:val="000000"/>
                <w:sz w:val="16"/>
                <w:szCs w:val="16"/>
              </w:rPr>
              <w:br/>
            </w:r>
            <w:r w:rsidRPr="009B4A78">
              <w:rPr>
                <w:rFonts w:ascii="Arial" w:hAnsi="Arial" w:cs="Arial"/>
                <w:color w:val="000000"/>
                <w:sz w:val="16"/>
                <w:szCs w:val="16"/>
              </w:rPr>
              <w:br/>
              <w:t xml:space="preserve">Projects replicated in other areas in LDCs </w:t>
            </w:r>
            <w:r w:rsidRPr="009B4A78">
              <w:rPr>
                <w:rFonts w:ascii="Arial" w:hAnsi="Arial" w:cs="Arial"/>
                <w:color w:val="000000"/>
                <w:sz w:val="16"/>
                <w:szCs w:val="16"/>
              </w:rPr>
              <w:br/>
            </w:r>
            <w:r w:rsidRPr="009B4A78">
              <w:rPr>
                <w:rFonts w:ascii="Arial" w:hAnsi="Arial" w:cs="Arial"/>
                <w:color w:val="000000"/>
                <w:sz w:val="16"/>
                <w:szCs w:val="16"/>
              </w:rPr>
              <w:br/>
              <w:t>Institutions established to continue working on Appropriate Technology in LDCs</w:t>
            </w:r>
          </w:p>
        </w:tc>
        <w:tc>
          <w:tcPr>
            <w:tcW w:w="2760" w:type="dxa"/>
            <w:tcBorders>
              <w:top w:val="nil"/>
              <w:left w:val="nil"/>
              <w:bottom w:val="nil"/>
              <w:right w:val="nil"/>
            </w:tcBorders>
            <w:shd w:val="clear" w:color="000000" w:fill="FFFFFF"/>
            <w:tcMar>
              <w:top w:w="85" w:type="dxa"/>
            </w:tcMar>
            <w:hideMark/>
          </w:tcPr>
          <w:p w14:paraId="76FF1623" w14:textId="51346D31" w:rsidR="00B65F7B" w:rsidRPr="009B4A78" w:rsidRDefault="00B65F7B" w:rsidP="003C2E0B">
            <w:pPr>
              <w:rPr>
                <w:rFonts w:ascii="Arial" w:hAnsi="Arial" w:cs="Arial"/>
                <w:color w:val="000000"/>
                <w:sz w:val="16"/>
                <w:szCs w:val="16"/>
              </w:rPr>
            </w:pPr>
            <w:r w:rsidRPr="009B4A78">
              <w:rPr>
                <w:rFonts w:ascii="Arial" w:hAnsi="Arial" w:cs="Arial"/>
                <w:color w:val="000000"/>
                <w:sz w:val="16"/>
                <w:szCs w:val="16"/>
              </w:rPr>
              <w:t>6 ATs</w:t>
            </w:r>
            <w:r w:rsidR="003C2E0B">
              <w:rPr>
                <w:rFonts w:ascii="Arial" w:hAnsi="Arial" w:cs="Arial"/>
                <w:color w:val="000000"/>
                <w:sz w:val="16"/>
                <w:szCs w:val="16"/>
              </w:rPr>
              <w:t xml:space="preserve"> (2014)</w:t>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t>n/a</w:t>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t>3 institutions</w:t>
            </w:r>
            <w:r w:rsidR="003C2E0B">
              <w:rPr>
                <w:rFonts w:ascii="Arial" w:hAnsi="Arial" w:cs="Arial"/>
                <w:color w:val="000000"/>
                <w:sz w:val="16"/>
                <w:szCs w:val="16"/>
              </w:rPr>
              <w:t xml:space="preserve"> (2014)</w:t>
            </w:r>
          </w:p>
        </w:tc>
        <w:tc>
          <w:tcPr>
            <w:tcW w:w="2151" w:type="dxa"/>
            <w:tcBorders>
              <w:top w:val="nil"/>
              <w:left w:val="nil"/>
              <w:bottom w:val="nil"/>
              <w:right w:val="single" w:sz="4" w:space="0" w:color="auto"/>
            </w:tcBorders>
            <w:shd w:val="clear" w:color="000000" w:fill="FFFFFF"/>
            <w:tcMar>
              <w:top w:w="85" w:type="dxa"/>
            </w:tcMar>
            <w:hideMark/>
          </w:tcPr>
          <w:p w14:paraId="33013760"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At least 3 additional ATs</w:t>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t>1 LDC</w:t>
            </w:r>
            <w:r w:rsidRPr="009B4A78">
              <w:rPr>
                <w:rFonts w:ascii="Arial" w:hAnsi="Arial" w:cs="Arial"/>
                <w:color w:val="000000"/>
                <w:sz w:val="16"/>
                <w:szCs w:val="16"/>
              </w:rPr>
              <w:br/>
            </w:r>
            <w:r w:rsidRPr="009B4A78">
              <w:rPr>
                <w:rFonts w:ascii="Arial" w:hAnsi="Arial" w:cs="Arial"/>
                <w:color w:val="000000"/>
                <w:sz w:val="16"/>
                <w:szCs w:val="16"/>
              </w:rPr>
              <w:br/>
            </w:r>
            <w:r w:rsidRPr="009B4A78">
              <w:rPr>
                <w:rFonts w:ascii="Arial" w:hAnsi="Arial" w:cs="Arial"/>
                <w:color w:val="000000"/>
                <w:sz w:val="16"/>
                <w:szCs w:val="16"/>
              </w:rPr>
              <w:br/>
              <w:t xml:space="preserve">Additional 3 Institutions </w:t>
            </w:r>
          </w:p>
        </w:tc>
      </w:tr>
      <w:tr w:rsidR="00B65F7B" w:rsidRPr="009B4A78" w14:paraId="3535181A" w14:textId="77777777" w:rsidTr="006C2469">
        <w:trPr>
          <w:trHeight w:val="1151"/>
        </w:trPr>
        <w:tc>
          <w:tcPr>
            <w:tcW w:w="2280" w:type="dxa"/>
            <w:tcBorders>
              <w:top w:val="nil"/>
              <w:left w:val="single" w:sz="4" w:space="0" w:color="auto"/>
              <w:right w:val="nil"/>
            </w:tcBorders>
            <w:shd w:val="clear" w:color="000000" w:fill="FFFFFF"/>
            <w:tcMar>
              <w:top w:w="85" w:type="dxa"/>
            </w:tcMar>
            <w:hideMark/>
          </w:tcPr>
          <w:p w14:paraId="75C42458"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top w:val="nil"/>
              <w:left w:val="nil"/>
              <w:right w:val="nil"/>
            </w:tcBorders>
            <w:shd w:val="clear" w:color="000000" w:fill="FFFFFF"/>
            <w:tcMar>
              <w:top w:w="85" w:type="dxa"/>
            </w:tcMar>
            <w:hideMark/>
          </w:tcPr>
          <w:p w14:paraId="00B33F15" w14:textId="77777777" w:rsidR="00B65F7B" w:rsidRPr="009B4A78" w:rsidRDefault="00B65F7B" w:rsidP="00F33E49">
            <w:pPr>
              <w:spacing w:after="240"/>
              <w:rPr>
                <w:rFonts w:ascii="Arial" w:hAnsi="Arial" w:cs="Arial"/>
                <w:color w:val="000000"/>
                <w:sz w:val="16"/>
                <w:szCs w:val="16"/>
              </w:rPr>
            </w:pPr>
            <w:r w:rsidRPr="009B4A78">
              <w:rPr>
                <w:rFonts w:ascii="Arial" w:hAnsi="Arial" w:cs="Arial"/>
                <w:color w:val="000000"/>
                <w:sz w:val="16"/>
                <w:szCs w:val="16"/>
              </w:rPr>
              <w:t>Continuation and expansion of national technological capacity building programs on Appropriate Technology  in LDCs</w:t>
            </w:r>
          </w:p>
        </w:tc>
        <w:tc>
          <w:tcPr>
            <w:tcW w:w="2760" w:type="dxa"/>
            <w:tcBorders>
              <w:top w:val="nil"/>
              <w:left w:val="nil"/>
              <w:right w:val="nil"/>
            </w:tcBorders>
            <w:shd w:val="clear" w:color="000000" w:fill="FFFFFF"/>
            <w:tcMar>
              <w:top w:w="85" w:type="dxa"/>
            </w:tcMar>
            <w:hideMark/>
          </w:tcPr>
          <w:p w14:paraId="7787A686" w14:textId="634DE1CA"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7 programs</w:t>
            </w:r>
            <w:r w:rsidR="003C2E0B">
              <w:rPr>
                <w:rFonts w:ascii="Arial" w:hAnsi="Arial" w:cs="Arial"/>
                <w:color w:val="000000"/>
                <w:sz w:val="16"/>
                <w:szCs w:val="16"/>
              </w:rPr>
              <w:t xml:space="preserve"> (2014)</w:t>
            </w:r>
          </w:p>
        </w:tc>
        <w:tc>
          <w:tcPr>
            <w:tcW w:w="2151" w:type="dxa"/>
            <w:tcBorders>
              <w:top w:val="nil"/>
              <w:left w:val="nil"/>
              <w:right w:val="single" w:sz="4" w:space="0" w:color="auto"/>
            </w:tcBorders>
            <w:shd w:val="clear" w:color="000000" w:fill="FFFFFF"/>
            <w:tcMar>
              <w:top w:w="85" w:type="dxa"/>
            </w:tcMar>
            <w:hideMark/>
          </w:tcPr>
          <w:p w14:paraId="2A0C4EBB" w14:textId="77777777" w:rsidR="00B65F7B" w:rsidRPr="009B4A78" w:rsidRDefault="00B65F7B" w:rsidP="00F33E49">
            <w:pPr>
              <w:spacing w:after="240"/>
              <w:rPr>
                <w:rFonts w:ascii="Arial" w:hAnsi="Arial" w:cs="Arial"/>
                <w:color w:val="000000"/>
                <w:sz w:val="16"/>
                <w:szCs w:val="16"/>
              </w:rPr>
            </w:pPr>
            <w:r w:rsidRPr="009B4A78">
              <w:rPr>
                <w:rFonts w:ascii="Arial" w:hAnsi="Arial" w:cs="Arial"/>
                <w:color w:val="000000"/>
                <w:sz w:val="16"/>
                <w:szCs w:val="16"/>
              </w:rPr>
              <w:t xml:space="preserve">Additional 6 programs </w:t>
            </w:r>
            <w:r w:rsidRPr="009B4A78">
              <w:rPr>
                <w:rFonts w:ascii="Arial" w:hAnsi="Arial" w:cs="Arial"/>
                <w:color w:val="000000"/>
                <w:sz w:val="16"/>
                <w:szCs w:val="16"/>
              </w:rPr>
              <w:br/>
            </w:r>
            <w:r w:rsidRPr="009B4A78">
              <w:rPr>
                <w:rFonts w:ascii="Arial" w:hAnsi="Arial" w:cs="Arial"/>
                <w:color w:val="000000"/>
                <w:sz w:val="16"/>
                <w:szCs w:val="16"/>
              </w:rPr>
              <w:br/>
            </w:r>
          </w:p>
        </w:tc>
      </w:tr>
      <w:tr w:rsidR="00B65F7B" w:rsidRPr="009B4A78" w14:paraId="0780A670" w14:textId="77777777" w:rsidTr="008D4CE9">
        <w:trPr>
          <w:trHeight w:val="1040"/>
        </w:trPr>
        <w:tc>
          <w:tcPr>
            <w:tcW w:w="2280" w:type="dxa"/>
            <w:tcBorders>
              <w:top w:val="nil"/>
              <w:left w:val="single" w:sz="4" w:space="0" w:color="auto"/>
              <w:right w:val="nil"/>
            </w:tcBorders>
            <w:shd w:val="clear" w:color="000000" w:fill="FFFFFF"/>
            <w:tcMar>
              <w:top w:w="85" w:type="dxa"/>
            </w:tcMar>
            <w:hideMark/>
          </w:tcPr>
          <w:p w14:paraId="50EA71D0"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w:t>
            </w:r>
          </w:p>
        </w:tc>
        <w:tc>
          <w:tcPr>
            <w:tcW w:w="2180" w:type="dxa"/>
            <w:tcBorders>
              <w:top w:val="nil"/>
              <w:left w:val="nil"/>
              <w:right w:val="nil"/>
            </w:tcBorders>
            <w:shd w:val="clear" w:color="000000" w:fill="FFFFFF"/>
            <w:tcMar>
              <w:top w:w="85" w:type="dxa"/>
            </w:tcMar>
            <w:hideMark/>
          </w:tcPr>
          <w:p w14:paraId="4D1D26A2"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Utilization of Appropriate Technology for economic development included in the national innovation and IP policies and strategies in LDCs</w:t>
            </w:r>
          </w:p>
        </w:tc>
        <w:tc>
          <w:tcPr>
            <w:tcW w:w="2760" w:type="dxa"/>
            <w:tcBorders>
              <w:top w:val="nil"/>
              <w:left w:val="nil"/>
              <w:right w:val="nil"/>
            </w:tcBorders>
            <w:shd w:val="clear" w:color="000000" w:fill="FFFFFF"/>
            <w:tcMar>
              <w:top w:w="85" w:type="dxa"/>
            </w:tcMar>
            <w:hideMark/>
          </w:tcPr>
          <w:p w14:paraId="725FE82B" w14:textId="77777777" w:rsidR="00B65F7B" w:rsidRPr="009B4A78" w:rsidRDefault="00B65F7B" w:rsidP="00C84D9D">
            <w:pPr>
              <w:rPr>
                <w:rFonts w:ascii="Arial" w:hAnsi="Arial" w:cs="Arial"/>
                <w:color w:val="000000"/>
                <w:sz w:val="16"/>
                <w:szCs w:val="16"/>
              </w:rPr>
            </w:pPr>
            <w:r w:rsidRPr="009B4A78">
              <w:rPr>
                <w:rFonts w:ascii="Arial" w:hAnsi="Arial" w:cs="Arial"/>
                <w:color w:val="000000"/>
                <w:sz w:val="16"/>
                <w:szCs w:val="16"/>
              </w:rPr>
              <w:t>n/a</w:t>
            </w:r>
          </w:p>
        </w:tc>
        <w:tc>
          <w:tcPr>
            <w:tcW w:w="2151" w:type="dxa"/>
            <w:tcBorders>
              <w:top w:val="nil"/>
              <w:left w:val="nil"/>
              <w:right w:val="single" w:sz="4" w:space="0" w:color="auto"/>
            </w:tcBorders>
            <w:shd w:val="clear" w:color="000000" w:fill="FFFFFF"/>
            <w:tcMar>
              <w:top w:w="85" w:type="dxa"/>
            </w:tcMar>
            <w:hideMark/>
          </w:tcPr>
          <w:p w14:paraId="645AB939"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 xml:space="preserve">1 LDC </w:t>
            </w:r>
          </w:p>
        </w:tc>
      </w:tr>
      <w:tr w:rsidR="00B65F7B" w:rsidRPr="009B4A78" w14:paraId="3C50496A" w14:textId="77777777" w:rsidTr="008D4CE9">
        <w:trPr>
          <w:trHeight w:val="1616"/>
        </w:trPr>
        <w:tc>
          <w:tcPr>
            <w:tcW w:w="2280" w:type="dxa"/>
            <w:tcBorders>
              <w:left w:val="single" w:sz="4" w:space="0" w:color="auto"/>
              <w:bottom w:val="single" w:sz="4" w:space="0" w:color="auto"/>
              <w:right w:val="nil"/>
            </w:tcBorders>
            <w:shd w:val="clear" w:color="000000" w:fill="FFFFFF"/>
            <w:tcMar>
              <w:top w:w="85" w:type="dxa"/>
            </w:tcMar>
            <w:hideMark/>
          </w:tcPr>
          <w:p w14:paraId="6D7DCB49"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IV.4 Enhanced technical and knowledge infrastructure for IP Offices and other IP institutions leading to better services (cheaper, faster, higher quality) to their stakeholders and better outcome of IP Administration</w:t>
            </w:r>
          </w:p>
        </w:tc>
        <w:tc>
          <w:tcPr>
            <w:tcW w:w="2180" w:type="dxa"/>
            <w:tcBorders>
              <w:left w:val="nil"/>
              <w:bottom w:val="single" w:sz="4" w:space="0" w:color="auto"/>
              <w:right w:val="nil"/>
            </w:tcBorders>
            <w:shd w:val="clear" w:color="000000" w:fill="FFFFFF"/>
            <w:tcMar>
              <w:top w:w="85" w:type="dxa"/>
            </w:tcMar>
            <w:hideMark/>
          </w:tcPr>
          <w:p w14:paraId="0DEC9CFE"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Average Service Level of IP Offices assisted (ranging from 1 to 5)</w:t>
            </w:r>
          </w:p>
        </w:tc>
        <w:tc>
          <w:tcPr>
            <w:tcW w:w="2760" w:type="dxa"/>
            <w:tcBorders>
              <w:left w:val="nil"/>
              <w:bottom w:val="single" w:sz="4" w:space="0" w:color="auto"/>
              <w:right w:val="nil"/>
            </w:tcBorders>
            <w:shd w:val="clear" w:color="000000" w:fill="FFFFFF"/>
            <w:tcMar>
              <w:top w:w="85" w:type="dxa"/>
            </w:tcMar>
            <w:hideMark/>
          </w:tcPr>
          <w:p w14:paraId="494F7E49" w14:textId="77777777" w:rsidR="00B65F7B" w:rsidRPr="009B4A78" w:rsidRDefault="00B65F7B" w:rsidP="00F33E49">
            <w:pPr>
              <w:rPr>
                <w:rFonts w:ascii="Arial" w:hAnsi="Arial" w:cs="Arial"/>
                <w:color w:val="000000"/>
                <w:sz w:val="16"/>
                <w:szCs w:val="16"/>
              </w:rPr>
            </w:pPr>
            <w:r w:rsidRPr="009B4A78">
              <w:rPr>
                <w:rFonts w:ascii="Arial" w:hAnsi="Arial" w:cs="Arial"/>
                <w:color w:val="000000"/>
                <w:sz w:val="16"/>
                <w:szCs w:val="16"/>
              </w:rPr>
              <w:t>Average service level as per the 2014 PPR:  2.9</w:t>
            </w:r>
          </w:p>
        </w:tc>
        <w:tc>
          <w:tcPr>
            <w:tcW w:w="2151" w:type="dxa"/>
            <w:tcBorders>
              <w:left w:val="nil"/>
              <w:bottom w:val="single" w:sz="4" w:space="0" w:color="auto"/>
              <w:right w:val="single" w:sz="4" w:space="0" w:color="auto"/>
            </w:tcBorders>
            <w:shd w:val="clear" w:color="000000" w:fill="FFFFFF"/>
            <w:tcMar>
              <w:top w:w="85" w:type="dxa"/>
            </w:tcMar>
            <w:hideMark/>
          </w:tcPr>
          <w:p w14:paraId="09AC9156" w14:textId="77777777" w:rsidR="00B65F7B" w:rsidRPr="009B4A78" w:rsidRDefault="00B65F7B" w:rsidP="00F33E49">
            <w:pPr>
              <w:rPr>
                <w:rFonts w:ascii="Arial" w:hAnsi="Arial" w:cs="Arial"/>
                <w:sz w:val="16"/>
                <w:szCs w:val="16"/>
              </w:rPr>
            </w:pPr>
            <w:r w:rsidRPr="009B4A78">
              <w:rPr>
                <w:rFonts w:ascii="Arial" w:hAnsi="Arial" w:cs="Arial"/>
                <w:sz w:val="16"/>
                <w:szCs w:val="16"/>
              </w:rPr>
              <w:t>Average of 3.0 (by end of 2017)</w:t>
            </w:r>
          </w:p>
        </w:tc>
      </w:tr>
    </w:tbl>
    <w:p w14:paraId="6F1D31AF" w14:textId="77777777" w:rsidR="00B65F7B" w:rsidRPr="009B4A78" w:rsidRDefault="00B65F7B" w:rsidP="00F33E49">
      <w:pPr>
        <w:pStyle w:val="ListParagraph"/>
        <w:spacing w:after="240"/>
        <w:ind w:left="0"/>
        <w:jc w:val="both"/>
        <w:rPr>
          <w:rFonts w:ascii="Arial" w:hAnsi="Arial" w:cs="Arial"/>
        </w:rPr>
      </w:pPr>
    </w:p>
    <w:p w14:paraId="4E080008" w14:textId="77777777" w:rsidR="00B65F7B" w:rsidRPr="009B4A78" w:rsidRDefault="00B65F7B" w:rsidP="00F33E49">
      <w:pPr>
        <w:pStyle w:val="ListParagraph"/>
        <w:spacing w:after="240"/>
        <w:ind w:left="0"/>
        <w:jc w:val="both"/>
        <w:rPr>
          <w:rFonts w:ascii="Arial" w:hAnsi="Arial" w:cs="Arial"/>
        </w:rPr>
      </w:pPr>
    </w:p>
    <w:p w14:paraId="23F61DAE" w14:textId="77777777" w:rsidR="00B65F7B" w:rsidRPr="009B4A78" w:rsidRDefault="00B65F7B" w:rsidP="00F33E49">
      <w:pPr>
        <w:pStyle w:val="ListParagraph"/>
        <w:spacing w:after="240"/>
        <w:ind w:left="0"/>
        <w:jc w:val="both"/>
        <w:rPr>
          <w:rFonts w:ascii="Arial" w:hAnsi="Arial" w:cs="Arial"/>
        </w:rPr>
      </w:pPr>
      <w:r w:rsidRPr="009B4A78">
        <w:rPr>
          <w:rFonts w:ascii="Arial" w:hAnsi="Arial" w:cs="Arial"/>
        </w:rPr>
        <w:t>RESOURCES FOR PROGRAM 9</w:t>
      </w:r>
    </w:p>
    <w:p w14:paraId="33DD6FD5" w14:textId="77777777" w:rsidR="00B65F7B" w:rsidRPr="009B4A78" w:rsidRDefault="00B65F7B" w:rsidP="00F33E49">
      <w:pPr>
        <w:pStyle w:val="ListParagraph"/>
        <w:spacing w:after="240"/>
        <w:ind w:left="0"/>
        <w:jc w:val="both"/>
        <w:rPr>
          <w:rFonts w:ascii="Arial" w:hAnsi="Arial" w:cs="Arial"/>
        </w:rPr>
      </w:pPr>
    </w:p>
    <w:p w14:paraId="51180D21" w14:textId="77777777" w:rsidR="00B65F7B" w:rsidRPr="009B4A78"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 xml:space="preserve">An increase of 4.3 percent in non-personnel resources can be observed for Program 9 in 2016/17 compared to the 2014/15 Budget after Transfers.  This is primarily due to additional resources allocated for the implementation of two DA projects, namely, the project on IP and Tourism and the project on Capacity-Building in the Use of Appropriate Technology in LDCs (Phase II).  The increase is reflected under Expected Result III.2. </w:t>
      </w:r>
    </w:p>
    <w:p w14:paraId="22BC8128" w14:textId="77777777" w:rsidR="00B65F7B" w:rsidRPr="009B4A78" w:rsidRDefault="00B65F7B" w:rsidP="00F33E49">
      <w:pPr>
        <w:pStyle w:val="ListParagraph"/>
        <w:tabs>
          <w:tab w:val="left" w:pos="709"/>
        </w:tabs>
        <w:spacing w:after="240"/>
        <w:ind w:left="0"/>
        <w:jc w:val="both"/>
        <w:rPr>
          <w:rFonts w:ascii="Arial" w:hAnsi="Arial" w:cs="Arial"/>
          <w:sz w:val="20"/>
        </w:rPr>
      </w:pPr>
    </w:p>
    <w:p w14:paraId="40C953AA" w14:textId="7105C5FD" w:rsidR="00631C5D" w:rsidRDefault="00B65F7B" w:rsidP="00B66A4A">
      <w:pPr>
        <w:pStyle w:val="ListParagraph"/>
        <w:numPr>
          <w:ilvl w:val="0"/>
          <w:numId w:val="11"/>
        </w:numPr>
        <w:tabs>
          <w:tab w:val="left" w:pos="709"/>
        </w:tabs>
        <w:spacing w:after="240"/>
        <w:jc w:val="both"/>
        <w:rPr>
          <w:rFonts w:ascii="Arial" w:hAnsi="Arial" w:cs="Arial"/>
          <w:bCs/>
        </w:rPr>
      </w:pPr>
      <w:r w:rsidRPr="009B4A78">
        <w:rPr>
          <w:rFonts w:ascii="Arial" w:hAnsi="Arial" w:cs="Arial"/>
          <w:sz w:val="20"/>
        </w:rPr>
        <w:t xml:space="preserve">The increase in resources under Expected Result IV.2 is due to an enhanced focus on enhancing access to, and use of, IP information by IP institutions and the public to promote innovation and creativity.  The decrease in resources dedicated to Expected Result I.2 and IV.4 reflects the completion of the mainstreaming of activities related to legislative advice and business solutions for IP Offices to Programs 1, 2, 3, 4 and 15 respectively. </w:t>
      </w:r>
      <w:r w:rsidR="00631C5D">
        <w:rPr>
          <w:rFonts w:ascii="Arial" w:hAnsi="Arial" w:cs="Arial"/>
          <w:sz w:val="20"/>
        </w:rPr>
        <w:t xml:space="preserve">Resources linked to Expected Result III.3 under this Program reflects efforts dedicated by the Office of the Deputy Director General of the Development Sector to the activities of Program 8.          </w:t>
      </w:r>
      <w:r w:rsidR="00631C5D">
        <w:rPr>
          <w:rFonts w:ascii="Arial" w:hAnsi="Arial" w:cs="Arial"/>
          <w:bCs/>
        </w:rPr>
        <w:t xml:space="preserve"> </w:t>
      </w:r>
    </w:p>
    <w:p w14:paraId="6C9B16AF" w14:textId="77777777" w:rsidR="00B65F7B" w:rsidRPr="009B4A78" w:rsidRDefault="00B65F7B" w:rsidP="00F33E49">
      <w:pPr>
        <w:pStyle w:val="ListParagraph"/>
        <w:spacing w:after="240"/>
        <w:ind w:left="0"/>
        <w:jc w:val="both"/>
        <w:rPr>
          <w:rFonts w:ascii="Arial" w:hAnsi="Arial" w:cs="Arial"/>
          <w:sz w:val="20"/>
        </w:rPr>
      </w:pPr>
    </w:p>
    <w:p w14:paraId="2DC84B34" w14:textId="33E604C5" w:rsidR="00073412" w:rsidRDefault="00B65F7B" w:rsidP="00B66A4A">
      <w:pPr>
        <w:pStyle w:val="ListParagraph"/>
        <w:numPr>
          <w:ilvl w:val="0"/>
          <w:numId w:val="11"/>
        </w:numPr>
        <w:tabs>
          <w:tab w:val="left" w:pos="709"/>
        </w:tabs>
        <w:spacing w:after="240"/>
        <w:jc w:val="both"/>
        <w:rPr>
          <w:rFonts w:ascii="Arial" w:hAnsi="Arial" w:cs="Arial"/>
          <w:sz w:val="20"/>
        </w:rPr>
      </w:pPr>
      <w:r w:rsidRPr="009B4A78">
        <w:rPr>
          <w:rFonts w:ascii="Arial" w:hAnsi="Arial" w:cs="Arial"/>
          <w:sz w:val="20"/>
        </w:rPr>
        <w:t xml:space="preserve">The </w:t>
      </w:r>
      <w:r w:rsidR="00D86D26">
        <w:rPr>
          <w:rFonts w:ascii="Arial" w:hAnsi="Arial" w:cs="Arial"/>
          <w:sz w:val="20"/>
        </w:rPr>
        <w:t>resources</w:t>
      </w:r>
      <w:r w:rsidRPr="009B4A78">
        <w:rPr>
          <w:rFonts w:ascii="Arial" w:hAnsi="Arial" w:cs="Arial"/>
          <w:sz w:val="20"/>
        </w:rPr>
        <w:t xml:space="preserve"> for temporary staff shows a decrease in 2016/17 compared to the 2014/15 Budget after Transfers due to the </w:t>
      </w:r>
      <w:r w:rsidRPr="00FB68E0">
        <w:rPr>
          <w:rFonts w:ascii="Arial" w:hAnsi="Arial" w:cs="Arial"/>
          <w:sz w:val="20"/>
        </w:rPr>
        <w:t>regulariz</w:t>
      </w:r>
      <w:r w:rsidRPr="009B4A78">
        <w:rPr>
          <w:rFonts w:ascii="Arial" w:hAnsi="Arial" w:cs="Arial"/>
          <w:sz w:val="20"/>
        </w:rPr>
        <w:t>ation of long-serving temporary staff in 2014/15.</w:t>
      </w:r>
      <w:r w:rsidR="00D86D26">
        <w:rPr>
          <w:rFonts w:ascii="Arial" w:hAnsi="Arial" w:cs="Arial"/>
          <w:sz w:val="20"/>
        </w:rPr>
        <w:t xml:space="preserve"> </w:t>
      </w:r>
      <w:r w:rsidR="00CA09B5">
        <w:rPr>
          <w:rFonts w:ascii="Arial" w:hAnsi="Arial" w:cs="Arial"/>
          <w:sz w:val="20"/>
        </w:rPr>
        <w:t xml:space="preserve"> </w:t>
      </w:r>
      <w:r w:rsidR="00D86D26">
        <w:rPr>
          <w:rFonts w:ascii="Arial" w:hAnsi="Arial" w:cs="Arial"/>
          <w:sz w:val="20"/>
        </w:rPr>
        <w:t xml:space="preserve">The decrease in the resources for staff reflects the finalization of several DA projects in previous biennia. </w:t>
      </w:r>
    </w:p>
    <w:p w14:paraId="14C219CF" w14:textId="03EC143D" w:rsidR="00B65F7B" w:rsidRPr="009B4A78" w:rsidRDefault="00B65F7B" w:rsidP="00FB68E0">
      <w:pPr>
        <w:pStyle w:val="ListParagraph"/>
        <w:tabs>
          <w:tab w:val="left" w:pos="709"/>
        </w:tabs>
        <w:spacing w:after="240"/>
        <w:ind w:left="0"/>
        <w:jc w:val="both"/>
        <w:rPr>
          <w:rFonts w:ascii="Arial" w:hAnsi="Arial" w:cs="Arial"/>
          <w:sz w:val="20"/>
        </w:rPr>
      </w:pPr>
      <w:r w:rsidRPr="009B4A78">
        <w:rPr>
          <w:rFonts w:ascii="Arial" w:hAnsi="Arial" w:cs="Arial"/>
          <w:sz w:val="20"/>
        </w:rPr>
        <w:lastRenderedPageBreak/>
        <w:t xml:space="preserve">    </w:t>
      </w:r>
    </w:p>
    <w:p w14:paraId="0D99E346" w14:textId="77777777" w:rsidR="00B65F7B" w:rsidRPr="00537742" w:rsidRDefault="00B65F7B" w:rsidP="00F33E49">
      <w:pPr>
        <w:pStyle w:val="ListParagraph"/>
        <w:keepNext/>
        <w:keepLines/>
        <w:spacing w:after="240"/>
        <w:ind w:left="0"/>
        <w:jc w:val="center"/>
        <w:rPr>
          <w:rFonts w:ascii="Arial" w:hAnsi="Arial" w:cs="Arial"/>
          <w:b/>
          <w:sz w:val="20"/>
        </w:rPr>
      </w:pPr>
      <w:r w:rsidRPr="00537742">
        <w:rPr>
          <w:rFonts w:ascii="Arial" w:hAnsi="Arial" w:cs="Arial"/>
          <w:b/>
          <w:sz w:val="20"/>
        </w:rPr>
        <w:t xml:space="preserve">Program 9: Resources by Result </w:t>
      </w:r>
    </w:p>
    <w:p w14:paraId="63B0B5C4" w14:textId="77777777" w:rsidR="00B65F7B" w:rsidRPr="009B4A78" w:rsidRDefault="00B65F7B" w:rsidP="00F33E49">
      <w:pPr>
        <w:pStyle w:val="ListParagraph"/>
        <w:keepNext/>
        <w:keepLines/>
        <w:spacing w:after="240"/>
        <w:ind w:left="0"/>
        <w:jc w:val="center"/>
        <w:rPr>
          <w:rFonts w:ascii="Arial" w:hAnsi="Arial" w:cs="Arial"/>
          <w:i/>
          <w:sz w:val="20"/>
        </w:rPr>
      </w:pPr>
      <w:r w:rsidRPr="00537742">
        <w:rPr>
          <w:rFonts w:ascii="Arial" w:hAnsi="Arial" w:cs="Arial"/>
          <w:i/>
          <w:sz w:val="20"/>
        </w:rPr>
        <w:t>(in thousands of Swiss francs)</w:t>
      </w:r>
    </w:p>
    <w:p w14:paraId="0D3A0908" w14:textId="77777777" w:rsidR="00B65F7B" w:rsidRPr="009B4A78" w:rsidRDefault="00B65F7B" w:rsidP="00F33E49">
      <w:pPr>
        <w:pStyle w:val="ListParagraph"/>
        <w:keepNext/>
        <w:keepLines/>
        <w:spacing w:after="240"/>
        <w:ind w:left="0"/>
        <w:jc w:val="center"/>
        <w:rPr>
          <w:rFonts w:ascii="Arial" w:hAnsi="Arial" w:cs="Arial"/>
          <w:i/>
          <w:sz w:val="20"/>
        </w:rPr>
      </w:pPr>
    </w:p>
    <w:p w14:paraId="12575E5F" w14:textId="24120A4C" w:rsidR="00B65F7B" w:rsidRPr="009B4A78" w:rsidRDefault="00537742" w:rsidP="00F33E49">
      <w:pPr>
        <w:pStyle w:val="ListParagraph"/>
        <w:spacing w:after="240"/>
        <w:ind w:left="0"/>
        <w:jc w:val="center"/>
        <w:rPr>
          <w:rFonts w:ascii="Arial" w:hAnsi="Arial" w:cs="Arial"/>
          <w:b/>
          <w:sz w:val="20"/>
        </w:rPr>
      </w:pPr>
      <w:r w:rsidRPr="00537742">
        <w:rPr>
          <w:noProof/>
          <w:lang w:eastAsia="en-US"/>
        </w:rPr>
        <w:drawing>
          <wp:inline distT="0" distB="0" distL="0" distR="0" wp14:anchorId="70A868D3" wp14:editId="6EA55FB9">
            <wp:extent cx="4887340" cy="3761678"/>
            <wp:effectExtent l="0" t="0" r="889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87409" cy="3761731"/>
                    </a:xfrm>
                    <a:prstGeom prst="rect">
                      <a:avLst/>
                    </a:prstGeom>
                    <a:noFill/>
                    <a:ln>
                      <a:noFill/>
                    </a:ln>
                  </pic:spPr>
                </pic:pic>
              </a:graphicData>
            </a:graphic>
          </wp:inline>
        </w:drawing>
      </w:r>
    </w:p>
    <w:p w14:paraId="65928236" w14:textId="77777777" w:rsidR="00B65F7B" w:rsidRPr="009B4A78" w:rsidRDefault="00B65F7B" w:rsidP="00F33E49">
      <w:pPr>
        <w:pStyle w:val="ListParagraph"/>
        <w:keepNext/>
        <w:keepLines/>
        <w:spacing w:after="240"/>
        <w:ind w:left="0"/>
        <w:jc w:val="center"/>
        <w:rPr>
          <w:rFonts w:ascii="Arial" w:hAnsi="Arial" w:cs="Arial"/>
          <w:b/>
          <w:sz w:val="20"/>
        </w:rPr>
      </w:pPr>
      <w:r w:rsidRPr="009B4A78">
        <w:rPr>
          <w:rFonts w:ascii="Arial" w:hAnsi="Arial" w:cs="Arial"/>
          <w:b/>
          <w:sz w:val="20"/>
        </w:rPr>
        <w:lastRenderedPageBreak/>
        <w:t xml:space="preserve">Program 9: Resources by Object of Expenditure </w:t>
      </w:r>
    </w:p>
    <w:p w14:paraId="409A2E01" w14:textId="77777777" w:rsidR="00B65F7B" w:rsidRPr="009B4A78" w:rsidRDefault="00B65F7B" w:rsidP="00F33E49">
      <w:pPr>
        <w:pStyle w:val="ListParagraph"/>
        <w:keepNext/>
        <w:keepLines/>
        <w:spacing w:after="240"/>
        <w:ind w:left="0"/>
        <w:jc w:val="center"/>
        <w:rPr>
          <w:rFonts w:ascii="Arial" w:hAnsi="Arial" w:cs="Arial"/>
          <w:i/>
          <w:sz w:val="20"/>
        </w:rPr>
      </w:pPr>
      <w:r w:rsidRPr="009B4A78">
        <w:rPr>
          <w:rFonts w:ascii="Arial" w:hAnsi="Arial" w:cs="Arial"/>
          <w:i/>
          <w:sz w:val="20"/>
        </w:rPr>
        <w:t>(in thousands of Swiss francs)</w:t>
      </w:r>
    </w:p>
    <w:p w14:paraId="75E3B4C7" w14:textId="77777777" w:rsidR="00B65F7B" w:rsidRPr="00093A8F" w:rsidRDefault="00B65F7B" w:rsidP="00F33E49">
      <w:pPr>
        <w:pStyle w:val="ListParagraph"/>
        <w:keepNext/>
        <w:keepLines/>
        <w:spacing w:after="240"/>
        <w:ind w:left="0"/>
        <w:jc w:val="center"/>
        <w:rPr>
          <w:rFonts w:ascii="Arial" w:hAnsi="Arial" w:cs="Arial"/>
          <w:i/>
          <w:sz w:val="18"/>
        </w:rPr>
      </w:pPr>
    </w:p>
    <w:p w14:paraId="3B9B1D05" w14:textId="77777777" w:rsidR="00B65F7B" w:rsidRPr="009B4A78" w:rsidRDefault="00B65F7B" w:rsidP="00F33E49">
      <w:pPr>
        <w:pStyle w:val="ListParagraph"/>
        <w:keepNext/>
        <w:keepLines/>
        <w:spacing w:after="240"/>
        <w:ind w:left="0"/>
        <w:jc w:val="center"/>
        <w:rPr>
          <w:rFonts w:ascii="Arial" w:hAnsi="Arial" w:cs="Arial"/>
          <w:i/>
          <w:sz w:val="20"/>
        </w:rPr>
      </w:pPr>
      <w:r w:rsidRPr="009B4A78">
        <w:rPr>
          <w:rFonts w:ascii="Arial" w:hAnsi="Arial" w:cs="Arial"/>
          <w:noProof/>
          <w:lang w:eastAsia="en-US"/>
        </w:rPr>
        <w:drawing>
          <wp:inline distT="0" distB="0" distL="0" distR="0" wp14:anchorId="2BB3DF0D" wp14:editId="0826711B">
            <wp:extent cx="4525993" cy="5550010"/>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534036" cy="5559873"/>
                    </a:xfrm>
                    <a:prstGeom prst="rect">
                      <a:avLst/>
                    </a:prstGeom>
                    <a:noFill/>
                    <a:ln>
                      <a:noFill/>
                    </a:ln>
                  </pic:spPr>
                </pic:pic>
              </a:graphicData>
            </a:graphic>
          </wp:inline>
        </w:drawing>
      </w:r>
    </w:p>
    <w:p w14:paraId="3034A7C2" w14:textId="77777777" w:rsidR="00B65F7B" w:rsidRPr="009B4A78" w:rsidRDefault="00B65F7B" w:rsidP="00F33E49">
      <w:pPr>
        <w:keepNext/>
        <w:keepLines/>
        <w:jc w:val="center"/>
        <w:rPr>
          <w:rFonts w:ascii="Arial" w:hAnsi="Arial" w:cs="Arial"/>
          <w:b/>
          <w:sz w:val="20"/>
        </w:rPr>
      </w:pPr>
      <w:r w:rsidRPr="009B4A78">
        <w:rPr>
          <w:rFonts w:ascii="Arial" w:hAnsi="Arial" w:cs="Arial"/>
          <w:b/>
          <w:sz w:val="20"/>
        </w:rPr>
        <w:t>Funds in Trust Potentially Available for Programming in 2016/17 (BY PROGRAM)</w:t>
      </w:r>
      <w:r w:rsidRPr="009B4A78">
        <w:rPr>
          <w:rFonts w:ascii="Arial" w:hAnsi="Arial" w:cs="Arial"/>
          <w:i/>
          <w:sz w:val="20"/>
          <w:vertAlign w:val="superscript"/>
        </w:rPr>
        <w:t xml:space="preserve"> </w:t>
      </w:r>
      <w:r w:rsidRPr="009B4A78">
        <w:rPr>
          <w:rFonts w:ascii="Arial" w:hAnsi="Arial" w:cs="Arial"/>
          <w:sz w:val="20"/>
          <w:vertAlign w:val="superscript"/>
        </w:rPr>
        <w:t>1</w:t>
      </w:r>
    </w:p>
    <w:p w14:paraId="6F149909" w14:textId="77777777" w:rsidR="00B65F7B" w:rsidRPr="009B4A78" w:rsidRDefault="00B65F7B" w:rsidP="00F33E49">
      <w:pPr>
        <w:keepNext/>
        <w:keepLines/>
        <w:jc w:val="center"/>
        <w:rPr>
          <w:rFonts w:ascii="Arial" w:hAnsi="Arial" w:cs="Arial"/>
          <w:i/>
          <w:sz w:val="20"/>
        </w:rPr>
      </w:pPr>
      <w:r w:rsidRPr="009B4A78">
        <w:rPr>
          <w:rFonts w:ascii="Arial" w:hAnsi="Arial" w:cs="Arial"/>
          <w:i/>
          <w:sz w:val="20"/>
        </w:rPr>
        <w:t>(in thousands of Swiss francs)</w:t>
      </w:r>
    </w:p>
    <w:p w14:paraId="043FED21" w14:textId="77777777" w:rsidR="00B65F7B" w:rsidRPr="00093A8F" w:rsidRDefault="00B65F7B" w:rsidP="00F33E49">
      <w:pPr>
        <w:pStyle w:val="ListParagraph"/>
        <w:keepNext/>
        <w:keepLines/>
        <w:spacing w:after="240"/>
        <w:ind w:left="0"/>
        <w:jc w:val="center"/>
        <w:rPr>
          <w:rFonts w:ascii="Arial" w:hAnsi="Arial" w:cs="Arial"/>
          <w:i/>
          <w:sz w:val="18"/>
        </w:rPr>
      </w:pPr>
    </w:p>
    <w:p w14:paraId="2378AC09" w14:textId="77777777" w:rsidR="00B65F7B" w:rsidRPr="00093A8F" w:rsidRDefault="00B65F7B" w:rsidP="00F33E49">
      <w:pPr>
        <w:pStyle w:val="ListParagraph"/>
        <w:keepNext/>
        <w:keepLines/>
        <w:spacing w:after="240"/>
        <w:ind w:left="0"/>
        <w:jc w:val="center"/>
        <w:rPr>
          <w:rFonts w:ascii="Arial" w:hAnsi="Arial" w:cs="Arial"/>
          <w:i/>
          <w:sz w:val="14"/>
        </w:rPr>
      </w:pPr>
      <w:r w:rsidRPr="009B4A78">
        <w:rPr>
          <w:rFonts w:ascii="Arial" w:hAnsi="Arial" w:cs="Arial"/>
          <w:noProof/>
          <w:lang w:eastAsia="en-US"/>
        </w:rPr>
        <w:drawing>
          <wp:inline distT="0" distB="0" distL="0" distR="0" wp14:anchorId="1B2F60F3" wp14:editId="27E5E04D">
            <wp:extent cx="4564049" cy="1534893"/>
            <wp:effectExtent l="0" t="0" r="8255"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591314" cy="1544062"/>
                    </a:xfrm>
                    <a:prstGeom prst="rect">
                      <a:avLst/>
                    </a:prstGeom>
                    <a:noFill/>
                    <a:ln>
                      <a:noFill/>
                    </a:ln>
                  </pic:spPr>
                </pic:pic>
              </a:graphicData>
            </a:graphic>
          </wp:inline>
        </w:drawing>
      </w:r>
    </w:p>
    <w:p w14:paraId="676C8CB7" w14:textId="77777777" w:rsidR="00B65F7B" w:rsidRPr="009B4A78" w:rsidRDefault="00B65F7B" w:rsidP="00093A8F">
      <w:pPr>
        <w:keepNext/>
        <w:keepLines/>
        <w:spacing w:after="60"/>
        <w:rPr>
          <w:rFonts w:ascii="Arial" w:hAnsi="Arial" w:cs="Arial"/>
          <w:i/>
          <w:sz w:val="16"/>
          <w:szCs w:val="14"/>
        </w:rPr>
      </w:pPr>
      <w:r w:rsidRPr="009B4A78">
        <w:rPr>
          <w:rFonts w:ascii="Arial" w:hAnsi="Arial" w:cs="Arial"/>
          <w:i/>
          <w:sz w:val="16"/>
          <w:szCs w:val="14"/>
          <w:vertAlign w:val="superscript"/>
        </w:rPr>
        <w:t>1</w:t>
      </w:r>
      <w:r w:rsidRPr="009B4A78">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4115DA0B" w14:textId="77777777" w:rsidR="00B65F7B" w:rsidRPr="009B4A78" w:rsidRDefault="00B65F7B" w:rsidP="00FB68E0">
      <w:pPr>
        <w:spacing w:after="60"/>
        <w:rPr>
          <w:rFonts w:ascii="Arial" w:hAnsi="Arial" w:cs="Arial"/>
          <w:i/>
          <w:sz w:val="16"/>
          <w:szCs w:val="14"/>
        </w:rPr>
      </w:pPr>
      <w:r w:rsidRPr="009B4A78">
        <w:rPr>
          <w:rFonts w:ascii="Arial" w:hAnsi="Arial" w:cs="Arial"/>
          <w:i/>
          <w:sz w:val="16"/>
          <w:szCs w:val="14"/>
          <w:vertAlign w:val="superscript"/>
        </w:rPr>
        <w:t>2</w:t>
      </w:r>
      <w:r w:rsidRPr="009B4A78">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05912757" w14:textId="60A6539D" w:rsidR="00B65F7B" w:rsidRPr="009B4A78" w:rsidRDefault="00B65F7B" w:rsidP="00093A8F">
      <w:pPr>
        <w:spacing w:after="60"/>
        <w:rPr>
          <w:rFonts w:ascii="Arial" w:hAnsi="Arial" w:cs="Arial"/>
          <w:sz w:val="20"/>
        </w:rPr>
      </w:pPr>
      <w:r w:rsidRPr="009B4A78">
        <w:rPr>
          <w:rFonts w:ascii="Arial" w:hAnsi="Arial" w:cs="Arial"/>
          <w:i/>
          <w:sz w:val="16"/>
          <w:szCs w:val="14"/>
          <w:vertAlign w:val="superscript"/>
        </w:rPr>
        <w:t>3</w:t>
      </w:r>
      <w:r w:rsidRPr="009B4A78">
        <w:rPr>
          <w:rFonts w:ascii="Arial" w:hAnsi="Arial" w:cs="Arial"/>
          <w:i/>
          <w:sz w:val="16"/>
          <w:szCs w:val="14"/>
        </w:rPr>
        <w:t>Annual contributions vary and fluctuations have been observed from one year to another.</w:t>
      </w:r>
      <w:r w:rsidRPr="009B4A78">
        <w:rPr>
          <w:rFonts w:ascii="Arial" w:hAnsi="Arial" w:cs="Arial"/>
          <w:sz w:val="20"/>
        </w:rPr>
        <w:br w:type="page"/>
      </w:r>
    </w:p>
    <w:p w14:paraId="3179F9B0" w14:textId="77777777" w:rsidR="0036187D" w:rsidRPr="0036187D" w:rsidRDefault="0036187D" w:rsidP="0036187D">
      <w:pPr>
        <w:pStyle w:val="StyleHeading3ComplexItalic"/>
        <w:keepLines/>
        <w:ind w:left="1985" w:hanging="1985"/>
      </w:pPr>
      <w:bookmarkStart w:id="43" w:name="_Toc427154407"/>
      <w:r w:rsidRPr="00DF647B">
        <w:lastRenderedPageBreak/>
        <w:t>PROGRAM 10</w:t>
      </w:r>
      <w:r w:rsidRPr="00DF647B">
        <w:tab/>
      </w:r>
      <w:r w:rsidRPr="00DF647B">
        <w:tab/>
        <w:t>TRANSITION AND DEVELOPED COUNTRIES</w:t>
      </w:r>
      <w:bookmarkEnd w:id="43"/>
      <w:r w:rsidRPr="00DF647B">
        <w:t xml:space="preserve">   </w:t>
      </w:r>
    </w:p>
    <w:p w14:paraId="2F6C900F" w14:textId="77777777" w:rsidR="0036187D" w:rsidRPr="0036187D" w:rsidRDefault="0036187D" w:rsidP="00511015">
      <w:pPr>
        <w:jc w:val="both"/>
        <w:rPr>
          <w:rFonts w:ascii="Arial" w:hAnsi="Arial" w:cs="Arial"/>
          <w:b/>
        </w:rPr>
      </w:pPr>
    </w:p>
    <w:p w14:paraId="72DF4EFC" w14:textId="77777777" w:rsidR="0036187D" w:rsidRPr="0036187D" w:rsidRDefault="0036187D" w:rsidP="00511015">
      <w:pPr>
        <w:jc w:val="both"/>
        <w:rPr>
          <w:rFonts w:ascii="Arial" w:hAnsi="Arial" w:cs="Arial"/>
        </w:rPr>
      </w:pPr>
    </w:p>
    <w:p w14:paraId="7BE61AF2" w14:textId="77777777" w:rsidR="0036187D" w:rsidRPr="0036187D" w:rsidRDefault="0036187D" w:rsidP="00511015">
      <w:pPr>
        <w:jc w:val="both"/>
        <w:rPr>
          <w:rFonts w:ascii="Arial" w:hAnsi="Arial" w:cs="Arial"/>
        </w:rPr>
      </w:pPr>
      <w:r w:rsidRPr="0036187D">
        <w:rPr>
          <w:rFonts w:ascii="Arial" w:hAnsi="Arial" w:cs="Arial"/>
        </w:rPr>
        <w:t xml:space="preserve">PLANNING CONTEXT </w:t>
      </w:r>
    </w:p>
    <w:p w14:paraId="45A4AA6D" w14:textId="77777777" w:rsidR="0036187D" w:rsidRPr="0036187D" w:rsidRDefault="0036187D" w:rsidP="00511015">
      <w:pPr>
        <w:ind w:left="3"/>
        <w:jc w:val="both"/>
        <w:rPr>
          <w:rFonts w:ascii="Arial" w:hAnsi="Arial" w:cs="Arial"/>
        </w:rPr>
      </w:pPr>
    </w:p>
    <w:p w14:paraId="592B02D2" w14:textId="7777777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The consequences of the global financial crisis and the instability of markets continue to impact national economies.  On the one hand, such impact limits the availability of funds for research and development (R&amp;D) and encourages cautious behavior. On the other hand, it opens the door for innovation and creativity to promote economic growth.  Many countries consider the role of innovation and IP a key factor for economic growth, investing resources to create a balanced and effective IP ecosystem.  Internationalization of innovative and creative activities enables cross-country and inter-regional partnerships, potentially leading to more effective usage of international IP protection systems. </w:t>
      </w:r>
    </w:p>
    <w:p w14:paraId="6218095B" w14:textId="77777777" w:rsidR="0036187D" w:rsidRPr="0036187D" w:rsidRDefault="0036187D" w:rsidP="00511015">
      <w:pPr>
        <w:jc w:val="both"/>
        <w:rPr>
          <w:rFonts w:ascii="Arial" w:hAnsi="Arial" w:cs="Arial"/>
        </w:rPr>
      </w:pPr>
    </w:p>
    <w:p w14:paraId="70FEDA5A" w14:textId="6F572977" w:rsidR="00A15C14" w:rsidRDefault="00A15C14" w:rsidP="00B66A4A">
      <w:pPr>
        <w:pStyle w:val="ListParagraph"/>
        <w:numPr>
          <w:ilvl w:val="0"/>
          <w:numId w:val="36"/>
        </w:numPr>
        <w:tabs>
          <w:tab w:val="right" w:pos="709"/>
        </w:tabs>
        <w:ind w:left="0" w:firstLine="0"/>
        <w:jc w:val="both"/>
        <w:rPr>
          <w:rFonts w:ascii="Arial" w:hAnsi="Arial" w:cs="Arial"/>
          <w:sz w:val="20"/>
        </w:rPr>
      </w:pPr>
      <w:r>
        <w:rPr>
          <w:rFonts w:ascii="Arial" w:hAnsi="Arial" w:cs="Arial"/>
          <w:sz w:val="20"/>
        </w:rPr>
        <w:t>Against this backdrop, a growing demand is expected from countries in transition for the development of tailored, long-term, results-oriented national IP strategies and plans aligned with national economic and cultural goals.</w:t>
      </w:r>
    </w:p>
    <w:p w14:paraId="7C0B9352" w14:textId="77777777" w:rsidR="00A15C14" w:rsidRPr="00A15C14" w:rsidRDefault="00A15C14" w:rsidP="00A15C14">
      <w:pPr>
        <w:pStyle w:val="ListParagraph"/>
        <w:rPr>
          <w:rFonts w:ascii="Arial" w:hAnsi="Arial" w:cs="Arial"/>
          <w:sz w:val="20"/>
        </w:rPr>
      </w:pPr>
    </w:p>
    <w:p w14:paraId="4F2BC472" w14:textId="26E90CDC"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It therefore </w:t>
      </w:r>
      <w:r w:rsidR="00A15C14">
        <w:rPr>
          <w:rFonts w:ascii="Arial" w:hAnsi="Arial" w:cs="Arial"/>
          <w:sz w:val="20"/>
        </w:rPr>
        <w:t xml:space="preserve">also </w:t>
      </w:r>
      <w:r w:rsidRPr="0036187D">
        <w:rPr>
          <w:rFonts w:ascii="Arial" w:hAnsi="Arial" w:cs="Arial"/>
          <w:sz w:val="20"/>
        </w:rPr>
        <w:t xml:space="preserve">appears indispensable to enhance </w:t>
      </w:r>
      <w:r w:rsidR="00A15C14">
        <w:rPr>
          <w:rFonts w:ascii="Arial" w:hAnsi="Arial" w:cs="Arial"/>
          <w:sz w:val="20"/>
        </w:rPr>
        <w:t xml:space="preserve">and streamline </w:t>
      </w:r>
      <w:r w:rsidRPr="0036187D">
        <w:rPr>
          <w:rFonts w:ascii="Arial" w:hAnsi="Arial" w:cs="Arial"/>
          <w:sz w:val="20"/>
        </w:rPr>
        <w:t xml:space="preserve">the interaction between </w:t>
      </w:r>
      <w:r w:rsidR="00A15C14">
        <w:rPr>
          <w:rFonts w:ascii="Arial" w:hAnsi="Arial" w:cs="Arial"/>
          <w:sz w:val="20"/>
        </w:rPr>
        <w:t xml:space="preserve">WIPO and </w:t>
      </w:r>
      <w:r w:rsidRPr="0036187D">
        <w:rPr>
          <w:rFonts w:ascii="Arial" w:hAnsi="Arial" w:cs="Arial"/>
          <w:sz w:val="20"/>
        </w:rPr>
        <w:t xml:space="preserve">all stakeholders in </w:t>
      </w:r>
      <w:r w:rsidR="00A15C14">
        <w:rPr>
          <w:rFonts w:ascii="Arial" w:hAnsi="Arial" w:cs="Arial"/>
          <w:sz w:val="20"/>
        </w:rPr>
        <w:t xml:space="preserve">transition and </w:t>
      </w:r>
      <w:r w:rsidRPr="0036187D">
        <w:rPr>
          <w:rFonts w:ascii="Arial" w:hAnsi="Arial" w:cs="Arial"/>
          <w:sz w:val="20"/>
        </w:rPr>
        <w:t>developed countries with a view to further rais</w:t>
      </w:r>
      <w:r w:rsidR="00A15C14">
        <w:rPr>
          <w:rFonts w:ascii="Arial" w:hAnsi="Arial" w:cs="Arial"/>
          <w:sz w:val="20"/>
        </w:rPr>
        <w:t>e</w:t>
      </w:r>
      <w:r w:rsidRPr="0036187D">
        <w:rPr>
          <w:rFonts w:ascii="Arial" w:hAnsi="Arial" w:cs="Arial"/>
          <w:sz w:val="20"/>
        </w:rPr>
        <w:t xml:space="preserve"> the profile and standing of </w:t>
      </w:r>
      <w:r w:rsidR="00A15C14">
        <w:rPr>
          <w:rFonts w:ascii="Arial" w:hAnsi="Arial" w:cs="Arial"/>
          <w:sz w:val="20"/>
        </w:rPr>
        <w:t>the Organization</w:t>
      </w:r>
      <w:r w:rsidR="00A15C14" w:rsidRPr="0036187D">
        <w:rPr>
          <w:rFonts w:ascii="Arial" w:hAnsi="Arial" w:cs="Arial"/>
          <w:sz w:val="20"/>
        </w:rPr>
        <w:t xml:space="preserve"> </w:t>
      </w:r>
      <w:r w:rsidRPr="0036187D">
        <w:rPr>
          <w:rFonts w:ascii="Arial" w:hAnsi="Arial" w:cs="Arial"/>
          <w:sz w:val="20"/>
        </w:rPr>
        <w:t>in the countries concerned, as well as increas</w:t>
      </w:r>
      <w:r w:rsidR="00A15C14">
        <w:rPr>
          <w:rFonts w:ascii="Arial" w:hAnsi="Arial" w:cs="Arial"/>
          <w:sz w:val="20"/>
        </w:rPr>
        <w:t>e</w:t>
      </w:r>
      <w:r w:rsidRPr="0036187D">
        <w:rPr>
          <w:rFonts w:ascii="Arial" w:hAnsi="Arial" w:cs="Arial"/>
          <w:sz w:val="20"/>
        </w:rPr>
        <w:t xml:space="preserve"> awareness about the opportunities related to WIPO’s normative agenda, initiatives and services.  The demand for developing tailored, long-term, results-oriented national IP strategies and plans, aligned with national economic and cultural strategies, will continue to grow in the biennium. </w:t>
      </w:r>
    </w:p>
    <w:p w14:paraId="5D1C21D4" w14:textId="77777777" w:rsidR="0036187D" w:rsidRPr="0036187D" w:rsidRDefault="0036187D" w:rsidP="00511015">
      <w:pPr>
        <w:jc w:val="both"/>
        <w:rPr>
          <w:rFonts w:ascii="Arial" w:hAnsi="Arial" w:cs="Arial"/>
          <w:sz w:val="20"/>
        </w:rPr>
      </w:pPr>
    </w:p>
    <w:p w14:paraId="1B4AA8BF" w14:textId="51E5C8DC"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A coordinated institutional approach will bring benefits to both WIPO and its Member States.  Strengthening institutional relations and increasing awareness of WIPO services and activities among a broader audience in the countries concerned will remain </w:t>
      </w:r>
      <w:r w:rsidR="00A15C14">
        <w:rPr>
          <w:rFonts w:ascii="Arial" w:hAnsi="Arial" w:cs="Arial"/>
          <w:sz w:val="20"/>
        </w:rPr>
        <w:t xml:space="preserve">a </w:t>
      </w:r>
      <w:r w:rsidR="00A15C14" w:rsidRPr="0036187D">
        <w:rPr>
          <w:rFonts w:ascii="Arial" w:hAnsi="Arial" w:cs="Arial"/>
          <w:sz w:val="20"/>
        </w:rPr>
        <w:t>priorit</w:t>
      </w:r>
      <w:r w:rsidR="00A15C14">
        <w:rPr>
          <w:rFonts w:ascii="Arial" w:hAnsi="Arial" w:cs="Arial"/>
          <w:sz w:val="20"/>
        </w:rPr>
        <w:t>y</w:t>
      </w:r>
      <w:r w:rsidRPr="0036187D">
        <w:rPr>
          <w:rFonts w:ascii="Arial" w:hAnsi="Arial" w:cs="Arial"/>
          <w:sz w:val="20"/>
        </w:rPr>
        <w:t xml:space="preserve">.  </w:t>
      </w:r>
    </w:p>
    <w:p w14:paraId="1A385BFD" w14:textId="77777777" w:rsidR="0036187D" w:rsidRPr="0036187D" w:rsidRDefault="0036187D" w:rsidP="00511015">
      <w:pPr>
        <w:jc w:val="both"/>
        <w:rPr>
          <w:rFonts w:ascii="Arial" w:hAnsi="Arial" w:cs="Arial"/>
          <w:sz w:val="20"/>
        </w:rPr>
      </w:pPr>
    </w:p>
    <w:p w14:paraId="7F2DC003" w14:textId="6CC8BB14"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In addition, many </w:t>
      </w:r>
      <w:r w:rsidR="00A15C14">
        <w:rPr>
          <w:rFonts w:ascii="Arial" w:hAnsi="Arial" w:cs="Arial"/>
          <w:sz w:val="20"/>
        </w:rPr>
        <w:t xml:space="preserve">transition and developed </w:t>
      </w:r>
      <w:r w:rsidRPr="0036187D">
        <w:rPr>
          <w:rFonts w:ascii="Arial" w:hAnsi="Arial" w:cs="Arial"/>
          <w:sz w:val="20"/>
        </w:rPr>
        <w:t xml:space="preserve">countries have joined the WIPO Systems, in particular the PCT and the Madrid Systems, and some countries are planning to join. The full potential of these Systems in the region has not yet been fully realized. For this reason, there is a need to further strengthen their promotion and continue to organize targeted training on their use.   </w:t>
      </w:r>
    </w:p>
    <w:p w14:paraId="192C41C2" w14:textId="77777777" w:rsidR="0036187D" w:rsidRPr="0036187D" w:rsidRDefault="0036187D" w:rsidP="00511015">
      <w:pPr>
        <w:jc w:val="both"/>
        <w:rPr>
          <w:rFonts w:ascii="Arial" w:hAnsi="Arial" w:cs="Arial"/>
        </w:rPr>
      </w:pPr>
    </w:p>
    <w:p w14:paraId="51E35CF5" w14:textId="77777777" w:rsidR="0036187D" w:rsidRPr="0036187D" w:rsidRDefault="0036187D" w:rsidP="00511015">
      <w:pPr>
        <w:jc w:val="both"/>
        <w:rPr>
          <w:rFonts w:ascii="Arial" w:hAnsi="Arial" w:cs="Arial"/>
        </w:rPr>
      </w:pPr>
      <w:r w:rsidRPr="0036187D">
        <w:rPr>
          <w:rFonts w:ascii="Arial" w:hAnsi="Arial" w:cs="Arial"/>
        </w:rPr>
        <w:t>IMPLEMENTATION STRATEGIES</w:t>
      </w:r>
    </w:p>
    <w:p w14:paraId="1A7206A9" w14:textId="77777777" w:rsidR="0036187D" w:rsidRPr="0036187D" w:rsidRDefault="0036187D" w:rsidP="00511015">
      <w:pPr>
        <w:jc w:val="both"/>
        <w:rPr>
          <w:rFonts w:ascii="Arial" w:hAnsi="Arial" w:cs="Arial"/>
        </w:rPr>
      </w:pPr>
    </w:p>
    <w:p w14:paraId="23764B33" w14:textId="2477DC9C"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The Program will continue to provide assistance to</w:t>
      </w:r>
      <w:r w:rsidR="00B66A4A">
        <w:rPr>
          <w:rFonts w:ascii="Arial" w:hAnsi="Arial" w:cs="Arial"/>
          <w:sz w:val="20"/>
        </w:rPr>
        <w:t xml:space="preserve"> </w:t>
      </w:r>
      <w:r w:rsidR="00B66A4A" w:rsidRPr="00B66A4A">
        <w:rPr>
          <w:rFonts w:ascii="Arial" w:hAnsi="Arial" w:cs="Arial"/>
          <w:sz w:val="20"/>
        </w:rPr>
        <w:t>Central European and Baltic States, Central Asian, Eastern European and Caucasian countries, as well as some Mediterranean countries</w:t>
      </w:r>
      <w:r w:rsidRPr="0036187D">
        <w:rPr>
          <w:rFonts w:ascii="Arial" w:hAnsi="Arial" w:cs="Arial"/>
          <w:sz w:val="20"/>
        </w:rPr>
        <w:t xml:space="preserve">, </w:t>
      </w:r>
      <w:r w:rsidR="00B66A4A">
        <w:rPr>
          <w:rFonts w:ascii="Arial" w:hAnsi="Arial" w:cs="Arial"/>
          <w:sz w:val="20"/>
        </w:rPr>
        <w:t xml:space="preserve">by </w:t>
      </w:r>
      <w:r w:rsidRPr="0036187D">
        <w:rPr>
          <w:rFonts w:ascii="Arial" w:hAnsi="Arial" w:cs="Arial"/>
          <w:sz w:val="20"/>
        </w:rPr>
        <w:t>focusing on tailored and balanced IP legislative regulatory and policy frameworks; enhanced use of WIPO Services; clearly defined and coherent national innovation and IP policies, strategies and development plans consistent with national development goals and objectives; enhanced human resource capacities to deal with the broad range of requirements for the effective use of IP for development, as well as to strengthen the cooperation mechanisms and programs.</w:t>
      </w:r>
      <w:r w:rsidR="00B66A4A">
        <w:rPr>
          <w:rFonts w:ascii="Arial" w:hAnsi="Arial" w:cs="Arial"/>
          <w:sz w:val="20"/>
        </w:rPr>
        <w:t xml:space="preserve">  </w:t>
      </w:r>
      <w:r w:rsidR="00B66A4A" w:rsidRPr="00B66A4A">
        <w:rPr>
          <w:rFonts w:ascii="Arial" w:hAnsi="Arial" w:cs="Arial"/>
          <w:sz w:val="20"/>
        </w:rPr>
        <w:t>Regarding developed countries, the Program will focus on th</w:t>
      </w:r>
      <w:r w:rsidR="00B66A4A">
        <w:rPr>
          <w:rFonts w:ascii="Arial" w:hAnsi="Arial" w:cs="Arial"/>
          <w:sz w:val="20"/>
        </w:rPr>
        <w:t>e promotion of the use of WIPO s</w:t>
      </w:r>
      <w:r w:rsidR="00B66A4A" w:rsidRPr="00B66A4A">
        <w:rPr>
          <w:rFonts w:ascii="Arial" w:hAnsi="Arial" w:cs="Arial"/>
          <w:sz w:val="20"/>
        </w:rPr>
        <w:t>ervices and initiatives.</w:t>
      </w:r>
    </w:p>
    <w:p w14:paraId="0C2FBA26" w14:textId="77777777" w:rsidR="0036187D" w:rsidRPr="0036187D" w:rsidRDefault="0036187D" w:rsidP="00511015">
      <w:pPr>
        <w:jc w:val="both"/>
        <w:rPr>
          <w:rFonts w:ascii="Arial" w:hAnsi="Arial" w:cs="Arial"/>
          <w:sz w:val="20"/>
        </w:rPr>
      </w:pPr>
    </w:p>
    <w:p w14:paraId="1E04F662" w14:textId="7777777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Through the support and close coordination with other relevant Programs and inputs from Member States, Program 10 will guide the development and implementation of balanced, long-term and results-oriented country cooperation plans, ensuring that WIPO’s assistance dovetails with the national IP strategy objectives. </w:t>
      </w:r>
    </w:p>
    <w:p w14:paraId="3F6CD861" w14:textId="77777777" w:rsidR="0036187D" w:rsidRDefault="0036187D" w:rsidP="00093A8F">
      <w:pPr>
        <w:keepNext/>
        <w:keepLines/>
        <w:jc w:val="both"/>
        <w:rPr>
          <w:rFonts w:ascii="Arial" w:hAnsi="Arial" w:cs="Arial"/>
          <w:sz w:val="20"/>
        </w:rPr>
      </w:pPr>
    </w:p>
    <w:p w14:paraId="38DC3655" w14:textId="330FE548" w:rsidR="007A5A68" w:rsidRPr="00B70B7D" w:rsidRDefault="007A5A68" w:rsidP="00B66A4A">
      <w:pPr>
        <w:pStyle w:val="ListParagraph"/>
        <w:keepNext/>
        <w:keepLines/>
        <w:numPr>
          <w:ilvl w:val="0"/>
          <w:numId w:val="36"/>
        </w:numPr>
        <w:tabs>
          <w:tab w:val="right" w:pos="709"/>
        </w:tabs>
        <w:ind w:left="0" w:firstLine="0"/>
        <w:jc w:val="both"/>
        <w:rPr>
          <w:rFonts w:ascii="Arial" w:hAnsi="Arial" w:cs="Arial"/>
          <w:sz w:val="20"/>
        </w:rPr>
      </w:pPr>
      <w:r w:rsidRPr="00B70B7D">
        <w:rPr>
          <w:rFonts w:ascii="Arial" w:hAnsi="Arial" w:cs="Arial"/>
          <w:sz w:val="20"/>
        </w:rPr>
        <w:t>Program 1</w:t>
      </w:r>
      <w:r>
        <w:rPr>
          <w:rFonts w:ascii="Arial" w:hAnsi="Arial" w:cs="Arial"/>
          <w:sz w:val="20"/>
        </w:rPr>
        <w:t>0</w:t>
      </w:r>
      <w:r w:rsidRPr="00B70B7D">
        <w:rPr>
          <w:rFonts w:ascii="Arial" w:hAnsi="Arial" w:cs="Arial"/>
          <w:sz w:val="20"/>
        </w:rPr>
        <w:t xml:space="preserve"> collaborates primarily with other Programs as illustrated below: </w:t>
      </w:r>
    </w:p>
    <w:p w14:paraId="35FFFEBC" w14:textId="77777777" w:rsidR="007A5A68" w:rsidRPr="0036187D" w:rsidRDefault="007A5A68" w:rsidP="00093A8F">
      <w:pPr>
        <w:keepNext/>
        <w:keepLines/>
        <w:jc w:val="both"/>
        <w:rPr>
          <w:rFonts w:ascii="Arial" w:hAnsi="Arial" w:cs="Arial"/>
          <w:sz w:val="20"/>
        </w:rPr>
      </w:pPr>
    </w:p>
    <w:p w14:paraId="4DB5E5B7" w14:textId="77777777" w:rsidR="0036187D" w:rsidRPr="0036187D" w:rsidRDefault="0036187D" w:rsidP="00093A8F">
      <w:pPr>
        <w:keepNext/>
        <w:keepLines/>
        <w:jc w:val="both"/>
        <w:rPr>
          <w:rFonts w:ascii="Arial" w:hAnsi="Arial" w:cs="Arial"/>
        </w:rPr>
      </w:pPr>
      <w:r w:rsidRPr="00DF647B">
        <w:rPr>
          <w:noProof/>
          <w:lang w:eastAsia="en-US"/>
        </w:rPr>
        <w:drawing>
          <wp:inline distT="0" distB="0" distL="0" distR="0" wp14:anchorId="02DBCED5" wp14:editId="459A6B0A">
            <wp:extent cx="5761355" cy="2620924"/>
            <wp:effectExtent l="19050" t="38100" r="48895" b="46355"/>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0" r:lo="rId101" r:qs="rId102" r:cs="rId103"/>
              </a:graphicData>
            </a:graphic>
          </wp:inline>
        </w:drawing>
      </w:r>
    </w:p>
    <w:p w14:paraId="563A8D92" w14:textId="77777777" w:rsidR="0036187D" w:rsidRPr="0036187D" w:rsidRDefault="0036187D" w:rsidP="00093A8F">
      <w:pPr>
        <w:keepNext/>
        <w:keepLines/>
        <w:jc w:val="both"/>
        <w:rPr>
          <w:rFonts w:ascii="Arial" w:hAnsi="Arial" w:cs="Arial"/>
        </w:rPr>
      </w:pPr>
    </w:p>
    <w:p w14:paraId="1F56100E" w14:textId="3FBDBEC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Promotion of WIPO products and services will be prioritized.  The Roving Seminars on WIPO Services and Initiatives, which have been successfully organized in many </w:t>
      </w:r>
      <w:r w:rsidR="00A15C14" w:rsidRPr="0036187D">
        <w:rPr>
          <w:rFonts w:ascii="Arial" w:hAnsi="Arial" w:cs="Arial"/>
          <w:sz w:val="20"/>
        </w:rPr>
        <w:t>countries,</w:t>
      </w:r>
      <w:r w:rsidRPr="0036187D">
        <w:rPr>
          <w:rFonts w:ascii="Arial" w:hAnsi="Arial" w:cs="Arial"/>
          <w:sz w:val="20"/>
        </w:rPr>
        <w:t xml:space="preserve"> will be further expanded into new regions. </w:t>
      </w:r>
    </w:p>
    <w:p w14:paraId="43B29FC9" w14:textId="77777777" w:rsidR="0036187D" w:rsidRPr="0036187D" w:rsidRDefault="0036187D" w:rsidP="00511015">
      <w:pPr>
        <w:jc w:val="both"/>
        <w:rPr>
          <w:rFonts w:ascii="Arial" w:hAnsi="Arial" w:cs="Arial"/>
          <w:sz w:val="20"/>
        </w:rPr>
      </w:pPr>
    </w:p>
    <w:p w14:paraId="36A8AC6D" w14:textId="7777777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Two important aspects of expanding the usage of WIPO services during the biennium will be: (i) to ensure that current users are able to maximize the potential of the Systems; and (ii) that potential users, many of whom are located in Member States accounting for the highest usage of WIPO Systems, are actively engaged.  In response, targeted and sustained outreach with the aim of maximizing usage in national markets where WIPO system value is already proven and recognized will be established.  </w:t>
      </w:r>
    </w:p>
    <w:p w14:paraId="7FEB933B" w14:textId="77777777" w:rsidR="0036187D" w:rsidRPr="0036187D" w:rsidRDefault="0036187D" w:rsidP="00511015">
      <w:pPr>
        <w:jc w:val="both"/>
        <w:rPr>
          <w:rFonts w:ascii="Arial" w:hAnsi="Arial" w:cs="Arial"/>
          <w:sz w:val="20"/>
        </w:rPr>
      </w:pPr>
    </w:p>
    <w:p w14:paraId="0B7C4323" w14:textId="33070C44"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In addition, the Program will continue to build on certain commonalities and shared features of the economic and IP systems of </w:t>
      </w:r>
      <w:r w:rsidR="00A15C14">
        <w:rPr>
          <w:rFonts w:ascii="Arial" w:hAnsi="Arial" w:cs="Arial"/>
          <w:sz w:val="20"/>
        </w:rPr>
        <w:t xml:space="preserve">transition and developed </w:t>
      </w:r>
      <w:r w:rsidRPr="0036187D">
        <w:rPr>
          <w:rFonts w:ascii="Arial" w:hAnsi="Arial" w:cs="Arial"/>
          <w:sz w:val="20"/>
        </w:rPr>
        <w:t xml:space="preserve">countries and will support the exchange of experience, lessons learned and best practices.  </w:t>
      </w:r>
    </w:p>
    <w:p w14:paraId="39283D34" w14:textId="77777777" w:rsidR="0036187D" w:rsidRPr="0036187D" w:rsidRDefault="0036187D" w:rsidP="00511015">
      <w:pPr>
        <w:jc w:val="both"/>
        <w:rPr>
          <w:rFonts w:ascii="Arial" w:hAnsi="Arial" w:cs="Arial"/>
          <w:sz w:val="20"/>
        </w:rPr>
      </w:pPr>
    </w:p>
    <w:p w14:paraId="57C0C32A" w14:textId="7777777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Capacity building activities will be planned and implemented in line with the national cooperation plans and, where applicable, national IP strategies, with a focus on the establishment of self-sufficient national training programs, which can be conducted by local authorities.  </w:t>
      </w:r>
    </w:p>
    <w:p w14:paraId="190C02D8" w14:textId="77777777" w:rsidR="0036187D" w:rsidRPr="0036187D" w:rsidRDefault="0036187D" w:rsidP="00511015">
      <w:pPr>
        <w:jc w:val="both"/>
        <w:rPr>
          <w:rFonts w:ascii="Arial" w:hAnsi="Arial" w:cs="Arial"/>
          <w:sz w:val="20"/>
        </w:rPr>
      </w:pPr>
    </w:p>
    <w:p w14:paraId="7CD5D11C" w14:textId="306E5503"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An enhanced two-stage evaluation of activities will enable the Program to further improve and tailor its activities to the specific needs of the </w:t>
      </w:r>
      <w:r w:rsidR="00A15C14">
        <w:rPr>
          <w:rFonts w:ascii="Arial" w:hAnsi="Arial" w:cs="Arial"/>
          <w:sz w:val="20"/>
        </w:rPr>
        <w:t>countries</w:t>
      </w:r>
      <w:r w:rsidRPr="0036187D">
        <w:rPr>
          <w:rFonts w:ascii="Arial" w:hAnsi="Arial" w:cs="Arial"/>
          <w:sz w:val="20"/>
        </w:rPr>
        <w:t xml:space="preserve">, including the streamlining of gender equality into relevant activities. </w:t>
      </w:r>
    </w:p>
    <w:p w14:paraId="31C42BAA" w14:textId="77777777" w:rsidR="0036187D" w:rsidRPr="0036187D" w:rsidRDefault="0036187D" w:rsidP="00511015">
      <w:pPr>
        <w:jc w:val="both"/>
        <w:rPr>
          <w:rFonts w:ascii="Arial" w:hAnsi="Arial" w:cs="Arial"/>
          <w:sz w:val="20"/>
        </w:rPr>
      </w:pPr>
    </w:p>
    <w:p w14:paraId="4DCBE269" w14:textId="77777777"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In order to better ensure a balanced development of the IP system, the interaction with all concerned stakeholders, including governments, industry and users, will be strengthened. Sustainable IP experience sharing platforms, which will potentially lead to better coordination between stakeholders, will be developed.</w:t>
      </w:r>
    </w:p>
    <w:p w14:paraId="21B9C531" w14:textId="77777777" w:rsidR="0036187D" w:rsidRPr="0036187D" w:rsidRDefault="0036187D" w:rsidP="00511015">
      <w:pPr>
        <w:jc w:val="both"/>
        <w:rPr>
          <w:rFonts w:ascii="Arial" w:hAnsi="Arial" w:cs="Arial"/>
        </w:rPr>
      </w:pPr>
    </w:p>
    <w:p w14:paraId="6ECEA39E" w14:textId="4A8FE498"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 xml:space="preserve">Taking into consideration the membership of transition and developed countries in relevant regional organizations, the Program will further strengthen synergies and promote joint efforts to reach common IP objectives. Accordingly, it will closely cooperate </w:t>
      </w:r>
      <w:r w:rsidRPr="0036187D">
        <w:rPr>
          <w:rFonts w:ascii="Arial" w:hAnsi="Arial" w:cs="Arial"/>
          <w:i/>
          <w:sz w:val="20"/>
        </w:rPr>
        <w:t>inter alia</w:t>
      </w:r>
      <w:r w:rsidRPr="0036187D">
        <w:rPr>
          <w:rFonts w:ascii="Arial" w:hAnsi="Arial" w:cs="Arial"/>
          <w:sz w:val="20"/>
        </w:rPr>
        <w:t xml:space="preserve"> with the EU, the European Patent Organization (EPO), the Inter-State Council </w:t>
      </w:r>
      <w:r w:rsidR="00A15C14">
        <w:rPr>
          <w:rFonts w:ascii="Arial" w:hAnsi="Arial" w:cs="Arial"/>
          <w:sz w:val="20"/>
        </w:rPr>
        <w:t xml:space="preserve">for the Legal </w:t>
      </w:r>
      <w:r w:rsidRPr="0036187D">
        <w:rPr>
          <w:rFonts w:ascii="Arial" w:hAnsi="Arial" w:cs="Arial"/>
          <w:sz w:val="20"/>
        </w:rPr>
        <w:t xml:space="preserve">Protection </w:t>
      </w:r>
      <w:r w:rsidR="00A15C14">
        <w:rPr>
          <w:rFonts w:ascii="Arial" w:hAnsi="Arial" w:cs="Arial"/>
          <w:sz w:val="20"/>
        </w:rPr>
        <w:t xml:space="preserve">and Enforcement of Intellectual Property </w:t>
      </w:r>
      <w:r w:rsidRPr="0036187D">
        <w:rPr>
          <w:rFonts w:ascii="Arial" w:hAnsi="Arial" w:cs="Arial"/>
          <w:sz w:val="20"/>
        </w:rPr>
        <w:t>(ICPIP), the Inter-parliamentary Assembly of the CIS Member States (IPACIS), the Eurasian Patent Organization and the Eurasian Economic Commission (EEC).</w:t>
      </w:r>
    </w:p>
    <w:p w14:paraId="0867D4CB" w14:textId="77777777" w:rsidR="0036187D" w:rsidRPr="0036187D" w:rsidRDefault="0036187D" w:rsidP="00511015">
      <w:pPr>
        <w:jc w:val="both"/>
        <w:rPr>
          <w:rFonts w:ascii="Arial" w:hAnsi="Arial" w:cs="Arial"/>
          <w:sz w:val="20"/>
        </w:rPr>
      </w:pPr>
    </w:p>
    <w:p w14:paraId="125B34E8" w14:textId="77777777" w:rsidR="0036187D" w:rsidRPr="0036187D" w:rsidRDefault="0036187D" w:rsidP="00B66A4A">
      <w:pPr>
        <w:pStyle w:val="ListParagraph"/>
        <w:numPr>
          <w:ilvl w:val="0"/>
          <w:numId w:val="36"/>
        </w:numPr>
        <w:tabs>
          <w:tab w:val="right" w:pos="709"/>
        </w:tabs>
        <w:ind w:left="0" w:firstLine="0"/>
        <w:jc w:val="both"/>
        <w:rPr>
          <w:rFonts w:ascii="Arial" w:hAnsi="Arial" w:cs="Arial"/>
          <w:iCs/>
          <w:sz w:val="20"/>
        </w:rPr>
      </w:pPr>
      <w:r w:rsidRPr="0036187D">
        <w:rPr>
          <w:rFonts w:ascii="Arial" w:hAnsi="Arial" w:cs="Arial"/>
          <w:iCs/>
          <w:sz w:val="20"/>
        </w:rPr>
        <w:t xml:space="preserve">The DA recommendations will continue to guide Program 10 in its technical assistance activities, particularly Recommendations 1,3,4,6, 10, 11 and 13. </w:t>
      </w:r>
    </w:p>
    <w:p w14:paraId="23CE6391" w14:textId="77777777" w:rsidR="0036187D" w:rsidRPr="001B7766" w:rsidRDefault="0036187D" w:rsidP="00511015">
      <w:pPr>
        <w:jc w:val="both"/>
        <w:rPr>
          <w:rFonts w:ascii="Arial" w:hAnsi="Arial" w:cs="Arial"/>
        </w:rPr>
      </w:pPr>
    </w:p>
    <w:p w14:paraId="3FCE8A51" w14:textId="77777777" w:rsidR="0036187D" w:rsidRPr="001B7766" w:rsidRDefault="0036187D" w:rsidP="00511015">
      <w:pPr>
        <w:jc w:val="both"/>
        <w:rPr>
          <w:rFonts w:ascii="Arial" w:hAnsi="Arial" w:cs="Arial"/>
        </w:rPr>
      </w:pPr>
    </w:p>
    <w:p w14:paraId="719D1AB1" w14:textId="77777777" w:rsidR="0036187D" w:rsidRPr="001B7766" w:rsidRDefault="0036187D" w:rsidP="008F3633">
      <w:pPr>
        <w:pStyle w:val="BodyText"/>
        <w:keepNext/>
        <w:keepLines/>
        <w:spacing w:after="0"/>
      </w:pPr>
      <w:r w:rsidRPr="001B7766">
        <w:lastRenderedPageBreak/>
        <w:t>MAJOR RISKS AND MITIGATION STRATEGIES</w:t>
      </w:r>
    </w:p>
    <w:p w14:paraId="3315ED44" w14:textId="77777777" w:rsidR="0036187D" w:rsidRPr="001B7766" w:rsidRDefault="0036187D" w:rsidP="008F3633">
      <w:pPr>
        <w:pStyle w:val="BodyText"/>
        <w:keepNext/>
        <w:keepLines/>
        <w:spacing w:after="0"/>
      </w:pPr>
    </w:p>
    <w:tbl>
      <w:tblPr>
        <w:tblW w:w="907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4961"/>
      </w:tblGrid>
      <w:tr w:rsidR="0036187D" w:rsidRPr="001B7766" w14:paraId="5DA24998" w14:textId="77777777" w:rsidTr="00511015">
        <w:trPr>
          <w:trHeight w:val="577"/>
        </w:trPr>
        <w:tc>
          <w:tcPr>
            <w:tcW w:w="4111" w:type="dxa"/>
            <w:tcBorders>
              <w:top w:val="single" w:sz="4" w:space="0" w:color="auto"/>
              <w:bottom w:val="single" w:sz="4" w:space="0" w:color="auto"/>
            </w:tcBorders>
            <w:shd w:val="clear" w:color="auto" w:fill="C6D9F1" w:themeFill="text2" w:themeFillTint="33"/>
            <w:vAlign w:val="center"/>
          </w:tcPr>
          <w:p w14:paraId="6B3C1202" w14:textId="77777777" w:rsidR="0036187D" w:rsidRPr="001B7766" w:rsidRDefault="0036187D" w:rsidP="008F3633">
            <w:pPr>
              <w:keepNext/>
              <w:keepLines/>
              <w:jc w:val="center"/>
              <w:rPr>
                <w:rFonts w:ascii="Arial" w:hAnsi="Arial" w:cs="Arial"/>
                <w:b/>
                <w:bCs/>
                <w:sz w:val="18"/>
                <w:szCs w:val="18"/>
              </w:rPr>
            </w:pPr>
            <w:r w:rsidRPr="001B7766">
              <w:rPr>
                <w:rFonts w:ascii="Arial" w:hAnsi="Arial" w:cs="Arial"/>
                <w:b/>
                <w:bCs/>
                <w:sz w:val="18"/>
                <w:szCs w:val="18"/>
              </w:rPr>
              <w:t>Risk</w:t>
            </w:r>
          </w:p>
        </w:tc>
        <w:tc>
          <w:tcPr>
            <w:tcW w:w="4961" w:type="dxa"/>
            <w:tcBorders>
              <w:top w:val="single" w:sz="4" w:space="0" w:color="auto"/>
              <w:bottom w:val="single" w:sz="4" w:space="0" w:color="auto"/>
            </w:tcBorders>
            <w:shd w:val="clear" w:color="auto" w:fill="C6D9F1" w:themeFill="text2" w:themeFillTint="33"/>
            <w:vAlign w:val="center"/>
          </w:tcPr>
          <w:p w14:paraId="7A8BBB6D" w14:textId="77777777" w:rsidR="0036187D" w:rsidRPr="001B7766" w:rsidRDefault="0036187D" w:rsidP="008F3633">
            <w:pPr>
              <w:keepNext/>
              <w:keepLines/>
              <w:jc w:val="center"/>
              <w:rPr>
                <w:rFonts w:ascii="Arial" w:hAnsi="Arial" w:cs="Arial"/>
                <w:b/>
                <w:bCs/>
                <w:sz w:val="18"/>
                <w:szCs w:val="18"/>
              </w:rPr>
            </w:pPr>
            <w:r w:rsidRPr="001B7766">
              <w:rPr>
                <w:rFonts w:ascii="Arial" w:hAnsi="Arial" w:cs="Arial"/>
                <w:b/>
                <w:bCs/>
                <w:sz w:val="18"/>
                <w:szCs w:val="18"/>
              </w:rPr>
              <w:t>Mitigation</w:t>
            </w:r>
          </w:p>
        </w:tc>
      </w:tr>
      <w:tr w:rsidR="0036187D" w:rsidRPr="001B7766" w14:paraId="7696D73E" w14:textId="77777777" w:rsidTr="00511015">
        <w:trPr>
          <w:trHeight w:val="1461"/>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35EE35F2" w14:textId="77777777" w:rsidR="0036187D" w:rsidRPr="001B7766" w:rsidRDefault="0036187D" w:rsidP="008F3633">
            <w:pPr>
              <w:keepNext/>
              <w:keepLines/>
              <w:spacing w:line="276" w:lineRule="auto"/>
              <w:rPr>
                <w:rFonts w:ascii="Arial" w:eastAsia="Calibri" w:hAnsi="Arial" w:cs="Arial"/>
                <w:sz w:val="16"/>
                <w:szCs w:val="16"/>
              </w:rPr>
            </w:pPr>
            <w:r w:rsidRPr="001B7766">
              <w:rPr>
                <w:rFonts w:ascii="Arial" w:hAnsi="Arial" w:cs="Arial"/>
                <w:sz w:val="16"/>
                <w:szCs w:val="16"/>
              </w:rPr>
              <w:t>Economic and political changes might hamper or slowdown the implementation of national IP strategies.</w:t>
            </w:r>
          </w:p>
          <w:p w14:paraId="0E9843B5" w14:textId="77777777" w:rsidR="0036187D" w:rsidRPr="001B7766" w:rsidRDefault="0036187D" w:rsidP="008F3633">
            <w:pPr>
              <w:keepNext/>
              <w:keepLines/>
              <w:spacing w:line="276" w:lineRule="auto"/>
              <w:rPr>
                <w:rFonts w:ascii="Arial" w:hAnsi="Arial" w:cs="Arial"/>
                <w:sz w:val="20"/>
              </w:rPr>
            </w:pPr>
          </w:p>
          <w:p w14:paraId="026A327A" w14:textId="77777777" w:rsidR="0036187D" w:rsidRPr="001B7766" w:rsidRDefault="0036187D" w:rsidP="008F3633">
            <w:pPr>
              <w:keepNext/>
              <w:keepLines/>
              <w:spacing w:line="276" w:lineRule="auto"/>
              <w:rPr>
                <w:rFonts w:ascii="Arial" w:hAnsi="Arial" w:cs="Arial"/>
                <w:sz w:val="20"/>
              </w:rPr>
            </w:pPr>
          </w:p>
          <w:p w14:paraId="3F1F1CE1" w14:textId="77777777" w:rsidR="0036187D" w:rsidRPr="001B7766" w:rsidRDefault="0036187D" w:rsidP="008F3633">
            <w:pPr>
              <w:keepNext/>
              <w:keepLines/>
              <w:rPr>
                <w:rFonts w:ascii="Arial" w:hAnsi="Arial" w:cs="Arial"/>
                <w:sz w:val="20"/>
                <w:szCs w:val="16"/>
              </w:rPr>
            </w:pPr>
          </w:p>
          <w:p w14:paraId="27A3C42D" w14:textId="77777777" w:rsidR="0036187D" w:rsidRPr="001B7766" w:rsidRDefault="0036187D" w:rsidP="008F3633">
            <w:pPr>
              <w:keepNext/>
              <w:keepLines/>
              <w:rPr>
                <w:rFonts w:ascii="Arial" w:hAnsi="Arial" w:cs="Arial"/>
                <w:b/>
                <w:i/>
                <w:sz w:val="16"/>
                <w:szCs w:val="16"/>
              </w:rPr>
            </w:pPr>
            <w:r w:rsidRPr="001B7766">
              <w:rPr>
                <w:rFonts w:ascii="Arial" w:hAnsi="Arial" w:cs="Arial"/>
                <w:sz w:val="16"/>
                <w:szCs w:val="16"/>
              </w:rPr>
              <w:t xml:space="preserve">Decisions taken at the international or national level result in the loss of stakeholder commitment to actively engage in the implementation of activities which affect long term plans for enhancing human resource capacities in countries in transition.  </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50A9B40F" w14:textId="77777777" w:rsidR="0036187D" w:rsidRPr="001B7766" w:rsidRDefault="0036187D" w:rsidP="008F3633">
            <w:pPr>
              <w:keepNext/>
              <w:keepLines/>
              <w:spacing w:line="276" w:lineRule="auto"/>
              <w:rPr>
                <w:rFonts w:ascii="Arial" w:eastAsia="Calibri" w:hAnsi="Arial" w:cs="Arial"/>
                <w:sz w:val="16"/>
                <w:szCs w:val="16"/>
              </w:rPr>
            </w:pPr>
            <w:r w:rsidRPr="001B7766">
              <w:rPr>
                <w:rFonts w:ascii="Arial" w:hAnsi="Arial" w:cs="Arial"/>
                <w:sz w:val="16"/>
                <w:szCs w:val="16"/>
              </w:rPr>
              <w:t>Immediate follow-up communication when relevant change in country; advanced planning on all levels;  maintaining relations with all stakeholders in the countries;  provide flexibility in the cooperation plans.</w:t>
            </w:r>
          </w:p>
          <w:p w14:paraId="196D88C1" w14:textId="77777777" w:rsidR="0036187D" w:rsidRPr="001B7766" w:rsidRDefault="0036187D" w:rsidP="008F3633">
            <w:pPr>
              <w:keepNext/>
              <w:keepLines/>
              <w:spacing w:line="276" w:lineRule="auto"/>
              <w:rPr>
                <w:rFonts w:ascii="Arial" w:hAnsi="Arial" w:cs="Arial"/>
                <w:sz w:val="20"/>
              </w:rPr>
            </w:pPr>
          </w:p>
          <w:p w14:paraId="1A241DC5" w14:textId="77777777" w:rsidR="0036187D" w:rsidRPr="001B7766" w:rsidRDefault="0036187D" w:rsidP="008F3633">
            <w:pPr>
              <w:keepNext/>
              <w:keepLines/>
              <w:autoSpaceDE w:val="0"/>
              <w:autoSpaceDN w:val="0"/>
              <w:adjustRightInd w:val="0"/>
              <w:ind w:right="-59"/>
              <w:rPr>
                <w:rFonts w:ascii="Arial" w:hAnsi="Arial" w:cs="Arial"/>
                <w:sz w:val="16"/>
                <w:szCs w:val="16"/>
              </w:rPr>
            </w:pPr>
            <w:r w:rsidRPr="001B7766">
              <w:rPr>
                <w:rFonts w:ascii="Arial" w:hAnsi="Arial" w:cs="Arial"/>
                <w:sz w:val="16"/>
                <w:szCs w:val="16"/>
              </w:rPr>
              <w:t xml:space="preserve">Working closely with beneficiaries, donors and Members States. Planning and coordination of all IP related matters with other international and national organizations and partners. </w:t>
            </w:r>
          </w:p>
        </w:tc>
      </w:tr>
    </w:tbl>
    <w:p w14:paraId="13CC6D12" w14:textId="77777777" w:rsidR="0036187D" w:rsidRPr="001B7766" w:rsidRDefault="0036187D" w:rsidP="00511015">
      <w:pPr>
        <w:rPr>
          <w:rFonts w:ascii="Arial" w:hAnsi="Arial" w:cs="Arial"/>
        </w:rPr>
      </w:pPr>
    </w:p>
    <w:p w14:paraId="248115A5" w14:textId="77777777" w:rsidR="0036187D" w:rsidRPr="001B7766" w:rsidRDefault="0036187D" w:rsidP="00511015">
      <w:pPr>
        <w:rPr>
          <w:rFonts w:ascii="Arial" w:hAnsi="Arial" w:cs="Arial"/>
        </w:rPr>
      </w:pPr>
    </w:p>
    <w:p w14:paraId="07282713" w14:textId="77777777" w:rsidR="0036187D" w:rsidRPr="001B7766" w:rsidRDefault="0036187D" w:rsidP="00511015">
      <w:pPr>
        <w:rPr>
          <w:rFonts w:ascii="Arial" w:hAnsi="Arial" w:cs="Arial"/>
        </w:rPr>
      </w:pPr>
      <w:r w:rsidRPr="001B7766">
        <w:rPr>
          <w:rFonts w:ascii="Arial" w:hAnsi="Arial" w:cs="Arial"/>
        </w:rPr>
        <w:t xml:space="preserve">RESULTS FRAMEWORK </w:t>
      </w:r>
    </w:p>
    <w:p w14:paraId="2A6FA5FF" w14:textId="77777777" w:rsidR="0036187D" w:rsidRPr="001B7766" w:rsidRDefault="0036187D" w:rsidP="00511015">
      <w:pPr>
        <w:rPr>
          <w:rFonts w:ascii="Arial" w:hAnsi="Arial" w:cs="Arial"/>
        </w:rPr>
      </w:pPr>
    </w:p>
    <w:tbl>
      <w:tblPr>
        <w:tblW w:w="9105" w:type="dxa"/>
        <w:tblInd w:w="93" w:type="dxa"/>
        <w:tblLook w:val="04A0" w:firstRow="1" w:lastRow="0" w:firstColumn="1" w:lastColumn="0" w:noHBand="0" w:noVBand="1"/>
      </w:tblPr>
      <w:tblGrid>
        <w:gridCol w:w="2200"/>
        <w:gridCol w:w="2420"/>
        <w:gridCol w:w="2325"/>
        <w:gridCol w:w="2160"/>
      </w:tblGrid>
      <w:tr w:rsidR="0036187D" w:rsidRPr="001B7766" w14:paraId="59B55383" w14:textId="77777777" w:rsidTr="002B052A">
        <w:trPr>
          <w:trHeight w:val="630"/>
          <w:tblHeader/>
        </w:trPr>
        <w:tc>
          <w:tcPr>
            <w:tcW w:w="2200"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14:paraId="183FF3EB" w14:textId="77777777" w:rsidR="0036187D" w:rsidRPr="001B7766" w:rsidRDefault="0036187D" w:rsidP="00511015">
            <w:pPr>
              <w:jc w:val="center"/>
              <w:rPr>
                <w:rFonts w:ascii="Arial" w:hAnsi="Arial" w:cs="Arial"/>
                <w:b/>
                <w:bCs/>
                <w:color w:val="000000"/>
                <w:sz w:val="18"/>
                <w:szCs w:val="18"/>
              </w:rPr>
            </w:pPr>
            <w:r w:rsidRPr="001B7766">
              <w:rPr>
                <w:rFonts w:ascii="Arial" w:hAnsi="Arial" w:cs="Arial"/>
                <w:b/>
                <w:bCs/>
                <w:color w:val="000000"/>
                <w:sz w:val="18"/>
                <w:szCs w:val="18"/>
              </w:rPr>
              <w:t>Expected Results</w:t>
            </w:r>
          </w:p>
        </w:tc>
        <w:tc>
          <w:tcPr>
            <w:tcW w:w="2420" w:type="dxa"/>
            <w:tcBorders>
              <w:top w:val="single" w:sz="4" w:space="0" w:color="auto"/>
              <w:left w:val="nil"/>
              <w:bottom w:val="single" w:sz="4" w:space="0" w:color="auto"/>
              <w:right w:val="nil"/>
            </w:tcBorders>
            <w:shd w:val="clear" w:color="000000" w:fill="C5D9F1"/>
            <w:tcMar>
              <w:top w:w="85" w:type="dxa"/>
            </w:tcMar>
            <w:vAlign w:val="center"/>
            <w:hideMark/>
          </w:tcPr>
          <w:p w14:paraId="687D2E66" w14:textId="77777777" w:rsidR="0036187D" w:rsidRPr="001B7766" w:rsidRDefault="0036187D" w:rsidP="00511015">
            <w:pPr>
              <w:jc w:val="center"/>
              <w:rPr>
                <w:rFonts w:ascii="Arial" w:hAnsi="Arial" w:cs="Arial"/>
                <w:b/>
                <w:bCs/>
                <w:color w:val="000000"/>
                <w:sz w:val="18"/>
                <w:szCs w:val="18"/>
              </w:rPr>
            </w:pPr>
            <w:r w:rsidRPr="001B7766">
              <w:rPr>
                <w:rFonts w:ascii="Arial" w:hAnsi="Arial" w:cs="Arial"/>
                <w:b/>
                <w:bCs/>
                <w:color w:val="000000"/>
                <w:sz w:val="18"/>
                <w:szCs w:val="18"/>
              </w:rPr>
              <w:t>Performance Indicators</w:t>
            </w:r>
          </w:p>
        </w:tc>
        <w:tc>
          <w:tcPr>
            <w:tcW w:w="2325" w:type="dxa"/>
            <w:tcBorders>
              <w:top w:val="single" w:sz="4" w:space="0" w:color="auto"/>
              <w:left w:val="nil"/>
              <w:bottom w:val="single" w:sz="4" w:space="0" w:color="auto"/>
              <w:right w:val="nil"/>
            </w:tcBorders>
            <w:shd w:val="clear" w:color="000000" w:fill="C5D9F1"/>
            <w:tcMar>
              <w:top w:w="85" w:type="dxa"/>
            </w:tcMar>
            <w:vAlign w:val="center"/>
            <w:hideMark/>
          </w:tcPr>
          <w:p w14:paraId="2569E974" w14:textId="77777777" w:rsidR="0036187D" w:rsidRPr="001B7766" w:rsidRDefault="0036187D" w:rsidP="00511015">
            <w:pPr>
              <w:jc w:val="center"/>
              <w:rPr>
                <w:rFonts w:ascii="Arial" w:hAnsi="Arial" w:cs="Arial"/>
                <w:b/>
                <w:bCs/>
                <w:color w:val="000000"/>
                <w:sz w:val="18"/>
                <w:szCs w:val="18"/>
              </w:rPr>
            </w:pPr>
            <w:r w:rsidRPr="001B7766">
              <w:rPr>
                <w:rFonts w:ascii="Arial" w:hAnsi="Arial" w:cs="Arial"/>
                <w:b/>
                <w:bCs/>
                <w:color w:val="000000"/>
                <w:sz w:val="18"/>
                <w:szCs w:val="18"/>
              </w:rPr>
              <w:t>Baselines</w:t>
            </w:r>
          </w:p>
        </w:tc>
        <w:tc>
          <w:tcPr>
            <w:tcW w:w="2160"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14:paraId="6B2DDE48" w14:textId="77777777" w:rsidR="0036187D" w:rsidRPr="001B7766" w:rsidRDefault="0036187D" w:rsidP="00511015">
            <w:pPr>
              <w:jc w:val="center"/>
              <w:rPr>
                <w:rFonts w:ascii="Arial" w:hAnsi="Arial" w:cs="Arial"/>
                <w:b/>
                <w:bCs/>
                <w:color w:val="000000"/>
                <w:sz w:val="18"/>
                <w:szCs w:val="18"/>
              </w:rPr>
            </w:pPr>
            <w:r w:rsidRPr="001B7766">
              <w:rPr>
                <w:rFonts w:ascii="Arial" w:hAnsi="Arial" w:cs="Arial"/>
                <w:b/>
                <w:bCs/>
                <w:color w:val="000000"/>
                <w:sz w:val="18"/>
                <w:szCs w:val="18"/>
              </w:rPr>
              <w:t>Targets</w:t>
            </w:r>
          </w:p>
        </w:tc>
      </w:tr>
      <w:tr w:rsidR="0036187D" w:rsidRPr="001B7766" w14:paraId="795CB5FD" w14:textId="77777777" w:rsidTr="00FB68E0">
        <w:trPr>
          <w:trHeight w:val="1461"/>
        </w:trPr>
        <w:tc>
          <w:tcPr>
            <w:tcW w:w="2200" w:type="dxa"/>
            <w:tcBorders>
              <w:top w:val="nil"/>
              <w:left w:val="single" w:sz="4" w:space="0" w:color="auto"/>
              <w:bottom w:val="nil"/>
              <w:right w:val="nil"/>
            </w:tcBorders>
            <w:shd w:val="clear" w:color="000000" w:fill="FFFFFF"/>
            <w:tcMar>
              <w:top w:w="85" w:type="dxa"/>
            </w:tcMar>
            <w:hideMark/>
          </w:tcPr>
          <w:p w14:paraId="1C519CE3" w14:textId="77777777" w:rsidR="0036187D" w:rsidRPr="001B7766" w:rsidRDefault="0036187D" w:rsidP="00511015">
            <w:pPr>
              <w:rPr>
                <w:rFonts w:ascii="Arial" w:hAnsi="Arial" w:cs="Arial"/>
                <w:color w:val="000000"/>
                <w:sz w:val="16"/>
                <w:szCs w:val="16"/>
              </w:rPr>
            </w:pPr>
            <w:r w:rsidRPr="001B7766">
              <w:rPr>
                <w:rFonts w:ascii="Arial" w:hAnsi="Arial" w:cs="Arial"/>
                <w:color w:val="000000"/>
                <w:sz w:val="16"/>
                <w:szCs w:val="16"/>
              </w:rPr>
              <w:br/>
              <w:t>I.2 Tailored and balanced IP legislative, regulatory and policy frameworks</w:t>
            </w:r>
          </w:p>
        </w:tc>
        <w:tc>
          <w:tcPr>
            <w:tcW w:w="2420" w:type="dxa"/>
            <w:tcBorders>
              <w:top w:val="nil"/>
              <w:left w:val="nil"/>
              <w:bottom w:val="nil"/>
              <w:right w:val="nil"/>
            </w:tcBorders>
            <w:shd w:val="clear" w:color="000000" w:fill="FFFFFF"/>
            <w:tcMar>
              <w:top w:w="85" w:type="dxa"/>
            </w:tcMar>
            <w:hideMark/>
          </w:tcPr>
          <w:p w14:paraId="01FC7135" w14:textId="088BDC27" w:rsidR="0036187D" w:rsidRPr="001B7766" w:rsidRDefault="0036187D" w:rsidP="00511015">
            <w:pPr>
              <w:ind w:firstLineChars="200" w:firstLine="320"/>
              <w:rPr>
                <w:rFonts w:ascii="Arial" w:hAnsi="Arial" w:cs="Arial"/>
                <w:color w:val="000000"/>
                <w:sz w:val="16"/>
                <w:szCs w:val="16"/>
              </w:rPr>
            </w:pPr>
            <w:r w:rsidRPr="001B7766">
              <w:rPr>
                <w:rFonts w:ascii="Arial" w:hAnsi="Arial" w:cs="Arial"/>
                <w:color w:val="000000"/>
                <w:sz w:val="16"/>
                <w:szCs w:val="16"/>
              </w:rPr>
              <w:br/>
              <w:t>No. of transition countries with updated national laws</w:t>
            </w:r>
            <w:r w:rsidR="00A15C14">
              <w:rPr>
                <w:rFonts w:ascii="Arial" w:hAnsi="Arial" w:cs="Arial"/>
                <w:color w:val="000000"/>
                <w:sz w:val="16"/>
                <w:szCs w:val="16"/>
              </w:rPr>
              <w:t xml:space="preserve"> and regulations</w:t>
            </w:r>
            <w:r w:rsidRPr="001B7766">
              <w:rPr>
                <w:rFonts w:ascii="Arial" w:hAnsi="Arial" w:cs="Arial"/>
                <w:color w:val="000000"/>
                <w:sz w:val="16"/>
                <w:szCs w:val="16"/>
              </w:rPr>
              <w:t xml:space="preserve"> </w:t>
            </w:r>
          </w:p>
          <w:p w14:paraId="4C8FAF55" w14:textId="77777777" w:rsidR="0036187D" w:rsidRPr="001B7766" w:rsidRDefault="0036187D" w:rsidP="00511015">
            <w:pPr>
              <w:ind w:firstLineChars="200" w:firstLine="320"/>
              <w:rPr>
                <w:rFonts w:ascii="Arial" w:hAnsi="Arial" w:cs="Arial"/>
                <w:color w:val="000000"/>
                <w:sz w:val="16"/>
                <w:szCs w:val="16"/>
              </w:rPr>
            </w:pPr>
          </w:p>
          <w:p w14:paraId="3F4628BF" w14:textId="77777777" w:rsidR="0036187D" w:rsidRPr="001B7766" w:rsidRDefault="0036187D" w:rsidP="00511015">
            <w:pPr>
              <w:rPr>
                <w:rFonts w:ascii="Arial" w:hAnsi="Arial" w:cs="Arial"/>
                <w:color w:val="000000"/>
                <w:sz w:val="16"/>
                <w:szCs w:val="16"/>
              </w:rPr>
            </w:pPr>
            <w:r w:rsidRPr="001B7766">
              <w:rPr>
                <w:rFonts w:ascii="Arial" w:hAnsi="Arial" w:cs="Arial"/>
                <w:color w:val="000000"/>
                <w:sz w:val="16"/>
                <w:szCs w:val="16"/>
              </w:rPr>
              <w:t>No of ratifications to WIPO administered treaties</w:t>
            </w:r>
          </w:p>
        </w:tc>
        <w:tc>
          <w:tcPr>
            <w:tcW w:w="2325" w:type="dxa"/>
            <w:tcBorders>
              <w:top w:val="nil"/>
              <w:left w:val="nil"/>
              <w:bottom w:val="nil"/>
              <w:right w:val="nil"/>
            </w:tcBorders>
            <w:shd w:val="clear" w:color="000000" w:fill="FFFFFF"/>
            <w:tcMar>
              <w:top w:w="85" w:type="dxa"/>
            </w:tcMar>
            <w:hideMark/>
          </w:tcPr>
          <w:p w14:paraId="7889679B" w14:textId="77777777" w:rsidR="0036187D" w:rsidRDefault="0036187D" w:rsidP="00511015">
            <w:pPr>
              <w:ind w:firstLineChars="200" w:firstLine="320"/>
              <w:rPr>
                <w:rFonts w:ascii="Arial" w:hAnsi="Arial" w:cs="Arial"/>
                <w:color w:val="000000"/>
                <w:sz w:val="16"/>
                <w:szCs w:val="16"/>
              </w:rPr>
            </w:pPr>
            <w:r w:rsidRPr="001B7766">
              <w:rPr>
                <w:rFonts w:ascii="Arial" w:hAnsi="Arial" w:cs="Arial"/>
                <w:color w:val="000000"/>
                <w:sz w:val="16"/>
                <w:szCs w:val="16"/>
              </w:rPr>
              <w:br/>
              <w:t>6 countries (2014)</w:t>
            </w:r>
          </w:p>
          <w:p w14:paraId="4A58A24A" w14:textId="77777777" w:rsidR="00A15C14" w:rsidRDefault="00A15C14" w:rsidP="00511015">
            <w:pPr>
              <w:ind w:firstLineChars="200" w:firstLine="320"/>
              <w:rPr>
                <w:rFonts w:ascii="Arial" w:hAnsi="Arial" w:cs="Arial"/>
                <w:color w:val="000000"/>
                <w:sz w:val="16"/>
                <w:szCs w:val="16"/>
              </w:rPr>
            </w:pPr>
          </w:p>
          <w:p w14:paraId="4556C9D3" w14:textId="77777777" w:rsidR="00A15C14" w:rsidRDefault="00A15C14" w:rsidP="00511015">
            <w:pPr>
              <w:ind w:firstLineChars="200" w:firstLine="320"/>
              <w:rPr>
                <w:rFonts w:ascii="Arial" w:hAnsi="Arial" w:cs="Arial"/>
                <w:color w:val="000000"/>
                <w:sz w:val="16"/>
                <w:szCs w:val="16"/>
              </w:rPr>
            </w:pPr>
          </w:p>
          <w:p w14:paraId="2D896E6F" w14:textId="77777777" w:rsidR="00A15C14" w:rsidRDefault="00A15C14" w:rsidP="00511015">
            <w:pPr>
              <w:ind w:firstLineChars="200" w:firstLine="320"/>
              <w:rPr>
                <w:rFonts w:ascii="Arial" w:hAnsi="Arial" w:cs="Arial"/>
                <w:color w:val="000000"/>
                <w:sz w:val="16"/>
                <w:szCs w:val="16"/>
              </w:rPr>
            </w:pPr>
          </w:p>
          <w:p w14:paraId="01960234" w14:textId="4B61CA81" w:rsidR="00A15C14" w:rsidRPr="001B7766" w:rsidRDefault="00A15C14" w:rsidP="00FB68E0">
            <w:pPr>
              <w:rPr>
                <w:rFonts w:ascii="Arial" w:hAnsi="Arial" w:cs="Arial"/>
                <w:color w:val="000000"/>
                <w:sz w:val="16"/>
                <w:szCs w:val="16"/>
              </w:rPr>
            </w:pPr>
            <w:r>
              <w:rPr>
                <w:rFonts w:ascii="Arial" w:hAnsi="Arial" w:cs="Arial"/>
                <w:color w:val="000000"/>
                <w:sz w:val="16"/>
                <w:szCs w:val="16"/>
              </w:rPr>
              <w:t>n/a</w:t>
            </w:r>
          </w:p>
        </w:tc>
        <w:tc>
          <w:tcPr>
            <w:tcW w:w="2160" w:type="dxa"/>
            <w:tcBorders>
              <w:top w:val="nil"/>
              <w:left w:val="nil"/>
              <w:bottom w:val="nil"/>
              <w:right w:val="single" w:sz="4" w:space="0" w:color="auto"/>
            </w:tcBorders>
            <w:shd w:val="clear" w:color="000000" w:fill="FFFFFF"/>
            <w:tcMar>
              <w:top w:w="85" w:type="dxa"/>
            </w:tcMar>
            <w:hideMark/>
          </w:tcPr>
          <w:p w14:paraId="01A29534" w14:textId="77777777" w:rsidR="0036187D" w:rsidRDefault="0036187D" w:rsidP="00511015">
            <w:pPr>
              <w:ind w:firstLineChars="200" w:firstLine="320"/>
              <w:rPr>
                <w:rFonts w:ascii="Arial" w:hAnsi="Arial" w:cs="Arial"/>
                <w:color w:val="000000"/>
                <w:sz w:val="16"/>
                <w:szCs w:val="16"/>
              </w:rPr>
            </w:pPr>
            <w:r w:rsidRPr="001B7766">
              <w:rPr>
                <w:rFonts w:ascii="Arial" w:hAnsi="Arial" w:cs="Arial"/>
                <w:color w:val="000000"/>
                <w:sz w:val="16"/>
                <w:szCs w:val="16"/>
              </w:rPr>
              <w:br/>
              <w:t xml:space="preserve">6 additional countries </w:t>
            </w:r>
            <w:r w:rsidRPr="001B7766">
              <w:rPr>
                <w:rFonts w:ascii="Arial" w:hAnsi="Arial" w:cs="Arial"/>
                <w:color w:val="000000"/>
                <w:sz w:val="16"/>
                <w:szCs w:val="16"/>
              </w:rPr>
              <w:br/>
            </w:r>
            <w:r w:rsidRPr="001B7766">
              <w:rPr>
                <w:rFonts w:ascii="Arial" w:hAnsi="Arial" w:cs="Arial"/>
                <w:color w:val="000000"/>
                <w:sz w:val="16"/>
                <w:szCs w:val="16"/>
              </w:rPr>
              <w:br/>
            </w:r>
          </w:p>
          <w:p w14:paraId="5542934D" w14:textId="77777777" w:rsidR="00A15C14" w:rsidRDefault="00A15C14" w:rsidP="00511015">
            <w:pPr>
              <w:ind w:firstLineChars="200" w:firstLine="320"/>
              <w:rPr>
                <w:rFonts w:ascii="Arial" w:hAnsi="Arial" w:cs="Arial"/>
                <w:color w:val="000000"/>
                <w:sz w:val="16"/>
                <w:szCs w:val="16"/>
              </w:rPr>
            </w:pPr>
          </w:p>
          <w:p w14:paraId="72DF3E0F" w14:textId="7619DFA4" w:rsidR="00A15C14" w:rsidRPr="001B7766" w:rsidRDefault="00A15C14" w:rsidP="00FB68E0">
            <w:pPr>
              <w:rPr>
                <w:rFonts w:ascii="Arial" w:hAnsi="Arial" w:cs="Arial"/>
                <w:color w:val="000000"/>
                <w:sz w:val="16"/>
                <w:szCs w:val="16"/>
              </w:rPr>
            </w:pPr>
            <w:r>
              <w:rPr>
                <w:rFonts w:ascii="Arial" w:hAnsi="Arial" w:cs="Arial"/>
                <w:color w:val="000000"/>
                <w:sz w:val="16"/>
                <w:szCs w:val="16"/>
              </w:rPr>
              <w:t>4 additional countries</w:t>
            </w:r>
          </w:p>
        </w:tc>
      </w:tr>
      <w:tr w:rsidR="0036187D" w:rsidRPr="001B7766" w14:paraId="642FCB0E" w14:textId="77777777" w:rsidTr="00FB68E0">
        <w:trPr>
          <w:trHeight w:val="1975"/>
        </w:trPr>
        <w:tc>
          <w:tcPr>
            <w:tcW w:w="2200" w:type="dxa"/>
            <w:tcBorders>
              <w:top w:val="nil"/>
              <w:left w:val="single" w:sz="4" w:space="0" w:color="auto"/>
              <w:right w:val="nil"/>
            </w:tcBorders>
            <w:shd w:val="clear" w:color="000000" w:fill="FFFFFF"/>
            <w:tcMar>
              <w:top w:w="85" w:type="dxa"/>
            </w:tcMar>
            <w:hideMark/>
          </w:tcPr>
          <w:p w14:paraId="74BEAFE8" w14:textId="77777777" w:rsidR="0036187D" w:rsidRPr="001B7766" w:rsidRDefault="0036187D" w:rsidP="00511015">
            <w:pPr>
              <w:rPr>
                <w:rFonts w:ascii="Arial" w:hAnsi="Arial" w:cs="Arial"/>
                <w:color w:val="000000"/>
                <w:sz w:val="16"/>
                <w:szCs w:val="16"/>
              </w:rPr>
            </w:pPr>
            <w:r w:rsidRPr="001B7766">
              <w:rPr>
                <w:rFonts w:ascii="Arial" w:hAnsi="Arial" w:cs="Arial"/>
                <w:color w:val="000000"/>
                <w:sz w:val="16"/>
                <w:szCs w:val="16"/>
              </w:rPr>
              <w:t>II.1 Wider and more effective use of the PCT system for filing international patent applications</w:t>
            </w:r>
          </w:p>
        </w:tc>
        <w:tc>
          <w:tcPr>
            <w:tcW w:w="2420" w:type="dxa"/>
            <w:tcBorders>
              <w:top w:val="nil"/>
              <w:left w:val="nil"/>
              <w:right w:val="nil"/>
            </w:tcBorders>
            <w:shd w:val="clear" w:color="000000" w:fill="FFFFFF"/>
            <w:tcMar>
              <w:top w:w="85" w:type="dxa"/>
            </w:tcMar>
            <w:hideMark/>
          </w:tcPr>
          <w:p w14:paraId="111DA898" w14:textId="259316D6" w:rsidR="0036187D" w:rsidRPr="001B7766" w:rsidRDefault="0036187D" w:rsidP="00A15C14">
            <w:pPr>
              <w:rPr>
                <w:rFonts w:ascii="Arial" w:hAnsi="Arial" w:cs="Arial"/>
                <w:color w:val="000000"/>
                <w:sz w:val="16"/>
                <w:szCs w:val="16"/>
              </w:rPr>
            </w:pPr>
            <w:r w:rsidRPr="001B7766">
              <w:rPr>
                <w:rFonts w:ascii="Arial" w:hAnsi="Arial" w:cs="Arial"/>
                <w:color w:val="000000"/>
                <w:sz w:val="16"/>
                <w:szCs w:val="16"/>
              </w:rPr>
              <w:t>No. of PCT applications originating from transition and developed countries.</w:t>
            </w:r>
            <w:r w:rsidRPr="001B7766">
              <w:rPr>
                <w:rFonts w:ascii="Arial" w:hAnsi="Arial" w:cs="Arial"/>
                <w:color w:val="000000"/>
                <w:sz w:val="16"/>
                <w:szCs w:val="16"/>
              </w:rPr>
              <w:br/>
            </w:r>
            <w:r w:rsidRPr="001B7766">
              <w:rPr>
                <w:rFonts w:ascii="Arial" w:hAnsi="Arial" w:cs="Arial"/>
                <w:color w:val="000000"/>
                <w:sz w:val="16"/>
                <w:szCs w:val="16"/>
              </w:rPr>
              <w:br/>
            </w:r>
            <w:r w:rsidR="00A15C14">
              <w:rPr>
                <w:rFonts w:ascii="Arial" w:hAnsi="Arial" w:cs="Arial"/>
                <w:color w:val="000000"/>
                <w:sz w:val="16"/>
                <w:szCs w:val="16"/>
              </w:rPr>
              <w:t>%</w:t>
            </w:r>
            <w:r w:rsidRPr="001B7766">
              <w:rPr>
                <w:rFonts w:ascii="Arial" w:hAnsi="Arial" w:cs="Arial"/>
                <w:color w:val="000000"/>
                <w:sz w:val="16"/>
                <w:szCs w:val="16"/>
              </w:rPr>
              <w:t xml:space="preserve"> of survey respondents showing increased use of WIPO services within 6 months of attending Roving Seminars on WIPO Services and Initiatives</w:t>
            </w:r>
          </w:p>
        </w:tc>
        <w:tc>
          <w:tcPr>
            <w:tcW w:w="2325" w:type="dxa"/>
            <w:tcBorders>
              <w:top w:val="nil"/>
              <w:left w:val="nil"/>
              <w:right w:val="nil"/>
            </w:tcBorders>
            <w:shd w:val="clear" w:color="000000" w:fill="FFFFFF"/>
            <w:tcMar>
              <w:top w:w="85" w:type="dxa"/>
            </w:tcMar>
            <w:hideMark/>
          </w:tcPr>
          <w:p w14:paraId="6ABF3E15" w14:textId="40677D27" w:rsidR="0036187D" w:rsidRPr="001B7766" w:rsidRDefault="0036187D" w:rsidP="00511015">
            <w:pPr>
              <w:rPr>
                <w:rFonts w:ascii="Arial" w:hAnsi="Arial" w:cs="Arial"/>
                <w:sz w:val="16"/>
                <w:szCs w:val="16"/>
                <w:lang w:bidi="th-TH"/>
              </w:rPr>
            </w:pPr>
            <w:r w:rsidRPr="001B7766">
              <w:rPr>
                <w:rFonts w:ascii="Arial" w:hAnsi="Arial" w:cs="Arial"/>
                <w:sz w:val="16"/>
                <w:szCs w:val="16"/>
                <w:lang w:bidi="th-TH"/>
              </w:rPr>
              <w:t xml:space="preserve">170,317 </w:t>
            </w:r>
            <w:r w:rsidR="000A401E">
              <w:rPr>
                <w:rFonts w:ascii="Arial" w:hAnsi="Arial" w:cs="Arial"/>
                <w:sz w:val="16"/>
                <w:szCs w:val="16"/>
                <w:lang w:bidi="th-TH"/>
              </w:rPr>
              <w:t>(2014)</w:t>
            </w:r>
          </w:p>
          <w:p w14:paraId="6FBE7A1E" w14:textId="77777777" w:rsidR="00A15C14" w:rsidRDefault="00A15C14" w:rsidP="00A15C14">
            <w:pPr>
              <w:rPr>
                <w:rFonts w:ascii="Arial" w:hAnsi="Arial" w:cs="Arial"/>
                <w:sz w:val="16"/>
                <w:szCs w:val="16"/>
                <w:lang w:bidi="th-TH"/>
              </w:rPr>
            </w:pPr>
          </w:p>
          <w:p w14:paraId="795FBA8B" w14:textId="77777777" w:rsidR="00A15C14" w:rsidRDefault="00A15C14" w:rsidP="00A15C14">
            <w:pPr>
              <w:rPr>
                <w:rFonts w:ascii="Arial" w:hAnsi="Arial" w:cs="Arial"/>
                <w:sz w:val="16"/>
                <w:szCs w:val="16"/>
                <w:lang w:bidi="th-TH"/>
              </w:rPr>
            </w:pPr>
          </w:p>
          <w:p w14:paraId="3BB4310E" w14:textId="77777777" w:rsidR="00653890" w:rsidRDefault="00653890" w:rsidP="00A15C14">
            <w:pPr>
              <w:rPr>
                <w:rFonts w:ascii="Arial" w:hAnsi="Arial" w:cs="Arial"/>
                <w:sz w:val="16"/>
                <w:szCs w:val="16"/>
                <w:lang w:bidi="th-TH"/>
              </w:rPr>
            </w:pPr>
          </w:p>
          <w:p w14:paraId="45BD8C70" w14:textId="5D39074D" w:rsidR="0036187D" w:rsidRPr="001B7766" w:rsidRDefault="00A15C14" w:rsidP="00A15C14">
            <w:pPr>
              <w:rPr>
                <w:rFonts w:ascii="Arial" w:hAnsi="Arial" w:cs="Arial"/>
                <w:color w:val="000000"/>
                <w:sz w:val="16"/>
                <w:szCs w:val="16"/>
              </w:rPr>
            </w:pPr>
            <w:r>
              <w:rPr>
                <w:rFonts w:ascii="Arial" w:hAnsi="Arial" w:cs="Arial"/>
                <w:sz w:val="16"/>
                <w:szCs w:val="16"/>
                <w:lang w:bidi="th-TH"/>
              </w:rPr>
              <w:t>18%</w:t>
            </w:r>
          </w:p>
        </w:tc>
        <w:tc>
          <w:tcPr>
            <w:tcW w:w="2160" w:type="dxa"/>
            <w:tcBorders>
              <w:top w:val="nil"/>
              <w:left w:val="nil"/>
              <w:right w:val="single" w:sz="4" w:space="0" w:color="auto"/>
            </w:tcBorders>
            <w:shd w:val="clear" w:color="000000" w:fill="FFFFFF"/>
            <w:tcMar>
              <w:top w:w="85" w:type="dxa"/>
            </w:tcMar>
            <w:hideMark/>
          </w:tcPr>
          <w:p w14:paraId="212191EA" w14:textId="70E58248" w:rsidR="00A15C14" w:rsidRDefault="0036187D" w:rsidP="00FB68E0">
            <w:pPr>
              <w:rPr>
                <w:rFonts w:ascii="Arial" w:hAnsi="Arial" w:cs="Arial"/>
                <w:color w:val="000000"/>
                <w:sz w:val="16"/>
                <w:szCs w:val="16"/>
              </w:rPr>
            </w:pPr>
            <w:r w:rsidRPr="001B7766">
              <w:rPr>
                <w:rFonts w:ascii="Arial" w:hAnsi="Arial" w:cs="Arial"/>
                <w:color w:val="000000"/>
                <w:sz w:val="16"/>
                <w:szCs w:val="16"/>
              </w:rPr>
              <w:t>1.5% increase</w:t>
            </w:r>
            <w:r w:rsidR="00954EE5">
              <w:rPr>
                <w:rFonts w:ascii="Arial" w:hAnsi="Arial" w:cs="Arial"/>
                <w:color w:val="000000"/>
                <w:sz w:val="16"/>
                <w:szCs w:val="16"/>
              </w:rPr>
              <w:t xml:space="preserve"> (annual)</w:t>
            </w:r>
            <w:r w:rsidRPr="001B7766">
              <w:rPr>
                <w:rFonts w:ascii="Arial" w:hAnsi="Arial" w:cs="Arial"/>
                <w:color w:val="000000"/>
                <w:sz w:val="16"/>
                <w:szCs w:val="16"/>
              </w:rPr>
              <w:br/>
            </w:r>
          </w:p>
          <w:p w14:paraId="0F18BB48" w14:textId="77777777" w:rsidR="00A15C14" w:rsidRDefault="00A15C14" w:rsidP="00FB68E0">
            <w:pPr>
              <w:rPr>
                <w:rFonts w:ascii="Arial" w:hAnsi="Arial" w:cs="Arial"/>
                <w:color w:val="000000"/>
                <w:sz w:val="16"/>
                <w:szCs w:val="16"/>
              </w:rPr>
            </w:pPr>
          </w:p>
          <w:p w14:paraId="17C7B9CE" w14:textId="5A10E2E4" w:rsidR="0036187D" w:rsidRPr="001B7766" w:rsidRDefault="0036187D" w:rsidP="00FB68E0">
            <w:pPr>
              <w:rPr>
                <w:rFonts w:ascii="Arial" w:hAnsi="Arial" w:cs="Arial"/>
                <w:color w:val="000000"/>
                <w:sz w:val="16"/>
                <w:szCs w:val="16"/>
              </w:rPr>
            </w:pPr>
            <w:r w:rsidRPr="001B7766">
              <w:rPr>
                <w:rFonts w:ascii="Arial" w:hAnsi="Arial" w:cs="Arial"/>
                <w:color w:val="000000"/>
                <w:sz w:val="16"/>
                <w:szCs w:val="16"/>
              </w:rPr>
              <w:br/>
            </w:r>
            <w:r w:rsidR="000A401E">
              <w:rPr>
                <w:rFonts w:ascii="Arial" w:hAnsi="Arial" w:cs="Arial"/>
                <w:color w:val="000000"/>
                <w:sz w:val="16"/>
                <w:szCs w:val="16"/>
              </w:rPr>
              <w:t>20%</w:t>
            </w:r>
            <w:r w:rsidRPr="001B7766">
              <w:rPr>
                <w:rFonts w:ascii="Arial" w:hAnsi="Arial" w:cs="Arial"/>
                <w:color w:val="000000"/>
                <w:sz w:val="16"/>
                <w:szCs w:val="16"/>
              </w:rPr>
              <w:t xml:space="preserve"> of survey respondents showing increased use of WIPO services.</w:t>
            </w:r>
          </w:p>
        </w:tc>
      </w:tr>
      <w:tr w:rsidR="0036187D" w:rsidRPr="0036187D" w14:paraId="139912F2" w14:textId="77777777" w:rsidTr="00FB68E0">
        <w:trPr>
          <w:trHeight w:val="986"/>
        </w:trPr>
        <w:tc>
          <w:tcPr>
            <w:tcW w:w="2200" w:type="dxa"/>
            <w:tcBorders>
              <w:top w:val="nil"/>
              <w:left w:val="single" w:sz="4" w:space="0" w:color="auto"/>
              <w:right w:val="nil"/>
            </w:tcBorders>
            <w:shd w:val="clear" w:color="000000" w:fill="FFFFFF"/>
            <w:tcMar>
              <w:top w:w="85" w:type="dxa"/>
            </w:tcMar>
            <w:hideMark/>
          </w:tcPr>
          <w:p w14:paraId="188DD345"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II.4 Wider and more effective use of the Hague system, including by developing countries and LDCs</w:t>
            </w:r>
          </w:p>
        </w:tc>
        <w:tc>
          <w:tcPr>
            <w:tcW w:w="2420" w:type="dxa"/>
            <w:tcBorders>
              <w:top w:val="nil"/>
              <w:left w:val="nil"/>
              <w:right w:val="nil"/>
            </w:tcBorders>
            <w:shd w:val="clear" w:color="000000" w:fill="FFFFFF"/>
            <w:tcMar>
              <w:top w:w="85" w:type="dxa"/>
            </w:tcMar>
            <w:hideMark/>
          </w:tcPr>
          <w:p w14:paraId="13EEC939"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Hague applications originating from transition and developed countries</w:t>
            </w:r>
          </w:p>
        </w:tc>
        <w:tc>
          <w:tcPr>
            <w:tcW w:w="2325" w:type="dxa"/>
            <w:tcBorders>
              <w:top w:val="nil"/>
              <w:left w:val="nil"/>
              <w:right w:val="nil"/>
            </w:tcBorders>
            <w:shd w:val="clear" w:color="000000" w:fill="FFFFFF"/>
            <w:tcMar>
              <w:top w:w="85" w:type="dxa"/>
            </w:tcMar>
            <w:hideMark/>
          </w:tcPr>
          <w:p w14:paraId="01F14777" w14:textId="618B72B8" w:rsidR="0036187D" w:rsidRPr="0036187D" w:rsidRDefault="0036187D" w:rsidP="00511015">
            <w:pPr>
              <w:rPr>
                <w:rFonts w:ascii="Arial" w:hAnsi="Arial" w:cs="Arial"/>
                <w:sz w:val="16"/>
                <w:szCs w:val="16"/>
                <w:lang w:bidi="th-TH"/>
              </w:rPr>
            </w:pPr>
            <w:r w:rsidRPr="0036187D">
              <w:rPr>
                <w:rFonts w:ascii="Arial" w:hAnsi="Arial" w:cs="Arial"/>
                <w:sz w:val="16"/>
                <w:szCs w:val="16"/>
                <w:lang w:bidi="th-TH"/>
              </w:rPr>
              <w:t>2,7</w:t>
            </w:r>
            <w:r w:rsidR="000A401E">
              <w:rPr>
                <w:rFonts w:ascii="Arial" w:hAnsi="Arial" w:cs="Arial"/>
                <w:sz w:val="16"/>
                <w:szCs w:val="16"/>
                <w:lang w:bidi="th-TH"/>
              </w:rPr>
              <w:t>76 (2014)</w:t>
            </w:r>
          </w:p>
          <w:p w14:paraId="204F4B64" w14:textId="3DBCDFAD" w:rsidR="0036187D" w:rsidRPr="0036187D" w:rsidRDefault="0036187D" w:rsidP="00511015">
            <w:pPr>
              <w:rPr>
                <w:rFonts w:ascii="Arial" w:hAnsi="Arial" w:cs="Arial"/>
                <w:sz w:val="16"/>
                <w:szCs w:val="16"/>
                <w:lang w:bidi="th-TH"/>
              </w:rPr>
            </w:pPr>
          </w:p>
          <w:p w14:paraId="1D0C06C9" w14:textId="77777777" w:rsidR="0036187D" w:rsidRPr="0036187D" w:rsidRDefault="0036187D" w:rsidP="00511015">
            <w:pPr>
              <w:rPr>
                <w:rFonts w:ascii="Arial" w:hAnsi="Arial" w:cs="Arial"/>
                <w:color w:val="000000"/>
                <w:sz w:val="16"/>
                <w:szCs w:val="16"/>
              </w:rPr>
            </w:pPr>
          </w:p>
        </w:tc>
        <w:tc>
          <w:tcPr>
            <w:tcW w:w="2160" w:type="dxa"/>
            <w:tcBorders>
              <w:top w:val="nil"/>
              <w:left w:val="nil"/>
              <w:right w:val="single" w:sz="4" w:space="0" w:color="auto"/>
            </w:tcBorders>
            <w:shd w:val="clear" w:color="000000" w:fill="FFFFFF"/>
            <w:tcMar>
              <w:top w:w="85" w:type="dxa"/>
            </w:tcMar>
            <w:hideMark/>
          </w:tcPr>
          <w:p w14:paraId="00A9F7EE" w14:textId="2FC3EC28" w:rsidR="0036187D" w:rsidRPr="0036187D" w:rsidRDefault="0036187D" w:rsidP="000A401E">
            <w:pPr>
              <w:rPr>
                <w:rFonts w:ascii="Arial" w:hAnsi="Arial" w:cs="Arial"/>
                <w:color w:val="000000"/>
                <w:sz w:val="16"/>
                <w:szCs w:val="16"/>
              </w:rPr>
            </w:pPr>
            <w:r w:rsidRPr="0036187D">
              <w:rPr>
                <w:rFonts w:ascii="Arial" w:hAnsi="Arial" w:cs="Arial"/>
                <w:color w:val="000000"/>
                <w:sz w:val="16"/>
                <w:szCs w:val="16"/>
              </w:rPr>
              <w:t>1.5% increase</w:t>
            </w:r>
            <w:r w:rsidR="00954EE5">
              <w:rPr>
                <w:rFonts w:ascii="Arial" w:hAnsi="Arial" w:cs="Arial"/>
                <w:color w:val="000000"/>
                <w:sz w:val="16"/>
                <w:szCs w:val="16"/>
              </w:rPr>
              <w:t xml:space="preserve"> (annual)</w:t>
            </w:r>
            <w:r w:rsidRPr="0036187D">
              <w:rPr>
                <w:rFonts w:ascii="Arial" w:hAnsi="Arial" w:cs="Arial"/>
                <w:color w:val="000000"/>
                <w:sz w:val="16"/>
                <w:szCs w:val="16"/>
              </w:rPr>
              <w:br/>
            </w:r>
            <w:r w:rsidRPr="0036187D">
              <w:rPr>
                <w:rFonts w:ascii="Arial" w:hAnsi="Arial" w:cs="Arial"/>
                <w:color w:val="000000"/>
                <w:sz w:val="16"/>
                <w:szCs w:val="16"/>
              </w:rPr>
              <w:br/>
            </w:r>
            <w:r w:rsidRPr="0036187D">
              <w:rPr>
                <w:rFonts w:ascii="Arial" w:hAnsi="Arial" w:cs="Arial"/>
                <w:color w:val="000000"/>
                <w:sz w:val="16"/>
                <w:szCs w:val="16"/>
              </w:rPr>
              <w:br/>
            </w:r>
          </w:p>
        </w:tc>
      </w:tr>
      <w:tr w:rsidR="0036187D" w:rsidRPr="0036187D" w14:paraId="08A46E9F" w14:textId="77777777" w:rsidTr="00FB68E0">
        <w:trPr>
          <w:trHeight w:val="2197"/>
        </w:trPr>
        <w:tc>
          <w:tcPr>
            <w:tcW w:w="2200" w:type="dxa"/>
            <w:tcBorders>
              <w:left w:val="single" w:sz="4" w:space="0" w:color="auto"/>
              <w:right w:val="nil"/>
            </w:tcBorders>
            <w:shd w:val="clear" w:color="000000" w:fill="FFFFFF"/>
            <w:tcMar>
              <w:top w:w="85" w:type="dxa"/>
            </w:tcMar>
            <w:hideMark/>
          </w:tcPr>
          <w:p w14:paraId="50FCE8AA" w14:textId="77777777" w:rsidR="00D55DBD" w:rsidRDefault="00D55DBD" w:rsidP="00511015">
            <w:pPr>
              <w:rPr>
                <w:rFonts w:ascii="Arial" w:hAnsi="Arial" w:cs="Arial"/>
                <w:color w:val="000000"/>
                <w:sz w:val="16"/>
                <w:szCs w:val="16"/>
              </w:rPr>
            </w:pPr>
          </w:p>
          <w:p w14:paraId="72788B34"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II.6 Wider and more effective use of the Madrid &amp; Lisbon systems, including by developing countries and LDCs</w:t>
            </w:r>
          </w:p>
        </w:tc>
        <w:tc>
          <w:tcPr>
            <w:tcW w:w="2420" w:type="dxa"/>
            <w:tcBorders>
              <w:left w:val="nil"/>
              <w:right w:val="nil"/>
            </w:tcBorders>
            <w:shd w:val="clear" w:color="000000" w:fill="FFFFFF"/>
            <w:tcMar>
              <w:top w:w="85" w:type="dxa"/>
            </w:tcMar>
            <w:hideMark/>
          </w:tcPr>
          <w:p w14:paraId="117698E7" w14:textId="77777777" w:rsidR="00D55DBD" w:rsidRDefault="00D55DBD" w:rsidP="00511015">
            <w:pPr>
              <w:rPr>
                <w:rFonts w:ascii="Arial" w:hAnsi="Arial" w:cs="Arial"/>
                <w:color w:val="000000"/>
                <w:sz w:val="16"/>
                <w:szCs w:val="16"/>
              </w:rPr>
            </w:pPr>
          </w:p>
          <w:p w14:paraId="15814590"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Madrid System applications originating from transition and developed countries</w:t>
            </w:r>
            <w:r w:rsidRPr="0036187D">
              <w:rPr>
                <w:rFonts w:ascii="Arial" w:hAnsi="Arial" w:cs="Arial"/>
                <w:color w:val="000000"/>
                <w:sz w:val="16"/>
                <w:szCs w:val="16"/>
              </w:rPr>
              <w:br/>
            </w:r>
            <w:r w:rsidRPr="0036187D">
              <w:rPr>
                <w:rFonts w:ascii="Arial" w:hAnsi="Arial" w:cs="Arial"/>
                <w:color w:val="000000"/>
                <w:sz w:val="16"/>
                <w:szCs w:val="16"/>
              </w:rPr>
              <w:br/>
            </w:r>
          </w:p>
          <w:p w14:paraId="1B56642E"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Lisbon system international registrations for transition and developed countries in force</w:t>
            </w:r>
          </w:p>
        </w:tc>
        <w:tc>
          <w:tcPr>
            <w:tcW w:w="2325" w:type="dxa"/>
            <w:tcBorders>
              <w:left w:val="nil"/>
              <w:right w:val="nil"/>
            </w:tcBorders>
            <w:shd w:val="clear" w:color="000000" w:fill="FFFFFF"/>
            <w:tcMar>
              <w:top w:w="85" w:type="dxa"/>
            </w:tcMar>
            <w:hideMark/>
          </w:tcPr>
          <w:p w14:paraId="21FAD6BA" w14:textId="77777777" w:rsidR="00D55DBD" w:rsidRDefault="00D55DBD" w:rsidP="00511015">
            <w:pPr>
              <w:rPr>
                <w:rFonts w:ascii="Arial" w:hAnsi="Arial" w:cs="Arial"/>
                <w:sz w:val="16"/>
                <w:szCs w:val="16"/>
                <w:lang w:bidi="th-TH"/>
              </w:rPr>
            </w:pPr>
          </w:p>
          <w:p w14:paraId="5C4DFB65" w14:textId="32A4F0DA" w:rsidR="0036187D" w:rsidRPr="0036187D" w:rsidRDefault="000A401E" w:rsidP="00511015">
            <w:pPr>
              <w:rPr>
                <w:rFonts w:ascii="Arial" w:hAnsi="Arial" w:cs="Arial"/>
                <w:sz w:val="16"/>
                <w:szCs w:val="16"/>
                <w:lang w:bidi="th-TH"/>
              </w:rPr>
            </w:pPr>
            <w:r w:rsidRPr="0036187D">
              <w:rPr>
                <w:rFonts w:ascii="Arial" w:hAnsi="Arial" w:cs="Arial"/>
                <w:sz w:val="16"/>
                <w:szCs w:val="16"/>
                <w:lang w:bidi="th-TH"/>
              </w:rPr>
              <w:t>4</w:t>
            </w:r>
            <w:r>
              <w:rPr>
                <w:rFonts w:ascii="Arial" w:hAnsi="Arial" w:cs="Arial"/>
                <w:sz w:val="16"/>
                <w:szCs w:val="16"/>
                <w:lang w:bidi="th-TH"/>
              </w:rPr>
              <w:t>3</w:t>
            </w:r>
            <w:r w:rsidR="0036187D" w:rsidRPr="0036187D">
              <w:rPr>
                <w:rFonts w:ascii="Arial" w:hAnsi="Arial" w:cs="Arial"/>
                <w:sz w:val="16"/>
                <w:szCs w:val="16"/>
                <w:lang w:bidi="th-TH"/>
              </w:rPr>
              <w:t>,</w:t>
            </w:r>
            <w:r>
              <w:rPr>
                <w:rFonts w:ascii="Arial" w:hAnsi="Arial" w:cs="Arial"/>
                <w:sz w:val="16"/>
                <w:szCs w:val="16"/>
                <w:lang w:bidi="th-TH"/>
              </w:rPr>
              <w:t>748</w:t>
            </w:r>
            <w:r w:rsidRPr="0036187D">
              <w:rPr>
                <w:rFonts w:ascii="Arial" w:hAnsi="Arial" w:cs="Arial"/>
                <w:sz w:val="16"/>
                <w:szCs w:val="16"/>
                <w:lang w:bidi="th-TH"/>
              </w:rPr>
              <w:t xml:space="preserve"> </w:t>
            </w:r>
            <w:r w:rsidR="0036187D" w:rsidRPr="0036187D">
              <w:rPr>
                <w:rFonts w:ascii="Arial" w:hAnsi="Arial" w:cs="Arial"/>
                <w:sz w:val="16"/>
                <w:szCs w:val="16"/>
                <w:lang w:bidi="th-TH"/>
              </w:rPr>
              <w:t>(2014</w:t>
            </w:r>
            <w:r>
              <w:rPr>
                <w:rFonts w:ascii="Arial" w:hAnsi="Arial" w:cs="Arial"/>
                <w:sz w:val="16"/>
                <w:szCs w:val="16"/>
                <w:lang w:bidi="th-TH"/>
              </w:rPr>
              <w:t xml:space="preserve"> estimate</w:t>
            </w:r>
            <w:r w:rsidR="0036187D" w:rsidRPr="0036187D">
              <w:rPr>
                <w:rFonts w:ascii="Arial" w:hAnsi="Arial" w:cs="Arial"/>
                <w:sz w:val="16"/>
                <w:szCs w:val="16"/>
                <w:lang w:bidi="th-TH"/>
              </w:rPr>
              <w:t>):</w:t>
            </w:r>
          </w:p>
          <w:p w14:paraId="7008665D" w14:textId="53C9BA2B" w:rsidR="0036187D" w:rsidRDefault="0036187D" w:rsidP="00511015">
            <w:pPr>
              <w:rPr>
                <w:rFonts w:ascii="Arial" w:hAnsi="Arial" w:cs="Arial"/>
                <w:sz w:val="16"/>
                <w:szCs w:val="16"/>
                <w:lang w:bidi="th-TH"/>
              </w:rPr>
            </w:pPr>
          </w:p>
          <w:p w14:paraId="42E119D6" w14:textId="77777777" w:rsidR="000A401E" w:rsidRDefault="000A401E" w:rsidP="00511015">
            <w:pPr>
              <w:rPr>
                <w:rFonts w:ascii="Arial" w:hAnsi="Arial" w:cs="Arial"/>
                <w:sz w:val="16"/>
                <w:szCs w:val="16"/>
                <w:lang w:bidi="th-TH"/>
              </w:rPr>
            </w:pPr>
          </w:p>
          <w:p w14:paraId="50A8EFDF" w14:textId="77777777" w:rsidR="000A401E" w:rsidRDefault="000A401E" w:rsidP="00511015">
            <w:pPr>
              <w:rPr>
                <w:rFonts w:ascii="Arial" w:hAnsi="Arial" w:cs="Arial"/>
                <w:sz w:val="16"/>
                <w:szCs w:val="16"/>
                <w:lang w:bidi="th-TH"/>
              </w:rPr>
            </w:pPr>
          </w:p>
          <w:p w14:paraId="7C0722A3" w14:textId="77777777" w:rsidR="000A401E" w:rsidRPr="0036187D" w:rsidRDefault="000A401E" w:rsidP="00511015">
            <w:pPr>
              <w:rPr>
                <w:rFonts w:ascii="Arial" w:hAnsi="Arial" w:cs="Arial"/>
                <w:sz w:val="16"/>
                <w:szCs w:val="16"/>
                <w:lang w:bidi="th-TH"/>
              </w:rPr>
            </w:pPr>
          </w:p>
          <w:p w14:paraId="0D4BF1B4" w14:textId="77777777" w:rsidR="0036187D" w:rsidRPr="0036187D" w:rsidRDefault="0036187D" w:rsidP="00511015">
            <w:pPr>
              <w:rPr>
                <w:rFonts w:ascii="Arial" w:hAnsi="Arial" w:cs="Arial"/>
                <w:sz w:val="16"/>
                <w:szCs w:val="16"/>
              </w:rPr>
            </w:pPr>
          </w:p>
          <w:p w14:paraId="358439DE" w14:textId="25570372" w:rsidR="0036187D" w:rsidRPr="0036187D" w:rsidRDefault="00F47745" w:rsidP="00511015">
            <w:pPr>
              <w:rPr>
                <w:rFonts w:ascii="Arial" w:hAnsi="Arial" w:cs="Arial"/>
                <w:sz w:val="16"/>
                <w:szCs w:val="16"/>
              </w:rPr>
            </w:pPr>
            <w:r>
              <w:rPr>
                <w:rFonts w:ascii="Arial" w:hAnsi="Arial" w:cs="Arial"/>
                <w:sz w:val="16"/>
                <w:szCs w:val="16"/>
              </w:rPr>
              <w:t xml:space="preserve">818 out of 896 </w:t>
            </w:r>
            <w:r w:rsidR="000A401E">
              <w:rPr>
                <w:rFonts w:ascii="Arial" w:hAnsi="Arial" w:cs="Arial"/>
                <w:sz w:val="16"/>
                <w:szCs w:val="16"/>
              </w:rPr>
              <w:t>registrations in force</w:t>
            </w:r>
            <w:r w:rsidR="0036187D" w:rsidRPr="0036187D">
              <w:rPr>
                <w:rFonts w:ascii="Arial" w:hAnsi="Arial" w:cs="Arial"/>
                <w:sz w:val="16"/>
                <w:szCs w:val="16"/>
              </w:rPr>
              <w:t xml:space="preserve"> (2014)</w:t>
            </w:r>
          </w:p>
          <w:p w14:paraId="7C00E22D" w14:textId="687A2F74" w:rsidR="0036187D" w:rsidRPr="0036187D" w:rsidRDefault="0036187D" w:rsidP="000A401E">
            <w:pPr>
              <w:rPr>
                <w:rFonts w:ascii="Arial" w:hAnsi="Arial" w:cs="Arial"/>
                <w:sz w:val="16"/>
                <w:szCs w:val="16"/>
              </w:rPr>
            </w:pPr>
          </w:p>
        </w:tc>
        <w:tc>
          <w:tcPr>
            <w:tcW w:w="2160" w:type="dxa"/>
            <w:tcBorders>
              <w:left w:val="nil"/>
              <w:right w:val="single" w:sz="4" w:space="0" w:color="auto"/>
            </w:tcBorders>
            <w:shd w:val="clear" w:color="000000" w:fill="FFFFFF"/>
            <w:tcMar>
              <w:top w:w="85" w:type="dxa"/>
            </w:tcMar>
            <w:hideMark/>
          </w:tcPr>
          <w:p w14:paraId="2F0C66ED" w14:textId="77777777" w:rsidR="00D55DBD" w:rsidRDefault="00D55DBD" w:rsidP="00511015">
            <w:pPr>
              <w:rPr>
                <w:rFonts w:ascii="Arial" w:hAnsi="Arial" w:cs="Arial"/>
                <w:color w:val="000000"/>
                <w:sz w:val="16"/>
                <w:szCs w:val="16"/>
              </w:rPr>
            </w:pPr>
          </w:p>
          <w:p w14:paraId="36288F87" w14:textId="0A4798DF"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2% increase</w:t>
            </w:r>
            <w:r w:rsidR="00954EE5">
              <w:rPr>
                <w:rFonts w:ascii="Arial" w:hAnsi="Arial" w:cs="Arial"/>
                <w:color w:val="000000"/>
                <w:sz w:val="16"/>
                <w:szCs w:val="16"/>
              </w:rPr>
              <w:t xml:space="preserve"> (annual)</w:t>
            </w:r>
            <w:r w:rsidRPr="0036187D">
              <w:rPr>
                <w:rFonts w:ascii="Arial" w:hAnsi="Arial" w:cs="Arial"/>
                <w:color w:val="000000"/>
                <w:sz w:val="16"/>
                <w:szCs w:val="16"/>
              </w:rPr>
              <w:br/>
            </w:r>
            <w:r w:rsidRPr="0036187D">
              <w:rPr>
                <w:rFonts w:ascii="Arial" w:hAnsi="Arial" w:cs="Arial"/>
                <w:color w:val="000000"/>
                <w:sz w:val="16"/>
                <w:szCs w:val="16"/>
              </w:rPr>
              <w:br/>
            </w:r>
          </w:p>
          <w:p w14:paraId="4FABF76A" w14:textId="77777777" w:rsidR="000A401E" w:rsidRDefault="000A401E" w:rsidP="00511015">
            <w:pPr>
              <w:rPr>
                <w:rFonts w:ascii="Arial" w:hAnsi="Arial" w:cs="Arial"/>
                <w:color w:val="000000"/>
                <w:sz w:val="16"/>
                <w:szCs w:val="16"/>
                <w:highlight w:val="yellow"/>
              </w:rPr>
            </w:pPr>
          </w:p>
          <w:p w14:paraId="133F6E95" w14:textId="77777777" w:rsidR="000A401E" w:rsidRDefault="000A401E" w:rsidP="00511015">
            <w:pPr>
              <w:rPr>
                <w:rFonts w:ascii="Arial" w:hAnsi="Arial" w:cs="Arial"/>
                <w:color w:val="000000"/>
                <w:sz w:val="16"/>
                <w:szCs w:val="16"/>
                <w:highlight w:val="yellow"/>
              </w:rPr>
            </w:pPr>
          </w:p>
          <w:p w14:paraId="03821224" w14:textId="77777777" w:rsidR="000A401E" w:rsidRDefault="000A401E" w:rsidP="00511015">
            <w:pPr>
              <w:rPr>
                <w:rFonts w:ascii="Arial" w:hAnsi="Arial" w:cs="Arial"/>
                <w:color w:val="000000"/>
                <w:sz w:val="16"/>
                <w:szCs w:val="16"/>
                <w:highlight w:val="yellow"/>
              </w:rPr>
            </w:pPr>
          </w:p>
          <w:p w14:paraId="4D170EED" w14:textId="028C0345" w:rsidR="0036187D" w:rsidRPr="0036187D" w:rsidRDefault="000A401E">
            <w:pPr>
              <w:rPr>
                <w:rFonts w:ascii="Arial" w:hAnsi="Arial" w:cs="Arial"/>
                <w:color w:val="000000"/>
                <w:sz w:val="16"/>
                <w:szCs w:val="16"/>
              </w:rPr>
            </w:pPr>
            <w:r w:rsidRPr="0036187D">
              <w:rPr>
                <w:rFonts w:ascii="Arial" w:hAnsi="Arial" w:cs="Arial"/>
                <w:color w:val="000000"/>
                <w:sz w:val="16"/>
                <w:szCs w:val="16"/>
              </w:rPr>
              <w:t>2% increase</w:t>
            </w:r>
            <w:r w:rsidR="00954EE5">
              <w:rPr>
                <w:rFonts w:ascii="Arial" w:hAnsi="Arial" w:cs="Arial"/>
                <w:color w:val="000000"/>
                <w:sz w:val="16"/>
                <w:szCs w:val="16"/>
              </w:rPr>
              <w:t xml:space="preserve"> (biennial)</w:t>
            </w:r>
            <w:r w:rsidRPr="0036187D">
              <w:rPr>
                <w:rFonts w:ascii="Arial" w:hAnsi="Arial" w:cs="Arial"/>
                <w:color w:val="000000"/>
                <w:sz w:val="16"/>
                <w:szCs w:val="16"/>
              </w:rPr>
              <w:br/>
            </w:r>
          </w:p>
        </w:tc>
      </w:tr>
      <w:tr w:rsidR="0036187D" w:rsidRPr="0036187D" w14:paraId="65DEAA6C" w14:textId="77777777" w:rsidTr="008D4CE9">
        <w:trPr>
          <w:trHeight w:val="1607"/>
        </w:trPr>
        <w:tc>
          <w:tcPr>
            <w:tcW w:w="2200" w:type="dxa"/>
            <w:tcBorders>
              <w:left w:val="single" w:sz="4" w:space="0" w:color="auto"/>
              <w:bottom w:val="single" w:sz="4" w:space="0" w:color="auto"/>
              <w:right w:val="nil"/>
            </w:tcBorders>
            <w:shd w:val="clear" w:color="000000" w:fill="FFFFFF"/>
            <w:tcMar>
              <w:top w:w="85" w:type="dxa"/>
            </w:tcMar>
            <w:hideMark/>
          </w:tcPr>
          <w:p w14:paraId="2734790B"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II.8 International and domestic intellectual property disputes are increasingly prevented or resolved through WIPO mediation, arbitration and other alternative dispute resolution methods</w:t>
            </w:r>
          </w:p>
        </w:tc>
        <w:tc>
          <w:tcPr>
            <w:tcW w:w="2420" w:type="dxa"/>
            <w:tcBorders>
              <w:left w:val="nil"/>
              <w:bottom w:val="single" w:sz="4" w:space="0" w:color="auto"/>
              <w:right w:val="nil"/>
            </w:tcBorders>
            <w:shd w:val="clear" w:color="000000" w:fill="FFFFFF"/>
            <w:tcMar>
              <w:top w:w="85" w:type="dxa"/>
            </w:tcMar>
            <w:hideMark/>
          </w:tcPr>
          <w:p w14:paraId="23146614"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IP disputes originating from transition and developed countries prevented/resolved by  WIPO mediation, arbitration and other alternative dispute resolution methods</w:t>
            </w:r>
          </w:p>
        </w:tc>
        <w:tc>
          <w:tcPr>
            <w:tcW w:w="2325" w:type="dxa"/>
            <w:tcBorders>
              <w:left w:val="nil"/>
              <w:bottom w:val="single" w:sz="4" w:space="0" w:color="auto"/>
              <w:right w:val="nil"/>
            </w:tcBorders>
            <w:shd w:val="clear" w:color="000000" w:fill="FFFFFF"/>
            <w:tcMar>
              <w:top w:w="85" w:type="dxa"/>
            </w:tcMar>
            <w:hideMark/>
          </w:tcPr>
          <w:p w14:paraId="46E33654" w14:textId="77777777" w:rsidR="0036187D" w:rsidRDefault="0036187D" w:rsidP="00511015">
            <w:pPr>
              <w:rPr>
                <w:rFonts w:ascii="Arial" w:hAnsi="Arial" w:cs="Arial"/>
                <w:sz w:val="16"/>
                <w:szCs w:val="16"/>
                <w:lang w:bidi="th-TH"/>
              </w:rPr>
            </w:pPr>
            <w:r w:rsidRPr="0036187D">
              <w:rPr>
                <w:rFonts w:ascii="Arial" w:hAnsi="Arial" w:cs="Arial"/>
                <w:sz w:val="16"/>
                <w:szCs w:val="16"/>
                <w:lang w:bidi="th-TH"/>
              </w:rPr>
              <w:t>18 additional disputes and 25 additional bons offices involving parties from transition and developed countries (2014)</w:t>
            </w:r>
          </w:p>
          <w:p w14:paraId="15A81759" w14:textId="77777777" w:rsidR="00F47745" w:rsidRDefault="00F47745" w:rsidP="00511015">
            <w:pPr>
              <w:rPr>
                <w:rFonts w:ascii="Arial" w:hAnsi="Arial" w:cs="Arial"/>
                <w:sz w:val="16"/>
                <w:szCs w:val="16"/>
                <w:lang w:bidi="th-TH"/>
              </w:rPr>
            </w:pPr>
          </w:p>
          <w:p w14:paraId="609CC0E4" w14:textId="6C947B35" w:rsidR="00F47745" w:rsidRPr="0036187D" w:rsidRDefault="00F47745" w:rsidP="00511015">
            <w:pPr>
              <w:rPr>
                <w:rFonts w:ascii="Arial" w:hAnsi="Arial" w:cs="Arial"/>
                <w:sz w:val="16"/>
                <w:szCs w:val="16"/>
                <w:lang w:bidi="th-TH"/>
              </w:rPr>
            </w:pPr>
            <w:r>
              <w:rPr>
                <w:rFonts w:ascii="Arial" w:hAnsi="Arial" w:cs="Arial"/>
                <w:sz w:val="16"/>
                <w:szCs w:val="16"/>
                <w:lang w:bidi="th-TH"/>
              </w:rPr>
              <w:t>377 disputes and 76 bons offices (cumulative)</w:t>
            </w:r>
          </w:p>
        </w:tc>
        <w:tc>
          <w:tcPr>
            <w:tcW w:w="2160" w:type="dxa"/>
            <w:tcBorders>
              <w:left w:val="nil"/>
              <w:bottom w:val="single" w:sz="4" w:space="0" w:color="auto"/>
              <w:right w:val="single" w:sz="4" w:space="0" w:color="auto"/>
            </w:tcBorders>
            <w:shd w:val="clear" w:color="000000" w:fill="FFFFFF"/>
            <w:tcMar>
              <w:top w:w="85" w:type="dxa"/>
            </w:tcMar>
            <w:hideMark/>
          </w:tcPr>
          <w:p w14:paraId="7B040FCA" w14:textId="3F59A7C1" w:rsidR="0036187D" w:rsidRPr="0036187D" w:rsidRDefault="000A401E" w:rsidP="00511015">
            <w:pPr>
              <w:rPr>
                <w:rFonts w:ascii="Arial" w:hAnsi="Arial" w:cs="Arial"/>
                <w:color w:val="000000"/>
                <w:sz w:val="16"/>
                <w:szCs w:val="16"/>
              </w:rPr>
            </w:pPr>
            <w:r>
              <w:rPr>
                <w:rFonts w:ascii="Arial" w:hAnsi="Arial" w:cs="Arial"/>
                <w:color w:val="000000"/>
                <w:sz w:val="16"/>
                <w:szCs w:val="16"/>
              </w:rPr>
              <w:t>33 additional disputes and bons offices involving parties from transition and developed countries</w:t>
            </w:r>
            <w:r w:rsidR="0036187D" w:rsidRPr="0036187D">
              <w:rPr>
                <w:rFonts w:ascii="Arial" w:hAnsi="Arial" w:cs="Arial"/>
                <w:color w:val="000000"/>
                <w:sz w:val="16"/>
                <w:szCs w:val="16"/>
              </w:rPr>
              <w:br/>
            </w:r>
          </w:p>
        </w:tc>
      </w:tr>
      <w:tr w:rsidR="00B66A4A" w:rsidRPr="0036187D" w14:paraId="6AB76B65" w14:textId="77777777" w:rsidTr="008D4CE9">
        <w:trPr>
          <w:trHeight w:val="775"/>
        </w:trPr>
        <w:tc>
          <w:tcPr>
            <w:tcW w:w="2200" w:type="dxa"/>
            <w:vMerge w:val="restart"/>
            <w:tcBorders>
              <w:top w:val="single" w:sz="4" w:space="0" w:color="auto"/>
              <w:left w:val="single" w:sz="4" w:space="0" w:color="auto"/>
              <w:right w:val="nil"/>
            </w:tcBorders>
            <w:shd w:val="clear" w:color="000000" w:fill="FFFFFF"/>
            <w:tcMar>
              <w:top w:w="85" w:type="dxa"/>
            </w:tcMar>
          </w:tcPr>
          <w:p w14:paraId="27E87A89" w14:textId="299768EE" w:rsidR="00B66A4A" w:rsidRPr="0036187D" w:rsidRDefault="00B66A4A" w:rsidP="00511015">
            <w:pPr>
              <w:rPr>
                <w:rFonts w:ascii="Arial" w:hAnsi="Arial" w:cs="Arial"/>
                <w:color w:val="000000"/>
                <w:sz w:val="16"/>
                <w:szCs w:val="16"/>
              </w:rPr>
            </w:pPr>
            <w:r w:rsidRPr="0036187D">
              <w:rPr>
                <w:rFonts w:ascii="Arial" w:hAnsi="Arial" w:cs="Arial"/>
                <w:color w:val="000000"/>
                <w:sz w:val="16"/>
                <w:szCs w:val="16"/>
              </w:rPr>
              <w:lastRenderedPageBreak/>
              <w:t>III.1 National innovation and IP strategies and plans consistent with national development objectives</w:t>
            </w:r>
          </w:p>
        </w:tc>
        <w:tc>
          <w:tcPr>
            <w:tcW w:w="2420" w:type="dxa"/>
            <w:tcBorders>
              <w:top w:val="single" w:sz="4" w:space="0" w:color="auto"/>
              <w:left w:val="nil"/>
              <w:right w:val="nil"/>
            </w:tcBorders>
            <w:shd w:val="clear" w:color="000000" w:fill="FFFFFF"/>
            <w:tcMar>
              <w:top w:w="85" w:type="dxa"/>
            </w:tcMar>
          </w:tcPr>
          <w:p w14:paraId="1CB1ACDE" w14:textId="0A03BE4F" w:rsidR="00B66A4A" w:rsidRPr="0036187D" w:rsidRDefault="00B66A4A" w:rsidP="00511015">
            <w:pPr>
              <w:rPr>
                <w:rFonts w:ascii="Arial" w:hAnsi="Arial" w:cs="Arial"/>
                <w:color w:val="000000"/>
                <w:sz w:val="16"/>
                <w:szCs w:val="16"/>
              </w:rPr>
            </w:pPr>
            <w:r w:rsidRPr="00B66A4A">
              <w:rPr>
                <w:rFonts w:ascii="Arial" w:hAnsi="Arial" w:cs="Arial"/>
                <w:color w:val="000000"/>
                <w:sz w:val="16"/>
                <w:szCs w:val="16"/>
              </w:rPr>
              <w:t>No. of countries which are in the process of formulating national IP strategies</w:t>
            </w:r>
          </w:p>
        </w:tc>
        <w:tc>
          <w:tcPr>
            <w:tcW w:w="2325" w:type="dxa"/>
            <w:tcBorders>
              <w:top w:val="single" w:sz="4" w:space="0" w:color="auto"/>
              <w:left w:val="nil"/>
              <w:right w:val="nil"/>
            </w:tcBorders>
            <w:shd w:val="clear" w:color="000000" w:fill="FFFFFF"/>
            <w:tcMar>
              <w:top w:w="85" w:type="dxa"/>
            </w:tcMar>
          </w:tcPr>
          <w:p w14:paraId="4CA8805D" w14:textId="77777777" w:rsidR="00B66A4A" w:rsidRDefault="00B66A4A" w:rsidP="00511015">
            <w:pPr>
              <w:rPr>
                <w:rFonts w:ascii="Arial" w:hAnsi="Arial" w:cs="Arial"/>
                <w:color w:val="000000"/>
                <w:sz w:val="16"/>
                <w:szCs w:val="16"/>
              </w:rPr>
            </w:pPr>
            <w:r>
              <w:rPr>
                <w:rFonts w:ascii="Arial" w:hAnsi="Arial" w:cs="Arial"/>
                <w:color w:val="000000"/>
                <w:sz w:val="16"/>
                <w:szCs w:val="16"/>
              </w:rPr>
              <w:t>4 countries in 2014</w:t>
            </w:r>
          </w:p>
          <w:p w14:paraId="674184FB" w14:textId="0728B248" w:rsidR="00B66A4A" w:rsidRPr="0036187D" w:rsidRDefault="00B66A4A" w:rsidP="00511015">
            <w:pPr>
              <w:rPr>
                <w:rFonts w:ascii="Arial" w:hAnsi="Arial" w:cs="Arial"/>
                <w:color w:val="000000"/>
                <w:sz w:val="16"/>
                <w:szCs w:val="16"/>
              </w:rPr>
            </w:pPr>
            <w:r>
              <w:rPr>
                <w:rFonts w:ascii="Arial" w:hAnsi="Arial" w:cs="Arial"/>
                <w:color w:val="000000"/>
                <w:sz w:val="16"/>
                <w:szCs w:val="16"/>
              </w:rPr>
              <w:t>(21 cumulative)</w:t>
            </w:r>
          </w:p>
        </w:tc>
        <w:tc>
          <w:tcPr>
            <w:tcW w:w="2160" w:type="dxa"/>
            <w:tcBorders>
              <w:top w:val="single" w:sz="4" w:space="0" w:color="auto"/>
              <w:left w:val="nil"/>
              <w:right w:val="single" w:sz="4" w:space="0" w:color="auto"/>
            </w:tcBorders>
            <w:shd w:val="clear" w:color="000000" w:fill="FFFFFF"/>
            <w:tcMar>
              <w:top w:w="85" w:type="dxa"/>
            </w:tcMar>
          </w:tcPr>
          <w:p w14:paraId="57978433" w14:textId="3F4C19B2" w:rsidR="00B66A4A" w:rsidRPr="0036187D" w:rsidRDefault="00B66A4A" w:rsidP="00511015">
            <w:pPr>
              <w:rPr>
                <w:rFonts w:ascii="Arial" w:hAnsi="Arial" w:cs="Arial"/>
                <w:color w:val="000000"/>
                <w:sz w:val="16"/>
                <w:szCs w:val="16"/>
              </w:rPr>
            </w:pPr>
            <w:r>
              <w:rPr>
                <w:rFonts w:ascii="Arial" w:hAnsi="Arial" w:cs="Arial"/>
                <w:color w:val="000000"/>
                <w:sz w:val="16"/>
                <w:szCs w:val="16"/>
              </w:rPr>
              <w:t>7 additional countries</w:t>
            </w:r>
          </w:p>
        </w:tc>
      </w:tr>
      <w:tr w:rsidR="00B66A4A" w:rsidRPr="0036187D" w14:paraId="126F7B98" w14:textId="77777777" w:rsidTr="008D4CE9">
        <w:trPr>
          <w:trHeight w:val="1085"/>
        </w:trPr>
        <w:tc>
          <w:tcPr>
            <w:tcW w:w="2200" w:type="dxa"/>
            <w:vMerge/>
            <w:tcBorders>
              <w:left w:val="single" w:sz="4" w:space="0" w:color="auto"/>
              <w:right w:val="nil"/>
            </w:tcBorders>
            <w:shd w:val="clear" w:color="000000" w:fill="FFFFFF"/>
            <w:tcMar>
              <w:top w:w="85" w:type="dxa"/>
            </w:tcMar>
            <w:hideMark/>
          </w:tcPr>
          <w:p w14:paraId="2A3CDC9C" w14:textId="77515B4E" w:rsidR="00B66A4A" w:rsidRPr="0036187D" w:rsidRDefault="00B66A4A" w:rsidP="00511015">
            <w:pPr>
              <w:rPr>
                <w:rFonts w:ascii="Arial" w:hAnsi="Arial" w:cs="Arial"/>
                <w:color w:val="000000"/>
                <w:sz w:val="16"/>
                <w:szCs w:val="16"/>
              </w:rPr>
            </w:pPr>
          </w:p>
        </w:tc>
        <w:tc>
          <w:tcPr>
            <w:tcW w:w="2420" w:type="dxa"/>
            <w:tcBorders>
              <w:left w:val="nil"/>
              <w:right w:val="nil"/>
            </w:tcBorders>
            <w:shd w:val="clear" w:color="000000" w:fill="FFFFFF"/>
            <w:tcMar>
              <w:top w:w="85" w:type="dxa"/>
            </w:tcMar>
            <w:hideMark/>
          </w:tcPr>
          <w:p w14:paraId="7BE80B4F" w14:textId="77777777" w:rsidR="00B66A4A" w:rsidRPr="0036187D" w:rsidRDefault="00B66A4A" w:rsidP="00511015">
            <w:pPr>
              <w:rPr>
                <w:rFonts w:ascii="Arial" w:hAnsi="Arial" w:cs="Arial"/>
                <w:color w:val="000000"/>
                <w:sz w:val="16"/>
                <w:szCs w:val="16"/>
              </w:rPr>
            </w:pPr>
            <w:r w:rsidRPr="0036187D">
              <w:rPr>
                <w:rFonts w:ascii="Arial" w:hAnsi="Arial" w:cs="Arial"/>
                <w:color w:val="000000"/>
                <w:sz w:val="16"/>
                <w:szCs w:val="16"/>
              </w:rPr>
              <w:t>No. of countries having developed national IP strategies or IP plans, dovetailed with national development goals</w:t>
            </w:r>
          </w:p>
        </w:tc>
        <w:tc>
          <w:tcPr>
            <w:tcW w:w="2325" w:type="dxa"/>
            <w:tcBorders>
              <w:left w:val="nil"/>
              <w:right w:val="nil"/>
            </w:tcBorders>
            <w:shd w:val="clear" w:color="000000" w:fill="FFFFFF"/>
            <w:tcMar>
              <w:top w:w="85" w:type="dxa"/>
            </w:tcMar>
            <w:hideMark/>
          </w:tcPr>
          <w:p w14:paraId="1006D036" w14:textId="77777777" w:rsidR="00B66A4A" w:rsidRPr="0036187D" w:rsidRDefault="00B66A4A" w:rsidP="00511015">
            <w:pPr>
              <w:rPr>
                <w:rFonts w:ascii="Arial" w:hAnsi="Arial" w:cs="Arial"/>
                <w:color w:val="000000"/>
                <w:sz w:val="16"/>
                <w:szCs w:val="16"/>
              </w:rPr>
            </w:pPr>
            <w:r w:rsidRPr="0036187D">
              <w:rPr>
                <w:rFonts w:ascii="Arial" w:hAnsi="Arial" w:cs="Arial"/>
                <w:color w:val="000000"/>
                <w:sz w:val="16"/>
                <w:szCs w:val="16"/>
              </w:rPr>
              <w:t xml:space="preserve">3 countries in 2014 </w:t>
            </w:r>
          </w:p>
          <w:p w14:paraId="706E5A7E" w14:textId="77777777" w:rsidR="00B66A4A" w:rsidRPr="0036187D" w:rsidRDefault="00B66A4A" w:rsidP="00511015">
            <w:pPr>
              <w:rPr>
                <w:rFonts w:ascii="Arial" w:hAnsi="Arial" w:cs="Arial"/>
                <w:color w:val="000000"/>
                <w:sz w:val="16"/>
                <w:szCs w:val="16"/>
              </w:rPr>
            </w:pPr>
            <w:r w:rsidRPr="0036187D">
              <w:rPr>
                <w:rFonts w:ascii="Arial" w:hAnsi="Arial" w:cs="Arial"/>
                <w:color w:val="000000"/>
                <w:sz w:val="16"/>
                <w:szCs w:val="16"/>
              </w:rPr>
              <w:t xml:space="preserve">(17 cumulative) </w:t>
            </w:r>
          </w:p>
        </w:tc>
        <w:tc>
          <w:tcPr>
            <w:tcW w:w="2160" w:type="dxa"/>
            <w:tcBorders>
              <w:left w:val="nil"/>
              <w:right w:val="single" w:sz="4" w:space="0" w:color="auto"/>
            </w:tcBorders>
            <w:shd w:val="clear" w:color="000000" w:fill="FFFFFF"/>
            <w:tcMar>
              <w:top w:w="85" w:type="dxa"/>
            </w:tcMar>
            <w:hideMark/>
          </w:tcPr>
          <w:p w14:paraId="54927A6D" w14:textId="77777777" w:rsidR="00B66A4A" w:rsidRPr="0036187D" w:rsidRDefault="00B66A4A" w:rsidP="00511015">
            <w:pPr>
              <w:rPr>
                <w:rFonts w:ascii="Arial" w:hAnsi="Arial" w:cs="Arial"/>
                <w:color w:val="000000"/>
                <w:sz w:val="16"/>
                <w:szCs w:val="16"/>
              </w:rPr>
            </w:pPr>
            <w:r w:rsidRPr="0036187D">
              <w:rPr>
                <w:rFonts w:ascii="Arial" w:hAnsi="Arial" w:cs="Arial"/>
                <w:color w:val="000000"/>
                <w:sz w:val="16"/>
                <w:szCs w:val="16"/>
              </w:rPr>
              <w:t>7 additional countries</w:t>
            </w:r>
            <w:r w:rsidRPr="0036187D">
              <w:rPr>
                <w:rFonts w:ascii="Arial" w:hAnsi="Arial" w:cs="Arial"/>
                <w:color w:val="000000"/>
                <w:sz w:val="16"/>
                <w:szCs w:val="16"/>
              </w:rPr>
              <w:br/>
            </w:r>
            <w:r w:rsidRPr="0036187D">
              <w:rPr>
                <w:rFonts w:ascii="Arial" w:hAnsi="Arial" w:cs="Arial"/>
                <w:color w:val="000000"/>
                <w:sz w:val="16"/>
                <w:szCs w:val="16"/>
              </w:rPr>
              <w:br/>
            </w:r>
          </w:p>
        </w:tc>
      </w:tr>
      <w:tr w:rsidR="0036187D" w:rsidRPr="0036187D" w14:paraId="2C9CA6FE" w14:textId="77777777" w:rsidTr="008D4CE9">
        <w:trPr>
          <w:trHeight w:val="986"/>
        </w:trPr>
        <w:tc>
          <w:tcPr>
            <w:tcW w:w="2200" w:type="dxa"/>
            <w:vMerge w:val="restart"/>
            <w:tcBorders>
              <w:left w:val="single" w:sz="4" w:space="0" w:color="auto"/>
              <w:bottom w:val="nil"/>
              <w:right w:val="nil"/>
            </w:tcBorders>
            <w:shd w:val="clear" w:color="000000" w:fill="FFFFFF"/>
            <w:tcMar>
              <w:top w:w="85" w:type="dxa"/>
            </w:tcMar>
            <w:hideMark/>
          </w:tcPr>
          <w:p w14:paraId="59E54172"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420" w:type="dxa"/>
            <w:tcBorders>
              <w:left w:val="nil"/>
              <w:bottom w:val="nil"/>
              <w:right w:val="nil"/>
            </w:tcBorders>
            <w:shd w:val="clear" w:color="000000" w:fill="FFFFFF"/>
            <w:tcMar>
              <w:top w:w="85" w:type="dxa"/>
            </w:tcMar>
            <w:hideMark/>
          </w:tcPr>
          <w:p w14:paraId="4B0C9A57"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countries in transition having established annual IP training programs and/or courses for IP Professionals</w:t>
            </w:r>
          </w:p>
        </w:tc>
        <w:tc>
          <w:tcPr>
            <w:tcW w:w="2325" w:type="dxa"/>
            <w:tcBorders>
              <w:left w:val="nil"/>
              <w:bottom w:val="nil"/>
              <w:right w:val="nil"/>
            </w:tcBorders>
            <w:shd w:val="clear" w:color="000000" w:fill="FFFFFF"/>
            <w:tcMar>
              <w:top w:w="85" w:type="dxa"/>
            </w:tcMar>
            <w:hideMark/>
          </w:tcPr>
          <w:p w14:paraId="3D89D2F9"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6 countries (2014)</w:t>
            </w:r>
          </w:p>
        </w:tc>
        <w:tc>
          <w:tcPr>
            <w:tcW w:w="2160" w:type="dxa"/>
            <w:tcBorders>
              <w:left w:val="nil"/>
              <w:bottom w:val="nil"/>
              <w:right w:val="single" w:sz="4" w:space="0" w:color="auto"/>
            </w:tcBorders>
            <w:shd w:val="clear" w:color="000000" w:fill="FFFFFF"/>
            <w:tcMar>
              <w:top w:w="85" w:type="dxa"/>
            </w:tcMar>
            <w:hideMark/>
          </w:tcPr>
          <w:p w14:paraId="6B6F6C5A"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 xml:space="preserve">8 countries </w:t>
            </w:r>
            <w:r w:rsidRPr="0036187D">
              <w:rPr>
                <w:rFonts w:ascii="Arial" w:hAnsi="Arial" w:cs="Arial"/>
                <w:color w:val="000000"/>
                <w:sz w:val="16"/>
                <w:szCs w:val="16"/>
              </w:rPr>
              <w:br/>
            </w:r>
            <w:r w:rsidRPr="0036187D">
              <w:rPr>
                <w:rFonts w:ascii="Arial" w:hAnsi="Arial" w:cs="Arial"/>
                <w:color w:val="000000"/>
                <w:sz w:val="16"/>
                <w:szCs w:val="16"/>
              </w:rPr>
              <w:br/>
            </w:r>
          </w:p>
        </w:tc>
      </w:tr>
      <w:tr w:rsidR="0036187D" w:rsidRPr="0036187D" w14:paraId="3D17934C" w14:textId="77777777" w:rsidTr="002B052A">
        <w:trPr>
          <w:trHeight w:val="806"/>
        </w:trPr>
        <w:tc>
          <w:tcPr>
            <w:tcW w:w="2200" w:type="dxa"/>
            <w:vMerge/>
            <w:tcBorders>
              <w:top w:val="nil"/>
              <w:left w:val="single" w:sz="4" w:space="0" w:color="auto"/>
              <w:bottom w:val="nil"/>
              <w:right w:val="nil"/>
            </w:tcBorders>
            <w:tcMar>
              <w:top w:w="85" w:type="dxa"/>
            </w:tcMar>
            <w:vAlign w:val="center"/>
            <w:hideMark/>
          </w:tcPr>
          <w:p w14:paraId="10BF2023" w14:textId="77777777" w:rsidR="0036187D" w:rsidRPr="0036187D" w:rsidRDefault="0036187D" w:rsidP="00511015">
            <w:pPr>
              <w:rPr>
                <w:rFonts w:ascii="Arial" w:hAnsi="Arial" w:cs="Arial"/>
                <w:color w:val="000000"/>
                <w:sz w:val="16"/>
                <w:szCs w:val="16"/>
              </w:rPr>
            </w:pPr>
          </w:p>
        </w:tc>
        <w:tc>
          <w:tcPr>
            <w:tcW w:w="2420" w:type="dxa"/>
            <w:tcBorders>
              <w:top w:val="nil"/>
              <w:left w:val="nil"/>
              <w:bottom w:val="nil"/>
              <w:right w:val="nil"/>
            </w:tcBorders>
            <w:shd w:val="clear" w:color="000000" w:fill="FFFFFF"/>
            <w:tcMar>
              <w:top w:w="85" w:type="dxa"/>
            </w:tcMar>
            <w:hideMark/>
          </w:tcPr>
          <w:p w14:paraId="0F40AB98"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 of trained IP professionals and IP Officials using upgraded skills in their work.</w:t>
            </w:r>
          </w:p>
        </w:tc>
        <w:tc>
          <w:tcPr>
            <w:tcW w:w="2325" w:type="dxa"/>
            <w:tcBorders>
              <w:top w:val="nil"/>
              <w:left w:val="nil"/>
              <w:bottom w:val="nil"/>
              <w:right w:val="nil"/>
            </w:tcBorders>
            <w:shd w:val="clear" w:color="000000" w:fill="FFFFFF"/>
            <w:tcMar>
              <w:top w:w="85" w:type="dxa"/>
            </w:tcMar>
            <w:hideMark/>
          </w:tcPr>
          <w:p w14:paraId="3F03A7A2"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80%</w:t>
            </w:r>
          </w:p>
        </w:tc>
        <w:tc>
          <w:tcPr>
            <w:tcW w:w="2160" w:type="dxa"/>
            <w:tcBorders>
              <w:top w:val="nil"/>
              <w:left w:val="nil"/>
              <w:bottom w:val="nil"/>
              <w:right w:val="single" w:sz="4" w:space="0" w:color="auto"/>
            </w:tcBorders>
            <w:shd w:val="clear" w:color="000000" w:fill="FFFFFF"/>
            <w:tcMar>
              <w:top w:w="85" w:type="dxa"/>
            </w:tcMar>
            <w:hideMark/>
          </w:tcPr>
          <w:p w14:paraId="0A42BB49"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 xml:space="preserve">70% </w:t>
            </w:r>
            <w:r w:rsidRPr="0036187D">
              <w:rPr>
                <w:rFonts w:ascii="Arial" w:hAnsi="Arial" w:cs="Arial"/>
                <w:color w:val="000000"/>
                <w:sz w:val="16"/>
                <w:szCs w:val="16"/>
              </w:rPr>
              <w:br/>
            </w:r>
            <w:r w:rsidRPr="0036187D">
              <w:rPr>
                <w:rFonts w:ascii="Arial" w:hAnsi="Arial" w:cs="Arial"/>
                <w:color w:val="000000"/>
                <w:sz w:val="16"/>
                <w:szCs w:val="16"/>
              </w:rPr>
              <w:br/>
            </w:r>
          </w:p>
        </w:tc>
      </w:tr>
      <w:tr w:rsidR="0036187D" w:rsidRPr="0036187D" w14:paraId="060D5AB5" w14:textId="77777777" w:rsidTr="002B052A">
        <w:trPr>
          <w:trHeight w:val="1085"/>
        </w:trPr>
        <w:tc>
          <w:tcPr>
            <w:tcW w:w="2200" w:type="dxa"/>
            <w:tcBorders>
              <w:top w:val="nil"/>
              <w:left w:val="single" w:sz="4" w:space="0" w:color="auto"/>
              <w:bottom w:val="single" w:sz="4" w:space="0" w:color="auto"/>
              <w:right w:val="nil"/>
            </w:tcBorders>
            <w:shd w:val="clear" w:color="000000" w:fill="FFFFFF"/>
            <w:tcMar>
              <w:top w:w="85" w:type="dxa"/>
            </w:tcMar>
            <w:hideMark/>
          </w:tcPr>
          <w:p w14:paraId="4C7A91CA" w14:textId="162BFDCA" w:rsidR="00B66A4A" w:rsidRPr="0036187D" w:rsidRDefault="0036187D" w:rsidP="00511015">
            <w:pPr>
              <w:rPr>
                <w:rFonts w:ascii="Arial" w:hAnsi="Arial" w:cs="Arial"/>
                <w:color w:val="000000"/>
                <w:sz w:val="16"/>
                <w:szCs w:val="16"/>
              </w:rPr>
            </w:pPr>
            <w:r w:rsidRPr="0036187D">
              <w:rPr>
                <w:rFonts w:ascii="Arial" w:hAnsi="Arial" w:cs="Arial"/>
                <w:color w:val="000000"/>
                <w:sz w:val="16"/>
                <w:szCs w:val="16"/>
              </w:rPr>
              <w:t>III.4 Strengthened cooperation mechanisms and programs tailored to the needs of developing countries</w:t>
            </w:r>
            <w:r w:rsidR="00B66A4A">
              <w:rPr>
                <w:rFonts w:ascii="Arial" w:hAnsi="Arial" w:cs="Arial"/>
                <w:color w:val="000000"/>
                <w:sz w:val="16"/>
                <w:szCs w:val="16"/>
              </w:rPr>
              <w:t xml:space="preserve">, </w:t>
            </w:r>
            <w:r w:rsidRPr="0036187D">
              <w:rPr>
                <w:rFonts w:ascii="Arial" w:hAnsi="Arial" w:cs="Arial"/>
                <w:color w:val="000000"/>
                <w:sz w:val="16"/>
                <w:szCs w:val="16"/>
              </w:rPr>
              <w:t>LDCs</w:t>
            </w:r>
            <w:r w:rsidR="00B66A4A">
              <w:rPr>
                <w:rFonts w:ascii="Arial" w:hAnsi="Arial" w:cs="Arial"/>
                <w:color w:val="000000"/>
                <w:sz w:val="16"/>
                <w:szCs w:val="16"/>
              </w:rPr>
              <w:t xml:space="preserve"> and </w:t>
            </w:r>
            <w:r w:rsidR="00B66A4A" w:rsidRPr="0036187D">
              <w:rPr>
                <w:rFonts w:ascii="Arial" w:hAnsi="Arial" w:cs="Arial"/>
                <w:color w:val="000000"/>
                <w:sz w:val="16"/>
                <w:szCs w:val="16"/>
              </w:rPr>
              <w:t>countries with economies in transition</w:t>
            </w:r>
          </w:p>
        </w:tc>
        <w:tc>
          <w:tcPr>
            <w:tcW w:w="2420" w:type="dxa"/>
            <w:tcBorders>
              <w:top w:val="nil"/>
              <w:left w:val="nil"/>
              <w:bottom w:val="single" w:sz="4" w:space="0" w:color="auto"/>
              <w:right w:val="nil"/>
            </w:tcBorders>
            <w:shd w:val="clear" w:color="000000" w:fill="FFFFFF"/>
            <w:tcMar>
              <w:top w:w="85" w:type="dxa"/>
            </w:tcMar>
            <w:hideMark/>
          </w:tcPr>
          <w:p w14:paraId="1537E1A7"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No. of established partnerships</w:t>
            </w:r>
          </w:p>
        </w:tc>
        <w:tc>
          <w:tcPr>
            <w:tcW w:w="2325" w:type="dxa"/>
            <w:tcBorders>
              <w:top w:val="nil"/>
              <w:left w:val="nil"/>
              <w:bottom w:val="single" w:sz="4" w:space="0" w:color="auto"/>
              <w:right w:val="nil"/>
            </w:tcBorders>
            <w:shd w:val="clear" w:color="000000" w:fill="FFFFFF"/>
            <w:tcMar>
              <w:top w:w="85" w:type="dxa"/>
            </w:tcMar>
            <w:hideMark/>
          </w:tcPr>
          <w:p w14:paraId="1BD89365" w14:textId="77777777" w:rsidR="0036187D" w:rsidRPr="0036187D" w:rsidRDefault="0036187D" w:rsidP="00511015">
            <w:pPr>
              <w:rPr>
                <w:rFonts w:ascii="Arial" w:hAnsi="Arial" w:cs="Arial"/>
                <w:color w:val="000000"/>
                <w:sz w:val="16"/>
                <w:szCs w:val="16"/>
              </w:rPr>
            </w:pPr>
            <w:r w:rsidRPr="0036187D">
              <w:rPr>
                <w:rFonts w:ascii="Arial" w:hAnsi="Arial" w:cs="Arial"/>
                <w:color w:val="000000"/>
                <w:sz w:val="16"/>
                <w:szCs w:val="16"/>
              </w:rPr>
              <w:t xml:space="preserve">4 MoUs signed (2014) </w:t>
            </w:r>
          </w:p>
        </w:tc>
        <w:tc>
          <w:tcPr>
            <w:tcW w:w="2160" w:type="dxa"/>
            <w:tcBorders>
              <w:top w:val="nil"/>
              <w:left w:val="nil"/>
              <w:bottom w:val="single" w:sz="4" w:space="0" w:color="auto"/>
              <w:right w:val="single" w:sz="4" w:space="0" w:color="auto"/>
            </w:tcBorders>
            <w:shd w:val="clear" w:color="000000" w:fill="FFFFFF"/>
            <w:tcMar>
              <w:top w:w="85" w:type="dxa"/>
            </w:tcMar>
            <w:hideMark/>
          </w:tcPr>
          <w:p w14:paraId="5E9B475B" w14:textId="306573AE" w:rsidR="0036187D" w:rsidRPr="0036187D" w:rsidRDefault="000A401E" w:rsidP="00C224D6">
            <w:pPr>
              <w:rPr>
                <w:rFonts w:ascii="Arial" w:hAnsi="Arial" w:cs="Arial"/>
                <w:color w:val="000000"/>
                <w:sz w:val="16"/>
                <w:szCs w:val="16"/>
              </w:rPr>
            </w:pPr>
            <w:r>
              <w:rPr>
                <w:rFonts w:ascii="Arial" w:hAnsi="Arial" w:cs="Arial"/>
                <w:color w:val="000000"/>
                <w:sz w:val="16"/>
                <w:szCs w:val="16"/>
              </w:rPr>
              <w:t xml:space="preserve">6 IP partnerships established </w:t>
            </w:r>
            <w:r w:rsidR="0036187D" w:rsidRPr="0036187D">
              <w:rPr>
                <w:rFonts w:ascii="Arial" w:hAnsi="Arial" w:cs="Arial"/>
                <w:color w:val="000000"/>
                <w:sz w:val="16"/>
                <w:szCs w:val="16"/>
              </w:rPr>
              <w:br/>
            </w:r>
          </w:p>
        </w:tc>
      </w:tr>
    </w:tbl>
    <w:p w14:paraId="495D93C4" w14:textId="77777777" w:rsidR="0036187D" w:rsidRDefault="0036187D" w:rsidP="00511015">
      <w:pPr>
        <w:jc w:val="both"/>
        <w:rPr>
          <w:rFonts w:ascii="Arial" w:hAnsi="Arial" w:cs="Arial"/>
        </w:rPr>
      </w:pPr>
    </w:p>
    <w:p w14:paraId="4ABC5717" w14:textId="77777777" w:rsidR="00E379D9" w:rsidRPr="0036187D" w:rsidRDefault="00E379D9" w:rsidP="00511015">
      <w:pPr>
        <w:jc w:val="both"/>
        <w:rPr>
          <w:rFonts w:ascii="Arial" w:hAnsi="Arial" w:cs="Arial"/>
        </w:rPr>
      </w:pPr>
    </w:p>
    <w:p w14:paraId="25FAA105" w14:textId="77777777" w:rsidR="0036187D" w:rsidRPr="0036187D" w:rsidRDefault="0036187D" w:rsidP="00511015">
      <w:pPr>
        <w:jc w:val="both"/>
        <w:rPr>
          <w:rFonts w:ascii="Arial" w:hAnsi="Arial" w:cs="Arial"/>
        </w:rPr>
      </w:pPr>
      <w:r w:rsidRPr="0036187D">
        <w:rPr>
          <w:rFonts w:ascii="Arial" w:hAnsi="Arial" w:cs="Arial"/>
        </w:rPr>
        <w:t>RESOURCES FOR PROGRAM 10</w:t>
      </w:r>
    </w:p>
    <w:p w14:paraId="1AFFF5FD" w14:textId="77777777" w:rsidR="0036187D" w:rsidRPr="0036187D" w:rsidRDefault="0036187D" w:rsidP="00511015">
      <w:pPr>
        <w:jc w:val="both"/>
        <w:rPr>
          <w:rFonts w:ascii="Arial" w:hAnsi="Arial" w:cs="Arial"/>
        </w:rPr>
      </w:pPr>
    </w:p>
    <w:p w14:paraId="688CB516" w14:textId="3F13A8A9"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The overall resources for Program 10 show a decrease of 0.43 million Swiss francs, primarily due to (i) the transfer of responsibilities for activities targeting SMEs to Program 30 (SME and Entrepreneurship Support), and (ii) a reduction in personnel resources equivalent to one</w:t>
      </w:r>
      <w:r w:rsidR="00653890">
        <w:rPr>
          <w:rFonts w:ascii="Arial" w:hAnsi="Arial" w:cs="Arial"/>
          <w:sz w:val="20"/>
        </w:rPr>
        <w:t xml:space="preserve"> post</w:t>
      </w:r>
      <w:r w:rsidRPr="0036187D">
        <w:rPr>
          <w:rFonts w:ascii="Arial" w:hAnsi="Arial" w:cs="Arial"/>
          <w:sz w:val="20"/>
        </w:rPr>
        <w:t>.  The reduction in personnel should be seen as temporary in nature pending the finalization of the regularization of a continuing function in the Program expected to be completed in the second half of</w:t>
      </w:r>
      <w:r w:rsidR="008F3633">
        <w:rPr>
          <w:rFonts w:ascii="Arial" w:hAnsi="Arial" w:cs="Arial"/>
          <w:sz w:val="20"/>
        </w:rPr>
        <w:t> </w:t>
      </w:r>
      <w:r w:rsidRPr="0036187D">
        <w:rPr>
          <w:rFonts w:ascii="Arial" w:hAnsi="Arial" w:cs="Arial"/>
          <w:sz w:val="20"/>
        </w:rPr>
        <w:t>2015.</w:t>
      </w:r>
    </w:p>
    <w:p w14:paraId="790C0673" w14:textId="77777777" w:rsidR="0036187D" w:rsidRPr="0036187D" w:rsidRDefault="0036187D" w:rsidP="00511015">
      <w:pPr>
        <w:jc w:val="both"/>
        <w:rPr>
          <w:rFonts w:ascii="Arial" w:hAnsi="Arial" w:cs="Arial"/>
        </w:rPr>
      </w:pPr>
    </w:p>
    <w:p w14:paraId="5D605479" w14:textId="5A9AD35E" w:rsidR="0036187D" w:rsidRPr="0036187D" w:rsidRDefault="0036187D" w:rsidP="00B66A4A">
      <w:pPr>
        <w:pStyle w:val="ListParagraph"/>
        <w:numPr>
          <w:ilvl w:val="0"/>
          <w:numId w:val="36"/>
        </w:numPr>
        <w:tabs>
          <w:tab w:val="right" w:pos="709"/>
        </w:tabs>
        <w:ind w:left="0" w:firstLine="0"/>
        <w:jc w:val="both"/>
        <w:rPr>
          <w:rFonts w:ascii="Arial" w:hAnsi="Arial" w:cs="Arial"/>
          <w:sz w:val="20"/>
        </w:rPr>
      </w:pPr>
      <w:r w:rsidRPr="0036187D">
        <w:rPr>
          <w:rFonts w:ascii="Arial" w:hAnsi="Arial" w:cs="Arial"/>
          <w:sz w:val="20"/>
        </w:rPr>
        <w:t>The shift in resources observed under the Expected Results reflects the completion of the mainstreaming of activities related to TISCs and Business Solutions for IP Offices to Programs 14 and 15</w:t>
      </w:r>
      <w:r w:rsidR="00D55DBD">
        <w:rPr>
          <w:rFonts w:ascii="Arial" w:hAnsi="Arial" w:cs="Arial"/>
          <w:sz w:val="20"/>
        </w:rPr>
        <w:t> </w:t>
      </w:r>
      <w:r w:rsidRPr="0036187D">
        <w:rPr>
          <w:rFonts w:ascii="Arial" w:hAnsi="Arial" w:cs="Arial"/>
          <w:sz w:val="20"/>
        </w:rPr>
        <w:t xml:space="preserve">respectively. </w:t>
      </w:r>
    </w:p>
    <w:p w14:paraId="539598F9" w14:textId="77777777" w:rsidR="0036187D" w:rsidRPr="0036187D" w:rsidRDefault="0036187D" w:rsidP="00511015">
      <w:pPr>
        <w:jc w:val="both"/>
        <w:rPr>
          <w:rFonts w:ascii="Arial" w:hAnsi="Arial" w:cs="Arial"/>
        </w:rPr>
      </w:pPr>
    </w:p>
    <w:p w14:paraId="2D1A5B54" w14:textId="77777777" w:rsidR="0036187D" w:rsidRPr="008D4CE9" w:rsidRDefault="0036187D" w:rsidP="001A05EB">
      <w:pPr>
        <w:pStyle w:val="ListParagraph"/>
        <w:keepNext/>
        <w:keepLines/>
        <w:ind w:left="0"/>
        <w:jc w:val="center"/>
        <w:rPr>
          <w:rFonts w:ascii="Arial" w:hAnsi="Arial" w:cs="Arial"/>
          <w:b/>
          <w:sz w:val="20"/>
        </w:rPr>
      </w:pPr>
      <w:r w:rsidRPr="008D4CE9">
        <w:rPr>
          <w:rFonts w:ascii="Arial" w:hAnsi="Arial" w:cs="Arial"/>
          <w:b/>
          <w:sz w:val="20"/>
        </w:rPr>
        <w:lastRenderedPageBreak/>
        <w:t xml:space="preserve">Program 10: Resources by Result </w:t>
      </w:r>
    </w:p>
    <w:p w14:paraId="672E7B4E" w14:textId="77777777" w:rsidR="0036187D" w:rsidRPr="008D4CE9" w:rsidRDefault="0036187D" w:rsidP="001A05EB">
      <w:pPr>
        <w:pStyle w:val="ListParagraph"/>
        <w:keepNext/>
        <w:keepLines/>
        <w:ind w:left="0"/>
        <w:jc w:val="center"/>
        <w:rPr>
          <w:rFonts w:ascii="Arial" w:hAnsi="Arial" w:cs="Arial"/>
          <w:i/>
          <w:sz w:val="20"/>
        </w:rPr>
      </w:pPr>
      <w:r w:rsidRPr="008D4CE9">
        <w:rPr>
          <w:rFonts w:ascii="Arial" w:hAnsi="Arial" w:cs="Arial"/>
          <w:i/>
          <w:sz w:val="20"/>
        </w:rPr>
        <w:t>(in thousands of Swiss francs)</w:t>
      </w:r>
    </w:p>
    <w:p w14:paraId="7D3D5EB6" w14:textId="77777777" w:rsidR="0036187D" w:rsidRPr="008D4CE9" w:rsidRDefault="0036187D" w:rsidP="008D4CE9">
      <w:pPr>
        <w:pStyle w:val="ListParagraph"/>
        <w:keepNext/>
        <w:keepLines/>
        <w:ind w:left="0"/>
        <w:jc w:val="both"/>
        <w:rPr>
          <w:rFonts w:ascii="Arial" w:hAnsi="Arial" w:cs="Arial"/>
          <w:i/>
          <w:sz w:val="20"/>
        </w:rPr>
      </w:pPr>
    </w:p>
    <w:p w14:paraId="377CE581" w14:textId="016DB545" w:rsidR="0036187D" w:rsidRPr="00DF647B" w:rsidRDefault="00695C1D" w:rsidP="008D4CE9">
      <w:pPr>
        <w:pStyle w:val="ListParagraph"/>
        <w:keepNext/>
        <w:keepLines/>
        <w:ind w:left="0"/>
        <w:jc w:val="center"/>
        <w:rPr>
          <w:i/>
          <w:sz w:val="20"/>
        </w:rPr>
      </w:pPr>
      <w:r w:rsidRPr="00695C1D">
        <w:rPr>
          <w:noProof/>
          <w:lang w:eastAsia="en-US"/>
        </w:rPr>
        <w:drawing>
          <wp:inline distT="0" distB="0" distL="0" distR="0" wp14:anchorId="5E9702BB" wp14:editId="7E92B05C">
            <wp:extent cx="4806086" cy="4925916"/>
            <wp:effectExtent l="0" t="0" r="0" b="825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812503" cy="4932493"/>
                    </a:xfrm>
                    <a:prstGeom prst="rect">
                      <a:avLst/>
                    </a:prstGeom>
                    <a:noFill/>
                    <a:ln>
                      <a:noFill/>
                    </a:ln>
                  </pic:spPr>
                </pic:pic>
              </a:graphicData>
            </a:graphic>
          </wp:inline>
        </w:drawing>
      </w:r>
    </w:p>
    <w:p w14:paraId="4D7D56EF" w14:textId="77777777" w:rsidR="0036187D" w:rsidRDefault="0036187D" w:rsidP="008D4CE9">
      <w:pPr>
        <w:jc w:val="both"/>
        <w:rPr>
          <w:i/>
          <w:sz w:val="20"/>
        </w:rPr>
      </w:pPr>
      <w:r>
        <w:rPr>
          <w:i/>
          <w:sz w:val="20"/>
        </w:rPr>
        <w:br w:type="page"/>
      </w:r>
    </w:p>
    <w:p w14:paraId="5C7CFD31" w14:textId="77777777" w:rsidR="0036187D" w:rsidRPr="00DF647B" w:rsidRDefault="0036187D" w:rsidP="00511015">
      <w:pPr>
        <w:pStyle w:val="ListParagraph"/>
        <w:spacing w:after="240"/>
        <w:jc w:val="center"/>
        <w:rPr>
          <w:b/>
          <w:sz w:val="20"/>
        </w:rPr>
      </w:pPr>
      <w:r w:rsidRPr="00DF647B">
        <w:rPr>
          <w:b/>
          <w:sz w:val="20"/>
        </w:rPr>
        <w:lastRenderedPageBreak/>
        <w:t>Program 10: Resources by Object of Expenditure</w:t>
      </w:r>
    </w:p>
    <w:p w14:paraId="420A2FFF" w14:textId="77777777" w:rsidR="0036187D" w:rsidRPr="00DF647B" w:rsidRDefault="0036187D" w:rsidP="00511015">
      <w:pPr>
        <w:pStyle w:val="ListParagraph"/>
        <w:spacing w:after="240"/>
        <w:jc w:val="center"/>
        <w:rPr>
          <w:i/>
          <w:sz w:val="20"/>
        </w:rPr>
      </w:pPr>
      <w:r w:rsidRPr="00DF647B">
        <w:rPr>
          <w:i/>
          <w:sz w:val="20"/>
        </w:rPr>
        <w:t>(in thousands of Swiss francs)</w:t>
      </w:r>
    </w:p>
    <w:p w14:paraId="1BE01265" w14:textId="77777777" w:rsidR="0036187D" w:rsidRPr="00DF647B" w:rsidRDefault="0036187D" w:rsidP="00511015">
      <w:pPr>
        <w:pStyle w:val="ListParagraph"/>
        <w:spacing w:after="240"/>
        <w:jc w:val="center"/>
        <w:rPr>
          <w:i/>
          <w:sz w:val="20"/>
        </w:rPr>
      </w:pPr>
    </w:p>
    <w:p w14:paraId="7E2E6E7A" w14:textId="77777777" w:rsidR="0036187D" w:rsidRDefault="0036187D" w:rsidP="007E19DB">
      <w:pPr>
        <w:jc w:val="center"/>
      </w:pPr>
      <w:r w:rsidRPr="00DF647B">
        <w:rPr>
          <w:noProof/>
          <w:lang w:eastAsia="en-US"/>
        </w:rPr>
        <w:drawing>
          <wp:inline distT="0" distB="0" distL="0" distR="0" wp14:anchorId="4563099D" wp14:editId="5C756554">
            <wp:extent cx="4782373" cy="5375081"/>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782373" cy="5375081"/>
                    </a:xfrm>
                    <a:prstGeom prst="rect">
                      <a:avLst/>
                    </a:prstGeom>
                    <a:noFill/>
                    <a:ln>
                      <a:noFill/>
                    </a:ln>
                  </pic:spPr>
                </pic:pic>
              </a:graphicData>
            </a:graphic>
          </wp:inline>
        </w:drawing>
      </w:r>
    </w:p>
    <w:p w14:paraId="56512A97" w14:textId="77777777" w:rsidR="0036187D" w:rsidRPr="00563C12" w:rsidRDefault="0036187D" w:rsidP="00511015">
      <w:pPr>
        <w:jc w:val="both"/>
      </w:pPr>
    </w:p>
    <w:p w14:paraId="1500B26E" w14:textId="07D520AC" w:rsidR="00865AEC" w:rsidRPr="009B4A78" w:rsidRDefault="00865AEC" w:rsidP="00B65F7B">
      <w:pPr>
        <w:pStyle w:val="ListParagraph"/>
        <w:spacing w:after="240"/>
        <w:ind w:left="0"/>
        <w:rPr>
          <w:rFonts w:ascii="Arial" w:hAnsi="Arial" w:cs="Arial"/>
          <w:sz w:val="20"/>
        </w:rPr>
      </w:pPr>
    </w:p>
    <w:p w14:paraId="447364FE" w14:textId="77777777" w:rsidR="00865AEC" w:rsidRPr="009B4A78" w:rsidRDefault="00865AEC">
      <w:pPr>
        <w:rPr>
          <w:rFonts w:ascii="Arial" w:hAnsi="Arial" w:cs="Arial"/>
          <w:sz w:val="20"/>
        </w:rPr>
      </w:pPr>
      <w:r w:rsidRPr="009B4A78">
        <w:rPr>
          <w:rFonts w:ascii="Arial" w:hAnsi="Arial" w:cs="Arial"/>
          <w:sz w:val="20"/>
        </w:rPr>
        <w:br w:type="page"/>
      </w:r>
    </w:p>
    <w:p w14:paraId="6A8579C3" w14:textId="77777777" w:rsidR="00865AEC" w:rsidRPr="009B4A78" w:rsidRDefault="00865AEC" w:rsidP="00F33E49">
      <w:pPr>
        <w:pStyle w:val="StyleHeading3ComplexItalic"/>
        <w:keepLines/>
        <w:ind w:left="1985" w:hanging="1985"/>
      </w:pPr>
      <w:bookmarkStart w:id="44" w:name="_Toc427154408"/>
      <w:r w:rsidRPr="009B4A78">
        <w:lastRenderedPageBreak/>
        <w:t>PROGRAM 11</w:t>
      </w:r>
      <w:r w:rsidRPr="009B4A78">
        <w:tab/>
        <w:t>THE WIPO ACADEMY</w:t>
      </w:r>
      <w:bookmarkEnd w:id="44"/>
    </w:p>
    <w:p w14:paraId="1D9D0D27" w14:textId="77777777" w:rsidR="00865AEC" w:rsidRPr="009B4A78" w:rsidRDefault="00865AEC" w:rsidP="00F33E49">
      <w:pPr>
        <w:rPr>
          <w:rFonts w:ascii="Arial" w:hAnsi="Arial" w:cs="Arial"/>
          <w:sz w:val="20"/>
          <w:szCs w:val="20"/>
        </w:rPr>
      </w:pPr>
    </w:p>
    <w:p w14:paraId="2D0E4672" w14:textId="77777777" w:rsidR="00865AEC" w:rsidRPr="009B4A78" w:rsidRDefault="00865AEC" w:rsidP="00F33E49">
      <w:pPr>
        <w:jc w:val="both"/>
        <w:rPr>
          <w:rFonts w:ascii="Arial" w:hAnsi="Arial" w:cs="Arial"/>
          <w:sz w:val="20"/>
          <w:szCs w:val="20"/>
        </w:rPr>
      </w:pPr>
    </w:p>
    <w:p w14:paraId="17B13C83" w14:textId="77777777" w:rsidR="00865AEC" w:rsidRPr="009B4A78" w:rsidRDefault="00865AEC" w:rsidP="00F33E49">
      <w:pPr>
        <w:jc w:val="both"/>
        <w:rPr>
          <w:rFonts w:ascii="Arial" w:hAnsi="Arial" w:cs="Arial"/>
          <w:szCs w:val="20"/>
        </w:rPr>
      </w:pPr>
      <w:r w:rsidRPr="009B4A78">
        <w:rPr>
          <w:rFonts w:ascii="Arial" w:hAnsi="Arial" w:cs="Arial"/>
          <w:szCs w:val="20"/>
        </w:rPr>
        <w:t>PLANNING CONTEXT</w:t>
      </w:r>
    </w:p>
    <w:p w14:paraId="056B30CE" w14:textId="77777777" w:rsidR="00865AEC" w:rsidRPr="009B4A78" w:rsidRDefault="00865AEC" w:rsidP="00F33E49">
      <w:pPr>
        <w:jc w:val="both"/>
        <w:rPr>
          <w:rFonts w:ascii="Arial" w:hAnsi="Arial" w:cs="Arial"/>
          <w:szCs w:val="20"/>
        </w:rPr>
      </w:pPr>
    </w:p>
    <w:p w14:paraId="7C3BFFB0"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The WIPO Academy is the core entity in WIPO for training and human capacity-building activities, particularly for developing countries, LDCs and countries in transition.  The Academy acts as an in-house center of excellence on training, including professional training; a catalyst for networks and partnerships to expand the range and impact of training opportunities at the national level; an open-access on-line clearing house of information on all WIPO training activities, tools and services; a unique and multi-lingual provider of on-line distance learning and training; and a hub of virtual network of partners, experts and teachers in development-oriented IP training.</w:t>
      </w:r>
    </w:p>
    <w:p w14:paraId="24CCED43" w14:textId="77777777" w:rsidR="00865AEC" w:rsidRPr="009B4A78" w:rsidRDefault="00865AEC" w:rsidP="00F33E49">
      <w:pPr>
        <w:jc w:val="both"/>
        <w:rPr>
          <w:rFonts w:ascii="Arial" w:hAnsi="Arial" w:cs="Arial"/>
          <w:sz w:val="20"/>
          <w:szCs w:val="20"/>
        </w:rPr>
      </w:pPr>
    </w:p>
    <w:p w14:paraId="64B6F396"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 xml:space="preserve">In the biennium 2014/15, the Academy embarked on a gradual and consistent reform process to reposition the Academy as the organization-wide vehicle for professional training and capacity-building. </w:t>
      </w:r>
    </w:p>
    <w:p w14:paraId="59ABAFEF" w14:textId="77777777" w:rsidR="00865AEC" w:rsidRPr="009B4A78" w:rsidRDefault="00865AEC" w:rsidP="00F33E49">
      <w:pPr>
        <w:jc w:val="both"/>
        <w:rPr>
          <w:rFonts w:ascii="Arial" w:hAnsi="Arial" w:cs="Arial"/>
          <w:sz w:val="20"/>
          <w:szCs w:val="20"/>
        </w:rPr>
      </w:pPr>
    </w:p>
    <w:p w14:paraId="2A8959FD" w14:textId="77777777" w:rsidR="00865AEC" w:rsidRPr="009B4A78" w:rsidRDefault="00865AEC" w:rsidP="00F33E49">
      <w:pPr>
        <w:jc w:val="both"/>
        <w:rPr>
          <w:rFonts w:ascii="Arial" w:hAnsi="Arial" w:cs="Arial"/>
          <w:sz w:val="20"/>
          <w:szCs w:val="20"/>
        </w:rPr>
      </w:pPr>
    </w:p>
    <w:p w14:paraId="724E038B" w14:textId="77777777" w:rsidR="00865AEC" w:rsidRPr="009B4A78" w:rsidRDefault="00865AEC" w:rsidP="00F33E49">
      <w:pPr>
        <w:jc w:val="both"/>
        <w:rPr>
          <w:rFonts w:ascii="Arial" w:hAnsi="Arial" w:cs="Arial"/>
          <w:szCs w:val="20"/>
        </w:rPr>
      </w:pPr>
      <w:r w:rsidRPr="009B4A78">
        <w:rPr>
          <w:rFonts w:ascii="Arial" w:hAnsi="Arial" w:cs="Arial"/>
          <w:szCs w:val="20"/>
        </w:rPr>
        <w:t>IMPLEMENTATION STRATEGIES</w:t>
      </w:r>
    </w:p>
    <w:p w14:paraId="35EAD406" w14:textId="77777777" w:rsidR="00865AEC" w:rsidRPr="009B4A78" w:rsidRDefault="00865AEC" w:rsidP="00F33E49">
      <w:pPr>
        <w:jc w:val="both"/>
        <w:rPr>
          <w:rFonts w:ascii="Arial" w:hAnsi="Arial" w:cs="Arial"/>
          <w:szCs w:val="20"/>
        </w:rPr>
      </w:pPr>
    </w:p>
    <w:p w14:paraId="0CD4ACA5"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 xml:space="preserve">In working to attain the objectives of its reform, the Academy will draw on its experience and comparative advantages.  These include its neutrality, credibility and brand name; its prior investments in training and teaching materials and tools including its distance learning platform; its large international network of experts, teachers and tutors; its long-standing cooperation and partnership with national and regional institutions; its diverse linguistic content; its experience in identifying and catering to the training priorities and needs of Member States and other stakeholders; and its non-profit status.  </w:t>
      </w:r>
    </w:p>
    <w:p w14:paraId="55EFEDD6" w14:textId="77777777" w:rsidR="00865AEC" w:rsidRPr="009B4A78" w:rsidRDefault="00865AEC" w:rsidP="00F33E49">
      <w:pPr>
        <w:jc w:val="both"/>
        <w:rPr>
          <w:rFonts w:ascii="Arial" w:hAnsi="Arial" w:cs="Arial"/>
          <w:sz w:val="20"/>
          <w:szCs w:val="20"/>
        </w:rPr>
      </w:pPr>
    </w:p>
    <w:p w14:paraId="708417E9"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The Academy will work closely with all concerned Sectors in the Organization to develop regular and effective processes and mechanisms for internal consultations, planning and information sharing for identifying and responding in a timely and efficient manner to training needs and requests.</w:t>
      </w:r>
    </w:p>
    <w:p w14:paraId="16963870" w14:textId="77777777" w:rsidR="00865AEC" w:rsidRPr="009B4A78" w:rsidRDefault="00865AEC" w:rsidP="00F33E49">
      <w:pPr>
        <w:jc w:val="both"/>
        <w:rPr>
          <w:rFonts w:ascii="Arial" w:hAnsi="Arial" w:cs="Arial"/>
          <w:sz w:val="20"/>
          <w:szCs w:val="20"/>
        </w:rPr>
      </w:pPr>
    </w:p>
    <w:p w14:paraId="1BFFDEA8" w14:textId="5D7E8818"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 xml:space="preserve">The Academy will continue to review and update the content of its training materials and distance learning courses, in close cooperation with the concerned substantive sectors in WIPO, tutors, renowned experts and professors. Emphasis will also be placed on translation into different languages where a clear demand has been identified.  Efforts will be made to develop ICT tools that would enable more effective administration and delivery of the distance learning courses.  Priority will be given to promote a larger participation of women in the Academy’s programs as well as equal geographical distribution in all instances where the Academy has selection prerogatives.  The Academy will also seek to improve its evaluation tools </w:t>
      </w:r>
      <w:r w:rsidR="00AF5A57">
        <w:rPr>
          <w:rFonts w:ascii="Arial" w:hAnsi="Arial" w:cs="Arial"/>
          <w:sz w:val="20"/>
          <w:szCs w:val="20"/>
        </w:rPr>
        <w:t xml:space="preserve">in order </w:t>
      </w:r>
      <w:r w:rsidRPr="009B4A78">
        <w:rPr>
          <w:rFonts w:ascii="Arial" w:hAnsi="Arial" w:cs="Arial"/>
          <w:sz w:val="20"/>
          <w:szCs w:val="20"/>
        </w:rPr>
        <w:t xml:space="preserve">to draw </w:t>
      </w:r>
      <w:r w:rsidR="00AF5A57">
        <w:rPr>
          <w:rFonts w:ascii="Arial" w:hAnsi="Arial" w:cs="Arial"/>
          <w:sz w:val="20"/>
          <w:szCs w:val="20"/>
        </w:rPr>
        <w:t xml:space="preserve">upon </w:t>
      </w:r>
      <w:r w:rsidRPr="009B4A78">
        <w:rPr>
          <w:rFonts w:ascii="Arial" w:hAnsi="Arial" w:cs="Arial"/>
          <w:sz w:val="20"/>
          <w:szCs w:val="20"/>
        </w:rPr>
        <w:t xml:space="preserve">lessons </w:t>
      </w:r>
      <w:r w:rsidR="00AF5A57">
        <w:rPr>
          <w:rFonts w:ascii="Arial" w:hAnsi="Arial" w:cs="Arial"/>
          <w:sz w:val="20"/>
          <w:szCs w:val="20"/>
        </w:rPr>
        <w:t xml:space="preserve">learned </w:t>
      </w:r>
      <w:r w:rsidRPr="009B4A78">
        <w:rPr>
          <w:rFonts w:ascii="Arial" w:hAnsi="Arial" w:cs="Arial"/>
          <w:sz w:val="20"/>
          <w:szCs w:val="20"/>
        </w:rPr>
        <w:t xml:space="preserve">and </w:t>
      </w:r>
      <w:r w:rsidR="00AF5A57">
        <w:rPr>
          <w:rFonts w:ascii="Arial" w:hAnsi="Arial" w:cs="Arial"/>
          <w:sz w:val="20"/>
          <w:szCs w:val="20"/>
        </w:rPr>
        <w:t xml:space="preserve">thereby </w:t>
      </w:r>
      <w:r w:rsidRPr="009B4A78">
        <w:rPr>
          <w:rFonts w:ascii="Arial" w:hAnsi="Arial" w:cs="Arial"/>
          <w:sz w:val="20"/>
          <w:szCs w:val="20"/>
        </w:rPr>
        <w:t xml:space="preserve">adapt training programs to better meet training requirements </w:t>
      </w:r>
      <w:r w:rsidR="00AF5A57">
        <w:rPr>
          <w:rFonts w:ascii="Arial" w:hAnsi="Arial" w:cs="Arial"/>
          <w:sz w:val="20"/>
          <w:szCs w:val="20"/>
        </w:rPr>
        <w:t>for</w:t>
      </w:r>
      <w:r w:rsidR="00AF5A57" w:rsidRPr="009B4A78">
        <w:rPr>
          <w:rFonts w:ascii="Arial" w:hAnsi="Arial" w:cs="Arial"/>
          <w:sz w:val="20"/>
          <w:szCs w:val="20"/>
        </w:rPr>
        <w:t xml:space="preserve"> </w:t>
      </w:r>
      <w:r w:rsidRPr="009B4A78">
        <w:rPr>
          <w:rFonts w:ascii="Arial" w:hAnsi="Arial" w:cs="Arial"/>
          <w:sz w:val="20"/>
          <w:szCs w:val="20"/>
        </w:rPr>
        <w:t>intended beneficiaries.</w:t>
      </w:r>
    </w:p>
    <w:p w14:paraId="420D8ED3" w14:textId="77777777" w:rsidR="00865AEC" w:rsidRPr="009B4A78" w:rsidRDefault="00865AEC" w:rsidP="00F33E49">
      <w:pPr>
        <w:jc w:val="both"/>
        <w:rPr>
          <w:rFonts w:ascii="Arial" w:hAnsi="Arial" w:cs="Arial"/>
          <w:sz w:val="20"/>
          <w:szCs w:val="20"/>
        </w:rPr>
      </w:pPr>
    </w:p>
    <w:p w14:paraId="1D2D0C8C" w14:textId="02737B31"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 xml:space="preserve">In the delivery of its programs in the 2016/17 biennium, the Academy will endeavor to develop new partnerships with national and regional institutions in Member States.  Such partnerships would have the objective of developing national expertise and long-term local capacities, enhancing impact and extending geographical </w:t>
      </w:r>
      <w:r w:rsidR="00AF5A57">
        <w:rPr>
          <w:rFonts w:ascii="Arial" w:hAnsi="Arial" w:cs="Arial"/>
          <w:sz w:val="20"/>
          <w:szCs w:val="20"/>
        </w:rPr>
        <w:t>out</w:t>
      </w:r>
      <w:r w:rsidRPr="009B4A78">
        <w:rPr>
          <w:rFonts w:ascii="Arial" w:hAnsi="Arial" w:cs="Arial"/>
          <w:sz w:val="20"/>
          <w:szCs w:val="20"/>
        </w:rPr>
        <w:t>reach.  A policy with specific criteria and conditions for partnerships will be developed.</w:t>
      </w:r>
    </w:p>
    <w:p w14:paraId="64470CCE" w14:textId="77777777" w:rsidR="00865AEC" w:rsidRPr="009B4A78" w:rsidRDefault="00865AEC" w:rsidP="00F33E49">
      <w:pPr>
        <w:jc w:val="both"/>
        <w:rPr>
          <w:rFonts w:ascii="Arial" w:hAnsi="Arial" w:cs="Arial"/>
          <w:sz w:val="20"/>
          <w:szCs w:val="20"/>
        </w:rPr>
      </w:pPr>
    </w:p>
    <w:p w14:paraId="14C332A6"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In 2016/17, the Academy will in particular focus on:</w:t>
      </w:r>
    </w:p>
    <w:p w14:paraId="1F7ACECB" w14:textId="77777777" w:rsidR="00865AEC" w:rsidRPr="009B4A78" w:rsidRDefault="00865AEC" w:rsidP="00F33E49">
      <w:pPr>
        <w:jc w:val="both"/>
        <w:rPr>
          <w:rFonts w:ascii="Arial" w:hAnsi="Arial" w:cs="Arial"/>
          <w:sz w:val="20"/>
          <w:szCs w:val="20"/>
        </w:rPr>
      </w:pPr>
    </w:p>
    <w:p w14:paraId="455BF5F9" w14:textId="77777777" w:rsidR="00865AEC" w:rsidRDefault="00865AEC" w:rsidP="00B66A4A">
      <w:pPr>
        <w:pStyle w:val="ListParagraph"/>
        <w:numPr>
          <w:ilvl w:val="0"/>
          <w:numId w:val="12"/>
        </w:numPr>
        <w:tabs>
          <w:tab w:val="left" w:pos="1276"/>
        </w:tabs>
        <w:ind w:left="709" w:firstLine="0"/>
        <w:jc w:val="both"/>
        <w:rPr>
          <w:rFonts w:ascii="Arial" w:hAnsi="Arial" w:cs="Arial"/>
          <w:sz w:val="20"/>
          <w:szCs w:val="20"/>
        </w:rPr>
      </w:pPr>
      <w:r w:rsidRPr="009B4A78">
        <w:rPr>
          <w:rFonts w:ascii="Arial" w:hAnsi="Arial" w:cs="Arial"/>
          <w:sz w:val="20"/>
          <w:szCs w:val="20"/>
        </w:rPr>
        <w:t>Professional Development Program:  A set of core training courses covering high priority topics will continue to be delivered to government officials and public sector employees.  A new set of courses will be carefully designed and developed to meet priorities established by Member States.  The Academy will continue to assist Member States in the establishment of national Start-up Academies based on acquired experience and lessons learned as well as to help existing IP Academies become sustainable and part of an active IP Academy network.</w:t>
      </w:r>
    </w:p>
    <w:p w14:paraId="2349C9DD" w14:textId="77777777" w:rsidR="00AF5A57" w:rsidRPr="009B4A78" w:rsidRDefault="00AF5A57" w:rsidP="00FB68E0">
      <w:pPr>
        <w:pStyle w:val="ListParagraph"/>
        <w:tabs>
          <w:tab w:val="left" w:pos="1276"/>
        </w:tabs>
        <w:ind w:left="709"/>
        <w:jc w:val="both"/>
        <w:rPr>
          <w:rFonts w:ascii="Arial" w:hAnsi="Arial" w:cs="Arial"/>
          <w:sz w:val="20"/>
          <w:szCs w:val="20"/>
        </w:rPr>
      </w:pPr>
    </w:p>
    <w:p w14:paraId="73F81C15" w14:textId="5A37E126" w:rsidR="00865AEC" w:rsidRPr="009B4A78" w:rsidRDefault="00865AEC" w:rsidP="00B66A4A">
      <w:pPr>
        <w:pStyle w:val="ListParagraph"/>
        <w:numPr>
          <w:ilvl w:val="0"/>
          <w:numId w:val="12"/>
        </w:numPr>
        <w:tabs>
          <w:tab w:val="left" w:pos="1276"/>
        </w:tabs>
        <w:ind w:left="709" w:firstLine="0"/>
        <w:jc w:val="both"/>
        <w:rPr>
          <w:rFonts w:ascii="Arial" w:hAnsi="Arial" w:cs="Arial"/>
          <w:sz w:val="20"/>
          <w:szCs w:val="20"/>
        </w:rPr>
      </w:pPr>
      <w:r w:rsidRPr="009B4A78">
        <w:rPr>
          <w:rFonts w:ascii="Arial" w:hAnsi="Arial" w:cs="Arial"/>
          <w:sz w:val="20"/>
          <w:szCs w:val="20"/>
        </w:rPr>
        <w:t xml:space="preserve">Distance Learning Program:  Some 35,000 participants worldwide follow each year the distance learning courses offered by the WIPO Academy.  Their participation will continue to be facilitated by a dedicated registration and learning platform and the availability of a selection of 17 modules in eleven different languages.  The Academy will also work to promote </w:t>
      </w:r>
      <w:r w:rsidRPr="009B4A78">
        <w:rPr>
          <w:rFonts w:ascii="Arial" w:hAnsi="Arial" w:cs="Arial"/>
          <w:sz w:val="20"/>
          <w:szCs w:val="20"/>
        </w:rPr>
        <w:lastRenderedPageBreak/>
        <w:t>the use of its distance learning courses as a prerequisite for participating in certain specialized training activities organized by different sectors in WIPO.</w:t>
      </w:r>
    </w:p>
    <w:p w14:paraId="105A4E8A" w14:textId="77777777" w:rsidR="00865AEC" w:rsidRPr="009B4A78" w:rsidRDefault="00865AEC" w:rsidP="00F33E49">
      <w:pPr>
        <w:pStyle w:val="ListParagraph"/>
        <w:tabs>
          <w:tab w:val="left" w:pos="1276"/>
        </w:tabs>
        <w:ind w:left="709"/>
        <w:jc w:val="both"/>
        <w:rPr>
          <w:rFonts w:ascii="Arial" w:hAnsi="Arial" w:cs="Arial"/>
          <w:sz w:val="20"/>
          <w:szCs w:val="20"/>
        </w:rPr>
      </w:pPr>
    </w:p>
    <w:p w14:paraId="7383AFD0" w14:textId="77777777" w:rsidR="00865AEC" w:rsidRPr="009B4A78" w:rsidRDefault="00865AEC" w:rsidP="00B66A4A">
      <w:pPr>
        <w:pStyle w:val="ListParagraph"/>
        <w:numPr>
          <w:ilvl w:val="0"/>
          <w:numId w:val="12"/>
        </w:numPr>
        <w:tabs>
          <w:tab w:val="left" w:pos="1276"/>
        </w:tabs>
        <w:ind w:left="709" w:firstLine="0"/>
        <w:jc w:val="both"/>
        <w:rPr>
          <w:rFonts w:ascii="Arial" w:hAnsi="Arial" w:cs="Arial"/>
          <w:sz w:val="20"/>
          <w:szCs w:val="20"/>
        </w:rPr>
      </w:pPr>
      <w:r w:rsidRPr="009B4A78">
        <w:rPr>
          <w:rFonts w:ascii="Arial" w:hAnsi="Arial" w:cs="Arial"/>
          <w:sz w:val="20"/>
          <w:szCs w:val="20"/>
        </w:rPr>
        <w:t>Academic Institutions Program:  The WIPO Academy will continue its support for graduate level education on IP through the joint Master’s programs.  The current model will be revisited with a view to evolve the Academy’s role from granting scholarships to individual beneficiaries to a hybrid model where a varied range of advice and assistance will be offered to academic institutions, including by renowned academic institutions with which WIPO maintains close and privileged cooperation.  An emphasis will be placed on developing new and improved IP courses and curricula with more national and regional focus, promoting the use of national and regional expertise, developing local capacities and talents, and using ICT platforms, such as the DL platform, to provide for necessary material and instruction.  A limited number of summer schools will continue to be jointly organized with existing and new partners on a rotational basis, taking into consideration factors such as partners’ contributions, geographical location, linguistic balance and program sustainability.</w:t>
      </w:r>
    </w:p>
    <w:p w14:paraId="1DFCBACC" w14:textId="77777777" w:rsidR="00865AEC" w:rsidRPr="009B4A78" w:rsidRDefault="00865AEC" w:rsidP="00F33E49">
      <w:pPr>
        <w:pStyle w:val="ListParagraph"/>
        <w:ind w:left="0"/>
        <w:jc w:val="both"/>
        <w:rPr>
          <w:rFonts w:ascii="Arial" w:hAnsi="Arial" w:cs="Arial"/>
          <w:sz w:val="20"/>
          <w:szCs w:val="20"/>
        </w:rPr>
      </w:pPr>
    </w:p>
    <w:p w14:paraId="0396DDBC" w14:textId="77777777" w:rsidR="00865AEC" w:rsidRPr="009B4A78" w:rsidRDefault="00865AEC" w:rsidP="00B66A4A">
      <w:pPr>
        <w:pStyle w:val="ListParagraph"/>
        <w:numPr>
          <w:ilvl w:val="0"/>
          <w:numId w:val="13"/>
        </w:numPr>
        <w:tabs>
          <w:tab w:val="left" w:pos="709"/>
        </w:tabs>
        <w:ind w:left="0" w:firstLine="0"/>
        <w:jc w:val="both"/>
        <w:rPr>
          <w:rFonts w:ascii="Arial" w:hAnsi="Arial" w:cs="Arial"/>
          <w:sz w:val="20"/>
          <w:szCs w:val="20"/>
        </w:rPr>
      </w:pPr>
      <w:r w:rsidRPr="009B4A78">
        <w:rPr>
          <w:rFonts w:ascii="Arial" w:hAnsi="Arial" w:cs="Arial"/>
          <w:sz w:val="20"/>
          <w:szCs w:val="20"/>
        </w:rPr>
        <w:t>While the WIPO Academy cooperates with most Programs of the Organization for the development and delivery of tailored training programs, the below diagram illustrates those Programs with which the Academy has the most regular day-to-day cooperation.</w:t>
      </w:r>
    </w:p>
    <w:p w14:paraId="4DC51C8F" w14:textId="77777777" w:rsidR="00865AEC" w:rsidRPr="009B4A78" w:rsidRDefault="00865AEC" w:rsidP="00F33E49">
      <w:pPr>
        <w:pStyle w:val="ListParagraph"/>
        <w:ind w:left="0"/>
        <w:jc w:val="both"/>
        <w:rPr>
          <w:rFonts w:ascii="Arial" w:hAnsi="Arial" w:cs="Arial"/>
          <w:sz w:val="20"/>
          <w:szCs w:val="20"/>
        </w:rPr>
      </w:pPr>
      <w:r w:rsidRPr="009B4A78">
        <w:rPr>
          <w:rFonts w:ascii="Arial" w:hAnsi="Arial" w:cs="Arial"/>
          <w:sz w:val="20"/>
          <w:szCs w:val="20"/>
        </w:rPr>
        <w:t xml:space="preserve">  </w:t>
      </w:r>
    </w:p>
    <w:p w14:paraId="1DE57AAF" w14:textId="77777777" w:rsidR="00865AEC" w:rsidRPr="009B4A78" w:rsidRDefault="00865AEC" w:rsidP="00F33E49">
      <w:pPr>
        <w:pStyle w:val="ListParagraph"/>
        <w:ind w:left="0"/>
        <w:jc w:val="both"/>
        <w:rPr>
          <w:rFonts w:ascii="Arial" w:hAnsi="Arial" w:cs="Arial"/>
          <w:sz w:val="20"/>
          <w:szCs w:val="20"/>
        </w:rPr>
      </w:pPr>
    </w:p>
    <w:p w14:paraId="07A05229" w14:textId="77777777" w:rsidR="00865AEC" w:rsidRPr="009B4A78" w:rsidRDefault="00865AEC" w:rsidP="00F33E49">
      <w:pPr>
        <w:rPr>
          <w:rFonts w:ascii="Arial" w:hAnsi="Arial" w:cs="Arial"/>
          <w:sz w:val="20"/>
        </w:rPr>
      </w:pPr>
      <w:r w:rsidRPr="009B4A78">
        <w:rPr>
          <w:rFonts w:ascii="Arial" w:hAnsi="Arial" w:cs="Arial"/>
          <w:noProof/>
          <w:lang w:eastAsia="en-US"/>
        </w:rPr>
        <w:drawing>
          <wp:inline distT="0" distB="0" distL="0" distR="0" wp14:anchorId="1E57AE71" wp14:editId="24CBD60E">
            <wp:extent cx="5943600" cy="1518249"/>
            <wp:effectExtent l="57150" t="19050" r="0" b="44450"/>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14:paraId="2C7CA66B" w14:textId="77777777" w:rsidR="00865AEC" w:rsidRPr="009B4A78" w:rsidRDefault="00865AEC" w:rsidP="00F33E49">
      <w:pPr>
        <w:rPr>
          <w:rFonts w:ascii="Arial" w:hAnsi="Arial" w:cs="Arial"/>
        </w:rPr>
      </w:pPr>
    </w:p>
    <w:p w14:paraId="45092133" w14:textId="77777777" w:rsidR="00865AEC" w:rsidRPr="009B4A78" w:rsidRDefault="00865AEC" w:rsidP="00F33E49">
      <w:pPr>
        <w:rPr>
          <w:rFonts w:ascii="Arial" w:hAnsi="Arial" w:cs="Arial"/>
        </w:rPr>
      </w:pPr>
    </w:p>
    <w:p w14:paraId="0A4B8290" w14:textId="77777777" w:rsidR="00865AEC" w:rsidRPr="009B4A78" w:rsidRDefault="00865AEC" w:rsidP="00F33E49">
      <w:pPr>
        <w:rPr>
          <w:rFonts w:ascii="Arial" w:hAnsi="Arial" w:cs="Arial"/>
        </w:rPr>
      </w:pPr>
      <w:r w:rsidRPr="009B4A78">
        <w:rPr>
          <w:rFonts w:ascii="Arial" w:hAnsi="Arial" w:cs="Arial"/>
        </w:rPr>
        <w:t>MAJOR RISKS AND MITIGATION STRATEGIES</w:t>
      </w:r>
    </w:p>
    <w:p w14:paraId="0DDC8A69" w14:textId="77777777" w:rsidR="00865AEC" w:rsidRPr="009B4A78" w:rsidRDefault="00865AEC" w:rsidP="00F33E49">
      <w:pPr>
        <w:rPr>
          <w:rFonts w:ascii="Arial" w:eastAsia="Times New Roman" w:hAnsi="Arial" w:cs="Arial"/>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03"/>
      </w:tblGrid>
      <w:tr w:rsidR="00865AEC" w:rsidRPr="009B4A78" w14:paraId="4DA79BDD" w14:textId="77777777" w:rsidTr="00F33E49">
        <w:trPr>
          <w:trHeight w:val="577"/>
        </w:trPr>
        <w:tc>
          <w:tcPr>
            <w:tcW w:w="4253" w:type="dxa"/>
            <w:tcBorders>
              <w:top w:val="single" w:sz="4" w:space="0" w:color="auto"/>
              <w:bottom w:val="single" w:sz="4" w:space="0" w:color="auto"/>
            </w:tcBorders>
            <w:shd w:val="clear" w:color="auto" w:fill="C6D9F1" w:themeFill="text2" w:themeFillTint="33"/>
            <w:vAlign w:val="center"/>
          </w:tcPr>
          <w:p w14:paraId="60B6852E" w14:textId="77777777" w:rsidR="00865AEC" w:rsidRPr="009B4A78" w:rsidRDefault="00865AEC" w:rsidP="00F33E49">
            <w:pPr>
              <w:jc w:val="center"/>
              <w:rPr>
                <w:rFonts w:ascii="Arial" w:eastAsia="Times New Roman" w:hAnsi="Arial" w:cs="Arial"/>
                <w:b/>
                <w:bCs/>
                <w:sz w:val="18"/>
                <w:szCs w:val="18"/>
              </w:rPr>
            </w:pPr>
            <w:r w:rsidRPr="009B4A78">
              <w:rPr>
                <w:rFonts w:ascii="Arial" w:eastAsia="Times New Roman"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552027E7" w14:textId="77777777" w:rsidR="00865AEC" w:rsidRPr="009B4A78" w:rsidRDefault="00865AEC" w:rsidP="00F33E49">
            <w:pPr>
              <w:jc w:val="center"/>
              <w:rPr>
                <w:rFonts w:ascii="Arial" w:eastAsia="Times New Roman" w:hAnsi="Arial" w:cs="Arial"/>
                <w:b/>
                <w:bCs/>
                <w:sz w:val="18"/>
                <w:szCs w:val="18"/>
              </w:rPr>
            </w:pPr>
            <w:r w:rsidRPr="009B4A78">
              <w:rPr>
                <w:rFonts w:ascii="Arial" w:eastAsia="Times New Roman" w:hAnsi="Arial" w:cs="Arial"/>
                <w:b/>
                <w:bCs/>
                <w:sz w:val="18"/>
                <w:szCs w:val="18"/>
              </w:rPr>
              <w:t>Mitigation</w:t>
            </w:r>
          </w:p>
        </w:tc>
      </w:tr>
      <w:tr w:rsidR="00865AEC" w:rsidRPr="009B4A78" w14:paraId="601426BC" w14:textId="77777777" w:rsidTr="00F33E49">
        <w:trPr>
          <w:trHeight w:val="615"/>
        </w:trPr>
        <w:tc>
          <w:tcPr>
            <w:tcW w:w="4253" w:type="dxa"/>
            <w:tcBorders>
              <w:top w:val="single" w:sz="4" w:space="0" w:color="auto"/>
              <w:left w:val="single" w:sz="4" w:space="0" w:color="auto"/>
              <w:bottom w:val="nil"/>
              <w:right w:val="nil"/>
            </w:tcBorders>
            <w:shd w:val="clear" w:color="auto" w:fill="auto"/>
            <w:tcMar>
              <w:top w:w="113" w:type="dxa"/>
              <w:bottom w:w="113" w:type="dxa"/>
            </w:tcMar>
          </w:tcPr>
          <w:p w14:paraId="32134A0C" w14:textId="77777777" w:rsidR="00865AEC" w:rsidRPr="009B4A78" w:rsidRDefault="00865AEC" w:rsidP="00F33E49">
            <w:pPr>
              <w:rPr>
                <w:rFonts w:ascii="Arial" w:eastAsia="Times New Roman" w:hAnsi="Arial" w:cs="Arial"/>
                <w:sz w:val="16"/>
                <w:szCs w:val="16"/>
              </w:rPr>
            </w:pPr>
            <w:r w:rsidRPr="009B4A78">
              <w:rPr>
                <w:rFonts w:ascii="Arial" w:eastAsia="Times New Roman" w:hAnsi="Arial" w:cs="Arial"/>
                <w:color w:val="000000"/>
                <w:sz w:val="16"/>
                <w:szCs w:val="16"/>
              </w:rPr>
              <w:t>The decrease of financial contribution from partner institutions may impact the delivery of the training programs and the establishment of new training courses.</w:t>
            </w:r>
          </w:p>
        </w:tc>
        <w:tc>
          <w:tcPr>
            <w:tcW w:w="5103" w:type="dxa"/>
            <w:tcBorders>
              <w:top w:val="single" w:sz="4" w:space="0" w:color="auto"/>
              <w:left w:val="nil"/>
              <w:bottom w:val="nil"/>
              <w:right w:val="single" w:sz="4" w:space="0" w:color="auto"/>
            </w:tcBorders>
            <w:shd w:val="clear" w:color="auto" w:fill="auto"/>
            <w:tcMar>
              <w:top w:w="113" w:type="dxa"/>
              <w:bottom w:w="113" w:type="dxa"/>
            </w:tcMar>
          </w:tcPr>
          <w:p w14:paraId="290C8341" w14:textId="77777777" w:rsidR="00865AEC" w:rsidRPr="009B4A78" w:rsidRDefault="00865AEC" w:rsidP="00F33E49">
            <w:pPr>
              <w:rPr>
                <w:rFonts w:ascii="Arial" w:eastAsia="Times New Roman" w:hAnsi="Arial" w:cs="Arial"/>
                <w:sz w:val="16"/>
                <w:szCs w:val="16"/>
              </w:rPr>
            </w:pPr>
            <w:r w:rsidRPr="009B4A78">
              <w:rPr>
                <w:rFonts w:ascii="Arial" w:eastAsia="Times New Roman" w:hAnsi="Arial" w:cs="Arial"/>
                <w:color w:val="000000"/>
                <w:sz w:val="16"/>
                <w:szCs w:val="16"/>
              </w:rPr>
              <w:t>Continuous discussions with current and prospective new partner institutions</w:t>
            </w:r>
          </w:p>
        </w:tc>
      </w:tr>
      <w:tr w:rsidR="00865AEC" w:rsidRPr="009B4A78" w14:paraId="60C47EFB" w14:textId="77777777" w:rsidTr="00F33E49">
        <w:trPr>
          <w:trHeight w:val="330"/>
        </w:trPr>
        <w:tc>
          <w:tcPr>
            <w:tcW w:w="4253" w:type="dxa"/>
            <w:tcBorders>
              <w:top w:val="nil"/>
              <w:left w:val="single" w:sz="4" w:space="0" w:color="auto"/>
              <w:bottom w:val="nil"/>
              <w:right w:val="nil"/>
            </w:tcBorders>
            <w:shd w:val="clear" w:color="auto" w:fill="auto"/>
            <w:tcMar>
              <w:top w:w="113" w:type="dxa"/>
              <w:bottom w:w="113" w:type="dxa"/>
            </w:tcMar>
          </w:tcPr>
          <w:p w14:paraId="001ED723"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In a fast-changing technological and IP landscape, user expectations and preferences are also evolving rapidly.   The content interface, graphics and IT platform of distance learning courses can become outdated</w:t>
            </w:r>
          </w:p>
        </w:tc>
        <w:tc>
          <w:tcPr>
            <w:tcW w:w="5103" w:type="dxa"/>
            <w:tcBorders>
              <w:top w:val="nil"/>
              <w:left w:val="nil"/>
              <w:bottom w:val="nil"/>
              <w:right w:val="single" w:sz="4" w:space="0" w:color="auto"/>
            </w:tcBorders>
            <w:shd w:val="clear" w:color="auto" w:fill="auto"/>
            <w:tcMar>
              <w:top w:w="113" w:type="dxa"/>
              <w:bottom w:w="113" w:type="dxa"/>
            </w:tcMar>
          </w:tcPr>
          <w:p w14:paraId="3A300F37" w14:textId="77777777" w:rsidR="00865AEC" w:rsidRPr="009B4A78" w:rsidRDefault="00865AEC" w:rsidP="00F33E49">
            <w:pPr>
              <w:rPr>
                <w:rFonts w:ascii="Arial" w:eastAsia="Times New Roman" w:hAnsi="Arial" w:cs="Arial"/>
                <w:sz w:val="16"/>
                <w:szCs w:val="16"/>
              </w:rPr>
            </w:pPr>
            <w:r w:rsidRPr="009B4A78">
              <w:rPr>
                <w:rFonts w:ascii="Arial" w:eastAsia="Times New Roman" w:hAnsi="Arial" w:cs="Arial"/>
                <w:color w:val="000000"/>
                <w:sz w:val="16"/>
                <w:szCs w:val="16"/>
              </w:rPr>
              <w:t>Feedback surveys from DL students and tutors.  Engagement of experts to review courses and modernize platforms</w:t>
            </w:r>
          </w:p>
        </w:tc>
      </w:tr>
      <w:tr w:rsidR="00865AEC" w:rsidRPr="009B4A78" w14:paraId="3543ECBF" w14:textId="77777777" w:rsidTr="00F33E49">
        <w:trPr>
          <w:trHeight w:val="466"/>
        </w:trPr>
        <w:tc>
          <w:tcPr>
            <w:tcW w:w="4253" w:type="dxa"/>
            <w:tcBorders>
              <w:top w:val="nil"/>
              <w:left w:val="single" w:sz="4" w:space="0" w:color="auto"/>
              <w:bottom w:val="single" w:sz="4" w:space="0" w:color="auto"/>
              <w:right w:val="nil"/>
            </w:tcBorders>
            <w:shd w:val="clear" w:color="auto" w:fill="auto"/>
            <w:tcMar>
              <w:top w:w="113" w:type="dxa"/>
              <w:bottom w:w="113" w:type="dxa"/>
            </w:tcMar>
          </w:tcPr>
          <w:p w14:paraId="6D484EC7"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IP content of the training programs of the Academy could become misaligned in relation to emerging global challenges and developments of the IP system.</w:t>
            </w:r>
          </w:p>
        </w:tc>
        <w:tc>
          <w:tcPr>
            <w:tcW w:w="5103" w:type="dxa"/>
            <w:tcBorders>
              <w:top w:val="nil"/>
              <w:left w:val="nil"/>
              <w:bottom w:val="single" w:sz="4" w:space="0" w:color="auto"/>
              <w:right w:val="single" w:sz="4" w:space="0" w:color="auto"/>
            </w:tcBorders>
            <w:shd w:val="clear" w:color="auto" w:fill="auto"/>
            <w:tcMar>
              <w:top w:w="113" w:type="dxa"/>
              <w:bottom w:w="113" w:type="dxa"/>
            </w:tcMar>
          </w:tcPr>
          <w:p w14:paraId="0A032234" w14:textId="77777777" w:rsidR="00865AEC" w:rsidRPr="009B4A78" w:rsidRDefault="00865AEC" w:rsidP="00F33E49">
            <w:pPr>
              <w:rPr>
                <w:rFonts w:ascii="Arial" w:eastAsia="Times New Roman" w:hAnsi="Arial" w:cs="Arial"/>
                <w:sz w:val="16"/>
                <w:szCs w:val="16"/>
              </w:rPr>
            </w:pPr>
            <w:r w:rsidRPr="009B4A78">
              <w:rPr>
                <w:rFonts w:ascii="Arial" w:eastAsia="Times New Roman" w:hAnsi="Arial" w:cs="Arial"/>
                <w:color w:val="000000"/>
                <w:sz w:val="16"/>
                <w:szCs w:val="16"/>
              </w:rPr>
              <w:t>Continuous assessment and feedback from stakeholders in Member States as well as training partners, participants, tutors and experts contributing to WIPO Academy activities</w:t>
            </w:r>
          </w:p>
        </w:tc>
      </w:tr>
    </w:tbl>
    <w:p w14:paraId="09DE3CA6" w14:textId="77777777" w:rsidR="00865AEC" w:rsidRPr="009B4A78" w:rsidRDefault="00865AEC" w:rsidP="00F33E49">
      <w:pPr>
        <w:rPr>
          <w:rFonts w:ascii="Arial" w:eastAsia="Times New Roman" w:hAnsi="Arial" w:cs="Arial"/>
        </w:rPr>
      </w:pPr>
    </w:p>
    <w:p w14:paraId="2DC956F1" w14:textId="77777777" w:rsidR="00865AEC" w:rsidRPr="009B4A78" w:rsidRDefault="00865AEC" w:rsidP="00F33E49">
      <w:pPr>
        <w:rPr>
          <w:rFonts w:ascii="Arial" w:eastAsia="Times New Roman" w:hAnsi="Arial" w:cs="Arial"/>
        </w:rPr>
      </w:pPr>
    </w:p>
    <w:p w14:paraId="20191C97" w14:textId="77777777" w:rsidR="00865AEC" w:rsidRPr="009B4A78" w:rsidRDefault="00865AEC" w:rsidP="00F33E49">
      <w:pPr>
        <w:keepNext/>
        <w:keepLines/>
        <w:rPr>
          <w:rFonts w:ascii="Arial" w:eastAsia="Times New Roman" w:hAnsi="Arial" w:cs="Arial"/>
        </w:rPr>
      </w:pPr>
      <w:r w:rsidRPr="009B4A78">
        <w:rPr>
          <w:rFonts w:ascii="Arial" w:eastAsia="Times New Roman" w:hAnsi="Arial" w:cs="Arial"/>
        </w:rPr>
        <w:lastRenderedPageBreak/>
        <w:t>RESULTS FRAMEWORK</w:t>
      </w:r>
    </w:p>
    <w:p w14:paraId="7E6A99CE" w14:textId="77777777" w:rsidR="00865AEC" w:rsidRPr="009B4A78" w:rsidRDefault="00865AEC" w:rsidP="00F33E49">
      <w:pPr>
        <w:keepNext/>
        <w:keepLines/>
        <w:rPr>
          <w:rFonts w:ascii="Arial" w:eastAsia="Times New Roman" w:hAnsi="Arial" w:cs="Arial"/>
        </w:rPr>
      </w:pPr>
    </w:p>
    <w:tbl>
      <w:tblPr>
        <w:tblW w:w="9087" w:type="dxa"/>
        <w:tblInd w:w="93" w:type="dxa"/>
        <w:tblLook w:val="04A0" w:firstRow="1" w:lastRow="0" w:firstColumn="1" w:lastColumn="0" w:noHBand="0" w:noVBand="1"/>
      </w:tblPr>
      <w:tblGrid>
        <w:gridCol w:w="2600"/>
        <w:gridCol w:w="2440"/>
        <w:gridCol w:w="2063"/>
        <w:gridCol w:w="1984"/>
      </w:tblGrid>
      <w:tr w:rsidR="00865AEC" w:rsidRPr="009B4A78" w14:paraId="12CA0BE4" w14:textId="77777777" w:rsidTr="008D4CE9">
        <w:trPr>
          <w:trHeight w:val="570"/>
        </w:trPr>
        <w:tc>
          <w:tcPr>
            <w:tcW w:w="2600"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5A9B6294" w14:textId="77777777" w:rsidR="00865AEC" w:rsidRPr="009B4A78" w:rsidRDefault="00865AEC" w:rsidP="008D4CE9">
            <w:pPr>
              <w:keepNext/>
              <w:keepLines/>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Expected Results</w:t>
            </w:r>
          </w:p>
        </w:tc>
        <w:tc>
          <w:tcPr>
            <w:tcW w:w="2440" w:type="dxa"/>
            <w:tcBorders>
              <w:top w:val="single" w:sz="4" w:space="0" w:color="auto"/>
              <w:left w:val="nil"/>
              <w:bottom w:val="single" w:sz="4" w:space="0" w:color="auto"/>
              <w:right w:val="nil"/>
            </w:tcBorders>
            <w:shd w:val="clear" w:color="auto" w:fill="C6D9F1" w:themeFill="text2" w:themeFillTint="33"/>
            <w:noWrap/>
            <w:vAlign w:val="center"/>
            <w:hideMark/>
          </w:tcPr>
          <w:p w14:paraId="1621B371" w14:textId="77777777" w:rsidR="00865AEC" w:rsidRPr="009B4A78" w:rsidRDefault="00865AEC" w:rsidP="008D4CE9">
            <w:pPr>
              <w:keepNext/>
              <w:keepLines/>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Performance Indicators</w:t>
            </w:r>
          </w:p>
        </w:tc>
        <w:tc>
          <w:tcPr>
            <w:tcW w:w="2063" w:type="dxa"/>
            <w:tcBorders>
              <w:top w:val="single" w:sz="4" w:space="0" w:color="auto"/>
              <w:left w:val="nil"/>
              <w:bottom w:val="single" w:sz="4" w:space="0" w:color="auto"/>
              <w:right w:val="nil"/>
            </w:tcBorders>
            <w:shd w:val="clear" w:color="auto" w:fill="C6D9F1" w:themeFill="text2" w:themeFillTint="33"/>
            <w:noWrap/>
            <w:vAlign w:val="center"/>
            <w:hideMark/>
          </w:tcPr>
          <w:p w14:paraId="25EDAA34" w14:textId="77777777" w:rsidR="00865AEC" w:rsidRPr="009B4A78" w:rsidRDefault="00865AEC" w:rsidP="008D4CE9">
            <w:pPr>
              <w:keepNext/>
              <w:keepLines/>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Baselines</w:t>
            </w:r>
          </w:p>
        </w:tc>
        <w:tc>
          <w:tcPr>
            <w:tcW w:w="1984"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29A7508D" w14:textId="77777777" w:rsidR="00865AEC" w:rsidRPr="009B4A78" w:rsidRDefault="00865AEC" w:rsidP="008D4CE9">
            <w:pPr>
              <w:keepNext/>
              <w:keepLines/>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Targets</w:t>
            </w:r>
          </w:p>
        </w:tc>
      </w:tr>
      <w:tr w:rsidR="00865AEC" w:rsidRPr="009B4A78" w14:paraId="53CCD2C9" w14:textId="77777777" w:rsidTr="008D4CE9">
        <w:trPr>
          <w:trHeight w:val="1529"/>
        </w:trPr>
        <w:tc>
          <w:tcPr>
            <w:tcW w:w="2600" w:type="dxa"/>
            <w:tcBorders>
              <w:top w:val="nil"/>
              <w:left w:val="single" w:sz="4" w:space="0" w:color="auto"/>
              <w:bottom w:val="nil"/>
              <w:right w:val="nil"/>
            </w:tcBorders>
            <w:shd w:val="clear" w:color="000000" w:fill="FFFFFF"/>
            <w:hideMark/>
          </w:tcPr>
          <w:p w14:paraId="6C36D50F" w14:textId="77777777" w:rsidR="00865AEC" w:rsidRPr="009B4A78" w:rsidRDefault="00865AEC" w:rsidP="00F33E49">
            <w:pPr>
              <w:keepNext/>
              <w:keepLines/>
              <w:rPr>
                <w:rFonts w:ascii="Arial" w:eastAsia="Times New Roman" w:hAnsi="Arial" w:cs="Arial"/>
                <w:color w:val="000000"/>
                <w:sz w:val="16"/>
                <w:szCs w:val="16"/>
              </w:rPr>
            </w:pPr>
            <w:r w:rsidRPr="009B4A78">
              <w:rPr>
                <w:rFonts w:ascii="Arial" w:eastAsia="Times New Roman" w:hAnsi="Arial" w:cs="Arial"/>
                <w:color w:val="000000"/>
                <w:sz w:val="16"/>
                <w:szCs w:val="16"/>
              </w:rPr>
              <w:br/>
              <w:t>III.2 Enhanced human resource capacities able to deal with the broad range of requirements for the effective use of IP for development in developing countries, LDCs and countries with economies in transition</w:t>
            </w:r>
          </w:p>
        </w:tc>
        <w:tc>
          <w:tcPr>
            <w:tcW w:w="2440" w:type="dxa"/>
            <w:tcBorders>
              <w:top w:val="nil"/>
              <w:left w:val="nil"/>
              <w:bottom w:val="nil"/>
              <w:right w:val="nil"/>
            </w:tcBorders>
            <w:shd w:val="clear" w:color="000000" w:fill="FFFFFF"/>
            <w:hideMark/>
          </w:tcPr>
          <w:p w14:paraId="0E98993D" w14:textId="77777777" w:rsidR="00865AEC" w:rsidRPr="009B4A78" w:rsidRDefault="00865AEC" w:rsidP="00F33E49">
            <w:pPr>
              <w:keepNext/>
              <w:keepLines/>
              <w:ind w:left="284" w:firstLineChars="22" w:firstLine="35"/>
              <w:rPr>
                <w:rFonts w:ascii="Arial" w:eastAsia="Times New Roman" w:hAnsi="Arial" w:cs="Arial"/>
                <w:color w:val="000000"/>
                <w:sz w:val="16"/>
                <w:szCs w:val="16"/>
              </w:rPr>
            </w:pPr>
            <w:r w:rsidRPr="009B4A78">
              <w:rPr>
                <w:rFonts w:ascii="Arial" w:eastAsia="Times New Roman" w:hAnsi="Arial" w:cs="Arial"/>
                <w:color w:val="000000"/>
                <w:sz w:val="16"/>
                <w:szCs w:val="16"/>
              </w:rPr>
              <w:br/>
              <w:t xml:space="preserve">% of trainees and supervisors who are satisfied with the training programs developed based on training needs assessment exercises. </w:t>
            </w:r>
          </w:p>
        </w:tc>
        <w:tc>
          <w:tcPr>
            <w:tcW w:w="2063" w:type="dxa"/>
            <w:tcBorders>
              <w:top w:val="nil"/>
              <w:left w:val="nil"/>
              <w:bottom w:val="nil"/>
              <w:right w:val="nil"/>
            </w:tcBorders>
            <w:shd w:val="clear" w:color="000000" w:fill="FFFFFF"/>
            <w:hideMark/>
          </w:tcPr>
          <w:p w14:paraId="0F3B6525" w14:textId="77777777" w:rsidR="00865AEC" w:rsidRPr="009B4A78" w:rsidRDefault="00865AEC" w:rsidP="008D4CE9">
            <w:pPr>
              <w:keepNext/>
              <w:keepLines/>
              <w:ind w:left="112" w:firstLineChars="41" w:firstLine="66"/>
              <w:rPr>
                <w:rFonts w:ascii="Arial" w:eastAsia="Times New Roman" w:hAnsi="Arial" w:cs="Arial"/>
                <w:color w:val="000000"/>
                <w:sz w:val="16"/>
                <w:szCs w:val="16"/>
              </w:rPr>
            </w:pPr>
            <w:r w:rsidRPr="009B4A78">
              <w:rPr>
                <w:rFonts w:ascii="Arial" w:eastAsia="Times New Roman" w:hAnsi="Arial" w:cs="Arial"/>
                <w:color w:val="000000"/>
                <w:sz w:val="16"/>
                <w:szCs w:val="16"/>
              </w:rPr>
              <w:br/>
              <w:t xml:space="preserve"> No data available</w:t>
            </w:r>
          </w:p>
        </w:tc>
        <w:tc>
          <w:tcPr>
            <w:tcW w:w="1984" w:type="dxa"/>
            <w:tcBorders>
              <w:top w:val="nil"/>
              <w:left w:val="nil"/>
              <w:bottom w:val="nil"/>
              <w:right w:val="single" w:sz="4" w:space="0" w:color="auto"/>
            </w:tcBorders>
            <w:shd w:val="clear" w:color="000000" w:fill="FFFFFF"/>
            <w:hideMark/>
          </w:tcPr>
          <w:p w14:paraId="74A407D1" w14:textId="77777777" w:rsidR="00865AEC" w:rsidRPr="009B4A78" w:rsidRDefault="00865AEC" w:rsidP="00F33E49">
            <w:pPr>
              <w:keepNext/>
              <w:keepLines/>
              <w:tabs>
                <w:tab w:val="left" w:pos="324"/>
              </w:tabs>
              <w:ind w:leftChars="-1" w:left="1" w:hangingChars="2" w:hanging="3"/>
              <w:rPr>
                <w:rFonts w:ascii="Arial" w:eastAsia="Times New Roman" w:hAnsi="Arial" w:cs="Arial"/>
                <w:color w:val="000000"/>
                <w:sz w:val="16"/>
                <w:szCs w:val="16"/>
              </w:rPr>
            </w:pPr>
            <w:r w:rsidRPr="009B4A78">
              <w:rPr>
                <w:rFonts w:ascii="Arial" w:eastAsia="Times New Roman" w:hAnsi="Arial" w:cs="Arial"/>
                <w:color w:val="000000"/>
                <w:sz w:val="16"/>
                <w:szCs w:val="16"/>
              </w:rPr>
              <w:br/>
              <w:t xml:space="preserve">       70% of respondents</w:t>
            </w:r>
          </w:p>
        </w:tc>
      </w:tr>
      <w:tr w:rsidR="00865AEC" w:rsidRPr="009B4A78" w14:paraId="1157AED7" w14:textId="0ABEF97E" w:rsidTr="008D4CE9">
        <w:trPr>
          <w:trHeight w:val="720"/>
        </w:trPr>
        <w:tc>
          <w:tcPr>
            <w:tcW w:w="2600" w:type="dxa"/>
            <w:tcBorders>
              <w:top w:val="nil"/>
              <w:left w:val="single" w:sz="4" w:space="0" w:color="auto"/>
              <w:bottom w:val="nil"/>
              <w:right w:val="nil"/>
            </w:tcBorders>
            <w:shd w:val="clear" w:color="000000" w:fill="FFFFFF"/>
            <w:hideMark/>
          </w:tcPr>
          <w:p w14:paraId="73BF5E94" w14:textId="7C46A1EA"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440" w:type="dxa"/>
            <w:tcBorders>
              <w:top w:val="nil"/>
              <w:left w:val="nil"/>
              <w:bottom w:val="nil"/>
              <w:right w:val="nil"/>
            </w:tcBorders>
            <w:shd w:val="clear" w:color="000000" w:fill="FFFFFF"/>
            <w:hideMark/>
          </w:tcPr>
          <w:p w14:paraId="0F9C53BF" w14:textId="336FFC75" w:rsidR="00865AEC" w:rsidRPr="009B4A78" w:rsidRDefault="00865AEC" w:rsidP="00F33E49">
            <w:pPr>
              <w:pStyle w:val="CommentText"/>
              <w:ind w:left="277"/>
              <w:rPr>
                <w:rFonts w:ascii="Arial" w:eastAsia="Times New Roman" w:hAnsi="Arial" w:cs="Arial"/>
                <w:color w:val="000000"/>
                <w:sz w:val="16"/>
                <w:szCs w:val="16"/>
                <w:highlight w:val="yellow"/>
              </w:rPr>
            </w:pPr>
            <w:r w:rsidRPr="009B4A78">
              <w:rPr>
                <w:rFonts w:ascii="Arial" w:eastAsia="Times New Roman" w:hAnsi="Arial" w:cs="Arial"/>
                <w:color w:val="000000"/>
                <w:sz w:val="16"/>
                <w:szCs w:val="16"/>
              </w:rPr>
              <w:t xml:space="preserve">% of participants using enhanced knowledge and skills in various IP areas </w:t>
            </w:r>
          </w:p>
        </w:tc>
        <w:tc>
          <w:tcPr>
            <w:tcW w:w="2063" w:type="dxa"/>
            <w:tcBorders>
              <w:top w:val="nil"/>
              <w:left w:val="nil"/>
              <w:bottom w:val="nil"/>
              <w:right w:val="nil"/>
            </w:tcBorders>
            <w:shd w:val="clear" w:color="000000" w:fill="FFFFFF"/>
            <w:hideMark/>
          </w:tcPr>
          <w:p w14:paraId="7B458326" w14:textId="6A34DA1C" w:rsidR="00865AEC" w:rsidRPr="009B4A78" w:rsidRDefault="00865AEC" w:rsidP="008D4CE9">
            <w:pPr>
              <w:ind w:left="112"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No data available</w:t>
            </w:r>
          </w:p>
        </w:tc>
        <w:tc>
          <w:tcPr>
            <w:tcW w:w="1984" w:type="dxa"/>
            <w:tcBorders>
              <w:top w:val="nil"/>
              <w:left w:val="nil"/>
              <w:bottom w:val="nil"/>
              <w:right w:val="single" w:sz="4" w:space="0" w:color="auto"/>
            </w:tcBorders>
            <w:shd w:val="clear" w:color="000000" w:fill="FFFFFF"/>
            <w:hideMark/>
          </w:tcPr>
          <w:p w14:paraId="34C554EC" w14:textId="08A05A90" w:rsidR="00865AEC" w:rsidRPr="009B4A78" w:rsidRDefault="00865AEC" w:rsidP="00F33E49">
            <w:pPr>
              <w:ind w:leftChars="146" w:left="321" w:firstLine="1"/>
              <w:rPr>
                <w:rFonts w:ascii="Arial" w:eastAsia="Times New Roman" w:hAnsi="Arial" w:cs="Arial"/>
                <w:color w:val="000000"/>
                <w:sz w:val="16"/>
                <w:szCs w:val="16"/>
              </w:rPr>
            </w:pPr>
            <w:r w:rsidRPr="009B4A78">
              <w:rPr>
                <w:rFonts w:ascii="Arial" w:eastAsia="Times New Roman" w:hAnsi="Arial" w:cs="Arial"/>
                <w:color w:val="000000"/>
                <w:sz w:val="16"/>
                <w:szCs w:val="16"/>
              </w:rPr>
              <w:t>60% of respondents</w:t>
            </w:r>
          </w:p>
        </w:tc>
      </w:tr>
      <w:tr w:rsidR="00865AEC" w:rsidRPr="009B4A78" w14:paraId="049C8BE5" w14:textId="77777777" w:rsidTr="008D4CE9">
        <w:trPr>
          <w:trHeight w:val="1071"/>
        </w:trPr>
        <w:tc>
          <w:tcPr>
            <w:tcW w:w="2600" w:type="dxa"/>
            <w:tcBorders>
              <w:top w:val="nil"/>
              <w:left w:val="single" w:sz="4" w:space="0" w:color="auto"/>
              <w:bottom w:val="nil"/>
              <w:right w:val="nil"/>
            </w:tcBorders>
            <w:shd w:val="clear" w:color="000000" w:fill="FFFFFF"/>
            <w:hideMark/>
          </w:tcPr>
          <w:p w14:paraId="6BDB1E0F"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440" w:type="dxa"/>
            <w:tcBorders>
              <w:top w:val="nil"/>
              <w:left w:val="nil"/>
              <w:bottom w:val="nil"/>
              <w:right w:val="nil"/>
            </w:tcBorders>
            <w:shd w:val="clear" w:color="000000" w:fill="FFFFFF"/>
            <w:hideMark/>
          </w:tcPr>
          <w:p w14:paraId="501D08E1" w14:textId="77777777" w:rsidR="00865AEC" w:rsidRPr="009B4A78" w:rsidRDefault="00865AEC" w:rsidP="00F33E49">
            <w:pPr>
              <w:ind w:left="284"/>
              <w:rPr>
                <w:rFonts w:ascii="Arial" w:eastAsia="Times New Roman" w:hAnsi="Arial" w:cs="Arial"/>
                <w:color w:val="000000"/>
                <w:sz w:val="16"/>
                <w:szCs w:val="16"/>
              </w:rPr>
            </w:pPr>
            <w:r w:rsidRPr="009B4A78">
              <w:rPr>
                <w:rFonts w:ascii="Arial" w:eastAsia="Times New Roman" w:hAnsi="Arial" w:cs="Arial"/>
                <w:color w:val="000000"/>
                <w:sz w:val="16"/>
                <w:szCs w:val="16"/>
              </w:rPr>
              <w:t>No. of cooperation agreements and partnerships established in line with the Academy’s new vision</w:t>
            </w:r>
          </w:p>
        </w:tc>
        <w:tc>
          <w:tcPr>
            <w:tcW w:w="2063" w:type="dxa"/>
            <w:tcBorders>
              <w:top w:val="nil"/>
              <w:left w:val="nil"/>
              <w:bottom w:val="nil"/>
              <w:right w:val="nil"/>
            </w:tcBorders>
            <w:shd w:val="clear" w:color="000000" w:fill="FFFFFF"/>
            <w:hideMark/>
          </w:tcPr>
          <w:p w14:paraId="04EA7B14" w14:textId="77777777" w:rsidR="00865AEC" w:rsidRPr="009B4A78" w:rsidRDefault="00865AEC" w:rsidP="008D4CE9">
            <w:pPr>
              <w:ind w:left="112"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Not available</w:t>
            </w:r>
          </w:p>
        </w:tc>
        <w:tc>
          <w:tcPr>
            <w:tcW w:w="1984" w:type="dxa"/>
            <w:tcBorders>
              <w:top w:val="nil"/>
              <w:left w:val="nil"/>
              <w:bottom w:val="nil"/>
              <w:right w:val="single" w:sz="4" w:space="0" w:color="auto"/>
            </w:tcBorders>
            <w:shd w:val="clear" w:color="000000" w:fill="FFFFFF"/>
            <w:hideMark/>
          </w:tcPr>
          <w:p w14:paraId="328071DA" w14:textId="77777777" w:rsidR="00865AEC" w:rsidRPr="009B4A78" w:rsidRDefault="00865AEC"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5</w:t>
            </w:r>
          </w:p>
        </w:tc>
      </w:tr>
      <w:tr w:rsidR="00FF7E74" w:rsidRPr="009B4A78" w14:paraId="4DB1DAE7" w14:textId="77777777" w:rsidTr="008D4CE9">
        <w:trPr>
          <w:trHeight w:val="900"/>
        </w:trPr>
        <w:tc>
          <w:tcPr>
            <w:tcW w:w="2600" w:type="dxa"/>
            <w:tcBorders>
              <w:top w:val="nil"/>
              <w:left w:val="single" w:sz="4" w:space="0" w:color="auto"/>
              <w:bottom w:val="nil"/>
              <w:right w:val="nil"/>
            </w:tcBorders>
            <w:shd w:val="clear" w:color="000000" w:fill="FFFFFF"/>
          </w:tcPr>
          <w:p w14:paraId="003D6C1F" w14:textId="77777777" w:rsidR="00FF7E74" w:rsidRPr="009B4A78" w:rsidRDefault="00FF7E74" w:rsidP="00F33E49">
            <w:pPr>
              <w:rPr>
                <w:rFonts w:ascii="Arial" w:eastAsia="Times New Roman" w:hAnsi="Arial" w:cs="Arial"/>
                <w:color w:val="000000"/>
                <w:sz w:val="16"/>
                <w:szCs w:val="16"/>
              </w:rPr>
            </w:pPr>
          </w:p>
        </w:tc>
        <w:tc>
          <w:tcPr>
            <w:tcW w:w="2440" w:type="dxa"/>
            <w:tcBorders>
              <w:top w:val="nil"/>
              <w:left w:val="nil"/>
              <w:bottom w:val="nil"/>
              <w:right w:val="nil"/>
            </w:tcBorders>
            <w:shd w:val="clear" w:color="000000" w:fill="FFFFFF"/>
          </w:tcPr>
          <w:p w14:paraId="4F698035" w14:textId="7C9AABBA" w:rsidR="00FF7E74" w:rsidRPr="009B4A78" w:rsidRDefault="00FF7E74" w:rsidP="00FF7E74">
            <w:pPr>
              <w:ind w:left="284"/>
              <w:rPr>
                <w:rFonts w:ascii="Arial" w:eastAsia="Times New Roman" w:hAnsi="Arial" w:cs="Arial"/>
                <w:color w:val="000000"/>
                <w:sz w:val="16"/>
                <w:szCs w:val="16"/>
              </w:rPr>
            </w:pPr>
            <w:r>
              <w:rPr>
                <w:rFonts w:ascii="Arial" w:eastAsia="Times New Roman" w:hAnsi="Arial" w:cs="Arial"/>
                <w:color w:val="000000"/>
                <w:sz w:val="16"/>
                <w:szCs w:val="16"/>
              </w:rPr>
              <w:t xml:space="preserve">% of increase in the no. of participants </w:t>
            </w:r>
            <w:r w:rsidR="00036259">
              <w:rPr>
                <w:rFonts w:ascii="Arial" w:eastAsia="Times New Roman" w:hAnsi="Arial" w:cs="Arial"/>
                <w:color w:val="000000"/>
                <w:sz w:val="16"/>
                <w:szCs w:val="16"/>
              </w:rPr>
              <w:t>following the Academy’s distance learning (DL) courses</w:t>
            </w:r>
          </w:p>
        </w:tc>
        <w:tc>
          <w:tcPr>
            <w:tcW w:w="2063" w:type="dxa"/>
            <w:tcBorders>
              <w:top w:val="nil"/>
              <w:left w:val="nil"/>
              <w:bottom w:val="nil"/>
              <w:right w:val="nil"/>
            </w:tcBorders>
            <w:shd w:val="clear" w:color="000000" w:fill="FFFFFF"/>
          </w:tcPr>
          <w:p w14:paraId="1D684BC5" w14:textId="5DEB094D" w:rsidR="00FF7E74" w:rsidRPr="009B4A78" w:rsidRDefault="00794B2A" w:rsidP="008D4CE9">
            <w:pPr>
              <w:ind w:left="112"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35,000 (2014)</w:t>
            </w:r>
          </w:p>
        </w:tc>
        <w:tc>
          <w:tcPr>
            <w:tcW w:w="1984" w:type="dxa"/>
            <w:tcBorders>
              <w:top w:val="nil"/>
              <w:left w:val="nil"/>
              <w:bottom w:val="nil"/>
              <w:right w:val="single" w:sz="4" w:space="0" w:color="auto"/>
            </w:tcBorders>
            <w:shd w:val="clear" w:color="000000" w:fill="FFFFFF"/>
          </w:tcPr>
          <w:p w14:paraId="452F969D" w14:textId="2584BB67" w:rsidR="00FF7E74" w:rsidRPr="009B4A78" w:rsidRDefault="00036259" w:rsidP="00F33E49">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w:t>
            </w:r>
          </w:p>
        </w:tc>
      </w:tr>
      <w:tr w:rsidR="00FF7E74" w:rsidRPr="009B4A78" w14:paraId="3DB3744C" w14:textId="77777777" w:rsidTr="008D4CE9">
        <w:trPr>
          <w:trHeight w:val="900"/>
        </w:trPr>
        <w:tc>
          <w:tcPr>
            <w:tcW w:w="2600" w:type="dxa"/>
            <w:tcBorders>
              <w:top w:val="nil"/>
              <w:left w:val="single" w:sz="4" w:space="0" w:color="auto"/>
              <w:bottom w:val="nil"/>
              <w:right w:val="nil"/>
            </w:tcBorders>
            <w:shd w:val="clear" w:color="000000" w:fill="FFFFFF"/>
          </w:tcPr>
          <w:p w14:paraId="7F4C8162" w14:textId="77777777" w:rsidR="00FF7E74" w:rsidRPr="009B4A78" w:rsidRDefault="00FF7E74" w:rsidP="00F33E49">
            <w:pPr>
              <w:rPr>
                <w:rFonts w:ascii="Arial" w:eastAsia="Times New Roman" w:hAnsi="Arial" w:cs="Arial"/>
                <w:color w:val="000000"/>
                <w:sz w:val="16"/>
                <w:szCs w:val="16"/>
              </w:rPr>
            </w:pPr>
          </w:p>
        </w:tc>
        <w:tc>
          <w:tcPr>
            <w:tcW w:w="2440" w:type="dxa"/>
            <w:tcBorders>
              <w:top w:val="nil"/>
              <w:left w:val="nil"/>
              <w:bottom w:val="nil"/>
              <w:right w:val="nil"/>
            </w:tcBorders>
            <w:shd w:val="clear" w:color="000000" w:fill="FFFFFF"/>
          </w:tcPr>
          <w:p w14:paraId="350C8C5B" w14:textId="1B6B5C56" w:rsidR="00FF7E74" w:rsidRPr="009B4A78" w:rsidRDefault="00036259" w:rsidP="00FF7E74">
            <w:pPr>
              <w:ind w:left="284"/>
              <w:rPr>
                <w:rFonts w:ascii="Arial" w:eastAsia="Times New Roman" w:hAnsi="Arial" w:cs="Arial"/>
                <w:color w:val="000000"/>
                <w:sz w:val="16"/>
                <w:szCs w:val="16"/>
              </w:rPr>
            </w:pPr>
            <w:r>
              <w:rPr>
                <w:rFonts w:ascii="Arial" w:eastAsia="Times New Roman" w:hAnsi="Arial" w:cs="Arial"/>
                <w:color w:val="000000"/>
                <w:sz w:val="16"/>
                <w:szCs w:val="16"/>
              </w:rPr>
              <w:t>No. of DL courses that have been reviewed and updated</w:t>
            </w:r>
          </w:p>
        </w:tc>
        <w:tc>
          <w:tcPr>
            <w:tcW w:w="2063" w:type="dxa"/>
            <w:tcBorders>
              <w:top w:val="nil"/>
              <w:left w:val="nil"/>
              <w:bottom w:val="nil"/>
              <w:right w:val="nil"/>
            </w:tcBorders>
            <w:shd w:val="clear" w:color="000000" w:fill="FFFFFF"/>
          </w:tcPr>
          <w:p w14:paraId="3D714D5C" w14:textId="04E3F92B" w:rsidR="00FF7E74" w:rsidRPr="009B4A78" w:rsidRDefault="00036259" w:rsidP="008D4CE9">
            <w:pPr>
              <w:ind w:left="112"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0</w:t>
            </w:r>
            <w:r w:rsidR="00C84D9D">
              <w:rPr>
                <w:rFonts w:ascii="Arial" w:eastAsia="Times New Roman" w:hAnsi="Arial" w:cs="Arial"/>
                <w:color w:val="000000"/>
                <w:sz w:val="16"/>
                <w:szCs w:val="16"/>
              </w:rPr>
              <w:t xml:space="preserve"> </w:t>
            </w:r>
          </w:p>
        </w:tc>
        <w:tc>
          <w:tcPr>
            <w:tcW w:w="1984" w:type="dxa"/>
            <w:tcBorders>
              <w:top w:val="nil"/>
              <w:left w:val="nil"/>
              <w:bottom w:val="nil"/>
              <w:right w:val="single" w:sz="4" w:space="0" w:color="auto"/>
            </w:tcBorders>
            <w:shd w:val="clear" w:color="000000" w:fill="FFFFFF"/>
          </w:tcPr>
          <w:p w14:paraId="3EB19525" w14:textId="325BAB90" w:rsidR="00FF7E74" w:rsidRPr="009B4A78" w:rsidRDefault="00036259" w:rsidP="00F33E49">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4</w:t>
            </w:r>
          </w:p>
        </w:tc>
      </w:tr>
      <w:tr w:rsidR="00865AEC" w:rsidRPr="009B4A78" w14:paraId="77EA5515" w14:textId="77777777" w:rsidTr="008D4CE9">
        <w:trPr>
          <w:trHeight w:val="900"/>
        </w:trPr>
        <w:tc>
          <w:tcPr>
            <w:tcW w:w="2600" w:type="dxa"/>
            <w:tcBorders>
              <w:top w:val="nil"/>
              <w:left w:val="single" w:sz="4" w:space="0" w:color="auto"/>
              <w:bottom w:val="nil"/>
              <w:right w:val="nil"/>
            </w:tcBorders>
            <w:shd w:val="clear" w:color="000000" w:fill="FFFFFF"/>
            <w:hideMark/>
          </w:tcPr>
          <w:p w14:paraId="04AF7F8D"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440" w:type="dxa"/>
            <w:tcBorders>
              <w:top w:val="nil"/>
              <w:left w:val="nil"/>
              <w:bottom w:val="nil"/>
              <w:right w:val="nil"/>
            </w:tcBorders>
            <w:shd w:val="clear" w:color="000000" w:fill="FFFFFF"/>
            <w:hideMark/>
          </w:tcPr>
          <w:p w14:paraId="5BBCEFE8" w14:textId="799F884F" w:rsidR="00865AEC" w:rsidRPr="009B4A78" w:rsidRDefault="00865AEC" w:rsidP="00FF7E74">
            <w:pPr>
              <w:ind w:left="284"/>
              <w:rPr>
                <w:rFonts w:ascii="Arial" w:eastAsia="Times New Roman" w:hAnsi="Arial" w:cs="Arial"/>
                <w:color w:val="000000"/>
                <w:sz w:val="16"/>
                <w:szCs w:val="16"/>
              </w:rPr>
            </w:pPr>
            <w:r w:rsidRPr="009B4A78">
              <w:rPr>
                <w:rFonts w:ascii="Arial" w:eastAsia="Times New Roman" w:hAnsi="Arial" w:cs="Arial"/>
                <w:color w:val="000000"/>
                <w:sz w:val="16"/>
                <w:szCs w:val="16"/>
              </w:rPr>
              <w:t>No. of national start-up academies created under the project which have become sustainable</w:t>
            </w:r>
            <w:r w:rsidR="001B7BDB">
              <w:rPr>
                <w:rStyle w:val="FootnoteReference"/>
                <w:rFonts w:ascii="Arial" w:eastAsia="Times New Roman" w:hAnsi="Arial" w:cs="Arial"/>
                <w:color w:val="000000"/>
                <w:sz w:val="16"/>
                <w:szCs w:val="16"/>
              </w:rPr>
              <w:footnoteReference w:id="18"/>
            </w:r>
          </w:p>
        </w:tc>
        <w:tc>
          <w:tcPr>
            <w:tcW w:w="2063" w:type="dxa"/>
            <w:tcBorders>
              <w:top w:val="nil"/>
              <w:left w:val="nil"/>
              <w:bottom w:val="nil"/>
              <w:right w:val="nil"/>
            </w:tcBorders>
            <w:shd w:val="clear" w:color="000000" w:fill="FFFFFF"/>
            <w:hideMark/>
          </w:tcPr>
          <w:p w14:paraId="7A4C6D25" w14:textId="1E858FA2" w:rsidR="00865AEC" w:rsidRPr="009B4A78" w:rsidRDefault="00865AEC" w:rsidP="008D4CE9">
            <w:pPr>
              <w:ind w:left="112"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0</w:t>
            </w:r>
            <w:r w:rsidR="00C84D9D">
              <w:rPr>
                <w:rFonts w:ascii="Arial" w:eastAsia="Times New Roman" w:hAnsi="Arial" w:cs="Arial"/>
                <w:color w:val="000000"/>
                <w:sz w:val="16"/>
                <w:szCs w:val="16"/>
              </w:rPr>
              <w:t xml:space="preserve"> </w:t>
            </w:r>
          </w:p>
        </w:tc>
        <w:tc>
          <w:tcPr>
            <w:tcW w:w="1984" w:type="dxa"/>
            <w:tcBorders>
              <w:top w:val="nil"/>
              <w:left w:val="nil"/>
              <w:bottom w:val="nil"/>
              <w:right w:val="single" w:sz="4" w:space="0" w:color="auto"/>
            </w:tcBorders>
            <w:shd w:val="clear" w:color="000000" w:fill="FFFFFF"/>
            <w:hideMark/>
          </w:tcPr>
          <w:p w14:paraId="61042AC9" w14:textId="77777777" w:rsidR="00865AEC" w:rsidRPr="009B4A78" w:rsidRDefault="00865AEC"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4</w:t>
            </w:r>
          </w:p>
        </w:tc>
      </w:tr>
      <w:tr w:rsidR="00865AEC" w:rsidRPr="009B4A78" w14:paraId="2C0BE5D3" w14:textId="77777777" w:rsidTr="008D4CE9">
        <w:trPr>
          <w:trHeight w:val="720"/>
        </w:trPr>
        <w:tc>
          <w:tcPr>
            <w:tcW w:w="2600" w:type="dxa"/>
            <w:tcBorders>
              <w:top w:val="nil"/>
              <w:left w:val="single" w:sz="4" w:space="0" w:color="auto"/>
              <w:bottom w:val="nil"/>
              <w:right w:val="nil"/>
            </w:tcBorders>
            <w:shd w:val="clear" w:color="000000" w:fill="FFFFFF"/>
            <w:hideMark/>
          </w:tcPr>
          <w:p w14:paraId="73CEEE54"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440" w:type="dxa"/>
            <w:tcBorders>
              <w:top w:val="nil"/>
              <w:left w:val="nil"/>
              <w:bottom w:val="nil"/>
              <w:right w:val="nil"/>
            </w:tcBorders>
            <w:shd w:val="clear" w:color="000000" w:fill="FFFFFF"/>
            <w:hideMark/>
          </w:tcPr>
          <w:p w14:paraId="6499F557" w14:textId="77777777" w:rsidR="00865AEC" w:rsidRPr="009B4A78" w:rsidRDefault="00865AEC" w:rsidP="00F33E49">
            <w:pPr>
              <w:ind w:left="284"/>
              <w:rPr>
                <w:rFonts w:ascii="Arial" w:eastAsia="Times New Roman" w:hAnsi="Arial" w:cs="Arial"/>
                <w:color w:val="000000"/>
                <w:sz w:val="16"/>
                <w:szCs w:val="16"/>
              </w:rPr>
            </w:pPr>
            <w:r w:rsidRPr="009B4A78">
              <w:rPr>
                <w:rFonts w:ascii="Arial" w:eastAsia="Times New Roman" w:hAnsi="Arial" w:cs="Arial"/>
                <w:color w:val="000000"/>
                <w:sz w:val="16"/>
                <w:szCs w:val="16"/>
              </w:rPr>
              <w:t>New and improved IP courses and curricula in teaching institutions</w:t>
            </w:r>
          </w:p>
        </w:tc>
        <w:tc>
          <w:tcPr>
            <w:tcW w:w="2063" w:type="dxa"/>
            <w:tcBorders>
              <w:top w:val="nil"/>
              <w:left w:val="nil"/>
              <w:bottom w:val="nil"/>
              <w:right w:val="nil"/>
            </w:tcBorders>
            <w:shd w:val="clear" w:color="000000" w:fill="FFFFFF"/>
            <w:hideMark/>
          </w:tcPr>
          <w:p w14:paraId="0165E8F2" w14:textId="77777777" w:rsidR="00865AEC" w:rsidRPr="009B4A78" w:rsidRDefault="00865AEC" w:rsidP="008D4CE9">
            <w:pPr>
              <w:ind w:left="112"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5</w:t>
            </w:r>
          </w:p>
        </w:tc>
        <w:tc>
          <w:tcPr>
            <w:tcW w:w="1984" w:type="dxa"/>
            <w:tcBorders>
              <w:top w:val="nil"/>
              <w:left w:val="nil"/>
              <w:bottom w:val="nil"/>
              <w:right w:val="single" w:sz="4" w:space="0" w:color="auto"/>
            </w:tcBorders>
            <w:shd w:val="clear" w:color="000000" w:fill="FFFFFF"/>
            <w:hideMark/>
          </w:tcPr>
          <w:p w14:paraId="3DA63354" w14:textId="77777777" w:rsidR="00865AEC" w:rsidRPr="009B4A78" w:rsidRDefault="00865AEC"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20% increase</w:t>
            </w:r>
          </w:p>
        </w:tc>
      </w:tr>
      <w:tr w:rsidR="00865AEC" w:rsidRPr="009B4A78" w14:paraId="71985799" w14:textId="77777777" w:rsidTr="008D4CE9">
        <w:trPr>
          <w:trHeight w:val="630"/>
        </w:trPr>
        <w:tc>
          <w:tcPr>
            <w:tcW w:w="2600" w:type="dxa"/>
            <w:tcBorders>
              <w:top w:val="nil"/>
              <w:left w:val="single" w:sz="4" w:space="0" w:color="auto"/>
              <w:bottom w:val="single" w:sz="4" w:space="0" w:color="auto"/>
              <w:right w:val="nil"/>
            </w:tcBorders>
            <w:shd w:val="clear" w:color="000000" w:fill="FFFFFF"/>
            <w:hideMark/>
          </w:tcPr>
          <w:p w14:paraId="5F7C9975" w14:textId="77777777" w:rsidR="00865AEC" w:rsidRPr="009B4A78" w:rsidRDefault="00865AEC" w:rsidP="00F33E49">
            <w:pPr>
              <w:rPr>
                <w:rFonts w:ascii="Arial" w:eastAsia="Times New Roman" w:hAnsi="Arial" w:cs="Arial"/>
                <w:color w:val="000000"/>
                <w:sz w:val="16"/>
                <w:szCs w:val="16"/>
              </w:rPr>
            </w:pPr>
            <w:r w:rsidRPr="009B4A78">
              <w:rPr>
                <w:rFonts w:ascii="Arial" w:eastAsia="Times New Roman" w:hAnsi="Arial" w:cs="Arial"/>
                <w:color w:val="000000"/>
                <w:sz w:val="16"/>
                <w:szCs w:val="16"/>
              </w:rPr>
              <w:t> </w:t>
            </w:r>
          </w:p>
        </w:tc>
        <w:tc>
          <w:tcPr>
            <w:tcW w:w="2440" w:type="dxa"/>
            <w:tcBorders>
              <w:top w:val="nil"/>
              <w:left w:val="nil"/>
              <w:bottom w:val="single" w:sz="4" w:space="0" w:color="auto"/>
              <w:right w:val="nil"/>
            </w:tcBorders>
            <w:shd w:val="clear" w:color="000000" w:fill="FFFFFF"/>
            <w:hideMark/>
          </w:tcPr>
          <w:p w14:paraId="4A17F41F" w14:textId="77777777" w:rsidR="00865AEC" w:rsidRPr="009B4A78" w:rsidRDefault="00865AEC" w:rsidP="00F33E49">
            <w:pPr>
              <w:ind w:left="284"/>
              <w:rPr>
                <w:rFonts w:ascii="Arial" w:eastAsia="Times New Roman" w:hAnsi="Arial" w:cs="Arial"/>
                <w:color w:val="000000"/>
                <w:sz w:val="16"/>
                <w:szCs w:val="16"/>
              </w:rPr>
            </w:pPr>
            <w:r w:rsidRPr="009B4A78">
              <w:rPr>
                <w:rFonts w:ascii="Arial" w:eastAsia="Times New Roman" w:hAnsi="Arial" w:cs="Arial"/>
                <w:color w:val="000000"/>
                <w:sz w:val="16"/>
                <w:szCs w:val="16"/>
              </w:rPr>
              <w:t>Enhanced balance in geographical distribution of summer schools</w:t>
            </w:r>
          </w:p>
        </w:tc>
        <w:tc>
          <w:tcPr>
            <w:tcW w:w="2063" w:type="dxa"/>
            <w:tcBorders>
              <w:top w:val="nil"/>
              <w:left w:val="nil"/>
              <w:bottom w:val="single" w:sz="4" w:space="0" w:color="auto"/>
              <w:right w:val="nil"/>
            </w:tcBorders>
            <w:shd w:val="clear" w:color="000000" w:fill="FFFFFF"/>
            <w:hideMark/>
          </w:tcPr>
          <w:p w14:paraId="13FD2234" w14:textId="77777777" w:rsidR="00865AEC" w:rsidRPr="009B4A78" w:rsidRDefault="00865AEC" w:rsidP="008D4CE9">
            <w:pPr>
              <w:ind w:left="112"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6 regions</w:t>
            </w:r>
          </w:p>
        </w:tc>
        <w:tc>
          <w:tcPr>
            <w:tcW w:w="1984" w:type="dxa"/>
            <w:tcBorders>
              <w:top w:val="nil"/>
              <w:left w:val="nil"/>
              <w:bottom w:val="single" w:sz="4" w:space="0" w:color="auto"/>
              <w:right w:val="single" w:sz="4" w:space="0" w:color="auto"/>
            </w:tcBorders>
            <w:shd w:val="clear" w:color="000000" w:fill="FFFFFF"/>
            <w:hideMark/>
          </w:tcPr>
          <w:p w14:paraId="7115EFAB" w14:textId="77777777" w:rsidR="00865AEC" w:rsidRPr="009B4A78" w:rsidRDefault="00865AEC" w:rsidP="00F33E49">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7 regions</w:t>
            </w:r>
          </w:p>
        </w:tc>
      </w:tr>
    </w:tbl>
    <w:p w14:paraId="7C6578BF" w14:textId="77777777" w:rsidR="00865AEC" w:rsidRPr="009B4A78" w:rsidRDefault="00865AEC" w:rsidP="00F33E49">
      <w:pPr>
        <w:rPr>
          <w:rFonts w:ascii="Arial" w:eastAsia="Times New Roman" w:hAnsi="Arial" w:cs="Arial"/>
          <w:sz w:val="20"/>
        </w:rPr>
      </w:pPr>
    </w:p>
    <w:p w14:paraId="5BD63471" w14:textId="77777777" w:rsidR="00865AEC" w:rsidRPr="009B4A78" w:rsidRDefault="00865AEC" w:rsidP="00F33E49">
      <w:pPr>
        <w:rPr>
          <w:rFonts w:ascii="Arial" w:eastAsia="Times New Roman" w:hAnsi="Arial" w:cs="Arial"/>
          <w:sz w:val="20"/>
        </w:rPr>
      </w:pPr>
    </w:p>
    <w:p w14:paraId="43A6B309" w14:textId="77777777" w:rsidR="00865AEC" w:rsidRPr="009B4A78" w:rsidRDefault="00865AEC" w:rsidP="00F33E49">
      <w:pPr>
        <w:rPr>
          <w:rFonts w:ascii="Arial" w:hAnsi="Arial" w:cs="Arial"/>
        </w:rPr>
      </w:pPr>
      <w:r w:rsidRPr="009B4A78">
        <w:rPr>
          <w:rFonts w:ascii="Arial" w:hAnsi="Arial" w:cs="Arial"/>
        </w:rPr>
        <w:t>RESOURCES FOR PROGRAM 11</w:t>
      </w:r>
    </w:p>
    <w:p w14:paraId="6D2F2DE5" w14:textId="77777777" w:rsidR="00865AEC" w:rsidRPr="009B4A78" w:rsidRDefault="00865AEC" w:rsidP="00F33E49">
      <w:pPr>
        <w:rPr>
          <w:rFonts w:ascii="Arial" w:hAnsi="Arial" w:cs="Arial"/>
        </w:rPr>
      </w:pPr>
    </w:p>
    <w:p w14:paraId="46008AEC" w14:textId="68CFBBF4" w:rsidR="00865AEC" w:rsidRPr="009B4A78" w:rsidRDefault="00865AEC" w:rsidP="00B66A4A">
      <w:pPr>
        <w:pStyle w:val="ListParagraph"/>
        <w:numPr>
          <w:ilvl w:val="0"/>
          <w:numId w:val="13"/>
        </w:numPr>
        <w:tabs>
          <w:tab w:val="left" w:pos="709"/>
        </w:tabs>
        <w:ind w:left="0" w:firstLine="0"/>
        <w:jc w:val="both"/>
        <w:rPr>
          <w:rFonts w:ascii="Arial" w:hAnsi="Arial" w:cs="Arial"/>
          <w:sz w:val="20"/>
        </w:rPr>
      </w:pPr>
      <w:r w:rsidRPr="009B4A78">
        <w:rPr>
          <w:rFonts w:ascii="Arial" w:hAnsi="Arial" w:cs="Arial"/>
          <w:sz w:val="20"/>
        </w:rPr>
        <w:t>Overall resources for Program 11 are increasing in 2016/17 by 13.9 per cent compared to the</w:t>
      </w:r>
      <w:r w:rsidR="00B472A8">
        <w:rPr>
          <w:rFonts w:ascii="Arial" w:hAnsi="Arial" w:cs="Arial"/>
          <w:sz w:val="20"/>
        </w:rPr>
        <w:t> </w:t>
      </w:r>
      <w:r w:rsidRPr="009B4A78">
        <w:rPr>
          <w:rFonts w:ascii="Arial" w:hAnsi="Arial" w:cs="Arial"/>
          <w:sz w:val="20"/>
        </w:rPr>
        <w:t xml:space="preserve">2014/15 Budget after Transfers.  The increase is primarily due to (i) the </w:t>
      </w:r>
      <w:r w:rsidRPr="009B4A78">
        <w:rPr>
          <w:rFonts w:ascii="Arial" w:hAnsi="Arial" w:cs="Arial"/>
          <w:sz w:val="20"/>
          <w:szCs w:val="20"/>
        </w:rPr>
        <w:t xml:space="preserve">internal redeployment of resources </w:t>
      </w:r>
      <w:r w:rsidRPr="009B4A78">
        <w:rPr>
          <w:rFonts w:ascii="Arial" w:hAnsi="Arial" w:cs="Arial"/>
          <w:sz w:val="20"/>
        </w:rPr>
        <w:t xml:space="preserve">to the WIPO Academy in support of the ongoing reform process and (ii) the budgetary provision for the new DA project “Cooperation with Judicial Training Institutes in Developing and Least Developed Countries”.  </w:t>
      </w:r>
    </w:p>
    <w:p w14:paraId="1DDE6CC2" w14:textId="77777777" w:rsidR="00865AEC" w:rsidRPr="009B4A78" w:rsidRDefault="00865AEC" w:rsidP="00F33E49">
      <w:pPr>
        <w:autoSpaceDE w:val="0"/>
        <w:autoSpaceDN w:val="0"/>
        <w:rPr>
          <w:rFonts w:ascii="Arial" w:hAnsi="Arial" w:cs="Arial"/>
          <w:sz w:val="20"/>
        </w:rPr>
      </w:pPr>
    </w:p>
    <w:p w14:paraId="78FF0CF7" w14:textId="77777777" w:rsidR="00865AEC" w:rsidRPr="009B4A78" w:rsidRDefault="00865AEC" w:rsidP="00F33E49">
      <w:pPr>
        <w:autoSpaceDE w:val="0"/>
        <w:autoSpaceDN w:val="0"/>
        <w:rPr>
          <w:rFonts w:ascii="Arial" w:hAnsi="Arial" w:cs="Arial"/>
          <w:sz w:val="20"/>
        </w:rPr>
      </w:pPr>
    </w:p>
    <w:p w14:paraId="6BA14C4D" w14:textId="77777777" w:rsidR="00865AEC" w:rsidRPr="009B4A78" w:rsidRDefault="00865AEC" w:rsidP="00F33E49">
      <w:pPr>
        <w:keepNext/>
        <w:keepLines/>
        <w:autoSpaceDE w:val="0"/>
        <w:autoSpaceDN w:val="0"/>
        <w:jc w:val="center"/>
        <w:rPr>
          <w:rFonts w:ascii="Arial" w:hAnsi="Arial" w:cs="Arial"/>
          <w:b/>
          <w:sz w:val="20"/>
        </w:rPr>
      </w:pPr>
      <w:r w:rsidRPr="009B4A78">
        <w:rPr>
          <w:rFonts w:ascii="Arial" w:hAnsi="Arial" w:cs="Arial"/>
          <w:b/>
          <w:sz w:val="20"/>
        </w:rPr>
        <w:lastRenderedPageBreak/>
        <w:t>Program 11:  Resources by Result</w:t>
      </w:r>
    </w:p>
    <w:p w14:paraId="25F90775" w14:textId="77777777" w:rsidR="00865AEC" w:rsidRPr="009B4A78" w:rsidRDefault="00865AEC"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5D9FD31E" w14:textId="77777777" w:rsidR="00865AEC" w:rsidRPr="009B4A78" w:rsidRDefault="00865AEC" w:rsidP="00F33E49">
      <w:pPr>
        <w:keepNext/>
        <w:keepLines/>
        <w:autoSpaceDE w:val="0"/>
        <w:autoSpaceDN w:val="0"/>
        <w:jc w:val="center"/>
        <w:rPr>
          <w:rFonts w:ascii="Arial" w:hAnsi="Arial" w:cs="Arial"/>
          <w:i/>
          <w:sz w:val="20"/>
        </w:rPr>
      </w:pPr>
    </w:p>
    <w:p w14:paraId="577307E7" w14:textId="77777777" w:rsidR="00865AEC" w:rsidRPr="009B4A78" w:rsidRDefault="00865AEC" w:rsidP="008F3633">
      <w:pPr>
        <w:keepNext/>
        <w:keepLines/>
        <w:autoSpaceDE w:val="0"/>
        <w:autoSpaceDN w:val="0"/>
        <w:jc w:val="center"/>
        <w:rPr>
          <w:rFonts w:ascii="Arial" w:hAnsi="Arial" w:cs="Arial"/>
          <w:i/>
          <w:sz w:val="20"/>
        </w:rPr>
      </w:pPr>
      <w:r w:rsidRPr="009B4A78">
        <w:rPr>
          <w:rFonts w:ascii="Arial" w:hAnsi="Arial" w:cs="Arial"/>
          <w:noProof/>
          <w:lang w:eastAsia="en-US"/>
        </w:rPr>
        <w:drawing>
          <wp:inline distT="0" distB="0" distL="0" distR="0" wp14:anchorId="3ADFA8FC" wp14:editId="223C6966">
            <wp:extent cx="5367646" cy="1137131"/>
            <wp:effectExtent l="0" t="0" r="508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447710" cy="1154092"/>
                    </a:xfrm>
                    <a:prstGeom prst="rect">
                      <a:avLst/>
                    </a:prstGeom>
                    <a:noFill/>
                    <a:ln>
                      <a:noFill/>
                    </a:ln>
                  </pic:spPr>
                </pic:pic>
              </a:graphicData>
            </a:graphic>
          </wp:inline>
        </w:drawing>
      </w:r>
    </w:p>
    <w:p w14:paraId="7303193C" w14:textId="77777777" w:rsidR="00865AEC" w:rsidRPr="009B4A78" w:rsidRDefault="00865AEC" w:rsidP="00F33E49">
      <w:pPr>
        <w:autoSpaceDE w:val="0"/>
        <w:autoSpaceDN w:val="0"/>
        <w:rPr>
          <w:rFonts w:ascii="Arial" w:hAnsi="Arial" w:cs="Arial"/>
          <w:i/>
          <w:sz w:val="20"/>
        </w:rPr>
      </w:pPr>
    </w:p>
    <w:p w14:paraId="58EBF759" w14:textId="77777777" w:rsidR="00865AEC" w:rsidRPr="009B4A78" w:rsidRDefault="00865AEC" w:rsidP="00F33E49">
      <w:pPr>
        <w:autoSpaceDE w:val="0"/>
        <w:autoSpaceDN w:val="0"/>
        <w:rPr>
          <w:rFonts w:ascii="Arial" w:hAnsi="Arial" w:cs="Arial"/>
          <w:i/>
          <w:sz w:val="20"/>
        </w:rPr>
      </w:pPr>
    </w:p>
    <w:p w14:paraId="6F7D0864" w14:textId="77777777" w:rsidR="00865AEC" w:rsidRPr="009B4A78" w:rsidRDefault="00865AEC" w:rsidP="00F33E49">
      <w:pPr>
        <w:keepNext/>
        <w:keepLines/>
        <w:autoSpaceDE w:val="0"/>
        <w:autoSpaceDN w:val="0"/>
        <w:jc w:val="center"/>
        <w:rPr>
          <w:rFonts w:ascii="Arial" w:hAnsi="Arial" w:cs="Arial"/>
          <w:b/>
          <w:sz w:val="20"/>
        </w:rPr>
      </w:pPr>
      <w:r w:rsidRPr="009B4A78">
        <w:rPr>
          <w:rFonts w:ascii="Arial" w:hAnsi="Arial" w:cs="Arial"/>
          <w:b/>
          <w:sz w:val="20"/>
        </w:rPr>
        <w:t>Program 11:  Resources by Object of Expenditure</w:t>
      </w:r>
    </w:p>
    <w:p w14:paraId="2AB7D639" w14:textId="77777777" w:rsidR="00865AEC" w:rsidRPr="009B4A78" w:rsidRDefault="00865AEC"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69A1FFC7" w14:textId="77777777" w:rsidR="00865AEC" w:rsidRPr="009B4A78" w:rsidRDefault="00865AEC" w:rsidP="00F33E49">
      <w:pPr>
        <w:keepNext/>
        <w:keepLines/>
        <w:autoSpaceDE w:val="0"/>
        <w:autoSpaceDN w:val="0"/>
        <w:jc w:val="center"/>
        <w:rPr>
          <w:rFonts w:ascii="Arial" w:hAnsi="Arial" w:cs="Arial"/>
          <w:i/>
          <w:sz w:val="20"/>
        </w:rPr>
      </w:pPr>
    </w:p>
    <w:p w14:paraId="06DE628B" w14:textId="2BF02088" w:rsidR="00865AEC" w:rsidRPr="009B4A78" w:rsidRDefault="006773FE" w:rsidP="00F33E49">
      <w:pPr>
        <w:jc w:val="center"/>
        <w:rPr>
          <w:rFonts w:ascii="Arial" w:hAnsi="Arial" w:cs="Arial"/>
        </w:rPr>
      </w:pPr>
      <w:r w:rsidRPr="006773FE">
        <w:rPr>
          <w:noProof/>
          <w:lang w:eastAsia="en-US"/>
        </w:rPr>
        <w:drawing>
          <wp:inline distT="0" distB="0" distL="0" distR="0" wp14:anchorId="6102DE05" wp14:editId="2832EA55">
            <wp:extent cx="4829175" cy="594950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40753" cy="5963765"/>
                    </a:xfrm>
                    <a:prstGeom prst="rect">
                      <a:avLst/>
                    </a:prstGeom>
                    <a:noFill/>
                    <a:ln>
                      <a:noFill/>
                    </a:ln>
                  </pic:spPr>
                </pic:pic>
              </a:graphicData>
            </a:graphic>
          </wp:inline>
        </w:drawing>
      </w:r>
    </w:p>
    <w:p w14:paraId="1C771B88" w14:textId="77777777" w:rsidR="00865AEC" w:rsidRDefault="00865AEC" w:rsidP="00F33E49">
      <w:pPr>
        <w:jc w:val="center"/>
        <w:rPr>
          <w:rFonts w:ascii="Arial" w:hAnsi="Arial" w:cs="Arial"/>
        </w:rPr>
      </w:pPr>
    </w:p>
    <w:p w14:paraId="5588D51C" w14:textId="77777777" w:rsidR="00C60563" w:rsidRDefault="00C60563" w:rsidP="00F33E49">
      <w:pPr>
        <w:jc w:val="center"/>
        <w:rPr>
          <w:rFonts w:ascii="Arial" w:hAnsi="Arial" w:cs="Arial"/>
        </w:rPr>
      </w:pPr>
    </w:p>
    <w:p w14:paraId="07A37C07" w14:textId="77777777" w:rsidR="00865AEC" w:rsidRPr="009B4A78" w:rsidRDefault="00865AEC" w:rsidP="00865AEC">
      <w:pPr>
        <w:keepNext/>
        <w:keepLines/>
        <w:jc w:val="center"/>
        <w:rPr>
          <w:rFonts w:ascii="Arial" w:hAnsi="Arial" w:cs="Arial"/>
          <w:b/>
          <w:sz w:val="20"/>
          <w:szCs w:val="20"/>
        </w:rPr>
      </w:pPr>
      <w:r w:rsidRPr="009B4A78">
        <w:rPr>
          <w:rFonts w:ascii="Arial" w:hAnsi="Arial" w:cs="Arial"/>
          <w:b/>
          <w:sz w:val="20"/>
          <w:szCs w:val="20"/>
        </w:rPr>
        <w:lastRenderedPageBreak/>
        <w:t>Funds in Trust Potentially Available for Programming in 2016/17 (BY PROGRAM)</w:t>
      </w:r>
      <w:r w:rsidRPr="009B4A78">
        <w:rPr>
          <w:rFonts w:ascii="Arial" w:hAnsi="Arial" w:cs="Arial"/>
          <w:i/>
          <w:sz w:val="20"/>
          <w:szCs w:val="20"/>
          <w:vertAlign w:val="superscript"/>
        </w:rPr>
        <w:t xml:space="preserve"> </w:t>
      </w:r>
      <w:r w:rsidRPr="009B4A78">
        <w:rPr>
          <w:rFonts w:ascii="Arial" w:hAnsi="Arial" w:cs="Arial"/>
          <w:sz w:val="20"/>
          <w:szCs w:val="20"/>
          <w:vertAlign w:val="superscript"/>
        </w:rPr>
        <w:t>1</w:t>
      </w:r>
    </w:p>
    <w:p w14:paraId="4E9B303A" w14:textId="77777777" w:rsidR="00865AEC" w:rsidRDefault="00865AEC" w:rsidP="006D1E38">
      <w:pPr>
        <w:keepNext/>
        <w:keepLines/>
        <w:jc w:val="center"/>
        <w:rPr>
          <w:rFonts w:ascii="Arial" w:hAnsi="Arial" w:cs="Arial"/>
          <w:i/>
          <w:sz w:val="20"/>
          <w:szCs w:val="20"/>
        </w:rPr>
      </w:pPr>
      <w:r w:rsidRPr="009B4A78">
        <w:rPr>
          <w:rFonts w:ascii="Arial" w:hAnsi="Arial" w:cs="Arial"/>
          <w:i/>
          <w:sz w:val="20"/>
          <w:szCs w:val="20"/>
        </w:rPr>
        <w:t>(in thousands of Swiss francs)</w:t>
      </w:r>
    </w:p>
    <w:p w14:paraId="6FE70A38" w14:textId="77777777" w:rsidR="006D1E38" w:rsidRPr="009B4A78" w:rsidRDefault="006D1E38" w:rsidP="006D1E38">
      <w:pPr>
        <w:keepNext/>
        <w:keepLines/>
        <w:jc w:val="center"/>
        <w:rPr>
          <w:rFonts w:ascii="Arial" w:hAnsi="Arial" w:cs="Arial"/>
          <w:i/>
          <w:sz w:val="20"/>
          <w:szCs w:val="20"/>
        </w:rPr>
      </w:pPr>
    </w:p>
    <w:p w14:paraId="7E6CC95B" w14:textId="77777777" w:rsidR="00433347" w:rsidRPr="00FB68E0" w:rsidRDefault="00E23B7D" w:rsidP="00FB68E0">
      <w:pPr>
        <w:keepNext/>
        <w:keepLines/>
        <w:spacing w:after="60"/>
        <w:jc w:val="center"/>
        <w:rPr>
          <w:rFonts w:ascii="Arial" w:hAnsi="Arial" w:cs="Arial"/>
          <w:sz w:val="20"/>
          <w:szCs w:val="16"/>
          <w:vertAlign w:val="superscript"/>
        </w:rPr>
      </w:pPr>
      <w:r w:rsidRPr="00E23B7D">
        <w:rPr>
          <w:noProof/>
          <w:lang w:eastAsia="en-US"/>
        </w:rPr>
        <w:drawing>
          <wp:inline distT="0" distB="0" distL="0" distR="0" wp14:anchorId="2FC857A8" wp14:editId="4C00CB6C">
            <wp:extent cx="5391398" cy="847638"/>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30055" cy="853716"/>
                    </a:xfrm>
                    <a:prstGeom prst="rect">
                      <a:avLst/>
                    </a:prstGeom>
                    <a:noFill/>
                    <a:ln>
                      <a:noFill/>
                    </a:ln>
                  </pic:spPr>
                </pic:pic>
              </a:graphicData>
            </a:graphic>
          </wp:inline>
        </w:drawing>
      </w:r>
    </w:p>
    <w:p w14:paraId="20CAEFAC" w14:textId="26EB4F29" w:rsidR="00E641D8" w:rsidRDefault="00653890" w:rsidP="006D1E38">
      <w:pPr>
        <w:keepNext/>
        <w:keepLines/>
        <w:spacing w:after="60"/>
        <w:rPr>
          <w:rFonts w:ascii="Arial" w:hAnsi="Arial" w:cs="Arial"/>
          <w:i/>
          <w:sz w:val="16"/>
          <w:szCs w:val="14"/>
        </w:rPr>
      </w:pPr>
      <w:r w:rsidRPr="00FB68E0">
        <w:rPr>
          <w:rFonts w:ascii="Arial" w:hAnsi="Arial" w:cs="Arial"/>
          <w:sz w:val="16"/>
          <w:szCs w:val="16"/>
          <w:vertAlign w:val="superscript"/>
        </w:rPr>
        <w:t>1</w:t>
      </w:r>
      <w:r w:rsidR="00865AEC" w:rsidRPr="009B4A78">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20FD0769" w14:textId="24596504" w:rsidR="00865AEC" w:rsidRDefault="00865AEC" w:rsidP="006D1E38">
      <w:pPr>
        <w:keepNext/>
        <w:keepLines/>
        <w:spacing w:after="60"/>
        <w:rPr>
          <w:rFonts w:ascii="Arial" w:hAnsi="Arial" w:cs="Arial"/>
          <w:i/>
          <w:sz w:val="16"/>
          <w:szCs w:val="14"/>
        </w:rPr>
      </w:pPr>
      <w:r w:rsidRPr="009B4A78">
        <w:rPr>
          <w:rFonts w:ascii="Arial" w:hAnsi="Arial" w:cs="Arial"/>
          <w:i/>
          <w:sz w:val="16"/>
          <w:szCs w:val="14"/>
          <w:vertAlign w:val="superscript"/>
        </w:rPr>
        <w:t>2</w:t>
      </w:r>
      <w:r w:rsidRPr="009B4A78">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4C3D1B14" w14:textId="6A088D6C" w:rsidR="00E23B7D" w:rsidRPr="009B4A78" w:rsidRDefault="00E23B7D" w:rsidP="006D1E38">
      <w:pPr>
        <w:keepNext/>
        <w:keepLines/>
        <w:rPr>
          <w:rFonts w:ascii="Arial" w:hAnsi="Arial" w:cs="Arial"/>
          <w:i/>
          <w:sz w:val="16"/>
          <w:szCs w:val="14"/>
        </w:rPr>
      </w:pPr>
      <w:r w:rsidRPr="00FB68E0">
        <w:rPr>
          <w:rFonts w:ascii="Arial" w:hAnsi="Arial" w:cs="Arial"/>
          <w:i/>
          <w:sz w:val="16"/>
          <w:szCs w:val="14"/>
          <w:vertAlign w:val="superscript"/>
        </w:rPr>
        <w:t>3</w:t>
      </w:r>
      <w:r w:rsidRPr="00E23B7D">
        <w:rPr>
          <w:rFonts w:ascii="Arial" w:hAnsi="Arial" w:cs="Arial"/>
          <w:i/>
          <w:sz w:val="16"/>
          <w:szCs w:val="14"/>
        </w:rPr>
        <w:t>The Expected Balance end 2015 takes into account encumbrances and obligations.</w:t>
      </w:r>
    </w:p>
    <w:p w14:paraId="4D985EED" w14:textId="77777777" w:rsidR="00E641D8" w:rsidRDefault="00E641D8">
      <w:pPr>
        <w:rPr>
          <w:rFonts w:ascii="Arial" w:hAnsi="Arial" w:cs="Arial"/>
          <w:sz w:val="20"/>
        </w:rPr>
      </w:pPr>
    </w:p>
    <w:p w14:paraId="697E7D7E" w14:textId="34A12AFB" w:rsidR="00E641D8" w:rsidRDefault="00E641D8">
      <w:pPr>
        <w:rPr>
          <w:rFonts w:ascii="Arial" w:hAnsi="Arial" w:cs="Arial"/>
          <w:sz w:val="20"/>
        </w:rPr>
      </w:pPr>
      <w:r>
        <w:rPr>
          <w:rFonts w:ascii="Arial" w:hAnsi="Arial" w:cs="Arial"/>
          <w:sz w:val="20"/>
        </w:rPr>
        <w:br w:type="page"/>
      </w:r>
    </w:p>
    <w:p w14:paraId="40314170" w14:textId="77777777" w:rsidR="007D3B04" w:rsidRPr="007D3B04" w:rsidRDefault="007D3B04" w:rsidP="008D3EC2">
      <w:pPr>
        <w:pStyle w:val="StyleHeading3ComplexItalic"/>
        <w:ind w:left="1985" w:hanging="1985"/>
        <w:rPr>
          <w:rStyle w:val="StyleStyleHeading3ComplexItalicLatin12ptChar"/>
          <w:rFonts w:eastAsia="Arial"/>
          <w:b/>
        </w:rPr>
      </w:pPr>
      <w:bookmarkStart w:id="45" w:name="_Toc427154409"/>
      <w:r w:rsidRPr="00FB68E0">
        <w:rPr>
          <w:rStyle w:val="StyleStyleHeading3ComplexItalicLatin12ptChar"/>
          <w:rFonts w:eastAsia="Arial"/>
          <w:b/>
        </w:rPr>
        <w:lastRenderedPageBreak/>
        <w:t xml:space="preserve">PROGRAM 30 </w:t>
      </w:r>
      <w:r>
        <w:rPr>
          <w:rStyle w:val="StyleStyleHeading3ComplexItalicLatin12ptChar"/>
          <w:rFonts w:eastAsia="Arial"/>
        </w:rPr>
        <w:tab/>
      </w:r>
      <w:r w:rsidRPr="00FB68E0">
        <w:rPr>
          <w:rStyle w:val="StyleStyleHeading3ComplexItalicLatin12ptChar"/>
          <w:rFonts w:eastAsia="Arial"/>
          <w:b/>
        </w:rPr>
        <w:t>SMALL AND MEDIUM-SIZED ENTERPRISES (SMES</w:t>
      </w:r>
      <w:r w:rsidRPr="007D3B04">
        <w:rPr>
          <w:rStyle w:val="StyleStyleHeading3ComplexItalicLatin12ptChar"/>
          <w:rFonts w:eastAsia="Arial"/>
          <w:b/>
        </w:rPr>
        <w:t>) AND ENTREPRENEURSHIP SUPPORT</w:t>
      </w:r>
      <w:bookmarkEnd w:id="45"/>
      <w:r w:rsidRPr="007D3B04">
        <w:rPr>
          <w:rStyle w:val="StyleStyleHeading3ComplexItalicLatin12ptChar"/>
          <w:rFonts w:eastAsia="Arial"/>
          <w:b/>
        </w:rPr>
        <w:t xml:space="preserve"> </w:t>
      </w:r>
    </w:p>
    <w:p w14:paraId="3CA83F3A" w14:textId="77777777" w:rsidR="007D3B04" w:rsidRPr="006B4739" w:rsidRDefault="007D3B04" w:rsidP="008D3EC2">
      <w:pPr>
        <w:tabs>
          <w:tab w:val="left" w:pos="0"/>
        </w:tabs>
        <w:spacing w:before="32" w:line="241" w:lineRule="auto"/>
        <w:ind w:right="1210"/>
        <w:jc w:val="both"/>
        <w:rPr>
          <w:rFonts w:ascii="Arial" w:eastAsia="Arial" w:hAnsi="Arial" w:cs="Arial"/>
          <w:b/>
          <w:bCs/>
          <w:spacing w:val="-1"/>
        </w:rPr>
      </w:pPr>
    </w:p>
    <w:p w14:paraId="1D8E703C" w14:textId="77777777" w:rsidR="007D3B04" w:rsidRDefault="007D3B04" w:rsidP="008D3EC2">
      <w:pPr>
        <w:rPr>
          <w:rFonts w:ascii="Arial" w:hAnsi="Arial" w:cs="Arial"/>
        </w:rPr>
      </w:pPr>
    </w:p>
    <w:p w14:paraId="7C74714E" w14:textId="77777777" w:rsidR="007D3B04" w:rsidRPr="006B4739" w:rsidRDefault="007D3B04" w:rsidP="008D3EC2">
      <w:pPr>
        <w:rPr>
          <w:rFonts w:ascii="Arial" w:hAnsi="Arial" w:cs="Arial"/>
        </w:rPr>
      </w:pPr>
      <w:r w:rsidRPr="006B4739">
        <w:rPr>
          <w:rFonts w:ascii="Arial" w:hAnsi="Arial" w:cs="Arial"/>
        </w:rPr>
        <w:t>PLANNING CONTEXT</w:t>
      </w:r>
    </w:p>
    <w:p w14:paraId="1A2BB06E" w14:textId="77777777" w:rsidR="007D3B04" w:rsidRPr="006B4739" w:rsidRDefault="007D3B04" w:rsidP="008D3EC2">
      <w:pPr>
        <w:tabs>
          <w:tab w:val="left" w:pos="709"/>
        </w:tabs>
        <w:rPr>
          <w:rFonts w:ascii="Arial" w:hAnsi="Arial" w:cs="Arial"/>
        </w:rPr>
      </w:pPr>
    </w:p>
    <w:p w14:paraId="191C1F70" w14:textId="77777777" w:rsidR="007D3B04" w:rsidRPr="00AE06F9" w:rsidRDefault="007D3B04" w:rsidP="00B66A4A">
      <w:pPr>
        <w:pStyle w:val="ListParagraph"/>
        <w:numPr>
          <w:ilvl w:val="0"/>
          <w:numId w:val="26"/>
        </w:numPr>
        <w:tabs>
          <w:tab w:val="left" w:pos="709"/>
        </w:tabs>
        <w:ind w:left="0" w:firstLine="0"/>
        <w:jc w:val="both"/>
        <w:rPr>
          <w:rFonts w:ascii="Arial" w:hAnsi="Arial" w:cs="Arial"/>
          <w:sz w:val="20"/>
          <w:szCs w:val="20"/>
        </w:rPr>
      </w:pPr>
      <w:r w:rsidRPr="00AE06F9">
        <w:rPr>
          <w:rFonts w:ascii="Arial" w:hAnsi="Arial" w:cs="Arial"/>
          <w:sz w:val="20"/>
          <w:szCs w:val="20"/>
        </w:rPr>
        <w:t xml:space="preserve">Small and medium-sized enterprises (SMEs) make significant contributions in countries around the world to GDP, employment generation, innovation, exports, women empowerment, poverty alleviation and sustainable growth.  Also making highly significant contributions to innovation and its benefits are universities and public research institutions (PRIs), which have varying capacity and capabilities regarding strategic knowledge transfer and IP commercialization of research results.  Both of these segments of activity are affected by the national IP strategies of their respective countries.  </w:t>
      </w:r>
    </w:p>
    <w:p w14:paraId="66EEDD5B" w14:textId="77777777" w:rsidR="007D3B04" w:rsidRPr="001E11E0" w:rsidRDefault="007D3B04" w:rsidP="008D3EC2">
      <w:pPr>
        <w:tabs>
          <w:tab w:val="left" w:pos="709"/>
        </w:tabs>
        <w:jc w:val="both"/>
        <w:rPr>
          <w:rFonts w:ascii="Arial" w:hAnsi="Arial" w:cs="Arial"/>
          <w:sz w:val="20"/>
          <w:szCs w:val="20"/>
        </w:rPr>
      </w:pPr>
    </w:p>
    <w:p w14:paraId="74AEEBCF" w14:textId="7CFE54B2"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 xml:space="preserve">The lack of awareness and competency in the field of </w:t>
      </w:r>
      <w:r>
        <w:rPr>
          <w:rFonts w:ascii="Arial" w:hAnsi="Arial" w:cs="Arial"/>
          <w:sz w:val="20"/>
          <w:szCs w:val="20"/>
        </w:rPr>
        <w:t>IP</w:t>
      </w:r>
      <w:r w:rsidRPr="001E11E0">
        <w:rPr>
          <w:rFonts w:ascii="Arial" w:hAnsi="Arial" w:cs="Arial"/>
          <w:sz w:val="20"/>
          <w:szCs w:val="20"/>
        </w:rPr>
        <w:t xml:space="preserve"> management, the perceived high cost and complexity of the IP system and difficulties in protecting and defending IP rights prevent SMEs, universities and PRIs around the world from benefiting from the advantages of the IP system</w:t>
      </w:r>
      <w:r w:rsidR="00AF5A57">
        <w:rPr>
          <w:rFonts w:ascii="Arial" w:hAnsi="Arial" w:cs="Arial"/>
          <w:sz w:val="20"/>
          <w:szCs w:val="20"/>
        </w:rPr>
        <w:t>. This</w:t>
      </w:r>
      <w:r w:rsidRPr="001E11E0">
        <w:rPr>
          <w:rFonts w:ascii="Arial" w:hAnsi="Arial" w:cs="Arial"/>
          <w:sz w:val="20"/>
          <w:szCs w:val="20"/>
        </w:rPr>
        <w:t xml:space="preserve"> </w:t>
      </w:r>
      <w:r w:rsidR="00AF5A57">
        <w:rPr>
          <w:rFonts w:ascii="Arial" w:hAnsi="Arial" w:cs="Arial"/>
          <w:sz w:val="20"/>
          <w:szCs w:val="20"/>
        </w:rPr>
        <w:t xml:space="preserve">is </w:t>
      </w:r>
      <w:r w:rsidRPr="001E11E0">
        <w:rPr>
          <w:rFonts w:ascii="Arial" w:hAnsi="Arial" w:cs="Arial"/>
          <w:sz w:val="20"/>
          <w:szCs w:val="20"/>
        </w:rPr>
        <w:t>reflected</w:t>
      </w:r>
      <w:r w:rsidR="00AF5A57">
        <w:rPr>
          <w:rFonts w:ascii="Arial" w:hAnsi="Arial" w:cs="Arial"/>
          <w:sz w:val="20"/>
          <w:szCs w:val="20"/>
        </w:rPr>
        <w:t xml:space="preserve"> by their </w:t>
      </w:r>
      <w:r w:rsidRPr="001E11E0">
        <w:rPr>
          <w:rFonts w:ascii="Arial" w:hAnsi="Arial" w:cs="Arial"/>
          <w:sz w:val="20"/>
          <w:szCs w:val="20"/>
        </w:rPr>
        <w:t xml:space="preserve">low use of the IP system in general and WIPO’s global services in particular. </w:t>
      </w:r>
    </w:p>
    <w:p w14:paraId="759958C9" w14:textId="77777777" w:rsidR="007D3B04" w:rsidRPr="001E11E0" w:rsidRDefault="007D3B04" w:rsidP="008D3EC2">
      <w:pPr>
        <w:tabs>
          <w:tab w:val="left" w:pos="709"/>
        </w:tabs>
        <w:jc w:val="both"/>
        <w:rPr>
          <w:rFonts w:ascii="Arial" w:hAnsi="Arial" w:cs="Arial"/>
          <w:sz w:val="20"/>
          <w:szCs w:val="20"/>
        </w:rPr>
      </w:pPr>
    </w:p>
    <w:p w14:paraId="16F00923" w14:textId="77777777"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Related challenges include low R&amp;D expenditure, weak or non-existent partnerships with academic and research institutions and inadequate access to information, knowledge and technologies available in IP databases.  The absence of effective institutional IP policies, incentives and funding for SMEs and the absence of vibrant SME support institutions, in several countries, pose additional challenges in enhancing the better use of the IP system by SMEs, universities and PRIs.</w:t>
      </w:r>
    </w:p>
    <w:p w14:paraId="119B4FC5" w14:textId="77777777" w:rsidR="007D3B04" w:rsidRPr="001E11E0" w:rsidRDefault="007D3B04" w:rsidP="008D3EC2">
      <w:pPr>
        <w:tabs>
          <w:tab w:val="left" w:pos="709"/>
        </w:tabs>
        <w:jc w:val="both"/>
        <w:rPr>
          <w:rFonts w:ascii="Arial" w:hAnsi="Arial" w:cs="Arial"/>
          <w:sz w:val="20"/>
          <w:szCs w:val="20"/>
        </w:rPr>
      </w:pPr>
    </w:p>
    <w:p w14:paraId="0E4FFA0F" w14:textId="77777777" w:rsidR="007D3B04" w:rsidRPr="001E11E0" w:rsidRDefault="007D3B04" w:rsidP="008D3EC2">
      <w:pPr>
        <w:tabs>
          <w:tab w:val="left" w:pos="709"/>
        </w:tabs>
        <w:jc w:val="both"/>
        <w:rPr>
          <w:rFonts w:ascii="Arial" w:hAnsi="Arial" w:cs="Arial"/>
          <w:sz w:val="20"/>
          <w:szCs w:val="20"/>
        </w:rPr>
      </w:pPr>
    </w:p>
    <w:p w14:paraId="2D38BB7C" w14:textId="77777777" w:rsidR="007D3B04" w:rsidRPr="00E379D9" w:rsidRDefault="007D3B04" w:rsidP="008D3EC2">
      <w:pPr>
        <w:tabs>
          <w:tab w:val="left" w:pos="709"/>
        </w:tabs>
        <w:jc w:val="both"/>
        <w:rPr>
          <w:rFonts w:ascii="Arial" w:hAnsi="Arial" w:cs="Arial"/>
          <w:szCs w:val="20"/>
        </w:rPr>
      </w:pPr>
      <w:r w:rsidRPr="00E379D9">
        <w:rPr>
          <w:rFonts w:ascii="Arial" w:hAnsi="Arial" w:cs="Arial"/>
          <w:szCs w:val="20"/>
        </w:rPr>
        <w:t>IMPLEMENTATION STRATEGIES</w:t>
      </w:r>
    </w:p>
    <w:p w14:paraId="747D5A10" w14:textId="77777777" w:rsidR="007D3B04" w:rsidRPr="001E11E0" w:rsidRDefault="007D3B04" w:rsidP="008D3EC2">
      <w:pPr>
        <w:tabs>
          <w:tab w:val="left" w:pos="709"/>
        </w:tabs>
        <w:jc w:val="both"/>
        <w:rPr>
          <w:rFonts w:ascii="Arial" w:hAnsi="Arial" w:cs="Arial"/>
          <w:sz w:val="20"/>
          <w:szCs w:val="20"/>
        </w:rPr>
      </w:pPr>
    </w:p>
    <w:p w14:paraId="07F505BC" w14:textId="77777777"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 xml:space="preserve">The Program </w:t>
      </w:r>
      <w:r>
        <w:rPr>
          <w:rFonts w:ascii="Arial" w:hAnsi="Arial" w:cs="Arial"/>
          <w:sz w:val="20"/>
          <w:szCs w:val="20"/>
        </w:rPr>
        <w:t xml:space="preserve">will continue contributing to ensuring that </w:t>
      </w:r>
      <w:r w:rsidRPr="001E11E0">
        <w:rPr>
          <w:rFonts w:ascii="Arial" w:hAnsi="Arial" w:cs="Arial"/>
          <w:sz w:val="20"/>
          <w:szCs w:val="20"/>
        </w:rPr>
        <w:t xml:space="preserve">national </w:t>
      </w:r>
      <w:r>
        <w:rPr>
          <w:rFonts w:ascii="Arial" w:hAnsi="Arial" w:cs="Arial"/>
          <w:sz w:val="20"/>
          <w:szCs w:val="20"/>
        </w:rPr>
        <w:t>IP</w:t>
      </w:r>
      <w:r w:rsidRPr="001E11E0">
        <w:rPr>
          <w:rFonts w:ascii="Arial" w:hAnsi="Arial" w:cs="Arial"/>
          <w:sz w:val="20"/>
          <w:szCs w:val="20"/>
        </w:rPr>
        <w:t xml:space="preserve"> strateg</w:t>
      </w:r>
      <w:r>
        <w:rPr>
          <w:rFonts w:ascii="Arial" w:hAnsi="Arial" w:cs="Arial"/>
          <w:sz w:val="20"/>
          <w:szCs w:val="20"/>
        </w:rPr>
        <w:t>ies address promotion of creativity including innovation b</w:t>
      </w:r>
      <w:r w:rsidRPr="001E11E0">
        <w:rPr>
          <w:rFonts w:ascii="Arial" w:hAnsi="Arial" w:cs="Arial"/>
          <w:sz w:val="20"/>
          <w:szCs w:val="20"/>
        </w:rPr>
        <w:t xml:space="preserve">ased on a thorough assessment of the development objectives and an understanding of the strengths, weaknesses, opportunities and challenges of individual countries.  </w:t>
      </w:r>
    </w:p>
    <w:p w14:paraId="5DE9C2C1" w14:textId="77777777" w:rsidR="007D3B04" w:rsidRPr="001E11E0" w:rsidRDefault="007D3B04" w:rsidP="008D3EC2">
      <w:pPr>
        <w:tabs>
          <w:tab w:val="left" w:pos="709"/>
        </w:tabs>
        <w:jc w:val="both"/>
        <w:rPr>
          <w:rFonts w:ascii="Arial" w:hAnsi="Arial" w:cs="Arial"/>
          <w:sz w:val="20"/>
          <w:szCs w:val="20"/>
        </w:rPr>
      </w:pPr>
    </w:p>
    <w:p w14:paraId="6BE14E90" w14:textId="4404349D"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 xml:space="preserve">In order to address the formidable challenge of enhancing awareness and use of the IP system by SMEs in an effective and sustainable manner, the Program will adopt a coordinated project based approach bringing together on a common platform, expertise, experience and best practices of internal and external stakeholders.  Appropriate inputs and recommendations will be obtained from national/regional studies on IP and SMEs and from national, regional and international </w:t>
      </w:r>
      <w:r w:rsidR="00B749A5" w:rsidRPr="001E11E0">
        <w:rPr>
          <w:rFonts w:ascii="Arial" w:hAnsi="Arial" w:cs="Arial"/>
          <w:sz w:val="20"/>
          <w:szCs w:val="20"/>
        </w:rPr>
        <w:t>for</w:t>
      </w:r>
      <w:r w:rsidR="00B749A5">
        <w:rPr>
          <w:rFonts w:ascii="Arial" w:hAnsi="Arial" w:cs="Arial"/>
          <w:sz w:val="20"/>
          <w:szCs w:val="20"/>
        </w:rPr>
        <w:t>a</w:t>
      </w:r>
      <w:r w:rsidR="00B749A5" w:rsidRPr="001E11E0">
        <w:rPr>
          <w:rFonts w:ascii="Arial" w:hAnsi="Arial" w:cs="Arial"/>
          <w:sz w:val="20"/>
          <w:szCs w:val="20"/>
        </w:rPr>
        <w:t xml:space="preserve"> </w:t>
      </w:r>
      <w:r w:rsidRPr="001E11E0">
        <w:rPr>
          <w:rFonts w:ascii="Arial" w:hAnsi="Arial" w:cs="Arial"/>
          <w:sz w:val="20"/>
          <w:szCs w:val="20"/>
        </w:rPr>
        <w:t xml:space="preserve">and symposia.  Novel approaches such as SME IP ambassador/champion and SME IP hand-holding projects may be tried on a pilot basis in certain countries.   </w:t>
      </w:r>
    </w:p>
    <w:p w14:paraId="3D8FCC18" w14:textId="77777777" w:rsidR="007D3B04" w:rsidRPr="001E11E0" w:rsidRDefault="007D3B04" w:rsidP="008D3EC2">
      <w:pPr>
        <w:tabs>
          <w:tab w:val="left" w:pos="709"/>
        </w:tabs>
        <w:jc w:val="both"/>
        <w:rPr>
          <w:rFonts w:ascii="Arial" w:hAnsi="Arial" w:cs="Arial"/>
          <w:sz w:val="20"/>
          <w:szCs w:val="20"/>
        </w:rPr>
      </w:pPr>
    </w:p>
    <w:p w14:paraId="50959035" w14:textId="2A985F95"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The Program act</w:t>
      </w:r>
      <w:r w:rsidR="008D184A">
        <w:rPr>
          <w:rFonts w:ascii="Arial" w:hAnsi="Arial" w:cs="Arial"/>
          <w:sz w:val="20"/>
          <w:szCs w:val="20"/>
        </w:rPr>
        <w:t>s</w:t>
      </w:r>
      <w:r w:rsidRPr="001E11E0">
        <w:rPr>
          <w:rFonts w:ascii="Arial" w:hAnsi="Arial" w:cs="Arial"/>
          <w:sz w:val="20"/>
          <w:szCs w:val="20"/>
        </w:rPr>
        <w:t xml:space="preserve"> as the dedicated central reference point within WIPO for SMEs-related IP issues in developing countries</w:t>
      </w:r>
      <w:r>
        <w:rPr>
          <w:rFonts w:ascii="Arial" w:hAnsi="Arial" w:cs="Arial"/>
          <w:sz w:val="20"/>
          <w:szCs w:val="20"/>
        </w:rPr>
        <w:t>, LDCs</w:t>
      </w:r>
      <w:r w:rsidRPr="001E11E0">
        <w:rPr>
          <w:rFonts w:ascii="Arial" w:hAnsi="Arial" w:cs="Arial"/>
          <w:sz w:val="20"/>
          <w:szCs w:val="20"/>
        </w:rPr>
        <w:t xml:space="preserve"> and transition countries, guided by inputs from Member States and DA Recommendations 1, 4 and 11.  The Program will continue to ensure that a solid platform of SME, university and R&amp;D related IP content and support are developed in order to guide the training and capacity building activities being undertaken by the Program itself and by Programs 9 (the Regional Bureaus) and 10 (Cooperation with Certain Countries in Europe and Asia), in close coordination with the WIPO Academy (Program 11).  This will encompass the development of materials tailored to the needs of SMEs available for localization and identification of good practices (inter alia to be included in the IP Advantage database) of using the IP system to demonstrate the positive impact on economic benefit, employment and competitiveness.  Opportunities for collaboration with other international and regional organizations, as well as with professional associations, with dedicated SMEs and entrepreneurship support programs will also be explored in order to strengthen the development of relevant content and its delivery </w:t>
      </w:r>
      <w:r w:rsidR="00EE5BA3">
        <w:rPr>
          <w:rFonts w:ascii="Arial" w:hAnsi="Arial" w:cs="Arial"/>
          <w:sz w:val="20"/>
          <w:szCs w:val="20"/>
        </w:rPr>
        <w:t>to achieve</w:t>
      </w:r>
      <w:r w:rsidR="00EE5BA3" w:rsidRPr="001E11E0">
        <w:rPr>
          <w:rFonts w:ascii="Arial" w:hAnsi="Arial" w:cs="Arial"/>
          <w:sz w:val="20"/>
          <w:szCs w:val="20"/>
        </w:rPr>
        <w:t xml:space="preserve"> </w:t>
      </w:r>
      <w:r w:rsidRPr="001E11E0">
        <w:rPr>
          <w:rFonts w:ascii="Arial" w:hAnsi="Arial" w:cs="Arial"/>
          <w:sz w:val="20"/>
          <w:szCs w:val="20"/>
        </w:rPr>
        <w:t>high quality results.  The training and capacity-building activities will be based on the materials developed by this Program.</w:t>
      </w:r>
    </w:p>
    <w:p w14:paraId="14CA12C7" w14:textId="77777777" w:rsidR="007D3B04" w:rsidRPr="001E11E0" w:rsidRDefault="007D3B04" w:rsidP="008D3EC2">
      <w:pPr>
        <w:tabs>
          <w:tab w:val="left" w:pos="709"/>
        </w:tabs>
        <w:jc w:val="both"/>
        <w:rPr>
          <w:rFonts w:ascii="Arial" w:hAnsi="Arial" w:cs="Arial"/>
          <w:sz w:val="20"/>
          <w:szCs w:val="20"/>
        </w:rPr>
      </w:pPr>
    </w:p>
    <w:p w14:paraId="273F27BF" w14:textId="3297B3F7"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 xml:space="preserve">In order to maximize the outreach directly to SMEs, universities and PRIs, the Program will revamp the WIPO SME and WIPO University Initiative web sites to leverage them as additional platforms for sharing information on IP management in partnership with national support institutions for SMEs, universities, PRIs and entrepreneurship support institutions.  </w:t>
      </w:r>
      <w:r w:rsidR="00847732">
        <w:rPr>
          <w:rFonts w:ascii="Arial" w:hAnsi="Arial" w:cs="Arial"/>
          <w:sz w:val="20"/>
          <w:szCs w:val="20"/>
        </w:rPr>
        <w:t>T</w:t>
      </w:r>
      <w:r w:rsidRPr="001E11E0">
        <w:rPr>
          <w:rFonts w:ascii="Arial" w:hAnsi="Arial" w:cs="Arial"/>
          <w:sz w:val="20"/>
          <w:szCs w:val="20"/>
        </w:rPr>
        <w:t xml:space="preserve">he SME Newsletter </w:t>
      </w:r>
      <w:r w:rsidR="00847732">
        <w:rPr>
          <w:rFonts w:ascii="Arial" w:hAnsi="Arial" w:cs="Arial"/>
          <w:sz w:val="20"/>
          <w:szCs w:val="20"/>
        </w:rPr>
        <w:t xml:space="preserve">will continue to be regularly issued </w:t>
      </w:r>
      <w:r w:rsidRPr="001E11E0">
        <w:rPr>
          <w:rFonts w:ascii="Arial" w:hAnsi="Arial" w:cs="Arial"/>
          <w:sz w:val="20"/>
          <w:szCs w:val="20"/>
        </w:rPr>
        <w:t>in all UN languages.</w:t>
      </w:r>
    </w:p>
    <w:p w14:paraId="3CE4A0DB" w14:textId="77777777" w:rsidR="007D3B04" w:rsidRPr="001E11E0" w:rsidRDefault="007D3B04" w:rsidP="008D3EC2">
      <w:pPr>
        <w:tabs>
          <w:tab w:val="left" w:pos="709"/>
        </w:tabs>
        <w:jc w:val="both"/>
        <w:rPr>
          <w:rFonts w:ascii="Arial" w:hAnsi="Arial" w:cs="Arial"/>
          <w:sz w:val="20"/>
          <w:szCs w:val="20"/>
        </w:rPr>
      </w:pPr>
    </w:p>
    <w:p w14:paraId="081D600B" w14:textId="35FA7026" w:rsidR="007460A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lastRenderedPageBreak/>
        <w:t>Entrepreneurship support to WIPO Member States’ academic institutions to develop an adequate legal and organizational infrastructure, as well as professional human capital to promote strategic IPR management of knowledge and research results from an early stage towards technology markets, will be provided through tailored IP commercialization projects and customized regional and national programs. As in the previous biennium</w:t>
      </w:r>
      <w:r w:rsidR="00F47745">
        <w:rPr>
          <w:rFonts w:ascii="Arial" w:hAnsi="Arial" w:cs="Arial"/>
          <w:sz w:val="20"/>
          <w:szCs w:val="20"/>
        </w:rPr>
        <w:t>,</w:t>
      </w:r>
      <w:r w:rsidRPr="001E11E0">
        <w:rPr>
          <w:rFonts w:ascii="Arial" w:hAnsi="Arial" w:cs="Arial"/>
          <w:sz w:val="20"/>
          <w:szCs w:val="20"/>
        </w:rPr>
        <w:t xml:space="preserve"> assistance will be provided to universities and R&amp;D institutions in WIPO Member States in order to establish their IP Institutional Polic</w:t>
      </w:r>
      <w:r w:rsidR="00F47745">
        <w:rPr>
          <w:rFonts w:ascii="Arial" w:hAnsi="Arial" w:cs="Arial"/>
          <w:sz w:val="20"/>
          <w:szCs w:val="20"/>
        </w:rPr>
        <w:t>i</w:t>
      </w:r>
      <w:r w:rsidRPr="001E11E0">
        <w:rPr>
          <w:rFonts w:ascii="Arial" w:hAnsi="Arial" w:cs="Arial"/>
          <w:sz w:val="20"/>
          <w:szCs w:val="20"/>
        </w:rPr>
        <w:t>es, as well as to develop their capacity and human capital to protect and commercialize knowledge and research results through processes such as IP protection, IP valuation, IP marketing, licensing, creation of startups etc.</w:t>
      </w:r>
      <w:r w:rsidR="007460A0">
        <w:rPr>
          <w:rFonts w:ascii="Arial" w:hAnsi="Arial" w:cs="Arial"/>
          <w:sz w:val="20"/>
          <w:szCs w:val="20"/>
        </w:rPr>
        <w:t xml:space="preserve"> </w:t>
      </w:r>
    </w:p>
    <w:p w14:paraId="4075BD61" w14:textId="77777777" w:rsidR="007460A0" w:rsidRDefault="007460A0" w:rsidP="008D4CE9">
      <w:pPr>
        <w:pStyle w:val="ListParagraph"/>
        <w:tabs>
          <w:tab w:val="left" w:pos="709"/>
        </w:tabs>
        <w:ind w:left="0"/>
        <w:jc w:val="both"/>
        <w:rPr>
          <w:rFonts w:ascii="Arial" w:hAnsi="Arial" w:cs="Arial"/>
          <w:sz w:val="20"/>
          <w:szCs w:val="20"/>
        </w:rPr>
      </w:pPr>
    </w:p>
    <w:p w14:paraId="4AB54C65" w14:textId="3DADC817" w:rsidR="00913F4F" w:rsidRDefault="00913F4F" w:rsidP="00913F4F">
      <w:pPr>
        <w:pStyle w:val="ListParagraph"/>
        <w:numPr>
          <w:ilvl w:val="0"/>
          <w:numId w:val="26"/>
        </w:numPr>
        <w:tabs>
          <w:tab w:val="left" w:pos="709"/>
        </w:tabs>
        <w:ind w:left="0" w:firstLine="0"/>
        <w:jc w:val="both"/>
        <w:rPr>
          <w:rFonts w:ascii="Arial" w:hAnsi="Arial" w:cs="Arial"/>
          <w:sz w:val="20"/>
          <w:szCs w:val="20"/>
        </w:rPr>
      </w:pPr>
      <w:r>
        <w:rPr>
          <w:rFonts w:ascii="Arial" w:hAnsi="Arial" w:cs="Arial"/>
          <w:sz w:val="20"/>
          <w:szCs w:val="20"/>
        </w:rPr>
        <w:t>Pursuant to DA recommendation</w:t>
      </w:r>
      <w:r w:rsidRPr="007460A0">
        <w:rPr>
          <w:rFonts w:ascii="Arial" w:hAnsi="Arial" w:cs="Arial"/>
          <w:sz w:val="20"/>
          <w:szCs w:val="20"/>
        </w:rPr>
        <w:t xml:space="preserve"> 26, WIPO will, under this Program, Program 9 and Program 10, strengthen the scope of its activities towards </w:t>
      </w:r>
      <w:r>
        <w:rPr>
          <w:rFonts w:ascii="Calibri" w:hAnsi="Calibri"/>
          <w:color w:val="000000"/>
        </w:rPr>
        <w:t xml:space="preserve">assisting the establishment of </w:t>
      </w:r>
      <w:r w:rsidRPr="007460A0">
        <w:rPr>
          <w:rFonts w:ascii="Arial" w:hAnsi="Arial" w:cs="Arial"/>
          <w:sz w:val="20"/>
          <w:szCs w:val="20"/>
        </w:rPr>
        <w:t xml:space="preserve">Technology Transfer Offices (TTOs) </w:t>
      </w:r>
      <w:r>
        <w:rPr>
          <w:rFonts w:ascii="Calibri" w:hAnsi="Calibri"/>
          <w:color w:val="000000"/>
        </w:rPr>
        <w:t xml:space="preserve">and </w:t>
      </w:r>
      <w:r w:rsidRPr="007460A0">
        <w:rPr>
          <w:rFonts w:ascii="Arial" w:hAnsi="Arial" w:cs="Arial"/>
          <w:sz w:val="20"/>
          <w:szCs w:val="20"/>
        </w:rPr>
        <w:t>enhance access to, and use of, IP information by IP institutions and the public to promote innovation and creativity.</w:t>
      </w:r>
      <w:r>
        <w:rPr>
          <w:rFonts w:ascii="Arial" w:hAnsi="Arial" w:cs="Arial"/>
          <w:sz w:val="20"/>
          <w:szCs w:val="20"/>
        </w:rPr>
        <w:t xml:space="preserve"> </w:t>
      </w:r>
    </w:p>
    <w:p w14:paraId="397DB355" w14:textId="77777777" w:rsidR="007D3B04" w:rsidRPr="001E11E0" w:rsidRDefault="007D3B04" w:rsidP="008D3EC2">
      <w:pPr>
        <w:tabs>
          <w:tab w:val="left" w:pos="709"/>
        </w:tabs>
        <w:jc w:val="both"/>
        <w:rPr>
          <w:rFonts w:ascii="Arial" w:hAnsi="Arial" w:cs="Arial"/>
          <w:sz w:val="20"/>
          <w:szCs w:val="20"/>
        </w:rPr>
      </w:pPr>
    </w:p>
    <w:p w14:paraId="2655A79C" w14:textId="55B9F88E" w:rsidR="007D3B04" w:rsidRPr="001E11E0" w:rsidRDefault="00EE5BA3" w:rsidP="00B66A4A">
      <w:pPr>
        <w:pStyle w:val="ListParagraph"/>
        <w:numPr>
          <w:ilvl w:val="0"/>
          <w:numId w:val="26"/>
        </w:numPr>
        <w:tabs>
          <w:tab w:val="left" w:pos="709"/>
        </w:tabs>
        <w:ind w:left="0" w:firstLine="0"/>
        <w:jc w:val="both"/>
        <w:rPr>
          <w:rFonts w:ascii="Arial" w:hAnsi="Arial" w:cs="Arial"/>
          <w:sz w:val="20"/>
          <w:szCs w:val="20"/>
        </w:rPr>
      </w:pPr>
      <w:r>
        <w:rPr>
          <w:rFonts w:ascii="Arial" w:hAnsi="Arial" w:cs="Arial"/>
          <w:sz w:val="20"/>
          <w:szCs w:val="20"/>
        </w:rPr>
        <w:t>B</w:t>
      </w:r>
      <w:r w:rsidR="007D3B04" w:rsidRPr="001E11E0">
        <w:rPr>
          <w:rFonts w:ascii="Arial" w:hAnsi="Arial" w:cs="Arial"/>
          <w:sz w:val="20"/>
          <w:szCs w:val="20"/>
        </w:rPr>
        <w:t>road-based expertise and tools for the research base (universities and PRIs)</w:t>
      </w:r>
      <w:r>
        <w:rPr>
          <w:rFonts w:ascii="Arial" w:hAnsi="Arial" w:cs="Arial"/>
          <w:sz w:val="20"/>
          <w:szCs w:val="20"/>
        </w:rPr>
        <w:t xml:space="preserve"> will continue to be developed</w:t>
      </w:r>
      <w:r w:rsidR="007D3B04" w:rsidRPr="001E11E0">
        <w:rPr>
          <w:rFonts w:ascii="Arial" w:hAnsi="Arial" w:cs="Arial"/>
          <w:sz w:val="20"/>
          <w:szCs w:val="20"/>
        </w:rPr>
        <w:t>.  The research base will receive assistance in implementing tailored models of IP strategic development, protection and commercialization structures and in developing skilled human capital able to strategically commercialize IP for economic growth.</w:t>
      </w:r>
    </w:p>
    <w:p w14:paraId="3F0BDC72" w14:textId="77777777" w:rsidR="007D3B04" w:rsidRPr="001E11E0" w:rsidRDefault="007D3B04" w:rsidP="008D3EC2">
      <w:pPr>
        <w:tabs>
          <w:tab w:val="left" w:pos="709"/>
        </w:tabs>
        <w:jc w:val="both"/>
        <w:rPr>
          <w:rFonts w:ascii="Arial" w:hAnsi="Arial" w:cs="Arial"/>
          <w:sz w:val="20"/>
          <w:szCs w:val="20"/>
        </w:rPr>
      </w:pPr>
    </w:p>
    <w:p w14:paraId="4514D3E9" w14:textId="47BCC4CB" w:rsidR="007D3B04" w:rsidRPr="001E11E0" w:rsidRDefault="007D3B04" w:rsidP="00B66A4A">
      <w:pPr>
        <w:pStyle w:val="ListParagraph"/>
        <w:numPr>
          <w:ilvl w:val="0"/>
          <w:numId w:val="26"/>
        </w:numPr>
        <w:tabs>
          <w:tab w:val="left" w:pos="709"/>
        </w:tabs>
        <w:ind w:left="0" w:firstLine="0"/>
        <w:jc w:val="both"/>
        <w:rPr>
          <w:rFonts w:ascii="Arial" w:hAnsi="Arial" w:cs="Arial"/>
          <w:sz w:val="20"/>
          <w:szCs w:val="20"/>
        </w:rPr>
      </w:pPr>
      <w:r w:rsidRPr="001E11E0">
        <w:rPr>
          <w:rFonts w:ascii="Arial" w:hAnsi="Arial" w:cs="Arial"/>
          <w:sz w:val="20"/>
          <w:szCs w:val="20"/>
        </w:rPr>
        <w:t xml:space="preserve">Designing the </w:t>
      </w:r>
      <w:r w:rsidR="00B749A5">
        <w:rPr>
          <w:rFonts w:ascii="Arial" w:hAnsi="Arial" w:cs="Arial"/>
          <w:sz w:val="20"/>
          <w:szCs w:val="20"/>
        </w:rPr>
        <w:t xml:space="preserve">work of </w:t>
      </w:r>
      <w:r w:rsidRPr="001E11E0">
        <w:rPr>
          <w:rFonts w:ascii="Arial" w:hAnsi="Arial" w:cs="Arial"/>
          <w:sz w:val="20"/>
          <w:szCs w:val="20"/>
        </w:rPr>
        <w:t xml:space="preserve">Program 30 to achieve impact </w:t>
      </w:r>
      <w:r w:rsidR="00C87CC8">
        <w:rPr>
          <w:rFonts w:ascii="Arial" w:hAnsi="Arial" w:cs="Arial"/>
          <w:sz w:val="20"/>
          <w:szCs w:val="20"/>
        </w:rPr>
        <w:t>as well as</w:t>
      </w:r>
      <w:r w:rsidR="00C87CC8" w:rsidRPr="001E11E0">
        <w:rPr>
          <w:rFonts w:ascii="Arial" w:hAnsi="Arial" w:cs="Arial"/>
          <w:sz w:val="20"/>
          <w:szCs w:val="20"/>
        </w:rPr>
        <w:t xml:space="preserve"> </w:t>
      </w:r>
      <w:r w:rsidRPr="001E11E0">
        <w:rPr>
          <w:rFonts w:ascii="Arial" w:hAnsi="Arial" w:cs="Arial"/>
          <w:sz w:val="20"/>
          <w:szCs w:val="20"/>
        </w:rPr>
        <w:t xml:space="preserve">monitoring and assessing WIPO’s work relating to SMEs, universities and PRIs will receive particular attention in the biennium 2016/17, in line with WIPO’s results-based management framework.  </w:t>
      </w:r>
    </w:p>
    <w:p w14:paraId="4B126AF5" w14:textId="77777777" w:rsidR="007D3B04" w:rsidRDefault="007D3B04" w:rsidP="008D3EC2">
      <w:pPr>
        <w:tabs>
          <w:tab w:val="left" w:pos="709"/>
        </w:tabs>
        <w:jc w:val="both"/>
        <w:rPr>
          <w:rFonts w:ascii="Arial" w:hAnsi="Arial" w:cs="Arial"/>
          <w:sz w:val="20"/>
          <w:szCs w:val="20"/>
        </w:rPr>
      </w:pPr>
    </w:p>
    <w:p w14:paraId="1FC417A3" w14:textId="299D3C55" w:rsidR="007A5A68" w:rsidRPr="00CB32BD" w:rsidRDefault="007A5A68" w:rsidP="00B66A4A">
      <w:pPr>
        <w:pStyle w:val="ListParagraph"/>
        <w:numPr>
          <w:ilvl w:val="0"/>
          <w:numId w:val="26"/>
        </w:numPr>
        <w:tabs>
          <w:tab w:val="left" w:pos="709"/>
        </w:tabs>
        <w:ind w:left="0" w:firstLine="0"/>
        <w:jc w:val="both"/>
        <w:rPr>
          <w:rFonts w:ascii="Arial" w:hAnsi="Arial" w:cs="Arial"/>
          <w:sz w:val="20"/>
          <w:szCs w:val="20"/>
        </w:rPr>
      </w:pPr>
      <w:r>
        <w:rPr>
          <w:rFonts w:ascii="Arial" w:hAnsi="Arial" w:cs="Arial"/>
          <w:sz w:val="20"/>
          <w:szCs w:val="20"/>
        </w:rPr>
        <w:t xml:space="preserve">Program 30 collaborates primarily with </w:t>
      </w:r>
      <w:r w:rsidRPr="00CB32BD">
        <w:rPr>
          <w:rFonts w:ascii="Arial" w:hAnsi="Arial" w:cs="Arial"/>
          <w:sz w:val="20"/>
          <w:szCs w:val="20"/>
        </w:rPr>
        <w:t xml:space="preserve">other Programs as illustrated below: </w:t>
      </w:r>
    </w:p>
    <w:p w14:paraId="03DBBBE6" w14:textId="77777777" w:rsidR="007A5A68" w:rsidRPr="001E11E0" w:rsidRDefault="007A5A68" w:rsidP="008D3EC2">
      <w:pPr>
        <w:tabs>
          <w:tab w:val="left" w:pos="709"/>
        </w:tabs>
        <w:jc w:val="both"/>
        <w:rPr>
          <w:rFonts w:ascii="Arial" w:hAnsi="Arial" w:cs="Arial"/>
          <w:sz w:val="20"/>
          <w:szCs w:val="20"/>
        </w:rPr>
      </w:pPr>
    </w:p>
    <w:p w14:paraId="1C9E26A0" w14:textId="77777777" w:rsidR="007D3B04" w:rsidRDefault="007D3B04" w:rsidP="008D3EC2">
      <w:pPr>
        <w:jc w:val="center"/>
        <w:rPr>
          <w:rFonts w:ascii="Arial" w:eastAsia="Arial" w:hAnsi="Arial" w:cs="Arial"/>
          <w:spacing w:val="-1"/>
        </w:rPr>
      </w:pPr>
    </w:p>
    <w:p w14:paraId="7A3C97FF" w14:textId="77777777" w:rsidR="007D3B04" w:rsidRDefault="007D3B04" w:rsidP="008D3EC2">
      <w:pPr>
        <w:jc w:val="center"/>
        <w:rPr>
          <w:rFonts w:ascii="Arial" w:eastAsia="Arial" w:hAnsi="Arial" w:cs="Arial"/>
          <w:spacing w:val="-1"/>
        </w:rPr>
      </w:pPr>
      <w:r>
        <w:rPr>
          <w:noProof/>
          <w:lang w:eastAsia="en-US"/>
        </w:rPr>
        <w:drawing>
          <wp:inline distT="0" distB="0" distL="0" distR="0" wp14:anchorId="7767975F" wp14:editId="5C270458">
            <wp:extent cx="5486400" cy="1657350"/>
            <wp:effectExtent l="0" t="19050" r="0" b="0"/>
            <wp:docPr id="67" name="Diagram 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14:paraId="01A0039B" w14:textId="77777777" w:rsidR="007D3B04" w:rsidRPr="00102AAC" w:rsidRDefault="007D3B04" w:rsidP="008D3EC2">
      <w:pPr>
        <w:rPr>
          <w:rFonts w:ascii="Arial" w:eastAsia="Arial" w:hAnsi="Arial" w:cs="Arial"/>
        </w:rPr>
      </w:pPr>
    </w:p>
    <w:p w14:paraId="72B70F6C" w14:textId="77777777" w:rsidR="007D3B04" w:rsidRDefault="007D3B04" w:rsidP="008D3EC2">
      <w:pPr>
        <w:rPr>
          <w:rFonts w:ascii="Arial" w:eastAsia="Arial" w:hAnsi="Arial" w:cs="Arial"/>
        </w:rPr>
      </w:pPr>
      <w:r>
        <w:rPr>
          <w:rFonts w:ascii="Arial" w:eastAsia="Arial" w:hAnsi="Arial" w:cs="Arial"/>
        </w:rPr>
        <w:t xml:space="preserve">MAJOR RISKS AND MITIGATION STRATEGIES </w:t>
      </w:r>
    </w:p>
    <w:p w14:paraId="73D79253" w14:textId="77777777" w:rsidR="007D3B04" w:rsidRDefault="007D3B04" w:rsidP="008D3EC2">
      <w:pPr>
        <w:rPr>
          <w:rFonts w:ascii="Arial" w:eastAsia="Arial" w:hAnsi="Arial" w:cs="Arial"/>
        </w:rPr>
      </w:pPr>
    </w:p>
    <w:tbl>
      <w:tblPr>
        <w:tblW w:w="9498" w:type="dxa"/>
        <w:tblInd w:w="108" w:type="dxa"/>
        <w:tblCellMar>
          <w:left w:w="0" w:type="dxa"/>
          <w:right w:w="0" w:type="dxa"/>
        </w:tblCellMar>
        <w:tblLook w:val="04A0" w:firstRow="1" w:lastRow="0" w:firstColumn="1" w:lastColumn="0" w:noHBand="0" w:noVBand="1"/>
      </w:tblPr>
      <w:tblGrid>
        <w:gridCol w:w="4253"/>
        <w:gridCol w:w="5245"/>
      </w:tblGrid>
      <w:tr w:rsidR="007D3B04" w14:paraId="43E21F3A" w14:textId="77777777" w:rsidTr="008D3EC2">
        <w:trPr>
          <w:trHeight w:val="577"/>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14:paraId="30157BB4" w14:textId="77777777" w:rsidR="007D3B04" w:rsidRDefault="007D3B04">
            <w:pPr>
              <w:spacing w:line="276" w:lineRule="auto"/>
              <w:jc w:val="center"/>
              <w:rPr>
                <w:rFonts w:ascii="Calibri" w:eastAsiaTheme="minorHAnsi" w:hAnsi="Calibri"/>
              </w:rPr>
            </w:pPr>
            <w:r>
              <w:rPr>
                <w:rFonts w:ascii="Arial" w:hAnsi="Arial" w:cs="Arial"/>
                <w:b/>
                <w:bCs/>
                <w:sz w:val="18"/>
                <w:szCs w:val="18"/>
              </w:rPr>
              <w:t>Risk</w:t>
            </w:r>
          </w:p>
        </w:tc>
        <w:tc>
          <w:tcPr>
            <w:tcW w:w="5245"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14:paraId="4337847A" w14:textId="77777777" w:rsidR="007D3B04" w:rsidRDefault="007D3B04">
            <w:pPr>
              <w:spacing w:line="276" w:lineRule="auto"/>
              <w:jc w:val="center"/>
              <w:rPr>
                <w:rFonts w:ascii="Calibri" w:eastAsiaTheme="minorHAnsi" w:hAnsi="Calibri"/>
              </w:rPr>
            </w:pPr>
            <w:r>
              <w:rPr>
                <w:rFonts w:ascii="Arial" w:hAnsi="Arial" w:cs="Arial"/>
                <w:b/>
                <w:bCs/>
                <w:sz w:val="18"/>
                <w:szCs w:val="18"/>
              </w:rPr>
              <w:t>Mitigation</w:t>
            </w:r>
          </w:p>
        </w:tc>
      </w:tr>
      <w:tr w:rsidR="007D3B04" w14:paraId="09C49AF0" w14:textId="77777777" w:rsidTr="008D3EC2">
        <w:trPr>
          <w:trHeight w:val="533"/>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14:paraId="54D4C4EB" w14:textId="77777777" w:rsidR="007D3B04" w:rsidRDefault="007D3B04">
            <w:pPr>
              <w:spacing w:line="276" w:lineRule="auto"/>
              <w:rPr>
                <w:rFonts w:ascii="Calibri" w:eastAsiaTheme="minorHAnsi" w:hAnsi="Calibri"/>
              </w:rPr>
            </w:pPr>
            <w:r>
              <w:rPr>
                <w:rFonts w:ascii="Arial" w:hAnsi="Arial" w:cs="Arial"/>
                <w:sz w:val="16"/>
                <w:szCs w:val="16"/>
              </w:rPr>
              <w:t>Economic or political changes may lead to reprioritizing of focus on the development of national innovation and IP strategies.</w:t>
            </w:r>
          </w:p>
        </w:tc>
        <w:tc>
          <w:tcPr>
            <w:tcW w:w="5245" w:type="dxa"/>
            <w:tcBorders>
              <w:top w:val="nil"/>
              <w:left w:val="nil"/>
              <w:bottom w:val="single" w:sz="8" w:space="0" w:color="auto"/>
              <w:right w:val="single" w:sz="8" w:space="0" w:color="auto"/>
            </w:tcBorders>
            <w:tcMar>
              <w:top w:w="113" w:type="dxa"/>
              <w:left w:w="108" w:type="dxa"/>
              <w:bottom w:w="113" w:type="dxa"/>
              <w:right w:w="108" w:type="dxa"/>
            </w:tcMar>
            <w:hideMark/>
          </w:tcPr>
          <w:p w14:paraId="019344D7" w14:textId="77777777" w:rsidR="007D3B04" w:rsidRDefault="007D3B04">
            <w:pPr>
              <w:spacing w:line="276" w:lineRule="auto"/>
              <w:rPr>
                <w:rFonts w:ascii="Calibri" w:eastAsiaTheme="minorHAnsi" w:hAnsi="Calibri"/>
              </w:rPr>
            </w:pPr>
            <w:r>
              <w:rPr>
                <w:rFonts w:ascii="Arial" w:hAnsi="Arial" w:cs="Arial"/>
                <w:sz w:val="16"/>
                <w:szCs w:val="16"/>
              </w:rPr>
              <w:t xml:space="preserve">Working closely with beneficiaries, donors and Members States. Planning and coordination of all IP related matters with other international organizations and partners. </w:t>
            </w:r>
          </w:p>
        </w:tc>
      </w:tr>
    </w:tbl>
    <w:p w14:paraId="5678B0D2" w14:textId="77777777" w:rsidR="007D3B04" w:rsidRDefault="007D3B04" w:rsidP="008D3EC2">
      <w:pPr>
        <w:rPr>
          <w:rFonts w:ascii="Calibri" w:eastAsiaTheme="minorHAnsi" w:hAnsi="Calibri"/>
        </w:rPr>
      </w:pPr>
    </w:p>
    <w:p w14:paraId="6F244024" w14:textId="77777777" w:rsidR="007D3B04" w:rsidRDefault="007D3B04" w:rsidP="008D3EC2">
      <w:pPr>
        <w:rPr>
          <w:rFonts w:ascii="Arial" w:eastAsia="Arial" w:hAnsi="Arial" w:cs="Arial"/>
        </w:rPr>
      </w:pPr>
    </w:p>
    <w:p w14:paraId="5CBD9120" w14:textId="77777777" w:rsidR="007D3B04" w:rsidRDefault="007D3B04" w:rsidP="008D3EC2">
      <w:pPr>
        <w:keepNext/>
        <w:keepLines/>
        <w:rPr>
          <w:rFonts w:ascii="Arial" w:eastAsia="Arial" w:hAnsi="Arial" w:cs="Arial"/>
        </w:rPr>
      </w:pPr>
      <w:r>
        <w:rPr>
          <w:rFonts w:ascii="Arial" w:eastAsia="Arial" w:hAnsi="Arial" w:cs="Arial"/>
        </w:rPr>
        <w:lastRenderedPageBreak/>
        <w:t>RESULTS FRAMEWORK</w:t>
      </w:r>
    </w:p>
    <w:p w14:paraId="6F754F9D" w14:textId="77777777" w:rsidR="007D3B04" w:rsidRDefault="007D3B04" w:rsidP="008D3EC2">
      <w:pPr>
        <w:keepNext/>
        <w:keepLines/>
        <w:rPr>
          <w:rFonts w:ascii="Arial" w:eastAsia="Arial" w:hAnsi="Arial" w:cs="Arial"/>
        </w:rPr>
      </w:pPr>
    </w:p>
    <w:tbl>
      <w:tblPr>
        <w:tblW w:w="9360" w:type="dxa"/>
        <w:tblInd w:w="93" w:type="dxa"/>
        <w:tblLook w:val="04A0" w:firstRow="1" w:lastRow="0" w:firstColumn="1" w:lastColumn="0" w:noHBand="0" w:noVBand="1"/>
      </w:tblPr>
      <w:tblGrid>
        <w:gridCol w:w="2820"/>
        <w:gridCol w:w="2780"/>
        <w:gridCol w:w="1645"/>
        <w:gridCol w:w="2115"/>
      </w:tblGrid>
      <w:tr w:rsidR="007D3B04" w:rsidRPr="002F6D85" w14:paraId="3DAC5B28" w14:textId="77777777" w:rsidTr="008D4CE9">
        <w:trPr>
          <w:trHeight w:val="600"/>
          <w:tblHeader/>
        </w:trPr>
        <w:tc>
          <w:tcPr>
            <w:tcW w:w="2820" w:type="dxa"/>
            <w:tcBorders>
              <w:top w:val="single" w:sz="4" w:space="0" w:color="auto"/>
              <w:left w:val="single" w:sz="4" w:space="0" w:color="auto"/>
              <w:bottom w:val="single" w:sz="4" w:space="0" w:color="auto"/>
              <w:right w:val="nil"/>
            </w:tcBorders>
            <w:shd w:val="clear" w:color="000000" w:fill="C5D9F1"/>
            <w:vAlign w:val="center"/>
            <w:hideMark/>
          </w:tcPr>
          <w:p w14:paraId="027C35D2" w14:textId="77777777" w:rsidR="007D3B04" w:rsidRPr="002F6D85" w:rsidRDefault="007D3B04" w:rsidP="008D3EC2">
            <w:pPr>
              <w:keepNext/>
              <w:keepLines/>
              <w:jc w:val="center"/>
              <w:rPr>
                <w:rFonts w:ascii="Arial" w:eastAsia="Times New Roman" w:hAnsi="Arial" w:cs="Arial"/>
                <w:b/>
                <w:bCs/>
                <w:color w:val="000000"/>
                <w:sz w:val="18"/>
                <w:szCs w:val="18"/>
              </w:rPr>
            </w:pPr>
            <w:r w:rsidRPr="002F6D85">
              <w:rPr>
                <w:rFonts w:ascii="Arial" w:eastAsia="Times New Roman" w:hAnsi="Arial" w:cs="Arial"/>
                <w:b/>
                <w:bCs/>
                <w:color w:val="000000"/>
                <w:sz w:val="18"/>
                <w:szCs w:val="18"/>
              </w:rPr>
              <w:t>Expected Results</w:t>
            </w:r>
          </w:p>
        </w:tc>
        <w:tc>
          <w:tcPr>
            <w:tcW w:w="2780" w:type="dxa"/>
            <w:tcBorders>
              <w:top w:val="single" w:sz="4" w:space="0" w:color="auto"/>
              <w:left w:val="nil"/>
              <w:bottom w:val="single" w:sz="4" w:space="0" w:color="auto"/>
              <w:right w:val="nil"/>
            </w:tcBorders>
            <w:shd w:val="clear" w:color="000000" w:fill="C5D9F1"/>
            <w:vAlign w:val="center"/>
            <w:hideMark/>
          </w:tcPr>
          <w:p w14:paraId="72296F76" w14:textId="77777777" w:rsidR="007D3B04" w:rsidRPr="002F6D85" w:rsidRDefault="007D3B04" w:rsidP="008D3EC2">
            <w:pPr>
              <w:keepNext/>
              <w:keepLines/>
              <w:jc w:val="center"/>
              <w:rPr>
                <w:rFonts w:ascii="Arial" w:eastAsia="Times New Roman" w:hAnsi="Arial" w:cs="Arial"/>
                <w:b/>
                <w:bCs/>
                <w:color w:val="000000"/>
                <w:sz w:val="18"/>
                <w:szCs w:val="18"/>
              </w:rPr>
            </w:pPr>
            <w:r w:rsidRPr="002F6D85">
              <w:rPr>
                <w:rFonts w:ascii="Arial" w:eastAsia="Times New Roman" w:hAnsi="Arial" w:cs="Arial"/>
                <w:b/>
                <w:bCs/>
                <w:color w:val="000000"/>
                <w:sz w:val="18"/>
                <w:szCs w:val="18"/>
              </w:rPr>
              <w:t>Performance Indicators</w:t>
            </w:r>
          </w:p>
        </w:tc>
        <w:tc>
          <w:tcPr>
            <w:tcW w:w="1645" w:type="dxa"/>
            <w:tcBorders>
              <w:top w:val="single" w:sz="4" w:space="0" w:color="auto"/>
              <w:left w:val="nil"/>
              <w:bottom w:val="single" w:sz="4" w:space="0" w:color="auto"/>
              <w:right w:val="nil"/>
            </w:tcBorders>
            <w:shd w:val="clear" w:color="000000" w:fill="C5D9F1"/>
            <w:vAlign w:val="center"/>
            <w:hideMark/>
          </w:tcPr>
          <w:p w14:paraId="3AA5E839" w14:textId="77777777" w:rsidR="007D3B04" w:rsidRPr="002F6D85" w:rsidRDefault="007D3B04" w:rsidP="008D3EC2">
            <w:pPr>
              <w:keepNext/>
              <w:keepLines/>
              <w:jc w:val="center"/>
              <w:rPr>
                <w:rFonts w:ascii="Arial" w:eastAsia="Times New Roman" w:hAnsi="Arial" w:cs="Arial"/>
                <w:b/>
                <w:bCs/>
                <w:color w:val="000000"/>
                <w:sz w:val="18"/>
                <w:szCs w:val="18"/>
              </w:rPr>
            </w:pPr>
            <w:r w:rsidRPr="002F6D85">
              <w:rPr>
                <w:rFonts w:ascii="Arial" w:eastAsia="Times New Roman" w:hAnsi="Arial" w:cs="Arial"/>
                <w:b/>
                <w:bCs/>
                <w:color w:val="000000"/>
                <w:sz w:val="18"/>
                <w:szCs w:val="18"/>
              </w:rPr>
              <w:t>Baselines</w:t>
            </w:r>
          </w:p>
        </w:tc>
        <w:tc>
          <w:tcPr>
            <w:tcW w:w="2115" w:type="dxa"/>
            <w:tcBorders>
              <w:top w:val="single" w:sz="4" w:space="0" w:color="auto"/>
              <w:left w:val="nil"/>
              <w:bottom w:val="single" w:sz="4" w:space="0" w:color="auto"/>
              <w:right w:val="single" w:sz="4" w:space="0" w:color="auto"/>
            </w:tcBorders>
            <w:shd w:val="clear" w:color="000000" w:fill="C5D9F1"/>
            <w:vAlign w:val="center"/>
            <w:hideMark/>
          </w:tcPr>
          <w:p w14:paraId="09CAA1C3" w14:textId="77777777" w:rsidR="007D3B04" w:rsidRPr="002F6D85" w:rsidRDefault="007D3B04" w:rsidP="008D3EC2">
            <w:pPr>
              <w:keepNext/>
              <w:keepLines/>
              <w:jc w:val="center"/>
              <w:rPr>
                <w:rFonts w:ascii="Arial" w:eastAsia="Times New Roman" w:hAnsi="Arial" w:cs="Arial"/>
                <w:b/>
                <w:bCs/>
                <w:color w:val="000000"/>
                <w:sz w:val="18"/>
                <w:szCs w:val="18"/>
              </w:rPr>
            </w:pPr>
            <w:r w:rsidRPr="002F6D85">
              <w:rPr>
                <w:rFonts w:ascii="Arial" w:eastAsia="Times New Roman" w:hAnsi="Arial" w:cs="Arial"/>
                <w:b/>
                <w:bCs/>
                <w:color w:val="000000"/>
                <w:sz w:val="18"/>
                <w:szCs w:val="18"/>
              </w:rPr>
              <w:t>Targets</w:t>
            </w:r>
          </w:p>
        </w:tc>
      </w:tr>
      <w:tr w:rsidR="007D3B04" w:rsidRPr="00AE06F9" w14:paraId="45DF8BAD" w14:textId="77777777" w:rsidTr="008D4CE9">
        <w:trPr>
          <w:trHeight w:val="855"/>
        </w:trPr>
        <w:tc>
          <w:tcPr>
            <w:tcW w:w="2820" w:type="dxa"/>
            <w:tcBorders>
              <w:top w:val="nil"/>
              <w:left w:val="single" w:sz="4" w:space="0" w:color="auto"/>
              <w:right w:val="nil"/>
            </w:tcBorders>
            <w:shd w:val="clear" w:color="000000" w:fill="FFFFFF"/>
            <w:hideMark/>
          </w:tcPr>
          <w:p w14:paraId="1831D28B" w14:textId="77777777" w:rsidR="007D3B04" w:rsidRPr="00AE06F9" w:rsidRDefault="007D3B04" w:rsidP="008D3EC2">
            <w:pPr>
              <w:keepNext/>
              <w:keepLines/>
              <w:rPr>
                <w:rFonts w:ascii="Arial" w:eastAsia="Times New Roman" w:hAnsi="Arial" w:cs="Arial"/>
                <w:color w:val="000000"/>
                <w:sz w:val="16"/>
                <w:szCs w:val="16"/>
              </w:rPr>
            </w:pPr>
            <w:r w:rsidRPr="002F6D85">
              <w:rPr>
                <w:rFonts w:ascii="Arial" w:eastAsia="Times New Roman" w:hAnsi="Arial" w:cs="Arial"/>
                <w:color w:val="000000"/>
                <w:sz w:val="16"/>
                <w:szCs w:val="16"/>
              </w:rPr>
              <w:br/>
            </w:r>
            <w:r w:rsidRPr="00AE06F9">
              <w:rPr>
                <w:rFonts w:ascii="Arial" w:eastAsia="Times New Roman" w:hAnsi="Arial" w:cs="Arial"/>
                <w:color w:val="000000"/>
                <w:sz w:val="16"/>
                <w:szCs w:val="16"/>
              </w:rPr>
              <w:t>III.1 National innovation and IP strategies and plans consistent with national development objectives</w:t>
            </w:r>
          </w:p>
        </w:tc>
        <w:tc>
          <w:tcPr>
            <w:tcW w:w="2780" w:type="dxa"/>
            <w:tcBorders>
              <w:top w:val="nil"/>
              <w:left w:val="nil"/>
              <w:right w:val="nil"/>
            </w:tcBorders>
            <w:shd w:val="clear" w:color="000000" w:fill="FFFFFF"/>
            <w:hideMark/>
          </w:tcPr>
          <w:p w14:paraId="4A66DD23" w14:textId="77777777" w:rsidR="007D3B04" w:rsidRPr="00AE06F9" w:rsidRDefault="007D3B04" w:rsidP="008D4CE9">
            <w:pPr>
              <w:keepNext/>
              <w:keepLines/>
              <w:ind w:left="64" w:firstLineChars="71" w:firstLine="114"/>
              <w:rPr>
                <w:rFonts w:ascii="Arial" w:eastAsia="Times New Roman" w:hAnsi="Arial" w:cs="Arial"/>
                <w:color w:val="000000"/>
                <w:sz w:val="16"/>
                <w:szCs w:val="16"/>
              </w:rPr>
            </w:pPr>
            <w:r w:rsidRPr="00AE06F9">
              <w:rPr>
                <w:rFonts w:ascii="Arial" w:eastAsia="Times New Roman" w:hAnsi="Arial" w:cs="Arial"/>
                <w:color w:val="000000"/>
                <w:sz w:val="16"/>
                <w:szCs w:val="16"/>
              </w:rPr>
              <w:br/>
              <w:t>No. of national IP strategies that address the promotion of creativity including innovation</w:t>
            </w:r>
          </w:p>
        </w:tc>
        <w:tc>
          <w:tcPr>
            <w:tcW w:w="1645" w:type="dxa"/>
            <w:tcBorders>
              <w:top w:val="nil"/>
              <w:left w:val="nil"/>
              <w:right w:val="nil"/>
            </w:tcBorders>
            <w:shd w:val="clear" w:color="000000" w:fill="FFFFFF"/>
            <w:hideMark/>
          </w:tcPr>
          <w:p w14:paraId="673E5BDB" w14:textId="2FD68ABF" w:rsidR="007D3B04" w:rsidRPr="00AE06F9" w:rsidRDefault="007D3B04" w:rsidP="008D4CE9">
            <w:pPr>
              <w:keepNext/>
              <w:keepLines/>
              <w:ind w:left="119" w:firstLineChars="36" w:firstLine="58"/>
              <w:rPr>
                <w:rFonts w:ascii="Arial" w:eastAsia="Times New Roman" w:hAnsi="Arial" w:cs="Arial"/>
                <w:color w:val="000000"/>
                <w:sz w:val="16"/>
                <w:szCs w:val="16"/>
              </w:rPr>
            </w:pPr>
            <w:r w:rsidRPr="00AE06F9">
              <w:rPr>
                <w:rFonts w:ascii="Arial" w:eastAsia="Times New Roman" w:hAnsi="Arial" w:cs="Arial"/>
                <w:color w:val="000000"/>
                <w:sz w:val="16"/>
                <w:szCs w:val="16"/>
              </w:rPr>
              <w:br/>
              <w:t xml:space="preserve"> </w:t>
            </w:r>
            <w:r w:rsidR="00AA1BB5">
              <w:rPr>
                <w:rFonts w:ascii="Arial" w:eastAsia="Times New Roman" w:hAnsi="Arial" w:cs="Arial"/>
                <w:color w:val="000000"/>
                <w:sz w:val="16"/>
                <w:szCs w:val="16"/>
              </w:rPr>
              <w:t>4 initiated (2014)</w:t>
            </w:r>
          </w:p>
        </w:tc>
        <w:tc>
          <w:tcPr>
            <w:tcW w:w="2115" w:type="dxa"/>
            <w:tcBorders>
              <w:top w:val="nil"/>
              <w:left w:val="nil"/>
              <w:right w:val="single" w:sz="4" w:space="0" w:color="auto"/>
            </w:tcBorders>
            <w:shd w:val="clear" w:color="000000" w:fill="FFFFFF"/>
            <w:hideMark/>
          </w:tcPr>
          <w:p w14:paraId="5E56E016" w14:textId="77777777" w:rsidR="007D3B04" w:rsidRPr="00AE06F9" w:rsidRDefault="007D3B04" w:rsidP="007D3B04">
            <w:pPr>
              <w:keepNext/>
              <w:keepLines/>
              <w:ind w:leftChars="140" w:left="310" w:hangingChars="1" w:hanging="2"/>
              <w:rPr>
                <w:rFonts w:ascii="Arial" w:eastAsia="Times New Roman" w:hAnsi="Arial" w:cs="Arial"/>
                <w:color w:val="000000"/>
                <w:sz w:val="16"/>
                <w:szCs w:val="16"/>
              </w:rPr>
            </w:pPr>
            <w:r w:rsidRPr="00AE06F9">
              <w:rPr>
                <w:rFonts w:ascii="Arial" w:eastAsia="Times New Roman" w:hAnsi="Arial" w:cs="Arial"/>
                <w:color w:val="000000"/>
                <w:sz w:val="16"/>
                <w:szCs w:val="16"/>
              </w:rPr>
              <w:br/>
              <w:t>5 countries</w:t>
            </w:r>
          </w:p>
        </w:tc>
      </w:tr>
      <w:tr w:rsidR="007D3B04" w:rsidRPr="00AE06F9" w14:paraId="4E81A9E6" w14:textId="77777777" w:rsidTr="008D4CE9">
        <w:trPr>
          <w:trHeight w:val="1449"/>
        </w:trPr>
        <w:tc>
          <w:tcPr>
            <w:tcW w:w="2820" w:type="dxa"/>
            <w:tcBorders>
              <w:top w:val="nil"/>
              <w:left w:val="single" w:sz="4" w:space="0" w:color="auto"/>
              <w:right w:val="nil"/>
            </w:tcBorders>
            <w:shd w:val="clear" w:color="000000" w:fill="FFFFFF"/>
            <w:hideMark/>
          </w:tcPr>
          <w:p w14:paraId="2BFE43F7"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780" w:type="dxa"/>
            <w:tcBorders>
              <w:top w:val="nil"/>
              <w:left w:val="nil"/>
              <w:right w:val="nil"/>
            </w:tcBorders>
            <w:shd w:val="clear" w:color="000000" w:fill="FFFFFF"/>
            <w:hideMark/>
          </w:tcPr>
          <w:p w14:paraId="54822595" w14:textId="77777777"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of trained IP professionals using upgraded skills in their work</w:t>
            </w:r>
          </w:p>
        </w:tc>
        <w:tc>
          <w:tcPr>
            <w:tcW w:w="1645" w:type="dxa"/>
            <w:tcBorders>
              <w:top w:val="nil"/>
              <w:left w:val="nil"/>
              <w:right w:val="nil"/>
            </w:tcBorders>
            <w:shd w:val="clear" w:color="000000" w:fill="FFFFFF"/>
            <w:hideMark/>
          </w:tcPr>
          <w:p w14:paraId="1FE8B094" w14:textId="06E47A9D" w:rsidR="007D3B04" w:rsidRPr="00AE06F9" w:rsidRDefault="00AA1BB5" w:rsidP="008D4CE9">
            <w:pPr>
              <w:ind w:left="119"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&gt;60%</w:t>
            </w:r>
          </w:p>
        </w:tc>
        <w:tc>
          <w:tcPr>
            <w:tcW w:w="2115" w:type="dxa"/>
            <w:tcBorders>
              <w:top w:val="nil"/>
              <w:left w:val="nil"/>
              <w:right w:val="single" w:sz="4" w:space="0" w:color="auto"/>
            </w:tcBorders>
            <w:shd w:val="clear" w:color="000000" w:fill="FFFFFF"/>
            <w:hideMark/>
          </w:tcPr>
          <w:p w14:paraId="3CCAE360" w14:textId="77777777" w:rsidR="007D3B04" w:rsidRPr="00AE06F9" w:rsidRDefault="007D3B04" w:rsidP="008D3EC2">
            <w:pPr>
              <w:ind w:firstLineChars="200" w:firstLine="320"/>
              <w:rPr>
                <w:rFonts w:ascii="Arial" w:eastAsia="Times New Roman" w:hAnsi="Arial" w:cs="Arial"/>
                <w:color w:val="000000"/>
                <w:sz w:val="16"/>
                <w:szCs w:val="16"/>
              </w:rPr>
            </w:pPr>
            <w:r w:rsidRPr="00AE06F9">
              <w:rPr>
                <w:rFonts w:ascii="Arial" w:eastAsia="Times New Roman" w:hAnsi="Arial" w:cs="Arial"/>
                <w:color w:val="000000"/>
                <w:sz w:val="16"/>
                <w:szCs w:val="16"/>
              </w:rPr>
              <w:t>50%</w:t>
            </w:r>
          </w:p>
        </w:tc>
      </w:tr>
      <w:tr w:rsidR="007D3B04" w:rsidRPr="00AE06F9" w14:paraId="5C7A5C8C" w14:textId="77777777" w:rsidTr="008D4CE9">
        <w:trPr>
          <w:trHeight w:val="830"/>
        </w:trPr>
        <w:tc>
          <w:tcPr>
            <w:tcW w:w="2820" w:type="dxa"/>
            <w:tcBorders>
              <w:left w:val="single" w:sz="4" w:space="0" w:color="auto"/>
              <w:bottom w:val="nil"/>
              <w:right w:val="nil"/>
            </w:tcBorders>
            <w:shd w:val="clear" w:color="000000" w:fill="FFFFFF"/>
            <w:hideMark/>
          </w:tcPr>
          <w:p w14:paraId="5F5FB618"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III.6 Increased capacity of SMEs to successfully use IP to support innovation</w:t>
            </w:r>
          </w:p>
        </w:tc>
        <w:tc>
          <w:tcPr>
            <w:tcW w:w="2780" w:type="dxa"/>
            <w:tcBorders>
              <w:left w:val="nil"/>
              <w:bottom w:val="nil"/>
              <w:right w:val="nil"/>
            </w:tcBorders>
            <w:shd w:val="clear" w:color="000000" w:fill="FFFFFF"/>
            <w:hideMark/>
          </w:tcPr>
          <w:p w14:paraId="75D992E1" w14:textId="7579173D" w:rsidR="007D3B04" w:rsidRPr="00AE06F9" w:rsidRDefault="008547D7" w:rsidP="008D4CE9">
            <w:pPr>
              <w:ind w:left="64"/>
              <w:rPr>
                <w:rFonts w:ascii="Arial" w:eastAsia="Times New Roman" w:hAnsi="Arial" w:cs="Arial"/>
                <w:color w:val="000000"/>
                <w:sz w:val="16"/>
                <w:szCs w:val="16"/>
              </w:rPr>
            </w:pPr>
            <w:r>
              <w:rPr>
                <w:rFonts w:ascii="Arial" w:eastAsia="Times New Roman" w:hAnsi="Arial" w:cs="Arial"/>
                <w:color w:val="000000"/>
                <w:sz w:val="16"/>
                <w:szCs w:val="16"/>
              </w:rPr>
              <w:t>No. of subscriptions to the SME Newsletter</w:t>
            </w:r>
          </w:p>
        </w:tc>
        <w:tc>
          <w:tcPr>
            <w:tcW w:w="1645" w:type="dxa"/>
            <w:tcBorders>
              <w:left w:val="nil"/>
              <w:bottom w:val="nil"/>
              <w:right w:val="nil"/>
            </w:tcBorders>
            <w:shd w:val="clear" w:color="000000" w:fill="FFFFFF"/>
            <w:hideMark/>
          </w:tcPr>
          <w:p w14:paraId="582FB1F0" w14:textId="77777777" w:rsidR="008547D7" w:rsidRDefault="008547D7" w:rsidP="008547D7">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40,510</w:t>
            </w:r>
          </w:p>
          <w:p w14:paraId="36E4AB9D" w14:textId="38CA2452" w:rsidR="007D3B04" w:rsidRPr="00AE06F9" w:rsidRDefault="008547D7" w:rsidP="008547D7">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(2014)</w:t>
            </w:r>
          </w:p>
        </w:tc>
        <w:tc>
          <w:tcPr>
            <w:tcW w:w="2115" w:type="dxa"/>
            <w:tcBorders>
              <w:left w:val="nil"/>
              <w:bottom w:val="nil"/>
              <w:right w:val="single" w:sz="4" w:space="0" w:color="auto"/>
            </w:tcBorders>
            <w:shd w:val="clear" w:color="000000" w:fill="FFFFFF"/>
            <w:hideMark/>
          </w:tcPr>
          <w:p w14:paraId="7D9872D5" w14:textId="2CB161D4" w:rsidR="007D3B04" w:rsidRPr="00AE06F9" w:rsidRDefault="003F740F"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w:t>
            </w:r>
          </w:p>
        </w:tc>
      </w:tr>
      <w:tr w:rsidR="008547D7" w:rsidRPr="00AE06F9" w14:paraId="055546A8" w14:textId="77777777" w:rsidTr="008D4CE9">
        <w:trPr>
          <w:trHeight w:val="976"/>
        </w:trPr>
        <w:tc>
          <w:tcPr>
            <w:tcW w:w="2820" w:type="dxa"/>
            <w:tcBorders>
              <w:top w:val="nil"/>
              <w:left w:val="single" w:sz="4" w:space="0" w:color="auto"/>
              <w:bottom w:val="nil"/>
              <w:right w:val="nil"/>
            </w:tcBorders>
            <w:shd w:val="clear" w:color="000000" w:fill="FFFFFF"/>
          </w:tcPr>
          <w:p w14:paraId="1552380E" w14:textId="77777777" w:rsidR="008547D7" w:rsidRPr="00AE06F9" w:rsidRDefault="008547D7" w:rsidP="008D3EC2">
            <w:pPr>
              <w:rPr>
                <w:rFonts w:ascii="Arial" w:eastAsia="Times New Roman" w:hAnsi="Arial" w:cs="Arial"/>
                <w:color w:val="000000"/>
                <w:sz w:val="16"/>
                <w:szCs w:val="16"/>
              </w:rPr>
            </w:pPr>
          </w:p>
        </w:tc>
        <w:tc>
          <w:tcPr>
            <w:tcW w:w="2780" w:type="dxa"/>
            <w:tcBorders>
              <w:top w:val="nil"/>
              <w:left w:val="nil"/>
              <w:bottom w:val="nil"/>
              <w:right w:val="nil"/>
            </w:tcBorders>
            <w:shd w:val="clear" w:color="000000" w:fill="FFFFFF"/>
          </w:tcPr>
          <w:p w14:paraId="0E3D2038" w14:textId="02649AC6" w:rsidR="008547D7" w:rsidRPr="00AE06F9" w:rsidRDefault="008547D7" w:rsidP="008D4CE9">
            <w:pPr>
              <w:ind w:left="64"/>
              <w:rPr>
                <w:rFonts w:ascii="Arial" w:eastAsia="Times New Roman" w:hAnsi="Arial" w:cs="Arial"/>
                <w:color w:val="000000"/>
                <w:sz w:val="16"/>
                <w:szCs w:val="16"/>
              </w:rPr>
            </w:pPr>
            <w:r>
              <w:rPr>
                <w:rFonts w:ascii="Arial" w:eastAsia="Times New Roman" w:hAnsi="Arial" w:cs="Arial"/>
                <w:color w:val="000000"/>
                <w:sz w:val="16"/>
                <w:szCs w:val="16"/>
              </w:rPr>
              <w:t>No. of downloads of topical SME material and guidelines</w:t>
            </w:r>
          </w:p>
        </w:tc>
        <w:tc>
          <w:tcPr>
            <w:tcW w:w="1645" w:type="dxa"/>
            <w:tcBorders>
              <w:top w:val="nil"/>
              <w:left w:val="nil"/>
              <w:bottom w:val="nil"/>
              <w:right w:val="nil"/>
            </w:tcBorders>
            <w:shd w:val="clear" w:color="000000" w:fill="FFFFFF"/>
          </w:tcPr>
          <w:p w14:paraId="50827C45" w14:textId="27221B84" w:rsidR="008547D7" w:rsidRDefault="00255FD8">
            <w:pPr>
              <w:rPr>
                <w:rFonts w:ascii="Arial" w:eastAsia="Times New Roman" w:hAnsi="Arial" w:cs="Arial"/>
                <w:color w:val="000000"/>
                <w:sz w:val="16"/>
                <w:szCs w:val="16"/>
              </w:rPr>
            </w:pPr>
            <w:r>
              <w:rPr>
                <w:rFonts w:ascii="Arial" w:eastAsia="Times New Roman" w:hAnsi="Arial" w:cs="Arial"/>
                <w:color w:val="000000"/>
                <w:sz w:val="16"/>
                <w:szCs w:val="16"/>
              </w:rPr>
              <w:t>2014:</w:t>
            </w:r>
          </w:p>
          <w:p w14:paraId="28E002D2" w14:textId="77777777" w:rsidR="008547D7" w:rsidRDefault="008547D7" w:rsidP="008547D7">
            <w:pPr>
              <w:rPr>
                <w:rFonts w:ascii="Arial" w:eastAsia="Times New Roman" w:hAnsi="Arial" w:cs="Arial"/>
                <w:color w:val="000000"/>
                <w:sz w:val="16"/>
                <w:szCs w:val="16"/>
              </w:rPr>
            </w:pPr>
            <w:r>
              <w:rPr>
                <w:rFonts w:ascii="Arial" w:eastAsia="Times New Roman" w:hAnsi="Arial" w:cs="Arial"/>
                <w:color w:val="000000"/>
                <w:sz w:val="16"/>
                <w:szCs w:val="16"/>
              </w:rPr>
              <w:t>No. of downloads: 70,559</w:t>
            </w:r>
          </w:p>
          <w:p w14:paraId="3E0E954D" w14:textId="77777777" w:rsidR="008547D7" w:rsidRDefault="008547D7" w:rsidP="008D3EC2">
            <w:pPr>
              <w:ind w:firstLineChars="200" w:firstLine="320"/>
              <w:rPr>
                <w:rFonts w:ascii="Arial" w:eastAsia="Times New Roman" w:hAnsi="Arial" w:cs="Arial"/>
                <w:color w:val="000000"/>
                <w:sz w:val="16"/>
                <w:szCs w:val="16"/>
              </w:rPr>
            </w:pPr>
          </w:p>
          <w:p w14:paraId="3B4480D4" w14:textId="77777777" w:rsidR="008547D7" w:rsidRDefault="008547D7" w:rsidP="00255FD8">
            <w:pPr>
              <w:rPr>
                <w:rFonts w:ascii="Arial" w:eastAsia="Times New Roman" w:hAnsi="Arial" w:cs="Arial"/>
                <w:color w:val="000000"/>
                <w:sz w:val="16"/>
                <w:szCs w:val="16"/>
              </w:rPr>
            </w:pPr>
            <w:r>
              <w:rPr>
                <w:rFonts w:ascii="Arial" w:eastAsia="Times New Roman" w:hAnsi="Arial" w:cs="Arial"/>
                <w:color w:val="000000"/>
                <w:sz w:val="16"/>
                <w:szCs w:val="16"/>
              </w:rPr>
              <w:t>No. of page views of the SME web page: 821,150</w:t>
            </w:r>
          </w:p>
          <w:p w14:paraId="5A09C17C" w14:textId="2915A2AD" w:rsidR="00255FD8" w:rsidRDefault="00255FD8" w:rsidP="00255FD8">
            <w:pPr>
              <w:rPr>
                <w:rFonts w:ascii="Arial" w:eastAsia="Times New Roman" w:hAnsi="Arial" w:cs="Arial"/>
                <w:color w:val="000000"/>
                <w:sz w:val="16"/>
                <w:szCs w:val="16"/>
              </w:rPr>
            </w:pPr>
          </w:p>
        </w:tc>
        <w:tc>
          <w:tcPr>
            <w:tcW w:w="2115" w:type="dxa"/>
            <w:tcBorders>
              <w:top w:val="nil"/>
              <w:left w:val="nil"/>
              <w:bottom w:val="nil"/>
              <w:right w:val="single" w:sz="4" w:space="0" w:color="auto"/>
            </w:tcBorders>
            <w:shd w:val="clear" w:color="000000" w:fill="FFFFFF"/>
          </w:tcPr>
          <w:p w14:paraId="2C02CF1E" w14:textId="77777777" w:rsidR="008547D7" w:rsidRDefault="008547D7" w:rsidP="008D3EC2">
            <w:pPr>
              <w:ind w:firstLineChars="200" w:firstLine="320"/>
              <w:rPr>
                <w:rFonts w:ascii="Arial" w:eastAsia="Times New Roman" w:hAnsi="Arial" w:cs="Arial"/>
                <w:color w:val="000000"/>
                <w:sz w:val="16"/>
                <w:szCs w:val="16"/>
              </w:rPr>
            </w:pPr>
          </w:p>
          <w:p w14:paraId="02D08838" w14:textId="77777777" w:rsidR="003F740F" w:rsidRDefault="003F740F"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w:t>
            </w:r>
          </w:p>
          <w:p w14:paraId="36D25C69" w14:textId="77777777" w:rsidR="003F740F" w:rsidRDefault="003F740F" w:rsidP="008D3EC2">
            <w:pPr>
              <w:ind w:firstLineChars="200" w:firstLine="320"/>
              <w:rPr>
                <w:rFonts w:ascii="Arial" w:eastAsia="Times New Roman" w:hAnsi="Arial" w:cs="Arial"/>
                <w:color w:val="000000"/>
                <w:sz w:val="16"/>
                <w:szCs w:val="16"/>
              </w:rPr>
            </w:pPr>
          </w:p>
          <w:p w14:paraId="3F2FFBC4" w14:textId="77777777" w:rsidR="003F740F" w:rsidRDefault="003F740F" w:rsidP="008D3EC2">
            <w:pPr>
              <w:ind w:firstLineChars="200" w:firstLine="320"/>
              <w:rPr>
                <w:rFonts w:ascii="Arial" w:eastAsia="Times New Roman" w:hAnsi="Arial" w:cs="Arial"/>
                <w:color w:val="000000"/>
                <w:sz w:val="16"/>
                <w:szCs w:val="16"/>
              </w:rPr>
            </w:pPr>
          </w:p>
          <w:p w14:paraId="2EDA5CF4" w14:textId="77777777" w:rsidR="003F740F" w:rsidRDefault="003F740F" w:rsidP="008D3EC2">
            <w:pPr>
              <w:ind w:firstLineChars="200" w:firstLine="320"/>
              <w:rPr>
                <w:rFonts w:ascii="Arial" w:eastAsia="Times New Roman" w:hAnsi="Arial" w:cs="Arial"/>
                <w:color w:val="000000"/>
                <w:sz w:val="16"/>
                <w:szCs w:val="16"/>
              </w:rPr>
            </w:pPr>
          </w:p>
          <w:p w14:paraId="43509447" w14:textId="0A2CD2D0" w:rsidR="003F740F" w:rsidRDefault="003F740F"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w:t>
            </w:r>
          </w:p>
        </w:tc>
      </w:tr>
      <w:tr w:rsidR="008547D7" w:rsidRPr="00AE06F9" w14:paraId="79BDB2D2" w14:textId="77777777" w:rsidTr="008D4CE9">
        <w:trPr>
          <w:trHeight w:val="976"/>
        </w:trPr>
        <w:tc>
          <w:tcPr>
            <w:tcW w:w="2820" w:type="dxa"/>
            <w:tcBorders>
              <w:top w:val="nil"/>
              <w:left w:val="single" w:sz="4" w:space="0" w:color="auto"/>
              <w:bottom w:val="nil"/>
              <w:right w:val="nil"/>
            </w:tcBorders>
            <w:shd w:val="clear" w:color="000000" w:fill="FFFFFF"/>
          </w:tcPr>
          <w:p w14:paraId="6E4671ED" w14:textId="1506896A" w:rsidR="008547D7" w:rsidRPr="00AE06F9" w:rsidRDefault="008547D7" w:rsidP="008D3EC2">
            <w:pPr>
              <w:rPr>
                <w:rFonts w:ascii="Arial" w:eastAsia="Times New Roman" w:hAnsi="Arial" w:cs="Arial"/>
                <w:color w:val="000000"/>
                <w:sz w:val="16"/>
                <w:szCs w:val="16"/>
              </w:rPr>
            </w:pPr>
          </w:p>
        </w:tc>
        <w:tc>
          <w:tcPr>
            <w:tcW w:w="2780" w:type="dxa"/>
            <w:tcBorders>
              <w:top w:val="nil"/>
              <w:left w:val="nil"/>
              <w:bottom w:val="nil"/>
              <w:right w:val="nil"/>
            </w:tcBorders>
            <w:shd w:val="clear" w:color="000000" w:fill="FFFFFF"/>
          </w:tcPr>
          <w:p w14:paraId="5E8521BE" w14:textId="77777777" w:rsidR="008547D7" w:rsidRDefault="008547D7"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of participants in training programs targeting SME support institutions who express satisfaction with the content and organization of these events</w:t>
            </w:r>
          </w:p>
          <w:p w14:paraId="1F8D9486" w14:textId="2B279565" w:rsidR="008547D7" w:rsidRPr="00AE06F9" w:rsidRDefault="008547D7" w:rsidP="008D4CE9">
            <w:pPr>
              <w:ind w:left="64"/>
              <w:rPr>
                <w:rFonts w:ascii="Arial" w:eastAsia="Times New Roman" w:hAnsi="Arial" w:cs="Arial"/>
                <w:color w:val="000000"/>
                <w:sz w:val="16"/>
                <w:szCs w:val="16"/>
              </w:rPr>
            </w:pPr>
          </w:p>
        </w:tc>
        <w:tc>
          <w:tcPr>
            <w:tcW w:w="1645" w:type="dxa"/>
            <w:tcBorders>
              <w:top w:val="nil"/>
              <w:left w:val="nil"/>
              <w:bottom w:val="nil"/>
              <w:right w:val="nil"/>
            </w:tcBorders>
            <w:shd w:val="clear" w:color="000000" w:fill="FFFFFF"/>
          </w:tcPr>
          <w:p w14:paraId="1587A316" w14:textId="5EF45CAB" w:rsidR="008547D7" w:rsidRDefault="008547D7" w:rsidP="008547D7">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100%</w:t>
            </w:r>
          </w:p>
        </w:tc>
        <w:tc>
          <w:tcPr>
            <w:tcW w:w="2115" w:type="dxa"/>
            <w:tcBorders>
              <w:top w:val="nil"/>
              <w:left w:val="nil"/>
              <w:bottom w:val="nil"/>
              <w:right w:val="single" w:sz="4" w:space="0" w:color="auto"/>
            </w:tcBorders>
            <w:shd w:val="clear" w:color="000000" w:fill="FFFFFF"/>
          </w:tcPr>
          <w:p w14:paraId="0F8844A2" w14:textId="48401C29" w:rsidR="008547D7" w:rsidRDefault="008547D7" w:rsidP="008547D7">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90%</w:t>
            </w:r>
          </w:p>
        </w:tc>
      </w:tr>
      <w:tr w:rsidR="007D3B04" w:rsidRPr="00AE06F9" w14:paraId="1EE2EA3F" w14:textId="77777777" w:rsidTr="008D4CE9">
        <w:trPr>
          <w:trHeight w:val="976"/>
        </w:trPr>
        <w:tc>
          <w:tcPr>
            <w:tcW w:w="2820" w:type="dxa"/>
            <w:tcBorders>
              <w:top w:val="nil"/>
              <w:left w:val="single" w:sz="4" w:space="0" w:color="auto"/>
              <w:bottom w:val="nil"/>
              <w:right w:val="nil"/>
            </w:tcBorders>
            <w:shd w:val="clear" w:color="000000" w:fill="FFFFFF"/>
            <w:hideMark/>
          </w:tcPr>
          <w:p w14:paraId="5D3D5AC6"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 </w:t>
            </w:r>
          </w:p>
        </w:tc>
        <w:tc>
          <w:tcPr>
            <w:tcW w:w="2780" w:type="dxa"/>
            <w:tcBorders>
              <w:top w:val="nil"/>
              <w:left w:val="nil"/>
              <w:bottom w:val="nil"/>
              <w:right w:val="nil"/>
            </w:tcBorders>
            <w:shd w:val="clear" w:color="000000" w:fill="FFFFFF"/>
            <w:hideMark/>
          </w:tcPr>
          <w:p w14:paraId="15D037B2" w14:textId="77777777"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of trained SMEs support institutions who provide information and advisory services on IP asset management</w:t>
            </w:r>
          </w:p>
        </w:tc>
        <w:tc>
          <w:tcPr>
            <w:tcW w:w="1645" w:type="dxa"/>
            <w:tcBorders>
              <w:top w:val="nil"/>
              <w:left w:val="nil"/>
              <w:bottom w:val="nil"/>
              <w:right w:val="nil"/>
            </w:tcBorders>
            <w:shd w:val="clear" w:color="000000" w:fill="FFFFFF"/>
            <w:hideMark/>
          </w:tcPr>
          <w:p w14:paraId="6FF5725D" w14:textId="25A28673" w:rsidR="007D3B04" w:rsidRPr="00AE06F9" w:rsidRDefault="00AA1BB5"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100%</w:t>
            </w:r>
          </w:p>
        </w:tc>
        <w:tc>
          <w:tcPr>
            <w:tcW w:w="2115" w:type="dxa"/>
            <w:tcBorders>
              <w:top w:val="nil"/>
              <w:left w:val="nil"/>
              <w:bottom w:val="nil"/>
              <w:right w:val="single" w:sz="4" w:space="0" w:color="auto"/>
            </w:tcBorders>
            <w:shd w:val="clear" w:color="000000" w:fill="FFFFFF"/>
            <w:hideMark/>
          </w:tcPr>
          <w:p w14:paraId="36315DA9" w14:textId="670CAB56" w:rsidR="007D3B04" w:rsidRPr="00AE06F9" w:rsidRDefault="00AA1BB5"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80%</w:t>
            </w:r>
          </w:p>
        </w:tc>
      </w:tr>
      <w:tr w:rsidR="007142A5" w:rsidRPr="00AE06F9" w14:paraId="031465B4" w14:textId="77777777" w:rsidTr="008D4CE9">
        <w:trPr>
          <w:trHeight w:val="1059"/>
        </w:trPr>
        <w:tc>
          <w:tcPr>
            <w:tcW w:w="2820" w:type="dxa"/>
            <w:tcBorders>
              <w:top w:val="nil"/>
              <w:left w:val="single" w:sz="4" w:space="0" w:color="auto"/>
              <w:bottom w:val="nil"/>
              <w:right w:val="nil"/>
            </w:tcBorders>
            <w:shd w:val="clear" w:color="000000" w:fill="FFFFFF"/>
          </w:tcPr>
          <w:p w14:paraId="54555927" w14:textId="77777777" w:rsidR="007142A5" w:rsidRPr="00AE06F9" w:rsidRDefault="007142A5" w:rsidP="008D3EC2">
            <w:pPr>
              <w:rPr>
                <w:rFonts w:ascii="Arial" w:eastAsia="Times New Roman" w:hAnsi="Arial" w:cs="Arial"/>
                <w:color w:val="000000"/>
                <w:sz w:val="16"/>
                <w:szCs w:val="16"/>
              </w:rPr>
            </w:pPr>
          </w:p>
        </w:tc>
        <w:tc>
          <w:tcPr>
            <w:tcW w:w="2780" w:type="dxa"/>
            <w:tcBorders>
              <w:top w:val="nil"/>
              <w:left w:val="nil"/>
              <w:bottom w:val="nil"/>
              <w:right w:val="nil"/>
            </w:tcBorders>
            <w:shd w:val="clear" w:color="000000" w:fill="FFFFFF"/>
          </w:tcPr>
          <w:p w14:paraId="6949FDCA" w14:textId="2F26FE82" w:rsidR="007142A5" w:rsidRPr="00AE06F9" w:rsidRDefault="007142A5"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xml:space="preserve">% of participants in training programs targeting SME support institutions using </w:t>
            </w:r>
            <w:r>
              <w:rPr>
                <w:rFonts w:ascii="Arial" w:eastAsia="Times New Roman" w:hAnsi="Arial" w:cs="Arial"/>
                <w:color w:val="000000"/>
                <w:sz w:val="16"/>
                <w:szCs w:val="16"/>
              </w:rPr>
              <w:t>enhanced knowledge</w:t>
            </w:r>
            <w:r w:rsidR="00225D2B">
              <w:rPr>
                <w:rFonts w:ascii="Arial" w:eastAsia="Times New Roman" w:hAnsi="Arial" w:cs="Arial"/>
                <w:color w:val="000000"/>
                <w:sz w:val="16"/>
                <w:szCs w:val="16"/>
              </w:rPr>
              <w:t xml:space="preserve"> and</w:t>
            </w:r>
            <w:r>
              <w:rPr>
                <w:rFonts w:ascii="Arial" w:eastAsia="Times New Roman" w:hAnsi="Arial" w:cs="Arial"/>
                <w:color w:val="000000"/>
                <w:sz w:val="16"/>
                <w:szCs w:val="16"/>
              </w:rPr>
              <w:t xml:space="preserve"> </w:t>
            </w:r>
            <w:r w:rsidRPr="00AE06F9">
              <w:rPr>
                <w:rFonts w:ascii="Arial" w:eastAsia="Times New Roman" w:hAnsi="Arial" w:cs="Arial"/>
                <w:color w:val="000000"/>
                <w:sz w:val="16"/>
                <w:szCs w:val="16"/>
              </w:rPr>
              <w:t>upgraded skills in their work</w:t>
            </w:r>
          </w:p>
        </w:tc>
        <w:tc>
          <w:tcPr>
            <w:tcW w:w="1645" w:type="dxa"/>
            <w:tcBorders>
              <w:top w:val="nil"/>
              <w:left w:val="nil"/>
              <w:bottom w:val="nil"/>
              <w:right w:val="nil"/>
            </w:tcBorders>
            <w:shd w:val="clear" w:color="000000" w:fill="FFFFFF"/>
          </w:tcPr>
          <w:p w14:paraId="569A194E" w14:textId="3FE3F3D1" w:rsidR="007142A5" w:rsidRDefault="007142A5"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n/a</w:t>
            </w:r>
          </w:p>
        </w:tc>
        <w:tc>
          <w:tcPr>
            <w:tcW w:w="2115" w:type="dxa"/>
            <w:tcBorders>
              <w:top w:val="nil"/>
              <w:left w:val="nil"/>
              <w:bottom w:val="nil"/>
              <w:right w:val="single" w:sz="4" w:space="0" w:color="auto"/>
            </w:tcBorders>
            <w:shd w:val="clear" w:color="000000" w:fill="FFFFFF"/>
          </w:tcPr>
          <w:p w14:paraId="70C9A6E4" w14:textId="5F82699C" w:rsidR="007142A5" w:rsidRPr="00AE06F9" w:rsidRDefault="00A32B86" w:rsidP="00AA1BB5">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50%</w:t>
            </w:r>
          </w:p>
        </w:tc>
      </w:tr>
      <w:tr w:rsidR="007D3B04" w:rsidRPr="00AE06F9" w14:paraId="7E9EA1D1" w14:textId="77777777" w:rsidTr="008D4CE9">
        <w:trPr>
          <w:trHeight w:val="720"/>
        </w:trPr>
        <w:tc>
          <w:tcPr>
            <w:tcW w:w="2820" w:type="dxa"/>
            <w:tcBorders>
              <w:top w:val="nil"/>
              <w:left w:val="single" w:sz="4" w:space="0" w:color="auto"/>
              <w:bottom w:val="nil"/>
              <w:right w:val="nil"/>
            </w:tcBorders>
            <w:shd w:val="clear" w:color="000000" w:fill="FFFFFF"/>
            <w:hideMark/>
          </w:tcPr>
          <w:p w14:paraId="0241422A"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 </w:t>
            </w:r>
          </w:p>
        </w:tc>
        <w:tc>
          <w:tcPr>
            <w:tcW w:w="2780" w:type="dxa"/>
            <w:tcBorders>
              <w:top w:val="nil"/>
              <w:left w:val="nil"/>
              <w:bottom w:val="nil"/>
              <w:right w:val="nil"/>
            </w:tcBorders>
            <w:shd w:val="clear" w:color="000000" w:fill="FFFFFF"/>
            <w:hideMark/>
          </w:tcPr>
          <w:p w14:paraId="1C93FF7B" w14:textId="77777777"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No. of countries having established or improved IP training programs for SMEs</w:t>
            </w:r>
          </w:p>
        </w:tc>
        <w:tc>
          <w:tcPr>
            <w:tcW w:w="1645" w:type="dxa"/>
            <w:tcBorders>
              <w:top w:val="nil"/>
              <w:left w:val="nil"/>
              <w:bottom w:val="nil"/>
              <w:right w:val="nil"/>
            </w:tcBorders>
            <w:shd w:val="clear" w:color="000000" w:fill="FFFFFF"/>
            <w:hideMark/>
          </w:tcPr>
          <w:p w14:paraId="74BCCA54" w14:textId="6C15FFF8" w:rsidR="007D3B04" w:rsidRPr="00AE06F9" w:rsidRDefault="00AA1BB5"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13</w:t>
            </w:r>
          </w:p>
        </w:tc>
        <w:tc>
          <w:tcPr>
            <w:tcW w:w="2115" w:type="dxa"/>
            <w:tcBorders>
              <w:top w:val="nil"/>
              <w:left w:val="nil"/>
              <w:bottom w:val="nil"/>
              <w:right w:val="single" w:sz="4" w:space="0" w:color="auto"/>
            </w:tcBorders>
            <w:shd w:val="clear" w:color="000000" w:fill="FFFFFF"/>
            <w:hideMark/>
          </w:tcPr>
          <w:p w14:paraId="09AAF5A6" w14:textId="2309C55B" w:rsidR="007D3B04" w:rsidRPr="00AE06F9" w:rsidRDefault="007D3B04" w:rsidP="00AA1BB5">
            <w:pPr>
              <w:ind w:firstLineChars="200" w:firstLine="320"/>
              <w:rPr>
                <w:rFonts w:ascii="Arial" w:eastAsia="Times New Roman" w:hAnsi="Arial" w:cs="Arial"/>
                <w:color w:val="000000"/>
                <w:sz w:val="16"/>
                <w:szCs w:val="16"/>
              </w:rPr>
            </w:pPr>
            <w:r w:rsidRPr="00AE06F9">
              <w:rPr>
                <w:rFonts w:ascii="Arial" w:eastAsia="Times New Roman" w:hAnsi="Arial" w:cs="Arial"/>
                <w:color w:val="000000"/>
                <w:sz w:val="16"/>
                <w:szCs w:val="16"/>
              </w:rPr>
              <w:t xml:space="preserve">10 </w:t>
            </w:r>
            <w:r w:rsidR="00AA1BB5">
              <w:rPr>
                <w:rFonts w:ascii="Arial" w:eastAsia="Times New Roman" w:hAnsi="Arial" w:cs="Arial"/>
                <w:color w:val="000000"/>
                <w:sz w:val="16"/>
                <w:szCs w:val="16"/>
              </w:rPr>
              <w:t>additional</w:t>
            </w:r>
          </w:p>
        </w:tc>
      </w:tr>
      <w:tr w:rsidR="007D3B04" w:rsidRPr="00AE06F9" w14:paraId="28E00BF5" w14:textId="77777777" w:rsidTr="008D4CE9">
        <w:trPr>
          <w:trHeight w:val="688"/>
        </w:trPr>
        <w:tc>
          <w:tcPr>
            <w:tcW w:w="2820" w:type="dxa"/>
            <w:tcBorders>
              <w:top w:val="nil"/>
              <w:left w:val="single" w:sz="4" w:space="0" w:color="auto"/>
              <w:bottom w:val="nil"/>
              <w:right w:val="nil"/>
            </w:tcBorders>
            <w:shd w:val="clear" w:color="000000" w:fill="FFFFFF"/>
            <w:hideMark/>
          </w:tcPr>
          <w:p w14:paraId="26B2B7D4"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 </w:t>
            </w:r>
          </w:p>
        </w:tc>
        <w:tc>
          <w:tcPr>
            <w:tcW w:w="2780" w:type="dxa"/>
            <w:tcBorders>
              <w:top w:val="nil"/>
              <w:left w:val="nil"/>
              <w:bottom w:val="nil"/>
              <w:right w:val="nil"/>
            </w:tcBorders>
            <w:shd w:val="clear" w:color="000000" w:fill="FFFFFF"/>
            <w:hideMark/>
          </w:tcPr>
          <w:p w14:paraId="3142FEE2" w14:textId="77777777"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No. of countries in which IP policies were developed or adopted for SMEs</w:t>
            </w:r>
          </w:p>
        </w:tc>
        <w:tc>
          <w:tcPr>
            <w:tcW w:w="1645" w:type="dxa"/>
            <w:tcBorders>
              <w:top w:val="nil"/>
              <w:left w:val="nil"/>
              <w:bottom w:val="nil"/>
              <w:right w:val="nil"/>
            </w:tcBorders>
            <w:shd w:val="clear" w:color="000000" w:fill="FFFFFF"/>
            <w:hideMark/>
          </w:tcPr>
          <w:p w14:paraId="7238E6C9" w14:textId="48E4FC11" w:rsidR="007D3B04" w:rsidRPr="00AE06F9" w:rsidRDefault="00AA1BB5" w:rsidP="008D3EC2">
            <w:pPr>
              <w:ind w:firstLineChars="200" w:firstLine="320"/>
              <w:rPr>
                <w:rFonts w:ascii="Arial" w:eastAsia="Times New Roman" w:hAnsi="Arial" w:cs="Arial"/>
                <w:color w:val="000000"/>
                <w:sz w:val="16"/>
                <w:szCs w:val="16"/>
              </w:rPr>
            </w:pPr>
            <w:r>
              <w:rPr>
                <w:rFonts w:ascii="Arial" w:eastAsia="Times New Roman" w:hAnsi="Arial" w:cs="Arial"/>
                <w:color w:val="000000"/>
                <w:sz w:val="16"/>
                <w:szCs w:val="16"/>
              </w:rPr>
              <w:t>n/a</w:t>
            </w:r>
          </w:p>
        </w:tc>
        <w:tc>
          <w:tcPr>
            <w:tcW w:w="2115" w:type="dxa"/>
            <w:tcBorders>
              <w:top w:val="nil"/>
              <w:left w:val="nil"/>
              <w:bottom w:val="nil"/>
              <w:right w:val="single" w:sz="4" w:space="0" w:color="auto"/>
            </w:tcBorders>
            <w:shd w:val="clear" w:color="000000" w:fill="FFFFFF"/>
            <w:hideMark/>
          </w:tcPr>
          <w:p w14:paraId="0BFAA030" w14:textId="77777777" w:rsidR="007D3B04" w:rsidRPr="00AE06F9" w:rsidRDefault="007D3B04" w:rsidP="008D3EC2">
            <w:pPr>
              <w:ind w:firstLineChars="200" w:firstLine="320"/>
              <w:rPr>
                <w:rFonts w:ascii="Arial" w:eastAsia="Times New Roman" w:hAnsi="Arial" w:cs="Arial"/>
                <w:color w:val="000000"/>
                <w:sz w:val="16"/>
                <w:szCs w:val="16"/>
              </w:rPr>
            </w:pPr>
            <w:r w:rsidRPr="00AE06F9">
              <w:rPr>
                <w:rFonts w:ascii="Arial" w:eastAsia="Times New Roman" w:hAnsi="Arial" w:cs="Arial"/>
                <w:color w:val="000000"/>
                <w:sz w:val="16"/>
                <w:szCs w:val="16"/>
              </w:rPr>
              <w:t>5 countries</w:t>
            </w:r>
          </w:p>
        </w:tc>
      </w:tr>
      <w:tr w:rsidR="007D3B04" w:rsidRPr="00AE06F9" w14:paraId="0EF4EAD9" w14:textId="77777777" w:rsidTr="008D4CE9">
        <w:trPr>
          <w:trHeight w:val="1209"/>
        </w:trPr>
        <w:tc>
          <w:tcPr>
            <w:tcW w:w="2820" w:type="dxa"/>
            <w:tcBorders>
              <w:top w:val="nil"/>
              <w:left w:val="single" w:sz="4" w:space="0" w:color="auto"/>
              <w:bottom w:val="nil"/>
              <w:right w:val="nil"/>
            </w:tcBorders>
            <w:shd w:val="clear" w:color="000000" w:fill="FFFFFF"/>
            <w:hideMark/>
          </w:tcPr>
          <w:p w14:paraId="36378A86"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IV.2 Enhanced access to, and use of, IP information by IP institutions and the public to promote innovation and creativity</w:t>
            </w:r>
          </w:p>
        </w:tc>
        <w:tc>
          <w:tcPr>
            <w:tcW w:w="2780" w:type="dxa"/>
            <w:tcBorders>
              <w:top w:val="nil"/>
              <w:left w:val="nil"/>
              <w:bottom w:val="nil"/>
              <w:right w:val="nil"/>
            </w:tcBorders>
            <w:shd w:val="clear" w:color="000000" w:fill="FFFFFF"/>
            <w:hideMark/>
          </w:tcPr>
          <w:p w14:paraId="0BCA0C54" w14:textId="0412D27C"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xml:space="preserve">No. of  Technology </w:t>
            </w:r>
            <w:r w:rsidR="00C614B4">
              <w:rPr>
                <w:rFonts w:ascii="Arial" w:eastAsia="Times New Roman" w:hAnsi="Arial" w:cs="Arial"/>
                <w:color w:val="000000"/>
                <w:sz w:val="16"/>
                <w:szCs w:val="16"/>
              </w:rPr>
              <w:t>Transfer</w:t>
            </w:r>
            <w:r w:rsidRPr="00AE06F9">
              <w:rPr>
                <w:rFonts w:ascii="Arial" w:eastAsia="Times New Roman" w:hAnsi="Arial" w:cs="Arial"/>
                <w:color w:val="000000"/>
                <w:sz w:val="16"/>
                <w:szCs w:val="16"/>
              </w:rPr>
              <w:t xml:space="preserve"> </w:t>
            </w:r>
            <w:r w:rsidR="00C614B4">
              <w:rPr>
                <w:rFonts w:ascii="Arial" w:eastAsia="Times New Roman" w:hAnsi="Arial" w:cs="Arial"/>
                <w:color w:val="000000"/>
                <w:sz w:val="16"/>
                <w:szCs w:val="16"/>
              </w:rPr>
              <w:t xml:space="preserve">Offices </w:t>
            </w:r>
            <w:r w:rsidRPr="00AE06F9">
              <w:rPr>
                <w:rFonts w:ascii="Arial" w:eastAsia="Times New Roman" w:hAnsi="Arial" w:cs="Arial"/>
                <w:color w:val="000000"/>
                <w:sz w:val="16"/>
                <w:szCs w:val="16"/>
              </w:rPr>
              <w:t>(</w:t>
            </w:r>
            <w:r w:rsidR="00C614B4" w:rsidRPr="00AE06F9">
              <w:rPr>
                <w:rFonts w:ascii="Arial" w:eastAsia="Times New Roman" w:hAnsi="Arial" w:cs="Arial"/>
                <w:color w:val="000000"/>
                <w:sz w:val="16"/>
                <w:szCs w:val="16"/>
              </w:rPr>
              <w:t>T</w:t>
            </w:r>
            <w:r w:rsidR="00C614B4">
              <w:rPr>
                <w:rFonts w:ascii="Arial" w:eastAsia="Times New Roman" w:hAnsi="Arial" w:cs="Arial"/>
                <w:color w:val="000000"/>
                <w:sz w:val="16"/>
                <w:szCs w:val="16"/>
              </w:rPr>
              <w:t>TOs</w:t>
            </w:r>
            <w:r w:rsidRPr="00AE06F9">
              <w:rPr>
                <w:rFonts w:ascii="Arial" w:eastAsia="Times New Roman" w:hAnsi="Arial" w:cs="Arial"/>
                <w:color w:val="000000"/>
                <w:sz w:val="16"/>
                <w:szCs w:val="16"/>
              </w:rPr>
              <w:t>) that were established or strengthened in Universities or R&amp;D institutions under the WIPO University Initiative Program</w:t>
            </w:r>
          </w:p>
        </w:tc>
        <w:tc>
          <w:tcPr>
            <w:tcW w:w="1645" w:type="dxa"/>
            <w:tcBorders>
              <w:top w:val="nil"/>
              <w:left w:val="nil"/>
              <w:bottom w:val="nil"/>
              <w:right w:val="nil"/>
            </w:tcBorders>
            <w:shd w:val="clear" w:color="000000" w:fill="FFFFFF"/>
            <w:hideMark/>
          </w:tcPr>
          <w:p w14:paraId="6147973B" w14:textId="77777777" w:rsidR="007D3B04" w:rsidRPr="00AE06F9" w:rsidRDefault="007D3B04" w:rsidP="008D3EC2">
            <w:pPr>
              <w:ind w:firstLineChars="200" w:firstLine="320"/>
              <w:rPr>
                <w:rFonts w:ascii="Arial" w:eastAsia="Times New Roman" w:hAnsi="Arial" w:cs="Arial"/>
                <w:color w:val="000000"/>
                <w:sz w:val="16"/>
                <w:szCs w:val="16"/>
              </w:rPr>
            </w:pPr>
            <w:r w:rsidRPr="00AE06F9">
              <w:rPr>
                <w:rFonts w:ascii="Arial" w:eastAsia="Times New Roman" w:hAnsi="Arial" w:cs="Arial"/>
                <w:color w:val="000000"/>
                <w:sz w:val="16"/>
                <w:szCs w:val="16"/>
              </w:rPr>
              <w:t>tbd</w:t>
            </w:r>
          </w:p>
        </w:tc>
        <w:tc>
          <w:tcPr>
            <w:tcW w:w="2115" w:type="dxa"/>
            <w:tcBorders>
              <w:top w:val="nil"/>
              <w:left w:val="nil"/>
              <w:bottom w:val="nil"/>
              <w:right w:val="single" w:sz="4" w:space="0" w:color="auto"/>
            </w:tcBorders>
            <w:shd w:val="clear" w:color="000000" w:fill="FFFFFF"/>
            <w:hideMark/>
          </w:tcPr>
          <w:p w14:paraId="12818C6D" w14:textId="6121A0D5" w:rsidR="007D3B04" w:rsidRPr="00AE06F9" w:rsidRDefault="007D3B04" w:rsidP="00C614B4">
            <w:pPr>
              <w:ind w:firstLineChars="200" w:firstLine="320"/>
              <w:rPr>
                <w:rFonts w:ascii="Arial" w:eastAsia="Times New Roman" w:hAnsi="Arial" w:cs="Arial"/>
                <w:color w:val="000000"/>
                <w:sz w:val="16"/>
                <w:szCs w:val="16"/>
              </w:rPr>
            </w:pPr>
            <w:r w:rsidRPr="00AE06F9">
              <w:rPr>
                <w:rFonts w:ascii="Arial" w:eastAsia="Times New Roman" w:hAnsi="Arial" w:cs="Arial"/>
                <w:color w:val="000000"/>
                <w:sz w:val="16"/>
                <w:szCs w:val="16"/>
              </w:rPr>
              <w:t xml:space="preserve">6 </w:t>
            </w:r>
            <w:r w:rsidR="00C614B4" w:rsidRPr="00AE06F9">
              <w:rPr>
                <w:rFonts w:ascii="Arial" w:eastAsia="Times New Roman" w:hAnsi="Arial" w:cs="Arial"/>
                <w:color w:val="000000"/>
                <w:sz w:val="16"/>
                <w:szCs w:val="16"/>
              </w:rPr>
              <w:t>T</w:t>
            </w:r>
            <w:r w:rsidR="00C614B4">
              <w:rPr>
                <w:rFonts w:ascii="Arial" w:eastAsia="Times New Roman" w:hAnsi="Arial" w:cs="Arial"/>
                <w:color w:val="000000"/>
                <w:sz w:val="16"/>
                <w:szCs w:val="16"/>
              </w:rPr>
              <w:t>TOs</w:t>
            </w:r>
          </w:p>
        </w:tc>
      </w:tr>
      <w:tr w:rsidR="007D3B04" w:rsidRPr="002F6D85" w14:paraId="5AFA1B64" w14:textId="77777777" w:rsidTr="008D4CE9">
        <w:trPr>
          <w:trHeight w:val="800"/>
        </w:trPr>
        <w:tc>
          <w:tcPr>
            <w:tcW w:w="2820" w:type="dxa"/>
            <w:tcBorders>
              <w:top w:val="nil"/>
              <w:left w:val="single" w:sz="4" w:space="0" w:color="auto"/>
              <w:bottom w:val="single" w:sz="4" w:space="0" w:color="auto"/>
              <w:right w:val="nil"/>
            </w:tcBorders>
            <w:shd w:val="clear" w:color="000000" w:fill="FFFFFF"/>
            <w:hideMark/>
          </w:tcPr>
          <w:p w14:paraId="64E2319D" w14:textId="77777777" w:rsidR="007D3B04" w:rsidRPr="00AE06F9" w:rsidRDefault="007D3B04" w:rsidP="008D3EC2">
            <w:pPr>
              <w:rPr>
                <w:rFonts w:ascii="Arial" w:eastAsia="Times New Roman" w:hAnsi="Arial" w:cs="Arial"/>
                <w:color w:val="000000"/>
                <w:sz w:val="16"/>
                <w:szCs w:val="16"/>
              </w:rPr>
            </w:pPr>
            <w:r w:rsidRPr="00AE06F9">
              <w:rPr>
                <w:rFonts w:ascii="Arial" w:eastAsia="Times New Roman" w:hAnsi="Arial" w:cs="Arial"/>
                <w:color w:val="000000"/>
                <w:sz w:val="16"/>
                <w:szCs w:val="16"/>
              </w:rPr>
              <w:t> </w:t>
            </w:r>
          </w:p>
        </w:tc>
        <w:tc>
          <w:tcPr>
            <w:tcW w:w="2780" w:type="dxa"/>
            <w:tcBorders>
              <w:top w:val="nil"/>
              <w:left w:val="nil"/>
              <w:bottom w:val="single" w:sz="4" w:space="0" w:color="auto"/>
              <w:right w:val="nil"/>
            </w:tcBorders>
            <w:shd w:val="clear" w:color="000000" w:fill="FFFFFF"/>
            <w:hideMark/>
          </w:tcPr>
          <w:p w14:paraId="5496495F" w14:textId="77777777" w:rsidR="007D3B04" w:rsidRPr="00AE06F9" w:rsidRDefault="007D3B04" w:rsidP="008D4CE9">
            <w:pPr>
              <w:ind w:left="64"/>
              <w:rPr>
                <w:rFonts w:ascii="Arial" w:eastAsia="Times New Roman" w:hAnsi="Arial" w:cs="Arial"/>
                <w:color w:val="000000"/>
                <w:sz w:val="16"/>
                <w:szCs w:val="16"/>
              </w:rPr>
            </w:pPr>
            <w:r w:rsidRPr="00AE06F9">
              <w:rPr>
                <w:rFonts w:ascii="Arial" w:eastAsia="Times New Roman" w:hAnsi="Arial" w:cs="Arial"/>
                <w:color w:val="000000"/>
                <w:sz w:val="16"/>
                <w:szCs w:val="16"/>
              </w:rPr>
              <w:t xml:space="preserve">No. of universities and/or research institutions having developed and/or improved their IP policies </w:t>
            </w:r>
          </w:p>
        </w:tc>
        <w:tc>
          <w:tcPr>
            <w:tcW w:w="1645" w:type="dxa"/>
            <w:tcBorders>
              <w:top w:val="nil"/>
              <w:left w:val="nil"/>
              <w:bottom w:val="single" w:sz="4" w:space="0" w:color="auto"/>
              <w:right w:val="nil"/>
            </w:tcBorders>
            <w:shd w:val="clear" w:color="000000" w:fill="FFFFFF"/>
            <w:hideMark/>
          </w:tcPr>
          <w:p w14:paraId="2489AC96" w14:textId="580B5985" w:rsidR="007D3B04" w:rsidRPr="00AE06F9" w:rsidRDefault="00AA1BB5" w:rsidP="00FB68E0">
            <w:pPr>
              <w:ind w:leftChars="64" w:left="157" w:hangingChars="10" w:hanging="16"/>
              <w:rPr>
                <w:rFonts w:ascii="Arial" w:eastAsia="Times New Roman" w:hAnsi="Arial" w:cs="Arial"/>
                <w:color w:val="000000"/>
                <w:sz w:val="16"/>
                <w:szCs w:val="16"/>
              </w:rPr>
            </w:pPr>
            <w:r>
              <w:rPr>
                <w:rFonts w:ascii="Arial" w:eastAsia="Times New Roman" w:hAnsi="Arial" w:cs="Arial"/>
                <w:color w:val="000000"/>
                <w:sz w:val="16"/>
                <w:szCs w:val="16"/>
              </w:rPr>
              <w:t>150 universities in transition countries</w:t>
            </w:r>
            <w:r w:rsidR="00CF7658">
              <w:rPr>
                <w:rFonts w:ascii="Arial" w:eastAsia="Times New Roman" w:hAnsi="Arial" w:cs="Arial"/>
                <w:color w:val="000000"/>
                <w:sz w:val="16"/>
                <w:szCs w:val="16"/>
              </w:rPr>
              <w:t xml:space="preserve"> (2014)</w:t>
            </w:r>
          </w:p>
        </w:tc>
        <w:tc>
          <w:tcPr>
            <w:tcW w:w="2115" w:type="dxa"/>
            <w:tcBorders>
              <w:top w:val="nil"/>
              <w:left w:val="nil"/>
              <w:bottom w:val="single" w:sz="4" w:space="0" w:color="auto"/>
              <w:right w:val="single" w:sz="4" w:space="0" w:color="auto"/>
            </w:tcBorders>
            <w:shd w:val="clear" w:color="000000" w:fill="FFFFFF"/>
            <w:hideMark/>
          </w:tcPr>
          <w:p w14:paraId="50AEBF9F" w14:textId="77777777" w:rsidR="007D3B04" w:rsidRPr="002F6D85" w:rsidRDefault="007D3B04" w:rsidP="007D3B04">
            <w:pPr>
              <w:ind w:leftChars="141" w:left="310"/>
              <w:rPr>
                <w:rFonts w:ascii="Arial" w:eastAsia="Times New Roman" w:hAnsi="Arial" w:cs="Arial"/>
                <w:color w:val="000000"/>
                <w:sz w:val="16"/>
                <w:szCs w:val="16"/>
              </w:rPr>
            </w:pPr>
            <w:r w:rsidRPr="00AE06F9">
              <w:rPr>
                <w:rFonts w:ascii="Arial" w:eastAsia="Times New Roman" w:hAnsi="Arial" w:cs="Arial"/>
                <w:color w:val="000000"/>
                <w:sz w:val="16"/>
                <w:szCs w:val="16"/>
              </w:rPr>
              <w:t>10 additional universities</w:t>
            </w:r>
          </w:p>
        </w:tc>
      </w:tr>
    </w:tbl>
    <w:p w14:paraId="47F9A2FE" w14:textId="77777777" w:rsidR="007D3B04" w:rsidRDefault="007D3B04" w:rsidP="008D3EC2">
      <w:pPr>
        <w:rPr>
          <w:rFonts w:ascii="Arial" w:eastAsia="Arial" w:hAnsi="Arial" w:cs="Arial"/>
        </w:rPr>
      </w:pPr>
    </w:p>
    <w:p w14:paraId="0D080866" w14:textId="77777777" w:rsidR="00E358DF" w:rsidRDefault="00E358DF" w:rsidP="008D3EC2">
      <w:pPr>
        <w:rPr>
          <w:rFonts w:ascii="Arial" w:eastAsia="Arial" w:hAnsi="Arial" w:cs="Arial"/>
        </w:rPr>
      </w:pPr>
    </w:p>
    <w:p w14:paraId="3BE2FBCF" w14:textId="3665F462" w:rsidR="007D3B04" w:rsidRDefault="007D3B04" w:rsidP="008D3EC2">
      <w:pPr>
        <w:rPr>
          <w:rFonts w:ascii="Arial" w:eastAsia="Arial" w:hAnsi="Arial" w:cs="Arial"/>
        </w:rPr>
      </w:pPr>
      <w:r>
        <w:rPr>
          <w:rFonts w:ascii="Arial" w:eastAsia="Arial" w:hAnsi="Arial" w:cs="Arial"/>
        </w:rPr>
        <w:t xml:space="preserve">RESOURCES FOR PROGRAM 30 </w:t>
      </w:r>
    </w:p>
    <w:p w14:paraId="0DE2F790" w14:textId="77777777" w:rsidR="007D3B04" w:rsidRDefault="007D3B04" w:rsidP="008D3EC2">
      <w:pPr>
        <w:rPr>
          <w:rFonts w:ascii="Arial" w:eastAsia="Arial" w:hAnsi="Arial" w:cs="Arial"/>
        </w:rPr>
      </w:pPr>
    </w:p>
    <w:p w14:paraId="57400E1A" w14:textId="7E152A12" w:rsidR="007D3B04" w:rsidRPr="00FB68E0" w:rsidRDefault="007D3B04" w:rsidP="00B66A4A">
      <w:pPr>
        <w:pStyle w:val="ListParagraph"/>
        <w:numPr>
          <w:ilvl w:val="0"/>
          <w:numId w:val="26"/>
        </w:numPr>
        <w:tabs>
          <w:tab w:val="left" w:pos="709"/>
        </w:tabs>
        <w:ind w:left="0" w:firstLine="0"/>
        <w:jc w:val="both"/>
        <w:rPr>
          <w:rFonts w:ascii="Arial" w:eastAsia="Arial" w:hAnsi="Arial" w:cs="Arial"/>
        </w:rPr>
      </w:pPr>
      <w:r w:rsidRPr="001E11E0">
        <w:rPr>
          <w:rFonts w:ascii="Arial" w:eastAsia="Arial" w:hAnsi="Arial" w:cs="Arial"/>
          <w:sz w:val="20"/>
          <w:szCs w:val="20"/>
        </w:rPr>
        <w:t>An increase in the total resources for Program 30 in 2016/17 can be observed compared to the 2014/15 Budget after Transfer.  This reflects the redeployment of personnel resources to the Program in the 2014/15 biennium</w:t>
      </w:r>
      <w:r>
        <w:rPr>
          <w:rFonts w:ascii="Arial" w:eastAsia="Arial" w:hAnsi="Arial" w:cs="Arial"/>
          <w:sz w:val="20"/>
          <w:szCs w:val="20"/>
        </w:rPr>
        <w:t xml:space="preserve"> to strengthen, in particular, work on national IP strategies and capacity building </w:t>
      </w:r>
      <w:r w:rsidR="0079358B">
        <w:rPr>
          <w:rFonts w:ascii="Arial" w:eastAsia="Arial" w:hAnsi="Arial" w:cs="Arial"/>
          <w:sz w:val="20"/>
          <w:szCs w:val="20"/>
        </w:rPr>
        <w:t xml:space="preserve">for SMEs </w:t>
      </w:r>
      <w:r>
        <w:rPr>
          <w:rFonts w:ascii="Arial" w:eastAsia="Arial" w:hAnsi="Arial" w:cs="Arial"/>
          <w:sz w:val="20"/>
          <w:szCs w:val="20"/>
        </w:rPr>
        <w:t xml:space="preserve">as reflected under Expected Results III.1 and III.2.  </w:t>
      </w:r>
    </w:p>
    <w:p w14:paraId="4A304C03" w14:textId="63AD417C" w:rsidR="00F83FB6" w:rsidRDefault="0079358B" w:rsidP="00B66A4A">
      <w:pPr>
        <w:pStyle w:val="ListParagraph"/>
        <w:numPr>
          <w:ilvl w:val="0"/>
          <w:numId w:val="26"/>
        </w:numPr>
        <w:tabs>
          <w:tab w:val="left" w:pos="709"/>
        </w:tabs>
        <w:ind w:left="0" w:firstLine="0"/>
        <w:jc w:val="both"/>
        <w:rPr>
          <w:rFonts w:ascii="Arial" w:eastAsia="Arial" w:hAnsi="Arial" w:cs="Arial"/>
          <w:sz w:val="20"/>
          <w:szCs w:val="20"/>
        </w:rPr>
      </w:pPr>
      <w:r w:rsidRPr="00725236">
        <w:rPr>
          <w:rFonts w:ascii="Arial" w:eastAsia="Arial" w:hAnsi="Arial" w:cs="Arial"/>
          <w:sz w:val="20"/>
          <w:szCs w:val="20"/>
        </w:rPr>
        <w:lastRenderedPageBreak/>
        <w:t>The decrease in personnel resources in the 2014/15 Budget after Transfers compared to the</w:t>
      </w:r>
      <w:r w:rsidR="00B472A8">
        <w:rPr>
          <w:rFonts w:ascii="Arial" w:eastAsia="Arial" w:hAnsi="Arial" w:cs="Arial"/>
          <w:sz w:val="20"/>
          <w:szCs w:val="20"/>
        </w:rPr>
        <w:t> </w:t>
      </w:r>
      <w:r w:rsidRPr="00725236">
        <w:rPr>
          <w:rFonts w:ascii="Arial" w:eastAsia="Arial" w:hAnsi="Arial" w:cs="Arial"/>
          <w:sz w:val="20"/>
          <w:szCs w:val="20"/>
        </w:rPr>
        <w:t>2014/15 Approved Budget reflects (i) the transfer of responsibilities for the implementation of the DA projects Open Collaborative Models and Technology Transfer to Program 5 (The PCT System) and (ii)</w:t>
      </w:r>
      <w:r w:rsidR="002B31EF">
        <w:rPr>
          <w:rFonts w:ascii="Arial" w:eastAsia="Arial" w:hAnsi="Arial" w:cs="Arial"/>
          <w:sz w:val="20"/>
          <w:szCs w:val="20"/>
        </w:rPr>
        <w:t> </w:t>
      </w:r>
      <w:r w:rsidRPr="00725236">
        <w:rPr>
          <w:rFonts w:ascii="Arial" w:eastAsia="Arial" w:hAnsi="Arial" w:cs="Arial"/>
          <w:sz w:val="20"/>
          <w:szCs w:val="20"/>
        </w:rPr>
        <w:t>delays in identifying the right skills and competencies in support of the Program’</w:t>
      </w:r>
      <w:r>
        <w:rPr>
          <w:rFonts w:ascii="Arial" w:eastAsia="Arial" w:hAnsi="Arial" w:cs="Arial"/>
          <w:sz w:val="20"/>
          <w:szCs w:val="20"/>
        </w:rPr>
        <w:t xml:space="preserve">s activities to compensate for the transfer of a staff member out of the Program. </w:t>
      </w:r>
    </w:p>
    <w:p w14:paraId="263B0D23" w14:textId="77777777" w:rsidR="00F02482" w:rsidRPr="00FB68E0" w:rsidRDefault="00F02482" w:rsidP="00F02482">
      <w:pPr>
        <w:pStyle w:val="ListParagraph"/>
        <w:tabs>
          <w:tab w:val="left" w:pos="709"/>
        </w:tabs>
        <w:ind w:left="0"/>
        <w:jc w:val="both"/>
        <w:rPr>
          <w:rFonts w:ascii="Arial" w:eastAsia="Arial" w:hAnsi="Arial" w:cs="Arial"/>
          <w:sz w:val="20"/>
          <w:szCs w:val="20"/>
        </w:rPr>
      </w:pPr>
    </w:p>
    <w:p w14:paraId="4F69DD87" w14:textId="77777777" w:rsidR="007D3B04" w:rsidRPr="00E66698" w:rsidRDefault="007D3B04" w:rsidP="00F02482">
      <w:pPr>
        <w:tabs>
          <w:tab w:val="left" w:pos="1427"/>
        </w:tabs>
        <w:jc w:val="center"/>
        <w:rPr>
          <w:rFonts w:ascii="Arial" w:hAnsi="Arial" w:cs="Arial"/>
          <w:sz w:val="20"/>
          <w:szCs w:val="20"/>
        </w:rPr>
      </w:pPr>
      <w:r w:rsidRPr="00E66698">
        <w:rPr>
          <w:rFonts w:ascii="Arial" w:hAnsi="Arial" w:cs="Arial"/>
          <w:b/>
          <w:sz w:val="20"/>
          <w:szCs w:val="20"/>
        </w:rPr>
        <w:t>Program 30:  Resources by Result</w:t>
      </w:r>
    </w:p>
    <w:p w14:paraId="2B6454F8" w14:textId="77777777" w:rsidR="007D3B04" w:rsidRPr="00E66698" w:rsidRDefault="007D3B04" w:rsidP="00F02482">
      <w:pPr>
        <w:tabs>
          <w:tab w:val="left" w:pos="1427"/>
        </w:tabs>
        <w:spacing w:after="120"/>
        <w:jc w:val="center"/>
        <w:rPr>
          <w:rFonts w:ascii="Arial" w:hAnsi="Arial" w:cs="Arial"/>
          <w:i/>
          <w:sz w:val="20"/>
          <w:szCs w:val="20"/>
        </w:rPr>
      </w:pPr>
      <w:r w:rsidRPr="00E66698">
        <w:rPr>
          <w:rFonts w:ascii="Arial" w:hAnsi="Arial" w:cs="Arial"/>
          <w:i/>
          <w:sz w:val="20"/>
          <w:szCs w:val="20"/>
        </w:rPr>
        <w:t>(In thousands of Swiss francs)</w:t>
      </w:r>
    </w:p>
    <w:p w14:paraId="33D4E455" w14:textId="77777777" w:rsidR="007D3B04" w:rsidRDefault="007D3B04" w:rsidP="00F02482">
      <w:pPr>
        <w:tabs>
          <w:tab w:val="left" w:pos="1427"/>
        </w:tabs>
        <w:jc w:val="center"/>
        <w:rPr>
          <w:rFonts w:ascii="Arial" w:hAnsi="Arial" w:cs="Arial"/>
          <w:i/>
          <w:sz w:val="20"/>
          <w:szCs w:val="20"/>
        </w:rPr>
      </w:pPr>
      <w:r w:rsidRPr="007707AE">
        <w:rPr>
          <w:noProof/>
          <w:lang w:eastAsia="en-US"/>
        </w:rPr>
        <w:drawing>
          <wp:inline distT="0" distB="0" distL="0" distR="0" wp14:anchorId="5FDE8A8B" wp14:editId="6A9DD1A5">
            <wp:extent cx="5197637" cy="2676525"/>
            <wp:effectExtent l="0" t="0" r="317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249905" cy="2703440"/>
                    </a:xfrm>
                    <a:prstGeom prst="rect">
                      <a:avLst/>
                    </a:prstGeom>
                    <a:noFill/>
                    <a:ln>
                      <a:noFill/>
                    </a:ln>
                  </pic:spPr>
                </pic:pic>
              </a:graphicData>
            </a:graphic>
          </wp:inline>
        </w:drawing>
      </w:r>
    </w:p>
    <w:p w14:paraId="094858E3" w14:textId="77777777" w:rsidR="007D3B04" w:rsidRDefault="007D3B04" w:rsidP="00F02482">
      <w:pPr>
        <w:tabs>
          <w:tab w:val="left" w:pos="1427"/>
        </w:tabs>
        <w:jc w:val="center"/>
        <w:rPr>
          <w:rFonts w:ascii="Arial" w:hAnsi="Arial" w:cs="Arial"/>
          <w:i/>
          <w:sz w:val="20"/>
          <w:szCs w:val="20"/>
        </w:rPr>
      </w:pPr>
    </w:p>
    <w:p w14:paraId="58B83468" w14:textId="77777777" w:rsidR="00B472A8" w:rsidRPr="00E66698" w:rsidRDefault="00B472A8" w:rsidP="00F02482">
      <w:pPr>
        <w:tabs>
          <w:tab w:val="left" w:pos="1427"/>
        </w:tabs>
        <w:jc w:val="center"/>
        <w:rPr>
          <w:rFonts w:ascii="Arial" w:hAnsi="Arial" w:cs="Arial"/>
          <w:i/>
          <w:sz w:val="20"/>
          <w:szCs w:val="20"/>
        </w:rPr>
      </w:pPr>
    </w:p>
    <w:p w14:paraId="484BBD5D" w14:textId="77777777" w:rsidR="007D3B04" w:rsidRPr="00E66698" w:rsidRDefault="007D3B04" w:rsidP="008D4CE9">
      <w:pPr>
        <w:keepNext/>
        <w:keepLines/>
        <w:tabs>
          <w:tab w:val="left" w:pos="1427"/>
        </w:tabs>
        <w:jc w:val="center"/>
        <w:rPr>
          <w:rFonts w:ascii="Arial" w:hAnsi="Arial" w:cs="Arial"/>
          <w:sz w:val="20"/>
          <w:szCs w:val="20"/>
        </w:rPr>
      </w:pPr>
      <w:r w:rsidRPr="00E66698">
        <w:rPr>
          <w:rFonts w:ascii="Arial" w:hAnsi="Arial" w:cs="Arial"/>
          <w:b/>
          <w:sz w:val="20"/>
          <w:szCs w:val="20"/>
        </w:rPr>
        <w:lastRenderedPageBreak/>
        <w:t>Program 30:  Resources by Object of Expenditure</w:t>
      </w:r>
    </w:p>
    <w:p w14:paraId="1CAC80F0" w14:textId="77777777" w:rsidR="007D3B04" w:rsidRDefault="007D3B04" w:rsidP="008D4CE9">
      <w:pPr>
        <w:keepNext/>
        <w:keepLines/>
        <w:tabs>
          <w:tab w:val="left" w:pos="1427"/>
        </w:tabs>
        <w:jc w:val="center"/>
        <w:rPr>
          <w:rFonts w:ascii="Arial" w:hAnsi="Arial" w:cs="Arial"/>
          <w:i/>
          <w:sz w:val="20"/>
          <w:szCs w:val="20"/>
        </w:rPr>
      </w:pPr>
      <w:r w:rsidRPr="00E66698">
        <w:rPr>
          <w:rFonts w:ascii="Arial" w:hAnsi="Arial" w:cs="Arial"/>
          <w:i/>
          <w:sz w:val="20"/>
          <w:szCs w:val="20"/>
        </w:rPr>
        <w:t>(In thousands of Swiss francs)</w:t>
      </w:r>
    </w:p>
    <w:p w14:paraId="20DB3D19" w14:textId="77777777" w:rsidR="007D3B04" w:rsidRDefault="007D3B04">
      <w:pPr>
        <w:keepNext/>
        <w:keepLines/>
        <w:tabs>
          <w:tab w:val="left" w:pos="1427"/>
        </w:tabs>
        <w:jc w:val="center"/>
        <w:rPr>
          <w:rFonts w:ascii="Arial" w:hAnsi="Arial" w:cs="Arial"/>
          <w:i/>
          <w:sz w:val="20"/>
          <w:szCs w:val="20"/>
        </w:rPr>
      </w:pPr>
    </w:p>
    <w:p w14:paraId="15C3AD9E" w14:textId="77777777" w:rsidR="007D3B04" w:rsidRPr="00E66698" w:rsidRDefault="007D3B04" w:rsidP="008D3EC2">
      <w:pPr>
        <w:keepNext/>
        <w:keepLines/>
        <w:tabs>
          <w:tab w:val="left" w:pos="1427"/>
        </w:tabs>
        <w:jc w:val="center"/>
        <w:rPr>
          <w:rFonts w:ascii="Arial" w:hAnsi="Arial" w:cs="Arial"/>
          <w:i/>
          <w:sz w:val="20"/>
          <w:szCs w:val="20"/>
        </w:rPr>
      </w:pPr>
      <w:r w:rsidRPr="007707AE">
        <w:rPr>
          <w:noProof/>
          <w:lang w:eastAsia="en-US"/>
        </w:rPr>
        <w:drawing>
          <wp:inline distT="0" distB="0" distL="0" distR="0" wp14:anchorId="019A78D1" wp14:editId="261D9A61">
            <wp:extent cx="4933950" cy="5556019"/>
            <wp:effectExtent l="0" t="0" r="0" b="698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967016" cy="5593254"/>
                    </a:xfrm>
                    <a:prstGeom prst="rect">
                      <a:avLst/>
                    </a:prstGeom>
                    <a:noFill/>
                    <a:ln>
                      <a:noFill/>
                    </a:ln>
                  </pic:spPr>
                </pic:pic>
              </a:graphicData>
            </a:graphic>
          </wp:inline>
        </w:drawing>
      </w:r>
    </w:p>
    <w:p w14:paraId="155EB7D4" w14:textId="103DC9E4" w:rsidR="00E379D9" w:rsidRDefault="00E379D9">
      <w:pPr>
        <w:rPr>
          <w:rFonts w:ascii="Arial" w:eastAsia="Arial" w:hAnsi="Arial" w:cs="Arial"/>
          <w:sz w:val="20"/>
        </w:rPr>
      </w:pPr>
      <w:r>
        <w:rPr>
          <w:rFonts w:ascii="Arial" w:eastAsia="Arial" w:hAnsi="Arial" w:cs="Arial"/>
          <w:sz w:val="20"/>
        </w:rPr>
        <w:br w:type="page"/>
      </w:r>
    </w:p>
    <w:p w14:paraId="085672A2" w14:textId="31154AAC" w:rsidR="005363E7" w:rsidRPr="00B30215" w:rsidRDefault="004264B7" w:rsidP="004264B7">
      <w:pPr>
        <w:pStyle w:val="StyleHeading3ComplexItalic"/>
        <w:tabs>
          <w:tab w:val="clear" w:pos="1985"/>
          <w:tab w:val="left" w:pos="2835"/>
        </w:tabs>
        <w:ind w:left="2835" w:hanging="2835"/>
        <w:rPr>
          <w:rStyle w:val="StyleStyleHeading3ComplexItalicLatin12ptChar"/>
          <w:rFonts w:eastAsia="SimSun"/>
          <w:b/>
          <w:szCs w:val="24"/>
        </w:rPr>
      </w:pPr>
      <w:bookmarkStart w:id="46" w:name="_Toc367350587"/>
      <w:bookmarkStart w:id="47" w:name="_Toc427154410"/>
      <w:r w:rsidRPr="00B30215">
        <w:rPr>
          <w:rStyle w:val="StyleStyleHeading3ComplexItalicLatin12ptChar"/>
          <w:rFonts w:eastAsia="SimSun"/>
          <w:b/>
          <w:szCs w:val="24"/>
        </w:rPr>
        <w:lastRenderedPageBreak/>
        <w:t>STRATEGIC GOAL IV</w:t>
      </w:r>
      <w:r w:rsidRPr="00B30215">
        <w:rPr>
          <w:rStyle w:val="StyleStyleHeading3ComplexItalicLatin12ptChar"/>
          <w:rFonts w:eastAsia="SimSun"/>
          <w:b/>
          <w:szCs w:val="24"/>
        </w:rPr>
        <w:tab/>
        <w:t>COORDINATION AND DEVELOPMENT OF GLOBAL IP INFRASTRUCTURE</w:t>
      </w:r>
      <w:bookmarkEnd w:id="46"/>
      <w:bookmarkEnd w:id="47"/>
      <w:r w:rsidRPr="00B30215">
        <w:rPr>
          <w:rStyle w:val="StyleStyleHeading3ComplexItalicLatin12ptChar"/>
          <w:rFonts w:eastAsia="SimSun"/>
          <w:b/>
          <w:szCs w:val="24"/>
        </w:rPr>
        <w:t xml:space="preserve"> </w:t>
      </w:r>
    </w:p>
    <w:p w14:paraId="777874E2" w14:textId="77777777" w:rsidR="005363E7" w:rsidRPr="00A522FE" w:rsidRDefault="005363E7" w:rsidP="005363E7">
      <w:pPr>
        <w:tabs>
          <w:tab w:val="left" w:pos="1701"/>
        </w:tabs>
        <w:ind w:left="1701" w:hanging="1701"/>
        <w:jc w:val="center"/>
        <w:rPr>
          <w:rFonts w:ascii="Arial" w:hAnsi="Arial" w:cs="Arial"/>
          <w:b/>
          <w:bCs/>
          <w:caps/>
          <w:szCs w:val="24"/>
        </w:rPr>
      </w:pPr>
    </w:p>
    <w:p w14:paraId="6328FF9B" w14:textId="77777777" w:rsidR="005363E7" w:rsidRPr="00A522FE" w:rsidRDefault="005363E7" w:rsidP="005363E7">
      <w:pPr>
        <w:tabs>
          <w:tab w:val="left" w:pos="1701"/>
        </w:tabs>
        <w:ind w:left="1701" w:hanging="1701"/>
        <w:jc w:val="center"/>
        <w:rPr>
          <w:rFonts w:ascii="Arial" w:hAnsi="Arial" w:cs="Arial"/>
          <w:b/>
          <w:bCs/>
          <w:caps/>
          <w:szCs w:val="24"/>
        </w:rPr>
      </w:pPr>
    </w:p>
    <w:p w14:paraId="36E2C0BD" w14:textId="77777777" w:rsidR="005363E7" w:rsidRPr="00FA331B" w:rsidRDefault="005363E7" w:rsidP="005363E7">
      <w:pPr>
        <w:autoSpaceDE w:val="0"/>
        <w:autoSpaceDN w:val="0"/>
        <w:adjustRightInd w:val="0"/>
        <w:jc w:val="both"/>
        <w:rPr>
          <w:rFonts w:ascii="Arial" w:hAnsi="Arial" w:cs="Arial"/>
          <w:sz w:val="20"/>
        </w:rPr>
      </w:pPr>
      <w:r w:rsidRPr="00FA331B">
        <w:rPr>
          <w:rFonts w:ascii="Arial" w:hAnsi="Arial" w:cs="Arial"/>
          <w:sz w:val="20"/>
        </w:rPr>
        <w:t>Information and Communication Technology (ICT)</w:t>
      </w:r>
      <w:r>
        <w:rPr>
          <w:rFonts w:ascii="Arial" w:hAnsi="Arial" w:cs="Arial"/>
          <w:sz w:val="20"/>
        </w:rPr>
        <w:t xml:space="preserve"> </w:t>
      </w:r>
      <w:r w:rsidRPr="00FA331B">
        <w:rPr>
          <w:rFonts w:ascii="Arial" w:hAnsi="Arial" w:cs="Arial"/>
          <w:sz w:val="20"/>
        </w:rPr>
        <w:t xml:space="preserve">has created opportunities for greater efficiencies in the international IP system, more effective access to the output of the system, and increased participation in the system by least developed, developing and transition countries.  The aim of this Strategic Goal is to strengthen the infrastructure of </w:t>
      </w:r>
      <w:r>
        <w:rPr>
          <w:rFonts w:ascii="Arial" w:hAnsi="Arial" w:cs="Arial"/>
          <w:sz w:val="20"/>
        </w:rPr>
        <w:t xml:space="preserve">Member States, in particular, </w:t>
      </w:r>
      <w:r w:rsidRPr="00FA331B">
        <w:rPr>
          <w:rFonts w:ascii="Arial" w:hAnsi="Arial" w:cs="Arial"/>
          <w:sz w:val="20"/>
        </w:rPr>
        <w:t>least developed, developing and transition countries, to enhance international cooperation in infrastructure and data flows throughout the system, and to develop global IP databases and voluntary platforms for increased technical cooperation.</w:t>
      </w:r>
    </w:p>
    <w:p w14:paraId="3408EDED" w14:textId="77777777" w:rsidR="005363E7" w:rsidRPr="00A522FE" w:rsidRDefault="005363E7" w:rsidP="005363E7">
      <w:pPr>
        <w:autoSpaceDE w:val="0"/>
        <w:autoSpaceDN w:val="0"/>
        <w:adjustRightInd w:val="0"/>
        <w:spacing w:before="120"/>
        <w:jc w:val="both"/>
        <w:rPr>
          <w:rFonts w:ascii="Arial" w:hAnsi="Arial" w:cs="Arial"/>
          <w:i/>
          <w:iCs/>
        </w:rPr>
      </w:pPr>
      <w:r w:rsidRPr="00FA331B">
        <w:rPr>
          <w:rFonts w:ascii="Arial" w:hAnsi="Arial" w:cs="Arial"/>
          <w:sz w:val="20"/>
        </w:rPr>
        <w:t>The coordination and development of global IP infrastructure also contributes to Strategic Goal III (Use of IP for Development), Strategic Goal II (Provision of Premier Global IP Services) and Strategic Goal</w:t>
      </w:r>
      <w:r>
        <w:rPr>
          <w:rFonts w:ascii="Arial" w:hAnsi="Arial" w:cs="Arial"/>
          <w:sz w:val="20"/>
        </w:rPr>
        <w:t> </w:t>
      </w:r>
      <w:r w:rsidRPr="00FA331B">
        <w:rPr>
          <w:rFonts w:ascii="Arial" w:hAnsi="Arial" w:cs="Arial"/>
          <w:sz w:val="20"/>
        </w:rPr>
        <w:t xml:space="preserve">V (World Reference Source for IP Information).  It includes the implementation of </w:t>
      </w:r>
      <w:r>
        <w:rPr>
          <w:rFonts w:ascii="Arial" w:hAnsi="Arial" w:cs="Arial"/>
          <w:sz w:val="20"/>
        </w:rPr>
        <w:t>a number of Development Agenda r</w:t>
      </w:r>
      <w:r w:rsidRPr="00FA331B">
        <w:rPr>
          <w:rFonts w:ascii="Arial" w:hAnsi="Arial" w:cs="Arial"/>
          <w:sz w:val="20"/>
        </w:rPr>
        <w:t>ecommendations.</w:t>
      </w:r>
    </w:p>
    <w:p w14:paraId="559C59B7" w14:textId="77777777" w:rsidR="005363E7" w:rsidRPr="0089773D" w:rsidRDefault="005363E7" w:rsidP="005363E7">
      <w:pPr>
        <w:tabs>
          <w:tab w:val="left" w:pos="1701"/>
        </w:tabs>
        <w:ind w:left="1701" w:hanging="1701"/>
        <w:jc w:val="center"/>
        <w:rPr>
          <w:rFonts w:ascii="Arial" w:hAnsi="Arial" w:cs="Arial"/>
          <w:b/>
          <w:bCs/>
          <w:i/>
          <w:iCs/>
          <w:caps/>
          <w:sz w:val="20"/>
        </w:rPr>
      </w:pPr>
    </w:p>
    <w:p w14:paraId="013CF2CE" w14:textId="63B0EC1B" w:rsidR="007D3B04" w:rsidRDefault="007D3B04" w:rsidP="008D3EC2">
      <w:pPr>
        <w:rPr>
          <w:rFonts w:ascii="Arial" w:eastAsia="Arial" w:hAnsi="Arial" w:cs="Arial"/>
          <w:sz w:val="20"/>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1"/>
        <w:gridCol w:w="2968"/>
      </w:tblGrid>
      <w:tr w:rsidR="00C9789B" w:rsidRPr="00AF5E7C" w14:paraId="2C313519" w14:textId="77777777" w:rsidTr="00614B77">
        <w:trPr>
          <w:cantSplit/>
          <w:trHeight w:val="334"/>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14:paraId="685D4316" w14:textId="77777777" w:rsidR="00C9789B" w:rsidRPr="00923CBC" w:rsidRDefault="00C9789B" w:rsidP="005A1F7F">
            <w:pPr>
              <w:spacing w:after="120"/>
              <w:jc w:val="center"/>
              <w:rPr>
                <w:rFonts w:ascii="Arial" w:hAnsi="Arial" w:cs="Arial"/>
                <w:b/>
                <w:bCs/>
                <w:sz w:val="18"/>
                <w:szCs w:val="18"/>
              </w:rPr>
            </w:pPr>
            <w:r w:rsidRPr="00923CBC">
              <w:rPr>
                <w:rFonts w:ascii="Arial" w:hAnsi="Arial" w:cs="Arial"/>
                <w:b/>
                <w:bCs/>
                <w:sz w:val="18"/>
                <w:szCs w:val="18"/>
              </w:rPr>
              <w:t>Expected Results</w:t>
            </w:r>
          </w:p>
        </w:tc>
        <w:tc>
          <w:tcPr>
            <w:tcW w:w="1464" w:type="pct"/>
            <w:tcBorders>
              <w:top w:val="single" w:sz="4" w:space="0" w:color="auto"/>
              <w:bottom w:val="single" w:sz="4" w:space="0" w:color="auto"/>
            </w:tcBorders>
            <w:shd w:val="clear" w:color="auto" w:fill="C6D9F1" w:themeFill="text2" w:themeFillTint="33"/>
            <w:tcMar>
              <w:top w:w="85" w:type="dxa"/>
              <w:bottom w:w="85" w:type="dxa"/>
            </w:tcMar>
            <w:vAlign w:val="center"/>
          </w:tcPr>
          <w:p w14:paraId="5CE39841" w14:textId="77777777" w:rsidR="00C9789B" w:rsidRPr="00923CBC" w:rsidRDefault="00C9789B" w:rsidP="005A1F7F">
            <w:pPr>
              <w:spacing w:after="120"/>
              <w:jc w:val="center"/>
              <w:rPr>
                <w:rFonts w:ascii="Arial" w:hAnsi="Arial" w:cs="Arial"/>
                <w:b/>
                <w:sz w:val="18"/>
                <w:szCs w:val="18"/>
              </w:rPr>
            </w:pPr>
            <w:r w:rsidRPr="00923CBC">
              <w:rPr>
                <w:rFonts w:ascii="Arial" w:hAnsi="Arial" w:cs="Arial"/>
                <w:b/>
                <w:sz w:val="18"/>
                <w:szCs w:val="18"/>
              </w:rPr>
              <w:t>Performance Indicators</w:t>
            </w:r>
          </w:p>
        </w:tc>
        <w:tc>
          <w:tcPr>
            <w:tcW w:w="1645" w:type="pct"/>
            <w:tcBorders>
              <w:top w:val="single" w:sz="4" w:space="0" w:color="auto"/>
              <w:bottom w:val="single" w:sz="4" w:space="0" w:color="auto"/>
            </w:tcBorders>
            <w:shd w:val="clear" w:color="auto" w:fill="C6D9F1" w:themeFill="text2" w:themeFillTint="33"/>
            <w:tcMar>
              <w:top w:w="85" w:type="dxa"/>
              <w:bottom w:w="85" w:type="dxa"/>
            </w:tcMar>
            <w:vAlign w:val="center"/>
          </w:tcPr>
          <w:p w14:paraId="2254D9B8" w14:textId="77777777" w:rsidR="00C9789B" w:rsidRPr="00923CBC" w:rsidRDefault="00C9789B" w:rsidP="005A1F7F">
            <w:pPr>
              <w:spacing w:after="120"/>
              <w:ind w:left="85"/>
              <w:jc w:val="center"/>
              <w:rPr>
                <w:rFonts w:ascii="Arial" w:hAnsi="Arial" w:cs="Arial"/>
                <w:sz w:val="18"/>
                <w:szCs w:val="18"/>
              </w:rPr>
            </w:pPr>
            <w:r w:rsidRPr="00923CBC">
              <w:rPr>
                <w:rFonts w:ascii="Arial" w:hAnsi="Arial" w:cs="Arial"/>
                <w:b/>
                <w:bCs/>
                <w:sz w:val="18"/>
                <w:szCs w:val="18"/>
              </w:rPr>
              <w:t>Responsible Program(s)</w:t>
            </w:r>
          </w:p>
        </w:tc>
      </w:tr>
      <w:tr w:rsidR="00C9789B" w:rsidRPr="00AF5E7C" w14:paraId="66D6ACDC" w14:textId="77777777" w:rsidTr="00614B77">
        <w:trPr>
          <w:cantSplit/>
          <w:trHeight w:val="949"/>
        </w:trPr>
        <w:tc>
          <w:tcPr>
            <w:tcW w:w="1891" w:type="pct"/>
            <w:tcBorders>
              <w:top w:val="single" w:sz="4" w:space="0" w:color="auto"/>
            </w:tcBorders>
            <w:shd w:val="clear" w:color="auto" w:fill="auto"/>
            <w:tcMar>
              <w:top w:w="85" w:type="dxa"/>
              <w:bottom w:w="85" w:type="dxa"/>
            </w:tcMar>
          </w:tcPr>
          <w:p w14:paraId="76CEBDF8" w14:textId="77777777" w:rsidR="00C9789B" w:rsidRPr="00C10568" w:rsidRDefault="00C9789B" w:rsidP="005A1F7F">
            <w:pPr>
              <w:rPr>
                <w:rFonts w:ascii="Arial" w:hAnsi="Arial" w:cs="Arial"/>
                <w:sz w:val="16"/>
                <w:szCs w:val="16"/>
              </w:rPr>
            </w:pPr>
            <w:r w:rsidRPr="00C10568">
              <w:rPr>
                <w:rFonts w:ascii="Arial" w:hAnsi="Arial" w:cs="Arial"/>
                <w:sz w:val="16"/>
                <w:szCs w:val="16"/>
              </w:rPr>
              <w:t>IV.1</w:t>
            </w:r>
            <w:r>
              <w:rPr>
                <w:rFonts w:ascii="Arial" w:hAnsi="Arial" w:cs="Arial"/>
                <w:sz w:val="16"/>
                <w:szCs w:val="16"/>
              </w:rPr>
              <w:t xml:space="preserve">  </w:t>
            </w:r>
            <w:r>
              <w:rPr>
                <w:rFonts w:ascii="Arial" w:hAnsi="Arial" w:cs="Arial"/>
                <w:color w:val="000000"/>
                <w:sz w:val="16"/>
                <w:szCs w:val="16"/>
              </w:rPr>
              <w:t>Updated and globally accepted system of international classifications and WIPO standards to facilitate access, use and dissemination of IP information among stakeholders in the world</w:t>
            </w:r>
          </w:p>
        </w:tc>
        <w:tc>
          <w:tcPr>
            <w:tcW w:w="1464" w:type="pct"/>
            <w:tcBorders>
              <w:top w:val="single" w:sz="4" w:space="0" w:color="auto"/>
            </w:tcBorders>
            <w:shd w:val="clear" w:color="auto" w:fill="auto"/>
            <w:tcMar>
              <w:top w:w="85" w:type="dxa"/>
              <w:bottom w:w="85" w:type="dxa"/>
            </w:tcMar>
          </w:tcPr>
          <w:p w14:paraId="745AD4A4" w14:textId="77777777" w:rsidR="00C9789B" w:rsidRDefault="00C9789B" w:rsidP="005A1F7F">
            <w:pPr>
              <w:rPr>
                <w:rFonts w:ascii="Arial" w:hAnsi="Arial" w:cs="Arial"/>
                <w:sz w:val="16"/>
                <w:szCs w:val="16"/>
              </w:rPr>
            </w:pPr>
            <w:r>
              <w:rPr>
                <w:rFonts w:ascii="Arial" w:hAnsi="Arial" w:cs="Arial"/>
                <w:color w:val="000000"/>
                <w:sz w:val="16"/>
                <w:szCs w:val="16"/>
              </w:rPr>
              <w:t>No. of amendments and information files introduced into the Nice Classification</w:t>
            </w:r>
            <w:r w:rsidRPr="00C10568">
              <w:rPr>
                <w:rFonts w:ascii="Arial" w:hAnsi="Arial" w:cs="Arial"/>
                <w:sz w:val="16"/>
                <w:szCs w:val="16"/>
              </w:rPr>
              <w:t xml:space="preserve"> </w:t>
            </w:r>
          </w:p>
          <w:p w14:paraId="5B9C9A07" w14:textId="77777777" w:rsidR="00C9789B" w:rsidRDefault="00C9789B" w:rsidP="005A1F7F">
            <w:pPr>
              <w:rPr>
                <w:rFonts w:ascii="Arial" w:hAnsi="Arial" w:cs="Arial"/>
                <w:sz w:val="16"/>
                <w:szCs w:val="16"/>
              </w:rPr>
            </w:pPr>
          </w:p>
          <w:p w14:paraId="21CDE187" w14:textId="77777777" w:rsidR="00C9789B" w:rsidRPr="00C10568" w:rsidRDefault="00C9789B" w:rsidP="005A1F7F">
            <w:pPr>
              <w:rPr>
                <w:rFonts w:ascii="Arial" w:hAnsi="Arial" w:cs="Arial"/>
                <w:sz w:val="16"/>
                <w:szCs w:val="16"/>
              </w:rPr>
            </w:pPr>
            <w:r w:rsidRPr="00C10568">
              <w:rPr>
                <w:rFonts w:ascii="Arial" w:hAnsi="Arial" w:cs="Arial"/>
                <w:sz w:val="16"/>
                <w:szCs w:val="16"/>
              </w:rPr>
              <w:t>No</w:t>
            </w:r>
            <w:r>
              <w:rPr>
                <w:rFonts w:ascii="Arial" w:hAnsi="Arial" w:cs="Arial"/>
                <w:sz w:val="16"/>
                <w:szCs w:val="16"/>
              </w:rPr>
              <w:t>.</w:t>
            </w:r>
            <w:r w:rsidRPr="00C10568">
              <w:rPr>
                <w:rFonts w:ascii="Arial" w:hAnsi="Arial" w:cs="Arial"/>
                <w:sz w:val="16"/>
                <w:szCs w:val="16"/>
              </w:rPr>
              <w:t xml:space="preserve"> of new subdivisions introduced into the IPC per year</w:t>
            </w:r>
          </w:p>
        </w:tc>
        <w:tc>
          <w:tcPr>
            <w:tcW w:w="1645" w:type="pct"/>
            <w:tcBorders>
              <w:top w:val="single" w:sz="4" w:space="0" w:color="auto"/>
            </w:tcBorders>
            <w:shd w:val="clear" w:color="auto" w:fill="FFFFFF"/>
            <w:tcMar>
              <w:top w:w="85" w:type="dxa"/>
              <w:bottom w:w="85" w:type="dxa"/>
            </w:tcMar>
          </w:tcPr>
          <w:p w14:paraId="7251A97E"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12</w:t>
            </w:r>
          </w:p>
          <w:p w14:paraId="41E0427B" w14:textId="77777777" w:rsidR="00C9789B" w:rsidRDefault="00C9789B" w:rsidP="005A1F7F">
            <w:pPr>
              <w:ind w:left="660"/>
              <w:rPr>
                <w:rFonts w:ascii="Arial" w:hAnsi="Arial" w:cs="Arial"/>
                <w:sz w:val="16"/>
                <w:szCs w:val="16"/>
                <w:lang w:bidi="th-TH"/>
              </w:rPr>
            </w:pPr>
          </w:p>
          <w:p w14:paraId="53633E53" w14:textId="77777777" w:rsidR="00C9789B" w:rsidRDefault="00C9789B" w:rsidP="005A1F7F">
            <w:pPr>
              <w:ind w:left="660"/>
              <w:rPr>
                <w:rFonts w:ascii="Arial" w:hAnsi="Arial" w:cs="Arial"/>
                <w:sz w:val="16"/>
                <w:szCs w:val="16"/>
                <w:lang w:bidi="th-TH"/>
              </w:rPr>
            </w:pPr>
          </w:p>
          <w:p w14:paraId="215AE799" w14:textId="77777777" w:rsidR="00C9789B" w:rsidRDefault="00C9789B" w:rsidP="005A1F7F">
            <w:pPr>
              <w:ind w:left="660"/>
              <w:rPr>
                <w:rFonts w:ascii="Arial" w:hAnsi="Arial" w:cs="Arial"/>
                <w:sz w:val="16"/>
                <w:szCs w:val="16"/>
                <w:lang w:bidi="th-TH"/>
              </w:rPr>
            </w:pPr>
          </w:p>
          <w:p w14:paraId="37738C35" w14:textId="77777777" w:rsidR="00C9789B" w:rsidRPr="00AF5E7C" w:rsidRDefault="00C9789B" w:rsidP="005A1F7F">
            <w:pPr>
              <w:ind w:left="660"/>
              <w:rPr>
                <w:rFonts w:ascii="Arial" w:hAnsi="Arial" w:cs="Arial"/>
                <w:sz w:val="16"/>
                <w:szCs w:val="16"/>
              </w:rPr>
            </w:pPr>
            <w:r>
              <w:rPr>
                <w:rFonts w:ascii="Arial" w:hAnsi="Arial" w:cs="Arial"/>
                <w:sz w:val="16"/>
                <w:szCs w:val="16"/>
                <w:lang w:bidi="th-TH"/>
              </w:rPr>
              <w:t>Program 12</w:t>
            </w:r>
          </w:p>
        </w:tc>
      </w:tr>
      <w:tr w:rsidR="00C9789B" w:rsidRPr="00AF5E7C" w14:paraId="202E28B5" w14:textId="77777777" w:rsidTr="00614B77">
        <w:trPr>
          <w:cantSplit/>
          <w:trHeight w:val="454"/>
        </w:trPr>
        <w:tc>
          <w:tcPr>
            <w:tcW w:w="1891" w:type="pct"/>
            <w:shd w:val="clear" w:color="auto" w:fill="auto"/>
            <w:tcMar>
              <w:top w:w="85" w:type="dxa"/>
              <w:bottom w:w="85" w:type="dxa"/>
            </w:tcMar>
          </w:tcPr>
          <w:p w14:paraId="54B26B6E"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5BD0504C" w14:textId="77777777" w:rsidR="00C9789B" w:rsidRPr="00C10568" w:rsidRDefault="00C9789B" w:rsidP="005A1F7F">
            <w:pPr>
              <w:rPr>
                <w:rFonts w:ascii="Arial" w:hAnsi="Arial" w:cs="Arial"/>
                <w:sz w:val="16"/>
                <w:szCs w:val="16"/>
              </w:rPr>
            </w:pPr>
            <w:r>
              <w:rPr>
                <w:rFonts w:ascii="Arial" w:hAnsi="Arial" w:cs="Arial"/>
                <w:color w:val="000000"/>
                <w:sz w:val="16"/>
                <w:szCs w:val="16"/>
              </w:rPr>
              <w:t>No. of amended and new standards adopted</w:t>
            </w:r>
          </w:p>
        </w:tc>
        <w:tc>
          <w:tcPr>
            <w:tcW w:w="1645" w:type="pct"/>
            <w:shd w:val="clear" w:color="auto" w:fill="FFFFFF"/>
            <w:tcMar>
              <w:top w:w="85" w:type="dxa"/>
              <w:bottom w:w="85" w:type="dxa"/>
            </w:tcMar>
          </w:tcPr>
          <w:p w14:paraId="61A55EAE" w14:textId="77777777" w:rsidR="00C9789B" w:rsidRPr="00AF5E7C" w:rsidRDefault="00C9789B" w:rsidP="005A1F7F">
            <w:pPr>
              <w:ind w:left="660"/>
              <w:rPr>
                <w:rFonts w:ascii="Arial" w:hAnsi="Arial" w:cs="Arial"/>
                <w:sz w:val="16"/>
                <w:szCs w:val="16"/>
              </w:rPr>
            </w:pPr>
            <w:r>
              <w:rPr>
                <w:rFonts w:ascii="Arial" w:hAnsi="Arial" w:cs="Arial"/>
                <w:sz w:val="16"/>
                <w:szCs w:val="16"/>
                <w:lang w:bidi="th-TH"/>
              </w:rPr>
              <w:t>Program 12</w:t>
            </w:r>
          </w:p>
        </w:tc>
      </w:tr>
      <w:tr w:rsidR="00C9789B" w:rsidRPr="00AF5E7C" w14:paraId="0B4F38F4" w14:textId="77777777" w:rsidTr="00614B77">
        <w:trPr>
          <w:cantSplit/>
          <w:trHeight w:val="883"/>
        </w:trPr>
        <w:tc>
          <w:tcPr>
            <w:tcW w:w="1891" w:type="pct"/>
            <w:shd w:val="clear" w:color="auto" w:fill="auto"/>
            <w:tcMar>
              <w:top w:w="85" w:type="dxa"/>
              <w:bottom w:w="85" w:type="dxa"/>
            </w:tcMar>
          </w:tcPr>
          <w:p w14:paraId="25DC6605"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1342A57C" w14:textId="77777777" w:rsidR="00C9789B" w:rsidRPr="00C10568" w:rsidRDefault="00C9789B" w:rsidP="005A1F7F">
            <w:pPr>
              <w:rPr>
                <w:rFonts w:ascii="Arial" w:hAnsi="Arial" w:cs="Arial"/>
                <w:sz w:val="16"/>
                <w:szCs w:val="16"/>
              </w:rPr>
            </w:pPr>
            <w:r>
              <w:rPr>
                <w:rFonts w:ascii="Arial" w:hAnsi="Arial" w:cs="Arial"/>
                <w:color w:val="000000"/>
                <w:sz w:val="16"/>
                <w:szCs w:val="16"/>
              </w:rPr>
              <w:t>No. of users accessing the Internet publications of international classifications and standards, in particular from developing countries</w:t>
            </w:r>
          </w:p>
        </w:tc>
        <w:tc>
          <w:tcPr>
            <w:tcW w:w="1645" w:type="pct"/>
            <w:shd w:val="clear" w:color="auto" w:fill="FFFFFF"/>
            <w:tcMar>
              <w:top w:w="85" w:type="dxa"/>
              <w:bottom w:w="85" w:type="dxa"/>
            </w:tcMar>
          </w:tcPr>
          <w:p w14:paraId="7ED34D73" w14:textId="77777777" w:rsidR="00C9789B" w:rsidRPr="00AF5E7C" w:rsidRDefault="00C9789B" w:rsidP="005A1F7F">
            <w:pPr>
              <w:ind w:left="660"/>
              <w:rPr>
                <w:rFonts w:ascii="Arial" w:hAnsi="Arial" w:cs="Arial"/>
                <w:sz w:val="16"/>
                <w:szCs w:val="16"/>
              </w:rPr>
            </w:pPr>
            <w:r>
              <w:rPr>
                <w:rFonts w:ascii="Arial" w:hAnsi="Arial" w:cs="Arial"/>
                <w:sz w:val="16"/>
                <w:szCs w:val="16"/>
                <w:lang w:bidi="th-TH"/>
              </w:rPr>
              <w:t>Program 12</w:t>
            </w:r>
          </w:p>
        </w:tc>
      </w:tr>
      <w:tr w:rsidR="00C9789B" w:rsidRPr="00AF5E7C" w14:paraId="3E7C233F" w14:textId="77777777" w:rsidTr="00614B77">
        <w:trPr>
          <w:cantSplit/>
          <w:trHeight w:val="693"/>
        </w:trPr>
        <w:tc>
          <w:tcPr>
            <w:tcW w:w="1891" w:type="pct"/>
            <w:shd w:val="clear" w:color="auto" w:fill="auto"/>
            <w:tcMar>
              <w:top w:w="85" w:type="dxa"/>
              <w:bottom w:w="85" w:type="dxa"/>
            </w:tcMar>
          </w:tcPr>
          <w:p w14:paraId="7948ABFF" w14:textId="77777777" w:rsidR="00C9789B" w:rsidRPr="00C628EB" w:rsidRDefault="00C9789B" w:rsidP="005A1F7F">
            <w:pPr>
              <w:rPr>
                <w:rFonts w:ascii="Arial" w:hAnsi="Arial" w:cs="Arial"/>
                <w:sz w:val="16"/>
                <w:szCs w:val="16"/>
              </w:rPr>
            </w:pPr>
            <w:r w:rsidRPr="00C628EB">
              <w:rPr>
                <w:rFonts w:ascii="Arial" w:hAnsi="Arial" w:cs="Arial"/>
                <w:sz w:val="16"/>
                <w:szCs w:val="16"/>
              </w:rPr>
              <w:t>IV.2</w:t>
            </w:r>
            <w:r>
              <w:rPr>
                <w:rFonts w:ascii="Arial" w:hAnsi="Arial" w:cs="Arial"/>
                <w:sz w:val="16"/>
                <w:szCs w:val="16"/>
              </w:rPr>
              <w:t xml:space="preserve">  </w:t>
            </w:r>
            <w:r>
              <w:rPr>
                <w:rFonts w:ascii="Arial" w:hAnsi="Arial" w:cs="Arial"/>
                <w:color w:val="000000"/>
                <w:sz w:val="16"/>
                <w:szCs w:val="16"/>
              </w:rPr>
              <w:t>Enhanced access to, and use of, IP information by IP institutions and the public to promote innovation and creativity</w:t>
            </w:r>
          </w:p>
        </w:tc>
        <w:tc>
          <w:tcPr>
            <w:tcW w:w="1464" w:type="pct"/>
            <w:shd w:val="clear" w:color="auto" w:fill="auto"/>
            <w:tcMar>
              <w:top w:w="85" w:type="dxa"/>
              <w:bottom w:w="85" w:type="dxa"/>
            </w:tcMar>
          </w:tcPr>
          <w:p w14:paraId="73FB6126" w14:textId="77777777" w:rsidR="00C9789B" w:rsidRPr="00C628EB" w:rsidRDefault="00C9789B" w:rsidP="005A1F7F">
            <w:pPr>
              <w:rPr>
                <w:rFonts w:ascii="Arial" w:hAnsi="Arial" w:cs="Arial"/>
                <w:sz w:val="16"/>
                <w:szCs w:val="16"/>
              </w:rPr>
            </w:pPr>
            <w:r w:rsidRPr="002F442C">
              <w:rPr>
                <w:rFonts w:ascii="Arial" w:hAnsi="Arial" w:cs="Arial"/>
                <w:color w:val="000000"/>
                <w:sz w:val="16"/>
                <w:szCs w:val="16"/>
              </w:rPr>
              <w:t>No. of ABC constituent members</w:t>
            </w:r>
            <w:r w:rsidRPr="002F442C">
              <w:rPr>
                <w:rFonts w:ascii="Arial" w:hAnsi="Arial" w:cs="Arial"/>
                <w:color w:val="000000"/>
                <w:sz w:val="16"/>
                <w:szCs w:val="16"/>
              </w:rPr>
              <w:br/>
            </w:r>
          </w:p>
        </w:tc>
        <w:tc>
          <w:tcPr>
            <w:tcW w:w="1645" w:type="pct"/>
            <w:shd w:val="clear" w:color="auto" w:fill="FFFFFF"/>
            <w:tcMar>
              <w:top w:w="85" w:type="dxa"/>
              <w:bottom w:w="85" w:type="dxa"/>
            </w:tcMar>
          </w:tcPr>
          <w:p w14:paraId="0DCAF741"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3</w:t>
            </w:r>
          </w:p>
        </w:tc>
      </w:tr>
      <w:tr w:rsidR="00C9789B" w:rsidRPr="00AF5E7C" w14:paraId="41AE48EF" w14:textId="77777777" w:rsidTr="00614B77">
        <w:trPr>
          <w:cantSplit/>
          <w:trHeight w:val="326"/>
        </w:trPr>
        <w:tc>
          <w:tcPr>
            <w:tcW w:w="1891" w:type="pct"/>
            <w:shd w:val="clear" w:color="auto" w:fill="auto"/>
            <w:tcMar>
              <w:top w:w="85" w:type="dxa"/>
              <w:bottom w:w="85" w:type="dxa"/>
            </w:tcMar>
          </w:tcPr>
          <w:p w14:paraId="3B610F4A"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159456D6" w14:textId="77777777" w:rsidR="00C9789B" w:rsidRPr="00C628EB" w:rsidRDefault="00C9789B" w:rsidP="005A1F7F">
            <w:pPr>
              <w:rPr>
                <w:rFonts w:ascii="Arial" w:hAnsi="Arial" w:cs="Arial"/>
                <w:sz w:val="16"/>
                <w:szCs w:val="16"/>
              </w:rPr>
            </w:pPr>
            <w:r w:rsidRPr="002F442C">
              <w:rPr>
                <w:rFonts w:ascii="Arial" w:hAnsi="Arial" w:cs="Arial"/>
                <w:color w:val="000000"/>
                <w:sz w:val="16"/>
                <w:szCs w:val="16"/>
              </w:rPr>
              <w:t>No. of donors</w:t>
            </w:r>
          </w:p>
        </w:tc>
        <w:tc>
          <w:tcPr>
            <w:tcW w:w="1645" w:type="pct"/>
            <w:shd w:val="clear" w:color="auto" w:fill="FFFFFF"/>
            <w:tcMar>
              <w:top w:w="85" w:type="dxa"/>
              <w:bottom w:w="85" w:type="dxa"/>
            </w:tcMar>
          </w:tcPr>
          <w:p w14:paraId="76D4181F"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3</w:t>
            </w:r>
          </w:p>
        </w:tc>
      </w:tr>
      <w:tr w:rsidR="00C9789B" w:rsidRPr="00AF5E7C" w14:paraId="64CF4AF2" w14:textId="77777777" w:rsidTr="00614B77">
        <w:trPr>
          <w:cantSplit/>
          <w:trHeight w:val="620"/>
        </w:trPr>
        <w:tc>
          <w:tcPr>
            <w:tcW w:w="1891" w:type="pct"/>
            <w:shd w:val="clear" w:color="auto" w:fill="auto"/>
            <w:tcMar>
              <w:top w:w="85" w:type="dxa"/>
              <w:bottom w:w="85" w:type="dxa"/>
            </w:tcMar>
          </w:tcPr>
          <w:p w14:paraId="5630D369"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2A2B5423" w14:textId="77777777" w:rsidR="00C9789B" w:rsidRPr="00C628EB" w:rsidRDefault="00C9789B" w:rsidP="005A1F7F">
            <w:pPr>
              <w:rPr>
                <w:rFonts w:ascii="Arial" w:hAnsi="Arial" w:cs="Arial"/>
                <w:sz w:val="16"/>
                <w:szCs w:val="16"/>
              </w:rPr>
            </w:pPr>
            <w:r w:rsidRPr="002F442C">
              <w:rPr>
                <w:rFonts w:ascii="Arial" w:hAnsi="Arial" w:cs="Arial"/>
                <w:color w:val="000000"/>
                <w:sz w:val="16"/>
                <w:szCs w:val="16"/>
              </w:rPr>
              <w:t>No. of legal instruments, guidelines, statements of principles other than binding instruments with the participation of the stakeholders concerned in areas such as new copyright treaties and Copyright in the Digital Environment</w:t>
            </w:r>
          </w:p>
        </w:tc>
        <w:tc>
          <w:tcPr>
            <w:tcW w:w="1645" w:type="pct"/>
            <w:shd w:val="clear" w:color="auto" w:fill="FFFFFF"/>
            <w:tcMar>
              <w:top w:w="85" w:type="dxa"/>
              <w:bottom w:w="85" w:type="dxa"/>
            </w:tcMar>
          </w:tcPr>
          <w:p w14:paraId="5B479941"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3</w:t>
            </w:r>
          </w:p>
        </w:tc>
      </w:tr>
      <w:tr w:rsidR="00BF5EAA" w:rsidRPr="00AF5E7C" w14:paraId="4D646474" w14:textId="77777777" w:rsidTr="00614B77">
        <w:trPr>
          <w:cantSplit/>
          <w:trHeight w:val="620"/>
        </w:trPr>
        <w:tc>
          <w:tcPr>
            <w:tcW w:w="1891" w:type="pct"/>
            <w:shd w:val="clear" w:color="auto" w:fill="auto"/>
            <w:tcMar>
              <w:top w:w="85" w:type="dxa"/>
              <w:bottom w:w="85" w:type="dxa"/>
            </w:tcMar>
          </w:tcPr>
          <w:p w14:paraId="29C178BE" w14:textId="77777777" w:rsidR="00BF5EAA" w:rsidRPr="00AF5E7C" w:rsidRDefault="00BF5EAA" w:rsidP="005A1F7F">
            <w:pPr>
              <w:rPr>
                <w:rFonts w:ascii="Arial" w:hAnsi="Arial" w:cs="Arial"/>
                <w:sz w:val="16"/>
                <w:szCs w:val="16"/>
              </w:rPr>
            </w:pPr>
          </w:p>
        </w:tc>
        <w:tc>
          <w:tcPr>
            <w:tcW w:w="1464" w:type="pct"/>
            <w:shd w:val="clear" w:color="auto" w:fill="auto"/>
            <w:tcMar>
              <w:top w:w="85" w:type="dxa"/>
              <w:bottom w:w="85" w:type="dxa"/>
            </w:tcMar>
          </w:tcPr>
          <w:p w14:paraId="7E41EA2F" w14:textId="5FC6A5A5" w:rsidR="00BF5EAA" w:rsidRPr="002F442C" w:rsidRDefault="00BF5EAA" w:rsidP="005A1F7F">
            <w:pPr>
              <w:rPr>
                <w:rFonts w:ascii="Arial" w:hAnsi="Arial" w:cs="Arial"/>
                <w:color w:val="000000"/>
                <w:sz w:val="16"/>
                <w:szCs w:val="16"/>
              </w:rPr>
            </w:pPr>
            <w:r>
              <w:rPr>
                <w:rFonts w:ascii="Arial" w:hAnsi="Arial" w:cs="Arial"/>
                <w:color w:val="000000"/>
                <w:sz w:val="16"/>
                <w:szCs w:val="16"/>
              </w:rPr>
              <w:t>% of participants in seminars and workshops on copyright in the digital environment expressing positive feedback</w:t>
            </w:r>
          </w:p>
        </w:tc>
        <w:tc>
          <w:tcPr>
            <w:tcW w:w="1645" w:type="pct"/>
            <w:shd w:val="clear" w:color="auto" w:fill="FFFFFF"/>
            <w:tcMar>
              <w:top w:w="85" w:type="dxa"/>
              <w:bottom w:w="85" w:type="dxa"/>
            </w:tcMar>
          </w:tcPr>
          <w:p w14:paraId="41C2131F" w14:textId="7D4F9D62" w:rsidR="00BF5EAA" w:rsidRDefault="00BF5EAA" w:rsidP="005A1F7F">
            <w:pPr>
              <w:ind w:left="660"/>
              <w:rPr>
                <w:rFonts w:ascii="Arial" w:hAnsi="Arial" w:cs="Arial"/>
                <w:sz w:val="16"/>
                <w:szCs w:val="16"/>
                <w:lang w:bidi="th-TH"/>
              </w:rPr>
            </w:pPr>
            <w:r>
              <w:rPr>
                <w:rFonts w:ascii="Arial" w:hAnsi="Arial" w:cs="Arial"/>
                <w:sz w:val="16"/>
                <w:szCs w:val="16"/>
                <w:lang w:bidi="th-TH"/>
              </w:rPr>
              <w:t>Program 3</w:t>
            </w:r>
          </w:p>
        </w:tc>
      </w:tr>
      <w:tr w:rsidR="00C9789B" w:rsidRPr="00AF5E7C" w14:paraId="0E6E1E84" w14:textId="77777777" w:rsidTr="00614B77">
        <w:trPr>
          <w:cantSplit/>
          <w:trHeight w:val="437"/>
        </w:trPr>
        <w:tc>
          <w:tcPr>
            <w:tcW w:w="1891" w:type="pct"/>
            <w:shd w:val="clear" w:color="auto" w:fill="auto"/>
            <w:tcMar>
              <w:top w:w="85" w:type="dxa"/>
              <w:bottom w:w="85" w:type="dxa"/>
            </w:tcMar>
          </w:tcPr>
          <w:p w14:paraId="7F7B1B2C"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30CE7174" w14:textId="6C4C3E9B" w:rsidR="00C9789B" w:rsidRPr="002B01EE" w:rsidRDefault="00C9789B" w:rsidP="005A1F7F">
            <w:pPr>
              <w:rPr>
                <w:rFonts w:ascii="Arial" w:hAnsi="Arial" w:cs="Arial"/>
                <w:color w:val="00B050"/>
                <w:sz w:val="16"/>
                <w:szCs w:val="16"/>
              </w:rPr>
            </w:pPr>
            <w:r w:rsidRPr="002B01EE">
              <w:rPr>
                <w:rFonts w:ascii="Arial" w:hAnsi="Arial" w:cs="Arial"/>
                <w:color w:val="000000"/>
                <w:sz w:val="16"/>
                <w:szCs w:val="16"/>
              </w:rPr>
              <w:t>No. of sustainable</w:t>
            </w:r>
            <w:r w:rsidR="00CF7658">
              <w:rPr>
                <w:rStyle w:val="FootnoteReference"/>
                <w:rFonts w:ascii="Arial" w:hAnsi="Arial" w:cs="Arial"/>
                <w:color w:val="000000"/>
                <w:sz w:val="16"/>
                <w:szCs w:val="16"/>
              </w:rPr>
              <w:footnoteReference w:id="19"/>
            </w:r>
            <w:r w:rsidRPr="002B01EE">
              <w:rPr>
                <w:rFonts w:ascii="Arial" w:hAnsi="Arial" w:cs="Arial"/>
                <w:color w:val="000000"/>
                <w:sz w:val="16"/>
                <w:szCs w:val="16"/>
              </w:rPr>
              <w:t xml:space="preserve"> national TISC networks (numbers cumulative)</w:t>
            </w:r>
          </w:p>
        </w:tc>
        <w:tc>
          <w:tcPr>
            <w:tcW w:w="1645" w:type="pct"/>
            <w:shd w:val="clear" w:color="auto" w:fill="FFFFFF"/>
            <w:tcMar>
              <w:top w:w="85" w:type="dxa"/>
              <w:bottom w:w="85" w:type="dxa"/>
            </w:tcMar>
          </w:tcPr>
          <w:p w14:paraId="7AE33C63" w14:textId="77777777" w:rsidR="00C9789B" w:rsidRPr="00962F07" w:rsidRDefault="00C9789B" w:rsidP="005A1F7F">
            <w:pPr>
              <w:ind w:left="660"/>
              <w:rPr>
                <w:rFonts w:ascii="Arial" w:hAnsi="Arial" w:cs="Arial"/>
                <w:sz w:val="16"/>
                <w:szCs w:val="16"/>
                <w:lang w:bidi="th-TH"/>
              </w:rPr>
            </w:pPr>
            <w:r w:rsidRPr="00962F07">
              <w:rPr>
                <w:rFonts w:ascii="Arial" w:hAnsi="Arial" w:cs="Arial"/>
                <w:sz w:val="16"/>
                <w:szCs w:val="16"/>
                <w:lang w:bidi="th-TH"/>
              </w:rPr>
              <w:t>Program 9</w:t>
            </w:r>
          </w:p>
          <w:p w14:paraId="7A90AC94" w14:textId="77777777" w:rsidR="00C9789B" w:rsidRDefault="00C9789B" w:rsidP="005A1F7F">
            <w:pPr>
              <w:ind w:left="660"/>
              <w:rPr>
                <w:rFonts w:ascii="Arial" w:hAnsi="Arial" w:cs="Arial"/>
                <w:color w:val="000000"/>
                <w:sz w:val="16"/>
                <w:szCs w:val="16"/>
                <w:lang w:bidi="th-TH"/>
              </w:rPr>
            </w:pPr>
            <w:r w:rsidRPr="00C93758">
              <w:rPr>
                <w:rFonts w:ascii="Arial" w:hAnsi="Arial" w:cs="Arial"/>
                <w:color w:val="000000"/>
                <w:sz w:val="16"/>
                <w:szCs w:val="16"/>
                <w:lang w:bidi="th-TH"/>
              </w:rPr>
              <w:t>Program 14</w:t>
            </w:r>
          </w:p>
          <w:p w14:paraId="1B39AB52" w14:textId="77777777" w:rsidR="00C9789B" w:rsidRPr="00C93758" w:rsidRDefault="00C9789B" w:rsidP="005A1F7F">
            <w:pPr>
              <w:ind w:left="660"/>
              <w:rPr>
                <w:rFonts w:ascii="Arial" w:hAnsi="Arial" w:cs="Arial"/>
                <w:color w:val="000000"/>
                <w:sz w:val="16"/>
                <w:szCs w:val="16"/>
                <w:lang w:bidi="th-TH"/>
              </w:rPr>
            </w:pPr>
            <w:r>
              <w:rPr>
                <w:rFonts w:ascii="Arial" w:hAnsi="Arial" w:cs="Arial"/>
                <w:color w:val="000000"/>
                <w:sz w:val="16"/>
                <w:szCs w:val="16"/>
                <w:lang w:bidi="th-TH"/>
              </w:rPr>
              <w:t xml:space="preserve">Program 20 </w:t>
            </w:r>
          </w:p>
        </w:tc>
      </w:tr>
      <w:tr w:rsidR="00C9789B" w:rsidRPr="00AF5E7C" w14:paraId="06F1FB4A" w14:textId="77777777" w:rsidTr="00614B77">
        <w:trPr>
          <w:cantSplit/>
          <w:trHeight w:val="762"/>
        </w:trPr>
        <w:tc>
          <w:tcPr>
            <w:tcW w:w="1891" w:type="pct"/>
            <w:shd w:val="clear" w:color="auto" w:fill="auto"/>
            <w:tcMar>
              <w:top w:w="85" w:type="dxa"/>
              <w:bottom w:w="85" w:type="dxa"/>
            </w:tcMar>
          </w:tcPr>
          <w:p w14:paraId="31956A7F"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4C235AFC" w14:textId="77777777" w:rsidR="00C9789B" w:rsidRPr="00FC0907" w:rsidRDefault="00C9789B" w:rsidP="005A1F7F">
            <w:pPr>
              <w:rPr>
                <w:rFonts w:ascii="Arial" w:hAnsi="Arial" w:cs="Arial"/>
                <w:sz w:val="16"/>
                <w:szCs w:val="16"/>
                <w:highlight w:val="yellow"/>
              </w:rPr>
            </w:pPr>
            <w:r w:rsidRPr="00FC0907">
              <w:rPr>
                <w:rFonts w:ascii="Arial" w:hAnsi="Arial" w:cs="Arial"/>
                <w:color w:val="000000"/>
                <w:sz w:val="16"/>
                <w:szCs w:val="16"/>
              </w:rPr>
              <w:t>No. of organizations, communities, individuals that applied and used the Appropriate Technology as a solution to identified development challenges in LDCs</w:t>
            </w:r>
          </w:p>
        </w:tc>
        <w:tc>
          <w:tcPr>
            <w:tcW w:w="1645" w:type="pct"/>
            <w:shd w:val="clear" w:color="auto" w:fill="FFFFFF"/>
            <w:tcMar>
              <w:top w:w="85" w:type="dxa"/>
              <w:bottom w:w="85" w:type="dxa"/>
            </w:tcMar>
          </w:tcPr>
          <w:p w14:paraId="03664F04" w14:textId="77777777" w:rsidR="00C9789B" w:rsidRPr="00DD2110" w:rsidRDefault="00C9789B" w:rsidP="005A1F7F">
            <w:pPr>
              <w:ind w:left="660"/>
              <w:rPr>
                <w:rFonts w:ascii="Arial" w:hAnsi="Arial" w:cs="Arial"/>
                <w:sz w:val="16"/>
                <w:szCs w:val="16"/>
                <w:highlight w:val="yellow"/>
                <w:lang w:bidi="th-TH"/>
              </w:rPr>
            </w:pPr>
            <w:r w:rsidRPr="00BE2B00">
              <w:rPr>
                <w:rFonts w:ascii="Arial" w:hAnsi="Arial" w:cs="Arial"/>
                <w:sz w:val="16"/>
                <w:szCs w:val="16"/>
                <w:lang w:bidi="th-TH"/>
              </w:rPr>
              <w:t>Program 9</w:t>
            </w:r>
          </w:p>
        </w:tc>
      </w:tr>
      <w:tr w:rsidR="00C9789B" w:rsidRPr="00AF5E7C" w14:paraId="53AAD920" w14:textId="77777777" w:rsidTr="00614B77">
        <w:trPr>
          <w:cantSplit/>
          <w:trHeight w:val="762"/>
        </w:trPr>
        <w:tc>
          <w:tcPr>
            <w:tcW w:w="1891" w:type="pct"/>
            <w:shd w:val="clear" w:color="auto" w:fill="auto"/>
            <w:tcMar>
              <w:top w:w="85" w:type="dxa"/>
              <w:bottom w:w="85" w:type="dxa"/>
            </w:tcMar>
          </w:tcPr>
          <w:p w14:paraId="0C41E728"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574D8F85"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Use of Appropriate Technology for development through  patent searches and reports, technology landscapes, business plans (Number of experts, National Expert Groups (NEGs) in LDCs)</w:t>
            </w:r>
          </w:p>
        </w:tc>
        <w:tc>
          <w:tcPr>
            <w:tcW w:w="1645" w:type="pct"/>
            <w:shd w:val="clear" w:color="auto" w:fill="FFFFFF"/>
            <w:tcMar>
              <w:top w:w="85" w:type="dxa"/>
              <w:bottom w:w="85" w:type="dxa"/>
            </w:tcMar>
          </w:tcPr>
          <w:p w14:paraId="5587BEAD"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616BE1A3" w14:textId="77777777" w:rsidTr="00614B77">
        <w:trPr>
          <w:cantSplit/>
          <w:trHeight w:val="475"/>
        </w:trPr>
        <w:tc>
          <w:tcPr>
            <w:tcW w:w="1891" w:type="pct"/>
            <w:shd w:val="clear" w:color="auto" w:fill="auto"/>
            <w:tcMar>
              <w:top w:w="85" w:type="dxa"/>
              <w:bottom w:w="85" w:type="dxa"/>
            </w:tcMar>
          </w:tcPr>
          <w:p w14:paraId="5C587824"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4905DCE9"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Identified Appropriate Technology commercialized in LDCs</w:t>
            </w:r>
          </w:p>
        </w:tc>
        <w:tc>
          <w:tcPr>
            <w:tcW w:w="1645" w:type="pct"/>
            <w:shd w:val="clear" w:color="auto" w:fill="FFFFFF"/>
            <w:tcMar>
              <w:top w:w="85" w:type="dxa"/>
              <w:bottom w:w="85" w:type="dxa"/>
            </w:tcMar>
          </w:tcPr>
          <w:p w14:paraId="00F8BCB3"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56AC61D2" w14:textId="77777777" w:rsidTr="00614B77">
        <w:trPr>
          <w:cantSplit/>
          <w:trHeight w:val="386"/>
        </w:trPr>
        <w:tc>
          <w:tcPr>
            <w:tcW w:w="1891" w:type="pct"/>
            <w:shd w:val="clear" w:color="auto" w:fill="auto"/>
            <w:tcMar>
              <w:top w:w="85" w:type="dxa"/>
              <w:bottom w:w="85" w:type="dxa"/>
            </w:tcMar>
          </w:tcPr>
          <w:p w14:paraId="02BC166B"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04B4AA8A"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Projects replicated in other areas in LDCs</w:t>
            </w:r>
          </w:p>
        </w:tc>
        <w:tc>
          <w:tcPr>
            <w:tcW w:w="1645" w:type="pct"/>
            <w:shd w:val="clear" w:color="auto" w:fill="FFFFFF"/>
            <w:tcMar>
              <w:top w:w="85" w:type="dxa"/>
              <w:bottom w:w="85" w:type="dxa"/>
            </w:tcMar>
          </w:tcPr>
          <w:p w14:paraId="21FF354C"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4CDE1421" w14:textId="77777777" w:rsidTr="00614B77">
        <w:trPr>
          <w:cantSplit/>
          <w:trHeight w:val="652"/>
        </w:trPr>
        <w:tc>
          <w:tcPr>
            <w:tcW w:w="1891" w:type="pct"/>
            <w:shd w:val="clear" w:color="auto" w:fill="auto"/>
            <w:tcMar>
              <w:top w:w="85" w:type="dxa"/>
              <w:bottom w:w="85" w:type="dxa"/>
            </w:tcMar>
          </w:tcPr>
          <w:p w14:paraId="2E3196D9"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3F74C957"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Institutions established to continue working on Appropriate Technology in LDCs</w:t>
            </w:r>
          </w:p>
        </w:tc>
        <w:tc>
          <w:tcPr>
            <w:tcW w:w="1645" w:type="pct"/>
            <w:shd w:val="clear" w:color="auto" w:fill="FFFFFF"/>
            <w:tcMar>
              <w:top w:w="85" w:type="dxa"/>
              <w:bottom w:w="85" w:type="dxa"/>
            </w:tcMar>
          </w:tcPr>
          <w:p w14:paraId="7E5CE585"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7F46FD64" w14:textId="77777777" w:rsidTr="00614B77">
        <w:trPr>
          <w:cantSplit/>
          <w:trHeight w:val="762"/>
        </w:trPr>
        <w:tc>
          <w:tcPr>
            <w:tcW w:w="1891" w:type="pct"/>
            <w:shd w:val="clear" w:color="auto" w:fill="auto"/>
            <w:tcMar>
              <w:top w:w="85" w:type="dxa"/>
              <w:bottom w:w="85" w:type="dxa"/>
            </w:tcMar>
          </w:tcPr>
          <w:p w14:paraId="7EB716B8"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50EF7DCA"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Continuation and expansion of national technological capacity building programs on Appropriate Technology  in LDCs</w:t>
            </w:r>
          </w:p>
        </w:tc>
        <w:tc>
          <w:tcPr>
            <w:tcW w:w="1645" w:type="pct"/>
            <w:shd w:val="clear" w:color="auto" w:fill="FFFFFF"/>
            <w:tcMar>
              <w:top w:w="85" w:type="dxa"/>
              <w:bottom w:w="85" w:type="dxa"/>
            </w:tcMar>
          </w:tcPr>
          <w:p w14:paraId="0EB98C45"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02BF749E" w14:textId="77777777" w:rsidTr="00614B77">
        <w:trPr>
          <w:cantSplit/>
          <w:trHeight w:val="762"/>
        </w:trPr>
        <w:tc>
          <w:tcPr>
            <w:tcW w:w="1891" w:type="pct"/>
            <w:shd w:val="clear" w:color="auto" w:fill="auto"/>
            <w:tcMar>
              <w:top w:w="85" w:type="dxa"/>
              <w:bottom w:w="85" w:type="dxa"/>
            </w:tcMar>
          </w:tcPr>
          <w:p w14:paraId="6173ECB9" w14:textId="77777777" w:rsidR="00C9789B" w:rsidRPr="003E1C54" w:rsidRDefault="00C9789B" w:rsidP="005A1F7F">
            <w:pPr>
              <w:rPr>
                <w:rFonts w:ascii="Arial" w:hAnsi="Arial" w:cs="Arial"/>
                <w:sz w:val="16"/>
                <w:szCs w:val="16"/>
              </w:rPr>
            </w:pPr>
          </w:p>
        </w:tc>
        <w:tc>
          <w:tcPr>
            <w:tcW w:w="1464" w:type="pct"/>
            <w:shd w:val="clear" w:color="auto" w:fill="auto"/>
            <w:tcMar>
              <w:top w:w="85" w:type="dxa"/>
              <w:bottom w:w="85" w:type="dxa"/>
            </w:tcMar>
          </w:tcPr>
          <w:p w14:paraId="374D57BD" w14:textId="77777777" w:rsidR="00C9789B" w:rsidRPr="00774E29" w:rsidRDefault="00C9789B" w:rsidP="005A1F7F">
            <w:pPr>
              <w:rPr>
                <w:rFonts w:ascii="Arial" w:hAnsi="Arial" w:cs="Arial"/>
                <w:color w:val="000000"/>
                <w:sz w:val="16"/>
                <w:szCs w:val="16"/>
              </w:rPr>
            </w:pPr>
            <w:r w:rsidRPr="00774E29">
              <w:rPr>
                <w:rFonts w:ascii="Arial" w:hAnsi="Arial" w:cs="Arial"/>
                <w:color w:val="000000"/>
                <w:sz w:val="16"/>
                <w:szCs w:val="16"/>
              </w:rPr>
              <w:t>Utilization of Appropriate Technology for economic development included in the national innovation and IP policies and strategies in LDCs</w:t>
            </w:r>
          </w:p>
        </w:tc>
        <w:tc>
          <w:tcPr>
            <w:tcW w:w="1645" w:type="pct"/>
            <w:shd w:val="clear" w:color="auto" w:fill="FFFFFF"/>
            <w:tcMar>
              <w:top w:w="85" w:type="dxa"/>
              <w:bottom w:w="85" w:type="dxa"/>
            </w:tcMar>
          </w:tcPr>
          <w:p w14:paraId="2D2BC208" w14:textId="77777777" w:rsidR="00C9789B" w:rsidRPr="00BE2B00" w:rsidRDefault="00C9789B" w:rsidP="005A1F7F">
            <w:pPr>
              <w:ind w:left="660"/>
              <w:rPr>
                <w:rFonts w:ascii="Arial" w:hAnsi="Arial" w:cs="Arial"/>
                <w:sz w:val="16"/>
                <w:szCs w:val="16"/>
                <w:lang w:bidi="th-TH"/>
              </w:rPr>
            </w:pPr>
            <w:r w:rsidRPr="00BE2B00">
              <w:rPr>
                <w:rFonts w:ascii="Arial" w:hAnsi="Arial" w:cs="Arial"/>
                <w:sz w:val="16"/>
                <w:szCs w:val="16"/>
                <w:lang w:bidi="th-TH"/>
              </w:rPr>
              <w:t>Program 9</w:t>
            </w:r>
          </w:p>
        </w:tc>
      </w:tr>
      <w:tr w:rsidR="00C9789B" w:rsidRPr="00AF5E7C" w14:paraId="4CAEDCA0" w14:textId="77777777" w:rsidTr="00614B77">
        <w:trPr>
          <w:cantSplit/>
          <w:trHeight w:val="550"/>
        </w:trPr>
        <w:tc>
          <w:tcPr>
            <w:tcW w:w="1891" w:type="pct"/>
            <w:shd w:val="clear" w:color="auto" w:fill="auto"/>
            <w:tcMar>
              <w:top w:w="85" w:type="dxa"/>
              <w:bottom w:w="85" w:type="dxa"/>
            </w:tcMar>
          </w:tcPr>
          <w:p w14:paraId="05E97E5C"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69A1424C" w14:textId="77777777" w:rsidR="00C9789B" w:rsidRPr="003E1C54" w:rsidRDefault="00C9789B" w:rsidP="005A1F7F">
            <w:pPr>
              <w:rPr>
                <w:rFonts w:ascii="Arial" w:hAnsi="Arial" w:cs="Arial"/>
                <w:sz w:val="16"/>
                <w:szCs w:val="16"/>
              </w:rPr>
            </w:pPr>
            <w:r>
              <w:rPr>
                <w:rFonts w:ascii="Arial" w:hAnsi="Arial" w:cs="Arial"/>
                <w:color w:val="000000"/>
                <w:sz w:val="16"/>
                <w:szCs w:val="16"/>
              </w:rPr>
              <w:t>No. of different users per quarter in all Global Database systems</w:t>
            </w:r>
          </w:p>
        </w:tc>
        <w:tc>
          <w:tcPr>
            <w:tcW w:w="1645" w:type="pct"/>
            <w:shd w:val="clear" w:color="auto" w:fill="FFFFFF"/>
            <w:tcMar>
              <w:top w:w="85" w:type="dxa"/>
              <w:bottom w:w="85" w:type="dxa"/>
            </w:tcMar>
          </w:tcPr>
          <w:p w14:paraId="6A795B42"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20A31F30" w14:textId="77777777" w:rsidTr="00614B77">
        <w:trPr>
          <w:cantSplit/>
          <w:trHeight w:val="399"/>
        </w:trPr>
        <w:tc>
          <w:tcPr>
            <w:tcW w:w="1891" w:type="pct"/>
            <w:shd w:val="clear" w:color="auto" w:fill="auto"/>
            <w:tcMar>
              <w:top w:w="85" w:type="dxa"/>
              <w:bottom w:w="85" w:type="dxa"/>
            </w:tcMar>
          </w:tcPr>
          <w:p w14:paraId="6B52C44F"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6141F0E6" w14:textId="77777777" w:rsidR="00C9789B" w:rsidRPr="003E1C54" w:rsidRDefault="00C9789B" w:rsidP="005A1F7F">
            <w:pPr>
              <w:rPr>
                <w:rFonts w:ascii="Arial" w:hAnsi="Arial" w:cs="Arial"/>
                <w:sz w:val="16"/>
                <w:szCs w:val="16"/>
              </w:rPr>
            </w:pPr>
            <w:r>
              <w:rPr>
                <w:rFonts w:ascii="Arial" w:hAnsi="Arial" w:cs="Arial"/>
                <w:color w:val="000000"/>
                <w:sz w:val="16"/>
                <w:szCs w:val="16"/>
              </w:rPr>
              <w:t>No. of languages in which cross-lingual search is available</w:t>
            </w:r>
          </w:p>
        </w:tc>
        <w:tc>
          <w:tcPr>
            <w:tcW w:w="1645" w:type="pct"/>
            <w:shd w:val="clear" w:color="auto" w:fill="FFFFFF"/>
            <w:tcMar>
              <w:top w:w="85" w:type="dxa"/>
              <w:bottom w:w="85" w:type="dxa"/>
            </w:tcMar>
          </w:tcPr>
          <w:p w14:paraId="39C39E77"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3D045335" w14:textId="77777777" w:rsidTr="00614B77">
        <w:trPr>
          <w:cantSplit/>
          <w:trHeight w:val="615"/>
        </w:trPr>
        <w:tc>
          <w:tcPr>
            <w:tcW w:w="1891" w:type="pct"/>
            <w:shd w:val="clear" w:color="auto" w:fill="auto"/>
            <w:tcMar>
              <w:top w:w="85" w:type="dxa"/>
              <w:bottom w:w="85" w:type="dxa"/>
            </w:tcMar>
          </w:tcPr>
          <w:p w14:paraId="2CF033C1"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15FE3940" w14:textId="77777777" w:rsidR="00C9789B" w:rsidRPr="003E1C54" w:rsidRDefault="00C9789B" w:rsidP="005A1F7F">
            <w:pPr>
              <w:rPr>
                <w:rFonts w:ascii="Arial" w:hAnsi="Arial" w:cs="Arial"/>
                <w:sz w:val="16"/>
                <w:szCs w:val="16"/>
              </w:rPr>
            </w:pPr>
            <w:r>
              <w:rPr>
                <w:rFonts w:ascii="Arial" w:hAnsi="Arial" w:cs="Arial"/>
                <w:color w:val="000000"/>
                <w:sz w:val="16"/>
                <w:szCs w:val="16"/>
              </w:rPr>
              <w:t>No. of language pairs available for translation of descriptions and claims</w:t>
            </w:r>
          </w:p>
        </w:tc>
        <w:tc>
          <w:tcPr>
            <w:tcW w:w="1645" w:type="pct"/>
            <w:shd w:val="clear" w:color="auto" w:fill="FFFFFF"/>
            <w:tcMar>
              <w:top w:w="85" w:type="dxa"/>
              <w:bottom w:w="85" w:type="dxa"/>
            </w:tcMar>
          </w:tcPr>
          <w:p w14:paraId="54E70053"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68A16373" w14:textId="77777777" w:rsidTr="00614B77">
        <w:trPr>
          <w:cantSplit/>
          <w:trHeight w:val="524"/>
        </w:trPr>
        <w:tc>
          <w:tcPr>
            <w:tcW w:w="1891" w:type="pct"/>
            <w:shd w:val="clear" w:color="auto" w:fill="auto"/>
            <w:tcMar>
              <w:top w:w="85" w:type="dxa"/>
              <w:bottom w:w="85" w:type="dxa"/>
            </w:tcMar>
          </w:tcPr>
          <w:p w14:paraId="69F8F709"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0F2A0BDC" w14:textId="77777777" w:rsidR="00C9789B" w:rsidRDefault="00C9789B" w:rsidP="005A1F7F">
            <w:pPr>
              <w:rPr>
                <w:rFonts w:ascii="Arial" w:hAnsi="Arial" w:cs="Arial"/>
                <w:color w:val="000000"/>
                <w:sz w:val="16"/>
                <w:szCs w:val="16"/>
              </w:rPr>
            </w:pPr>
            <w:r>
              <w:rPr>
                <w:rFonts w:ascii="Arial" w:hAnsi="Arial" w:cs="Arial"/>
                <w:color w:val="000000"/>
                <w:sz w:val="16"/>
                <w:szCs w:val="16"/>
              </w:rPr>
              <w:t>No. of records contained in PATENTSCOPE</w:t>
            </w:r>
          </w:p>
        </w:tc>
        <w:tc>
          <w:tcPr>
            <w:tcW w:w="1645" w:type="pct"/>
            <w:shd w:val="clear" w:color="auto" w:fill="FFFFFF"/>
            <w:tcMar>
              <w:top w:w="85" w:type="dxa"/>
              <w:bottom w:w="85" w:type="dxa"/>
            </w:tcMar>
          </w:tcPr>
          <w:p w14:paraId="5B15A680"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5D4F01" w:rsidRPr="00AF5E7C" w14:paraId="06C203F9" w14:textId="77777777" w:rsidTr="00614B77">
        <w:trPr>
          <w:cantSplit/>
          <w:trHeight w:val="389"/>
        </w:trPr>
        <w:tc>
          <w:tcPr>
            <w:tcW w:w="1891" w:type="pct"/>
            <w:shd w:val="clear" w:color="auto" w:fill="auto"/>
            <w:tcMar>
              <w:top w:w="85" w:type="dxa"/>
              <w:bottom w:w="85" w:type="dxa"/>
            </w:tcMar>
          </w:tcPr>
          <w:p w14:paraId="10ECD77F" w14:textId="77777777" w:rsidR="005D4F01" w:rsidRPr="00AF5E7C" w:rsidRDefault="005D4F01" w:rsidP="005A1F7F">
            <w:pPr>
              <w:rPr>
                <w:rFonts w:ascii="Arial" w:hAnsi="Arial" w:cs="Arial"/>
                <w:sz w:val="16"/>
                <w:szCs w:val="16"/>
              </w:rPr>
            </w:pPr>
          </w:p>
        </w:tc>
        <w:tc>
          <w:tcPr>
            <w:tcW w:w="1464" w:type="pct"/>
            <w:shd w:val="clear" w:color="auto" w:fill="auto"/>
            <w:tcMar>
              <w:top w:w="85" w:type="dxa"/>
              <w:bottom w:w="85" w:type="dxa"/>
            </w:tcMar>
          </w:tcPr>
          <w:p w14:paraId="6913CF31" w14:textId="043B5BE7" w:rsidR="005D4F01" w:rsidRPr="00BF6D38" w:rsidRDefault="005D4F01" w:rsidP="005A1F7F">
            <w:pPr>
              <w:rPr>
                <w:rFonts w:ascii="Arial" w:hAnsi="Arial" w:cs="Arial"/>
                <w:color w:val="000000"/>
                <w:sz w:val="16"/>
                <w:szCs w:val="16"/>
              </w:rPr>
            </w:pPr>
            <w:r w:rsidRPr="005D4F01">
              <w:rPr>
                <w:rFonts w:ascii="Arial" w:hAnsi="Arial" w:cs="Arial"/>
                <w:color w:val="000000"/>
                <w:sz w:val="16"/>
                <w:szCs w:val="16"/>
              </w:rPr>
              <w:t>Timeliness of data uploading (the average delay in days between the publication date of the records in their official register and availability in Global Databases for a representative subset of national collections)</w:t>
            </w:r>
          </w:p>
        </w:tc>
        <w:tc>
          <w:tcPr>
            <w:tcW w:w="1645" w:type="pct"/>
            <w:shd w:val="clear" w:color="auto" w:fill="FFFFFF"/>
            <w:tcMar>
              <w:top w:w="85" w:type="dxa"/>
              <w:bottom w:w="85" w:type="dxa"/>
            </w:tcMar>
          </w:tcPr>
          <w:p w14:paraId="38008383" w14:textId="2ECC6658" w:rsidR="005D4F01" w:rsidRDefault="005D4F01"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1C1C064D" w14:textId="77777777" w:rsidTr="00614B77">
        <w:trPr>
          <w:cantSplit/>
          <w:trHeight w:val="389"/>
        </w:trPr>
        <w:tc>
          <w:tcPr>
            <w:tcW w:w="1891" w:type="pct"/>
            <w:shd w:val="clear" w:color="auto" w:fill="auto"/>
            <w:tcMar>
              <w:top w:w="85" w:type="dxa"/>
              <w:bottom w:w="85" w:type="dxa"/>
            </w:tcMar>
          </w:tcPr>
          <w:p w14:paraId="127122A6"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194AF50D" w14:textId="77777777" w:rsidR="00C9789B" w:rsidRDefault="00C9789B" w:rsidP="005A1F7F">
            <w:pPr>
              <w:rPr>
                <w:rFonts w:ascii="Arial" w:hAnsi="Arial" w:cs="Arial"/>
                <w:color w:val="000000"/>
                <w:sz w:val="16"/>
                <w:szCs w:val="16"/>
              </w:rPr>
            </w:pPr>
            <w:r w:rsidRPr="00BF6D38">
              <w:rPr>
                <w:rFonts w:ascii="Arial" w:hAnsi="Arial" w:cs="Arial"/>
                <w:color w:val="000000"/>
                <w:sz w:val="16"/>
                <w:szCs w:val="16"/>
              </w:rPr>
              <w:t>Average no. of users serviced by TISCs per annum</w:t>
            </w:r>
          </w:p>
        </w:tc>
        <w:tc>
          <w:tcPr>
            <w:tcW w:w="1645" w:type="pct"/>
            <w:shd w:val="clear" w:color="auto" w:fill="FFFFFF"/>
            <w:tcMar>
              <w:top w:w="85" w:type="dxa"/>
              <w:bottom w:w="85" w:type="dxa"/>
            </w:tcMar>
          </w:tcPr>
          <w:p w14:paraId="6BA7B6C8"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14</w:t>
            </w:r>
          </w:p>
        </w:tc>
      </w:tr>
      <w:tr w:rsidR="00C9789B" w:rsidRPr="00AF5E7C" w14:paraId="111B8FC3" w14:textId="77777777" w:rsidTr="00614B77">
        <w:trPr>
          <w:cantSplit/>
          <w:trHeight w:val="769"/>
        </w:trPr>
        <w:tc>
          <w:tcPr>
            <w:tcW w:w="1891" w:type="pct"/>
            <w:shd w:val="clear" w:color="auto" w:fill="auto"/>
            <w:tcMar>
              <w:top w:w="85" w:type="dxa"/>
              <w:bottom w:w="85" w:type="dxa"/>
            </w:tcMar>
          </w:tcPr>
          <w:p w14:paraId="7A2A842C"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4C1D81C5" w14:textId="77777777" w:rsidR="00C9789B" w:rsidRPr="00861788" w:rsidRDefault="00C9789B" w:rsidP="005A1F7F">
            <w:pPr>
              <w:rPr>
                <w:rFonts w:ascii="Arial" w:hAnsi="Arial" w:cs="Arial"/>
                <w:sz w:val="16"/>
                <w:szCs w:val="16"/>
              </w:rPr>
            </w:pPr>
            <w:r>
              <w:rPr>
                <w:rFonts w:ascii="Arial" w:hAnsi="Arial" w:cs="Arial"/>
                <w:color w:val="000000"/>
                <w:sz w:val="16"/>
                <w:szCs w:val="16"/>
              </w:rPr>
              <w:t>No. of Member States in the respective regions collaborating with Global Databases</w:t>
            </w:r>
          </w:p>
        </w:tc>
        <w:tc>
          <w:tcPr>
            <w:tcW w:w="1645" w:type="pct"/>
            <w:shd w:val="clear" w:color="auto" w:fill="FFFFFF"/>
            <w:tcMar>
              <w:top w:w="85" w:type="dxa"/>
              <w:bottom w:w="85" w:type="dxa"/>
            </w:tcMar>
          </w:tcPr>
          <w:p w14:paraId="23085116"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14</w:t>
            </w:r>
          </w:p>
        </w:tc>
      </w:tr>
      <w:tr w:rsidR="00C9789B" w:rsidRPr="00AF5E7C" w14:paraId="5D486376" w14:textId="77777777" w:rsidTr="00614B77">
        <w:trPr>
          <w:cantSplit/>
          <w:trHeight w:val="163"/>
        </w:trPr>
        <w:tc>
          <w:tcPr>
            <w:tcW w:w="1891" w:type="pct"/>
            <w:shd w:val="clear" w:color="auto" w:fill="auto"/>
            <w:tcMar>
              <w:top w:w="85" w:type="dxa"/>
              <w:bottom w:w="85" w:type="dxa"/>
            </w:tcMar>
          </w:tcPr>
          <w:p w14:paraId="6966EC5A"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2C862199" w14:textId="77777777" w:rsidR="00C9789B" w:rsidRPr="00861788" w:rsidRDefault="00C9789B" w:rsidP="005A1F7F">
            <w:pPr>
              <w:rPr>
                <w:rFonts w:ascii="Arial" w:hAnsi="Arial" w:cs="Arial"/>
                <w:sz w:val="16"/>
                <w:szCs w:val="16"/>
              </w:rPr>
            </w:pPr>
            <w:r>
              <w:rPr>
                <w:rFonts w:ascii="Arial" w:hAnsi="Arial" w:cs="Arial"/>
                <w:color w:val="000000"/>
                <w:sz w:val="16"/>
                <w:szCs w:val="16"/>
              </w:rPr>
              <w:t>No. of active registered users of ARDI and ASPI</w:t>
            </w:r>
          </w:p>
        </w:tc>
        <w:tc>
          <w:tcPr>
            <w:tcW w:w="1645" w:type="pct"/>
            <w:shd w:val="clear" w:color="auto" w:fill="FFFFFF"/>
            <w:tcMar>
              <w:top w:w="85" w:type="dxa"/>
              <w:bottom w:w="85" w:type="dxa"/>
            </w:tcMar>
          </w:tcPr>
          <w:p w14:paraId="30C3A973"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14</w:t>
            </w:r>
          </w:p>
        </w:tc>
      </w:tr>
      <w:tr w:rsidR="00C9789B" w:rsidRPr="00AF5E7C" w14:paraId="647206AB" w14:textId="77777777" w:rsidTr="00614B77">
        <w:trPr>
          <w:cantSplit/>
          <w:trHeight w:val="163"/>
        </w:trPr>
        <w:tc>
          <w:tcPr>
            <w:tcW w:w="1891" w:type="pct"/>
            <w:shd w:val="clear" w:color="auto" w:fill="auto"/>
            <w:tcMar>
              <w:top w:w="85" w:type="dxa"/>
              <w:bottom w:w="85" w:type="dxa"/>
            </w:tcMar>
          </w:tcPr>
          <w:p w14:paraId="3D1C9908"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0D27A8B8" w14:textId="77777777" w:rsidR="00C9789B" w:rsidRDefault="00C9789B" w:rsidP="005A1F7F">
            <w:pPr>
              <w:rPr>
                <w:rFonts w:ascii="Arial" w:hAnsi="Arial" w:cs="Arial"/>
                <w:color w:val="000000"/>
                <w:sz w:val="16"/>
                <w:szCs w:val="16"/>
              </w:rPr>
            </w:pPr>
            <w:r>
              <w:rPr>
                <w:rFonts w:ascii="Arial" w:hAnsi="Arial" w:cs="Arial"/>
                <w:color w:val="000000"/>
                <w:sz w:val="16"/>
                <w:szCs w:val="16"/>
              </w:rPr>
              <w:t>No. of TISC Clinic requests submitted to TISCs</w:t>
            </w:r>
          </w:p>
        </w:tc>
        <w:tc>
          <w:tcPr>
            <w:tcW w:w="1645" w:type="pct"/>
            <w:shd w:val="clear" w:color="auto" w:fill="FFFFFF"/>
            <w:tcMar>
              <w:top w:w="85" w:type="dxa"/>
              <w:bottom w:w="85" w:type="dxa"/>
            </w:tcMar>
          </w:tcPr>
          <w:p w14:paraId="45804208"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14</w:t>
            </w:r>
          </w:p>
        </w:tc>
      </w:tr>
      <w:tr w:rsidR="00C9789B" w:rsidRPr="00AF5E7C" w14:paraId="1AE1D244" w14:textId="77777777" w:rsidTr="00614B77">
        <w:trPr>
          <w:cantSplit/>
          <w:trHeight w:val="516"/>
        </w:trPr>
        <w:tc>
          <w:tcPr>
            <w:tcW w:w="1891" w:type="pct"/>
            <w:shd w:val="clear" w:color="auto" w:fill="auto"/>
            <w:tcMar>
              <w:top w:w="85" w:type="dxa"/>
              <w:bottom w:w="85" w:type="dxa"/>
            </w:tcMar>
          </w:tcPr>
          <w:p w14:paraId="0576BF31"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379171F3" w14:textId="77777777" w:rsidR="00C9789B" w:rsidRDefault="00C9789B" w:rsidP="005A1F7F">
            <w:pPr>
              <w:rPr>
                <w:rFonts w:ascii="Arial" w:hAnsi="Arial" w:cs="Arial"/>
                <w:color w:val="000000"/>
                <w:sz w:val="16"/>
                <w:szCs w:val="16"/>
              </w:rPr>
            </w:pPr>
            <w:r>
              <w:rPr>
                <w:rFonts w:ascii="Arial" w:hAnsi="Arial" w:cs="Arial"/>
                <w:color w:val="000000"/>
                <w:sz w:val="16"/>
                <w:szCs w:val="16"/>
              </w:rPr>
              <w:t>No. of TISCs offering patent analytical services</w:t>
            </w:r>
          </w:p>
        </w:tc>
        <w:tc>
          <w:tcPr>
            <w:tcW w:w="1645" w:type="pct"/>
            <w:shd w:val="clear" w:color="auto" w:fill="FFFFFF"/>
            <w:tcMar>
              <w:top w:w="85" w:type="dxa"/>
              <w:bottom w:w="85" w:type="dxa"/>
            </w:tcMar>
          </w:tcPr>
          <w:p w14:paraId="61CD4520"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14</w:t>
            </w:r>
          </w:p>
        </w:tc>
      </w:tr>
      <w:tr w:rsidR="00C9789B" w:rsidRPr="00AF5E7C" w14:paraId="307C44C0" w14:textId="77777777" w:rsidTr="00614B77">
        <w:trPr>
          <w:cantSplit/>
          <w:trHeight w:val="163"/>
        </w:trPr>
        <w:tc>
          <w:tcPr>
            <w:tcW w:w="1891" w:type="pct"/>
            <w:shd w:val="clear" w:color="auto" w:fill="auto"/>
            <w:tcMar>
              <w:top w:w="85" w:type="dxa"/>
              <w:bottom w:w="85" w:type="dxa"/>
            </w:tcMar>
          </w:tcPr>
          <w:p w14:paraId="644C34EC"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5A9720BE" w14:textId="77777777" w:rsidR="00C9789B" w:rsidRDefault="00C9789B" w:rsidP="005A1F7F">
            <w:pPr>
              <w:rPr>
                <w:rFonts w:ascii="Arial" w:hAnsi="Arial" w:cs="Arial"/>
                <w:color w:val="000000"/>
                <w:sz w:val="16"/>
                <w:szCs w:val="16"/>
              </w:rPr>
            </w:pPr>
            <w:r>
              <w:rPr>
                <w:rFonts w:ascii="Arial" w:hAnsi="Arial" w:cs="Arial"/>
                <w:color w:val="000000"/>
                <w:sz w:val="16"/>
                <w:szCs w:val="16"/>
              </w:rPr>
              <w:t xml:space="preserve">No. of users of WIPO’s global Databases, PATENTSCOPE, Global Brands Database, and Designs Database  </w:t>
            </w:r>
          </w:p>
        </w:tc>
        <w:tc>
          <w:tcPr>
            <w:tcW w:w="1645" w:type="pct"/>
            <w:shd w:val="clear" w:color="auto" w:fill="FFFFFF"/>
            <w:tcMar>
              <w:top w:w="85" w:type="dxa"/>
              <w:bottom w:w="85" w:type="dxa"/>
            </w:tcMar>
          </w:tcPr>
          <w:p w14:paraId="72CFFF26"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 xml:space="preserve">Program 20 </w:t>
            </w:r>
          </w:p>
        </w:tc>
      </w:tr>
      <w:tr w:rsidR="00C9789B" w:rsidRPr="00AF5E7C" w14:paraId="70C357B4" w14:textId="77777777" w:rsidTr="00614B77">
        <w:trPr>
          <w:cantSplit/>
          <w:trHeight w:val="346"/>
        </w:trPr>
        <w:tc>
          <w:tcPr>
            <w:tcW w:w="1891" w:type="pct"/>
            <w:shd w:val="clear" w:color="auto" w:fill="auto"/>
            <w:tcMar>
              <w:top w:w="85" w:type="dxa"/>
              <w:bottom w:w="85" w:type="dxa"/>
            </w:tcMar>
          </w:tcPr>
          <w:p w14:paraId="2A663B77"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2F04032C" w14:textId="77777777" w:rsidR="00C9789B" w:rsidRDefault="00C9789B" w:rsidP="005A1F7F">
            <w:pPr>
              <w:rPr>
                <w:rFonts w:ascii="Arial" w:hAnsi="Arial" w:cs="Arial"/>
                <w:sz w:val="16"/>
                <w:szCs w:val="16"/>
              </w:rPr>
            </w:pPr>
            <w:r>
              <w:rPr>
                <w:rFonts w:ascii="Arial" w:hAnsi="Arial" w:cs="Arial"/>
                <w:sz w:val="16"/>
                <w:szCs w:val="16"/>
              </w:rPr>
              <w:t>I</w:t>
            </w:r>
            <w:r w:rsidRPr="0092679D">
              <w:rPr>
                <w:rFonts w:ascii="Arial" w:hAnsi="Arial" w:cs="Arial"/>
                <w:sz w:val="16"/>
                <w:szCs w:val="16"/>
              </w:rPr>
              <w:t xml:space="preserve">ncrease in the </w:t>
            </w:r>
            <w:r>
              <w:rPr>
                <w:rFonts w:ascii="Arial" w:hAnsi="Arial" w:cs="Arial"/>
                <w:sz w:val="16"/>
                <w:szCs w:val="16"/>
              </w:rPr>
              <w:t>no.</w:t>
            </w:r>
            <w:r w:rsidRPr="0092679D">
              <w:rPr>
                <w:rFonts w:ascii="Arial" w:hAnsi="Arial" w:cs="Arial"/>
                <w:sz w:val="16"/>
                <w:szCs w:val="16"/>
              </w:rPr>
              <w:t xml:space="preserve"> of WIPO Lex users </w:t>
            </w:r>
          </w:p>
          <w:p w14:paraId="47FA78A4" w14:textId="77777777" w:rsidR="00C9789B" w:rsidRPr="00DD2110" w:rsidRDefault="00C9789B" w:rsidP="005A1F7F">
            <w:pPr>
              <w:rPr>
                <w:rFonts w:ascii="Arial" w:hAnsi="Arial" w:cs="Arial"/>
                <w:sz w:val="16"/>
                <w:szCs w:val="16"/>
              </w:rPr>
            </w:pPr>
          </w:p>
          <w:p w14:paraId="6EF2F442" w14:textId="08B63088" w:rsidR="00C9789B" w:rsidRPr="00DD2110" w:rsidRDefault="00C9789B" w:rsidP="005A1F7F">
            <w:pPr>
              <w:rPr>
                <w:rFonts w:ascii="Arial" w:hAnsi="Arial" w:cs="Arial"/>
                <w:sz w:val="16"/>
                <w:szCs w:val="16"/>
                <w:highlight w:val="yellow"/>
              </w:rPr>
            </w:pPr>
            <w:r>
              <w:rPr>
                <w:rFonts w:ascii="Arial" w:hAnsi="Arial" w:cs="Arial"/>
                <w:color w:val="000000"/>
                <w:sz w:val="16"/>
                <w:szCs w:val="16"/>
              </w:rPr>
              <w:t xml:space="preserve">No. of  </w:t>
            </w:r>
            <w:r w:rsidR="008547D7" w:rsidRPr="00AE06F9">
              <w:rPr>
                <w:rFonts w:ascii="Arial" w:eastAsia="Times New Roman" w:hAnsi="Arial" w:cs="Arial"/>
                <w:color w:val="000000"/>
                <w:sz w:val="16"/>
                <w:szCs w:val="16"/>
              </w:rPr>
              <w:t xml:space="preserve">Technology </w:t>
            </w:r>
            <w:r w:rsidR="008547D7">
              <w:rPr>
                <w:rFonts w:ascii="Arial" w:eastAsia="Times New Roman" w:hAnsi="Arial" w:cs="Arial"/>
                <w:color w:val="000000"/>
                <w:sz w:val="16"/>
                <w:szCs w:val="16"/>
              </w:rPr>
              <w:t>Transfer</w:t>
            </w:r>
            <w:r w:rsidR="008547D7" w:rsidRPr="00AE06F9">
              <w:rPr>
                <w:rFonts w:ascii="Arial" w:eastAsia="Times New Roman" w:hAnsi="Arial" w:cs="Arial"/>
                <w:color w:val="000000"/>
                <w:sz w:val="16"/>
                <w:szCs w:val="16"/>
              </w:rPr>
              <w:t xml:space="preserve"> </w:t>
            </w:r>
            <w:r w:rsidR="008547D7">
              <w:rPr>
                <w:rFonts w:ascii="Arial" w:eastAsia="Times New Roman" w:hAnsi="Arial" w:cs="Arial"/>
                <w:color w:val="000000"/>
                <w:sz w:val="16"/>
                <w:szCs w:val="16"/>
              </w:rPr>
              <w:t xml:space="preserve">Offices </w:t>
            </w:r>
            <w:r w:rsidR="008547D7" w:rsidRPr="00AE06F9">
              <w:rPr>
                <w:rFonts w:ascii="Arial" w:eastAsia="Times New Roman" w:hAnsi="Arial" w:cs="Arial"/>
                <w:color w:val="000000"/>
                <w:sz w:val="16"/>
                <w:szCs w:val="16"/>
              </w:rPr>
              <w:t>(T</w:t>
            </w:r>
            <w:r w:rsidR="008547D7">
              <w:rPr>
                <w:rFonts w:ascii="Arial" w:eastAsia="Times New Roman" w:hAnsi="Arial" w:cs="Arial"/>
                <w:color w:val="000000"/>
                <w:sz w:val="16"/>
                <w:szCs w:val="16"/>
              </w:rPr>
              <w:t>TOs</w:t>
            </w:r>
            <w:r w:rsidR="008547D7" w:rsidRPr="00AE06F9">
              <w:rPr>
                <w:rFonts w:ascii="Arial" w:eastAsia="Times New Roman" w:hAnsi="Arial" w:cs="Arial"/>
                <w:color w:val="000000"/>
                <w:sz w:val="16"/>
                <w:szCs w:val="16"/>
              </w:rPr>
              <w:t>)</w:t>
            </w:r>
            <w:r>
              <w:rPr>
                <w:rFonts w:ascii="Arial" w:hAnsi="Arial" w:cs="Arial"/>
                <w:color w:val="000000"/>
                <w:sz w:val="16"/>
                <w:szCs w:val="16"/>
              </w:rPr>
              <w:t xml:space="preserve"> that were established or strengthened in Universities or R&amp;D institutions under the WIPO University Initiative Program</w:t>
            </w:r>
          </w:p>
          <w:p w14:paraId="79916928" w14:textId="77777777" w:rsidR="00C9789B" w:rsidRPr="00DD2110" w:rsidRDefault="00C9789B" w:rsidP="005A1F7F">
            <w:pPr>
              <w:rPr>
                <w:rFonts w:ascii="Arial" w:hAnsi="Arial" w:cs="Arial"/>
                <w:sz w:val="16"/>
                <w:szCs w:val="16"/>
                <w:highlight w:val="yellow"/>
              </w:rPr>
            </w:pPr>
          </w:p>
          <w:p w14:paraId="5A7C13FF" w14:textId="77777777" w:rsidR="00C9789B" w:rsidRPr="007C1AA9" w:rsidRDefault="00C9789B" w:rsidP="005A1F7F">
            <w:pPr>
              <w:rPr>
                <w:rFonts w:ascii="Arial" w:hAnsi="Arial" w:cs="Arial"/>
                <w:sz w:val="16"/>
                <w:szCs w:val="16"/>
              </w:rPr>
            </w:pPr>
            <w:r>
              <w:rPr>
                <w:rFonts w:ascii="Arial" w:hAnsi="Arial" w:cs="Arial"/>
                <w:color w:val="000000"/>
                <w:sz w:val="16"/>
                <w:szCs w:val="16"/>
              </w:rPr>
              <w:t xml:space="preserve">No. of universities and/or research institutions having developed and/or improved their IP policies </w:t>
            </w:r>
          </w:p>
        </w:tc>
        <w:tc>
          <w:tcPr>
            <w:tcW w:w="1645" w:type="pct"/>
            <w:shd w:val="clear" w:color="auto" w:fill="FFFFFF"/>
            <w:tcMar>
              <w:top w:w="85" w:type="dxa"/>
              <w:bottom w:w="85" w:type="dxa"/>
            </w:tcMar>
          </w:tcPr>
          <w:p w14:paraId="65181033"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21</w:t>
            </w:r>
          </w:p>
          <w:p w14:paraId="67326A50" w14:textId="77777777" w:rsidR="00C9789B" w:rsidRDefault="00C9789B" w:rsidP="005A1F7F">
            <w:pPr>
              <w:ind w:left="660"/>
              <w:rPr>
                <w:rFonts w:ascii="Arial" w:hAnsi="Arial" w:cs="Arial"/>
                <w:sz w:val="16"/>
                <w:szCs w:val="16"/>
                <w:lang w:bidi="th-TH"/>
              </w:rPr>
            </w:pPr>
          </w:p>
          <w:p w14:paraId="14256D96" w14:textId="77777777" w:rsidR="00C9789B" w:rsidRDefault="00C9789B" w:rsidP="005A1F7F">
            <w:pPr>
              <w:ind w:left="660"/>
              <w:rPr>
                <w:rFonts w:ascii="Arial" w:hAnsi="Arial" w:cs="Arial"/>
                <w:sz w:val="16"/>
                <w:szCs w:val="16"/>
                <w:lang w:bidi="th-TH"/>
              </w:rPr>
            </w:pPr>
          </w:p>
          <w:p w14:paraId="7AE9C3E5" w14:textId="77777777" w:rsidR="00C9789B" w:rsidRPr="003406CD" w:rsidRDefault="00C9789B" w:rsidP="005A1F7F">
            <w:pPr>
              <w:ind w:left="660"/>
              <w:rPr>
                <w:rFonts w:ascii="Arial" w:hAnsi="Arial" w:cs="Arial"/>
                <w:sz w:val="16"/>
                <w:szCs w:val="16"/>
                <w:lang w:bidi="th-TH"/>
              </w:rPr>
            </w:pPr>
            <w:r w:rsidRPr="003406CD">
              <w:rPr>
                <w:rFonts w:ascii="Arial" w:hAnsi="Arial" w:cs="Arial"/>
                <w:sz w:val="16"/>
                <w:szCs w:val="16"/>
                <w:lang w:bidi="th-TH"/>
              </w:rPr>
              <w:t>Program 30</w:t>
            </w:r>
          </w:p>
          <w:p w14:paraId="750D0F11" w14:textId="77777777" w:rsidR="00C9789B" w:rsidRPr="00DD2110" w:rsidRDefault="00C9789B" w:rsidP="005A1F7F">
            <w:pPr>
              <w:ind w:left="660"/>
              <w:rPr>
                <w:rFonts w:ascii="Arial" w:hAnsi="Arial" w:cs="Arial"/>
                <w:sz w:val="16"/>
                <w:szCs w:val="16"/>
                <w:highlight w:val="yellow"/>
                <w:lang w:bidi="th-TH"/>
              </w:rPr>
            </w:pPr>
          </w:p>
          <w:p w14:paraId="1107E827" w14:textId="77777777" w:rsidR="00C9789B" w:rsidRPr="00DD2110" w:rsidRDefault="00C9789B" w:rsidP="005A1F7F">
            <w:pPr>
              <w:ind w:left="660"/>
              <w:rPr>
                <w:rFonts w:ascii="Arial" w:hAnsi="Arial" w:cs="Arial"/>
                <w:sz w:val="16"/>
                <w:szCs w:val="16"/>
                <w:highlight w:val="yellow"/>
                <w:lang w:bidi="th-TH"/>
              </w:rPr>
            </w:pPr>
          </w:p>
          <w:p w14:paraId="7761E613" w14:textId="77777777" w:rsidR="00C9789B" w:rsidRPr="00DD2110" w:rsidRDefault="00C9789B" w:rsidP="005A1F7F">
            <w:pPr>
              <w:ind w:left="660"/>
              <w:rPr>
                <w:rFonts w:ascii="Arial" w:hAnsi="Arial" w:cs="Arial"/>
                <w:sz w:val="16"/>
                <w:szCs w:val="16"/>
                <w:highlight w:val="yellow"/>
                <w:lang w:bidi="th-TH"/>
              </w:rPr>
            </w:pPr>
          </w:p>
          <w:p w14:paraId="01C452CE" w14:textId="77777777" w:rsidR="00C9789B" w:rsidRDefault="00C9789B" w:rsidP="005A1F7F">
            <w:pPr>
              <w:ind w:left="660"/>
              <w:rPr>
                <w:rFonts w:ascii="Arial" w:hAnsi="Arial" w:cs="Arial"/>
                <w:sz w:val="16"/>
                <w:szCs w:val="16"/>
                <w:highlight w:val="yellow"/>
                <w:lang w:bidi="th-TH"/>
              </w:rPr>
            </w:pPr>
          </w:p>
          <w:p w14:paraId="78400D24" w14:textId="77777777" w:rsidR="00C9789B" w:rsidRPr="00DD2110" w:rsidRDefault="00C9789B" w:rsidP="005A1F7F">
            <w:pPr>
              <w:ind w:left="660"/>
              <w:rPr>
                <w:rFonts w:ascii="Arial" w:hAnsi="Arial" w:cs="Arial"/>
                <w:sz w:val="16"/>
                <w:szCs w:val="16"/>
                <w:highlight w:val="yellow"/>
                <w:lang w:bidi="th-TH"/>
              </w:rPr>
            </w:pPr>
          </w:p>
          <w:p w14:paraId="63A94B87" w14:textId="77777777" w:rsidR="00C9789B" w:rsidRPr="001D5827" w:rsidRDefault="00C9789B" w:rsidP="005A1F7F">
            <w:pPr>
              <w:ind w:left="660"/>
              <w:rPr>
                <w:rFonts w:ascii="Arial" w:hAnsi="Arial" w:cs="Arial"/>
                <w:color w:val="00B050"/>
                <w:sz w:val="16"/>
                <w:szCs w:val="16"/>
                <w:lang w:bidi="th-TH"/>
              </w:rPr>
            </w:pPr>
            <w:r w:rsidRPr="003406CD">
              <w:rPr>
                <w:rFonts w:ascii="Arial" w:hAnsi="Arial" w:cs="Arial"/>
                <w:sz w:val="16"/>
                <w:szCs w:val="16"/>
                <w:lang w:bidi="th-TH"/>
              </w:rPr>
              <w:t>Program 30</w:t>
            </w:r>
          </w:p>
        </w:tc>
      </w:tr>
      <w:tr w:rsidR="00C9789B" w:rsidRPr="00AF5E7C" w14:paraId="57FA3419" w14:textId="77777777" w:rsidTr="00614B77">
        <w:trPr>
          <w:cantSplit/>
          <w:trHeight w:val="157"/>
        </w:trPr>
        <w:tc>
          <w:tcPr>
            <w:tcW w:w="1891" w:type="pct"/>
            <w:shd w:val="clear" w:color="auto" w:fill="auto"/>
            <w:tcMar>
              <w:top w:w="85" w:type="dxa"/>
              <w:bottom w:w="85" w:type="dxa"/>
            </w:tcMar>
          </w:tcPr>
          <w:p w14:paraId="1108872F" w14:textId="77777777" w:rsidR="00C9789B" w:rsidRPr="003E1C54" w:rsidRDefault="00C9789B" w:rsidP="005A1F7F">
            <w:pPr>
              <w:rPr>
                <w:rFonts w:ascii="Arial" w:hAnsi="Arial" w:cs="Arial"/>
                <w:sz w:val="16"/>
                <w:szCs w:val="16"/>
              </w:rPr>
            </w:pPr>
            <w:r w:rsidRPr="003E1C54">
              <w:rPr>
                <w:rFonts w:ascii="Arial" w:hAnsi="Arial" w:cs="Arial"/>
                <w:sz w:val="16"/>
                <w:szCs w:val="16"/>
              </w:rPr>
              <w:t>IV.</w:t>
            </w:r>
            <w:r w:rsidRPr="00BD3063">
              <w:rPr>
                <w:rFonts w:ascii="Arial" w:hAnsi="Arial" w:cs="Arial"/>
                <w:sz w:val="16"/>
                <w:szCs w:val="16"/>
              </w:rPr>
              <w:t xml:space="preserve">3 </w:t>
            </w:r>
            <w:r>
              <w:rPr>
                <w:rFonts w:ascii="Arial" w:hAnsi="Arial" w:cs="Arial"/>
                <w:sz w:val="16"/>
                <w:szCs w:val="16"/>
              </w:rPr>
              <w:t xml:space="preserve"> </w:t>
            </w:r>
            <w:r>
              <w:rPr>
                <w:rFonts w:ascii="Arial" w:hAnsi="Arial" w:cs="Arial"/>
                <w:color w:val="000000"/>
                <w:sz w:val="16"/>
                <w:szCs w:val="16"/>
              </w:rPr>
              <w:t>Broad geographical coverage of the content and use of WIPO Global IP Databases</w:t>
            </w:r>
          </w:p>
        </w:tc>
        <w:tc>
          <w:tcPr>
            <w:tcW w:w="1464" w:type="pct"/>
            <w:shd w:val="clear" w:color="auto" w:fill="auto"/>
            <w:tcMar>
              <w:top w:w="85" w:type="dxa"/>
              <w:bottom w:w="85" w:type="dxa"/>
            </w:tcMar>
          </w:tcPr>
          <w:p w14:paraId="0F36D40B" w14:textId="5BBCABD5" w:rsidR="00C9789B" w:rsidRDefault="00C9789B" w:rsidP="005A1F7F">
            <w:pPr>
              <w:rPr>
                <w:rFonts w:ascii="Arial" w:hAnsi="Arial" w:cs="Arial"/>
                <w:color w:val="000000"/>
                <w:sz w:val="16"/>
                <w:szCs w:val="16"/>
              </w:rPr>
            </w:pPr>
            <w:r>
              <w:rPr>
                <w:rFonts w:ascii="Arial" w:hAnsi="Arial" w:cs="Arial"/>
                <w:color w:val="000000"/>
                <w:sz w:val="16"/>
                <w:szCs w:val="16"/>
              </w:rPr>
              <w:t>No. of records contained in Global Brand</w:t>
            </w:r>
            <w:r w:rsidR="00656EEF">
              <w:rPr>
                <w:rFonts w:ascii="Arial" w:hAnsi="Arial" w:cs="Arial"/>
                <w:color w:val="000000"/>
                <w:sz w:val="16"/>
                <w:szCs w:val="16"/>
              </w:rPr>
              <w:t>s</w:t>
            </w:r>
            <w:r>
              <w:rPr>
                <w:rFonts w:ascii="Arial" w:hAnsi="Arial" w:cs="Arial"/>
                <w:color w:val="000000"/>
                <w:sz w:val="16"/>
                <w:szCs w:val="16"/>
              </w:rPr>
              <w:t xml:space="preserve"> Database </w:t>
            </w:r>
          </w:p>
          <w:p w14:paraId="457165CA" w14:textId="77777777" w:rsidR="00C9789B" w:rsidRDefault="00C9789B" w:rsidP="005A1F7F">
            <w:pPr>
              <w:rPr>
                <w:rFonts w:ascii="Arial" w:hAnsi="Arial" w:cs="Arial"/>
                <w:sz w:val="16"/>
                <w:szCs w:val="16"/>
              </w:rPr>
            </w:pPr>
          </w:p>
          <w:p w14:paraId="2A5ACE46" w14:textId="08F4A79E" w:rsidR="00C9789B" w:rsidRPr="003E1C54" w:rsidRDefault="00C9789B" w:rsidP="005A1F7F">
            <w:pPr>
              <w:rPr>
                <w:rFonts w:ascii="Arial" w:hAnsi="Arial" w:cs="Arial"/>
                <w:sz w:val="16"/>
                <w:szCs w:val="16"/>
              </w:rPr>
            </w:pPr>
            <w:r>
              <w:rPr>
                <w:rFonts w:ascii="Arial" w:hAnsi="Arial" w:cs="Arial"/>
                <w:color w:val="000000"/>
                <w:sz w:val="16"/>
                <w:szCs w:val="16"/>
              </w:rPr>
              <w:t>No. of records contained in Global Design</w:t>
            </w:r>
            <w:r w:rsidR="00656EEF">
              <w:rPr>
                <w:rFonts w:ascii="Arial" w:hAnsi="Arial" w:cs="Arial"/>
                <w:color w:val="000000"/>
                <w:sz w:val="16"/>
                <w:szCs w:val="16"/>
              </w:rPr>
              <w:t>s</w:t>
            </w:r>
            <w:r>
              <w:rPr>
                <w:rFonts w:ascii="Arial" w:hAnsi="Arial" w:cs="Arial"/>
                <w:color w:val="000000"/>
                <w:sz w:val="16"/>
                <w:szCs w:val="16"/>
              </w:rPr>
              <w:t xml:space="preserve"> Database</w:t>
            </w:r>
          </w:p>
        </w:tc>
        <w:tc>
          <w:tcPr>
            <w:tcW w:w="1645" w:type="pct"/>
            <w:shd w:val="clear" w:color="auto" w:fill="FFFFFF"/>
            <w:tcMar>
              <w:top w:w="85" w:type="dxa"/>
              <w:bottom w:w="85" w:type="dxa"/>
            </w:tcMar>
          </w:tcPr>
          <w:p w14:paraId="78A82FBD"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 xml:space="preserve">Program 13 </w:t>
            </w:r>
          </w:p>
          <w:p w14:paraId="673C5D78" w14:textId="77777777" w:rsidR="00C9789B" w:rsidRDefault="00C9789B" w:rsidP="005A1F7F">
            <w:pPr>
              <w:ind w:left="660"/>
              <w:rPr>
                <w:rFonts w:ascii="Arial" w:hAnsi="Arial" w:cs="Arial"/>
                <w:sz w:val="16"/>
                <w:szCs w:val="16"/>
                <w:lang w:bidi="th-TH"/>
              </w:rPr>
            </w:pPr>
          </w:p>
          <w:p w14:paraId="11DAAF85" w14:textId="77777777" w:rsidR="00C9789B" w:rsidRDefault="00C9789B" w:rsidP="005A1F7F">
            <w:pPr>
              <w:ind w:left="660"/>
              <w:rPr>
                <w:rFonts w:ascii="Arial" w:hAnsi="Arial" w:cs="Arial"/>
                <w:sz w:val="16"/>
                <w:szCs w:val="16"/>
                <w:lang w:bidi="th-TH"/>
              </w:rPr>
            </w:pPr>
          </w:p>
          <w:p w14:paraId="0D8C3C83"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6D0CD44D" w14:textId="77777777" w:rsidTr="00614B77">
        <w:trPr>
          <w:cantSplit/>
          <w:trHeight w:val="370"/>
        </w:trPr>
        <w:tc>
          <w:tcPr>
            <w:tcW w:w="1891" w:type="pct"/>
            <w:shd w:val="clear" w:color="auto" w:fill="auto"/>
            <w:tcMar>
              <w:top w:w="85" w:type="dxa"/>
              <w:bottom w:w="85" w:type="dxa"/>
            </w:tcMar>
          </w:tcPr>
          <w:p w14:paraId="34AD7A00"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7E2E2072" w14:textId="77777777" w:rsidR="00C9789B" w:rsidRPr="003E1C54" w:rsidRDefault="00C9789B" w:rsidP="005A1F7F">
            <w:pPr>
              <w:rPr>
                <w:rFonts w:ascii="Arial" w:hAnsi="Arial" w:cs="Arial"/>
                <w:sz w:val="16"/>
                <w:szCs w:val="16"/>
              </w:rPr>
            </w:pPr>
            <w:r>
              <w:rPr>
                <w:rFonts w:ascii="Arial" w:hAnsi="Arial" w:cs="Arial"/>
                <w:color w:val="000000"/>
                <w:sz w:val="16"/>
                <w:szCs w:val="16"/>
              </w:rPr>
              <w:t>No. of National Collections in PATENTSCOPE</w:t>
            </w:r>
          </w:p>
        </w:tc>
        <w:tc>
          <w:tcPr>
            <w:tcW w:w="1645" w:type="pct"/>
            <w:shd w:val="clear" w:color="auto" w:fill="FFFFFF"/>
            <w:tcMar>
              <w:top w:w="85" w:type="dxa"/>
              <w:bottom w:w="85" w:type="dxa"/>
            </w:tcMar>
          </w:tcPr>
          <w:p w14:paraId="4A9FBC6F"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0854E8C5" w14:textId="77777777" w:rsidTr="00614B77">
        <w:trPr>
          <w:cantSplit/>
          <w:trHeight w:val="445"/>
        </w:trPr>
        <w:tc>
          <w:tcPr>
            <w:tcW w:w="1891" w:type="pct"/>
            <w:shd w:val="clear" w:color="auto" w:fill="auto"/>
            <w:tcMar>
              <w:top w:w="85" w:type="dxa"/>
              <w:bottom w:w="85" w:type="dxa"/>
            </w:tcMar>
          </w:tcPr>
          <w:p w14:paraId="20396FFB"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5689BA23" w14:textId="7018F825" w:rsidR="00C9789B" w:rsidRPr="003E1C54" w:rsidRDefault="00C9789B" w:rsidP="005A1F7F">
            <w:pPr>
              <w:rPr>
                <w:rFonts w:ascii="Arial" w:hAnsi="Arial" w:cs="Arial"/>
                <w:sz w:val="16"/>
                <w:szCs w:val="16"/>
              </w:rPr>
            </w:pPr>
            <w:r>
              <w:rPr>
                <w:rFonts w:ascii="Arial" w:hAnsi="Arial" w:cs="Arial"/>
                <w:color w:val="000000"/>
                <w:sz w:val="16"/>
                <w:szCs w:val="16"/>
              </w:rPr>
              <w:t>No. of National Collections in Global Brand</w:t>
            </w:r>
            <w:r w:rsidR="00656EEF">
              <w:rPr>
                <w:rFonts w:ascii="Arial" w:hAnsi="Arial" w:cs="Arial"/>
                <w:color w:val="000000"/>
                <w:sz w:val="16"/>
                <w:szCs w:val="16"/>
              </w:rPr>
              <w:t>s</w:t>
            </w:r>
            <w:r>
              <w:rPr>
                <w:rFonts w:ascii="Arial" w:hAnsi="Arial" w:cs="Arial"/>
                <w:color w:val="000000"/>
                <w:sz w:val="16"/>
                <w:szCs w:val="16"/>
              </w:rPr>
              <w:t xml:space="preserve"> Database</w:t>
            </w:r>
          </w:p>
        </w:tc>
        <w:tc>
          <w:tcPr>
            <w:tcW w:w="1645" w:type="pct"/>
            <w:shd w:val="clear" w:color="auto" w:fill="FFFFFF"/>
            <w:tcMar>
              <w:top w:w="85" w:type="dxa"/>
              <w:bottom w:w="85" w:type="dxa"/>
            </w:tcMar>
          </w:tcPr>
          <w:p w14:paraId="7CB6B544" w14:textId="77777777" w:rsidR="00C9789B" w:rsidRPr="00AF5E7C" w:rsidRDefault="00C9789B" w:rsidP="005A1F7F">
            <w:pPr>
              <w:ind w:left="660"/>
              <w:rPr>
                <w:rFonts w:ascii="Arial" w:hAnsi="Arial" w:cs="Arial"/>
                <w:sz w:val="16"/>
                <w:szCs w:val="16"/>
                <w:lang w:bidi="th-TH"/>
              </w:rPr>
            </w:pPr>
            <w:r>
              <w:rPr>
                <w:rFonts w:ascii="Arial" w:hAnsi="Arial" w:cs="Arial"/>
                <w:sz w:val="16"/>
                <w:szCs w:val="16"/>
                <w:lang w:bidi="th-TH"/>
              </w:rPr>
              <w:t>Program 13</w:t>
            </w:r>
          </w:p>
        </w:tc>
      </w:tr>
      <w:tr w:rsidR="00C9789B" w:rsidRPr="00AF5E7C" w14:paraId="2EB5D7F7" w14:textId="77777777" w:rsidTr="00614B77">
        <w:trPr>
          <w:cantSplit/>
          <w:trHeight w:val="853"/>
        </w:trPr>
        <w:tc>
          <w:tcPr>
            <w:tcW w:w="1891" w:type="pct"/>
            <w:shd w:val="clear" w:color="auto" w:fill="auto"/>
            <w:tcMar>
              <w:top w:w="85" w:type="dxa"/>
              <w:bottom w:w="85" w:type="dxa"/>
            </w:tcMar>
          </w:tcPr>
          <w:p w14:paraId="3C7272CE" w14:textId="77777777" w:rsidR="00C9789B" w:rsidRPr="00B004F2" w:rsidRDefault="00C9789B" w:rsidP="005A1F7F">
            <w:pPr>
              <w:rPr>
                <w:rFonts w:ascii="Arial" w:hAnsi="Arial" w:cs="Arial"/>
                <w:sz w:val="16"/>
                <w:szCs w:val="16"/>
              </w:rPr>
            </w:pPr>
            <w:r w:rsidRPr="00B004F2">
              <w:rPr>
                <w:rFonts w:ascii="Arial" w:hAnsi="Arial" w:cs="Arial"/>
                <w:sz w:val="16"/>
                <w:szCs w:val="16"/>
              </w:rPr>
              <w:t>IV.4</w:t>
            </w:r>
            <w:r>
              <w:rPr>
                <w:rFonts w:ascii="Arial" w:hAnsi="Arial" w:cs="Arial"/>
                <w:sz w:val="16"/>
                <w:szCs w:val="16"/>
              </w:rPr>
              <w:t xml:space="preserve">  </w:t>
            </w:r>
            <w:r>
              <w:rPr>
                <w:rFonts w:ascii="Arial" w:hAnsi="Arial" w:cs="Arial"/>
                <w:color w:val="000000"/>
                <w:sz w:val="16"/>
                <w:szCs w:val="16"/>
              </w:rPr>
              <w:t>Enhanced technical and knowledge infrastructure for IP Offices and other IP institutions leading to better services (cheaper, faster, higher quality) to their stakeholders and better outcome of IP Administration</w:t>
            </w:r>
          </w:p>
        </w:tc>
        <w:tc>
          <w:tcPr>
            <w:tcW w:w="1464" w:type="pct"/>
            <w:shd w:val="clear" w:color="auto" w:fill="auto"/>
            <w:tcMar>
              <w:top w:w="85" w:type="dxa"/>
              <w:bottom w:w="85" w:type="dxa"/>
            </w:tcMar>
          </w:tcPr>
          <w:p w14:paraId="0DAB2D3E" w14:textId="77777777" w:rsidR="00C9789B" w:rsidRPr="00B004F2" w:rsidRDefault="00C9789B" w:rsidP="005A1F7F">
            <w:pPr>
              <w:rPr>
                <w:rFonts w:ascii="Arial" w:hAnsi="Arial" w:cs="Arial"/>
                <w:sz w:val="16"/>
                <w:szCs w:val="16"/>
              </w:rPr>
            </w:pPr>
            <w:r>
              <w:rPr>
                <w:rFonts w:ascii="Arial" w:hAnsi="Arial" w:cs="Arial"/>
                <w:color w:val="000000"/>
                <w:sz w:val="16"/>
                <w:szCs w:val="16"/>
              </w:rPr>
              <w:t>No. of Offices using WIPO Infrastructure Platforms</w:t>
            </w:r>
          </w:p>
        </w:tc>
        <w:tc>
          <w:tcPr>
            <w:tcW w:w="1645" w:type="pct"/>
            <w:shd w:val="clear" w:color="auto" w:fill="FFFFFF"/>
            <w:tcMar>
              <w:top w:w="85" w:type="dxa"/>
              <w:bottom w:w="85" w:type="dxa"/>
            </w:tcMar>
          </w:tcPr>
          <w:p w14:paraId="7AF36648"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Program 15</w:t>
            </w:r>
          </w:p>
          <w:p w14:paraId="66A7D24A" w14:textId="77777777" w:rsidR="00C9789B" w:rsidRDefault="00C9789B" w:rsidP="005A1F7F">
            <w:pPr>
              <w:ind w:left="660"/>
              <w:rPr>
                <w:rFonts w:ascii="Arial" w:hAnsi="Arial" w:cs="Arial"/>
                <w:sz w:val="16"/>
                <w:szCs w:val="16"/>
                <w:lang w:bidi="th-TH"/>
              </w:rPr>
            </w:pPr>
            <w:r>
              <w:rPr>
                <w:rFonts w:ascii="Arial" w:hAnsi="Arial" w:cs="Arial"/>
                <w:sz w:val="16"/>
                <w:szCs w:val="16"/>
                <w:lang w:bidi="th-TH"/>
              </w:rPr>
              <w:t xml:space="preserve">Program 20 </w:t>
            </w:r>
          </w:p>
          <w:p w14:paraId="4F3B3D92" w14:textId="77777777" w:rsidR="00C9789B" w:rsidRPr="00AF5E7C" w:rsidRDefault="00C9789B" w:rsidP="005A1F7F">
            <w:pPr>
              <w:ind w:left="660"/>
              <w:rPr>
                <w:rFonts w:ascii="Arial" w:hAnsi="Arial" w:cs="Arial"/>
                <w:sz w:val="16"/>
                <w:szCs w:val="16"/>
                <w:lang w:bidi="th-TH"/>
              </w:rPr>
            </w:pPr>
          </w:p>
        </w:tc>
      </w:tr>
      <w:tr w:rsidR="00C9789B" w:rsidRPr="00AF5E7C" w14:paraId="3B839A2F" w14:textId="77777777" w:rsidTr="00614B77">
        <w:trPr>
          <w:cantSplit/>
          <w:trHeight w:val="546"/>
        </w:trPr>
        <w:tc>
          <w:tcPr>
            <w:tcW w:w="1891" w:type="pct"/>
            <w:shd w:val="clear" w:color="auto" w:fill="auto"/>
            <w:tcMar>
              <w:top w:w="85" w:type="dxa"/>
              <w:bottom w:w="85" w:type="dxa"/>
            </w:tcMar>
          </w:tcPr>
          <w:p w14:paraId="112AF4FA"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3804D0EB" w14:textId="77777777" w:rsidR="00C9789B" w:rsidRPr="005362F0" w:rsidRDefault="00C9789B" w:rsidP="005A1F7F">
            <w:pPr>
              <w:rPr>
                <w:rFonts w:ascii="Arial" w:hAnsi="Arial" w:cs="Arial"/>
                <w:sz w:val="16"/>
                <w:szCs w:val="16"/>
              </w:rPr>
            </w:pPr>
            <w:r>
              <w:rPr>
                <w:rFonts w:ascii="Arial" w:hAnsi="Arial" w:cs="Arial"/>
                <w:color w:val="000000"/>
                <w:sz w:val="16"/>
                <w:szCs w:val="16"/>
              </w:rPr>
              <w:t>Average Service Level of IP Offices assisted (ranging from 1 to 5</w:t>
            </w:r>
          </w:p>
        </w:tc>
        <w:tc>
          <w:tcPr>
            <w:tcW w:w="1645" w:type="pct"/>
            <w:shd w:val="clear" w:color="auto" w:fill="FFFFFF"/>
            <w:tcMar>
              <w:top w:w="85" w:type="dxa"/>
              <w:bottom w:w="85" w:type="dxa"/>
            </w:tcMar>
          </w:tcPr>
          <w:p w14:paraId="2BCFA6C2" w14:textId="77777777" w:rsidR="00C9789B" w:rsidRPr="00470336" w:rsidRDefault="00C9789B" w:rsidP="005A1F7F">
            <w:pPr>
              <w:ind w:left="660"/>
              <w:rPr>
                <w:rFonts w:ascii="Arial" w:hAnsi="Arial" w:cs="Arial"/>
                <w:sz w:val="16"/>
                <w:szCs w:val="16"/>
                <w:lang w:bidi="th-TH"/>
              </w:rPr>
            </w:pPr>
            <w:r w:rsidRPr="00470336">
              <w:rPr>
                <w:rFonts w:ascii="Arial" w:hAnsi="Arial" w:cs="Arial"/>
                <w:sz w:val="16"/>
                <w:szCs w:val="16"/>
                <w:lang w:bidi="th-TH"/>
              </w:rPr>
              <w:t>Program 9</w:t>
            </w:r>
          </w:p>
          <w:p w14:paraId="583D1CB8" w14:textId="77777777" w:rsidR="00C9789B" w:rsidRDefault="00C9789B" w:rsidP="005A1F7F">
            <w:pPr>
              <w:ind w:left="660"/>
              <w:rPr>
                <w:rFonts w:ascii="Arial" w:hAnsi="Arial" w:cs="Arial"/>
                <w:sz w:val="16"/>
                <w:szCs w:val="16"/>
                <w:lang w:bidi="th-TH"/>
              </w:rPr>
            </w:pPr>
            <w:r w:rsidRPr="00C93758">
              <w:rPr>
                <w:rFonts w:ascii="Arial" w:hAnsi="Arial" w:cs="Arial"/>
                <w:color w:val="000000"/>
                <w:sz w:val="16"/>
                <w:szCs w:val="16"/>
                <w:lang w:bidi="th-TH"/>
              </w:rPr>
              <w:t>Program 15</w:t>
            </w:r>
          </w:p>
        </w:tc>
      </w:tr>
      <w:tr w:rsidR="00C9789B" w:rsidRPr="00AF5E7C" w14:paraId="032331F4" w14:textId="77777777" w:rsidTr="00614B77">
        <w:trPr>
          <w:cantSplit/>
          <w:trHeight w:val="404"/>
        </w:trPr>
        <w:tc>
          <w:tcPr>
            <w:tcW w:w="1891" w:type="pct"/>
            <w:shd w:val="clear" w:color="auto" w:fill="auto"/>
            <w:tcMar>
              <w:top w:w="85" w:type="dxa"/>
              <w:bottom w:w="85" w:type="dxa"/>
            </w:tcMar>
          </w:tcPr>
          <w:p w14:paraId="42BEC0A9" w14:textId="77777777" w:rsidR="00C9789B" w:rsidRPr="00AF5E7C" w:rsidRDefault="00C9789B" w:rsidP="005A1F7F">
            <w:pPr>
              <w:rPr>
                <w:rFonts w:ascii="Arial" w:hAnsi="Arial" w:cs="Arial"/>
                <w:sz w:val="16"/>
                <w:szCs w:val="16"/>
              </w:rPr>
            </w:pPr>
          </w:p>
        </w:tc>
        <w:tc>
          <w:tcPr>
            <w:tcW w:w="1464" w:type="pct"/>
            <w:shd w:val="clear" w:color="auto" w:fill="auto"/>
            <w:tcMar>
              <w:top w:w="85" w:type="dxa"/>
              <w:bottom w:w="85" w:type="dxa"/>
            </w:tcMar>
          </w:tcPr>
          <w:p w14:paraId="2AF1E717" w14:textId="77777777" w:rsidR="00C9789B" w:rsidRPr="004475FB" w:rsidRDefault="00C9789B" w:rsidP="005A1F7F">
            <w:pPr>
              <w:rPr>
                <w:rFonts w:ascii="Arial" w:hAnsi="Arial" w:cs="Arial"/>
                <w:sz w:val="16"/>
                <w:szCs w:val="16"/>
              </w:rPr>
            </w:pPr>
            <w:r>
              <w:rPr>
                <w:rFonts w:ascii="Arial" w:hAnsi="Arial" w:cs="Arial"/>
                <w:color w:val="000000"/>
                <w:sz w:val="16"/>
                <w:szCs w:val="16"/>
              </w:rPr>
              <w:t>No. of Collective Management Organizations (CMOs) in developing countries and LDCs participating in regional and global networks facilitated by WIPO )</w:t>
            </w:r>
          </w:p>
        </w:tc>
        <w:tc>
          <w:tcPr>
            <w:tcW w:w="1645" w:type="pct"/>
            <w:shd w:val="clear" w:color="auto" w:fill="FFFFFF"/>
            <w:tcMar>
              <w:top w:w="85" w:type="dxa"/>
              <w:bottom w:w="85" w:type="dxa"/>
            </w:tcMar>
          </w:tcPr>
          <w:p w14:paraId="1D3B3313" w14:textId="77777777" w:rsidR="00C9789B" w:rsidRPr="00AF5E7C" w:rsidRDefault="00C9789B" w:rsidP="005A1F7F">
            <w:pPr>
              <w:ind w:left="660"/>
              <w:rPr>
                <w:rFonts w:ascii="Arial" w:hAnsi="Arial" w:cs="Arial"/>
                <w:sz w:val="16"/>
                <w:szCs w:val="16"/>
                <w:lang w:bidi="th-TH"/>
              </w:rPr>
            </w:pPr>
            <w:r w:rsidRPr="00C93758">
              <w:rPr>
                <w:rFonts w:ascii="Arial" w:hAnsi="Arial" w:cs="Arial"/>
                <w:color w:val="000000"/>
                <w:sz w:val="16"/>
                <w:szCs w:val="16"/>
                <w:lang w:bidi="th-TH"/>
              </w:rPr>
              <w:t>Program 15</w:t>
            </w:r>
          </w:p>
        </w:tc>
      </w:tr>
    </w:tbl>
    <w:p w14:paraId="1A3B7E43" w14:textId="77777777" w:rsidR="007D3B04" w:rsidRPr="00AE06F9" w:rsidRDefault="007D3B04" w:rsidP="008D3EC2">
      <w:pPr>
        <w:rPr>
          <w:rFonts w:ascii="Arial" w:eastAsia="Arial" w:hAnsi="Arial" w:cs="Arial"/>
          <w:sz w:val="20"/>
        </w:rPr>
      </w:pPr>
    </w:p>
    <w:p w14:paraId="52231FD9" w14:textId="69585C38" w:rsidR="00865AEC" w:rsidRPr="009B4A78" w:rsidRDefault="00865AEC">
      <w:pPr>
        <w:rPr>
          <w:rFonts w:ascii="Arial" w:hAnsi="Arial" w:cs="Arial"/>
          <w:sz w:val="20"/>
        </w:rPr>
      </w:pPr>
      <w:r w:rsidRPr="009B4A78">
        <w:rPr>
          <w:rFonts w:ascii="Arial" w:hAnsi="Arial" w:cs="Arial"/>
          <w:sz w:val="20"/>
        </w:rPr>
        <w:br w:type="page"/>
      </w:r>
    </w:p>
    <w:p w14:paraId="6DFCD1E9" w14:textId="77777777" w:rsidR="00865AEC" w:rsidRPr="009B4A78" w:rsidRDefault="00865AEC" w:rsidP="00F33E49">
      <w:pPr>
        <w:pStyle w:val="StyleHeading3ComplexItalic"/>
        <w:ind w:left="1985" w:hanging="1985"/>
        <w:rPr>
          <w:rStyle w:val="StyleStyleHeading3ComplexItalicLatin12ptChar"/>
          <w:b/>
        </w:rPr>
      </w:pPr>
      <w:bookmarkStart w:id="48" w:name="_Toc427154411"/>
      <w:r w:rsidRPr="009B4A78">
        <w:rPr>
          <w:rStyle w:val="StyleStyleHeading3ComplexItalicLatin12ptChar"/>
          <w:b/>
        </w:rPr>
        <w:lastRenderedPageBreak/>
        <w:t xml:space="preserve">PROGRAM 12 </w:t>
      </w:r>
      <w:r w:rsidRPr="009B4A78">
        <w:rPr>
          <w:rStyle w:val="StyleStyleHeading3ComplexItalicLatin12ptChar"/>
          <w:b/>
        </w:rPr>
        <w:tab/>
        <w:t>INTERNATIONAL CLASSIFICATIONS AND STANDARDS</w:t>
      </w:r>
      <w:bookmarkEnd w:id="48"/>
    </w:p>
    <w:p w14:paraId="170DB7A1" w14:textId="77777777" w:rsidR="00865AEC" w:rsidRPr="009B4A78" w:rsidRDefault="00865AEC">
      <w:pPr>
        <w:pStyle w:val="Body1"/>
        <w:rPr>
          <w:rFonts w:ascii="Arial" w:hAnsi="Arial" w:cs="Arial"/>
        </w:rPr>
      </w:pPr>
    </w:p>
    <w:p w14:paraId="044A6931" w14:textId="77777777" w:rsidR="00865AEC" w:rsidRPr="009B4A78" w:rsidRDefault="00865AEC">
      <w:pPr>
        <w:pStyle w:val="Body1"/>
        <w:rPr>
          <w:rFonts w:ascii="Arial" w:hAnsi="Arial" w:cs="Arial"/>
        </w:rPr>
      </w:pPr>
    </w:p>
    <w:p w14:paraId="35B23E24" w14:textId="77777777" w:rsidR="00865AEC" w:rsidRPr="009B4A78" w:rsidRDefault="00865AEC">
      <w:pPr>
        <w:pStyle w:val="Body1"/>
        <w:rPr>
          <w:rFonts w:ascii="Arial" w:hAnsi="Arial" w:cs="Arial"/>
          <w:sz w:val="22"/>
          <w:szCs w:val="24"/>
        </w:rPr>
      </w:pPr>
      <w:r w:rsidRPr="009B4A78">
        <w:rPr>
          <w:rFonts w:ascii="Arial" w:hAnsi="Arial" w:cs="Arial"/>
          <w:sz w:val="22"/>
          <w:szCs w:val="24"/>
        </w:rPr>
        <w:t>PLANNING CONTEXT</w:t>
      </w:r>
    </w:p>
    <w:p w14:paraId="1206AD8B" w14:textId="77777777" w:rsidR="00865AEC" w:rsidRPr="009B4A78" w:rsidRDefault="00865AEC" w:rsidP="00F33E49">
      <w:pPr>
        <w:pStyle w:val="Body1"/>
        <w:jc w:val="both"/>
        <w:rPr>
          <w:rFonts w:ascii="Arial" w:hAnsi="Arial" w:cs="Arial"/>
          <w:sz w:val="20"/>
          <w:szCs w:val="22"/>
        </w:rPr>
      </w:pPr>
    </w:p>
    <w:p w14:paraId="253C6565" w14:textId="77777777" w:rsidR="00865AEC" w:rsidRPr="009B4A78" w:rsidRDefault="00865AEC" w:rsidP="00B66A4A">
      <w:pPr>
        <w:pStyle w:val="Body1"/>
        <w:numPr>
          <w:ilvl w:val="0"/>
          <w:numId w:val="14"/>
        </w:numPr>
        <w:tabs>
          <w:tab w:val="left" w:pos="709"/>
        </w:tabs>
        <w:ind w:left="0" w:firstLine="0"/>
        <w:jc w:val="both"/>
        <w:rPr>
          <w:rFonts w:ascii="Arial" w:hAnsi="Arial" w:cs="Arial"/>
          <w:sz w:val="20"/>
          <w:szCs w:val="22"/>
        </w:rPr>
      </w:pPr>
      <w:r w:rsidRPr="009B4A78">
        <w:rPr>
          <w:rFonts w:ascii="Arial" w:hAnsi="Arial" w:cs="Arial"/>
          <w:sz w:val="20"/>
          <w:szCs w:val="22"/>
        </w:rPr>
        <w:t>The global infrastructure of IP systems increasingly needs interlinked and interoperable platforms and databases.  International classifications and standards are crucial tools and instruments to bridge various IP Offices working in different systems and languages, and to enable data to flow between Offices and on common platforms and databases.  With technologies, business solutions and collaborative arrangements of IP Offices constantly evolving, International Classifications and WIPO Standards also need to be dynamically updated and refined.</w:t>
      </w:r>
    </w:p>
    <w:p w14:paraId="190A9A80" w14:textId="77777777" w:rsidR="00865AEC" w:rsidRPr="009B4A78" w:rsidRDefault="00865AEC" w:rsidP="00F33E49">
      <w:pPr>
        <w:pStyle w:val="Body1"/>
        <w:jc w:val="both"/>
        <w:rPr>
          <w:rFonts w:ascii="Arial" w:hAnsi="Arial" w:cs="Arial"/>
          <w:sz w:val="20"/>
          <w:szCs w:val="22"/>
        </w:rPr>
      </w:pPr>
    </w:p>
    <w:p w14:paraId="46D5ECED" w14:textId="18E08734" w:rsidR="00865AEC" w:rsidRPr="009B4A78" w:rsidRDefault="00865AEC" w:rsidP="00B66A4A">
      <w:pPr>
        <w:pStyle w:val="Body1"/>
        <w:numPr>
          <w:ilvl w:val="0"/>
          <w:numId w:val="14"/>
        </w:numPr>
        <w:tabs>
          <w:tab w:val="left" w:pos="709"/>
        </w:tabs>
        <w:ind w:left="0" w:firstLine="0"/>
        <w:jc w:val="both"/>
        <w:rPr>
          <w:rFonts w:ascii="Arial" w:hAnsi="Arial" w:cs="Arial"/>
          <w:sz w:val="20"/>
          <w:szCs w:val="22"/>
        </w:rPr>
      </w:pPr>
      <w:r w:rsidRPr="009B4A78">
        <w:rPr>
          <w:rFonts w:ascii="Arial" w:hAnsi="Arial" w:cs="Arial"/>
          <w:sz w:val="20"/>
          <w:szCs w:val="22"/>
        </w:rPr>
        <w:t xml:space="preserve">Against this background, WIPO aims at providing Member States with the most updated and globally accepted system of international classifications and WIPO standards to facilitate access, use and dissemination of IP information among various stakeholders worldwide. In that respect, the activities of this Program </w:t>
      </w:r>
      <w:r w:rsidR="00764DA3">
        <w:rPr>
          <w:rFonts w:ascii="Arial" w:hAnsi="Arial" w:cs="Arial"/>
          <w:sz w:val="20"/>
          <w:szCs w:val="22"/>
        </w:rPr>
        <w:t xml:space="preserve">are </w:t>
      </w:r>
      <w:r w:rsidRPr="009B4A78">
        <w:rPr>
          <w:rFonts w:ascii="Arial" w:hAnsi="Arial" w:cs="Arial"/>
          <w:sz w:val="20"/>
          <w:szCs w:val="22"/>
        </w:rPr>
        <w:t>link</w:t>
      </w:r>
      <w:r w:rsidR="00764DA3">
        <w:rPr>
          <w:rFonts w:ascii="Arial" w:hAnsi="Arial" w:cs="Arial"/>
          <w:sz w:val="20"/>
          <w:szCs w:val="22"/>
        </w:rPr>
        <w:t>ed</w:t>
      </w:r>
      <w:r w:rsidRPr="009B4A78">
        <w:rPr>
          <w:rFonts w:ascii="Arial" w:hAnsi="Arial" w:cs="Arial"/>
          <w:sz w:val="20"/>
          <w:szCs w:val="22"/>
        </w:rPr>
        <w:t xml:space="preserve"> to DA Recommendations 30 and 31.</w:t>
      </w:r>
    </w:p>
    <w:p w14:paraId="17EF246E" w14:textId="77777777" w:rsidR="00865AEC" w:rsidRPr="009B4A78" w:rsidRDefault="00865AEC" w:rsidP="00F33E49">
      <w:pPr>
        <w:pStyle w:val="Body1"/>
        <w:jc w:val="both"/>
        <w:rPr>
          <w:rFonts w:ascii="Arial" w:hAnsi="Arial" w:cs="Arial"/>
          <w:sz w:val="20"/>
          <w:szCs w:val="22"/>
        </w:rPr>
      </w:pPr>
    </w:p>
    <w:p w14:paraId="4C554BC1" w14:textId="77777777" w:rsidR="00865AEC" w:rsidRPr="009B4A78" w:rsidRDefault="00865AEC" w:rsidP="00F33E49">
      <w:pPr>
        <w:pStyle w:val="Body1"/>
        <w:jc w:val="both"/>
        <w:rPr>
          <w:rFonts w:ascii="Arial" w:hAnsi="Arial" w:cs="Arial"/>
          <w:sz w:val="20"/>
          <w:szCs w:val="22"/>
        </w:rPr>
      </w:pPr>
    </w:p>
    <w:p w14:paraId="7F480300" w14:textId="77777777" w:rsidR="00865AEC" w:rsidRPr="009B4A78" w:rsidRDefault="00865AEC" w:rsidP="00F33E49">
      <w:pPr>
        <w:pStyle w:val="Body1"/>
        <w:jc w:val="both"/>
        <w:rPr>
          <w:rFonts w:ascii="Arial" w:hAnsi="Arial" w:cs="Arial"/>
          <w:sz w:val="22"/>
          <w:szCs w:val="24"/>
        </w:rPr>
      </w:pPr>
      <w:r w:rsidRPr="009B4A78">
        <w:rPr>
          <w:rFonts w:ascii="Arial" w:hAnsi="Arial" w:cs="Arial"/>
          <w:sz w:val="22"/>
          <w:szCs w:val="24"/>
        </w:rPr>
        <w:t xml:space="preserve">IMPLEMENTATION STRATEGIES </w:t>
      </w:r>
    </w:p>
    <w:p w14:paraId="08A819AE" w14:textId="77777777" w:rsidR="00865AEC" w:rsidRPr="009B4A78" w:rsidRDefault="00865AEC" w:rsidP="00F33E49">
      <w:pPr>
        <w:pStyle w:val="Body1"/>
        <w:jc w:val="both"/>
        <w:rPr>
          <w:rFonts w:ascii="Arial" w:hAnsi="Arial" w:cs="Arial"/>
          <w:sz w:val="20"/>
        </w:rPr>
      </w:pPr>
    </w:p>
    <w:p w14:paraId="33EDD34C" w14:textId="77777777" w:rsidR="00865AEC" w:rsidRPr="009B4A78" w:rsidRDefault="00865AEC" w:rsidP="00B66A4A">
      <w:pPr>
        <w:pStyle w:val="Body1"/>
        <w:numPr>
          <w:ilvl w:val="0"/>
          <w:numId w:val="14"/>
        </w:numPr>
        <w:tabs>
          <w:tab w:val="left" w:pos="709"/>
        </w:tabs>
        <w:ind w:left="0" w:firstLine="0"/>
        <w:jc w:val="both"/>
        <w:rPr>
          <w:rFonts w:ascii="Arial" w:hAnsi="Arial" w:cs="Arial"/>
          <w:sz w:val="20"/>
        </w:rPr>
      </w:pPr>
      <w:r w:rsidRPr="009B4A78">
        <w:rPr>
          <w:rFonts w:ascii="Arial" w:hAnsi="Arial" w:cs="Arial"/>
          <w:sz w:val="20"/>
        </w:rPr>
        <w:t>Strategies in the 2016/17 biennium will focus on further improving and developing International Classifications and Standards through extensive use of e-fora, on-line conferences and physical meetings of the respective Committees.  Actions will be taken to increase the awareness of Classifications and Standards amongst all groups of users.  In that respect, demand-driven training will be provided for the use of Classifications and Standards, in particular in developing countries.</w:t>
      </w:r>
    </w:p>
    <w:p w14:paraId="45CFCF18" w14:textId="77777777" w:rsidR="00865AEC" w:rsidRPr="009B4A78" w:rsidRDefault="00865AEC" w:rsidP="00F33E49">
      <w:pPr>
        <w:pStyle w:val="Body1"/>
        <w:jc w:val="both"/>
        <w:rPr>
          <w:rFonts w:ascii="Arial" w:hAnsi="Arial" w:cs="Arial"/>
          <w:sz w:val="20"/>
        </w:rPr>
      </w:pPr>
    </w:p>
    <w:p w14:paraId="5048A64E" w14:textId="77777777" w:rsidR="00865AEC" w:rsidRPr="009B4A78" w:rsidRDefault="00865AEC" w:rsidP="00F33E49">
      <w:pPr>
        <w:pStyle w:val="Body1"/>
        <w:jc w:val="both"/>
        <w:rPr>
          <w:rFonts w:ascii="Arial" w:hAnsi="Arial" w:cs="Arial"/>
          <w:sz w:val="20"/>
          <w:u w:val="single"/>
        </w:rPr>
      </w:pPr>
      <w:r w:rsidRPr="009B4A78">
        <w:rPr>
          <w:rFonts w:ascii="Arial" w:hAnsi="Arial" w:cs="Arial"/>
          <w:sz w:val="20"/>
          <w:u w:val="single"/>
        </w:rPr>
        <w:t>IPC (International Patent Classification)</w:t>
      </w:r>
    </w:p>
    <w:p w14:paraId="0E20EF55" w14:textId="77777777" w:rsidR="00865AEC" w:rsidRPr="009B4A78" w:rsidRDefault="00865AEC" w:rsidP="00F33E49">
      <w:pPr>
        <w:pStyle w:val="Body1"/>
        <w:jc w:val="both"/>
        <w:rPr>
          <w:rFonts w:ascii="Arial" w:hAnsi="Arial" w:cs="Arial"/>
          <w:sz w:val="20"/>
        </w:rPr>
      </w:pPr>
    </w:p>
    <w:p w14:paraId="208A400F" w14:textId="77777777" w:rsidR="00865AEC" w:rsidRPr="009B4A78" w:rsidRDefault="00865AEC" w:rsidP="00B66A4A">
      <w:pPr>
        <w:pStyle w:val="Body1"/>
        <w:numPr>
          <w:ilvl w:val="0"/>
          <w:numId w:val="14"/>
        </w:numPr>
        <w:tabs>
          <w:tab w:val="left" w:pos="709"/>
        </w:tabs>
        <w:ind w:left="0" w:firstLine="0"/>
        <w:jc w:val="both"/>
        <w:rPr>
          <w:rFonts w:ascii="Arial" w:hAnsi="Arial" w:cs="Arial"/>
          <w:sz w:val="20"/>
        </w:rPr>
      </w:pPr>
      <w:r w:rsidRPr="009B4A78">
        <w:rPr>
          <w:rFonts w:ascii="Arial" w:hAnsi="Arial" w:cs="Arial"/>
          <w:sz w:val="20"/>
        </w:rPr>
        <w:t>Enhancement of the IPC will continue within the framework of the IPC Revision Roadmap adopted by the IPC Committee of Experts in 2013.  The Roadmap aims at developing the IPC in those technical areas where a large amount of patent applications, with an increased growth rate, is submitted in emerging countries.  Under the auspices of the Committee of Experts, WIPO will closely facilitate and monitor the implementation of the Roadmap and will train IP Office officials to allow for a wider participation in the IPC revision process.  The international cooperation on reclassification of patent documents, according to the latest version of the IPC, will be enhanced and entirely administered by WIPO.  WIPO will further promote and facilitate wider use of the IPC system through assistance in the implementation of national translations of the IPC.</w:t>
      </w:r>
    </w:p>
    <w:p w14:paraId="72C8516B" w14:textId="77777777" w:rsidR="00865AEC" w:rsidRPr="009B4A78" w:rsidRDefault="00865AEC" w:rsidP="00F33E49">
      <w:pPr>
        <w:pStyle w:val="Body1"/>
        <w:jc w:val="both"/>
        <w:rPr>
          <w:rFonts w:ascii="Arial" w:hAnsi="Arial" w:cs="Arial"/>
          <w:sz w:val="20"/>
        </w:rPr>
      </w:pPr>
    </w:p>
    <w:p w14:paraId="09E86B23" w14:textId="77777777" w:rsidR="00865AEC" w:rsidRPr="009B4A78" w:rsidRDefault="00865AEC" w:rsidP="00F33E49">
      <w:pPr>
        <w:pStyle w:val="Body1"/>
        <w:jc w:val="both"/>
        <w:rPr>
          <w:rFonts w:ascii="Arial" w:hAnsi="Arial" w:cs="Arial"/>
          <w:sz w:val="20"/>
          <w:u w:val="single"/>
        </w:rPr>
      </w:pPr>
      <w:r w:rsidRPr="009B4A78">
        <w:rPr>
          <w:rFonts w:ascii="Arial" w:hAnsi="Arial" w:cs="Arial"/>
          <w:sz w:val="20"/>
          <w:u w:val="single"/>
        </w:rPr>
        <w:t>Nice Classification (list of goods and services for registration of trademarks)</w:t>
      </w:r>
    </w:p>
    <w:p w14:paraId="3462DB88" w14:textId="77777777" w:rsidR="00865AEC" w:rsidRPr="009B4A78" w:rsidRDefault="00865AEC" w:rsidP="00F33E49">
      <w:pPr>
        <w:pStyle w:val="Body1"/>
        <w:jc w:val="both"/>
        <w:rPr>
          <w:rFonts w:ascii="Arial" w:hAnsi="Arial" w:cs="Arial"/>
          <w:sz w:val="20"/>
        </w:rPr>
      </w:pPr>
    </w:p>
    <w:p w14:paraId="4F8CC4A0" w14:textId="77777777" w:rsidR="00865AEC" w:rsidRPr="009B4A78" w:rsidRDefault="00865AEC" w:rsidP="00B66A4A">
      <w:pPr>
        <w:pStyle w:val="Body1"/>
        <w:numPr>
          <w:ilvl w:val="0"/>
          <w:numId w:val="14"/>
        </w:numPr>
        <w:tabs>
          <w:tab w:val="left" w:pos="709"/>
        </w:tabs>
        <w:ind w:left="0" w:firstLine="0"/>
        <w:jc w:val="both"/>
        <w:rPr>
          <w:rFonts w:ascii="Arial" w:eastAsia="MS Mincho" w:hAnsi="Arial" w:cs="Arial"/>
          <w:sz w:val="20"/>
          <w:lang w:eastAsia="ja-JP"/>
        </w:rPr>
      </w:pPr>
      <w:r w:rsidRPr="009B4A78">
        <w:rPr>
          <w:rFonts w:ascii="Arial" w:hAnsi="Arial" w:cs="Arial"/>
          <w:sz w:val="20"/>
        </w:rPr>
        <w:t>Enhancement</w:t>
      </w:r>
      <w:r w:rsidRPr="009B4A78">
        <w:rPr>
          <w:rFonts w:ascii="Arial" w:eastAsia="MS Mincho" w:hAnsi="Arial" w:cs="Arial"/>
          <w:sz w:val="20"/>
          <w:lang w:eastAsia="ja-JP"/>
        </w:rPr>
        <w:t xml:space="preserve"> of the Nice Classification will continue under the auspices of the Nice Committee of Experts.  Emphasis will be given to ensuring that the list of goods and services takes due account of the specificities of emerging markets and the speedier integration in the list of goods and services of new widely-used indications.  This will be achieved by closely monitoring the Madrid and national databases, and by removing obsolete indications through a planned streamlined revision management system.  The development of a seamless platform for the Nice listed goods and services and the Madrid Goods and Services Manager database will be advanced.  WIPO will actively participate in regional and international cooperation initiatives related to trademark classification to facilitate the introduction of widely accepted practices into the Nice Classification.  Self-explanatory material and interactive training courses on how to classify will be further developed and made available on-line. IP Offices will be more closely involved in these processes.</w:t>
      </w:r>
    </w:p>
    <w:p w14:paraId="66600E42" w14:textId="77777777" w:rsidR="00865AEC" w:rsidRPr="009B4A78" w:rsidRDefault="00865AEC" w:rsidP="00F33E49">
      <w:pPr>
        <w:pStyle w:val="Body1"/>
        <w:jc w:val="both"/>
        <w:rPr>
          <w:rFonts w:ascii="Arial" w:hAnsi="Arial" w:cs="Arial"/>
          <w:sz w:val="20"/>
        </w:rPr>
      </w:pPr>
    </w:p>
    <w:p w14:paraId="0E0FD58B" w14:textId="77777777" w:rsidR="00865AEC" w:rsidRPr="009B4A78" w:rsidRDefault="00865AEC" w:rsidP="000D7C57">
      <w:pPr>
        <w:pStyle w:val="Body1"/>
        <w:keepNext/>
        <w:keepLines/>
        <w:jc w:val="both"/>
        <w:rPr>
          <w:rFonts w:ascii="Arial" w:hAnsi="Arial" w:cs="Arial"/>
          <w:sz w:val="20"/>
          <w:u w:val="single"/>
        </w:rPr>
      </w:pPr>
      <w:r w:rsidRPr="009B4A78">
        <w:rPr>
          <w:rFonts w:ascii="Arial" w:hAnsi="Arial" w:cs="Arial"/>
          <w:sz w:val="20"/>
          <w:u w:val="single"/>
        </w:rPr>
        <w:lastRenderedPageBreak/>
        <w:t>Vienna Classification (figurative elements of trademarks) and Locarno Classification (Industrial Designs)</w:t>
      </w:r>
    </w:p>
    <w:p w14:paraId="107FE7A0" w14:textId="77777777" w:rsidR="00865AEC" w:rsidRPr="009B4A78" w:rsidRDefault="00865AEC" w:rsidP="000D7C57">
      <w:pPr>
        <w:pStyle w:val="Body1"/>
        <w:keepNext/>
        <w:keepLines/>
        <w:jc w:val="both"/>
        <w:rPr>
          <w:rFonts w:ascii="Arial" w:hAnsi="Arial" w:cs="Arial"/>
          <w:sz w:val="20"/>
          <w:u w:val="single"/>
        </w:rPr>
      </w:pPr>
    </w:p>
    <w:p w14:paraId="15E5AC76" w14:textId="77777777" w:rsidR="00865AEC" w:rsidRPr="009B4A78" w:rsidRDefault="00865AEC" w:rsidP="00B66A4A">
      <w:pPr>
        <w:pStyle w:val="Body1"/>
        <w:keepNext/>
        <w:keepLines/>
        <w:numPr>
          <w:ilvl w:val="0"/>
          <w:numId w:val="14"/>
        </w:numPr>
        <w:tabs>
          <w:tab w:val="left" w:pos="709"/>
        </w:tabs>
        <w:ind w:left="0" w:firstLine="0"/>
        <w:jc w:val="both"/>
        <w:rPr>
          <w:rFonts w:ascii="Arial" w:hAnsi="Arial" w:cs="Arial"/>
          <w:sz w:val="20"/>
        </w:rPr>
      </w:pPr>
      <w:r w:rsidRPr="009B4A78">
        <w:rPr>
          <w:rFonts w:ascii="Arial" w:hAnsi="Arial" w:cs="Arial"/>
          <w:sz w:val="20"/>
        </w:rPr>
        <w:t>The new publication platforms for Vienna and Locarno Classifications, following the example of the Nice Classification, will be finalized.  IP Offices will be more closely involved in the revision process of Vienna and Locarno Classifications. Following the decision of the Locarno Committee of Experts in fall 2015, the Locarno subclasses will be further subdivided in order to allow more efficient searching in design databases.  Self-</w:t>
      </w:r>
      <w:r w:rsidRPr="009B4A78">
        <w:rPr>
          <w:rFonts w:ascii="Arial" w:eastAsia="MS Mincho" w:hAnsi="Arial" w:cs="Arial"/>
          <w:sz w:val="20"/>
          <w:lang w:eastAsia="ja-JP"/>
        </w:rPr>
        <w:t>explanatory material and interactive training courses on how to classify will be developed and made available on-line.</w:t>
      </w:r>
    </w:p>
    <w:p w14:paraId="0C8CACD1" w14:textId="77777777" w:rsidR="00865AEC" w:rsidRPr="009B4A78" w:rsidRDefault="00865AEC" w:rsidP="00F33E49">
      <w:pPr>
        <w:pStyle w:val="Body1"/>
        <w:jc w:val="both"/>
        <w:rPr>
          <w:rFonts w:ascii="Arial" w:hAnsi="Arial" w:cs="Arial"/>
          <w:sz w:val="20"/>
        </w:rPr>
      </w:pPr>
    </w:p>
    <w:p w14:paraId="0BCE8C58" w14:textId="77777777" w:rsidR="00865AEC" w:rsidRPr="009B4A78" w:rsidRDefault="00865AEC" w:rsidP="00F33E49">
      <w:pPr>
        <w:pStyle w:val="Body1"/>
        <w:jc w:val="both"/>
        <w:rPr>
          <w:rFonts w:ascii="Arial" w:hAnsi="Arial" w:cs="Arial"/>
          <w:sz w:val="20"/>
          <w:u w:val="single"/>
        </w:rPr>
      </w:pPr>
      <w:r w:rsidRPr="009B4A78">
        <w:rPr>
          <w:rFonts w:ascii="Arial" w:hAnsi="Arial" w:cs="Arial"/>
          <w:sz w:val="20"/>
          <w:u w:val="single"/>
        </w:rPr>
        <w:t>WIPO Standards</w:t>
      </w:r>
    </w:p>
    <w:p w14:paraId="0DEACB36" w14:textId="77777777" w:rsidR="00865AEC" w:rsidRPr="009B4A78" w:rsidRDefault="00865AEC" w:rsidP="00F33E49">
      <w:pPr>
        <w:pStyle w:val="Body1"/>
        <w:jc w:val="both"/>
        <w:rPr>
          <w:rFonts w:ascii="Arial" w:hAnsi="Arial" w:cs="Arial"/>
          <w:sz w:val="20"/>
        </w:rPr>
      </w:pPr>
    </w:p>
    <w:p w14:paraId="038295C9" w14:textId="77777777" w:rsidR="00865AEC" w:rsidRPr="009B4A78" w:rsidRDefault="00865AEC" w:rsidP="00B66A4A">
      <w:pPr>
        <w:pStyle w:val="Body1"/>
        <w:numPr>
          <w:ilvl w:val="0"/>
          <w:numId w:val="14"/>
        </w:numPr>
        <w:tabs>
          <w:tab w:val="left" w:pos="709"/>
        </w:tabs>
        <w:ind w:left="0" w:firstLine="0"/>
        <w:jc w:val="both"/>
        <w:rPr>
          <w:rFonts w:ascii="Arial" w:hAnsi="Arial" w:cs="Arial"/>
          <w:sz w:val="20"/>
        </w:rPr>
      </w:pPr>
      <w:r w:rsidRPr="009B4A78">
        <w:rPr>
          <w:rFonts w:ascii="Arial" w:hAnsi="Arial" w:cs="Arial"/>
          <w:sz w:val="20"/>
        </w:rPr>
        <w:t>WIPO Standards provide a basis for the processing, transmission, exchange, dissemination and sharing of IP information and documentation.  In developing new WIPO Standards, or revising existing Standards, WIPO will coordinate with IP Offices in a more flexible and efficient way in order to better respond to users’ needs and requests. Further use of electronic means for the revision and adoption of Standards will also be promoted.  The revision of existing Standards will include the updating of XML Standards (for a better structured digital data format) and of relevant tools to facilitate their use, whereas the development of new Standards will address the dissemination and exchange of patent legal status information and data on new types of trademarks.  WIPO will continue collaboration with IP Offices in order to publish up-to-date information on their practices related to WIPO Standards and will assist the Offices in the implementation of WIPO Standards.  WIPO Standards and related surveys will be accessible from IP databases in a more efficient manner.</w:t>
      </w:r>
    </w:p>
    <w:p w14:paraId="43B8F837" w14:textId="77777777" w:rsidR="00865AEC" w:rsidRPr="009B4A78" w:rsidRDefault="00865AEC" w:rsidP="00F33E49">
      <w:pPr>
        <w:pStyle w:val="Body1"/>
        <w:jc w:val="both"/>
        <w:rPr>
          <w:rFonts w:ascii="Arial" w:hAnsi="Arial" w:cs="Arial"/>
          <w:sz w:val="20"/>
        </w:rPr>
      </w:pPr>
    </w:p>
    <w:p w14:paraId="2A1738AA" w14:textId="77777777" w:rsidR="00865AEC" w:rsidRPr="009B4A78" w:rsidRDefault="00865AEC" w:rsidP="00F33E49">
      <w:pPr>
        <w:pStyle w:val="Body1"/>
        <w:jc w:val="both"/>
        <w:rPr>
          <w:rFonts w:ascii="Arial" w:hAnsi="Arial" w:cs="Arial"/>
          <w:sz w:val="20"/>
          <w:u w:val="single"/>
        </w:rPr>
      </w:pPr>
      <w:r w:rsidRPr="009B4A78">
        <w:rPr>
          <w:rFonts w:ascii="Arial" w:hAnsi="Arial" w:cs="Arial"/>
          <w:sz w:val="20"/>
          <w:u w:val="single"/>
        </w:rPr>
        <w:t>ICT systems for International Classifications and Standards</w:t>
      </w:r>
    </w:p>
    <w:p w14:paraId="57E58DB3" w14:textId="77777777" w:rsidR="00865AEC" w:rsidRPr="009B4A78" w:rsidRDefault="00865AEC" w:rsidP="00F33E49">
      <w:pPr>
        <w:pStyle w:val="Body1"/>
        <w:jc w:val="both"/>
        <w:rPr>
          <w:rFonts w:ascii="Arial" w:hAnsi="Arial" w:cs="Arial"/>
          <w:sz w:val="20"/>
        </w:rPr>
      </w:pPr>
    </w:p>
    <w:p w14:paraId="1C79F1DB" w14:textId="77777777" w:rsidR="00865AEC" w:rsidRPr="009B4A78" w:rsidRDefault="00865AEC" w:rsidP="00B66A4A">
      <w:pPr>
        <w:pStyle w:val="Body1"/>
        <w:numPr>
          <w:ilvl w:val="0"/>
          <w:numId w:val="14"/>
        </w:numPr>
        <w:tabs>
          <w:tab w:val="left" w:pos="709"/>
        </w:tabs>
        <w:ind w:left="0" w:firstLine="0"/>
        <w:jc w:val="both"/>
        <w:rPr>
          <w:rFonts w:ascii="Arial" w:hAnsi="Arial" w:cs="Arial"/>
          <w:sz w:val="20"/>
        </w:rPr>
      </w:pPr>
      <w:r w:rsidRPr="009B4A78">
        <w:rPr>
          <w:rFonts w:ascii="Arial" w:hAnsi="Arial" w:cs="Arial"/>
          <w:sz w:val="20"/>
        </w:rPr>
        <w:t xml:space="preserve">The ICT systems for managing International Classifications and Standards will be upgraded and consolidated. New tools will be developed to increase the efficiency of the international cooperation in the reclassification of patent documents.  Revision management systems will be developed for the Nice, Vienna and Locarno Classifications in order to facilitate control of the respective data by WIPO, allow more efficient exchanges with IP Offices during the revision process and foster cost and time-efficiency in the regular publication of the Classifications.  The publication of the Standards and surveys will be reviewed to allow better integration with IP information databases.  </w:t>
      </w:r>
    </w:p>
    <w:p w14:paraId="7F82772E" w14:textId="77777777" w:rsidR="00865AEC" w:rsidRDefault="00865AEC" w:rsidP="00865AEC">
      <w:pPr>
        <w:pStyle w:val="Body1"/>
        <w:tabs>
          <w:tab w:val="left" w:pos="709"/>
        </w:tabs>
        <w:jc w:val="both"/>
        <w:rPr>
          <w:rFonts w:ascii="Arial" w:hAnsi="Arial" w:cs="Arial"/>
          <w:sz w:val="20"/>
        </w:rPr>
      </w:pPr>
    </w:p>
    <w:p w14:paraId="1EB00E16" w14:textId="63192A99" w:rsidR="007A5A68" w:rsidRPr="00CB32BD" w:rsidRDefault="007A5A68" w:rsidP="00B66A4A">
      <w:pPr>
        <w:pStyle w:val="Body1"/>
        <w:numPr>
          <w:ilvl w:val="0"/>
          <w:numId w:val="14"/>
        </w:numPr>
        <w:tabs>
          <w:tab w:val="left" w:pos="709"/>
        </w:tabs>
        <w:ind w:left="0" w:firstLine="0"/>
        <w:jc w:val="both"/>
        <w:rPr>
          <w:rFonts w:ascii="Arial" w:hAnsi="Arial" w:cs="Arial"/>
          <w:sz w:val="20"/>
        </w:rPr>
      </w:pPr>
      <w:r>
        <w:rPr>
          <w:rFonts w:ascii="Arial" w:hAnsi="Arial" w:cs="Arial"/>
          <w:sz w:val="20"/>
        </w:rPr>
        <w:t xml:space="preserve">Program 12 collaborates primarily with </w:t>
      </w:r>
      <w:r w:rsidRPr="00CB32BD">
        <w:rPr>
          <w:rFonts w:ascii="Arial" w:hAnsi="Arial" w:cs="Arial"/>
          <w:sz w:val="20"/>
        </w:rPr>
        <w:t xml:space="preserve">other Programs as illustrated below: </w:t>
      </w:r>
    </w:p>
    <w:p w14:paraId="75AD9167" w14:textId="77777777" w:rsidR="007A5A68" w:rsidRPr="009B4A78" w:rsidRDefault="007A5A68" w:rsidP="00865AEC">
      <w:pPr>
        <w:pStyle w:val="Body1"/>
        <w:tabs>
          <w:tab w:val="left" w:pos="709"/>
        </w:tabs>
        <w:jc w:val="both"/>
        <w:rPr>
          <w:rFonts w:ascii="Arial" w:hAnsi="Arial" w:cs="Arial"/>
          <w:sz w:val="20"/>
        </w:rPr>
      </w:pPr>
    </w:p>
    <w:p w14:paraId="0D4032A2" w14:textId="78AF9EF1" w:rsidR="00865AEC" w:rsidRPr="009B4A78" w:rsidRDefault="00550487" w:rsidP="00865AEC">
      <w:pPr>
        <w:pStyle w:val="Body1"/>
        <w:tabs>
          <w:tab w:val="left" w:pos="709"/>
        </w:tabs>
        <w:jc w:val="both"/>
        <w:rPr>
          <w:rFonts w:ascii="Arial" w:hAnsi="Arial" w:cs="Arial"/>
          <w:sz w:val="20"/>
        </w:rPr>
      </w:pPr>
      <w:r w:rsidRPr="000229D9">
        <w:rPr>
          <w:rFonts w:ascii="Arial" w:hAnsi="Arial" w:cs="Arial"/>
          <w:noProof/>
        </w:rPr>
        <w:drawing>
          <wp:inline distT="0" distB="0" distL="0" distR="0" wp14:anchorId="6DB5AB55" wp14:editId="6B6F8C63">
            <wp:extent cx="5760085" cy="1615408"/>
            <wp:effectExtent l="57150" t="19050" r="31115" b="99695"/>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14:paraId="0DD04962" w14:textId="25E28E86" w:rsidR="00865AEC" w:rsidRPr="009B4A78" w:rsidRDefault="00865AEC" w:rsidP="00F33E49">
      <w:pPr>
        <w:pStyle w:val="Body1"/>
        <w:rPr>
          <w:rFonts w:ascii="Arial" w:hAnsi="Arial" w:cs="Arial"/>
          <w:sz w:val="22"/>
          <w:szCs w:val="22"/>
        </w:rPr>
      </w:pPr>
    </w:p>
    <w:p w14:paraId="19D29C90" w14:textId="77777777" w:rsidR="00865AEC" w:rsidRPr="009B4A78" w:rsidRDefault="00865AEC" w:rsidP="00F33E49">
      <w:pPr>
        <w:rPr>
          <w:rFonts w:ascii="Arial" w:eastAsia="SimSun" w:hAnsi="Arial" w:cs="Arial"/>
        </w:rPr>
      </w:pPr>
      <w:r w:rsidRPr="009B4A78">
        <w:rPr>
          <w:rFonts w:ascii="Arial" w:eastAsia="SimSun" w:hAnsi="Arial" w:cs="Arial"/>
        </w:rPr>
        <w:t>MAJOR RISKS AND MITIGATION STRATEGIES</w:t>
      </w:r>
    </w:p>
    <w:p w14:paraId="3FCCF3A4" w14:textId="77777777" w:rsidR="00865AEC" w:rsidRPr="009B4A78" w:rsidRDefault="00865AEC" w:rsidP="00F33E49">
      <w:pPr>
        <w:rPr>
          <w:rFonts w:ascii="Arial" w:hAnsi="Arial" w:cs="Aria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865AEC" w:rsidRPr="009B4A78" w14:paraId="14892E25" w14:textId="77777777" w:rsidTr="00F33E49">
        <w:trPr>
          <w:trHeight w:val="558"/>
        </w:trPr>
        <w:tc>
          <w:tcPr>
            <w:tcW w:w="4253" w:type="dxa"/>
            <w:tcBorders>
              <w:top w:val="single" w:sz="4" w:space="0" w:color="auto"/>
              <w:bottom w:val="single" w:sz="4" w:space="0" w:color="auto"/>
            </w:tcBorders>
            <w:shd w:val="clear" w:color="auto" w:fill="C6D9F1" w:themeFill="text2" w:themeFillTint="33"/>
            <w:vAlign w:val="center"/>
          </w:tcPr>
          <w:p w14:paraId="34AB9E50" w14:textId="77777777" w:rsidR="00865AEC" w:rsidRPr="009B4A78" w:rsidRDefault="00865AEC" w:rsidP="00F33E49">
            <w:pPr>
              <w:jc w:val="center"/>
              <w:rPr>
                <w:rFonts w:ascii="Arial" w:hAnsi="Arial" w:cs="Arial"/>
                <w:b/>
                <w:bCs/>
                <w:sz w:val="18"/>
                <w:szCs w:val="18"/>
              </w:rPr>
            </w:pPr>
            <w:r w:rsidRPr="009B4A78">
              <w:rPr>
                <w:rFonts w:ascii="Arial" w:hAnsi="Arial" w:cs="Arial"/>
                <w:b/>
                <w:bCs/>
                <w:sz w:val="18"/>
                <w:szCs w:val="18"/>
              </w:rPr>
              <w:t>Risk</w:t>
            </w:r>
          </w:p>
        </w:tc>
        <w:tc>
          <w:tcPr>
            <w:tcW w:w="4961" w:type="dxa"/>
            <w:tcBorders>
              <w:top w:val="single" w:sz="4" w:space="0" w:color="auto"/>
              <w:bottom w:val="single" w:sz="4" w:space="0" w:color="auto"/>
            </w:tcBorders>
            <w:shd w:val="clear" w:color="auto" w:fill="C6D9F1" w:themeFill="text2" w:themeFillTint="33"/>
            <w:vAlign w:val="center"/>
          </w:tcPr>
          <w:p w14:paraId="36E544B2" w14:textId="77777777" w:rsidR="00865AEC" w:rsidRPr="009B4A78" w:rsidRDefault="00865AEC" w:rsidP="00F33E49">
            <w:pPr>
              <w:jc w:val="center"/>
              <w:rPr>
                <w:rFonts w:ascii="Arial" w:hAnsi="Arial" w:cs="Arial"/>
                <w:b/>
                <w:bCs/>
                <w:sz w:val="18"/>
                <w:szCs w:val="18"/>
              </w:rPr>
            </w:pPr>
            <w:r w:rsidRPr="009B4A78">
              <w:rPr>
                <w:rFonts w:ascii="Arial" w:hAnsi="Arial" w:cs="Arial"/>
                <w:b/>
                <w:bCs/>
                <w:sz w:val="18"/>
                <w:szCs w:val="18"/>
              </w:rPr>
              <w:t>Mitigation</w:t>
            </w:r>
          </w:p>
        </w:tc>
      </w:tr>
      <w:tr w:rsidR="00865AEC" w:rsidRPr="009B4A78" w14:paraId="16B376AB" w14:textId="77777777" w:rsidTr="00F33E49">
        <w:trPr>
          <w:trHeight w:val="145"/>
        </w:trPr>
        <w:tc>
          <w:tcPr>
            <w:tcW w:w="4253" w:type="dxa"/>
            <w:tcBorders>
              <w:top w:val="single" w:sz="4" w:space="0" w:color="auto"/>
              <w:left w:val="single" w:sz="4" w:space="0" w:color="auto"/>
              <w:bottom w:val="nil"/>
              <w:right w:val="nil"/>
            </w:tcBorders>
            <w:shd w:val="clear" w:color="auto" w:fill="auto"/>
            <w:tcMar>
              <w:top w:w="113" w:type="dxa"/>
              <w:bottom w:w="113" w:type="dxa"/>
            </w:tcMar>
          </w:tcPr>
          <w:p w14:paraId="6DBBEDDF" w14:textId="77777777" w:rsidR="00865AEC" w:rsidRPr="009B4A78" w:rsidRDefault="00865AEC" w:rsidP="00F33E49">
            <w:pPr>
              <w:rPr>
                <w:rFonts w:ascii="Arial" w:hAnsi="Arial" w:cs="Arial"/>
                <w:sz w:val="16"/>
                <w:szCs w:val="16"/>
              </w:rPr>
            </w:pPr>
            <w:r w:rsidRPr="009B4A78">
              <w:rPr>
                <w:rFonts w:ascii="Arial" w:hAnsi="Arial" w:cs="Arial"/>
                <w:color w:val="000000"/>
                <w:sz w:val="16"/>
                <w:szCs w:val="20"/>
              </w:rPr>
              <w:t>Divergent opinions between groups of countries result in limitation of technical development of standards and classifications.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14:paraId="5DA17933" w14:textId="77777777" w:rsidR="00865AEC" w:rsidRPr="009B4A78" w:rsidRDefault="00865AEC" w:rsidP="00F33E49">
            <w:pPr>
              <w:rPr>
                <w:rFonts w:ascii="Arial" w:hAnsi="Arial" w:cs="Arial"/>
                <w:sz w:val="16"/>
                <w:szCs w:val="16"/>
              </w:rPr>
            </w:pPr>
            <w:r w:rsidRPr="009B4A78">
              <w:rPr>
                <w:rFonts w:ascii="Arial" w:hAnsi="Arial" w:cs="Arial"/>
                <w:color w:val="000000"/>
                <w:sz w:val="16"/>
                <w:szCs w:val="20"/>
              </w:rPr>
              <w:t xml:space="preserve">Discuss and resolve political issues outside of the Committees. Strengthen the technical discussions within the Committees.  Monitor the implementation of long term plans. </w:t>
            </w:r>
          </w:p>
        </w:tc>
      </w:tr>
      <w:tr w:rsidR="00865AEC" w:rsidRPr="009B4A78" w14:paraId="0967B570" w14:textId="77777777" w:rsidTr="00F33E49">
        <w:trPr>
          <w:trHeight w:val="145"/>
        </w:trPr>
        <w:tc>
          <w:tcPr>
            <w:tcW w:w="4253" w:type="dxa"/>
            <w:tcBorders>
              <w:top w:val="nil"/>
              <w:left w:val="single" w:sz="4" w:space="0" w:color="auto"/>
              <w:bottom w:val="single" w:sz="4" w:space="0" w:color="auto"/>
              <w:right w:val="nil"/>
            </w:tcBorders>
            <w:shd w:val="clear" w:color="auto" w:fill="auto"/>
            <w:tcMar>
              <w:top w:w="113" w:type="dxa"/>
              <w:bottom w:w="113" w:type="dxa"/>
            </w:tcMar>
          </w:tcPr>
          <w:p w14:paraId="7DDC2920" w14:textId="77777777" w:rsidR="00865AEC" w:rsidRPr="009B4A78" w:rsidRDefault="00865AEC" w:rsidP="00F33E49">
            <w:pPr>
              <w:rPr>
                <w:rFonts w:ascii="Arial" w:hAnsi="Arial" w:cs="Arial"/>
                <w:sz w:val="16"/>
                <w:szCs w:val="16"/>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14:paraId="0222BADF" w14:textId="77777777" w:rsidR="00865AEC" w:rsidRPr="009B4A78" w:rsidRDefault="00865AEC" w:rsidP="00F33E49">
            <w:pPr>
              <w:rPr>
                <w:rFonts w:ascii="Arial" w:hAnsi="Arial" w:cs="Arial"/>
                <w:sz w:val="16"/>
                <w:szCs w:val="16"/>
              </w:rPr>
            </w:pPr>
            <w:r w:rsidRPr="009B4A78">
              <w:rPr>
                <w:rFonts w:ascii="Arial" w:hAnsi="Arial" w:cs="Arial"/>
                <w:color w:val="000000"/>
                <w:sz w:val="16"/>
                <w:szCs w:val="20"/>
              </w:rPr>
              <w:t>Undertake training missions in developing countries, in particular at regional level, to increase awareness on classifications and standards.  Take into account regional needs in the development of classifications and standards</w:t>
            </w:r>
          </w:p>
        </w:tc>
      </w:tr>
    </w:tbl>
    <w:p w14:paraId="51F4CBCC" w14:textId="77777777" w:rsidR="00865AEC" w:rsidRPr="009B4A78" w:rsidRDefault="00865AEC">
      <w:pPr>
        <w:pStyle w:val="Body1"/>
        <w:rPr>
          <w:rFonts w:ascii="Arial" w:hAnsi="Arial" w:cs="Arial"/>
          <w:sz w:val="20"/>
          <w:szCs w:val="22"/>
        </w:rPr>
      </w:pPr>
    </w:p>
    <w:p w14:paraId="373B1FB6" w14:textId="77777777" w:rsidR="00865AEC" w:rsidRPr="009B4A78" w:rsidRDefault="00865AEC" w:rsidP="00F33E49">
      <w:pPr>
        <w:pStyle w:val="Body1"/>
        <w:keepNext/>
        <w:keepLines/>
        <w:rPr>
          <w:rFonts w:ascii="Arial" w:hAnsi="Arial" w:cs="Arial"/>
          <w:sz w:val="22"/>
        </w:rPr>
      </w:pPr>
      <w:r w:rsidRPr="009B4A78">
        <w:rPr>
          <w:rFonts w:ascii="Arial" w:hAnsi="Arial" w:cs="Arial"/>
          <w:sz w:val="22"/>
        </w:rPr>
        <w:t>RESULTS FRAMEWORK</w:t>
      </w:r>
    </w:p>
    <w:p w14:paraId="723C5158" w14:textId="77777777" w:rsidR="00865AEC" w:rsidRPr="009B4A78" w:rsidRDefault="00865AEC" w:rsidP="00F33E49">
      <w:pPr>
        <w:pStyle w:val="Body1"/>
        <w:keepNext/>
        <w:keepLines/>
        <w:rPr>
          <w:rFonts w:ascii="Arial" w:hAnsi="Arial" w:cs="Arial"/>
          <w:sz w:val="20"/>
        </w:rPr>
      </w:pPr>
    </w:p>
    <w:tbl>
      <w:tblPr>
        <w:tblW w:w="9280" w:type="dxa"/>
        <w:tblInd w:w="93" w:type="dxa"/>
        <w:tblLook w:val="04A0" w:firstRow="1" w:lastRow="0" w:firstColumn="1" w:lastColumn="0" w:noHBand="0" w:noVBand="1"/>
      </w:tblPr>
      <w:tblGrid>
        <w:gridCol w:w="2200"/>
        <w:gridCol w:w="2640"/>
        <w:gridCol w:w="2300"/>
        <w:gridCol w:w="2140"/>
      </w:tblGrid>
      <w:tr w:rsidR="00865AEC" w:rsidRPr="009B4A78" w14:paraId="7CE26302" w14:textId="77777777" w:rsidTr="00F33E49">
        <w:trPr>
          <w:trHeight w:val="630"/>
        </w:trPr>
        <w:tc>
          <w:tcPr>
            <w:tcW w:w="220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0F09A112" w14:textId="77777777" w:rsidR="00865AEC" w:rsidRPr="009B4A78" w:rsidRDefault="00865AEC" w:rsidP="00F33E49">
            <w:pPr>
              <w:keepNext/>
              <w:keepLines/>
              <w:jc w:val="center"/>
              <w:rPr>
                <w:rFonts w:ascii="Arial" w:hAnsi="Arial" w:cs="Arial"/>
                <w:b/>
                <w:bCs/>
                <w:color w:val="000000"/>
                <w:sz w:val="18"/>
                <w:szCs w:val="18"/>
              </w:rPr>
            </w:pPr>
            <w:r w:rsidRPr="009B4A78">
              <w:rPr>
                <w:rFonts w:ascii="Arial" w:hAnsi="Arial" w:cs="Arial"/>
                <w:b/>
                <w:bCs/>
                <w:color w:val="000000"/>
                <w:sz w:val="18"/>
                <w:szCs w:val="18"/>
              </w:rPr>
              <w:t xml:space="preserve">Expected Results </w:t>
            </w:r>
          </w:p>
        </w:tc>
        <w:tc>
          <w:tcPr>
            <w:tcW w:w="2640" w:type="dxa"/>
            <w:tcBorders>
              <w:top w:val="single" w:sz="4" w:space="0" w:color="auto"/>
              <w:left w:val="nil"/>
              <w:bottom w:val="single" w:sz="4" w:space="0" w:color="auto"/>
              <w:right w:val="nil"/>
            </w:tcBorders>
            <w:shd w:val="clear" w:color="auto" w:fill="C6D9F1" w:themeFill="text2" w:themeFillTint="33"/>
            <w:vAlign w:val="center"/>
            <w:hideMark/>
          </w:tcPr>
          <w:p w14:paraId="7F74EC01" w14:textId="77777777" w:rsidR="00865AEC" w:rsidRPr="009B4A78" w:rsidRDefault="00865AEC" w:rsidP="00F33E49">
            <w:pPr>
              <w:keepNext/>
              <w:keepLines/>
              <w:jc w:val="center"/>
              <w:rPr>
                <w:rFonts w:ascii="Arial" w:hAnsi="Arial" w:cs="Arial"/>
                <w:b/>
                <w:bCs/>
                <w:color w:val="000000"/>
                <w:sz w:val="18"/>
                <w:szCs w:val="18"/>
              </w:rPr>
            </w:pPr>
            <w:r w:rsidRPr="009B4A78">
              <w:rPr>
                <w:rFonts w:ascii="Arial" w:hAnsi="Arial" w:cs="Arial"/>
                <w:b/>
                <w:bCs/>
                <w:color w:val="000000"/>
                <w:sz w:val="18"/>
                <w:szCs w:val="18"/>
              </w:rPr>
              <w:t>Performance Indicators</w:t>
            </w:r>
          </w:p>
        </w:tc>
        <w:tc>
          <w:tcPr>
            <w:tcW w:w="2300" w:type="dxa"/>
            <w:tcBorders>
              <w:top w:val="single" w:sz="4" w:space="0" w:color="auto"/>
              <w:left w:val="nil"/>
              <w:bottom w:val="single" w:sz="4" w:space="0" w:color="auto"/>
              <w:right w:val="nil"/>
            </w:tcBorders>
            <w:shd w:val="clear" w:color="auto" w:fill="C6D9F1" w:themeFill="text2" w:themeFillTint="33"/>
            <w:vAlign w:val="center"/>
            <w:hideMark/>
          </w:tcPr>
          <w:p w14:paraId="438ED29B" w14:textId="77777777" w:rsidR="00865AEC" w:rsidRPr="009B4A78" w:rsidRDefault="00865AEC" w:rsidP="00F33E49">
            <w:pPr>
              <w:keepNext/>
              <w:keepLines/>
              <w:jc w:val="center"/>
              <w:rPr>
                <w:rFonts w:ascii="Arial" w:hAnsi="Arial" w:cs="Arial"/>
                <w:b/>
                <w:bCs/>
                <w:color w:val="000000"/>
                <w:sz w:val="18"/>
                <w:szCs w:val="18"/>
              </w:rPr>
            </w:pPr>
            <w:r w:rsidRPr="009B4A78">
              <w:rPr>
                <w:rFonts w:ascii="Arial" w:hAnsi="Arial" w:cs="Arial"/>
                <w:b/>
                <w:bCs/>
                <w:color w:val="000000"/>
                <w:sz w:val="18"/>
                <w:szCs w:val="18"/>
              </w:rPr>
              <w:t>Baselines</w:t>
            </w:r>
          </w:p>
        </w:tc>
        <w:tc>
          <w:tcPr>
            <w:tcW w:w="214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93261E5" w14:textId="77777777" w:rsidR="00865AEC" w:rsidRPr="009B4A78" w:rsidRDefault="00865AEC" w:rsidP="00F33E49">
            <w:pPr>
              <w:keepNext/>
              <w:keepLines/>
              <w:jc w:val="center"/>
              <w:rPr>
                <w:rFonts w:ascii="Arial" w:hAnsi="Arial" w:cs="Arial"/>
                <w:b/>
                <w:bCs/>
                <w:color w:val="000000"/>
                <w:sz w:val="18"/>
                <w:szCs w:val="18"/>
              </w:rPr>
            </w:pPr>
            <w:r w:rsidRPr="009B4A78">
              <w:rPr>
                <w:rFonts w:ascii="Arial" w:hAnsi="Arial" w:cs="Arial"/>
                <w:b/>
                <w:bCs/>
                <w:color w:val="000000"/>
                <w:sz w:val="18"/>
                <w:szCs w:val="18"/>
              </w:rPr>
              <w:t>Targets</w:t>
            </w:r>
          </w:p>
        </w:tc>
      </w:tr>
      <w:tr w:rsidR="00865AEC" w:rsidRPr="009B4A78" w14:paraId="0D54F1E3" w14:textId="77777777" w:rsidTr="00F33E49">
        <w:trPr>
          <w:trHeight w:val="1312"/>
        </w:trPr>
        <w:tc>
          <w:tcPr>
            <w:tcW w:w="2200" w:type="dxa"/>
            <w:vMerge w:val="restart"/>
            <w:tcBorders>
              <w:top w:val="nil"/>
              <w:left w:val="single" w:sz="4" w:space="0" w:color="auto"/>
              <w:bottom w:val="single" w:sz="4" w:space="0" w:color="000000"/>
              <w:right w:val="nil"/>
            </w:tcBorders>
            <w:shd w:val="clear" w:color="000000" w:fill="FFFFFF"/>
            <w:hideMark/>
          </w:tcPr>
          <w:p w14:paraId="13FD353F" w14:textId="77777777" w:rsidR="00865AEC" w:rsidRPr="009B4A78" w:rsidRDefault="00865AEC" w:rsidP="00F33E49">
            <w:pPr>
              <w:keepNext/>
              <w:keepLines/>
              <w:rPr>
                <w:rFonts w:ascii="Arial" w:hAnsi="Arial" w:cs="Arial"/>
                <w:color w:val="000000"/>
                <w:sz w:val="16"/>
                <w:szCs w:val="16"/>
              </w:rPr>
            </w:pPr>
            <w:r w:rsidRPr="009B4A78">
              <w:rPr>
                <w:rFonts w:ascii="Arial" w:hAnsi="Arial" w:cs="Arial"/>
                <w:color w:val="000000"/>
                <w:sz w:val="16"/>
                <w:szCs w:val="16"/>
              </w:rPr>
              <w:br/>
              <w:t>IV.1 Updated and globally accepted system of international classifications and WIPO standards to facilitate access, use and dissemination of IP information among stakeholders in the world</w:t>
            </w:r>
          </w:p>
        </w:tc>
        <w:tc>
          <w:tcPr>
            <w:tcW w:w="2640" w:type="dxa"/>
            <w:tcBorders>
              <w:top w:val="nil"/>
              <w:left w:val="nil"/>
              <w:bottom w:val="nil"/>
              <w:right w:val="nil"/>
            </w:tcBorders>
            <w:shd w:val="clear" w:color="000000" w:fill="FFFFFF"/>
            <w:hideMark/>
          </w:tcPr>
          <w:p w14:paraId="73F06C8D" w14:textId="77777777" w:rsidR="00865AEC" w:rsidRPr="009B4A78" w:rsidRDefault="00865AEC" w:rsidP="00F33E49">
            <w:pPr>
              <w:keepNext/>
              <w:keepLines/>
              <w:ind w:left="259" w:firstLineChars="38" w:firstLine="61"/>
              <w:rPr>
                <w:rFonts w:ascii="Arial" w:hAnsi="Arial" w:cs="Arial"/>
                <w:color w:val="000000"/>
                <w:sz w:val="16"/>
                <w:szCs w:val="16"/>
              </w:rPr>
            </w:pPr>
            <w:r w:rsidRPr="009B4A78">
              <w:rPr>
                <w:rFonts w:ascii="Arial" w:hAnsi="Arial" w:cs="Arial"/>
                <w:color w:val="000000"/>
                <w:sz w:val="16"/>
                <w:szCs w:val="16"/>
              </w:rPr>
              <w:br/>
              <w:t>No. of amendments and information files introduced into the Nice Classification</w:t>
            </w:r>
          </w:p>
        </w:tc>
        <w:tc>
          <w:tcPr>
            <w:tcW w:w="2300" w:type="dxa"/>
            <w:tcBorders>
              <w:top w:val="nil"/>
              <w:left w:val="nil"/>
              <w:bottom w:val="nil"/>
              <w:right w:val="nil"/>
            </w:tcBorders>
            <w:shd w:val="clear" w:color="000000" w:fill="FFFFFF"/>
            <w:hideMark/>
          </w:tcPr>
          <w:p w14:paraId="6981660A" w14:textId="77777777" w:rsidR="00865AEC" w:rsidRPr="009B4A78" w:rsidRDefault="00865AEC" w:rsidP="00F33E49">
            <w:pPr>
              <w:keepNext/>
              <w:keepLines/>
              <w:ind w:left="170" w:firstLineChars="93" w:firstLine="149"/>
              <w:rPr>
                <w:rFonts w:ascii="Arial" w:hAnsi="Arial" w:cs="Arial"/>
                <w:color w:val="000000"/>
                <w:sz w:val="16"/>
                <w:szCs w:val="16"/>
              </w:rPr>
            </w:pPr>
            <w:r w:rsidRPr="009B4A78">
              <w:rPr>
                <w:rFonts w:ascii="Arial" w:hAnsi="Arial" w:cs="Arial"/>
                <w:color w:val="000000"/>
                <w:sz w:val="16"/>
                <w:szCs w:val="16"/>
              </w:rPr>
              <w:br/>
              <w:t xml:space="preserve">570 amendments in English and French, </w:t>
            </w:r>
            <w:r w:rsidRPr="009B4A78">
              <w:rPr>
                <w:rFonts w:ascii="Arial" w:hAnsi="Arial" w:cs="Arial"/>
                <w:color w:val="000000"/>
                <w:sz w:val="16"/>
                <w:szCs w:val="16"/>
              </w:rPr>
              <w:br/>
              <w:t>50 new or amended info files (2014)</w:t>
            </w:r>
          </w:p>
        </w:tc>
        <w:tc>
          <w:tcPr>
            <w:tcW w:w="2140" w:type="dxa"/>
            <w:tcBorders>
              <w:top w:val="nil"/>
              <w:left w:val="nil"/>
              <w:bottom w:val="nil"/>
              <w:right w:val="single" w:sz="4" w:space="0" w:color="auto"/>
            </w:tcBorders>
            <w:shd w:val="clear" w:color="000000" w:fill="FFFFFF"/>
            <w:hideMark/>
          </w:tcPr>
          <w:p w14:paraId="24348166" w14:textId="77777777" w:rsidR="00865AEC" w:rsidRPr="009B4A78" w:rsidRDefault="00865AEC" w:rsidP="00F33E49">
            <w:pPr>
              <w:keepNext/>
              <w:keepLines/>
              <w:ind w:left="280" w:firstLineChars="25" w:firstLine="40"/>
              <w:rPr>
                <w:rFonts w:ascii="Arial" w:hAnsi="Arial" w:cs="Arial"/>
                <w:color w:val="000000"/>
                <w:sz w:val="16"/>
                <w:szCs w:val="16"/>
              </w:rPr>
            </w:pPr>
            <w:r w:rsidRPr="009B4A78">
              <w:rPr>
                <w:rFonts w:ascii="Arial" w:hAnsi="Arial" w:cs="Arial"/>
                <w:color w:val="000000"/>
                <w:sz w:val="16"/>
                <w:szCs w:val="16"/>
              </w:rPr>
              <w:br/>
              <w:t>Increase compared to baseline</w:t>
            </w:r>
          </w:p>
        </w:tc>
      </w:tr>
      <w:tr w:rsidR="00865AEC" w:rsidRPr="009B4A78" w14:paraId="50EC2881" w14:textId="77777777" w:rsidTr="00F33E49">
        <w:trPr>
          <w:trHeight w:val="661"/>
        </w:trPr>
        <w:tc>
          <w:tcPr>
            <w:tcW w:w="2200" w:type="dxa"/>
            <w:vMerge/>
            <w:tcBorders>
              <w:top w:val="nil"/>
              <w:left w:val="single" w:sz="4" w:space="0" w:color="auto"/>
              <w:bottom w:val="single" w:sz="4" w:space="0" w:color="000000"/>
              <w:right w:val="nil"/>
            </w:tcBorders>
            <w:vAlign w:val="center"/>
            <w:hideMark/>
          </w:tcPr>
          <w:p w14:paraId="0ED03E0D" w14:textId="77777777" w:rsidR="00865AEC" w:rsidRPr="009B4A78" w:rsidRDefault="00865AEC" w:rsidP="00F33E49">
            <w:pPr>
              <w:keepNext/>
              <w:keepLines/>
              <w:rPr>
                <w:rFonts w:ascii="Arial" w:hAnsi="Arial" w:cs="Arial"/>
                <w:color w:val="000000"/>
                <w:sz w:val="16"/>
                <w:szCs w:val="16"/>
              </w:rPr>
            </w:pPr>
          </w:p>
        </w:tc>
        <w:tc>
          <w:tcPr>
            <w:tcW w:w="2640" w:type="dxa"/>
            <w:tcBorders>
              <w:top w:val="nil"/>
              <w:left w:val="nil"/>
              <w:bottom w:val="nil"/>
              <w:right w:val="nil"/>
            </w:tcBorders>
            <w:shd w:val="clear" w:color="000000" w:fill="FFFFFF"/>
            <w:hideMark/>
          </w:tcPr>
          <w:p w14:paraId="65E92F1E" w14:textId="77777777" w:rsidR="00865AEC" w:rsidRPr="009B4A78" w:rsidRDefault="00865AEC" w:rsidP="00F33E49">
            <w:pPr>
              <w:keepNext/>
              <w:keepLines/>
              <w:ind w:left="259"/>
              <w:rPr>
                <w:rFonts w:ascii="Arial" w:hAnsi="Arial" w:cs="Arial"/>
                <w:color w:val="000000"/>
                <w:sz w:val="16"/>
                <w:szCs w:val="16"/>
              </w:rPr>
            </w:pPr>
            <w:r w:rsidRPr="009B4A78">
              <w:rPr>
                <w:rFonts w:ascii="Arial" w:hAnsi="Arial" w:cs="Arial"/>
                <w:color w:val="000000"/>
                <w:sz w:val="16"/>
                <w:szCs w:val="16"/>
              </w:rPr>
              <w:t>No. of new subdivisions introduced into the IPC per year</w:t>
            </w:r>
          </w:p>
        </w:tc>
        <w:tc>
          <w:tcPr>
            <w:tcW w:w="2300" w:type="dxa"/>
            <w:tcBorders>
              <w:top w:val="nil"/>
              <w:left w:val="nil"/>
              <w:bottom w:val="nil"/>
              <w:right w:val="nil"/>
            </w:tcBorders>
            <w:shd w:val="clear" w:color="000000" w:fill="FFFFFF"/>
            <w:hideMark/>
          </w:tcPr>
          <w:p w14:paraId="3DC18D28" w14:textId="77777777" w:rsidR="00865AEC" w:rsidRPr="009B4A78" w:rsidRDefault="00865AEC" w:rsidP="00F33E49">
            <w:pPr>
              <w:keepNext/>
              <w:keepLines/>
              <w:ind w:firstLineChars="106" w:firstLine="170"/>
              <w:rPr>
                <w:rFonts w:ascii="Arial" w:hAnsi="Arial" w:cs="Arial"/>
                <w:color w:val="000000"/>
                <w:sz w:val="16"/>
                <w:szCs w:val="16"/>
              </w:rPr>
            </w:pPr>
            <w:r w:rsidRPr="009B4A78">
              <w:rPr>
                <w:rFonts w:ascii="Arial" w:hAnsi="Arial" w:cs="Arial"/>
                <w:color w:val="000000"/>
                <w:sz w:val="16"/>
                <w:szCs w:val="16"/>
              </w:rPr>
              <w:t>337 new groups (2014)</w:t>
            </w:r>
          </w:p>
        </w:tc>
        <w:tc>
          <w:tcPr>
            <w:tcW w:w="2140" w:type="dxa"/>
            <w:tcBorders>
              <w:top w:val="nil"/>
              <w:left w:val="nil"/>
              <w:bottom w:val="nil"/>
              <w:right w:val="single" w:sz="4" w:space="0" w:color="auto"/>
            </w:tcBorders>
            <w:shd w:val="clear" w:color="000000" w:fill="FFFFFF"/>
            <w:hideMark/>
          </w:tcPr>
          <w:p w14:paraId="455109A7" w14:textId="77777777" w:rsidR="00865AEC" w:rsidRPr="009B4A78" w:rsidRDefault="00865AEC" w:rsidP="00F33E49">
            <w:pPr>
              <w:keepNext/>
              <w:keepLines/>
              <w:ind w:left="280"/>
              <w:rPr>
                <w:rFonts w:ascii="Arial" w:hAnsi="Arial" w:cs="Arial"/>
                <w:color w:val="000000"/>
                <w:sz w:val="16"/>
                <w:szCs w:val="16"/>
              </w:rPr>
            </w:pPr>
            <w:r w:rsidRPr="009B4A78">
              <w:rPr>
                <w:rFonts w:ascii="Arial" w:hAnsi="Arial" w:cs="Arial"/>
                <w:color w:val="000000"/>
                <w:sz w:val="16"/>
                <w:szCs w:val="16"/>
              </w:rPr>
              <w:t>Increase compared to baseline</w:t>
            </w:r>
          </w:p>
        </w:tc>
      </w:tr>
      <w:tr w:rsidR="00865AEC" w:rsidRPr="009B4A78" w14:paraId="03DC9AB1" w14:textId="77777777" w:rsidTr="00F33E49">
        <w:trPr>
          <w:trHeight w:val="557"/>
        </w:trPr>
        <w:tc>
          <w:tcPr>
            <w:tcW w:w="2200" w:type="dxa"/>
            <w:vMerge/>
            <w:tcBorders>
              <w:top w:val="nil"/>
              <w:left w:val="single" w:sz="4" w:space="0" w:color="auto"/>
              <w:bottom w:val="single" w:sz="4" w:space="0" w:color="000000"/>
              <w:right w:val="nil"/>
            </w:tcBorders>
            <w:vAlign w:val="center"/>
            <w:hideMark/>
          </w:tcPr>
          <w:p w14:paraId="0EDAB8BB" w14:textId="77777777" w:rsidR="00865AEC" w:rsidRPr="009B4A78" w:rsidRDefault="00865AEC">
            <w:pPr>
              <w:rPr>
                <w:rFonts w:ascii="Arial" w:hAnsi="Arial" w:cs="Arial"/>
                <w:color w:val="000000"/>
                <w:sz w:val="16"/>
                <w:szCs w:val="16"/>
              </w:rPr>
            </w:pPr>
          </w:p>
        </w:tc>
        <w:tc>
          <w:tcPr>
            <w:tcW w:w="2640" w:type="dxa"/>
            <w:tcBorders>
              <w:top w:val="nil"/>
              <w:left w:val="nil"/>
              <w:bottom w:val="nil"/>
              <w:right w:val="nil"/>
            </w:tcBorders>
            <w:shd w:val="clear" w:color="000000" w:fill="FFFFFF"/>
            <w:hideMark/>
          </w:tcPr>
          <w:p w14:paraId="77ED8591" w14:textId="77777777" w:rsidR="00865AEC" w:rsidRPr="009B4A78" w:rsidRDefault="00865AEC" w:rsidP="00F33E49">
            <w:pPr>
              <w:ind w:left="259"/>
              <w:rPr>
                <w:rFonts w:ascii="Arial" w:hAnsi="Arial" w:cs="Arial"/>
                <w:color w:val="000000"/>
                <w:sz w:val="16"/>
                <w:szCs w:val="16"/>
              </w:rPr>
            </w:pPr>
            <w:r w:rsidRPr="009B4A78">
              <w:rPr>
                <w:rFonts w:ascii="Arial" w:hAnsi="Arial" w:cs="Arial"/>
                <w:color w:val="000000"/>
                <w:sz w:val="16"/>
                <w:szCs w:val="16"/>
              </w:rPr>
              <w:t>No. of amended and new standards adopted</w:t>
            </w:r>
          </w:p>
        </w:tc>
        <w:tc>
          <w:tcPr>
            <w:tcW w:w="2300" w:type="dxa"/>
            <w:tcBorders>
              <w:top w:val="nil"/>
              <w:left w:val="nil"/>
              <w:bottom w:val="nil"/>
              <w:right w:val="nil"/>
            </w:tcBorders>
            <w:shd w:val="clear" w:color="000000" w:fill="FFFFFF"/>
            <w:hideMark/>
          </w:tcPr>
          <w:p w14:paraId="6E2A0F3F" w14:textId="77777777" w:rsidR="00865AEC" w:rsidRPr="009B4A78" w:rsidRDefault="00865AEC" w:rsidP="00F33E49">
            <w:pPr>
              <w:ind w:left="170"/>
              <w:rPr>
                <w:rFonts w:ascii="Arial" w:hAnsi="Arial" w:cs="Arial"/>
                <w:color w:val="000000"/>
                <w:sz w:val="16"/>
                <w:szCs w:val="16"/>
              </w:rPr>
            </w:pPr>
            <w:r w:rsidRPr="009B4A78">
              <w:rPr>
                <w:rFonts w:ascii="Arial" w:hAnsi="Arial" w:cs="Arial"/>
                <w:color w:val="000000"/>
                <w:sz w:val="16"/>
                <w:szCs w:val="16"/>
              </w:rPr>
              <w:t>Two new standards (2014)</w:t>
            </w:r>
          </w:p>
        </w:tc>
        <w:tc>
          <w:tcPr>
            <w:tcW w:w="2140" w:type="dxa"/>
            <w:tcBorders>
              <w:top w:val="nil"/>
              <w:left w:val="nil"/>
              <w:bottom w:val="nil"/>
              <w:right w:val="single" w:sz="4" w:space="0" w:color="auto"/>
            </w:tcBorders>
            <w:shd w:val="clear" w:color="000000" w:fill="FFFFFF"/>
            <w:hideMark/>
          </w:tcPr>
          <w:p w14:paraId="5E97E297" w14:textId="77777777" w:rsidR="00865AEC" w:rsidRPr="009B4A78" w:rsidRDefault="00865AEC" w:rsidP="00F33E49">
            <w:pPr>
              <w:ind w:left="280"/>
              <w:rPr>
                <w:rFonts w:ascii="Arial" w:hAnsi="Arial" w:cs="Arial"/>
                <w:color w:val="000000"/>
                <w:sz w:val="16"/>
                <w:szCs w:val="16"/>
              </w:rPr>
            </w:pPr>
            <w:r w:rsidRPr="009B4A78">
              <w:rPr>
                <w:rFonts w:ascii="Arial" w:hAnsi="Arial" w:cs="Arial"/>
                <w:color w:val="000000"/>
                <w:sz w:val="16"/>
                <w:szCs w:val="16"/>
              </w:rPr>
              <w:t>Increase compared to baseline</w:t>
            </w:r>
          </w:p>
        </w:tc>
      </w:tr>
      <w:tr w:rsidR="00865AEC" w:rsidRPr="009B4A78" w14:paraId="50B53E4F" w14:textId="77777777" w:rsidTr="00F33E49">
        <w:trPr>
          <w:trHeight w:val="1409"/>
        </w:trPr>
        <w:tc>
          <w:tcPr>
            <w:tcW w:w="2200" w:type="dxa"/>
            <w:vMerge/>
            <w:tcBorders>
              <w:top w:val="nil"/>
              <w:left w:val="single" w:sz="4" w:space="0" w:color="auto"/>
              <w:bottom w:val="single" w:sz="4" w:space="0" w:color="000000"/>
              <w:right w:val="nil"/>
            </w:tcBorders>
            <w:vAlign w:val="center"/>
            <w:hideMark/>
          </w:tcPr>
          <w:p w14:paraId="412737FD" w14:textId="77777777" w:rsidR="00865AEC" w:rsidRPr="009B4A78" w:rsidRDefault="00865AEC">
            <w:pPr>
              <w:rPr>
                <w:rFonts w:ascii="Arial" w:hAnsi="Arial" w:cs="Arial"/>
                <w:color w:val="000000"/>
                <w:sz w:val="16"/>
                <w:szCs w:val="16"/>
              </w:rPr>
            </w:pPr>
          </w:p>
        </w:tc>
        <w:tc>
          <w:tcPr>
            <w:tcW w:w="2640" w:type="dxa"/>
            <w:tcBorders>
              <w:top w:val="nil"/>
              <w:left w:val="nil"/>
              <w:bottom w:val="single" w:sz="4" w:space="0" w:color="auto"/>
              <w:right w:val="nil"/>
            </w:tcBorders>
            <w:shd w:val="clear" w:color="000000" w:fill="FFFFFF"/>
            <w:hideMark/>
          </w:tcPr>
          <w:p w14:paraId="189BCDE3" w14:textId="77777777" w:rsidR="00865AEC" w:rsidRPr="009B4A78" w:rsidRDefault="00865AEC" w:rsidP="00F33E49">
            <w:pPr>
              <w:ind w:left="259"/>
              <w:rPr>
                <w:rFonts w:ascii="Arial" w:hAnsi="Arial" w:cs="Arial"/>
                <w:color w:val="000000"/>
                <w:sz w:val="16"/>
                <w:szCs w:val="16"/>
              </w:rPr>
            </w:pPr>
            <w:r w:rsidRPr="009B4A78">
              <w:rPr>
                <w:rFonts w:ascii="Arial" w:hAnsi="Arial" w:cs="Arial"/>
                <w:color w:val="000000"/>
                <w:sz w:val="16"/>
                <w:szCs w:val="16"/>
              </w:rPr>
              <w:t>No. of users accessing the Internet publications of international classifications and standards, in particular from developing countries</w:t>
            </w:r>
          </w:p>
        </w:tc>
        <w:tc>
          <w:tcPr>
            <w:tcW w:w="2300" w:type="dxa"/>
            <w:tcBorders>
              <w:top w:val="nil"/>
              <w:left w:val="nil"/>
              <w:bottom w:val="single" w:sz="4" w:space="0" w:color="auto"/>
              <w:right w:val="nil"/>
            </w:tcBorders>
            <w:shd w:val="clear" w:color="000000" w:fill="FFFFFF"/>
            <w:hideMark/>
          </w:tcPr>
          <w:p w14:paraId="2C36434D" w14:textId="77777777" w:rsidR="00865AEC" w:rsidRPr="009B4A78" w:rsidRDefault="00865AEC" w:rsidP="00F33E49">
            <w:pPr>
              <w:ind w:left="170"/>
              <w:rPr>
                <w:rFonts w:ascii="Arial" w:hAnsi="Arial" w:cs="Arial"/>
                <w:color w:val="000000"/>
                <w:sz w:val="16"/>
                <w:szCs w:val="16"/>
              </w:rPr>
            </w:pPr>
            <w:r w:rsidRPr="009B4A78">
              <w:rPr>
                <w:rFonts w:ascii="Arial" w:hAnsi="Arial" w:cs="Arial"/>
                <w:color w:val="000000"/>
                <w:sz w:val="16"/>
                <w:szCs w:val="16"/>
              </w:rPr>
              <w:t>NicePub: 2,587,788</w:t>
            </w:r>
            <w:r w:rsidRPr="009B4A78">
              <w:rPr>
                <w:rFonts w:ascii="Arial" w:hAnsi="Arial" w:cs="Arial"/>
                <w:color w:val="000000"/>
                <w:sz w:val="16"/>
                <w:szCs w:val="16"/>
              </w:rPr>
              <w:br/>
              <w:t>Locarno Home:  44,557</w:t>
            </w:r>
            <w:r w:rsidRPr="009B4A78">
              <w:rPr>
                <w:rFonts w:ascii="Arial" w:hAnsi="Arial" w:cs="Arial"/>
                <w:color w:val="000000"/>
                <w:sz w:val="16"/>
                <w:szCs w:val="16"/>
              </w:rPr>
              <w:br/>
              <w:t>Vienna Home: 29,596</w:t>
            </w:r>
            <w:r w:rsidRPr="009B4A78">
              <w:rPr>
                <w:rFonts w:ascii="Arial" w:hAnsi="Arial" w:cs="Arial"/>
                <w:color w:val="000000"/>
                <w:sz w:val="16"/>
                <w:szCs w:val="16"/>
              </w:rPr>
              <w:br/>
              <w:t>IPCPub: 1,170,000</w:t>
            </w:r>
            <w:r w:rsidRPr="009B4A78">
              <w:rPr>
                <w:rFonts w:ascii="Arial" w:hAnsi="Arial" w:cs="Arial"/>
                <w:color w:val="000000"/>
                <w:sz w:val="16"/>
                <w:szCs w:val="16"/>
              </w:rPr>
              <w:br/>
              <w:t>WIPO Standards(Handbook):  66,399</w:t>
            </w:r>
          </w:p>
        </w:tc>
        <w:tc>
          <w:tcPr>
            <w:tcW w:w="2140" w:type="dxa"/>
            <w:tcBorders>
              <w:top w:val="nil"/>
              <w:left w:val="nil"/>
              <w:bottom w:val="single" w:sz="4" w:space="0" w:color="auto"/>
              <w:right w:val="single" w:sz="4" w:space="0" w:color="auto"/>
            </w:tcBorders>
            <w:shd w:val="clear" w:color="000000" w:fill="FFFFFF"/>
            <w:hideMark/>
          </w:tcPr>
          <w:p w14:paraId="38C09F8A" w14:textId="77777777" w:rsidR="00865AEC" w:rsidRPr="009B4A78" w:rsidRDefault="00865AEC" w:rsidP="00F33E49">
            <w:pPr>
              <w:ind w:left="280"/>
              <w:rPr>
                <w:rFonts w:ascii="Arial" w:hAnsi="Arial" w:cs="Arial"/>
                <w:color w:val="000000"/>
                <w:sz w:val="16"/>
                <w:szCs w:val="16"/>
              </w:rPr>
            </w:pPr>
            <w:r w:rsidRPr="009B4A78">
              <w:rPr>
                <w:rFonts w:ascii="Arial" w:hAnsi="Arial" w:cs="Arial"/>
                <w:color w:val="000000"/>
                <w:sz w:val="16"/>
                <w:szCs w:val="16"/>
              </w:rPr>
              <w:t xml:space="preserve">5% increase compared to baseline </w:t>
            </w:r>
          </w:p>
        </w:tc>
      </w:tr>
    </w:tbl>
    <w:p w14:paraId="542439FC" w14:textId="77777777" w:rsidR="00865AEC" w:rsidRPr="009B4A78" w:rsidRDefault="00865AEC">
      <w:pPr>
        <w:pStyle w:val="Body1"/>
        <w:rPr>
          <w:rFonts w:ascii="Arial" w:hAnsi="Arial" w:cs="Arial"/>
          <w:sz w:val="20"/>
        </w:rPr>
      </w:pPr>
    </w:p>
    <w:p w14:paraId="0CD157DC" w14:textId="77777777" w:rsidR="00865AEC" w:rsidRPr="009B4A78" w:rsidRDefault="00865AEC">
      <w:pPr>
        <w:pStyle w:val="Body1"/>
        <w:rPr>
          <w:rFonts w:ascii="Arial" w:hAnsi="Arial" w:cs="Arial"/>
          <w:sz w:val="20"/>
        </w:rPr>
      </w:pPr>
    </w:p>
    <w:p w14:paraId="56244832" w14:textId="77777777" w:rsidR="00865AEC" w:rsidRPr="009B4A78" w:rsidRDefault="00865AEC" w:rsidP="00F33E49">
      <w:pPr>
        <w:pStyle w:val="Body1"/>
        <w:rPr>
          <w:rFonts w:ascii="Arial" w:hAnsi="Arial" w:cs="Arial"/>
          <w:sz w:val="22"/>
        </w:rPr>
      </w:pPr>
      <w:r w:rsidRPr="009B4A78">
        <w:rPr>
          <w:rFonts w:ascii="Arial" w:hAnsi="Arial" w:cs="Arial"/>
          <w:sz w:val="22"/>
        </w:rPr>
        <w:t>RESOURCES FOR PROGRAM 12</w:t>
      </w:r>
    </w:p>
    <w:p w14:paraId="48F2859F" w14:textId="77777777" w:rsidR="00865AEC" w:rsidRPr="009B4A78" w:rsidRDefault="00865AEC" w:rsidP="00F33E49">
      <w:pPr>
        <w:pStyle w:val="Body1"/>
        <w:rPr>
          <w:rFonts w:ascii="Arial" w:hAnsi="Arial" w:cs="Arial"/>
          <w:sz w:val="22"/>
        </w:rPr>
      </w:pPr>
    </w:p>
    <w:p w14:paraId="1AFD0E57" w14:textId="38310C01" w:rsidR="00865AEC" w:rsidRPr="00FB68E0" w:rsidRDefault="00865AEC" w:rsidP="00B66A4A">
      <w:pPr>
        <w:pStyle w:val="Body1"/>
        <w:numPr>
          <w:ilvl w:val="0"/>
          <w:numId w:val="14"/>
        </w:numPr>
        <w:tabs>
          <w:tab w:val="left" w:pos="709"/>
        </w:tabs>
        <w:ind w:left="0" w:firstLine="0"/>
        <w:jc w:val="both"/>
        <w:rPr>
          <w:rFonts w:ascii="Arial" w:hAnsi="Arial" w:cs="Arial"/>
          <w:sz w:val="20"/>
        </w:rPr>
      </w:pPr>
      <w:r w:rsidRPr="009B4A78">
        <w:rPr>
          <w:rFonts w:ascii="Arial" w:hAnsi="Arial" w:cs="Arial"/>
          <w:sz w:val="20"/>
        </w:rPr>
        <w:t>A slight decrease can be observed in the overall resources for the Program in 2016/17 compared to the 2014/15 Budget after Transfers.  N</w:t>
      </w:r>
      <w:r w:rsidRPr="00FB68E0">
        <w:rPr>
          <w:rFonts w:ascii="Arial" w:hAnsi="Arial" w:cs="Arial"/>
          <w:sz w:val="20"/>
        </w:rPr>
        <w:t xml:space="preserve">on-personnel resources </w:t>
      </w:r>
      <w:r w:rsidRPr="009B4A78">
        <w:rPr>
          <w:rFonts w:ascii="Arial" w:hAnsi="Arial" w:cs="Arial"/>
          <w:sz w:val="20"/>
        </w:rPr>
        <w:t>in 2016/17 are</w:t>
      </w:r>
      <w:r w:rsidRPr="00FB68E0">
        <w:rPr>
          <w:rFonts w:ascii="Arial" w:hAnsi="Arial" w:cs="Arial"/>
          <w:sz w:val="20"/>
        </w:rPr>
        <w:t xml:space="preserve"> maintained at the level of </w:t>
      </w:r>
      <w:r w:rsidRPr="009B4A78">
        <w:rPr>
          <w:rFonts w:ascii="Arial" w:hAnsi="Arial" w:cs="Arial"/>
          <w:sz w:val="20"/>
        </w:rPr>
        <w:t xml:space="preserve">the </w:t>
      </w:r>
      <w:r w:rsidRPr="00FB68E0">
        <w:rPr>
          <w:rFonts w:ascii="Arial" w:hAnsi="Arial" w:cs="Arial"/>
          <w:sz w:val="20"/>
        </w:rPr>
        <w:t xml:space="preserve">2014/15 </w:t>
      </w:r>
      <w:r w:rsidRPr="009B4A78">
        <w:rPr>
          <w:rFonts w:ascii="Arial" w:hAnsi="Arial" w:cs="Arial"/>
          <w:sz w:val="20"/>
        </w:rPr>
        <w:t>Budget after Transfers.  The</w:t>
      </w:r>
      <w:r w:rsidRPr="00FB68E0">
        <w:rPr>
          <w:rFonts w:ascii="Arial" w:hAnsi="Arial" w:cs="Arial"/>
          <w:sz w:val="20"/>
        </w:rPr>
        <w:t xml:space="preserve"> decrease in personnel </w:t>
      </w:r>
      <w:r w:rsidRPr="009B4A78">
        <w:rPr>
          <w:rFonts w:ascii="Arial" w:hAnsi="Arial" w:cs="Arial"/>
          <w:sz w:val="20"/>
        </w:rPr>
        <w:t xml:space="preserve">resources is due to </w:t>
      </w:r>
      <w:r w:rsidRPr="00FB68E0">
        <w:rPr>
          <w:rFonts w:ascii="Arial" w:hAnsi="Arial" w:cs="Arial"/>
          <w:sz w:val="20"/>
        </w:rPr>
        <w:t xml:space="preserve">the transfer </w:t>
      </w:r>
      <w:r w:rsidRPr="009B4A78">
        <w:rPr>
          <w:rFonts w:ascii="Arial" w:hAnsi="Arial" w:cs="Arial"/>
          <w:sz w:val="20"/>
        </w:rPr>
        <w:t>of one</w:t>
      </w:r>
      <w:r w:rsidRPr="00FB68E0">
        <w:rPr>
          <w:rFonts w:ascii="Arial" w:hAnsi="Arial" w:cs="Arial"/>
          <w:sz w:val="20"/>
        </w:rPr>
        <w:t xml:space="preserve"> post</w:t>
      </w:r>
      <w:r w:rsidRPr="009B4A78">
        <w:rPr>
          <w:rFonts w:ascii="Arial" w:hAnsi="Arial" w:cs="Arial"/>
          <w:sz w:val="20"/>
        </w:rPr>
        <w:t xml:space="preserve"> to Program 15 (Business Solutions for IP Offices) to reinforce the support to IP Offices globally.</w:t>
      </w:r>
    </w:p>
    <w:p w14:paraId="791BD075" w14:textId="77777777" w:rsidR="00865AEC" w:rsidRPr="009B4A78" w:rsidRDefault="00865AEC" w:rsidP="00F33E49">
      <w:pPr>
        <w:pStyle w:val="Body1"/>
        <w:rPr>
          <w:rFonts w:ascii="Arial" w:hAnsi="Arial" w:cs="Arial"/>
          <w:sz w:val="22"/>
        </w:rPr>
      </w:pPr>
    </w:p>
    <w:p w14:paraId="3B1902D4" w14:textId="77777777" w:rsidR="00865AEC" w:rsidRPr="009B4A78" w:rsidRDefault="00865AEC" w:rsidP="00F33E49">
      <w:pPr>
        <w:pStyle w:val="Body1"/>
        <w:rPr>
          <w:rFonts w:ascii="Arial" w:hAnsi="Arial" w:cs="Arial"/>
          <w:sz w:val="22"/>
        </w:rPr>
      </w:pPr>
    </w:p>
    <w:p w14:paraId="498E4F43" w14:textId="77777777" w:rsidR="00865AEC" w:rsidRPr="009B4A78" w:rsidRDefault="00865AEC" w:rsidP="00F33E49">
      <w:pPr>
        <w:keepNext/>
        <w:keepLines/>
        <w:autoSpaceDE w:val="0"/>
        <w:autoSpaceDN w:val="0"/>
        <w:jc w:val="center"/>
        <w:rPr>
          <w:rFonts w:ascii="Arial" w:hAnsi="Arial" w:cs="Arial"/>
          <w:b/>
          <w:sz w:val="20"/>
        </w:rPr>
      </w:pPr>
      <w:r w:rsidRPr="009B4A78">
        <w:rPr>
          <w:rFonts w:ascii="Arial" w:hAnsi="Arial" w:cs="Arial"/>
          <w:b/>
          <w:sz w:val="20"/>
        </w:rPr>
        <w:t>Program 12:  Resources by Result</w:t>
      </w:r>
    </w:p>
    <w:p w14:paraId="7383ABC8" w14:textId="77777777" w:rsidR="00865AEC" w:rsidRPr="009B4A78" w:rsidRDefault="00865AEC" w:rsidP="00F33E49">
      <w:pPr>
        <w:keepNext/>
        <w:keepLines/>
        <w:autoSpaceDE w:val="0"/>
        <w:autoSpaceDN w:val="0"/>
        <w:jc w:val="center"/>
        <w:rPr>
          <w:rFonts w:ascii="Arial" w:hAnsi="Arial" w:cs="Arial"/>
          <w:i/>
          <w:sz w:val="20"/>
        </w:rPr>
      </w:pPr>
      <w:r w:rsidRPr="009B4A78">
        <w:rPr>
          <w:rFonts w:ascii="Arial" w:hAnsi="Arial" w:cs="Arial"/>
          <w:i/>
          <w:sz w:val="20"/>
        </w:rPr>
        <w:t xml:space="preserve">(In thousands of Swiss francs) </w:t>
      </w:r>
    </w:p>
    <w:p w14:paraId="1D620DD2" w14:textId="77777777" w:rsidR="00865AEC" w:rsidRPr="009B4A78" w:rsidRDefault="00865AEC" w:rsidP="00F33E49">
      <w:pPr>
        <w:keepNext/>
        <w:keepLines/>
        <w:autoSpaceDE w:val="0"/>
        <w:autoSpaceDN w:val="0"/>
        <w:jc w:val="center"/>
        <w:rPr>
          <w:rFonts w:ascii="Arial" w:hAnsi="Arial" w:cs="Arial"/>
          <w:i/>
          <w:sz w:val="20"/>
        </w:rPr>
      </w:pPr>
    </w:p>
    <w:p w14:paraId="55B8F5FF" w14:textId="77777777" w:rsidR="00865AEC" w:rsidRPr="009B4A78" w:rsidRDefault="00865AEC" w:rsidP="002B052A">
      <w:pPr>
        <w:keepNext/>
        <w:keepLines/>
        <w:autoSpaceDE w:val="0"/>
        <w:autoSpaceDN w:val="0"/>
        <w:jc w:val="center"/>
        <w:rPr>
          <w:rFonts w:ascii="Arial" w:hAnsi="Arial" w:cs="Arial"/>
          <w:i/>
          <w:sz w:val="20"/>
        </w:rPr>
      </w:pPr>
      <w:r w:rsidRPr="009B4A78">
        <w:rPr>
          <w:rFonts w:ascii="Arial" w:hAnsi="Arial" w:cs="Arial"/>
          <w:noProof/>
          <w:lang w:eastAsia="en-US"/>
        </w:rPr>
        <w:drawing>
          <wp:inline distT="0" distB="0" distL="0" distR="0" wp14:anchorId="6FDBB9AD" wp14:editId="69D0AF4C">
            <wp:extent cx="5192202" cy="1210910"/>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212321" cy="1215602"/>
                    </a:xfrm>
                    <a:prstGeom prst="rect">
                      <a:avLst/>
                    </a:prstGeom>
                    <a:noFill/>
                    <a:ln>
                      <a:noFill/>
                    </a:ln>
                  </pic:spPr>
                </pic:pic>
              </a:graphicData>
            </a:graphic>
          </wp:inline>
        </w:drawing>
      </w:r>
    </w:p>
    <w:p w14:paraId="33C22722" w14:textId="77777777" w:rsidR="00865AEC" w:rsidRPr="009B4A78" w:rsidRDefault="00865AEC" w:rsidP="00865AEC">
      <w:pPr>
        <w:autoSpaceDE w:val="0"/>
        <w:autoSpaceDN w:val="0"/>
        <w:ind w:left="-141" w:hanging="284"/>
        <w:rPr>
          <w:rFonts w:ascii="Arial" w:hAnsi="Arial" w:cs="Arial"/>
          <w:i/>
          <w:sz w:val="20"/>
        </w:rPr>
      </w:pPr>
    </w:p>
    <w:p w14:paraId="3A64019E" w14:textId="77777777" w:rsidR="00865AEC" w:rsidRPr="009B4A78" w:rsidRDefault="00865AEC" w:rsidP="00865AEC">
      <w:pPr>
        <w:autoSpaceDE w:val="0"/>
        <w:autoSpaceDN w:val="0"/>
        <w:ind w:left="-141" w:hanging="284"/>
        <w:rPr>
          <w:rFonts w:ascii="Arial" w:hAnsi="Arial" w:cs="Arial"/>
          <w:i/>
          <w:sz w:val="20"/>
        </w:rPr>
      </w:pPr>
    </w:p>
    <w:p w14:paraId="299EE211" w14:textId="77777777" w:rsidR="00865AEC" w:rsidRPr="009B4A78" w:rsidRDefault="00865AEC" w:rsidP="00F33E49">
      <w:pPr>
        <w:keepNext/>
        <w:keepLines/>
        <w:autoSpaceDE w:val="0"/>
        <w:autoSpaceDN w:val="0"/>
        <w:ind w:left="-142" w:hanging="284"/>
        <w:jc w:val="center"/>
        <w:rPr>
          <w:rFonts w:ascii="Arial" w:hAnsi="Arial" w:cs="Arial"/>
          <w:b/>
          <w:sz w:val="20"/>
        </w:rPr>
      </w:pPr>
      <w:r w:rsidRPr="009B4A78">
        <w:rPr>
          <w:rFonts w:ascii="Arial" w:hAnsi="Arial" w:cs="Arial"/>
          <w:b/>
          <w:sz w:val="20"/>
        </w:rPr>
        <w:lastRenderedPageBreak/>
        <w:t>Program 12:  Resources by Object of Expenditure</w:t>
      </w:r>
    </w:p>
    <w:p w14:paraId="4F536D95" w14:textId="77777777" w:rsidR="00865AEC" w:rsidRPr="009B4A78" w:rsidRDefault="00865AEC" w:rsidP="00F33E49">
      <w:pPr>
        <w:keepNext/>
        <w:keepLines/>
        <w:autoSpaceDE w:val="0"/>
        <w:autoSpaceDN w:val="0"/>
        <w:ind w:left="-142" w:hanging="284"/>
        <w:jc w:val="center"/>
        <w:rPr>
          <w:rFonts w:ascii="Arial" w:hAnsi="Arial" w:cs="Arial"/>
          <w:i/>
          <w:sz w:val="20"/>
        </w:rPr>
      </w:pPr>
      <w:r w:rsidRPr="009B4A78">
        <w:rPr>
          <w:rFonts w:ascii="Arial" w:hAnsi="Arial" w:cs="Arial"/>
          <w:i/>
          <w:sz w:val="20"/>
        </w:rPr>
        <w:t xml:space="preserve">(In thousands of Swiss francs) </w:t>
      </w:r>
    </w:p>
    <w:p w14:paraId="4E9FCAF0" w14:textId="77777777" w:rsidR="00865AEC" w:rsidRPr="009B4A78" w:rsidRDefault="00865AEC" w:rsidP="00F33E49">
      <w:pPr>
        <w:keepNext/>
        <w:keepLines/>
        <w:autoSpaceDE w:val="0"/>
        <w:autoSpaceDN w:val="0"/>
        <w:ind w:left="-142" w:hanging="284"/>
        <w:jc w:val="center"/>
        <w:rPr>
          <w:rFonts w:ascii="Arial" w:hAnsi="Arial" w:cs="Arial"/>
          <w:i/>
          <w:sz w:val="20"/>
        </w:rPr>
      </w:pPr>
    </w:p>
    <w:p w14:paraId="26C8C9CD" w14:textId="70E95FD3" w:rsidR="00865AEC" w:rsidRPr="009B4A78" w:rsidRDefault="00865AEC" w:rsidP="002B052A">
      <w:pPr>
        <w:keepNext/>
        <w:keepLines/>
        <w:tabs>
          <w:tab w:val="left" w:pos="9356"/>
        </w:tabs>
        <w:autoSpaceDE w:val="0"/>
        <w:autoSpaceDN w:val="0"/>
        <w:jc w:val="center"/>
        <w:rPr>
          <w:rFonts w:ascii="Arial" w:hAnsi="Arial" w:cs="Arial"/>
          <w:i/>
          <w:sz w:val="20"/>
        </w:rPr>
      </w:pPr>
      <w:r w:rsidRPr="009B4A78">
        <w:rPr>
          <w:rFonts w:ascii="Arial" w:hAnsi="Arial" w:cs="Arial"/>
          <w:noProof/>
          <w:lang w:eastAsia="en-US"/>
        </w:rPr>
        <w:drawing>
          <wp:inline distT="0" distB="0" distL="0" distR="0" wp14:anchorId="4EEABBF5" wp14:editId="62FC9D82">
            <wp:extent cx="4949377" cy="5572746"/>
            <wp:effectExtent l="0" t="0" r="381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964885" cy="5590207"/>
                    </a:xfrm>
                    <a:prstGeom prst="rect">
                      <a:avLst/>
                    </a:prstGeom>
                    <a:noFill/>
                    <a:ln>
                      <a:noFill/>
                    </a:ln>
                  </pic:spPr>
                </pic:pic>
              </a:graphicData>
            </a:graphic>
          </wp:inline>
        </w:drawing>
      </w:r>
    </w:p>
    <w:p w14:paraId="7FF27930" w14:textId="77777777" w:rsidR="00865AEC" w:rsidRPr="009B4A78" w:rsidRDefault="00865AEC" w:rsidP="00F33E49">
      <w:pPr>
        <w:pStyle w:val="Body1"/>
        <w:rPr>
          <w:rFonts w:ascii="Arial" w:hAnsi="Arial" w:cs="Arial"/>
          <w:sz w:val="22"/>
        </w:rPr>
      </w:pPr>
    </w:p>
    <w:p w14:paraId="7DD6CFCB" w14:textId="40D21D97" w:rsidR="00F33E49" w:rsidRPr="009B4A78" w:rsidRDefault="00F33E49">
      <w:pPr>
        <w:rPr>
          <w:rFonts w:ascii="Arial" w:hAnsi="Arial" w:cs="Arial"/>
          <w:sz w:val="20"/>
        </w:rPr>
      </w:pPr>
      <w:r w:rsidRPr="009B4A78">
        <w:rPr>
          <w:rFonts w:ascii="Arial" w:hAnsi="Arial" w:cs="Arial"/>
          <w:sz w:val="20"/>
        </w:rPr>
        <w:br w:type="page"/>
      </w:r>
    </w:p>
    <w:p w14:paraId="05F6AC34" w14:textId="77777777" w:rsidR="00EF472A" w:rsidRPr="009B4A78" w:rsidRDefault="00EF472A" w:rsidP="00984F70">
      <w:pPr>
        <w:pStyle w:val="StyleHeading3ComplexItalic"/>
        <w:ind w:left="1985" w:hanging="1985"/>
        <w:rPr>
          <w:rStyle w:val="StyleStyleHeading3ComplexItalicLatin12ptChar"/>
          <w:b/>
        </w:rPr>
      </w:pPr>
      <w:bookmarkStart w:id="49" w:name="_Toc427154412"/>
      <w:r w:rsidRPr="009B4A78">
        <w:rPr>
          <w:rStyle w:val="StyleStyleHeading3ComplexItalicLatin12ptChar"/>
          <w:b/>
        </w:rPr>
        <w:lastRenderedPageBreak/>
        <w:t>PROGRAM 13</w:t>
      </w:r>
      <w:r w:rsidRPr="009B4A78">
        <w:rPr>
          <w:rStyle w:val="StyleStyleHeading3ComplexItalicLatin12ptChar"/>
          <w:b/>
        </w:rPr>
        <w:tab/>
        <w:t>GLOBAL DATABASES SERVICE</w:t>
      </w:r>
      <w:bookmarkEnd w:id="49"/>
    </w:p>
    <w:p w14:paraId="6338FC9D" w14:textId="77777777" w:rsidR="00EF472A" w:rsidRPr="009B4A78" w:rsidRDefault="00EF472A" w:rsidP="00984F70">
      <w:pPr>
        <w:autoSpaceDE w:val="0"/>
        <w:autoSpaceDN w:val="0"/>
        <w:adjustRightInd w:val="0"/>
        <w:rPr>
          <w:rFonts w:ascii="Arial" w:hAnsi="Arial" w:cs="Arial"/>
          <w:color w:val="000000"/>
        </w:rPr>
      </w:pPr>
    </w:p>
    <w:p w14:paraId="1C3FF5F1" w14:textId="77777777" w:rsidR="00EF472A" w:rsidRPr="009B4A78" w:rsidRDefault="00EF472A" w:rsidP="00984F70">
      <w:pPr>
        <w:autoSpaceDE w:val="0"/>
        <w:autoSpaceDN w:val="0"/>
        <w:adjustRightInd w:val="0"/>
        <w:rPr>
          <w:rFonts w:ascii="Arial" w:hAnsi="Arial" w:cs="Arial"/>
          <w:color w:val="000000"/>
        </w:rPr>
      </w:pPr>
    </w:p>
    <w:p w14:paraId="5CCAEF66" w14:textId="77777777" w:rsidR="00EF472A" w:rsidRPr="009B4A78" w:rsidRDefault="00EF472A" w:rsidP="00984F70">
      <w:pPr>
        <w:autoSpaceDE w:val="0"/>
        <w:autoSpaceDN w:val="0"/>
        <w:adjustRightInd w:val="0"/>
        <w:rPr>
          <w:rFonts w:ascii="Arial" w:hAnsi="Arial" w:cs="Arial"/>
          <w:color w:val="000000"/>
        </w:rPr>
      </w:pPr>
      <w:r w:rsidRPr="009B4A78">
        <w:rPr>
          <w:rFonts w:ascii="Arial" w:hAnsi="Arial" w:cs="Arial"/>
          <w:color w:val="000000"/>
        </w:rPr>
        <w:t>PLANNING CONTEXT</w:t>
      </w:r>
    </w:p>
    <w:p w14:paraId="704EF584" w14:textId="77777777" w:rsidR="00EF472A" w:rsidRPr="009B4A78" w:rsidRDefault="00EF472A" w:rsidP="00984F70">
      <w:pPr>
        <w:tabs>
          <w:tab w:val="left" w:pos="567"/>
        </w:tabs>
        <w:autoSpaceDE w:val="0"/>
        <w:autoSpaceDN w:val="0"/>
        <w:adjustRightInd w:val="0"/>
        <w:jc w:val="both"/>
        <w:rPr>
          <w:rFonts w:ascii="Arial" w:hAnsi="Arial" w:cs="Arial"/>
          <w:color w:val="000000"/>
          <w:sz w:val="20"/>
        </w:rPr>
      </w:pPr>
    </w:p>
    <w:p w14:paraId="202DC483" w14:textId="0D133702" w:rsidR="00EF472A" w:rsidRPr="009B4A78"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rPr>
      </w:pPr>
      <w:r w:rsidRPr="009B4A78">
        <w:rPr>
          <w:rFonts w:ascii="Arial" w:hAnsi="Arial" w:cs="Arial"/>
          <w:color w:val="000000"/>
          <w:sz w:val="20"/>
        </w:rPr>
        <w:t>WIPO contributes to developing global IP infrastructure by providing IP knowledge content, as public goods, available through global databases.  WIPO global databases (PATENTSCOPE, Global Brand</w:t>
      </w:r>
      <w:r w:rsidR="00656EEF">
        <w:rPr>
          <w:rFonts w:ascii="Arial" w:hAnsi="Arial" w:cs="Arial"/>
          <w:color w:val="000000"/>
          <w:sz w:val="20"/>
        </w:rPr>
        <w:t>s</w:t>
      </w:r>
      <w:r w:rsidRPr="009B4A78">
        <w:rPr>
          <w:rFonts w:ascii="Arial" w:hAnsi="Arial" w:cs="Arial"/>
          <w:color w:val="000000"/>
          <w:sz w:val="20"/>
        </w:rPr>
        <w:t xml:space="preserve"> Database and Global Design</w:t>
      </w:r>
      <w:r w:rsidR="00656EEF">
        <w:rPr>
          <w:rFonts w:ascii="Arial" w:hAnsi="Arial" w:cs="Arial"/>
          <w:color w:val="000000"/>
          <w:sz w:val="20"/>
        </w:rPr>
        <w:t>s</w:t>
      </w:r>
      <w:r w:rsidRPr="009B4A78">
        <w:rPr>
          <w:rFonts w:ascii="Arial" w:hAnsi="Arial" w:cs="Arial"/>
          <w:color w:val="000000"/>
          <w:sz w:val="20"/>
        </w:rPr>
        <w:t xml:space="preserve"> Database) include data from the collections of PCT, Madrid, Lisbon, Paris 6</w:t>
      </w:r>
      <w:r w:rsidRPr="009B4A78">
        <w:rPr>
          <w:rFonts w:ascii="Arial" w:hAnsi="Arial" w:cs="Arial"/>
          <w:i/>
          <w:iCs/>
          <w:color w:val="000000"/>
          <w:sz w:val="20"/>
        </w:rPr>
        <w:t xml:space="preserve">ter </w:t>
      </w:r>
      <w:r w:rsidRPr="009B4A78">
        <w:rPr>
          <w:rFonts w:ascii="Arial" w:hAnsi="Arial" w:cs="Arial"/>
          <w:color w:val="000000"/>
          <w:sz w:val="20"/>
        </w:rPr>
        <w:t>emblems and the Hague systems.  The databases also include national and regional applications/registrations contributed by IP Offices which have agreed to cooperate in expanding WIPO database coverage.  The databases narrow the knowledge gap by promoting the utilization of IP information, including in developing countries and LDCs, and provide data to promote innovation.</w:t>
      </w:r>
    </w:p>
    <w:p w14:paraId="16D89D4D" w14:textId="77777777" w:rsidR="00EF472A" w:rsidRPr="009B4A78" w:rsidRDefault="00EF472A" w:rsidP="00984F70">
      <w:pPr>
        <w:tabs>
          <w:tab w:val="left" w:pos="567"/>
        </w:tabs>
        <w:autoSpaceDE w:val="0"/>
        <w:autoSpaceDN w:val="0"/>
        <w:adjustRightInd w:val="0"/>
        <w:jc w:val="both"/>
        <w:rPr>
          <w:rFonts w:ascii="Arial" w:hAnsi="Arial" w:cs="Arial"/>
          <w:color w:val="000000"/>
          <w:sz w:val="20"/>
        </w:rPr>
      </w:pPr>
    </w:p>
    <w:p w14:paraId="0F173FEF" w14:textId="507075E5" w:rsidR="00EF472A" w:rsidRPr="009B4A78"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rPr>
      </w:pPr>
      <w:r w:rsidRPr="009B4A78">
        <w:rPr>
          <w:rFonts w:ascii="Arial" w:hAnsi="Arial" w:cs="Arial"/>
          <w:color w:val="000000"/>
          <w:sz w:val="20"/>
        </w:rPr>
        <w:t>The Program ensures publication of the PCT international applications and will aim to ensure also the publication of Madrid</w:t>
      </w:r>
      <w:r w:rsidR="00073FB6">
        <w:rPr>
          <w:rFonts w:ascii="Arial" w:hAnsi="Arial" w:cs="Arial"/>
          <w:color w:val="000000"/>
          <w:sz w:val="20"/>
        </w:rPr>
        <w:t>,</w:t>
      </w:r>
      <w:r w:rsidRPr="009B4A78">
        <w:rPr>
          <w:rFonts w:ascii="Arial" w:hAnsi="Arial" w:cs="Arial"/>
          <w:color w:val="000000"/>
          <w:sz w:val="20"/>
        </w:rPr>
        <w:t xml:space="preserve"> the Hague</w:t>
      </w:r>
      <w:r w:rsidR="00073FB6">
        <w:rPr>
          <w:rFonts w:ascii="Arial" w:hAnsi="Arial" w:cs="Arial"/>
          <w:color w:val="000000"/>
          <w:sz w:val="20"/>
        </w:rPr>
        <w:t>, and Lisbon</w:t>
      </w:r>
      <w:r w:rsidRPr="009B4A78">
        <w:rPr>
          <w:rFonts w:ascii="Arial" w:hAnsi="Arial" w:cs="Arial"/>
          <w:color w:val="000000"/>
          <w:sz w:val="20"/>
        </w:rPr>
        <w:t xml:space="preserve"> applications.  WIPO Global Databases support Programs 5 (The PCT System), 6 (Madrid and Lisbon Systems), and 31 (The Hague System) and contribute to Development Agenda Recommendation 8.</w:t>
      </w:r>
    </w:p>
    <w:p w14:paraId="09FC66B4" w14:textId="77777777" w:rsidR="00EF472A" w:rsidRPr="009B4A78" w:rsidRDefault="00EF472A" w:rsidP="00984F70">
      <w:pPr>
        <w:autoSpaceDE w:val="0"/>
        <w:autoSpaceDN w:val="0"/>
        <w:adjustRightInd w:val="0"/>
        <w:jc w:val="both"/>
        <w:rPr>
          <w:rFonts w:ascii="Arial" w:hAnsi="Arial" w:cs="Arial"/>
          <w:color w:val="000000"/>
          <w:sz w:val="20"/>
        </w:rPr>
      </w:pPr>
    </w:p>
    <w:p w14:paraId="32FCC7AE" w14:textId="77777777" w:rsidR="00EF472A" w:rsidRPr="009B4A78" w:rsidRDefault="00EF472A" w:rsidP="00984F70">
      <w:pPr>
        <w:autoSpaceDE w:val="0"/>
        <w:autoSpaceDN w:val="0"/>
        <w:adjustRightInd w:val="0"/>
        <w:jc w:val="both"/>
        <w:rPr>
          <w:rFonts w:ascii="Arial" w:hAnsi="Arial" w:cs="Arial"/>
          <w:color w:val="000000"/>
          <w:sz w:val="20"/>
        </w:rPr>
      </w:pPr>
    </w:p>
    <w:p w14:paraId="26853235" w14:textId="77777777" w:rsidR="00EF472A" w:rsidRPr="009B4A78" w:rsidRDefault="00EF472A" w:rsidP="00984F70">
      <w:pPr>
        <w:jc w:val="both"/>
        <w:rPr>
          <w:rFonts w:ascii="Arial" w:hAnsi="Arial" w:cs="Arial"/>
          <w:bCs/>
        </w:rPr>
      </w:pPr>
      <w:r w:rsidRPr="009B4A78">
        <w:rPr>
          <w:rFonts w:ascii="Arial" w:hAnsi="Arial" w:cs="Arial"/>
          <w:bCs/>
        </w:rPr>
        <w:t>IMPLEMENTATION STRATEGIES</w:t>
      </w:r>
    </w:p>
    <w:p w14:paraId="5EE3E67B" w14:textId="77777777" w:rsidR="00EF472A" w:rsidRPr="009B4A78" w:rsidRDefault="00EF472A" w:rsidP="00984F70">
      <w:pPr>
        <w:jc w:val="both"/>
        <w:rPr>
          <w:rFonts w:ascii="Arial" w:hAnsi="Arial" w:cs="Arial"/>
          <w:b/>
          <w:bCs/>
          <w:sz w:val="20"/>
        </w:rPr>
      </w:pPr>
    </w:p>
    <w:p w14:paraId="680DE49B" w14:textId="77777777" w:rsidR="00EF472A" w:rsidRPr="009B4A78"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szCs w:val="20"/>
        </w:rPr>
      </w:pPr>
      <w:r w:rsidRPr="009B4A78">
        <w:rPr>
          <w:rFonts w:ascii="Arial" w:hAnsi="Arial" w:cs="Arial"/>
          <w:color w:val="000000"/>
          <w:sz w:val="20"/>
          <w:szCs w:val="20"/>
        </w:rPr>
        <w:t xml:space="preserve">WIPO will continue to expand global databases in terms of their geographical coverage of national data collections, and to improve the quality of data and timeliness of updating.  The sophisticated search tools will be further refined to aid innovators and other users to search and analyze IP data.  In particular, multilingual searching of patents with the Cross Lingual Information Retrieval (CLIR) tool, the machine translation tool WIPO Translate and the content-based image retrieval system for visually-similar brands will continue to be developed.  The possibility to search complex work units (like chemical formulae) in the patent texts available in PATENTSCOPE will also be investigated. </w:t>
      </w:r>
    </w:p>
    <w:p w14:paraId="78080C09" w14:textId="77777777" w:rsidR="00EF472A" w:rsidRPr="009B4A78" w:rsidRDefault="00EF472A" w:rsidP="00984F70">
      <w:pPr>
        <w:autoSpaceDE w:val="0"/>
        <w:autoSpaceDN w:val="0"/>
        <w:adjustRightInd w:val="0"/>
        <w:jc w:val="both"/>
        <w:rPr>
          <w:rFonts w:ascii="Arial" w:hAnsi="Arial" w:cs="Arial"/>
          <w:color w:val="000000"/>
          <w:sz w:val="20"/>
        </w:rPr>
      </w:pPr>
    </w:p>
    <w:p w14:paraId="67C2AD87" w14:textId="77777777" w:rsidR="00EF472A" w:rsidRPr="009B4A78"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szCs w:val="20"/>
        </w:rPr>
      </w:pPr>
      <w:r w:rsidRPr="009B4A78">
        <w:rPr>
          <w:rFonts w:ascii="Arial" w:hAnsi="Arial" w:cs="Arial"/>
          <w:b/>
          <w:bCs/>
          <w:color w:val="000000"/>
          <w:sz w:val="20"/>
          <w:szCs w:val="20"/>
        </w:rPr>
        <w:t>PATENTSCOPE</w:t>
      </w:r>
      <w:r w:rsidRPr="009B4A78">
        <w:rPr>
          <w:rFonts w:ascii="Arial" w:hAnsi="Arial" w:cs="Arial"/>
          <w:color w:val="000000"/>
          <w:sz w:val="20"/>
          <w:szCs w:val="20"/>
        </w:rPr>
        <w:t xml:space="preserve">: PATENTSCOPE is not only the global patent database covering national and regional patent data collections but also the legal mechanism for meeting the treaty obligation under the PCT, namely, the international publication of PCT applications.  National data collections will be converted to full text using WIPO’s Optical Character Recognition (OCR) conversion processes.  The system will be further expanded to cover some 50 national/regional data collections and 50 million inventions by the end of the biennium.  Main challenges include the processing of the high volume of data and improving the quality of the data received, ensuring timeliness and completeness of the disseminated data, overcoming linguistic barriers with sophisticated translation tools and maximizing the number of national collections.  Dossier information will be made available to the public through linkages with WIPO-CASE and with other IP offices public global dossier systems.  Finally, a study will be carried out to evaluate the feasibility of indexing open access scientific literature in PATENTSCOPE to facilitate non-patent literature prior art searching. </w:t>
      </w:r>
    </w:p>
    <w:p w14:paraId="3288026A" w14:textId="77777777" w:rsidR="00EF472A" w:rsidRPr="009B4A78" w:rsidRDefault="00EF472A" w:rsidP="00984F70">
      <w:pPr>
        <w:autoSpaceDE w:val="0"/>
        <w:autoSpaceDN w:val="0"/>
        <w:adjustRightInd w:val="0"/>
        <w:jc w:val="both"/>
        <w:rPr>
          <w:rFonts w:ascii="Arial" w:hAnsi="Arial" w:cs="Arial"/>
          <w:color w:val="000000"/>
          <w:sz w:val="20"/>
        </w:rPr>
      </w:pPr>
    </w:p>
    <w:p w14:paraId="26D16557" w14:textId="77777777" w:rsidR="00EF472A" w:rsidRPr="009B4A78"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szCs w:val="20"/>
        </w:rPr>
      </w:pPr>
      <w:r w:rsidRPr="009B4A78">
        <w:rPr>
          <w:rFonts w:ascii="Arial" w:hAnsi="Arial" w:cs="Arial"/>
          <w:b/>
          <w:bCs/>
          <w:color w:val="000000"/>
          <w:sz w:val="20"/>
          <w:szCs w:val="20"/>
        </w:rPr>
        <w:t>WIPO GLOBAL BRANDS DATABASE</w:t>
      </w:r>
      <w:r w:rsidRPr="009B4A78">
        <w:rPr>
          <w:rFonts w:ascii="Arial" w:hAnsi="Arial" w:cs="Arial"/>
          <w:color w:val="000000"/>
          <w:sz w:val="20"/>
          <w:szCs w:val="20"/>
        </w:rPr>
        <w:t>: The database covering international registrations under the Madrid and Lisbon systems, national and regional trademark data collections, and emblems protected under the Paris Convention Article 6</w:t>
      </w:r>
      <w:r w:rsidRPr="009B4A78">
        <w:rPr>
          <w:rFonts w:ascii="Arial" w:hAnsi="Arial" w:cs="Arial"/>
          <w:i/>
          <w:iCs/>
          <w:color w:val="000000"/>
          <w:sz w:val="20"/>
          <w:szCs w:val="20"/>
        </w:rPr>
        <w:t>ter</w:t>
      </w:r>
      <w:r w:rsidRPr="009B4A78">
        <w:rPr>
          <w:rFonts w:ascii="Arial" w:hAnsi="Arial" w:cs="Arial"/>
          <w:color w:val="000000"/>
          <w:sz w:val="20"/>
          <w:szCs w:val="20"/>
        </w:rPr>
        <w:t>, will be further developed to cover some 30 national data collections during the biennium.  Main challenges include the uploading of more data in different data formats and the research to improve the efficiency of the image similarity search system for trademarks.</w:t>
      </w:r>
    </w:p>
    <w:p w14:paraId="4A29835C" w14:textId="77777777" w:rsidR="00EF472A" w:rsidRPr="009B4A78" w:rsidRDefault="00EF472A" w:rsidP="00984F70">
      <w:pPr>
        <w:autoSpaceDE w:val="0"/>
        <w:autoSpaceDN w:val="0"/>
        <w:adjustRightInd w:val="0"/>
        <w:jc w:val="both"/>
        <w:rPr>
          <w:rFonts w:ascii="Arial" w:hAnsi="Arial" w:cs="Arial"/>
          <w:color w:val="000000"/>
          <w:sz w:val="20"/>
        </w:rPr>
      </w:pPr>
    </w:p>
    <w:p w14:paraId="35A14893" w14:textId="77777777" w:rsidR="00EF472A" w:rsidRDefault="00EF472A" w:rsidP="00B66A4A">
      <w:pPr>
        <w:pStyle w:val="ListParagraph"/>
        <w:numPr>
          <w:ilvl w:val="0"/>
          <w:numId w:val="15"/>
        </w:numPr>
        <w:tabs>
          <w:tab w:val="left" w:pos="709"/>
        </w:tabs>
        <w:autoSpaceDE w:val="0"/>
        <w:autoSpaceDN w:val="0"/>
        <w:adjustRightInd w:val="0"/>
        <w:ind w:left="0" w:firstLine="0"/>
        <w:jc w:val="both"/>
        <w:rPr>
          <w:rFonts w:ascii="Arial" w:hAnsi="Arial" w:cs="Arial"/>
          <w:color w:val="000000"/>
          <w:sz w:val="20"/>
          <w:szCs w:val="20"/>
        </w:rPr>
      </w:pPr>
      <w:r w:rsidRPr="009B4A78">
        <w:rPr>
          <w:rFonts w:ascii="Arial" w:hAnsi="Arial" w:cs="Arial"/>
          <w:color w:val="000000"/>
          <w:sz w:val="20"/>
          <w:szCs w:val="20"/>
        </w:rPr>
        <w:t xml:space="preserve"> </w:t>
      </w:r>
      <w:r w:rsidRPr="009B4A78">
        <w:rPr>
          <w:rFonts w:ascii="Arial" w:hAnsi="Arial" w:cs="Arial"/>
          <w:b/>
          <w:bCs/>
          <w:color w:val="000000"/>
          <w:sz w:val="20"/>
          <w:szCs w:val="20"/>
        </w:rPr>
        <w:t>WIPO GLOBAL DESIGNS DATABASE</w:t>
      </w:r>
      <w:r w:rsidRPr="009B4A78">
        <w:rPr>
          <w:rFonts w:ascii="Arial" w:hAnsi="Arial" w:cs="Arial"/>
          <w:color w:val="000000"/>
          <w:sz w:val="20"/>
          <w:szCs w:val="20"/>
        </w:rPr>
        <w:t>:  The database covering international registrations under the Hague system, and national and regional design data collections will be further developed to cover some 10 national data collections during the biennium.  Main challenges include the uploading of image data in different data formats and the implementation of an efficient image similarity search system for registered designs in two dimensions (Locarno class 32).</w:t>
      </w:r>
    </w:p>
    <w:p w14:paraId="45E0A61E" w14:textId="77777777" w:rsidR="002B052A" w:rsidRPr="00FB68E0" w:rsidRDefault="002B052A" w:rsidP="00FB68E0">
      <w:pPr>
        <w:pStyle w:val="ListParagraph"/>
        <w:rPr>
          <w:rFonts w:ascii="Arial" w:hAnsi="Arial" w:cs="Arial"/>
          <w:color w:val="000000"/>
          <w:sz w:val="20"/>
          <w:szCs w:val="20"/>
        </w:rPr>
      </w:pPr>
    </w:p>
    <w:p w14:paraId="071E0CCB" w14:textId="26DD692A" w:rsidR="007A5A68" w:rsidRPr="00FB68E0" w:rsidRDefault="007A5A68" w:rsidP="00B66A4A">
      <w:pPr>
        <w:pStyle w:val="ListParagraph"/>
        <w:keepNext/>
        <w:keepLines/>
        <w:numPr>
          <w:ilvl w:val="0"/>
          <w:numId w:val="15"/>
        </w:numPr>
        <w:tabs>
          <w:tab w:val="left" w:pos="709"/>
        </w:tabs>
        <w:autoSpaceDE w:val="0"/>
        <w:autoSpaceDN w:val="0"/>
        <w:adjustRightInd w:val="0"/>
        <w:ind w:left="0" w:firstLine="0"/>
        <w:jc w:val="both"/>
        <w:rPr>
          <w:rFonts w:ascii="Arial" w:hAnsi="Arial" w:cs="Arial"/>
          <w:color w:val="000000"/>
          <w:sz w:val="20"/>
          <w:szCs w:val="20"/>
        </w:rPr>
      </w:pPr>
      <w:r w:rsidRPr="00FB68E0">
        <w:rPr>
          <w:rFonts w:ascii="Arial" w:hAnsi="Arial" w:cs="Arial"/>
          <w:color w:val="000000"/>
          <w:sz w:val="20"/>
          <w:szCs w:val="20"/>
        </w:rPr>
        <w:lastRenderedPageBreak/>
        <w:t xml:space="preserve">Program 13 collaborates primarily with other Programs as illustrated below: </w:t>
      </w:r>
    </w:p>
    <w:p w14:paraId="5268C020" w14:textId="77777777" w:rsidR="007A5A68" w:rsidRPr="009B4A78" w:rsidRDefault="007A5A68" w:rsidP="007E19DB">
      <w:pPr>
        <w:pStyle w:val="ListParagraph"/>
        <w:keepNext/>
        <w:keepLines/>
        <w:tabs>
          <w:tab w:val="left" w:pos="709"/>
        </w:tabs>
        <w:autoSpaceDE w:val="0"/>
        <w:autoSpaceDN w:val="0"/>
        <w:adjustRightInd w:val="0"/>
        <w:ind w:left="0"/>
        <w:jc w:val="both"/>
        <w:rPr>
          <w:rFonts w:ascii="Arial" w:hAnsi="Arial" w:cs="Arial"/>
          <w:color w:val="000000"/>
          <w:sz w:val="20"/>
          <w:szCs w:val="20"/>
        </w:rPr>
      </w:pPr>
    </w:p>
    <w:p w14:paraId="0769F550" w14:textId="77777777" w:rsidR="00EF472A" w:rsidRPr="009B4A78" w:rsidRDefault="00EF472A" w:rsidP="007E19DB">
      <w:pPr>
        <w:keepNext/>
        <w:keepLines/>
        <w:jc w:val="both"/>
        <w:rPr>
          <w:rFonts w:ascii="Arial" w:hAnsi="Arial" w:cs="Arial"/>
          <w:bCs/>
        </w:rPr>
      </w:pPr>
    </w:p>
    <w:p w14:paraId="06F4C39A" w14:textId="787BFDF5" w:rsidR="00EF472A" w:rsidRPr="009B4A78" w:rsidRDefault="00F4553A" w:rsidP="007E19DB">
      <w:pPr>
        <w:keepNext/>
        <w:keepLines/>
        <w:rPr>
          <w:rFonts w:ascii="Arial" w:hAnsi="Arial" w:cs="Arial"/>
          <w:bCs/>
        </w:rPr>
      </w:pPr>
      <w:r>
        <w:rPr>
          <w:noProof/>
          <w:lang w:eastAsia="en-US"/>
        </w:rPr>
        <w:drawing>
          <wp:inline distT="0" distB="0" distL="0" distR="0" wp14:anchorId="47CAA527" wp14:editId="6A59F310">
            <wp:extent cx="5943600" cy="1691778"/>
            <wp:effectExtent l="0" t="19050" r="0" b="99060"/>
            <wp:docPr id="982"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77008DA2" w14:textId="77777777" w:rsidR="00EF472A" w:rsidRPr="009B4A78" w:rsidRDefault="00EF472A" w:rsidP="007E19DB">
      <w:pPr>
        <w:keepNext/>
        <w:keepLines/>
        <w:rPr>
          <w:rFonts w:ascii="Arial" w:hAnsi="Arial" w:cs="Arial"/>
          <w:bCs/>
          <w:sz w:val="20"/>
        </w:rPr>
      </w:pPr>
    </w:p>
    <w:p w14:paraId="6B4683DF" w14:textId="77777777" w:rsidR="00EF472A" w:rsidRPr="009B4A78" w:rsidRDefault="00EF472A" w:rsidP="00984F70">
      <w:pPr>
        <w:rPr>
          <w:rFonts w:ascii="Arial" w:hAnsi="Arial" w:cs="Arial"/>
          <w:bCs/>
          <w:sz w:val="20"/>
        </w:rPr>
      </w:pPr>
    </w:p>
    <w:p w14:paraId="0B3E042A" w14:textId="77777777" w:rsidR="00EF472A" w:rsidRPr="009B4A78" w:rsidRDefault="00EF472A" w:rsidP="00984F70">
      <w:pPr>
        <w:tabs>
          <w:tab w:val="num" w:pos="709"/>
        </w:tabs>
        <w:rPr>
          <w:rFonts w:ascii="Arial" w:hAnsi="Arial" w:cs="Arial"/>
          <w:bCs/>
        </w:rPr>
      </w:pPr>
      <w:r w:rsidRPr="009B4A78">
        <w:rPr>
          <w:rFonts w:ascii="Arial" w:hAnsi="Arial" w:cs="Arial"/>
          <w:bCs/>
        </w:rPr>
        <w:t xml:space="preserve">MAJOR RISKS AND MITIGATION STRATEGIES  </w:t>
      </w:r>
    </w:p>
    <w:p w14:paraId="6532865D" w14:textId="77777777" w:rsidR="00EF472A" w:rsidRPr="009B4A78" w:rsidRDefault="00EF472A" w:rsidP="00984F70">
      <w:pPr>
        <w:keepNext/>
        <w:keepLines/>
        <w:rPr>
          <w:rFonts w:ascii="Arial" w:hAnsi="Arial" w:cs="Arial"/>
          <w:sz w:val="20"/>
        </w:rPr>
      </w:pPr>
    </w:p>
    <w:tbl>
      <w:tblPr>
        <w:tblW w:w="9179"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73"/>
        <w:gridCol w:w="5006"/>
      </w:tblGrid>
      <w:tr w:rsidR="00EF472A" w:rsidRPr="009B4A78" w14:paraId="7ADA6E65" w14:textId="77777777" w:rsidTr="00984F70">
        <w:trPr>
          <w:trHeight w:val="533"/>
        </w:trPr>
        <w:tc>
          <w:tcPr>
            <w:tcW w:w="4173" w:type="dxa"/>
            <w:tcBorders>
              <w:top w:val="single" w:sz="4" w:space="0" w:color="auto"/>
              <w:bottom w:val="single" w:sz="4" w:space="0" w:color="auto"/>
            </w:tcBorders>
            <w:shd w:val="clear" w:color="auto" w:fill="C6D9F1" w:themeFill="text2" w:themeFillTint="33"/>
            <w:vAlign w:val="center"/>
          </w:tcPr>
          <w:p w14:paraId="5E598615" w14:textId="77777777" w:rsidR="00EF472A" w:rsidRPr="009B4A78" w:rsidRDefault="00EF472A" w:rsidP="00984F70">
            <w:pPr>
              <w:keepNext/>
              <w:keepLines/>
              <w:jc w:val="center"/>
              <w:rPr>
                <w:rFonts w:ascii="Arial" w:hAnsi="Arial" w:cs="Arial"/>
                <w:b/>
                <w:bCs/>
                <w:sz w:val="18"/>
                <w:szCs w:val="18"/>
              </w:rPr>
            </w:pPr>
            <w:r w:rsidRPr="009B4A78">
              <w:rPr>
                <w:rFonts w:ascii="Arial" w:hAnsi="Arial" w:cs="Arial"/>
                <w:b/>
                <w:bCs/>
                <w:sz w:val="18"/>
                <w:szCs w:val="18"/>
              </w:rPr>
              <w:t>Risk</w:t>
            </w:r>
          </w:p>
        </w:tc>
        <w:tc>
          <w:tcPr>
            <w:tcW w:w="5006" w:type="dxa"/>
            <w:tcBorders>
              <w:top w:val="single" w:sz="4" w:space="0" w:color="auto"/>
              <w:bottom w:val="single" w:sz="4" w:space="0" w:color="auto"/>
            </w:tcBorders>
            <w:shd w:val="clear" w:color="auto" w:fill="C6D9F1" w:themeFill="text2" w:themeFillTint="33"/>
            <w:vAlign w:val="center"/>
          </w:tcPr>
          <w:p w14:paraId="2B79CDD7" w14:textId="77777777" w:rsidR="00EF472A" w:rsidRPr="009B4A78" w:rsidRDefault="00EF472A" w:rsidP="00984F70">
            <w:pPr>
              <w:keepNext/>
              <w:keepLines/>
              <w:jc w:val="center"/>
              <w:rPr>
                <w:rFonts w:ascii="Arial" w:hAnsi="Arial" w:cs="Arial"/>
                <w:b/>
                <w:bCs/>
                <w:sz w:val="18"/>
                <w:szCs w:val="18"/>
              </w:rPr>
            </w:pPr>
            <w:r w:rsidRPr="009B4A78">
              <w:rPr>
                <w:rFonts w:ascii="Arial" w:hAnsi="Arial" w:cs="Arial"/>
                <w:b/>
                <w:bCs/>
                <w:sz w:val="18"/>
                <w:szCs w:val="18"/>
              </w:rPr>
              <w:t>Mitigation</w:t>
            </w:r>
          </w:p>
        </w:tc>
      </w:tr>
      <w:tr w:rsidR="00EF472A" w:rsidRPr="009B4A78" w14:paraId="6DE484F1" w14:textId="77777777" w:rsidTr="00984F70">
        <w:trPr>
          <w:trHeight w:val="720"/>
        </w:trPr>
        <w:tc>
          <w:tcPr>
            <w:tcW w:w="417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28CA08DC" w14:textId="77777777" w:rsidR="00EF472A" w:rsidRPr="009B4A78" w:rsidRDefault="00EF472A" w:rsidP="00984F70">
            <w:pPr>
              <w:keepNext/>
              <w:keepLines/>
              <w:rPr>
                <w:rFonts w:ascii="Arial" w:hAnsi="Arial" w:cs="Arial"/>
                <w:sz w:val="12"/>
                <w:szCs w:val="16"/>
              </w:rPr>
            </w:pPr>
            <w:r w:rsidRPr="009B4A78">
              <w:rPr>
                <w:rFonts w:ascii="Arial" w:hAnsi="Arial" w:cs="Arial"/>
                <w:color w:val="000000"/>
                <w:sz w:val="16"/>
              </w:rPr>
              <w:t>Loss of access to Global Databases owing to localized internet service disruption or technical failure at Geneva HQ.</w:t>
            </w:r>
          </w:p>
        </w:tc>
        <w:tc>
          <w:tcPr>
            <w:tcW w:w="5006"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69C2B69D" w14:textId="77777777" w:rsidR="00EF472A" w:rsidRPr="009B4A78" w:rsidRDefault="00EF472A" w:rsidP="00984F70">
            <w:pPr>
              <w:keepNext/>
              <w:keepLines/>
              <w:rPr>
                <w:rFonts w:ascii="Arial" w:hAnsi="Arial" w:cs="Arial"/>
                <w:sz w:val="12"/>
                <w:szCs w:val="16"/>
              </w:rPr>
            </w:pPr>
            <w:r w:rsidRPr="009B4A78">
              <w:rPr>
                <w:rFonts w:ascii="Arial" w:hAnsi="Arial" w:cs="Arial"/>
                <w:color w:val="000000"/>
                <w:sz w:val="16"/>
              </w:rPr>
              <w:t>Service duplication and geographical diversity will be achieved by means of installing remote mirror servers to provide improved service to users and maintain access to data in the case of local disruption in Geneva.</w:t>
            </w:r>
          </w:p>
        </w:tc>
      </w:tr>
    </w:tbl>
    <w:p w14:paraId="72CCFE92" w14:textId="77777777" w:rsidR="00EF472A" w:rsidRPr="009B4A78" w:rsidRDefault="00EF472A" w:rsidP="00984F70">
      <w:pPr>
        <w:rPr>
          <w:rFonts w:ascii="Arial" w:hAnsi="Arial" w:cs="Arial"/>
          <w:b/>
          <w:bCs/>
          <w:sz w:val="20"/>
        </w:rPr>
      </w:pPr>
    </w:p>
    <w:p w14:paraId="3D4F0BF8" w14:textId="77777777" w:rsidR="00EF472A" w:rsidRPr="009B4A78" w:rsidRDefault="00EF472A" w:rsidP="00984F70">
      <w:pPr>
        <w:rPr>
          <w:rFonts w:ascii="Arial" w:hAnsi="Arial" w:cs="Arial"/>
          <w:b/>
          <w:bCs/>
          <w:sz w:val="20"/>
        </w:rPr>
      </w:pPr>
    </w:p>
    <w:p w14:paraId="1C8AF659" w14:textId="77777777" w:rsidR="00EF472A" w:rsidRPr="009B4A78" w:rsidRDefault="00EF472A" w:rsidP="00984F70">
      <w:pPr>
        <w:tabs>
          <w:tab w:val="left" w:pos="567"/>
          <w:tab w:val="left" w:pos="1985"/>
        </w:tabs>
        <w:jc w:val="both"/>
        <w:rPr>
          <w:rFonts w:ascii="Arial" w:hAnsi="Arial" w:cs="Arial"/>
          <w:bCs/>
        </w:rPr>
      </w:pPr>
      <w:r w:rsidRPr="009B4A78">
        <w:rPr>
          <w:rFonts w:ascii="Arial" w:hAnsi="Arial" w:cs="Arial"/>
          <w:bCs/>
        </w:rPr>
        <w:t>RESULTS FRAMEWORK</w:t>
      </w:r>
    </w:p>
    <w:p w14:paraId="1A19723A" w14:textId="77777777" w:rsidR="00EF472A" w:rsidRPr="009B4A78" w:rsidRDefault="00EF472A" w:rsidP="00984F70">
      <w:pPr>
        <w:tabs>
          <w:tab w:val="left" w:pos="567"/>
          <w:tab w:val="left" w:pos="1985"/>
        </w:tabs>
        <w:jc w:val="both"/>
        <w:rPr>
          <w:rFonts w:ascii="Arial" w:hAnsi="Arial" w:cs="Arial"/>
          <w:bCs/>
        </w:rPr>
      </w:pPr>
    </w:p>
    <w:tbl>
      <w:tblPr>
        <w:tblW w:w="9229" w:type="dxa"/>
        <w:tblInd w:w="93" w:type="dxa"/>
        <w:tblLook w:val="04A0" w:firstRow="1" w:lastRow="0" w:firstColumn="1" w:lastColumn="0" w:noHBand="0" w:noVBand="1"/>
      </w:tblPr>
      <w:tblGrid>
        <w:gridCol w:w="2320"/>
        <w:gridCol w:w="2798"/>
        <w:gridCol w:w="2127"/>
        <w:gridCol w:w="1984"/>
      </w:tblGrid>
      <w:tr w:rsidR="00EF472A" w:rsidRPr="009B4A78" w14:paraId="1C584783" w14:textId="77777777" w:rsidTr="008D4CE9">
        <w:trPr>
          <w:trHeight w:val="510"/>
        </w:trPr>
        <w:tc>
          <w:tcPr>
            <w:tcW w:w="232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D3FCFE5" w14:textId="77777777" w:rsidR="00EF472A" w:rsidRPr="009B4A78" w:rsidRDefault="00EF472A" w:rsidP="00984F70">
            <w:pPr>
              <w:jc w:val="center"/>
              <w:rPr>
                <w:rFonts w:ascii="Arial" w:hAnsi="Arial" w:cs="Arial"/>
                <w:b/>
                <w:bCs/>
                <w:color w:val="000000"/>
                <w:sz w:val="18"/>
                <w:szCs w:val="18"/>
              </w:rPr>
            </w:pPr>
            <w:r w:rsidRPr="009B4A78">
              <w:rPr>
                <w:rFonts w:ascii="Arial" w:hAnsi="Arial" w:cs="Arial"/>
                <w:b/>
                <w:bCs/>
                <w:color w:val="000000"/>
                <w:sz w:val="18"/>
                <w:szCs w:val="18"/>
              </w:rPr>
              <w:t>Expected Results</w:t>
            </w:r>
          </w:p>
        </w:tc>
        <w:tc>
          <w:tcPr>
            <w:tcW w:w="2798" w:type="dxa"/>
            <w:tcBorders>
              <w:top w:val="single" w:sz="4" w:space="0" w:color="auto"/>
              <w:left w:val="nil"/>
              <w:bottom w:val="single" w:sz="4" w:space="0" w:color="auto"/>
              <w:right w:val="nil"/>
            </w:tcBorders>
            <w:shd w:val="clear" w:color="auto" w:fill="C6D9F1" w:themeFill="text2" w:themeFillTint="33"/>
            <w:vAlign w:val="center"/>
            <w:hideMark/>
          </w:tcPr>
          <w:p w14:paraId="74176033" w14:textId="77777777" w:rsidR="00EF472A" w:rsidRPr="009B4A78" w:rsidRDefault="00EF472A" w:rsidP="00984F70">
            <w:pPr>
              <w:jc w:val="center"/>
              <w:rPr>
                <w:rFonts w:ascii="Arial" w:hAnsi="Arial" w:cs="Arial"/>
                <w:b/>
                <w:bCs/>
                <w:color w:val="000000"/>
                <w:sz w:val="18"/>
                <w:szCs w:val="18"/>
              </w:rPr>
            </w:pPr>
            <w:r w:rsidRPr="009B4A78">
              <w:rPr>
                <w:rFonts w:ascii="Arial" w:hAnsi="Arial" w:cs="Arial"/>
                <w:b/>
                <w:bCs/>
                <w:color w:val="000000"/>
                <w:sz w:val="18"/>
                <w:szCs w:val="18"/>
              </w:rPr>
              <w:t>Performance Indicators</w:t>
            </w:r>
          </w:p>
        </w:tc>
        <w:tc>
          <w:tcPr>
            <w:tcW w:w="2127" w:type="dxa"/>
            <w:tcBorders>
              <w:top w:val="single" w:sz="4" w:space="0" w:color="auto"/>
              <w:left w:val="nil"/>
              <w:bottom w:val="single" w:sz="4" w:space="0" w:color="auto"/>
              <w:right w:val="nil"/>
            </w:tcBorders>
            <w:shd w:val="clear" w:color="auto" w:fill="C6D9F1" w:themeFill="text2" w:themeFillTint="33"/>
            <w:vAlign w:val="center"/>
            <w:hideMark/>
          </w:tcPr>
          <w:p w14:paraId="3FD286D4" w14:textId="77777777" w:rsidR="00EF472A" w:rsidRPr="009B4A78" w:rsidRDefault="00EF472A" w:rsidP="00984F70">
            <w:pPr>
              <w:jc w:val="center"/>
              <w:rPr>
                <w:rFonts w:ascii="Arial" w:hAnsi="Arial" w:cs="Arial"/>
                <w:b/>
                <w:bCs/>
                <w:color w:val="000000"/>
                <w:sz w:val="18"/>
                <w:szCs w:val="18"/>
              </w:rPr>
            </w:pPr>
            <w:r w:rsidRPr="009B4A78">
              <w:rPr>
                <w:rFonts w:ascii="Arial" w:hAnsi="Arial" w:cs="Arial"/>
                <w:b/>
                <w:bCs/>
                <w:color w:val="000000"/>
                <w:sz w:val="18"/>
                <w:szCs w:val="18"/>
              </w:rPr>
              <w:t>Baselines</w:t>
            </w:r>
          </w:p>
        </w:tc>
        <w:tc>
          <w:tcPr>
            <w:tcW w:w="1984"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0A8B4810" w14:textId="77777777" w:rsidR="00EF472A" w:rsidRPr="009B4A78" w:rsidRDefault="00EF472A" w:rsidP="00984F70">
            <w:pPr>
              <w:jc w:val="center"/>
              <w:rPr>
                <w:rFonts w:ascii="Arial" w:hAnsi="Arial" w:cs="Arial"/>
                <w:b/>
                <w:bCs/>
                <w:color w:val="000000"/>
                <w:sz w:val="18"/>
                <w:szCs w:val="18"/>
              </w:rPr>
            </w:pPr>
            <w:r w:rsidRPr="009B4A78">
              <w:rPr>
                <w:rFonts w:ascii="Arial" w:hAnsi="Arial" w:cs="Arial"/>
                <w:b/>
                <w:bCs/>
                <w:color w:val="000000"/>
                <w:sz w:val="18"/>
                <w:szCs w:val="18"/>
              </w:rPr>
              <w:t>Targets</w:t>
            </w:r>
          </w:p>
        </w:tc>
      </w:tr>
      <w:tr w:rsidR="00EF472A" w:rsidRPr="009B4A78" w14:paraId="11E8E80C" w14:textId="77777777" w:rsidTr="008D4CE9">
        <w:trPr>
          <w:trHeight w:val="1093"/>
        </w:trPr>
        <w:tc>
          <w:tcPr>
            <w:tcW w:w="2320" w:type="dxa"/>
            <w:vMerge w:val="restart"/>
            <w:tcBorders>
              <w:top w:val="nil"/>
              <w:left w:val="single" w:sz="4" w:space="0" w:color="auto"/>
              <w:bottom w:val="nil"/>
              <w:right w:val="nil"/>
            </w:tcBorders>
            <w:shd w:val="clear" w:color="000000" w:fill="FFFFFF"/>
            <w:hideMark/>
          </w:tcPr>
          <w:p w14:paraId="01BC1AD3" w14:textId="77777777" w:rsidR="00EF472A" w:rsidRPr="009B4A78" w:rsidRDefault="00EF472A" w:rsidP="00984F70">
            <w:pPr>
              <w:rPr>
                <w:rFonts w:ascii="Arial" w:hAnsi="Arial" w:cs="Arial"/>
                <w:color w:val="000000"/>
                <w:sz w:val="16"/>
                <w:szCs w:val="16"/>
              </w:rPr>
            </w:pPr>
            <w:r w:rsidRPr="009B4A78">
              <w:rPr>
                <w:rFonts w:ascii="Arial" w:hAnsi="Arial" w:cs="Arial"/>
                <w:color w:val="000000"/>
                <w:sz w:val="16"/>
                <w:szCs w:val="16"/>
              </w:rPr>
              <w:br/>
              <w:t>IV.2 Enhanced access to, and use of, IP information by IP institutions and the public to promote innovation and creativity</w:t>
            </w:r>
          </w:p>
        </w:tc>
        <w:tc>
          <w:tcPr>
            <w:tcW w:w="2798" w:type="dxa"/>
            <w:tcBorders>
              <w:top w:val="nil"/>
              <w:left w:val="nil"/>
              <w:bottom w:val="nil"/>
              <w:right w:val="nil"/>
            </w:tcBorders>
            <w:shd w:val="clear" w:color="000000" w:fill="FFFFFF"/>
            <w:hideMark/>
          </w:tcPr>
          <w:p w14:paraId="285DC6E7" w14:textId="77777777" w:rsidR="00EF472A" w:rsidRPr="009B4A78" w:rsidRDefault="00EF472A" w:rsidP="008D4CE9">
            <w:pPr>
              <w:ind w:firstLineChars="200" w:firstLine="320"/>
              <w:rPr>
                <w:rFonts w:ascii="Arial" w:hAnsi="Arial" w:cs="Arial"/>
                <w:color w:val="000000"/>
                <w:sz w:val="16"/>
                <w:szCs w:val="16"/>
              </w:rPr>
            </w:pPr>
            <w:r w:rsidRPr="009B4A78">
              <w:rPr>
                <w:rFonts w:ascii="Arial" w:hAnsi="Arial" w:cs="Arial"/>
                <w:color w:val="000000"/>
                <w:sz w:val="16"/>
                <w:szCs w:val="16"/>
              </w:rPr>
              <w:br/>
              <w:t xml:space="preserve">No. of different users per quarter in all Global Database systems </w:t>
            </w:r>
          </w:p>
        </w:tc>
        <w:tc>
          <w:tcPr>
            <w:tcW w:w="2127" w:type="dxa"/>
            <w:tcBorders>
              <w:top w:val="nil"/>
              <w:left w:val="nil"/>
              <w:bottom w:val="nil"/>
              <w:right w:val="nil"/>
            </w:tcBorders>
            <w:shd w:val="clear" w:color="000000" w:fill="FFFFFF"/>
            <w:hideMark/>
          </w:tcPr>
          <w:p w14:paraId="30A452E1" w14:textId="77777777" w:rsidR="00EF472A" w:rsidRPr="009B4A78" w:rsidRDefault="00EF472A" w:rsidP="008D4CE9">
            <w:pPr>
              <w:ind w:left="175" w:firstLineChars="200" w:firstLine="320"/>
              <w:rPr>
                <w:rFonts w:ascii="Arial" w:hAnsi="Arial" w:cs="Arial"/>
                <w:color w:val="000000"/>
                <w:sz w:val="16"/>
                <w:szCs w:val="16"/>
                <w:lang w:val="fr-CH"/>
              </w:rPr>
            </w:pPr>
            <w:r w:rsidRPr="001736A1">
              <w:rPr>
                <w:rFonts w:ascii="Arial" w:hAnsi="Arial" w:cs="Arial"/>
                <w:color w:val="000000"/>
                <w:sz w:val="16"/>
                <w:szCs w:val="16"/>
                <w:lang w:val="fr-CH"/>
              </w:rPr>
              <w:br/>
            </w:r>
            <w:r w:rsidRPr="009B4A78">
              <w:rPr>
                <w:rFonts w:ascii="Arial" w:hAnsi="Arial" w:cs="Arial"/>
                <w:color w:val="000000"/>
                <w:sz w:val="16"/>
                <w:szCs w:val="16"/>
                <w:lang w:val="fr-CH"/>
              </w:rPr>
              <w:t>Unique visitors (Q4 2014) PATENTSCOPE 592,000; GBD 49,000; GDD N/A</w:t>
            </w:r>
          </w:p>
        </w:tc>
        <w:tc>
          <w:tcPr>
            <w:tcW w:w="1984" w:type="dxa"/>
            <w:tcBorders>
              <w:top w:val="nil"/>
              <w:left w:val="nil"/>
              <w:bottom w:val="nil"/>
              <w:right w:val="single" w:sz="4" w:space="0" w:color="auto"/>
            </w:tcBorders>
            <w:shd w:val="clear" w:color="000000" w:fill="FFFFFF"/>
            <w:hideMark/>
          </w:tcPr>
          <w:p w14:paraId="2B0C4CBE" w14:textId="77777777" w:rsidR="00EF472A" w:rsidRPr="009B4A78" w:rsidRDefault="00EF472A" w:rsidP="00984F70">
            <w:pPr>
              <w:ind w:left="340" w:firstLineChars="200" w:firstLine="320"/>
              <w:rPr>
                <w:rFonts w:ascii="Arial" w:hAnsi="Arial" w:cs="Arial"/>
                <w:color w:val="000000"/>
                <w:sz w:val="16"/>
                <w:szCs w:val="16"/>
              </w:rPr>
            </w:pPr>
            <w:r w:rsidRPr="009B4A78">
              <w:rPr>
                <w:rFonts w:ascii="Arial" w:hAnsi="Arial" w:cs="Arial"/>
                <w:color w:val="000000"/>
                <w:sz w:val="16"/>
                <w:szCs w:val="16"/>
                <w:lang w:val="fr-CH"/>
              </w:rPr>
              <w:br/>
            </w:r>
            <w:r w:rsidRPr="009B4A78">
              <w:rPr>
                <w:rFonts w:ascii="Arial" w:hAnsi="Arial" w:cs="Arial"/>
                <w:color w:val="000000"/>
                <w:sz w:val="16"/>
                <w:szCs w:val="16"/>
              </w:rPr>
              <w:t>PATENTSCOPE 650,000; GBD 70,000; GDD 15,000</w:t>
            </w:r>
          </w:p>
        </w:tc>
      </w:tr>
      <w:tr w:rsidR="00EF472A" w:rsidRPr="009B4A78" w14:paraId="3C479B1E" w14:textId="77777777" w:rsidTr="008D4CE9">
        <w:trPr>
          <w:trHeight w:val="449"/>
        </w:trPr>
        <w:tc>
          <w:tcPr>
            <w:tcW w:w="2320" w:type="dxa"/>
            <w:vMerge/>
            <w:tcBorders>
              <w:top w:val="nil"/>
              <w:left w:val="single" w:sz="4" w:space="0" w:color="auto"/>
              <w:bottom w:val="nil"/>
              <w:right w:val="nil"/>
            </w:tcBorders>
            <w:vAlign w:val="center"/>
            <w:hideMark/>
          </w:tcPr>
          <w:p w14:paraId="2F1AD1BA" w14:textId="77777777" w:rsidR="00EF472A" w:rsidRPr="009B4A78" w:rsidRDefault="00EF472A" w:rsidP="00984F70">
            <w:pPr>
              <w:rPr>
                <w:rFonts w:ascii="Arial" w:hAnsi="Arial" w:cs="Arial"/>
                <w:color w:val="000000"/>
                <w:sz w:val="16"/>
                <w:szCs w:val="16"/>
              </w:rPr>
            </w:pPr>
          </w:p>
        </w:tc>
        <w:tc>
          <w:tcPr>
            <w:tcW w:w="2798" w:type="dxa"/>
            <w:tcBorders>
              <w:top w:val="nil"/>
              <w:left w:val="nil"/>
              <w:bottom w:val="nil"/>
              <w:right w:val="nil"/>
            </w:tcBorders>
            <w:shd w:val="clear" w:color="000000" w:fill="FFFFFF"/>
            <w:hideMark/>
          </w:tcPr>
          <w:p w14:paraId="32EC9D58" w14:textId="77777777"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No. of languages in which cross-lingual search is available</w:t>
            </w:r>
          </w:p>
        </w:tc>
        <w:tc>
          <w:tcPr>
            <w:tcW w:w="2127" w:type="dxa"/>
            <w:tcBorders>
              <w:top w:val="nil"/>
              <w:left w:val="nil"/>
              <w:bottom w:val="nil"/>
              <w:right w:val="nil"/>
            </w:tcBorders>
            <w:shd w:val="clear" w:color="000000" w:fill="FFFFFF"/>
            <w:hideMark/>
          </w:tcPr>
          <w:p w14:paraId="3A5D0B77" w14:textId="77777777" w:rsidR="00EF472A" w:rsidRPr="009B4A78" w:rsidRDefault="00EF472A" w:rsidP="008D4CE9">
            <w:pPr>
              <w:ind w:left="175"/>
              <w:rPr>
                <w:rFonts w:ascii="Arial" w:hAnsi="Arial" w:cs="Arial"/>
                <w:color w:val="000000"/>
                <w:sz w:val="16"/>
                <w:szCs w:val="16"/>
              </w:rPr>
            </w:pPr>
            <w:r w:rsidRPr="009B4A78">
              <w:rPr>
                <w:rFonts w:ascii="Arial" w:hAnsi="Arial" w:cs="Arial"/>
                <w:color w:val="000000"/>
                <w:sz w:val="16"/>
                <w:szCs w:val="16"/>
              </w:rPr>
              <w:t>12 (end 2014)</w:t>
            </w:r>
          </w:p>
        </w:tc>
        <w:tc>
          <w:tcPr>
            <w:tcW w:w="1984" w:type="dxa"/>
            <w:tcBorders>
              <w:top w:val="nil"/>
              <w:left w:val="nil"/>
              <w:bottom w:val="nil"/>
              <w:right w:val="single" w:sz="4" w:space="0" w:color="auto"/>
            </w:tcBorders>
            <w:shd w:val="clear" w:color="000000" w:fill="FFFFFF"/>
            <w:hideMark/>
          </w:tcPr>
          <w:p w14:paraId="1E8DAD8C"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14</w:t>
            </w:r>
          </w:p>
        </w:tc>
      </w:tr>
      <w:tr w:rsidR="00EF472A" w:rsidRPr="009B4A78" w14:paraId="2EE066EC" w14:textId="77777777" w:rsidTr="008D4CE9">
        <w:trPr>
          <w:trHeight w:val="810"/>
        </w:trPr>
        <w:tc>
          <w:tcPr>
            <w:tcW w:w="2320" w:type="dxa"/>
            <w:vMerge/>
            <w:tcBorders>
              <w:top w:val="nil"/>
              <w:left w:val="single" w:sz="4" w:space="0" w:color="auto"/>
              <w:bottom w:val="nil"/>
              <w:right w:val="nil"/>
            </w:tcBorders>
            <w:vAlign w:val="center"/>
            <w:hideMark/>
          </w:tcPr>
          <w:p w14:paraId="22169DC6" w14:textId="77777777" w:rsidR="00EF472A" w:rsidRPr="009B4A78" w:rsidRDefault="00EF472A" w:rsidP="00984F70">
            <w:pPr>
              <w:rPr>
                <w:rFonts w:ascii="Arial" w:hAnsi="Arial" w:cs="Arial"/>
                <w:color w:val="000000"/>
                <w:sz w:val="16"/>
                <w:szCs w:val="16"/>
              </w:rPr>
            </w:pPr>
          </w:p>
        </w:tc>
        <w:tc>
          <w:tcPr>
            <w:tcW w:w="2798" w:type="dxa"/>
            <w:tcBorders>
              <w:top w:val="nil"/>
              <w:left w:val="nil"/>
              <w:bottom w:val="nil"/>
              <w:right w:val="nil"/>
            </w:tcBorders>
            <w:shd w:val="clear" w:color="000000" w:fill="FFFFFF"/>
            <w:hideMark/>
          </w:tcPr>
          <w:p w14:paraId="58AF8088" w14:textId="77777777"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No. of language pairs available for translation of descriptions and claims.</w:t>
            </w:r>
          </w:p>
        </w:tc>
        <w:tc>
          <w:tcPr>
            <w:tcW w:w="2127" w:type="dxa"/>
            <w:tcBorders>
              <w:top w:val="nil"/>
              <w:left w:val="nil"/>
              <w:bottom w:val="nil"/>
              <w:right w:val="nil"/>
            </w:tcBorders>
            <w:shd w:val="clear" w:color="000000" w:fill="FFFFFF"/>
            <w:hideMark/>
          </w:tcPr>
          <w:p w14:paraId="5FE2C5CF" w14:textId="77777777" w:rsidR="00EF472A" w:rsidRPr="009B4A78" w:rsidRDefault="00EF472A" w:rsidP="008D4CE9">
            <w:pPr>
              <w:ind w:left="175"/>
              <w:rPr>
                <w:rFonts w:ascii="Arial" w:hAnsi="Arial" w:cs="Arial"/>
                <w:color w:val="000000"/>
                <w:sz w:val="16"/>
                <w:szCs w:val="16"/>
              </w:rPr>
            </w:pPr>
            <w:r w:rsidRPr="009B4A78">
              <w:rPr>
                <w:rFonts w:ascii="Arial" w:hAnsi="Arial" w:cs="Arial"/>
                <w:color w:val="000000"/>
                <w:sz w:val="16"/>
                <w:szCs w:val="16"/>
              </w:rPr>
              <w:t xml:space="preserve"> 0 (end 2014)</w:t>
            </w:r>
          </w:p>
        </w:tc>
        <w:tc>
          <w:tcPr>
            <w:tcW w:w="1984" w:type="dxa"/>
            <w:tcBorders>
              <w:top w:val="nil"/>
              <w:left w:val="nil"/>
              <w:bottom w:val="nil"/>
              <w:right w:val="single" w:sz="4" w:space="0" w:color="auto"/>
            </w:tcBorders>
            <w:shd w:val="clear" w:color="000000" w:fill="FFFFFF"/>
            <w:hideMark/>
          </w:tcPr>
          <w:p w14:paraId="19CB7F54"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4</w:t>
            </w:r>
          </w:p>
        </w:tc>
      </w:tr>
      <w:tr w:rsidR="00EF472A" w:rsidRPr="009B4A78" w14:paraId="3D7438BB" w14:textId="77777777" w:rsidTr="008D4CE9">
        <w:trPr>
          <w:trHeight w:val="518"/>
        </w:trPr>
        <w:tc>
          <w:tcPr>
            <w:tcW w:w="2320" w:type="dxa"/>
            <w:vMerge/>
            <w:tcBorders>
              <w:top w:val="nil"/>
              <w:left w:val="single" w:sz="4" w:space="0" w:color="auto"/>
              <w:bottom w:val="nil"/>
              <w:right w:val="nil"/>
            </w:tcBorders>
            <w:vAlign w:val="center"/>
            <w:hideMark/>
          </w:tcPr>
          <w:p w14:paraId="71D9486B" w14:textId="77777777" w:rsidR="00EF472A" w:rsidRPr="009B4A78" w:rsidRDefault="00EF472A" w:rsidP="00984F70">
            <w:pPr>
              <w:rPr>
                <w:rFonts w:ascii="Arial" w:hAnsi="Arial" w:cs="Arial"/>
                <w:color w:val="000000"/>
                <w:sz w:val="16"/>
                <w:szCs w:val="16"/>
              </w:rPr>
            </w:pPr>
          </w:p>
        </w:tc>
        <w:tc>
          <w:tcPr>
            <w:tcW w:w="2798" w:type="dxa"/>
            <w:tcBorders>
              <w:top w:val="nil"/>
              <w:left w:val="nil"/>
              <w:bottom w:val="nil"/>
              <w:right w:val="nil"/>
            </w:tcBorders>
            <w:shd w:val="clear" w:color="000000" w:fill="FFFFFF"/>
            <w:hideMark/>
          </w:tcPr>
          <w:p w14:paraId="37BC2529" w14:textId="77777777"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No. of records contained in PATENTSCOPE</w:t>
            </w:r>
          </w:p>
        </w:tc>
        <w:tc>
          <w:tcPr>
            <w:tcW w:w="2127" w:type="dxa"/>
            <w:tcBorders>
              <w:top w:val="nil"/>
              <w:left w:val="nil"/>
              <w:bottom w:val="nil"/>
              <w:right w:val="nil"/>
            </w:tcBorders>
            <w:shd w:val="clear" w:color="000000" w:fill="FFFFFF"/>
            <w:hideMark/>
          </w:tcPr>
          <w:p w14:paraId="47EA6C23" w14:textId="77777777" w:rsidR="00EF472A" w:rsidRPr="009B4A78" w:rsidRDefault="00EF472A" w:rsidP="008D4CE9">
            <w:pPr>
              <w:ind w:left="175"/>
              <w:rPr>
                <w:rFonts w:ascii="Arial" w:hAnsi="Arial" w:cs="Arial"/>
                <w:color w:val="000000"/>
                <w:sz w:val="16"/>
                <w:szCs w:val="16"/>
              </w:rPr>
            </w:pPr>
            <w:r w:rsidRPr="009B4A78">
              <w:rPr>
                <w:rFonts w:ascii="Arial" w:hAnsi="Arial" w:cs="Arial"/>
                <w:color w:val="000000"/>
                <w:sz w:val="16"/>
                <w:szCs w:val="16"/>
              </w:rPr>
              <w:t>43,000,000 (end 2014)</w:t>
            </w:r>
          </w:p>
        </w:tc>
        <w:tc>
          <w:tcPr>
            <w:tcW w:w="1984" w:type="dxa"/>
            <w:tcBorders>
              <w:top w:val="nil"/>
              <w:left w:val="nil"/>
              <w:bottom w:val="nil"/>
              <w:right w:val="single" w:sz="4" w:space="0" w:color="auto"/>
            </w:tcBorders>
            <w:shd w:val="clear" w:color="000000" w:fill="FFFFFF"/>
            <w:hideMark/>
          </w:tcPr>
          <w:p w14:paraId="0743572E" w14:textId="126AEE31" w:rsidR="00EF472A" w:rsidRPr="009B4A78" w:rsidRDefault="00EF472A" w:rsidP="00BF5BD2">
            <w:pPr>
              <w:ind w:firstLineChars="200" w:firstLine="320"/>
              <w:rPr>
                <w:rFonts w:ascii="Arial" w:hAnsi="Arial" w:cs="Arial"/>
                <w:color w:val="000000"/>
                <w:sz w:val="16"/>
                <w:szCs w:val="16"/>
              </w:rPr>
            </w:pPr>
            <w:r w:rsidRPr="009B4A78">
              <w:rPr>
                <w:rFonts w:ascii="Arial" w:hAnsi="Arial" w:cs="Arial"/>
                <w:color w:val="000000"/>
                <w:sz w:val="16"/>
                <w:szCs w:val="16"/>
              </w:rPr>
              <w:t>50</w:t>
            </w:r>
            <w:r w:rsidR="00BF5BD2">
              <w:rPr>
                <w:rFonts w:ascii="Arial" w:hAnsi="Arial" w:cs="Arial"/>
                <w:color w:val="000000"/>
                <w:sz w:val="16"/>
                <w:szCs w:val="16"/>
              </w:rPr>
              <w:t>,</w:t>
            </w:r>
            <w:r w:rsidRPr="009B4A78">
              <w:rPr>
                <w:rFonts w:ascii="Arial" w:hAnsi="Arial" w:cs="Arial"/>
                <w:color w:val="000000"/>
                <w:sz w:val="16"/>
                <w:szCs w:val="16"/>
              </w:rPr>
              <w:t>000</w:t>
            </w:r>
            <w:r w:rsidR="00BF5BD2">
              <w:rPr>
                <w:rFonts w:ascii="Arial" w:hAnsi="Arial" w:cs="Arial"/>
                <w:color w:val="000000"/>
                <w:sz w:val="16"/>
                <w:szCs w:val="16"/>
              </w:rPr>
              <w:t>,</w:t>
            </w:r>
            <w:r w:rsidRPr="009B4A78">
              <w:rPr>
                <w:rFonts w:ascii="Arial" w:hAnsi="Arial" w:cs="Arial"/>
                <w:color w:val="000000"/>
                <w:sz w:val="16"/>
                <w:szCs w:val="16"/>
              </w:rPr>
              <w:t>000</w:t>
            </w:r>
          </w:p>
        </w:tc>
      </w:tr>
      <w:tr w:rsidR="005D4F01" w:rsidRPr="009B4A78" w14:paraId="655F4D58" w14:textId="77777777" w:rsidTr="008D4CE9">
        <w:trPr>
          <w:trHeight w:val="518"/>
        </w:trPr>
        <w:tc>
          <w:tcPr>
            <w:tcW w:w="2320" w:type="dxa"/>
            <w:tcBorders>
              <w:top w:val="nil"/>
              <w:left w:val="single" w:sz="4" w:space="0" w:color="auto"/>
              <w:bottom w:val="nil"/>
              <w:right w:val="nil"/>
            </w:tcBorders>
            <w:vAlign w:val="center"/>
          </w:tcPr>
          <w:p w14:paraId="17684969" w14:textId="77777777" w:rsidR="005D4F01" w:rsidRPr="009B4A78" w:rsidRDefault="005D4F01" w:rsidP="00984F70">
            <w:pPr>
              <w:rPr>
                <w:rFonts w:ascii="Arial" w:hAnsi="Arial" w:cs="Arial"/>
                <w:color w:val="000000"/>
                <w:sz w:val="16"/>
                <w:szCs w:val="16"/>
              </w:rPr>
            </w:pPr>
          </w:p>
        </w:tc>
        <w:tc>
          <w:tcPr>
            <w:tcW w:w="2798" w:type="dxa"/>
            <w:tcBorders>
              <w:top w:val="nil"/>
              <w:left w:val="nil"/>
              <w:bottom w:val="nil"/>
              <w:right w:val="nil"/>
            </w:tcBorders>
            <w:shd w:val="clear" w:color="000000" w:fill="FFFFFF"/>
          </w:tcPr>
          <w:p w14:paraId="3BE2FAEB" w14:textId="77777777" w:rsidR="005D4F01" w:rsidRDefault="005D4F01" w:rsidP="008D4CE9">
            <w:pPr>
              <w:rPr>
                <w:rFonts w:ascii="Arial" w:hAnsi="Arial" w:cs="Arial"/>
                <w:color w:val="000000"/>
                <w:sz w:val="16"/>
                <w:szCs w:val="16"/>
              </w:rPr>
            </w:pPr>
            <w:r w:rsidRPr="005D4F01">
              <w:rPr>
                <w:rFonts w:ascii="Arial" w:hAnsi="Arial" w:cs="Arial"/>
                <w:color w:val="000000"/>
                <w:sz w:val="16"/>
                <w:szCs w:val="16"/>
              </w:rPr>
              <w:t>Timeliness of data uploading (the average delay in days between the publication date of the records in their official register and availability in Global Databases for a representative subset of national collections)</w:t>
            </w:r>
          </w:p>
          <w:p w14:paraId="16D4F599" w14:textId="5D17617E" w:rsidR="00CF7658" w:rsidRPr="009B4A78" w:rsidRDefault="00CF7658" w:rsidP="008D4CE9">
            <w:pPr>
              <w:rPr>
                <w:rFonts w:ascii="Arial" w:hAnsi="Arial" w:cs="Arial"/>
                <w:color w:val="000000"/>
                <w:sz w:val="16"/>
                <w:szCs w:val="16"/>
              </w:rPr>
            </w:pPr>
          </w:p>
        </w:tc>
        <w:tc>
          <w:tcPr>
            <w:tcW w:w="2127" w:type="dxa"/>
            <w:tcBorders>
              <w:top w:val="nil"/>
              <w:left w:val="nil"/>
              <w:bottom w:val="nil"/>
              <w:right w:val="nil"/>
            </w:tcBorders>
            <w:shd w:val="clear" w:color="000000" w:fill="FFFFFF"/>
          </w:tcPr>
          <w:p w14:paraId="02DEA7C2" w14:textId="5713BCD4" w:rsidR="005D4F01" w:rsidRPr="009B4A78" w:rsidRDefault="005D4F01" w:rsidP="008D4CE9">
            <w:pPr>
              <w:ind w:left="175" w:firstLineChars="200" w:firstLine="320"/>
              <w:rPr>
                <w:rFonts w:ascii="Arial" w:hAnsi="Arial" w:cs="Arial"/>
                <w:color w:val="000000"/>
                <w:sz w:val="16"/>
                <w:szCs w:val="16"/>
              </w:rPr>
            </w:pPr>
            <w:r>
              <w:rPr>
                <w:rFonts w:ascii="Arial" w:hAnsi="Arial" w:cs="Arial"/>
                <w:color w:val="000000"/>
                <w:sz w:val="16"/>
                <w:szCs w:val="16"/>
              </w:rPr>
              <w:t>n/a</w:t>
            </w:r>
          </w:p>
        </w:tc>
        <w:tc>
          <w:tcPr>
            <w:tcW w:w="1984" w:type="dxa"/>
            <w:tcBorders>
              <w:top w:val="nil"/>
              <w:left w:val="nil"/>
              <w:bottom w:val="nil"/>
              <w:right w:val="single" w:sz="4" w:space="0" w:color="auto"/>
            </w:tcBorders>
            <w:shd w:val="clear" w:color="000000" w:fill="FFFFFF"/>
          </w:tcPr>
          <w:p w14:paraId="32D6614B" w14:textId="2B3FFD24" w:rsidR="005D4F01" w:rsidRPr="009B4A78" w:rsidRDefault="005D4F01" w:rsidP="00BF5BD2">
            <w:pPr>
              <w:ind w:firstLineChars="200" w:firstLine="320"/>
              <w:rPr>
                <w:rFonts w:ascii="Arial" w:hAnsi="Arial" w:cs="Arial"/>
                <w:color w:val="000000"/>
                <w:sz w:val="16"/>
                <w:szCs w:val="16"/>
              </w:rPr>
            </w:pPr>
            <w:r>
              <w:rPr>
                <w:rFonts w:ascii="Arial" w:hAnsi="Arial" w:cs="Arial"/>
                <w:color w:val="000000"/>
                <w:sz w:val="16"/>
                <w:szCs w:val="16"/>
              </w:rPr>
              <w:t>45 days</w:t>
            </w:r>
          </w:p>
        </w:tc>
      </w:tr>
      <w:tr w:rsidR="00EF472A" w:rsidRPr="009B4A78" w14:paraId="7FB5EF84" w14:textId="77777777" w:rsidTr="008D4CE9">
        <w:trPr>
          <w:trHeight w:val="480"/>
        </w:trPr>
        <w:tc>
          <w:tcPr>
            <w:tcW w:w="2320" w:type="dxa"/>
            <w:vMerge w:val="restart"/>
            <w:tcBorders>
              <w:top w:val="nil"/>
              <w:left w:val="single" w:sz="4" w:space="0" w:color="auto"/>
              <w:bottom w:val="single" w:sz="4" w:space="0" w:color="000000"/>
              <w:right w:val="nil"/>
            </w:tcBorders>
            <w:shd w:val="clear" w:color="000000" w:fill="FFFFFF"/>
            <w:hideMark/>
          </w:tcPr>
          <w:p w14:paraId="2EB1408A" w14:textId="77777777" w:rsidR="00EF472A" w:rsidRPr="009B4A78" w:rsidRDefault="00EF472A" w:rsidP="00984F70">
            <w:pPr>
              <w:rPr>
                <w:rFonts w:ascii="Arial" w:hAnsi="Arial" w:cs="Arial"/>
                <w:color w:val="000000"/>
                <w:sz w:val="16"/>
                <w:szCs w:val="16"/>
              </w:rPr>
            </w:pPr>
            <w:r w:rsidRPr="009B4A78">
              <w:rPr>
                <w:rFonts w:ascii="Arial" w:hAnsi="Arial" w:cs="Arial"/>
                <w:color w:val="000000"/>
                <w:sz w:val="16"/>
                <w:szCs w:val="16"/>
              </w:rPr>
              <w:t>IV.3 Broad geographical coverage of the content and use of WIPO Global IP Databases</w:t>
            </w:r>
          </w:p>
        </w:tc>
        <w:tc>
          <w:tcPr>
            <w:tcW w:w="2798" w:type="dxa"/>
            <w:tcBorders>
              <w:top w:val="nil"/>
              <w:left w:val="nil"/>
              <w:bottom w:val="nil"/>
              <w:right w:val="nil"/>
            </w:tcBorders>
            <w:shd w:val="clear" w:color="000000" w:fill="FFFFFF"/>
            <w:hideMark/>
          </w:tcPr>
          <w:p w14:paraId="6105C978" w14:textId="4F253BDE"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 xml:space="preserve">No. of records contained in Global Brand </w:t>
            </w:r>
            <w:r w:rsidR="00656EEF">
              <w:rPr>
                <w:rFonts w:ascii="Arial" w:hAnsi="Arial" w:cs="Arial"/>
                <w:color w:val="000000"/>
                <w:sz w:val="16"/>
                <w:szCs w:val="16"/>
              </w:rPr>
              <w:t xml:space="preserve">s </w:t>
            </w:r>
            <w:r w:rsidRPr="009B4A78">
              <w:rPr>
                <w:rFonts w:ascii="Arial" w:hAnsi="Arial" w:cs="Arial"/>
                <w:color w:val="000000"/>
                <w:sz w:val="16"/>
                <w:szCs w:val="16"/>
              </w:rPr>
              <w:t xml:space="preserve">Database </w:t>
            </w:r>
          </w:p>
        </w:tc>
        <w:tc>
          <w:tcPr>
            <w:tcW w:w="2127" w:type="dxa"/>
            <w:tcBorders>
              <w:top w:val="nil"/>
              <w:left w:val="nil"/>
              <w:bottom w:val="nil"/>
              <w:right w:val="nil"/>
            </w:tcBorders>
            <w:shd w:val="clear" w:color="000000" w:fill="FFFFFF"/>
            <w:hideMark/>
          </w:tcPr>
          <w:p w14:paraId="360EEA8B" w14:textId="77777777" w:rsidR="00EF472A" w:rsidRPr="009B4A78" w:rsidRDefault="00EF472A" w:rsidP="008D4CE9">
            <w:pPr>
              <w:ind w:left="175"/>
              <w:rPr>
                <w:rFonts w:ascii="Arial" w:hAnsi="Arial" w:cs="Arial"/>
                <w:color w:val="000000"/>
                <w:sz w:val="16"/>
                <w:szCs w:val="16"/>
              </w:rPr>
            </w:pPr>
            <w:r w:rsidRPr="009B4A78">
              <w:rPr>
                <w:rFonts w:ascii="Arial" w:hAnsi="Arial" w:cs="Arial"/>
                <w:color w:val="000000"/>
                <w:sz w:val="16"/>
                <w:szCs w:val="16"/>
              </w:rPr>
              <w:t>15,800,000 (end 2014)</w:t>
            </w:r>
          </w:p>
        </w:tc>
        <w:tc>
          <w:tcPr>
            <w:tcW w:w="1984" w:type="dxa"/>
            <w:tcBorders>
              <w:top w:val="nil"/>
              <w:left w:val="nil"/>
              <w:bottom w:val="nil"/>
              <w:right w:val="single" w:sz="4" w:space="0" w:color="auto"/>
            </w:tcBorders>
            <w:shd w:val="clear" w:color="000000" w:fill="FFFFFF"/>
            <w:hideMark/>
          </w:tcPr>
          <w:p w14:paraId="7548AA30" w14:textId="2B4094D6" w:rsidR="00EF472A" w:rsidRPr="009B4A78" w:rsidRDefault="00BF5BD2" w:rsidP="00BF5BD2">
            <w:pPr>
              <w:ind w:firstLineChars="200" w:firstLine="320"/>
              <w:rPr>
                <w:rFonts w:ascii="Arial" w:hAnsi="Arial" w:cs="Arial"/>
                <w:color w:val="000000"/>
                <w:sz w:val="16"/>
                <w:szCs w:val="16"/>
              </w:rPr>
            </w:pPr>
            <w:r w:rsidRPr="009B4A78">
              <w:rPr>
                <w:rFonts w:ascii="Arial" w:hAnsi="Arial" w:cs="Arial"/>
                <w:color w:val="000000"/>
                <w:sz w:val="16"/>
                <w:szCs w:val="16"/>
              </w:rPr>
              <w:t>25</w:t>
            </w:r>
            <w:r>
              <w:rPr>
                <w:rFonts w:ascii="Arial" w:hAnsi="Arial" w:cs="Arial"/>
                <w:color w:val="000000"/>
                <w:sz w:val="16"/>
                <w:szCs w:val="16"/>
              </w:rPr>
              <w:t>,</w:t>
            </w:r>
            <w:r w:rsidRPr="009B4A78">
              <w:rPr>
                <w:rFonts w:ascii="Arial" w:hAnsi="Arial" w:cs="Arial"/>
                <w:color w:val="000000"/>
                <w:sz w:val="16"/>
                <w:szCs w:val="16"/>
              </w:rPr>
              <w:t>000</w:t>
            </w:r>
            <w:r>
              <w:rPr>
                <w:rFonts w:ascii="Arial" w:hAnsi="Arial" w:cs="Arial"/>
                <w:color w:val="000000"/>
                <w:sz w:val="16"/>
                <w:szCs w:val="16"/>
              </w:rPr>
              <w:t>,</w:t>
            </w:r>
            <w:r w:rsidRPr="009B4A78">
              <w:rPr>
                <w:rFonts w:ascii="Arial" w:hAnsi="Arial" w:cs="Arial"/>
                <w:color w:val="000000"/>
                <w:sz w:val="16"/>
                <w:szCs w:val="16"/>
              </w:rPr>
              <w:t>000</w:t>
            </w:r>
          </w:p>
        </w:tc>
      </w:tr>
      <w:tr w:rsidR="00EF472A" w:rsidRPr="009B4A78" w14:paraId="6DF95C7A" w14:textId="77777777" w:rsidTr="008D4CE9">
        <w:trPr>
          <w:trHeight w:val="548"/>
        </w:trPr>
        <w:tc>
          <w:tcPr>
            <w:tcW w:w="2320" w:type="dxa"/>
            <w:vMerge/>
            <w:tcBorders>
              <w:top w:val="nil"/>
              <w:left w:val="single" w:sz="4" w:space="0" w:color="auto"/>
              <w:bottom w:val="single" w:sz="4" w:space="0" w:color="000000"/>
              <w:right w:val="nil"/>
            </w:tcBorders>
            <w:vAlign w:val="center"/>
            <w:hideMark/>
          </w:tcPr>
          <w:p w14:paraId="01B2935E" w14:textId="77777777" w:rsidR="00EF472A" w:rsidRPr="009B4A78" w:rsidRDefault="00EF472A" w:rsidP="00984F70">
            <w:pPr>
              <w:rPr>
                <w:rFonts w:ascii="Arial" w:hAnsi="Arial" w:cs="Arial"/>
                <w:color w:val="000000"/>
                <w:sz w:val="16"/>
                <w:szCs w:val="16"/>
              </w:rPr>
            </w:pPr>
          </w:p>
        </w:tc>
        <w:tc>
          <w:tcPr>
            <w:tcW w:w="2798" w:type="dxa"/>
            <w:tcBorders>
              <w:top w:val="nil"/>
              <w:left w:val="nil"/>
              <w:bottom w:val="nil"/>
              <w:right w:val="nil"/>
            </w:tcBorders>
            <w:shd w:val="clear" w:color="000000" w:fill="FFFFFF"/>
            <w:hideMark/>
          </w:tcPr>
          <w:p w14:paraId="3ACC2CBB" w14:textId="627693C8"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 xml:space="preserve">No. of records contained in Global Design </w:t>
            </w:r>
            <w:r w:rsidR="00656EEF">
              <w:rPr>
                <w:rFonts w:ascii="Arial" w:hAnsi="Arial" w:cs="Arial"/>
                <w:color w:val="000000"/>
                <w:sz w:val="16"/>
                <w:szCs w:val="16"/>
              </w:rPr>
              <w:t xml:space="preserve">s </w:t>
            </w:r>
            <w:r w:rsidRPr="009B4A78">
              <w:rPr>
                <w:rFonts w:ascii="Arial" w:hAnsi="Arial" w:cs="Arial"/>
                <w:color w:val="000000"/>
                <w:sz w:val="16"/>
                <w:szCs w:val="16"/>
              </w:rPr>
              <w:t>Database</w:t>
            </w:r>
          </w:p>
        </w:tc>
        <w:tc>
          <w:tcPr>
            <w:tcW w:w="2127" w:type="dxa"/>
            <w:tcBorders>
              <w:top w:val="nil"/>
              <w:left w:val="nil"/>
              <w:bottom w:val="nil"/>
              <w:right w:val="nil"/>
            </w:tcBorders>
            <w:shd w:val="clear" w:color="000000" w:fill="FFFFFF"/>
            <w:hideMark/>
          </w:tcPr>
          <w:p w14:paraId="45DCC286" w14:textId="77777777" w:rsidR="00EF472A" w:rsidRPr="009B4A78" w:rsidRDefault="00EF472A" w:rsidP="008D4CE9">
            <w:pPr>
              <w:ind w:left="175" w:firstLineChars="200" w:firstLine="320"/>
              <w:rPr>
                <w:rFonts w:ascii="Arial" w:hAnsi="Arial" w:cs="Arial"/>
                <w:color w:val="000000"/>
                <w:sz w:val="16"/>
                <w:szCs w:val="16"/>
              </w:rPr>
            </w:pPr>
            <w:r w:rsidRPr="009B4A78">
              <w:rPr>
                <w:rFonts w:ascii="Arial" w:hAnsi="Arial" w:cs="Arial"/>
                <w:color w:val="000000"/>
                <w:sz w:val="16"/>
                <w:szCs w:val="16"/>
              </w:rPr>
              <w:t>n/a</w:t>
            </w:r>
          </w:p>
        </w:tc>
        <w:tc>
          <w:tcPr>
            <w:tcW w:w="1984" w:type="dxa"/>
            <w:tcBorders>
              <w:top w:val="nil"/>
              <w:left w:val="nil"/>
              <w:bottom w:val="nil"/>
              <w:right w:val="single" w:sz="4" w:space="0" w:color="auto"/>
            </w:tcBorders>
            <w:shd w:val="clear" w:color="000000" w:fill="FFFFFF"/>
            <w:hideMark/>
          </w:tcPr>
          <w:p w14:paraId="411F6F30"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1'000'000</w:t>
            </w:r>
          </w:p>
        </w:tc>
      </w:tr>
      <w:tr w:rsidR="00EF472A" w:rsidRPr="009B4A78" w14:paraId="20201AFC" w14:textId="77777777" w:rsidTr="008D4CE9">
        <w:trPr>
          <w:trHeight w:val="530"/>
        </w:trPr>
        <w:tc>
          <w:tcPr>
            <w:tcW w:w="2320" w:type="dxa"/>
            <w:vMerge/>
            <w:tcBorders>
              <w:top w:val="nil"/>
              <w:left w:val="single" w:sz="4" w:space="0" w:color="auto"/>
              <w:bottom w:val="single" w:sz="4" w:space="0" w:color="000000"/>
              <w:right w:val="nil"/>
            </w:tcBorders>
            <w:vAlign w:val="center"/>
            <w:hideMark/>
          </w:tcPr>
          <w:p w14:paraId="125D9E92" w14:textId="77777777" w:rsidR="00EF472A" w:rsidRPr="009B4A78" w:rsidRDefault="00EF472A" w:rsidP="00984F70">
            <w:pPr>
              <w:rPr>
                <w:rFonts w:ascii="Arial" w:hAnsi="Arial" w:cs="Arial"/>
                <w:color w:val="000000"/>
                <w:sz w:val="16"/>
                <w:szCs w:val="16"/>
              </w:rPr>
            </w:pPr>
          </w:p>
        </w:tc>
        <w:tc>
          <w:tcPr>
            <w:tcW w:w="2798" w:type="dxa"/>
            <w:tcBorders>
              <w:top w:val="nil"/>
              <w:left w:val="nil"/>
              <w:bottom w:val="nil"/>
              <w:right w:val="nil"/>
            </w:tcBorders>
            <w:shd w:val="clear" w:color="000000" w:fill="FFFFFF"/>
            <w:hideMark/>
          </w:tcPr>
          <w:p w14:paraId="2C99103F" w14:textId="77777777"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No. of National Collections in PATENTSCOPE</w:t>
            </w:r>
          </w:p>
        </w:tc>
        <w:tc>
          <w:tcPr>
            <w:tcW w:w="2127" w:type="dxa"/>
            <w:tcBorders>
              <w:top w:val="nil"/>
              <w:left w:val="nil"/>
              <w:bottom w:val="nil"/>
              <w:right w:val="nil"/>
            </w:tcBorders>
            <w:shd w:val="clear" w:color="000000" w:fill="FFFFFF"/>
            <w:hideMark/>
          </w:tcPr>
          <w:p w14:paraId="07110620"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40 (end 2014)</w:t>
            </w:r>
          </w:p>
        </w:tc>
        <w:tc>
          <w:tcPr>
            <w:tcW w:w="1984" w:type="dxa"/>
            <w:tcBorders>
              <w:top w:val="nil"/>
              <w:left w:val="nil"/>
              <w:bottom w:val="nil"/>
              <w:right w:val="single" w:sz="4" w:space="0" w:color="auto"/>
            </w:tcBorders>
            <w:shd w:val="clear" w:color="000000" w:fill="FFFFFF"/>
            <w:hideMark/>
          </w:tcPr>
          <w:p w14:paraId="3324A6CF"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50</w:t>
            </w:r>
          </w:p>
        </w:tc>
      </w:tr>
      <w:tr w:rsidR="00EF472A" w:rsidRPr="009B4A78" w14:paraId="3AC002D0" w14:textId="77777777" w:rsidTr="008D4CE9">
        <w:trPr>
          <w:trHeight w:val="570"/>
        </w:trPr>
        <w:tc>
          <w:tcPr>
            <w:tcW w:w="2320" w:type="dxa"/>
            <w:vMerge/>
            <w:tcBorders>
              <w:top w:val="nil"/>
              <w:left w:val="single" w:sz="4" w:space="0" w:color="auto"/>
              <w:bottom w:val="single" w:sz="4" w:space="0" w:color="000000"/>
              <w:right w:val="nil"/>
            </w:tcBorders>
            <w:vAlign w:val="center"/>
            <w:hideMark/>
          </w:tcPr>
          <w:p w14:paraId="0AB7E97A" w14:textId="77777777" w:rsidR="00EF472A" w:rsidRPr="009B4A78" w:rsidRDefault="00EF472A" w:rsidP="00984F70">
            <w:pPr>
              <w:rPr>
                <w:rFonts w:ascii="Arial" w:hAnsi="Arial" w:cs="Arial"/>
                <w:color w:val="000000"/>
                <w:sz w:val="16"/>
                <w:szCs w:val="16"/>
              </w:rPr>
            </w:pPr>
          </w:p>
        </w:tc>
        <w:tc>
          <w:tcPr>
            <w:tcW w:w="2798" w:type="dxa"/>
            <w:tcBorders>
              <w:top w:val="nil"/>
              <w:left w:val="nil"/>
              <w:bottom w:val="single" w:sz="4" w:space="0" w:color="auto"/>
              <w:right w:val="nil"/>
            </w:tcBorders>
            <w:shd w:val="clear" w:color="000000" w:fill="FFFFFF"/>
            <w:hideMark/>
          </w:tcPr>
          <w:p w14:paraId="4C849C13" w14:textId="7A103B37" w:rsidR="00EF472A" w:rsidRPr="009B4A78" w:rsidRDefault="00EF472A" w:rsidP="008D4CE9">
            <w:pPr>
              <w:rPr>
                <w:rFonts w:ascii="Arial" w:hAnsi="Arial" w:cs="Arial"/>
                <w:color w:val="000000"/>
                <w:sz w:val="16"/>
                <w:szCs w:val="16"/>
              </w:rPr>
            </w:pPr>
            <w:r w:rsidRPr="009B4A78">
              <w:rPr>
                <w:rFonts w:ascii="Arial" w:hAnsi="Arial" w:cs="Arial"/>
                <w:color w:val="000000"/>
                <w:sz w:val="16"/>
                <w:szCs w:val="16"/>
              </w:rPr>
              <w:t>No. of National Collections in Global Brand</w:t>
            </w:r>
            <w:r w:rsidR="00656EEF">
              <w:rPr>
                <w:rFonts w:ascii="Arial" w:hAnsi="Arial" w:cs="Arial"/>
                <w:color w:val="000000"/>
                <w:sz w:val="16"/>
                <w:szCs w:val="16"/>
              </w:rPr>
              <w:t>s</w:t>
            </w:r>
            <w:r w:rsidRPr="009B4A78">
              <w:rPr>
                <w:rFonts w:ascii="Arial" w:hAnsi="Arial" w:cs="Arial"/>
                <w:color w:val="000000"/>
                <w:sz w:val="16"/>
                <w:szCs w:val="16"/>
              </w:rPr>
              <w:t xml:space="preserve"> Database</w:t>
            </w:r>
          </w:p>
        </w:tc>
        <w:tc>
          <w:tcPr>
            <w:tcW w:w="2127" w:type="dxa"/>
            <w:tcBorders>
              <w:top w:val="nil"/>
              <w:left w:val="nil"/>
              <w:bottom w:val="single" w:sz="4" w:space="0" w:color="auto"/>
              <w:right w:val="nil"/>
            </w:tcBorders>
            <w:shd w:val="clear" w:color="000000" w:fill="FFFFFF"/>
            <w:hideMark/>
          </w:tcPr>
          <w:p w14:paraId="16646BEE"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18 (end 2014)</w:t>
            </w:r>
          </w:p>
        </w:tc>
        <w:tc>
          <w:tcPr>
            <w:tcW w:w="1984" w:type="dxa"/>
            <w:tcBorders>
              <w:top w:val="nil"/>
              <w:left w:val="nil"/>
              <w:bottom w:val="single" w:sz="4" w:space="0" w:color="auto"/>
              <w:right w:val="single" w:sz="4" w:space="0" w:color="auto"/>
            </w:tcBorders>
            <w:shd w:val="clear" w:color="000000" w:fill="FFFFFF"/>
            <w:hideMark/>
          </w:tcPr>
          <w:p w14:paraId="258D59F0" w14:textId="77777777" w:rsidR="00EF472A" w:rsidRPr="009B4A78" w:rsidRDefault="00EF472A" w:rsidP="00984F70">
            <w:pPr>
              <w:ind w:firstLineChars="200" w:firstLine="320"/>
              <w:rPr>
                <w:rFonts w:ascii="Arial" w:hAnsi="Arial" w:cs="Arial"/>
                <w:color w:val="000000"/>
                <w:sz w:val="16"/>
                <w:szCs w:val="16"/>
              </w:rPr>
            </w:pPr>
            <w:r w:rsidRPr="009B4A78">
              <w:rPr>
                <w:rFonts w:ascii="Arial" w:hAnsi="Arial" w:cs="Arial"/>
                <w:color w:val="000000"/>
                <w:sz w:val="16"/>
                <w:szCs w:val="16"/>
              </w:rPr>
              <w:t>32</w:t>
            </w:r>
          </w:p>
        </w:tc>
      </w:tr>
    </w:tbl>
    <w:p w14:paraId="7338A8FF" w14:textId="77777777" w:rsidR="00EF472A" w:rsidRPr="009B4A78" w:rsidRDefault="00EF472A" w:rsidP="00984F70">
      <w:pPr>
        <w:tabs>
          <w:tab w:val="left" w:pos="567"/>
          <w:tab w:val="left" w:pos="1985"/>
        </w:tabs>
        <w:jc w:val="both"/>
        <w:rPr>
          <w:rFonts w:ascii="Arial" w:hAnsi="Arial" w:cs="Arial"/>
          <w:bCs/>
        </w:rPr>
      </w:pPr>
    </w:p>
    <w:p w14:paraId="374D3283" w14:textId="77777777" w:rsidR="00EF472A" w:rsidRPr="009B4A78" w:rsidRDefault="00EF472A" w:rsidP="00734F09">
      <w:pPr>
        <w:keepNext/>
        <w:keepLines/>
        <w:tabs>
          <w:tab w:val="left" w:pos="567"/>
          <w:tab w:val="left" w:pos="1985"/>
        </w:tabs>
        <w:jc w:val="both"/>
        <w:rPr>
          <w:rFonts w:ascii="Arial" w:hAnsi="Arial" w:cs="Arial"/>
          <w:bCs/>
        </w:rPr>
      </w:pPr>
      <w:r w:rsidRPr="009B4A78">
        <w:rPr>
          <w:rFonts w:ascii="Arial" w:hAnsi="Arial" w:cs="Arial"/>
          <w:bCs/>
        </w:rPr>
        <w:lastRenderedPageBreak/>
        <w:t>RESOURCES FOR PROGRAM 13</w:t>
      </w:r>
    </w:p>
    <w:p w14:paraId="2797A3DB" w14:textId="77777777" w:rsidR="00EF472A" w:rsidRPr="009B4A78" w:rsidRDefault="00EF472A" w:rsidP="00734F09">
      <w:pPr>
        <w:keepNext/>
        <w:keepLines/>
        <w:tabs>
          <w:tab w:val="left" w:pos="567"/>
          <w:tab w:val="left" w:pos="1985"/>
        </w:tabs>
        <w:jc w:val="both"/>
        <w:rPr>
          <w:rFonts w:ascii="Arial" w:hAnsi="Arial" w:cs="Arial"/>
          <w:bCs/>
        </w:rPr>
      </w:pPr>
    </w:p>
    <w:p w14:paraId="7F75E158" w14:textId="2E95D0BE" w:rsidR="00EF472A" w:rsidRPr="00FB68E0" w:rsidRDefault="00EF472A" w:rsidP="00B66A4A">
      <w:pPr>
        <w:pStyle w:val="ListParagraph"/>
        <w:keepNext/>
        <w:keepLines/>
        <w:numPr>
          <w:ilvl w:val="0"/>
          <w:numId w:val="15"/>
        </w:numPr>
        <w:tabs>
          <w:tab w:val="left" w:pos="709"/>
        </w:tabs>
        <w:autoSpaceDE w:val="0"/>
        <w:autoSpaceDN w:val="0"/>
        <w:adjustRightInd w:val="0"/>
        <w:ind w:left="0" w:firstLine="0"/>
        <w:jc w:val="both"/>
        <w:rPr>
          <w:rFonts w:ascii="Arial" w:hAnsi="Arial" w:cs="Arial"/>
          <w:sz w:val="20"/>
          <w:szCs w:val="20"/>
        </w:rPr>
      </w:pPr>
      <w:r w:rsidRPr="00FB68E0">
        <w:rPr>
          <w:rFonts w:ascii="Arial" w:hAnsi="Arial" w:cs="Arial"/>
          <w:sz w:val="20"/>
        </w:rPr>
        <w:t>Overall res</w:t>
      </w:r>
      <w:r w:rsidR="00BF5BD2">
        <w:rPr>
          <w:rFonts w:ascii="Arial" w:hAnsi="Arial" w:cs="Arial"/>
          <w:sz w:val="20"/>
        </w:rPr>
        <w:t>ources for the Program increase</w:t>
      </w:r>
      <w:r w:rsidRPr="00FB68E0">
        <w:rPr>
          <w:rFonts w:ascii="Arial" w:hAnsi="Arial" w:cs="Arial"/>
          <w:sz w:val="20"/>
        </w:rPr>
        <w:t xml:space="preserve"> by</w:t>
      </w:r>
      <w:r w:rsidRPr="009B4A78">
        <w:rPr>
          <w:rFonts w:ascii="Arial" w:hAnsi="Arial" w:cs="Arial"/>
          <w:sz w:val="20"/>
        </w:rPr>
        <w:t xml:space="preserve"> approximately 20 per cent in 2016/17 compared to the 2014/15 Budget after Transfers. N</w:t>
      </w:r>
      <w:r w:rsidRPr="00FB68E0">
        <w:rPr>
          <w:rFonts w:ascii="Arial" w:hAnsi="Arial" w:cs="Arial"/>
          <w:sz w:val="20"/>
          <w:szCs w:val="20"/>
        </w:rPr>
        <w:t>on-personnel resources have been maintained at the level of 2014/15</w:t>
      </w:r>
      <w:r w:rsidRPr="009B4A78">
        <w:rPr>
          <w:rFonts w:ascii="Arial" w:hAnsi="Arial" w:cs="Arial"/>
          <w:sz w:val="20"/>
        </w:rPr>
        <w:t xml:space="preserve"> Budget after Transfers. The increase in personnel resources is due to the internal redeployment of resources in support of activities related to the development of the search engine and search interface for the Global Databases.  In addition, resources have been reallocated within the Program reflecting the enhanced emphasis on </w:t>
      </w:r>
      <w:r w:rsidRPr="009B4A78">
        <w:rPr>
          <w:rFonts w:ascii="Arial" w:hAnsi="Arial" w:cs="Arial"/>
          <w:color w:val="000000"/>
          <w:sz w:val="20"/>
        </w:rPr>
        <w:t>expanding the geographical coverage of the Global Databases.</w:t>
      </w:r>
      <w:r w:rsidRPr="009B4A78">
        <w:rPr>
          <w:rFonts w:ascii="Arial" w:hAnsi="Arial" w:cs="Arial"/>
          <w:sz w:val="20"/>
        </w:rPr>
        <w:t xml:space="preserve"> The net result of the above is reflected as an increase in resource under Expected </w:t>
      </w:r>
      <w:r w:rsidRPr="00FB68E0">
        <w:rPr>
          <w:rFonts w:ascii="Arial" w:hAnsi="Arial" w:cs="Arial"/>
          <w:sz w:val="20"/>
          <w:szCs w:val="20"/>
        </w:rPr>
        <w:t>Result</w:t>
      </w:r>
      <w:r w:rsidRPr="009B4A78">
        <w:rPr>
          <w:rFonts w:ascii="Arial" w:hAnsi="Arial" w:cs="Arial"/>
          <w:sz w:val="20"/>
        </w:rPr>
        <w:t>s</w:t>
      </w:r>
      <w:r w:rsidRPr="00FB68E0">
        <w:rPr>
          <w:rFonts w:ascii="Arial" w:hAnsi="Arial" w:cs="Arial"/>
          <w:sz w:val="20"/>
          <w:szCs w:val="20"/>
        </w:rPr>
        <w:t xml:space="preserve"> IV.2</w:t>
      </w:r>
      <w:r w:rsidRPr="009B4A78">
        <w:rPr>
          <w:rFonts w:ascii="Arial" w:hAnsi="Arial" w:cs="Arial"/>
          <w:sz w:val="20"/>
        </w:rPr>
        <w:t xml:space="preserve"> and </w:t>
      </w:r>
      <w:r w:rsidRPr="00FB68E0">
        <w:rPr>
          <w:rFonts w:ascii="Arial" w:hAnsi="Arial" w:cs="Arial"/>
          <w:sz w:val="20"/>
          <w:szCs w:val="20"/>
        </w:rPr>
        <w:t>IV.3</w:t>
      </w:r>
      <w:r w:rsidRPr="009B4A78">
        <w:rPr>
          <w:rFonts w:ascii="Arial" w:hAnsi="Arial" w:cs="Arial"/>
          <w:sz w:val="20"/>
        </w:rPr>
        <w:t>.</w:t>
      </w:r>
      <w:r w:rsidRPr="00FB68E0">
        <w:rPr>
          <w:rFonts w:ascii="Arial" w:hAnsi="Arial" w:cs="Arial"/>
          <w:sz w:val="20"/>
          <w:szCs w:val="20"/>
        </w:rPr>
        <w:t xml:space="preserve"> </w:t>
      </w:r>
    </w:p>
    <w:p w14:paraId="51C8D27D" w14:textId="77777777" w:rsidR="00EF472A" w:rsidRPr="009B4A78" w:rsidRDefault="00EF472A" w:rsidP="008B4CD5">
      <w:pPr>
        <w:tabs>
          <w:tab w:val="left" w:pos="567"/>
          <w:tab w:val="left" w:pos="1985"/>
        </w:tabs>
        <w:jc w:val="center"/>
        <w:rPr>
          <w:rFonts w:ascii="Arial" w:hAnsi="Arial" w:cs="Arial"/>
          <w:bCs/>
        </w:rPr>
      </w:pPr>
      <w:r w:rsidRPr="009B4A78">
        <w:rPr>
          <w:rFonts w:ascii="Arial" w:hAnsi="Arial" w:cs="Arial"/>
          <w:b/>
          <w:sz w:val="20"/>
          <w:szCs w:val="24"/>
        </w:rPr>
        <w:t>Program 13:  Resources by Result</w:t>
      </w:r>
    </w:p>
    <w:p w14:paraId="203FF4C2" w14:textId="4D85822C" w:rsidR="00EF472A" w:rsidRDefault="00EF472A" w:rsidP="008B4CD5">
      <w:pPr>
        <w:tabs>
          <w:tab w:val="left" w:pos="567"/>
          <w:tab w:val="left" w:pos="1985"/>
        </w:tabs>
        <w:jc w:val="center"/>
        <w:rPr>
          <w:rFonts w:ascii="Arial" w:hAnsi="Arial" w:cs="Arial"/>
          <w:i/>
          <w:sz w:val="20"/>
          <w:szCs w:val="24"/>
        </w:rPr>
      </w:pPr>
      <w:r w:rsidRPr="009B4A78">
        <w:rPr>
          <w:rFonts w:ascii="Arial" w:hAnsi="Arial" w:cs="Arial"/>
          <w:i/>
          <w:sz w:val="20"/>
          <w:szCs w:val="24"/>
        </w:rPr>
        <w:t>(In thousands of Swiss francs)</w:t>
      </w:r>
    </w:p>
    <w:p w14:paraId="5B3B2657" w14:textId="77777777" w:rsidR="005B0A1C" w:rsidRPr="0005653D" w:rsidRDefault="005B0A1C" w:rsidP="008B4CD5">
      <w:pPr>
        <w:tabs>
          <w:tab w:val="left" w:pos="567"/>
          <w:tab w:val="left" w:pos="1985"/>
        </w:tabs>
        <w:jc w:val="center"/>
        <w:rPr>
          <w:rFonts w:ascii="Arial" w:hAnsi="Arial" w:cs="Arial"/>
          <w:i/>
          <w:sz w:val="18"/>
          <w:szCs w:val="24"/>
        </w:rPr>
      </w:pPr>
    </w:p>
    <w:p w14:paraId="073AAD8D" w14:textId="3CA8ED76" w:rsidR="005B0A1C" w:rsidRDefault="005B0A1C" w:rsidP="008B4CD5">
      <w:pPr>
        <w:tabs>
          <w:tab w:val="left" w:pos="567"/>
          <w:tab w:val="left" w:pos="1985"/>
        </w:tabs>
        <w:jc w:val="center"/>
        <w:rPr>
          <w:rFonts w:ascii="Arial" w:hAnsi="Arial" w:cs="Arial"/>
          <w:i/>
          <w:sz w:val="20"/>
          <w:szCs w:val="24"/>
        </w:rPr>
      </w:pPr>
      <w:r w:rsidRPr="005B0A1C">
        <w:rPr>
          <w:noProof/>
          <w:lang w:eastAsia="en-US"/>
        </w:rPr>
        <w:drawing>
          <wp:inline distT="0" distB="0" distL="0" distR="0" wp14:anchorId="43AA3021" wp14:editId="28C56281">
            <wp:extent cx="4848422" cy="1339160"/>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855799" cy="1341198"/>
                    </a:xfrm>
                    <a:prstGeom prst="rect">
                      <a:avLst/>
                    </a:prstGeom>
                    <a:noFill/>
                    <a:ln>
                      <a:noFill/>
                    </a:ln>
                  </pic:spPr>
                </pic:pic>
              </a:graphicData>
            </a:graphic>
          </wp:inline>
        </w:drawing>
      </w:r>
    </w:p>
    <w:p w14:paraId="7120BACF" w14:textId="77777777" w:rsidR="005B0A1C" w:rsidRDefault="005B0A1C" w:rsidP="008B4CD5">
      <w:pPr>
        <w:tabs>
          <w:tab w:val="left" w:pos="567"/>
          <w:tab w:val="left" w:pos="1985"/>
        </w:tabs>
        <w:jc w:val="center"/>
        <w:rPr>
          <w:rFonts w:ascii="Arial" w:hAnsi="Arial" w:cs="Arial"/>
          <w:i/>
          <w:sz w:val="20"/>
          <w:szCs w:val="24"/>
        </w:rPr>
      </w:pPr>
    </w:p>
    <w:p w14:paraId="0FAB8712" w14:textId="77777777" w:rsidR="005B0A1C" w:rsidRDefault="005B0A1C" w:rsidP="008B4CD5">
      <w:pPr>
        <w:tabs>
          <w:tab w:val="left" w:pos="567"/>
          <w:tab w:val="left" w:pos="1985"/>
        </w:tabs>
        <w:jc w:val="center"/>
        <w:rPr>
          <w:rFonts w:ascii="Arial" w:hAnsi="Arial" w:cs="Arial"/>
          <w:i/>
          <w:sz w:val="20"/>
          <w:szCs w:val="24"/>
        </w:rPr>
      </w:pPr>
    </w:p>
    <w:p w14:paraId="1D9DC4DA" w14:textId="77777777" w:rsidR="00EF472A" w:rsidRPr="009B4A78" w:rsidRDefault="00EF472A" w:rsidP="00984F70">
      <w:pPr>
        <w:keepNext/>
        <w:keepLines/>
        <w:tabs>
          <w:tab w:val="left" w:pos="1427"/>
        </w:tabs>
        <w:jc w:val="center"/>
        <w:rPr>
          <w:rFonts w:ascii="Arial" w:hAnsi="Arial" w:cs="Arial"/>
        </w:rPr>
      </w:pPr>
      <w:r w:rsidRPr="009B4A78">
        <w:rPr>
          <w:rFonts w:ascii="Arial" w:hAnsi="Arial" w:cs="Arial"/>
          <w:b/>
          <w:sz w:val="20"/>
          <w:szCs w:val="24"/>
        </w:rPr>
        <w:t>Program 13:  Resources by Object of Expenditure</w:t>
      </w:r>
    </w:p>
    <w:p w14:paraId="4895A567" w14:textId="77777777" w:rsidR="00EF472A" w:rsidRPr="009B4A78" w:rsidRDefault="00EF472A" w:rsidP="00984F70">
      <w:pPr>
        <w:keepNext/>
        <w:keepLines/>
        <w:tabs>
          <w:tab w:val="left" w:pos="1427"/>
        </w:tabs>
        <w:jc w:val="center"/>
        <w:rPr>
          <w:rFonts w:ascii="Arial" w:hAnsi="Arial" w:cs="Arial"/>
          <w:i/>
          <w:sz w:val="20"/>
          <w:szCs w:val="24"/>
        </w:rPr>
      </w:pPr>
      <w:r w:rsidRPr="009B4A78">
        <w:rPr>
          <w:rFonts w:ascii="Arial" w:hAnsi="Arial" w:cs="Arial"/>
          <w:i/>
          <w:sz w:val="20"/>
          <w:szCs w:val="24"/>
        </w:rPr>
        <w:t>(In thousands of Swiss francs)</w:t>
      </w:r>
    </w:p>
    <w:p w14:paraId="2FF741D3" w14:textId="77777777" w:rsidR="00EF472A" w:rsidRPr="0005653D" w:rsidRDefault="00EF472A" w:rsidP="00984F70">
      <w:pPr>
        <w:keepNext/>
        <w:keepLines/>
        <w:tabs>
          <w:tab w:val="left" w:pos="1427"/>
        </w:tabs>
        <w:jc w:val="center"/>
        <w:rPr>
          <w:rFonts w:ascii="Arial" w:hAnsi="Arial" w:cs="Arial"/>
          <w:sz w:val="18"/>
        </w:rPr>
      </w:pPr>
    </w:p>
    <w:p w14:paraId="785064D9" w14:textId="3760A93C" w:rsidR="00EF472A" w:rsidRPr="009B4A78" w:rsidRDefault="00EF472A" w:rsidP="0005653D">
      <w:pPr>
        <w:keepNext/>
        <w:keepLines/>
        <w:autoSpaceDE w:val="0"/>
        <w:autoSpaceDN w:val="0"/>
        <w:ind w:left="-142" w:firstLine="142"/>
        <w:jc w:val="center"/>
        <w:rPr>
          <w:rFonts w:ascii="Arial" w:hAnsi="Arial" w:cs="Arial"/>
          <w:bCs/>
          <w:sz w:val="20"/>
        </w:rPr>
      </w:pPr>
      <w:r w:rsidRPr="009B4A78">
        <w:rPr>
          <w:rFonts w:ascii="Arial" w:hAnsi="Arial" w:cs="Arial"/>
          <w:noProof/>
          <w:lang w:eastAsia="en-US"/>
        </w:rPr>
        <w:drawing>
          <wp:inline distT="0" distB="0" distL="0" distR="0" wp14:anchorId="7869CAE5" wp14:editId="7B0631F3">
            <wp:extent cx="4465122" cy="502467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473298" cy="5033875"/>
                    </a:xfrm>
                    <a:prstGeom prst="rect">
                      <a:avLst/>
                    </a:prstGeom>
                    <a:noFill/>
                    <a:ln>
                      <a:noFill/>
                    </a:ln>
                  </pic:spPr>
                </pic:pic>
              </a:graphicData>
            </a:graphic>
          </wp:inline>
        </w:drawing>
      </w:r>
      <w:r w:rsidRPr="009B4A78">
        <w:rPr>
          <w:rFonts w:ascii="Arial" w:hAnsi="Arial" w:cs="Arial"/>
          <w:i/>
          <w:sz w:val="20"/>
          <w:szCs w:val="24"/>
        </w:rPr>
        <w:t xml:space="preserve"> </w:t>
      </w:r>
      <w:r w:rsidRPr="009B4A78">
        <w:rPr>
          <w:rFonts w:ascii="Arial" w:hAnsi="Arial" w:cs="Arial"/>
          <w:bCs/>
          <w:sz w:val="20"/>
        </w:rPr>
        <w:br w:type="page"/>
      </w:r>
    </w:p>
    <w:p w14:paraId="2BC77C72" w14:textId="0AEF0AF0" w:rsidR="00BF4CC1" w:rsidRPr="009B4A78" w:rsidRDefault="00BF4CC1" w:rsidP="007D51CF">
      <w:pPr>
        <w:pStyle w:val="StyleHeading3ComplexItalic"/>
        <w:tabs>
          <w:tab w:val="clear" w:pos="1985"/>
          <w:tab w:val="left" w:pos="1843"/>
        </w:tabs>
        <w:ind w:left="1843" w:hanging="1843"/>
        <w:rPr>
          <w:rStyle w:val="StyleStyleHeading3ComplexItalicLatin12ptChar"/>
          <w:rFonts w:eastAsia="SimSun"/>
          <w:b/>
        </w:rPr>
      </w:pPr>
      <w:bookmarkStart w:id="50" w:name="_Toc367350590"/>
      <w:bookmarkStart w:id="51" w:name="_Toc427154413"/>
      <w:r w:rsidRPr="009B4A78">
        <w:rPr>
          <w:rStyle w:val="StyleStyleHeading3ComplexItalicLatin12ptChar"/>
          <w:rFonts w:eastAsia="SimSun"/>
          <w:b/>
        </w:rPr>
        <w:lastRenderedPageBreak/>
        <w:t>P</w:t>
      </w:r>
      <w:r w:rsidR="007D51CF" w:rsidRPr="009B4A78">
        <w:rPr>
          <w:rStyle w:val="StyleStyleHeading3ComplexItalicLatin12ptChar"/>
          <w:rFonts w:eastAsia="SimSun"/>
          <w:b/>
        </w:rPr>
        <w:t>ROGRAM</w:t>
      </w:r>
      <w:r w:rsidRPr="009B4A78">
        <w:rPr>
          <w:rStyle w:val="StyleStyleHeading3ComplexItalicLatin12ptChar"/>
          <w:rFonts w:eastAsia="SimSun"/>
          <w:b/>
        </w:rPr>
        <w:t xml:space="preserve"> 14</w:t>
      </w:r>
      <w:r w:rsidRPr="009B4A78">
        <w:rPr>
          <w:rStyle w:val="StyleStyleHeading3ComplexItalicLatin12ptChar"/>
          <w:rFonts w:eastAsia="SimSun"/>
          <w:b/>
        </w:rPr>
        <w:tab/>
        <w:t>S</w:t>
      </w:r>
      <w:r w:rsidR="007D51CF" w:rsidRPr="009B4A78">
        <w:rPr>
          <w:rStyle w:val="StyleStyleHeading3ComplexItalicLatin12ptChar"/>
          <w:rFonts w:eastAsia="SimSun"/>
          <w:b/>
        </w:rPr>
        <w:t>ERVICES FOR ACCESS TO INFORMATION AND KNOWLEDGE</w:t>
      </w:r>
      <w:bookmarkEnd w:id="50"/>
      <w:bookmarkEnd w:id="51"/>
      <w:r w:rsidR="007D51CF" w:rsidRPr="009B4A78">
        <w:rPr>
          <w:rStyle w:val="StyleStyleHeading3ComplexItalicLatin12ptChar"/>
          <w:rFonts w:eastAsia="SimSun"/>
          <w:b/>
        </w:rPr>
        <w:t xml:space="preserve"> </w:t>
      </w:r>
    </w:p>
    <w:p w14:paraId="1EFDDC76" w14:textId="77777777" w:rsidR="00BF4CC1" w:rsidRPr="009B4A78" w:rsidRDefault="00BF4CC1" w:rsidP="00984F70">
      <w:pPr>
        <w:rPr>
          <w:rFonts w:ascii="Arial" w:eastAsia="Times New Roman" w:hAnsi="Arial" w:cs="Arial"/>
          <w:sz w:val="20"/>
          <w:szCs w:val="20"/>
        </w:rPr>
      </w:pPr>
    </w:p>
    <w:p w14:paraId="0BFF5371" w14:textId="77777777" w:rsidR="00BF4CC1" w:rsidRPr="009B4A78" w:rsidRDefault="00BF4CC1" w:rsidP="00984F70">
      <w:pPr>
        <w:rPr>
          <w:rFonts w:ascii="Arial" w:eastAsia="Times New Roman" w:hAnsi="Arial" w:cs="Arial"/>
          <w:sz w:val="20"/>
          <w:szCs w:val="20"/>
        </w:rPr>
      </w:pPr>
    </w:p>
    <w:p w14:paraId="5D30CED8" w14:textId="77777777" w:rsidR="00BF4CC1" w:rsidRPr="009B4A78" w:rsidRDefault="00BF4CC1" w:rsidP="00984F70">
      <w:pPr>
        <w:ind w:left="1985" w:hanging="1985"/>
        <w:jc w:val="both"/>
        <w:rPr>
          <w:rFonts w:ascii="Arial" w:eastAsia="Times New Roman" w:hAnsi="Arial" w:cs="Arial"/>
        </w:rPr>
      </w:pPr>
      <w:r w:rsidRPr="009B4A78">
        <w:rPr>
          <w:rFonts w:ascii="Arial" w:eastAsia="Times New Roman" w:hAnsi="Arial" w:cs="Arial"/>
        </w:rPr>
        <w:t>PLANNING CONTEXT</w:t>
      </w:r>
    </w:p>
    <w:p w14:paraId="347C2889" w14:textId="77777777" w:rsidR="00BF4CC1" w:rsidRPr="009B4A78" w:rsidRDefault="00BF4CC1" w:rsidP="00984F70">
      <w:pPr>
        <w:rPr>
          <w:rFonts w:ascii="Arial" w:eastAsia="Times New Roman" w:hAnsi="Arial" w:cs="Arial"/>
          <w:sz w:val="20"/>
          <w:szCs w:val="20"/>
        </w:rPr>
      </w:pPr>
    </w:p>
    <w:p w14:paraId="1A2BD11C" w14:textId="77777777" w:rsidR="00BF4CC1" w:rsidRPr="009B4A7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Access to technological information contained in patent information as well as science and technical journals has been recognized as being critically important to narrow the global knowledge gap.  Having made good progress in providing access to such information, an emerging need now consists of building the capacity in developing and least developed countries to utilize and analyze the information.</w:t>
      </w:r>
    </w:p>
    <w:p w14:paraId="1E01E1A3" w14:textId="77777777" w:rsidR="00BF4CC1" w:rsidRPr="009B4A78" w:rsidRDefault="00BF4CC1" w:rsidP="00984F70">
      <w:pPr>
        <w:jc w:val="both"/>
        <w:rPr>
          <w:rFonts w:ascii="Arial" w:eastAsia="Times New Roman" w:hAnsi="Arial" w:cs="Arial"/>
          <w:bCs/>
          <w:sz w:val="20"/>
          <w:szCs w:val="20"/>
        </w:rPr>
      </w:pPr>
    </w:p>
    <w:p w14:paraId="4939E21C" w14:textId="77777777" w:rsidR="00BF4CC1" w:rsidRPr="009B4A78" w:rsidRDefault="00BF4CC1" w:rsidP="00B66A4A">
      <w:pPr>
        <w:pStyle w:val="ListParagraph"/>
        <w:numPr>
          <w:ilvl w:val="0"/>
          <w:numId w:val="16"/>
        </w:numPr>
        <w:tabs>
          <w:tab w:val="clear" w:pos="825"/>
          <w:tab w:val="num" w:pos="683"/>
        </w:tabs>
        <w:ind w:left="0"/>
        <w:jc w:val="both"/>
        <w:rPr>
          <w:rFonts w:ascii="Arial" w:eastAsia="MS Mincho" w:hAnsi="Arial" w:cs="Arial"/>
          <w:sz w:val="20"/>
          <w:szCs w:val="20"/>
          <w:lang w:bidi="th-TH"/>
        </w:rPr>
      </w:pPr>
      <w:r w:rsidRPr="009B4A78">
        <w:rPr>
          <w:rFonts w:ascii="Arial" w:eastAsia="MS Mincho" w:hAnsi="Arial" w:cs="Arial"/>
          <w:sz w:val="20"/>
          <w:szCs w:val="20"/>
          <w:lang w:bidi="th-TH"/>
        </w:rPr>
        <w:t>The work of the Program is related to the DA recommendations aimed at enhanced access to and utilization of technology information and strengthening of IP institutions, namely Recommendations 1, 8, 10, 11, 19, 30 and 31.  In addition, the Program will coordinate closely with Member States, IGOs and NGOs for the development of compatible platforms, tools and infrastructure.</w:t>
      </w:r>
    </w:p>
    <w:p w14:paraId="4CA43958" w14:textId="77777777" w:rsidR="00BF4CC1" w:rsidRPr="009B4A78" w:rsidRDefault="00BF4CC1" w:rsidP="00984F70">
      <w:pPr>
        <w:pStyle w:val="ListParagraph"/>
        <w:ind w:left="0"/>
        <w:rPr>
          <w:rFonts w:ascii="Arial" w:eastAsia="MS Mincho" w:hAnsi="Arial" w:cs="Arial"/>
          <w:sz w:val="20"/>
          <w:szCs w:val="20"/>
          <w:lang w:bidi="th-TH"/>
        </w:rPr>
      </w:pPr>
    </w:p>
    <w:p w14:paraId="5338B165" w14:textId="77777777" w:rsidR="00BF4CC1" w:rsidRPr="009B4A78" w:rsidRDefault="00BF4CC1" w:rsidP="00984F70">
      <w:pPr>
        <w:tabs>
          <w:tab w:val="num" w:pos="709"/>
        </w:tabs>
        <w:jc w:val="both"/>
        <w:rPr>
          <w:rFonts w:ascii="Arial" w:eastAsia="Times New Roman" w:hAnsi="Arial" w:cs="Arial"/>
          <w:sz w:val="20"/>
          <w:szCs w:val="20"/>
        </w:rPr>
      </w:pPr>
    </w:p>
    <w:p w14:paraId="40FA5405" w14:textId="77777777" w:rsidR="00BF4CC1" w:rsidRPr="009B4A78" w:rsidRDefault="00BF4CC1" w:rsidP="00984F70">
      <w:pPr>
        <w:tabs>
          <w:tab w:val="num" w:pos="709"/>
        </w:tabs>
        <w:jc w:val="both"/>
        <w:rPr>
          <w:rFonts w:ascii="Arial" w:eastAsia="Times New Roman" w:hAnsi="Arial" w:cs="Arial"/>
          <w:bCs/>
        </w:rPr>
      </w:pPr>
      <w:r w:rsidRPr="009B4A78">
        <w:rPr>
          <w:rFonts w:ascii="Arial" w:eastAsia="Times New Roman" w:hAnsi="Arial" w:cs="Arial"/>
          <w:bCs/>
        </w:rPr>
        <w:t>IMPLEMENTATION STRATEGIES</w:t>
      </w:r>
    </w:p>
    <w:p w14:paraId="5E7625F9" w14:textId="77777777" w:rsidR="00BF4CC1" w:rsidRPr="009B4A78" w:rsidRDefault="00BF4CC1" w:rsidP="00984F70">
      <w:pPr>
        <w:tabs>
          <w:tab w:val="num" w:pos="709"/>
        </w:tabs>
        <w:jc w:val="both"/>
        <w:rPr>
          <w:rFonts w:ascii="Arial" w:eastAsia="Times New Roman" w:hAnsi="Arial" w:cs="Arial"/>
          <w:bCs/>
        </w:rPr>
      </w:pPr>
    </w:p>
    <w:p w14:paraId="759B9958" w14:textId="77777777" w:rsidR="00BF4CC1" w:rsidRPr="009B4A7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The Program continues to facilitate access by least developed countries to commercially available patent and non-patent search tools and databases and to assist Member States in establishing institutional access points to high quality technology information services.  The Program will focus its efforts on sustaining Technology and Innovation Support Centers (TISCs) and enhancing their capacity for information analysis to support local home-grown innovation.</w:t>
      </w:r>
    </w:p>
    <w:p w14:paraId="6D56C7A4" w14:textId="77777777" w:rsidR="00BF4CC1" w:rsidRPr="009B4A78" w:rsidRDefault="00BF4CC1" w:rsidP="00984F70">
      <w:pPr>
        <w:tabs>
          <w:tab w:val="num" w:pos="709"/>
        </w:tabs>
        <w:jc w:val="both"/>
        <w:rPr>
          <w:rFonts w:ascii="Arial" w:eastAsia="Times New Roman" w:hAnsi="Arial" w:cs="Arial"/>
          <w:bCs/>
          <w:u w:val="single"/>
        </w:rPr>
      </w:pPr>
    </w:p>
    <w:p w14:paraId="3535D664" w14:textId="77777777" w:rsidR="00BF4CC1" w:rsidRPr="009950B9" w:rsidRDefault="00BF4CC1" w:rsidP="00984F70">
      <w:pPr>
        <w:tabs>
          <w:tab w:val="num" w:pos="709"/>
        </w:tabs>
        <w:jc w:val="both"/>
        <w:rPr>
          <w:rFonts w:ascii="Arial" w:eastAsia="Times New Roman" w:hAnsi="Arial" w:cs="Arial"/>
          <w:bCs/>
          <w:sz w:val="20"/>
          <w:u w:val="single"/>
        </w:rPr>
      </w:pPr>
      <w:r w:rsidRPr="009950B9">
        <w:rPr>
          <w:rFonts w:ascii="Arial" w:eastAsia="Times New Roman" w:hAnsi="Arial" w:cs="Arial"/>
          <w:bCs/>
          <w:sz w:val="20"/>
          <w:u w:val="single"/>
        </w:rPr>
        <w:t xml:space="preserve">Providing access to commercial patent and scientific and technical information databases </w:t>
      </w:r>
    </w:p>
    <w:p w14:paraId="6D6E7EE3" w14:textId="77777777" w:rsidR="00BF4CC1" w:rsidRPr="009950B9" w:rsidRDefault="00BF4CC1" w:rsidP="00984F70">
      <w:pPr>
        <w:tabs>
          <w:tab w:val="num" w:pos="709"/>
        </w:tabs>
        <w:jc w:val="both"/>
        <w:rPr>
          <w:rFonts w:ascii="Arial" w:eastAsia="Times New Roman" w:hAnsi="Arial" w:cs="Arial"/>
          <w:bCs/>
          <w:sz w:val="20"/>
        </w:rPr>
      </w:pPr>
    </w:p>
    <w:p w14:paraId="4306AC06" w14:textId="77777777" w:rsidR="00BF4CC1" w:rsidRPr="009B4A7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 xml:space="preserve">Free-of-charge or low-cost access to commercial patent and scientific and technical information databases will continue to be provided through the Access to Research for Development and Innovation (ARDI) and the Access to Specialized Patent Information (ASPI) programs.  Both programs enable IP Offices and academic and research institutions in over 100 eligible Member States to obtain free or low-cost access to over 20,000 peer-reviewed journals, books, reference works and sophisticated patent search and analysis tools, respectively.  ARDI will continue to be further integrated within the activities of the Research4Life (R4L) partnership, which includes WHO, FAO and UNEP, in particular as regards the technical back-office administration of the programs, communications, marketing and training. </w:t>
      </w:r>
    </w:p>
    <w:p w14:paraId="720228AF" w14:textId="77777777" w:rsidR="00BF4CC1" w:rsidRPr="009B4A78" w:rsidRDefault="00BF4CC1" w:rsidP="00984F70">
      <w:pPr>
        <w:tabs>
          <w:tab w:val="num" w:pos="709"/>
        </w:tabs>
        <w:jc w:val="both"/>
        <w:rPr>
          <w:rFonts w:ascii="Arial" w:eastAsia="Times New Roman" w:hAnsi="Arial" w:cs="Arial"/>
          <w:bCs/>
        </w:rPr>
      </w:pPr>
    </w:p>
    <w:p w14:paraId="57DFBEDA" w14:textId="77777777" w:rsidR="00BF4CC1" w:rsidRPr="009950B9" w:rsidRDefault="00BF4CC1" w:rsidP="00984F70">
      <w:pPr>
        <w:tabs>
          <w:tab w:val="num" w:pos="709"/>
        </w:tabs>
        <w:jc w:val="both"/>
        <w:rPr>
          <w:rFonts w:ascii="Arial" w:eastAsia="Times New Roman" w:hAnsi="Arial" w:cs="Arial"/>
          <w:bCs/>
          <w:sz w:val="20"/>
          <w:u w:val="single"/>
        </w:rPr>
      </w:pPr>
      <w:r w:rsidRPr="009950B9">
        <w:rPr>
          <w:rFonts w:ascii="Arial" w:eastAsia="Times New Roman" w:hAnsi="Arial" w:cs="Arial"/>
          <w:bCs/>
          <w:sz w:val="20"/>
          <w:u w:val="single"/>
        </w:rPr>
        <w:t>Developing effective and sustainable TISCs networks</w:t>
      </w:r>
    </w:p>
    <w:p w14:paraId="3DA9A602" w14:textId="77777777" w:rsidR="00BF4CC1" w:rsidRPr="009B4A78" w:rsidRDefault="00BF4CC1" w:rsidP="00984F70">
      <w:pPr>
        <w:tabs>
          <w:tab w:val="num" w:pos="709"/>
        </w:tabs>
        <w:jc w:val="both"/>
        <w:rPr>
          <w:rFonts w:ascii="Arial" w:eastAsia="Times New Roman" w:hAnsi="Arial" w:cs="Arial"/>
          <w:bCs/>
        </w:rPr>
      </w:pPr>
    </w:p>
    <w:p w14:paraId="30527B63" w14:textId="2FAE6E16" w:rsidR="00BF4CC1" w:rsidRPr="009B4A7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 xml:space="preserve">While the previous two biennia aimed at the establishment of TISCs, efforts in 2016/17 will increasingly focus on supporting and reinforcing their long-term sustainability and effectiveness of their services.  Support will in particular include: </w:t>
      </w:r>
      <w:r w:rsidR="005C2A6F">
        <w:rPr>
          <w:rFonts w:ascii="Arial" w:eastAsia="Times New Roman" w:hAnsi="Arial" w:cs="Arial"/>
          <w:bCs/>
          <w:sz w:val="20"/>
          <w:szCs w:val="20"/>
        </w:rPr>
        <w:t xml:space="preserve">making available </w:t>
      </w:r>
      <w:r w:rsidRPr="009B4A78">
        <w:rPr>
          <w:rFonts w:ascii="Arial" w:eastAsia="Times New Roman" w:hAnsi="Arial" w:cs="Arial"/>
          <w:bCs/>
          <w:sz w:val="20"/>
          <w:szCs w:val="20"/>
        </w:rPr>
        <w:t xml:space="preserve">a greater variety of onsite and online training of trainers programs for TISC staff; developing further the interactive e-tutorial on using and exploiting patent information; </w:t>
      </w:r>
      <w:r w:rsidR="005C2A6F" w:rsidRPr="009B4A78">
        <w:rPr>
          <w:rFonts w:ascii="Arial" w:eastAsia="Times New Roman" w:hAnsi="Arial" w:cs="Arial"/>
          <w:bCs/>
          <w:sz w:val="20"/>
          <w:szCs w:val="20"/>
        </w:rPr>
        <w:t>encourag</w:t>
      </w:r>
      <w:r w:rsidR="005C2A6F">
        <w:rPr>
          <w:rFonts w:ascii="Arial" w:eastAsia="Times New Roman" w:hAnsi="Arial" w:cs="Arial"/>
          <w:bCs/>
          <w:sz w:val="20"/>
          <w:szCs w:val="20"/>
        </w:rPr>
        <w:t>ing</w:t>
      </w:r>
      <w:r w:rsidR="005C2A6F" w:rsidRPr="009B4A78">
        <w:rPr>
          <w:rFonts w:ascii="Arial" w:eastAsia="Times New Roman" w:hAnsi="Arial" w:cs="Arial"/>
          <w:bCs/>
          <w:sz w:val="20"/>
          <w:szCs w:val="20"/>
        </w:rPr>
        <w:t xml:space="preserve"> </w:t>
      </w:r>
      <w:r w:rsidRPr="009B4A78">
        <w:rPr>
          <w:rFonts w:ascii="Arial" w:eastAsia="Times New Roman" w:hAnsi="Arial" w:cs="Arial"/>
          <w:bCs/>
          <w:sz w:val="20"/>
          <w:szCs w:val="20"/>
        </w:rPr>
        <w:t>networking and knowledge sharing through the eTISC platform and development of regional TISC networks and platforms; conduct</w:t>
      </w:r>
      <w:r w:rsidR="005C2A6F">
        <w:rPr>
          <w:rFonts w:ascii="Arial" w:eastAsia="Times New Roman" w:hAnsi="Arial" w:cs="Arial"/>
          <w:bCs/>
          <w:sz w:val="20"/>
          <w:szCs w:val="20"/>
        </w:rPr>
        <w:t>ing</w:t>
      </w:r>
      <w:r w:rsidRPr="009B4A78">
        <w:rPr>
          <w:rFonts w:ascii="Arial" w:eastAsia="Times New Roman" w:hAnsi="Arial" w:cs="Arial"/>
          <w:bCs/>
          <w:sz w:val="20"/>
          <w:szCs w:val="20"/>
        </w:rPr>
        <w:t xml:space="preserve"> sustainability assessments</w:t>
      </w:r>
      <w:r w:rsidR="005C2A6F">
        <w:rPr>
          <w:rFonts w:ascii="Arial" w:eastAsia="Times New Roman" w:hAnsi="Arial" w:cs="Arial"/>
          <w:bCs/>
          <w:sz w:val="20"/>
          <w:szCs w:val="20"/>
        </w:rPr>
        <w:t xml:space="preserve"> on a continuous basis</w:t>
      </w:r>
      <w:r w:rsidRPr="009B4A78">
        <w:rPr>
          <w:rFonts w:ascii="Arial" w:eastAsia="Times New Roman" w:hAnsi="Arial" w:cs="Arial"/>
          <w:bCs/>
          <w:sz w:val="20"/>
          <w:szCs w:val="20"/>
        </w:rPr>
        <w:t>;  and sharing “success stories” on concrete results achieved by TISCs through the services they offer.</w:t>
      </w:r>
    </w:p>
    <w:p w14:paraId="67544494" w14:textId="77777777" w:rsidR="00BF4CC1" w:rsidRPr="009B4A78" w:rsidRDefault="00BF4CC1" w:rsidP="00984F70">
      <w:pPr>
        <w:tabs>
          <w:tab w:val="num" w:pos="709"/>
        </w:tabs>
        <w:jc w:val="both"/>
        <w:rPr>
          <w:rFonts w:ascii="Arial" w:eastAsia="Times New Roman" w:hAnsi="Arial" w:cs="Arial"/>
          <w:bCs/>
        </w:rPr>
      </w:pPr>
    </w:p>
    <w:p w14:paraId="26D7C3C6" w14:textId="77777777" w:rsidR="00BF4CC1" w:rsidRPr="009950B9" w:rsidRDefault="00BF4CC1" w:rsidP="00984F70">
      <w:pPr>
        <w:tabs>
          <w:tab w:val="num" w:pos="709"/>
        </w:tabs>
        <w:jc w:val="both"/>
        <w:rPr>
          <w:rFonts w:ascii="Arial" w:eastAsia="Times New Roman" w:hAnsi="Arial" w:cs="Arial"/>
          <w:bCs/>
          <w:sz w:val="20"/>
          <w:u w:val="single"/>
        </w:rPr>
      </w:pPr>
      <w:r w:rsidRPr="009950B9">
        <w:rPr>
          <w:rFonts w:ascii="Arial" w:eastAsia="Times New Roman" w:hAnsi="Arial" w:cs="Arial"/>
          <w:bCs/>
          <w:sz w:val="20"/>
          <w:u w:val="single"/>
        </w:rPr>
        <w:t xml:space="preserve">Enhancement of value-added services  </w:t>
      </w:r>
    </w:p>
    <w:p w14:paraId="3E7E4CE2" w14:textId="77777777" w:rsidR="00BF4CC1" w:rsidRPr="009950B9" w:rsidRDefault="00BF4CC1" w:rsidP="00984F70">
      <w:pPr>
        <w:tabs>
          <w:tab w:val="num" w:pos="709"/>
        </w:tabs>
        <w:jc w:val="both"/>
        <w:rPr>
          <w:rFonts w:ascii="Arial" w:eastAsia="Times New Roman" w:hAnsi="Arial" w:cs="Arial"/>
          <w:bCs/>
          <w:sz w:val="20"/>
        </w:rPr>
      </w:pPr>
    </w:p>
    <w:p w14:paraId="0E585EA9" w14:textId="77777777" w:rsidR="00BF4CC1" w:rsidRPr="009B4A7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TISCs services will be further enhanced, taking into account demands from users for a broader range of value-added services such as patent information analysis.  Support will allow TISCs to provide users with value-added services such as: state-of-the-art search provided to date by the WIPO Patent Information Services; and patent landscape reports (PLRs) through the use of WIPO’s guidelines for patent information analytics (</w:t>
      </w:r>
      <w:r w:rsidRPr="009B4A78">
        <w:rPr>
          <w:rFonts w:ascii="Arial" w:eastAsia="Times New Roman" w:hAnsi="Arial" w:cs="Arial"/>
          <w:bCs/>
          <w:sz w:val="20"/>
          <w:szCs w:val="20"/>
          <w:lang w:val="en-GB"/>
        </w:rPr>
        <w:t>“Guidelines for Preparing Patent Landscape Reports” and the “Manual on Open Source Patent Analytics Tools”).</w:t>
      </w:r>
      <w:r w:rsidRPr="009B4A78">
        <w:rPr>
          <w:rFonts w:ascii="Arial" w:eastAsia="Times New Roman" w:hAnsi="Arial" w:cs="Arial"/>
          <w:bCs/>
          <w:sz w:val="20"/>
          <w:szCs w:val="20"/>
        </w:rPr>
        <w:t xml:space="preserve">  To address demands for advice on IP asset management and commercialization, TISCs services will also launch two projects: WIPO’s portal of available national patent legal status databases; and the “TISC Clinic” which will allow eligible local inventors to submit an invention for a state-of-the-art search carried out by a TISC and receive advice from a pro bono attorney on how best to gain value from the invention, including possible patent filing and subsequent business related aspects.  </w:t>
      </w:r>
    </w:p>
    <w:p w14:paraId="6F3423BA" w14:textId="77777777" w:rsidR="00BF4CC1" w:rsidRPr="009B4A78" w:rsidRDefault="00BF4CC1" w:rsidP="00984F70">
      <w:pPr>
        <w:jc w:val="both"/>
        <w:rPr>
          <w:rFonts w:ascii="Arial" w:eastAsia="Times New Roman" w:hAnsi="Arial" w:cs="Arial"/>
          <w:bCs/>
          <w:sz w:val="20"/>
          <w:szCs w:val="20"/>
        </w:rPr>
      </w:pPr>
    </w:p>
    <w:p w14:paraId="41E8AAD9" w14:textId="77777777" w:rsidR="007A5A68" w:rsidRDefault="00BF4CC1" w:rsidP="00B66A4A">
      <w:pPr>
        <w:numPr>
          <w:ilvl w:val="0"/>
          <w:numId w:val="16"/>
        </w:numPr>
        <w:tabs>
          <w:tab w:val="clear" w:pos="825"/>
        </w:tabs>
        <w:ind w:left="0"/>
        <w:jc w:val="both"/>
        <w:rPr>
          <w:rFonts w:ascii="Arial" w:eastAsia="Times New Roman" w:hAnsi="Arial" w:cs="Arial"/>
          <w:bCs/>
          <w:sz w:val="20"/>
          <w:szCs w:val="20"/>
        </w:rPr>
      </w:pPr>
      <w:r w:rsidRPr="009B4A78">
        <w:rPr>
          <w:rFonts w:ascii="Arial" w:eastAsia="Times New Roman" w:hAnsi="Arial" w:cs="Arial"/>
          <w:bCs/>
          <w:sz w:val="20"/>
          <w:szCs w:val="20"/>
        </w:rPr>
        <w:t>In coordination with Program 13 (Global Databases) and 15 (Business Solutions for IP offices), the Program will continue to assist developing countries in creating digital and machine-readable full text and legal status information of patents through partnerships programs such as LATIPAT (a regional database for Latin American countries) and ARABPAT (a regional database for certain Arab countries).</w:t>
      </w:r>
    </w:p>
    <w:p w14:paraId="105DE853" w14:textId="77777777" w:rsidR="007A5A68" w:rsidRDefault="007A5A68" w:rsidP="00FB68E0">
      <w:pPr>
        <w:pStyle w:val="ListParagraph"/>
        <w:rPr>
          <w:rFonts w:ascii="Arial" w:eastAsia="Times New Roman" w:hAnsi="Arial" w:cs="Arial"/>
          <w:bCs/>
          <w:sz w:val="20"/>
          <w:szCs w:val="20"/>
        </w:rPr>
      </w:pPr>
    </w:p>
    <w:p w14:paraId="7DA67B96" w14:textId="76E0159C" w:rsidR="007A5A68" w:rsidRPr="00FB68E0" w:rsidRDefault="007A5A68" w:rsidP="00B66A4A">
      <w:pPr>
        <w:numPr>
          <w:ilvl w:val="0"/>
          <w:numId w:val="16"/>
        </w:numPr>
        <w:tabs>
          <w:tab w:val="clear" w:pos="825"/>
        </w:tabs>
        <w:ind w:left="0"/>
        <w:jc w:val="both"/>
        <w:rPr>
          <w:rFonts w:ascii="Arial" w:eastAsia="Times New Roman" w:hAnsi="Arial" w:cs="Arial"/>
          <w:bCs/>
          <w:sz w:val="20"/>
          <w:szCs w:val="20"/>
        </w:rPr>
      </w:pPr>
      <w:r w:rsidRPr="00FB68E0">
        <w:rPr>
          <w:rFonts w:ascii="Arial" w:eastAsia="Times New Roman" w:hAnsi="Arial" w:cs="Arial"/>
          <w:bCs/>
          <w:sz w:val="20"/>
          <w:szCs w:val="20"/>
        </w:rPr>
        <w:t xml:space="preserve">Program 14 collaborates primarily with other Programs as illustrated below: </w:t>
      </w:r>
    </w:p>
    <w:p w14:paraId="3E4B8876" w14:textId="1A5CFDF9" w:rsidR="00BF4CC1" w:rsidRPr="009B4A78" w:rsidRDefault="00BF4CC1" w:rsidP="00FB68E0">
      <w:pPr>
        <w:jc w:val="both"/>
        <w:rPr>
          <w:rFonts w:ascii="Arial" w:eastAsia="Times New Roman" w:hAnsi="Arial" w:cs="Arial"/>
          <w:bCs/>
          <w:sz w:val="20"/>
          <w:szCs w:val="20"/>
        </w:rPr>
      </w:pPr>
    </w:p>
    <w:p w14:paraId="72BEF44D" w14:textId="77777777" w:rsidR="00BF4CC1" w:rsidRPr="009B4A78" w:rsidRDefault="00BF4CC1" w:rsidP="00984F70">
      <w:pPr>
        <w:ind w:left="142"/>
        <w:jc w:val="both"/>
        <w:rPr>
          <w:rFonts w:ascii="Arial" w:eastAsia="Times New Roman" w:hAnsi="Arial" w:cs="Arial"/>
          <w:bCs/>
          <w:sz w:val="20"/>
          <w:szCs w:val="20"/>
        </w:rPr>
      </w:pPr>
    </w:p>
    <w:p w14:paraId="22AF1B38" w14:textId="77777777" w:rsidR="00BF4CC1" w:rsidRPr="009B4A78" w:rsidRDefault="00BF4CC1" w:rsidP="00984F70">
      <w:pPr>
        <w:ind w:left="142"/>
        <w:jc w:val="both"/>
        <w:rPr>
          <w:rFonts w:ascii="Arial" w:eastAsia="Times New Roman" w:hAnsi="Arial" w:cs="Arial"/>
          <w:bCs/>
        </w:rPr>
      </w:pPr>
      <w:r w:rsidRPr="009B4A78">
        <w:rPr>
          <w:rFonts w:ascii="Arial" w:eastAsia="Times New Roman" w:hAnsi="Arial" w:cs="Arial"/>
          <w:noProof/>
          <w:szCs w:val="20"/>
          <w:lang w:eastAsia="en-US"/>
        </w:rPr>
        <w:drawing>
          <wp:inline distT="0" distB="0" distL="0" distR="0" wp14:anchorId="6C6560A3" wp14:editId="083950CB">
            <wp:extent cx="5943600" cy="1898650"/>
            <wp:effectExtent l="0" t="0" r="57150" b="0"/>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p>
    <w:p w14:paraId="32B406BD" w14:textId="77777777" w:rsidR="00BF4CC1" w:rsidRPr="009B4A78" w:rsidRDefault="00BF4CC1" w:rsidP="00984F70">
      <w:pPr>
        <w:ind w:left="142"/>
        <w:jc w:val="both"/>
        <w:rPr>
          <w:rFonts w:ascii="Arial" w:eastAsia="Times New Roman" w:hAnsi="Arial" w:cs="Arial"/>
          <w:bCs/>
        </w:rPr>
      </w:pPr>
    </w:p>
    <w:p w14:paraId="3F7360DE" w14:textId="77777777" w:rsidR="00BF4CC1" w:rsidRPr="009B4A78" w:rsidRDefault="00BF4CC1" w:rsidP="00984F70">
      <w:pPr>
        <w:ind w:left="142"/>
        <w:jc w:val="both"/>
        <w:rPr>
          <w:rFonts w:ascii="Arial" w:eastAsia="Times New Roman" w:hAnsi="Arial" w:cs="Arial"/>
          <w:bCs/>
        </w:rPr>
      </w:pPr>
    </w:p>
    <w:p w14:paraId="4858072E" w14:textId="77777777" w:rsidR="00BF4CC1" w:rsidRPr="009B4A78" w:rsidRDefault="00BF4CC1" w:rsidP="00984F70">
      <w:pPr>
        <w:jc w:val="both"/>
        <w:rPr>
          <w:rFonts w:ascii="Arial" w:eastAsia="Times New Roman" w:hAnsi="Arial" w:cs="Arial"/>
          <w:bCs/>
        </w:rPr>
      </w:pPr>
      <w:r w:rsidRPr="009B4A78">
        <w:rPr>
          <w:rFonts w:ascii="Arial" w:eastAsia="Times New Roman" w:hAnsi="Arial" w:cs="Arial"/>
          <w:bCs/>
        </w:rPr>
        <w:t>MAJOR RISKS AND MITIGATION STRATEGIES</w:t>
      </w:r>
    </w:p>
    <w:p w14:paraId="74184414" w14:textId="77777777" w:rsidR="00BF4CC1" w:rsidRPr="009B4A78" w:rsidRDefault="00BF4CC1" w:rsidP="00984F70">
      <w:pPr>
        <w:keepNext/>
        <w:keepLines/>
        <w:rPr>
          <w:rFonts w:ascii="Arial" w:eastAsia="Times New Roman" w:hAnsi="Arial" w:cs="Arial"/>
          <w:sz w:val="20"/>
          <w:szCs w:val="20"/>
        </w:rPr>
      </w:pPr>
    </w:p>
    <w:tbl>
      <w:tblPr>
        <w:tblW w:w="907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819"/>
      </w:tblGrid>
      <w:tr w:rsidR="00BF4CC1" w:rsidRPr="009B4A78" w14:paraId="5E93D46C" w14:textId="77777777" w:rsidTr="00FB68E0">
        <w:trPr>
          <w:trHeight w:val="459"/>
        </w:trPr>
        <w:tc>
          <w:tcPr>
            <w:tcW w:w="4253" w:type="dxa"/>
            <w:tcBorders>
              <w:top w:val="single" w:sz="4" w:space="0" w:color="auto"/>
              <w:bottom w:val="single" w:sz="4" w:space="0" w:color="auto"/>
            </w:tcBorders>
            <w:shd w:val="clear" w:color="auto" w:fill="C6D9F1" w:themeFill="text2" w:themeFillTint="33"/>
            <w:vAlign w:val="center"/>
          </w:tcPr>
          <w:p w14:paraId="61F8A155" w14:textId="77777777" w:rsidR="00BF4CC1" w:rsidRPr="009B4A78" w:rsidRDefault="00BF4CC1" w:rsidP="00984F70">
            <w:pPr>
              <w:jc w:val="center"/>
              <w:rPr>
                <w:rFonts w:ascii="Arial" w:eastAsia="Times New Roman" w:hAnsi="Arial" w:cs="Arial"/>
                <w:b/>
                <w:bCs/>
                <w:sz w:val="18"/>
                <w:szCs w:val="18"/>
              </w:rPr>
            </w:pPr>
            <w:r w:rsidRPr="009B4A78">
              <w:rPr>
                <w:rFonts w:ascii="Arial" w:eastAsia="Times New Roman" w:hAnsi="Arial" w:cs="Arial"/>
                <w:b/>
                <w:bCs/>
                <w:sz w:val="18"/>
                <w:szCs w:val="18"/>
              </w:rPr>
              <w:t>Risk</w:t>
            </w:r>
          </w:p>
        </w:tc>
        <w:tc>
          <w:tcPr>
            <w:tcW w:w="4819" w:type="dxa"/>
            <w:tcBorders>
              <w:top w:val="single" w:sz="4" w:space="0" w:color="auto"/>
              <w:bottom w:val="single" w:sz="4" w:space="0" w:color="auto"/>
            </w:tcBorders>
            <w:shd w:val="clear" w:color="auto" w:fill="C6D9F1" w:themeFill="text2" w:themeFillTint="33"/>
            <w:vAlign w:val="center"/>
          </w:tcPr>
          <w:p w14:paraId="1A5233A4" w14:textId="77777777" w:rsidR="00BF4CC1" w:rsidRPr="009B4A78" w:rsidRDefault="00BF4CC1" w:rsidP="00984F70">
            <w:pPr>
              <w:jc w:val="center"/>
              <w:rPr>
                <w:rFonts w:ascii="Arial" w:eastAsia="Times New Roman" w:hAnsi="Arial" w:cs="Arial"/>
                <w:b/>
                <w:bCs/>
                <w:sz w:val="18"/>
                <w:szCs w:val="18"/>
              </w:rPr>
            </w:pPr>
            <w:r w:rsidRPr="009B4A78">
              <w:rPr>
                <w:rFonts w:ascii="Arial" w:eastAsia="Times New Roman" w:hAnsi="Arial" w:cs="Arial"/>
                <w:b/>
                <w:bCs/>
                <w:sz w:val="18"/>
                <w:szCs w:val="18"/>
              </w:rPr>
              <w:t>Mitigation</w:t>
            </w:r>
          </w:p>
        </w:tc>
      </w:tr>
      <w:tr w:rsidR="00BF4CC1" w:rsidRPr="009B4A78" w14:paraId="3DEBD31C" w14:textId="77777777" w:rsidTr="00FB68E0">
        <w:trPr>
          <w:trHeight w:val="512"/>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684915C3" w14:textId="77777777" w:rsidR="00BF4CC1" w:rsidRPr="009B4A78" w:rsidRDefault="00BF4CC1" w:rsidP="00984F70">
            <w:pPr>
              <w:rPr>
                <w:rFonts w:ascii="Arial" w:eastAsia="Times New Roman" w:hAnsi="Arial" w:cs="Arial"/>
                <w:sz w:val="16"/>
                <w:szCs w:val="20"/>
              </w:rPr>
            </w:pPr>
            <w:r w:rsidRPr="009B4A78">
              <w:rPr>
                <w:rFonts w:ascii="Arial" w:eastAsia="Times New Roman" w:hAnsi="Arial" w:cs="Arial"/>
                <w:color w:val="000000"/>
                <w:sz w:val="16"/>
                <w:szCs w:val="20"/>
              </w:rPr>
              <w:t>Inability of the host country to sustain and continue self-supporting operation of TISC network.  This could lead to closure of certain TISC centers.</w:t>
            </w:r>
          </w:p>
        </w:tc>
        <w:tc>
          <w:tcPr>
            <w:tcW w:w="4819"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56D4D492" w14:textId="77777777" w:rsidR="00BF4CC1" w:rsidRPr="009B4A78" w:rsidRDefault="00BF4CC1" w:rsidP="00984F70">
            <w:pPr>
              <w:rPr>
                <w:rFonts w:ascii="Arial" w:eastAsia="Times New Roman" w:hAnsi="Arial" w:cs="Arial"/>
                <w:sz w:val="16"/>
                <w:szCs w:val="20"/>
              </w:rPr>
            </w:pPr>
            <w:r w:rsidRPr="009B4A78">
              <w:rPr>
                <w:rFonts w:ascii="Arial" w:eastAsia="Times New Roman" w:hAnsi="Arial" w:cs="Arial"/>
                <w:color w:val="000000"/>
                <w:sz w:val="16"/>
                <w:szCs w:val="20"/>
              </w:rPr>
              <w:t>Greater involvement with host countries in the planning and implementation of the TISC project</w:t>
            </w:r>
          </w:p>
        </w:tc>
      </w:tr>
    </w:tbl>
    <w:p w14:paraId="1B0EAC7F" w14:textId="77777777" w:rsidR="00BF4CC1" w:rsidRPr="009B4A78" w:rsidRDefault="00BF4CC1" w:rsidP="00984F70">
      <w:pPr>
        <w:rPr>
          <w:rFonts w:ascii="Arial" w:eastAsia="Times New Roman" w:hAnsi="Arial" w:cs="Arial"/>
        </w:rPr>
      </w:pPr>
    </w:p>
    <w:p w14:paraId="1CFC3704" w14:textId="77777777" w:rsidR="00BF4CC1" w:rsidRPr="009B4A78" w:rsidRDefault="00BF4CC1" w:rsidP="00984F70">
      <w:pPr>
        <w:rPr>
          <w:rFonts w:ascii="Arial" w:eastAsia="Times New Roman" w:hAnsi="Arial" w:cs="Arial"/>
        </w:rPr>
      </w:pPr>
    </w:p>
    <w:p w14:paraId="12D754BF" w14:textId="77777777" w:rsidR="00BF4CC1" w:rsidRPr="009B4A78" w:rsidRDefault="00BF4CC1" w:rsidP="00984F70">
      <w:pPr>
        <w:tabs>
          <w:tab w:val="left" w:pos="567"/>
          <w:tab w:val="left" w:pos="1985"/>
        </w:tabs>
        <w:jc w:val="both"/>
        <w:rPr>
          <w:rFonts w:ascii="Arial" w:eastAsia="Times New Roman" w:hAnsi="Arial" w:cs="Arial"/>
        </w:rPr>
      </w:pPr>
      <w:r w:rsidRPr="009B4A78">
        <w:rPr>
          <w:rFonts w:ascii="Arial" w:eastAsia="Times New Roman" w:hAnsi="Arial" w:cs="Arial"/>
          <w:bCs/>
        </w:rPr>
        <w:t>RESULTS FRAMEWORK</w:t>
      </w:r>
    </w:p>
    <w:p w14:paraId="69DAD104" w14:textId="77777777" w:rsidR="00BF4CC1" w:rsidRPr="009B4A78" w:rsidRDefault="00BF4CC1" w:rsidP="00984F70">
      <w:pPr>
        <w:tabs>
          <w:tab w:val="left" w:pos="567"/>
          <w:tab w:val="left" w:pos="1985"/>
        </w:tabs>
        <w:jc w:val="both"/>
        <w:rPr>
          <w:rFonts w:ascii="Arial" w:eastAsia="Times New Roman" w:hAnsi="Arial" w:cs="Arial"/>
        </w:rPr>
      </w:pPr>
    </w:p>
    <w:tbl>
      <w:tblPr>
        <w:tblW w:w="9229" w:type="dxa"/>
        <w:tblInd w:w="93" w:type="dxa"/>
        <w:tblLook w:val="04A0" w:firstRow="1" w:lastRow="0" w:firstColumn="1" w:lastColumn="0" w:noHBand="0" w:noVBand="1"/>
      </w:tblPr>
      <w:tblGrid>
        <w:gridCol w:w="2380"/>
        <w:gridCol w:w="2200"/>
        <w:gridCol w:w="2560"/>
        <w:gridCol w:w="2089"/>
      </w:tblGrid>
      <w:tr w:rsidR="00BF4CC1" w:rsidRPr="009B4A78" w14:paraId="2ACCC8E7" w14:textId="77777777" w:rsidTr="009950B9">
        <w:trPr>
          <w:trHeight w:val="465"/>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0A91780C" w14:textId="77777777" w:rsidR="00BF4CC1" w:rsidRPr="009B4A78" w:rsidRDefault="00BF4CC1" w:rsidP="00984F70">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Expected Results</w:t>
            </w:r>
          </w:p>
        </w:tc>
        <w:tc>
          <w:tcPr>
            <w:tcW w:w="220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09B725ED" w14:textId="77777777" w:rsidR="00BF4CC1" w:rsidRPr="009B4A78" w:rsidRDefault="00BF4CC1" w:rsidP="00984F70">
            <w:pPr>
              <w:ind w:hanging="63"/>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Performance Indicators</w:t>
            </w:r>
          </w:p>
        </w:tc>
        <w:tc>
          <w:tcPr>
            <w:tcW w:w="256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236A61A" w14:textId="77777777" w:rsidR="00BF4CC1" w:rsidRPr="009B4A78" w:rsidRDefault="00BF4CC1" w:rsidP="00984F70">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Baselines</w:t>
            </w:r>
          </w:p>
        </w:tc>
        <w:tc>
          <w:tcPr>
            <w:tcW w:w="208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158F0558" w14:textId="77777777" w:rsidR="00BF4CC1" w:rsidRPr="009B4A78" w:rsidRDefault="00BF4CC1" w:rsidP="00984F70">
            <w:pPr>
              <w:jc w:val="center"/>
              <w:rPr>
                <w:rFonts w:ascii="Arial" w:eastAsia="Times New Roman" w:hAnsi="Arial" w:cs="Arial"/>
                <w:b/>
                <w:bCs/>
                <w:color w:val="000000"/>
                <w:sz w:val="18"/>
                <w:szCs w:val="18"/>
              </w:rPr>
            </w:pPr>
            <w:r w:rsidRPr="009B4A78">
              <w:rPr>
                <w:rFonts w:ascii="Arial" w:eastAsia="Times New Roman" w:hAnsi="Arial" w:cs="Arial"/>
                <w:b/>
                <w:bCs/>
                <w:color w:val="000000"/>
                <w:sz w:val="18"/>
                <w:szCs w:val="18"/>
              </w:rPr>
              <w:t>Targets</w:t>
            </w:r>
          </w:p>
        </w:tc>
      </w:tr>
      <w:tr w:rsidR="00BF4CC1" w:rsidRPr="009B4A78" w14:paraId="1DEC1401" w14:textId="77777777" w:rsidTr="009950B9">
        <w:trPr>
          <w:trHeight w:val="1971"/>
        </w:trPr>
        <w:tc>
          <w:tcPr>
            <w:tcW w:w="2380" w:type="dxa"/>
            <w:vMerge w:val="restart"/>
            <w:tcBorders>
              <w:top w:val="single" w:sz="4" w:space="0" w:color="auto"/>
              <w:left w:val="single" w:sz="4" w:space="0" w:color="auto"/>
              <w:bottom w:val="single" w:sz="4" w:space="0" w:color="auto"/>
              <w:right w:val="nil"/>
            </w:tcBorders>
            <w:shd w:val="clear" w:color="000000" w:fill="FFFFFF"/>
            <w:tcMar>
              <w:top w:w="85" w:type="dxa"/>
            </w:tcMar>
            <w:hideMark/>
          </w:tcPr>
          <w:p w14:paraId="5117053B" w14:textId="77777777" w:rsidR="007979F6" w:rsidRDefault="007979F6" w:rsidP="00984F70">
            <w:pPr>
              <w:rPr>
                <w:rFonts w:ascii="Arial" w:eastAsia="Times New Roman" w:hAnsi="Arial" w:cs="Arial"/>
                <w:color w:val="000000"/>
                <w:sz w:val="16"/>
                <w:szCs w:val="16"/>
              </w:rPr>
            </w:pPr>
          </w:p>
          <w:p w14:paraId="0D4407C9" w14:textId="77777777" w:rsidR="00BF4CC1" w:rsidRPr="009B4A78" w:rsidRDefault="00BF4CC1" w:rsidP="00984F70">
            <w:pPr>
              <w:rPr>
                <w:rFonts w:ascii="Arial" w:eastAsia="Times New Roman" w:hAnsi="Arial" w:cs="Arial"/>
                <w:color w:val="000000"/>
                <w:sz w:val="16"/>
                <w:szCs w:val="16"/>
              </w:rPr>
            </w:pPr>
            <w:r w:rsidRPr="009B4A78">
              <w:rPr>
                <w:rFonts w:ascii="Arial" w:eastAsia="Times New Roman" w:hAnsi="Arial" w:cs="Arial"/>
                <w:color w:val="000000"/>
                <w:sz w:val="16"/>
                <w:szCs w:val="16"/>
              </w:rPr>
              <w:t>IV.2 Enhanced access to, and use of, IP information by IP institutions and the public to promote innovation and creativity</w:t>
            </w:r>
          </w:p>
        </w:tc>
        <w:tc>
          <w:tcPr>
            <w:tcW w:w="2200" w:type="dxa"/>
            <w:tcBorders>
              <w:top w:val="single" w:sz="4" w:space="0" w:color="auto"/>
              <w:left w:val="nil"/>
              <w:right w:val="nil"/>
            </w:tcBorders>
            <w:shd w:val="clear" w:color="000000" w:fill="FFFFFF"/>
            <w:tcMar>
              <w:top w:w="85" w:type="dxa"/>
            </w:tcMar>
            <w:hideMark/>
          </w:tcPr>
          <w:p w14:paraId="7B3077B4" w14:textId="77777777" w:rsidR="007979F6" w:rsidRDefault="007979F6" w:rsidP="00984F70">
            <w:pPr>
              <w:ind w:left="221"/>
              <w:rPr>
                <w:rFonts w:ascii="Arial" w:eastAsia="Times New Roman" w:hAnsi="Arial" w:cs="Arial"/>
                <w:color w:val="000000"/>
                <w:sz w:val="16"/>
                <w:szCs w:val="16"/>
              </w:rPr>
            </w:pPr>
          </w:p>
          <w:p w14:paraId="3F37D0A9" w14:textId="309DC8BF" w:rsidR="008E568A" w:rsidRDefault="00BF4CC1" w:rsidP="00C53E9A">
            <w:pPr>
              <w:ind w:left="79"/>
              <w:rPr>
                <w:rFonts w:ascii="Arial" w:eastAsia="Times New Roman" w:hAnsi="Arial" w:cs="Arial"/>
                <w:color w:val="000000"/>
                <w:sz w:val="16"/>
                <w:szCs w:val="16"/>
              </w:rPr>
            </w:pPr>
            <w:r w:rsidRPr="009B4A78">
              <w:rPr>
                <w:rFonts w:ascii="Arial" w:eastAsia="Times New Roman" w:hAnsi="Arial" w:cs="Arial"/>
                <w:color w:val="000000"/>
                <w:sz w:val="16"/>
                <w:szCs w:val="16"/>
              </w:rPr>
              <w:t>No. of sustainable</w:t>
            </w:r>
            <w:r w:rsidR="00B46E15">
              <w:rPr>
                <w:rStyle w:val="FootnoteReference"/>
                <w:rFonts w:ascii="Arial" w:eastAsia="Times New Roman" w:hAnsi="Arial" w:cs="Arial"/>
                <w:color w:val="000000"/>
                <w:sz w:val="16"/>
                <w:szCs w:val="16"/>
              </w:rPr>
              <w:footnoteReference w:id="20"/>
            </w:r>
            <w:r w:rsidRPr="009B4A78">
              <w:rPr>
                <w:rFonts w:ascii="Arial" w:eastAsia="Times New Roman" w:hAnsi="Arial" w:cs="Arial"/>
                <w:color w:val="000000"/>
                <w:sz w:val="16"/>
                <w:szCs w:val="16"/>
              </w:rPr>
              <w:t xml:space="preserve"> national </w:t>
            </w:r>
            <w:r w:rsidR="008E568A">
              <w:rPr>
                <w:rFonts w:ascii="Arial" w:eastAsia="Times New Roman" w:hAnsi="Arial" w:cs="Arial"/>
                <w:color w:val="000000"/>
                <w:sz w:val="16"/>
                <w:szCs w:val="16"/>
              </w:rPr>
              <w:t xml:space="preserve">TISCs </w:t>
            </w:r>
            <w:r w:rsidRPr="009B4A78">
              <w:rPr>
                <w:rFonts w:ascii="Arial" w:eastAsia="Times New Roman" w:hAnsi="Arial" w:cs="Arial"/>
                <w:color w:val="000000"/>
                <w:sz w:val="16"/>
                <w:szCs w:val="16"/>
              </w:rPr>
              <w:t xml:space="preserve">networks </w:t>
            </w:r>
          </w:p>
          <w:p w14:paraId="05EB5089" w14:textId="7C87FE50" w:rsidR="00BF4CC1" w:rsidRPr="009B4A78" w:rsidRDefault="008E568A" w:rsidP="00C53E9A">
            <w:pPr>
              <w:ind w:left="79"/>
              <w:rPr>
                <w:rFonts w:ascii="Arial" w:eastAsia="Times New Roman" w:hAnsi="Arial" w:cs="Arial"/>
                <w:color w:val="000000"/>
                <w:sz w:val="16"/>
                <w:szCs w:val="16"/>
              </w:rPr>
            </w:pPr>
            <w:r>
              <w:rPr>
                <w:rFonts w:ascii="Arial" w:eastAsia="Times New Roman" w:hAnsi="Arial" w:cs="Arial"/>
                <w:color w:val="000000"/>
                <w:sz w:val="16"/>
                <w:szCs w:val="16"/>
              </w:rPr>
              <w:t>(numbers cumulative)</w:t>
            </w:r>
          </w:p>
        </w:tc>
        <w:tc>
          <w:tcPr>
            <w:tcW w:w="2560" w:type="dxa"/>
            <w:tcBorders>
              <w:top w:val="single" w:sz="4" w:space="0" w:color="auto"/>
              <w:left w:val="nil"/>
              <w:right w:val="nil"/>
            </w:tcBorders>
            <w:shd w:val="clear" w:color="000000" w:fill="FFFFFF"/>
            <w:tcMar>
              <w:top w:w="85" w:type="dxa"/>
            </w:tcMar>
            <w:hideMark/>
          </w:tcPr>
          <w:p w14:paraId="0D6D3B57" w14:textId="77777777" w:rsidR="007979F6" w:rsidRDefault="007979F6" w:rsidP="008D4CE9">
            <w:pPr>
              <w:ind w:left="5" w:firstLineChars="19" w:firstLine="30"/>
              <w:rPr>
                <w:rFonts w:ascii="Arial" w:eastAsia="Times New Roman" w:hAnsi="Arial" w:cs="Arial"/>
                <w:color w:val="000000"/>
                <w:sz w:val="16"/>
                <w:szCs w:val="16"/>
              </w:rPr>
            </w:pPr>
          </w:p>
          <w:p w14:paraId="2F7D592F" w14:textId="77777777" w:rsidR="00BF4CC1" w:rsidRPr="009B4A78" w:rsidRDefault="00BF4CC1" w:rsidP="008D4CE9">
            <w:pPr>
              <w:ind w:left="5" w:firstLineChars="19" w:firstLine="30"/>
              <w:rPr>
                <w:rFonts w:ascii="Arial" w:eastAsia="Times New Roman" w:hAnsi="Arial" w:cs="Arial"/>
                <w:color w:val="000000"/>
                <w:sz w:val="16"/>
                <w:szCs w:val="16"/>
              </w:rPr>
            </w:pPr>
            <w:r w:rsidRPr="009B4A78">
              <w:rPr>
                <w:rFonts w:ascii="Arial" w:eastAsia="Times New Roman" w:hAnsi="Arial" w:cs="Arial"/>
                <w:color w:val="000000"/>
                <w:sz w:val="16"/>
                <w:szCs w:val="16"/>
              </w:rPr>
              <w:t>20 sustainable national TISC networks out of 45 established (cumulative):  Africa (9 of which 6 LDCs); Arab region (2); Asia and Pacific (3 of which 1 LDC);  Latin America and the Caribbean (5); Certain Countries in Europe and Asia (1)</w:t>
            </w:r>
          </w:p>
        </w:tc>
        <w:tc>
          <w:tcPr>
            <w:tcW w:w="2089" w:type="dxa"/>
            <w:tcBorders>
              <w:top w:val="single" w:sz="4" w:space="0" w:color="auto"/>
              <w:left w:val="nil"/>
              <w:right w:val="single" w:sz="4" w:space="0" w:color="auto"/>
            </w:tcBorders>
            <w:shd w:val="clear" w:color="000000" w:fill="FFFFFF"/>
            <w:tcMar>
              <w:top w:w="85" w:type="dxa"/>
            </w:tcMar>
            <w:hideMark/>
          </w:tcPr>
          <w:p w14:paraId="328A3154" w14:textId="77777777" w:rsidR="007979F6" w:rsidRDefault="007979F6" w:rsidP="00984F70">
            <w:pPr>
              <w:ind w:left="280" w:firstLineChars="25" w:firstLine="40"/>
              <w:rPr>
                <w:rFonts w:ascii="Arial" w:eastAsia="Times New Roman" w:hAnsi="Arial" w:cs="Arial"/>
                <w:color w:val="000000"/>
                <w:sz w:val="16"/>
                <w:szCs w:val="16"/>
              </w:rPr>
            </w:pPr>
          </w:p>
          <w:p w14:paraId="76D32980" w14:textId="77777777" w:rsidR="00BF4CC1" w:rsidRPr="009B4A78" w:rsidRDefault="00BF4CC1" w:rsidP="008D4CE9">
            <w:pPr>
              <w:ind w:left="-3"/>
              <w:rPr>
                <w:rFonts w:ascii="Arial" w:eastAsia="Times New Roman" w:hAnsi="Arial" w:cs="Arial"/>
                <w:color w:val="000000"/>
                <w:sz w:val="16"/>
                <w:szCs w:val="16"/>
              </w:rPr>
            </w:pPr>
            <w:r w:rsidRPr="009B4A78">
              <w:rPr>
                <w:rFonts w:ascii="Arial" w:eastAsia="Times New Roman" w:hAnsi="Arial" w:cs="Arial"/>
                <w:color w:val="000000"/>
                <w:sz w:val="16"/>
                <w:szCs w:val="16"/>
              </w:rPr>
              <w:t>30 national TISC networks (cumulative): Africa region (11 of which 8 LDCs); Arab region (4); Asia and the Pacific region (5 of which 2  LDCs); Latin America and the Caribbean region (7); Certain Countries in Europe and Asia (3)</w:t>
            </w:r>
          </w:p>
        </w:tc>
      </w:tr>
      <w:tr w:rsidR="00BF4CC1" w:rsidRPr="009B4A78" w14:paraId="58B46C2A" w14:textId="77777777" w:rsidTr="009950B9">
        <w:trPr>
          <w:trHeight w:val="633"/>
        </w:trPr>
        <w:tc>
          <w:tcPr>
            <w:tcW w:w="2380" w:type="dxa"/>
            <w:vMerge/>
            <w:tcBorders>
              <w:left w:val="single" w:sz="4" w:space="0" w:color="auto"/>
              <w:bottom w:val="single" w:sz="4" w:space="0" w:color="auto"/>
              <w:right w:val="nil"/>
            </w:tcBorders>
            <w:tcMar>
              <w:top w:w="85" w:type="dxa"/>
            </w:tcMar>
            <w:vAlign w:val="center"/>
            <w:hideMark/>
          </w:tcPr>
          <w:p w14:paraId="49207859" w14:textId="77777777" w:rsidR="00BF4CC1" w:rsidRPr="009B4A78" w:rsidRDefault="00BF4CC1" w:rsidP="00984F70">
            <w:pPr>
              <w:rPr>
                <w:rFonts w:ascii="Arial" w:eastAsia="Times New Roman" w:hAnsi="Arial" w:cs="Arial"/>
                <w:color w:val="000000"/>
                <w:sz w:val="16"/>
                <w:szCs w:val="16"/>
              </w:rPr>
            </w:pPr>
          </w:p>
        </w:tc>
        <w:tc>
          <w:tcPr>
            <w:tcW w:w="2200" w:type="dxa"/>
            <w:tcBorders>
              <w:left w:val="nil"/>
              <w:right w:val="nil"/>
            </w:tcBorders>
            <w:shd w:val="clear" w:color="000000" w:fill="FFFFFF"/>
            <w:tcMar>
              <w:top w:w="85" w:type="dxa"/>
            </w:tcMar>
            <w:hideMark/>
          </w:tcPr>
          <w:p w14:paraId="7DB5CB04" w14:textId="77777777" w:rsidR="00BF4CC1" w:rsidRPr="009B4A78" w:rsidRDefault="00BF4CC1" w:rsidP="008D4CE9">
            <w:pPr>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Average no. of users serviced by TISCs per annum </w:t>
            </w:r>
          </w:p>
        </w:tc>
        <w:tc>
          <w:tcPr>
            <w:tcW w:w="2560" w:type="dxa"/>
            <w:tcBorders>
              <w:left w:val="nil"/>
              <w:right w:val="nil"/>
            </w:tcBorders>
            <w:shd w:val="clear" w:color="000000" w:fill="FFFFFF"/>
            <w:tcMar>
              <w:top w:w="85" w:type="dxa"/>
            </w:tcMar>
            <w:hideMark/>
          </w:tcPr>
          <w:p w14:paraId="423A4CBE" w14:textId="77777777" w:rsidR="00BF4CC1" w:rsidRPr="009B4A78" w:rsidRDefault="00BF4CC1" w:rsidP="008D4CE9">
            <w:pPr>
              <w:ind w:left="5" w:firstLineChars="19" w:firstLine="30"/>
              <w:rPr>
                <w:rFonts w:ascii="Arial" w:eastAsia="Times New Roman" w:hAnsi="Arial" w:cs="Arial"/>
                <w:color w:val="000000"/>
                <w:sz w:val="16"/>
                <w:szCs w:val="16"/>
              </w:rPr>
            </w:pPr>
            <w:r w:rsidRPr="009B4A78">
              <w:rPr>
                <w:rFonts w:ascii="Arial" w:eastAsia="Times New Roman" w:hAnsi="Arial" w:cs="Arial"/>
                <w:color w:val="000000"/>
                <w:sz w:val="16"/>
                <w:szCs w:val="16"/>
              </w:rPr>
              <w:t>548 (min) to 1625 (max)</w:t>
            </w:r>
          </w:p>
        </w:tc>
        <w:tc>
          <w:tcPr>
            <w:tcW w:w="2089" w:type="dxa"/>
            <w:tcBorders>
              <w:left w:val="nil"/>
              <w:right w:val="single" w:sz="4" w:space="0" w:color="auto"/>
            </w:tcBorders>
            <w:shd w:val="clear" w:color="000000" w:fill="FFFFFF"/>
            <w:tcMar>
              <w:top w:w="85" w:type="dxa"/>
            </w:tcMar>
            <w:hideMark/>
          </w:tcPr>
          <w:p w14:paraId="519EEB44" w14:textId="77777777" w:rsidR="00BF4CC1" w:rsidRPr="009B4A78" w:rsidRDefault="00BF4CC1" w:rsidP="008D4CE9">
            <w:pPr>
              <w:ind w:left="-3" w:firstLineChars="25" w:firstLine="40"/>
              <w:rPr>
                <w:rFonts w:ascii="Arial" w:eastAsia="Times New Roman" w:hAnsi="Arial" w:cs="Arial"/>
                <w:color w:val="000000"/>
                <w:sz w:val="16"/>
                <w:szCs w:val="16"/>
              </w:rPr>
            </w:pPr>
            <w:r w:rsidRPr="009B4A78">
              <w:rPr>
                <w:rFonts w:ascii="Arial" w:eastAsia="Times New Roman" w:hAnsi="Arial" w:cs="Arial"/>
                <w:color w:val="000000"/>
                <w:sz w:val="16"/>
                <w:szCs w:val="16"/>
              </w:rPr>
              <w:t>1100</w:t>
            </w:r>
          </w:p>
        </w:tc>
      </w:tr>
      <w:tr w:rsidR="00BF4CC1" w:rsidRPr="009B4A78" w14:paraId="6758E469" w14:textId="77777777" w:rsidTr="008D4CE9">
        <w:trPr>
          <w:trHeight w:val="864"/>
        </w:trPr>
        <w:tc>
          <w:tcPr>
            <w:tcW w:w="2380" w:type="dxa"/>
            <w:vMerge/>
            <w:tcBorders>
              <w:left w:val="single" w:sz="4" w:space="0" w:color="auto"/>
              <w:bottom w:val="single" w:sz="4" w:space="0" w:color="auto"/>
              <w:right w:val="nil"/>
            </w:tcBorders>
            <w:tcMar>
              <w:top w:w="85" w:type="dxa"/>
            </w:tcMar>
            <w:vAlign w:val="center"/>
            <w:hideMark/>
          </w:tcPr>
          <w:p w14:paraId="1CA666A5" w14:textId="77777777" w:rsidR="00BF4CC1" w:rsidRPr="009B4A78" w:rsidRDefault="00BF4CC1" w:rsidP="00984F70">
            <w:pPr>
              <w:rPr>
                <w:rFonts w:ascii="Arial" w:eastAsia="Times New Roman" w:hAnsi="Arial" w:cs="Arial"/>
                <w:color w:val="000000"/>
                <w:sz w:val="16"/>
                <w:szCs w:val="16"/>
              </w:rPr>
            </w:pPr>
          </w:p>
        </w:tc>
        <w:tc>
          <w:tcPr>
            <w:tcW w:w="2200" w:type="dxa"/>
            <w:tcBorders>
              <w:left w:val="nil"/>
              <w:right w:val="nil"/>
            </w:tcBorders>
            <w:shd w:val="clear" w:color="000000" w:fill="FFFFFF"/>
            <w:tcMar>
              <w:top w:w="85" w:type="dxa"/>
            </w:tcMar>
            <w:hideMark/>
          </w:tcPr>
          <w:p w14:paraId="36BC842F" w14:textId="77777777" w:rsidR="00BF4CC1" w:rsidRPr="009B4A78" w:rsidRDefault="00BF4CC1" w:rsidP="008D4CE9">
            <w:pPr>
              <w:rPr>
                <w:rFonts w:ascii="Arial" w:eastAsia="Times New Roman" w:hAnsi="Arial" w:cs="Arial"/>
                <w:color w:val="000000"/>
                <w:sz w:val="16"/>
                <w:szCs w:val="16"/>
              </w:rPr>
            </w:pPr>
            <w:r w:rsidRPr="009B4A78">
              <w:rPr>
                <w:rFonts w:ascii="Arial" w:eastAsia="Times New Roman" w:hAnsi="Arial" w:cs="Arial"/>
                <w:color w:val="000000"/>
                <w:sz w:val="16"/>
                <w:szCs w:val="16"/>
              </w:rPr>
              <w:t>No. of Member States in the respective regions collaborating with Global Databases.</w:t>
            </w:r>
          </w:p>
        </w:tc>
        <w:tc>
          <w:tcPr>
            <w:tcW w:w="2560" w:type="dxa"/>
            <w:tcBorders>
              <w:left w:val="nil"/>
              <w:right w:val="nil"/>
            </w:tcBorders>
            <w:shd w:val="clear" w:color="000000" w:fill="FFFFFF"/>
            <w:tcMar>
              <w:top w:w="85" w:type="dxa"/>
            </w:tcMar>
            <w:hideMark/>
          </w:tcPr>
          <w:p w14:paraId="7927DA69" w14:textId="77777777" w:rsidR="00BF4CC1" w:rsidRPr="009B4A78" w:rsidRDefault="00BF4CC1" w:rsidP="008D4CE9">
            <w:pPr>
              <w:ind w:left="5"/>
              <w:rPr>
                <w:rFonts w:ascii="Arial" w:eastAsia="Times New Roman" w:hAnsi="Arial" w:cs="Arial"/>
                <w:color w:val="000000"/>
                <w:sz w:val="16"/>
                <w:szCs w:val="16"/>
              </w:rPr>
            </w:pPr>
            <w:r w:rsidRPr="009B4A78">
              <w:rPr>
                <w:rFonts w:ascii="Arial" w:eastAsia="Times New Roman" w:hAnsi="Arial" w:cs="Arial"/>
                <w:color w:val="000000"/>
                <w:sz w:val="16"/>
                <w:szCs w:val="16"/>
              </w:rPr>
              <w:t>15 PATENTSCOPE, 1 GBD, 0 GDD LATIPAT</w:t>
            </w:r>
            <w:r w:rsidRPr="009B4A78">
              <w:rPr>
                <w:rFonts w:ascii="Arial" w:eastAsia="Times New Roman" w:hAnsi="Arial" w:cs="Arial"/>
                <w:color w:val="000000"/>
                <w:sz w:val="16"/>
                <w:szCs w:val="16"/>
              </w:rPr>
              <w:br/>
              <w:t>3 PATENTSCOPE, 1 GBD, 0 GDD ARABPAT (Feb 2015)</w:t>
            </w:r>
          </w:p>
        </w:tc>
        <w:tc>
          <w:tcPr>
            <w:tcW w:w="2089" w:type="dxa"/>
            <w:tcBorders>
              <w:left w:val="nil"/>
              <w:right w:val="single" w:sz="4" w:space="0" w:color="auto"/>
            </w:tcBorders>
            <w:shd w:val="clear" w:color="000000" w:fill="FFFFFF"/>
            <w:tcMar>
              <w:top w:w="85" w:type="dxa"/>
            </w:tcMar>
            <w:hideMark/>
          </w:tcPr>
          <w:p w14:paraId="08F2D819" w14:textId="77777777" w:rsidR="00BF4CC1" w:rsidRPr="009B4A78" w:rsidRDefault="00BF4CC1" w:rsidP="008D4CE9">
            <w:pPr>
              <w:ind w:left="-3"/>
              <w:rPr>
                <w:rFonts w:ascii="Arial" w:eastAsia="Times New Roman" w:hAnsi="Arial" w:cs="Arial"/>
                <w:color w:val="000000"/>
                <w:sz w:val="16"/>
                <w:szCs w:val="16"/>
              </w:rPr>
            </w:pPr>
            <w:r w:rsidRPr="009B4A78">
              <w:rPr>
                <w:rFonts w:ascii="Arial" w:eastAsia="Times New Roman" w:hAnsi="Arial" w:cs="Arial"/>
                <w:color w:val="000000"/>
                <w:sz w:val="16"/>
                <w:szCs w:val="16"/>
              </w:rPr>
              <w:t>+2 PATENTSCOPE, +4 GBD, +2 GDD overall</w:t>
            </w:r>
          </w:p>
        </w:tc>
      </w:tr>
      <w:tr w:rsidR="00BF4CC1" w:rsidRPr="009B4A78" w14:paraId="68182871" w14:textId="77777777" w:rsidTr="009950B9">
        <w:trPr>
          <w:trHeight w:val="660"/>
        </w:trPr>
        <w:tc>
          <w:tcPr>
            <w:tcW w:w="2380" w:type="dxa"/>
            <w:vMerge/>
            <w:tcBorders>
              <w:top w:val="nil"/>
              <w:left w:val="single" w:sz="4" w:space="0" w:color="auto"/>
              <w:bottom w:val="single" w:sz="4" w:space="0" w:color="auto"/>
              <w:right w:val="nil"/>
            </w:tcBorders>
            <w:tcMar>
              <w:top w:w="85" w:type="dxa"/>
            </w:tcMar>
            <w:vAlign w:val="center"/>
            <w:hideMark/>
          </w:tcPr>
          <w:p w14:paraId="583F8C3A" w14:textId="77777777" w:rsidR="00BF4CC1" w:rsidRPr="009B4A78" w:rsidRDefault="00BF4CC1" w:rsidP="00984F70">
            <w:pPr>
              <w:rPr>
                <w:rFonts w:ascii="Arial" w:eastAsia="Times New Roman" w:hAnsi="Arial" w:cs="Arial"/>
                <w:color w:val="000000"/>
                <w:sz w:val="16"/>
                <w:szCs w:val="16"/>
              </w:rPr>
            </w:pPr>
          </w:p>
        </w:tc>
        <w:tc>
          <w:tcPr>
            <w:tcW w:w="2200" w:type="dxa"/>
            <w:tcBorders>
              <w:top w:val="nil"/>
              <w:left w:val="nil"/>
              <w:bottom w:val="single" w:sz="4" w:space="0" w:color="auto"/>
              <w:right w:val="nil"/>
            </w:tcBorders>
            <w:shd w:val="clear" w:color="000000" w:fill="FFFFFF"/>
            <w:tcMar>
              <w:top w:w="85" w:type="dxa"/>
            </w:tcMar>
            <w:hideMark/>
          </w:tcPr>
          <w:p w14:paraId="18F35F1F" w14:textId="77777777" w:rsidR="00BF4CC1" w:rsidRPr="009B4A78" w:rsidRDefault="00BF4CC1" w:rsidP="008D4CE9">
            <w:pPr>
              <w:rPr>
                <w:rFonts w:ascii="Arial" w:eastAsia="Times New Roman" w:hAnsi="Arial" w:cs="Arial"/>
                <w:color w:val="000000"/>
                <w:sz w:val="16"/>
                <w:szCs w:val="16"/>
              </w:rPr>
            </w:pPr>
            <w:r w:rsidRPr="009B4A78">
              <w:rPr>
                <w:rFonts w:ascii="Arial" w:eastAsia="Times New Roman" w:hAnsi="Arial" w:cs="Arial"/>
                <w:color w:val="000000"/>
                <w:sz w:val="16"/>
                <w:szCs w:val="16"/>
              </w:rPr>
              <w:t>No. of active registered users of ARDI and ASPI</w:t>
            </w:r>
          </w:p>
        </w:tc>
        <w:tc>
          <w:tcPr>
            <w:tcW w:w="2560" w:type="dxa"/>
            <w:tcBorders>
              <w:top w:val="nil"/>
              <w:left w:val="nil"/>
              <w:bottom w:val="single" w:sz="4" w:space="0" w:color="auto"/>
              <w:right w:val="nil"/>
            </w:tcBorders>
            <w:shd w:val="clear" w:color="000000" w:fill="FFFFFF"/>
            <w:tcMar>
              <w:top w:w="85" w:type="dxa"/>
            </w:tcMar>
            <w:hideMark/>
          </w:tcPr>
          <w:p w14:paraId="4B94D7C4" w14:textId="77777777" w:rsidR="00BF4CC1" w:rsidRPr="009B4A78" w:rsidRDefault="00BF4CC1" w:rsidP="008D4CE9">
            <w:pPr>
              <w:ind w:left="5"/>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ARDI 411 active users </w:t>
            </w:r>
          </w:p>
          <w:p w14:paraId="28265A30" w14:textId="77777777" w:rsidR="00BF4CC1" w:rsidRPr="009B4A78" w:rsidRDefault="00BF4CC1" w:rsidP="00C53E9A">
            <w:pPr>
              <w:ind w:left="5"/>
              <w:rPr>
                <w:rFonts w:ascii="Arial" w:eastAsia="Times New Roman" w:hAnsi="Arial" w:cs="Arial"/>
                <w:color w:val="000000"/>
                <w:sz w:val="16"/>
                <w:szCs w:val="16"/>
              </w:rPr>
            </w:pPr>
            <w:r w:rsidRPr="009B4A78">
              <w:rPr>
                <w:rFonts w:ascii="Arial" w:eastAsia="Times New Roman" w:hAnsi="Arial" w:cs="Arial"/>
                <w:color w:val="000000"/>
                <w:sz w:val="16"/>
                <w:szCs w:val="16"/>
              </w:rPr>
              <w:t xml:space="preserve">ASPI (35 active users) </w:t>
            </w:r>
          </w:p>
          <w:p w14:paraId="625EB110" w14:textId="110C2CD2" w:rsidR="00BF4CC1" w:rsidRPr="009B4A78" w:rsidRDefault="00BF4CC1" w:rsidP="00C53E9A">
            <w:pPr>
              <w:tabs>
                <w:tab w:val="left" w:pos="1453"/>
              </w:tabs>
              <w:ind w:left="5"/>
              <w:rPr>
                <w:rFonts w:ascii="Arial" w:eastAsia="Times New Roman" w:hAnsi="Arial" w:cs="Arial"/>
                <w:color w:val="000000"/>
                <w:sz w:val="16"/>
                <w:szCs w:val="16"/>
              </w:rPr>
            </w:pPr>
            <w:r w:rsidRPr="009B4A78">
              <w:rPr>
                <w:rFonts w:ascii="Arial" w:eastAsia="Times New Roman" w:hAnsi="Arial" w:cs="Arial"/>
                <w:color w:val="000000"/>
                <w:sz w:val="16"/>
                <w:szCs w:val="16"/>
              </w:rPr>
              <w:t>(end 2014)</w:t>
            </w:r>
            <w:r w:rsidR="009950B9">
              <w:rPr>
                <w:rFonts w:ascii="Arial" w:eastAsia="Times New Roman" w:hAnsi="Arial" w:cs="Arial"/>
                <w:color w:val="000000"/>
                <w:sz w:val="16"/>
                <w:szCs w:val="16"/>
              </w:rPr>
              <w:tab/>
            </w:r>
          </w:p>
        </w:tc>
        <w:tc>
          <w:tcPr>
            <w:tcW w:w="2089" w:type="dxa"/>
            <w:tcBorders>
              <w:top w:val="nil"/>
              <w:left w:val="nil"/>
              <w:bottom w:val="single" w:sz="4" w:space="0" w:color="auto"/>
              <w:right w:val="single" w:sz="4" w:space="0" w:color="auto"/>
            </w:tcBorders>
            <w:shd w:val="clear" w:color="000000" w:fill="FFFFFF"/>
            <w:tcMar>
              <w:top w:w="85" w:type="dxa"/>
            </w:tcMar>
            <w:hideMark/>
          </w:tcPr>
          <w:p w14:paraId="65BB938B" w14:textId="77777777" w:rsidR="00BF4CC1" w:rsidRPr="009B4A78" w:rsidRDefault="00BF4CC1" w:rsidP="008D4CE9">
            <w:pPr>
              <w:ind w:left="-3"/>
              <w:rPr>
                <w:rFonts w:ascii="Arial" w:eastAsia="Times New Roman" w:hAnsi="Arial" w:cs="Arial"/>
                <w:color w:val="000000"/>
                <w:sz w:val="16"/>
                <w:szCs w:val="16"/>
              </w:rPr>
            </w:pPr>
            <w:r w:rsidRPr="009B4A78">
              <w:rPr>
                <w:rFonts w:ascii="Arial" w:eastAsia="Times New Roman" w:hAnsi="Arial" w:cs="Arial"/>
                <w:color w:val="000000"/>
                <w:sz w:val="16"/>
                <w:szCs w:val="16"/>
              </w:rPr>
              <w:t>ARDI - 600</w:t>
            </w:r>
            <w:r w:rsidRPr="009B4A78">
              <w:rPr>
                <w:rFonts w:ascii="Arial" w:eastAsia="Times New Roman" w:hAnsi="Arial" w:cs="Arial"/>
                <w:color w:val="000000"/>
                <w:sz w:val="16"/>
                <w:szCs w:val="16"/>
              </w:rPr>
              <w:br/>
              <w:t>ASPI - 60</w:t>
            </w:r>
          </w:p>
        </w:tc>
      </w:tr>
      <w:tr w:rsidR="00BF4CC1" w:rsidRPr="009B4A78" w14:paraId="6315FB0F" w14:textId="77777777" w:rsidTr="009950B9">
        <w:trPr>
          <w:trHeight w:val="735"/>
        </w:trPr>
        <w:tc>
          <w:tcPr>
            <w:tcW w:w="2380" w:type="dxa"/>
            <w:vMerge/>
            <w:tcBorders>
              <w:left w:val="single" w:sz="4" w:space="0" w:color="auto"/>
              <w:bottom w:val="single" w:sz="4" w:space="0" w:color="auto"/>
              <w:right w:val="nil"/>
            </w:tcBorders>
            <w:tcMar>
              <w:top w:w="85" w:type="dxa"/>
            </w:tcMar>
            <w:vAlign w:val="center"/>
            <w:hideMark/>
          </w:tcPr>
          <w:p w14:paraId="01D454F1" w14:textId="77777777" w:rsidR="00BF4CC1" w:rsidRPr="009B4A78" w:rsidRDefault="00BF4CC1" w:rsidP="00984F70">
            <w:pPr>
              <w:rPr>
                <w:rFonts w:ascii="Arial" w:eastAsia="Times New Roman" w:hAnsi="Arial" w:cs="Arial"/>
                <w:color w:val="000000"/>
                <w:sz w:val="16"/>
                <w:szCs w:val="16"/>
              </w:rPr>
            </w:pPr>
          </w:p>
        </w:tc>
        <w:tc>
          <w:tcPr>
            <w:tcW w:w="2200" w:type="dxa"/>
            <w:tcBorders>
              <w:top w:val="single" w:sz="4" w:space="0" w:color="auto"/>
              <w:left w:val="nil"/>
              <w:bottom w:val="nil"/>
              <w:right w:val="nil"/>
            </w:tcBorders>
            <w:shd w:val="clear" w:color="000000" w:fill="FFFFFF"/>
            <w:tcMar>
              <w:top w:w="85" w:type="dxa"/>
            </w:tcMar>
            <w:hideMark/>
          </w:tcPr>
          <w:p w14:paraId="49CB4584" w14:textId="77777777" w:rsidR="00BF4CC1" w:rsidRPr="009B4A78" w:rsidRDefault="00BF4CC1" w:rsidP="008D4CE9">
            <w:pPr>
              <w:rPr>
                <w:rFonts w:ascii="Arial" w:eastAsia="Times New Roman" w:hAnsi="Arial" w:cs="Arial"/>
                <w:color w:val="000000"/>
                <w:sz w:val="16"/>
                <w:szCs w:val="16"/>
              </w:rPr>
            </w:pPr>
            <w:r w:rsidRPr="009B4A78">
              <w:rPr>
                <w:rFonts w:ascii="Arial" w:eastAsia="Times New Roman" w:hAnsi="Arial" w:cs="Arial"/>
                <w:color w:val="000000"/>
                <w:sz w:val="16"/>
                <w:szCs w:val="16"/>
              </w:rPr>
              <w:t>No. of TISC Clinic requests submitted to TISCs</w:t>
            </w:r>
          </w:p>
        </w:tc>
        <w:tc>
          <w:tcPr>
            <w:tcW w:w="2560" w:type="dxa"/>
            <w:tcBorders>
              <w:top w:val="single" w:sz="4" w:space="0" w:color="auto"/>
              <w:left w:val="nil"/>
              <w:bottom w:val="nil"/>
              <w:right w:val="nil"/>
            </w:tcBorders>
            <w:shd w:val="clear" w:color="000000" w:fill="FFFFFF"/>
            <w:tcMar>
              <w:top w:w="85" w:type="dxa"/>
            </w:tcMar>
            <w:hideMark/>
          </w:tcPr>
          <w:p w14:paraId="1636B9FE" w14:textId="77777777" w:rsidR="00BF4CC1" w:rsidRPr="009B4A78" w:rsidRDefault="00BF4CC1" w:rsidP="00984F70">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n/a (new)</w:t>
            </w:r>
          </w:p>
        </w:tc>
        <w:tc>
          <w:tcPr>
            <w:tcW w:w="2089" w:type="dxa"/>
            <w:tcBorders>
              <w:top w:val="single" w:sz="4" w:space="0" w:color="auto"/>
              <w:left w:val="nil"/>
              <w:bottom w:val="nil"/>
              <w:right w:val="single" w:sz="4" w:space="0" w:color="auto"/>
            </w:tcBorders>
            <w:shd w:val="clear" w:color="000000" w:fill="FFFFFF"/>
            <w:tcMar>
              <w:top w:w="85" w:type="dxa"/>
            </w:tcMar>
            <w:hideMark/>
          </w:tcPr>
          <w:p w14:paraId="4C89F201" w14:textId="77777777" w:rsidR="00BF4CC1" w:rsidRPr="009B4A78" w:rsidRDefault="00BF4CC1" w:rsidP="008D4CE9">
            <w:pPr>
              <w:ind w:firstLineChars="200" w:firstLine="320"/>
              <w:jc w:val="center"/>
              <w:rPr>
                <w:rFonts w:ascii="Arial" w:eastAsia="Times New Roman" w:hAnsi="Arial" w:cs="Arial"/>
                <w:color w:val="000000"/>
                <w:sz w:val="16"/>
                <w:szCs w:val="16"/>
              </w:rPr>
            </w:pPr>
            <w:r w:rsidRPr="009B4A78">
              <w:rPr>
                <w:rFonts w:ascii="Arial" w:eastAsia="Times New Roman" w:hAnsi="Arial" w:cs="Arial"/>
                <w:color w:val="000000"/>
                <w:sz w:val="16"/>
                <w:szCs w:val="16"/>
              </w:rPr>
              <w:t>10</w:t>
            </w:r>
          </w:p>
        </w:tc>
      </w:tr>
      <w:tr w:rsidR="00BF4CC1" w:rsidRPr="009B4A78" w14:paraId="35DFA4F7" w14:textId="77777777" w:rsidTr="009950B9">
        <w:trPr>
          <w:trHeight w:val="692"/>
        </w:trPr>
        <w:tc>
          <w:tcPr>
            <w:tcW w:w="2380" w:type="dxa"/>
            <w:vMerge/>
            <w:tcBorders>
              <w:top w:val="nil"/>
              <w:left w:val="single" w:sz="4" w:space="0" w:color="auto"/>
              <w:bottom w:val="single" w:sz="4" w:space="0" w:color="auto"/>
              <w:right w:val="nil"/>
            </w:tcBorders>
            <w:tcMar>
              <w:top w:w="85" w:type="dxa"/>
            </w:tcMar>
            <w:vAlign w:val="center"/>
            <w:hideMark/>
          </w:tcPr>
          <w:p w14:paraId="5D4D6176" w14:textId="77777777" w:rsidR="00BF4CC1" w:rsidRPr="009B4A78" w:rsidRDefault="00BF4CC1" w:rsidP="00984F70">
            <w:pPr>
              <w:rPr>
                <w:rFonts w:ascii="Arial" w:eastAsia="Times New Roman" w:hAnsi="Arial" w:cs="Arial"/>
                <w:color w:val="000000"/>
                <w:sz w:val="16"/>
                <w:szCs w:val="16"/>
              </w:rPr>
            </w:pPr>
          </w:p>
        </w:tc>
        <w:tc>
          <w:tcPr>
            <w:tcW w:w="2200" w:type="dxa"/>
            <w:tcBorders>
              <w:top w:val="nil"/>
              <w:left w:val="nil"/>
              <w:bottom w:val="single" w:sz="4" w:space="0" w:color="auto"/>
              <w:right w:val="nil"/>
            </w:tcBorders>
            <w:shd w:val="clear" w:color="000000" w:fill="FFFFFF"/>
            <w:tcMar>
              <w:top w:w="85" w:type="dxa"/>
            </w:tcMar>
            <w:hideMark/>
          </w:tcPr>
          <w:p w14:paraId="7CA0E519" w14:textId="77777777" w:rsidR="00BF4CC1" w:rsidRPr="009B4A78" w:rsidRDefault="00BF4CC1" w:rsidP="008D4CE9">
            <w:pPr>
              <w:rPr>
                <w:rFonts w:ascii="Arial" w:eastAsia="Times New Roman" w:hAnsi="Arial" w:cs="Arial"/>
                <w:color w:val="000000"/>
                <w:sz w:val="16"/>
                <w:szCs w:val="16"/>
              </w:rPr>
            </w:pPr>
            <w:r w:rsidRPr="009B4A78">
              <w:rPr>
                <w:rFonts w:ascii="Arial" w:eastAsia="Times New Roman" w:hAnsi="Arial" w:cs="Arial"/>
                <w:color w:val="000000"/>
                <w:sz w:val="16"/>
                <w:szCs w:val="16"/>
              </w:rPr>
              <w:t>No. of TISCs offering patent analytical services</w:t>
            </w:r>
          </w:p>
        </w:tc>
        <w:tc>
          <w:tcPr>
            <w:tcW w:w="2560" w:type="dxa"/>
            <w:tcBorders>
              <w:top w:val="nil"/>
              <w:left w:val="nil"/>
              <w:bottom w:val="single" w:sz="4" w:space="0" w:color="auto"/>
              <w:right w:val="nil"/>
            </w:tcBorders>
            <w:shd w:val="clear" w:color="000000" w:fill="FFFFFF"/>
            <w:tcMar>
              <w:top w:w="85" w:type="dxa"/>
            </w:tcMar>
            <w:hideMark/>
          </w:tcPr>
          <w:p w14:paraId="4381EC3D" w14:textId="77777777" w:rsidR="00BF4CC1" w:rsidRPr="009B4A78" w:rsidRDefault="00BF4CC1" w:rsidP="00984F70">
            <w:pPr>
              <w:ind w:firstLineChars="200" w:firstLine="320"/>
              <w:rPr>
                <w:rFonts w:ascii="Arial" w:eastAsia="Times New Roman" w:hAnsi="Arial" w:cs="Arial"/>
                <w:color w:val="000000"/>
                <w:sz w:val="16"/>
                <w:szCs w:val="16"/>
              </w:rPr>
            </w:pPr>
            <w:r w:rsidRPr="009B4A78">
              <w:rPr>
                <w:rFonts w:ascii="Arial" w:eastAsia="Times New Roman" w:hAnsi="Arial" w:cs="Arial"/>
                <w:color w:val="000000"/>
                <w:sz w:val="16"/>
                <w:szCs w:val="16"/>
              </w:rPr>
              <w:t>n/a (new)</w:t>
            </w:r>
          </w:p>
        </w:tc>
        <w:tc>
          <w:tcPr>
            <w:tcW w:w="2089" w:type="dxa"/>
            <w:tcBorders>
              <w:top w:val="nil"/>
              <w:left w:val="nil"/>
              <w:bottom w:val="single" w:sz="4" w:space="0" w:color="auto"/>
              <w:right w:val="single" w:sz="4" w:space="0" w:color="auto"/>
            </w:tcBorders>
            <w:shd w:val="clear" w:color="000000" w:fill="FFFFFF"/>
            <w:tcMar>
              <w:top w:w="85" w:type="dxa"/>
            </w:tcMar>
            <w:hideMark/>
          </w:tcPr>
          <w:p w14:paraId="6A50B93F" w14:textId="77777777" w:rsidR="00BF4CC1" w:rsidRPr="009B4A78" w:rsidRDefault="00BF4CC1" w:rsidP="008D4CE9">
            <w:pPr>
              <w:ind w:firstLineChars="200" w:firstLine="320"/>
              <w:jc w:val="center"/>
              <w:rPr>
                <w:rFonts w:ascii="Arial" w:eastAsia="Times New Roman" w:hAnsi="Arial" w:cs="Arial"/>
                <w:color w:val="000000"/>
                <w:sz w:val="16"/>
                <w:szCs w:val="16"/>
              </w:rPr>
            </w:pPr>
            <w:r w:rsidRPr="009B4A78">
              <w:rPr>
                <w:rFonts w:ascii="Arial" w:eastAsia="Times New Roman" w:hAnsi="Arial" w:cs="Arial"/>
                <w:color w:val="000000"/>
                <w:sz w:val="16"/>
                <w:szCs w:val="16"/>
              </w:rPr>
              <w:t>5</w:t>
            </w:r>
          </w:p>
        </w:tc>
      </w:tr>
    </w:tbl>
    <w:p w14:paraId="5FC873F7" w14:textId="77777777" w:rsidR="00BF4CC1" w:rsidRPr="009B4A78" w:rsidRDefault="00BF4CC1" w:rsidP="00984F70">
      <w:pPr>
        <w:rPr>
          <w:rFonts w:ascii="Arial" w:eastAsia="Times New Roman" w:hAnsi="Arial" w:cs="Arial"/>
          <w:sz w:val="20"/>
        </w:rPr>
      </w:pPr>
    </w:p>
    <w:p w14:paraId="2815BB93" w14:textId="77777777" w:rsidR="00BF4CC1" w:rsidRPr="009B4A78" w:rsidRDefault="00BF4CC1" w:rsidP="00984F70">
      <w:pPr>
        <w:rPr>
          <w:rFonts w:ascii="Arial" w:eastAsia="Times New Roman" w:hAnsi="Arial" w:cs="Arial"/>
          <w:sz w:val="20"/>
        </w:rPr>
      </w:pPr>
    </w:p>
    <w:p w14:paraId="64C9BF02" w14:textId="77777777" w:rsidR="00BF4CC1" w:rsidRPr="009B4A78" w:rsidRDefault="00BF4CC1" w:rsidP="00984F70">
      <w:pPr>
        <w:rPr>
          <w:rFonts w:ascii="Arial" w:eastAsia="Times New Roman" w:hAnsi="Arial" w:cs="Arial"/>
        </w:rPr>
      </w:pPr>
      <w:r w:rsidRPr="009B4A78">
        <w:rPr>
          <w:rFonts w:ascii="Arial" w:eastAsia="Times New Roman" w:hAnsi="Arial" w:cs="Arial"/>
        </w:rPr>
        <w:t>RESOURCES FOR PROGRAM 14</w:t>
      </w:r>
    </w:p>
    <w:p w14:paraId="2AB189F1" w14:textId="77777777" w:rsidR="00BF4CC1" w:rsidRPr="009B4A78" w:rsidRDefault="00BF4CC1" w:rsidP="00984F70">
      <w:pPr>
        <w:rPr>
          <w:rFonts w:ascii="Arial" w:eastAsia="Times New Roman" w:hAnsi="Arial" w:cs="Arial"/>
        </w:rPr>
      </w:pPr>
    </w:p>
    <w:p w14:paraId="7805B0B3" w14:textId="32EEC18C" w:rsidR="00BF4CC1" w:rsidRPr="009B4A78" w:rsidRDefault="00BF4CC1" w:rsidP="00B66A4A">
      <w:pPr>
        <w:numPr>
          <w:ilvl w:val="0"/>
          <w:numId w:val="16"/>
        </w:numPr>
        <w:tabs>
          <w:tab w:val="clear" w:pos="825"/>
        </w:tabs>
        <w:ind w:left="0"/>
        <w:jc w:val="both"/>
        <w:rPr>
          <w:rFonts w:ascii="Arial" w:eastAsia="Times New Roman" w:hAnsi="Arial" w:cs="Arial"/>
          <w:sz w:val="20"/>
          <w:szCs w:val="20"/>
        </w:rPr>
      </w:pPr>
      <w:r w:rsidRPr="009B4A78">
        <w:rPr>
          <w:rFonts w:ascii="Arial" w:hAnsi="Arial" w:cs="Arial"/>
          <w:sz w:val="20"/>
        </w:rPr>
        <w:t xml:space="preserve">The overall resources for Program 14 in 2016/17 remain at approximately the same level as </w:t>
      </w:r>
      <w:r w:rsidR="005C2A6F">
        <w:rPr>
          <w:rFonts w:ascii="Arial" w:hAnsi="Arial" w:cs="Arial"/>
          <w:sz w:val="20"/>
        </w:rPr>
        <w:t xml:space="preserve">compared to the </w:t>
      </w:r>
      <w:r w:rsidRPr="009B4A78">
        <w:rPr>
          <w:rFonts w:ascii="Arial" w:hAnsi="Arial" w:cs="Arial"/>
          <w:sz w:val="20"/>
        </w:rPr>
        <w:t>2014/15</w:t>
      </w:r>
      <w:r w:rsidR="005C2A6F">
        <w:rPr>
          <w:rFonts w:ascii="Arial" w:hAnsi="Arial" w:cs="Arial"/>
          <w:sz w:val="20"/>
        </w:rPr>
        <w:t xml:space="preserve"> Budget after Transfers</w:t>
      </w:r>
      <w:r w:rsidRPr="009B4A78">
        <w:rPr>
          <w:rFonts w:ascii="Arial" w:hAnsi="Arial" w:cs="Arial"/>
          <w:sz w:val="20"/>
        </w:rPr>
        <w:t xml:space="preserve">. This is the net result of a decrease in personnel resources due to </w:t>
      </w:r>
      <w:r w:rsidRPr="009B4A78">
        <w:rPr>
          <w:rFonts w:ascii="Arial" w:hAnsi="Arial" w:cs="Arial"/>
          <w:sz w:val="20"/>
          <w:szCs w:val="20"/>
        </w:rPr>
        <w:t>the redeployment of a post from the Program and an overall increase of 450,000 Swiss francs for the implementation of the DA project “</w:t>
      </w:r>
      <w:r w:rsidRPr="009B4A78">
        <w:rPr>
          <w:rFonts w:ascii="Arial" w:eastAsia="Times New Roman" w:hAnsi="Arial" w:cs="Arial"/>
          <w:sz w:val="20"/>
          <w:szCs w:val="20"/>
        </w:rPr>
        <w:t>Use of Information in the Public Domain for Research and Development in Developing Countries”</w:t>
      </w:r>
      <w:r w:rsidRPr="009B4A78">
        <w:rPr>
          <w:rFonts w:ascii="Arial" w:hAnsi="Arial" w:cs="Arial"/>
          <w:sz w:val="20"/>
          <w:szCs w:val="20"/>
        </w:rPr>
        <w:t xml:space="preserve">. </w:t>
      </w:r>
    </w:p>
    <w:p w14:paraId="0D58AE2E" w14:textId="77777777" w:rsidR="00BF4CC1" w:rsidRPr="009B4A78" w:rsidRDefault="00BF4CC1" w:rsidP="00984F70">
      <w:pPr>
        <w:rPr>
          <w:rFonts w:ascii="Arial" w:eastAsia="Times New Roman" w:hAnsi="Arial" w:cs="Arial"/>
        </w:rPr>
      </w:pPr>
    </w:p>
    <w:p w14:paraId="1E1EC473" w14:textId="77777777" w:rsidR="00BF4CC1" w:rsidRPr="009B4A78" w:rsidRDefault="00BF4CC1" w:rsidP="00984F70">
      <w:pPr>
        <w:tabs>
          <w:tab w:val="left" w:pos="1427"/>
        </w:tabs>
        <w:jc w:val="center"/>
        <w:rPr>
          <w:rFonts w:ascii="Arial" w:hAnsi="Arial" w:cs="Arial"/>
          <w:szCs w:val="20"/>
        </w:rPr>
      </w:pPr>
      <w:r w:rsidRPr="009B4A78">
        <w:rPr>
          <w:rFonts w:ascii="Arial" w:hAnsi="Arial" w:cs="Arial"/>
          <w:b/>
          <w:sz w:val="20"/>
          <w:szCs w:val="24"/>
        </w:rPr>
        <w:t>Program 14:  Resources by Result</w:t>
      </w:r>
    </w:p>
    <w:p w14:paraId="1D6329ED" w14:textId="77777777" w:rsidR="00BF4CC1" w:rsidRPr="009B4A78" w:rsidRDefault="00BF4CC1" w:rsidP="00984F70">
      <w:pPr>
        <w:tabs>
          <w:tab w:val="left" w:pos="1427"/>
        </w:tabs>
        <w:jc w:val="center"/>
        <w:rPr>
          <w:rFonts w:ascii="Arial" w:hAnsi="Arial" w:cs="Arial"/>
          <w:i/>
          <w:sz w:val="20"/>
          <w:szCs w:val="24"/>
        </w:rPr>
      </w:pPr>
      <w:r w:rsidRPr="009B4A78">
        <w:rPr>
          <w:rFonts w:ascii="Arial" w:hAnsi="Arial" w:cs="Arial"/>
          <w:i/>
          <w:sz w:val="20"/>
          <w:szCs w:val="24"/>
        </w:rPr>
        <w:t>(In thousands of Swiss francs)</w:t>
      </w:r>
    </w:p>
    <w:p w14:paraId="004C1AC8" w14:textId="77777777" w:rsidR="00BF4CC1" w:rsidRPr="009B4A78" w:rsidRDefault="00BF4CC1" w:rsidP="00984F70">
      <w:pPr>
        <w:tabs>
          <w:tab w:val="left" w:pos="1427"/>
        </w:tabs>
        <w:jc w:val="center"/>
        <w:rPr>
          <w:rFonts w:ascii="Arial" w:hAnsi="Arial" w:cs="Arial"/>
          <w:i/>
          <w:sz w:val="20"/>
          <w:szCs w:val="24"/>
        </w:rPr>
      </w:pPr>
    </w:p>
    <w:p w14:paraId="02AC082F" w14:textId="77777777" w:rsidR="00BF4CC1" w:rsidRPr="009B4A78" w:rsidRDefault="00BF4CC1" w:rsidP="00984F70">
      <w:pPr>
        <w:tabs>
          <w:tab w:val="left" w:pos="1427"/>
        </w:tabs>
        <w:jc w:val="center"/>
        <w:rPr>
          <w:rFonts w:ascii="Arial" w:hAnsi="Arial" w:cs="Arial"/>
          <w:i/>
          <w:sz w:val="20"/>
          <w:szCs w:val="24"/>
        </w:rPr>
      </w:pPr>
      <w:r w:rsidRPr="009B4A78">
        <w:rPr>
          <w:rFonts w:ascii="Arial" w:hAnsi="Arial" w:cs="Arial"/>
          <w:noProof/>
          <w:lang w:eastAsia="en-US"/>
        </w:rPr>
        <w:drawing>
          <wp:inline distT="0" distB="0" distL="0" distR="0" wp14:anchorId="19DD2DBA" wp14:editId="1477AE07">
            <wp:extent cx="5112689" cy="1099749"/>
            <wp:effectExtent l="0" t="0" r="0"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28637" cy="1103179"/>
                    </a:xfrm>
                    <a:prstGeom prst="rect">
                      <a:avLst/>
                    </a:prstGeom>
                    <a:noFill/>
                    <a:ln>
                      <a:noFill/>
                    </a:ln>
                  </pic:spPr>
                </pic:pic>
              </a:graphicData>
            </a:graphic>
          </wp:inline>
        </w:drawing>
      </w:r>
    </w:p>
    <w:p w14:paraId="1CC295EB" w14:textId="77777777" w:rsidR="00BF4CC1" w:rsidRPr="009B4A78" w:rsidRDefault="00BF4CC1" w:rsidP="00984F70">
      <w:pPr>
        <w:tabs>
          <w:tab w:val="left" w:pos="1427"/>
        </w:tabs>
        <w:jc w:val="center"/>
        <w:rPr>
          <w:rFonts w:ascii="Arial" w:hAnsi="Arial" w:cs="Arial"/>
          <w:i/>
          <w:sz w:val="20"/>
          <w:szCs w:val="24"/>
        </w:rPr>
      </w:pPr>
    </w:p>
    <w:p w14:paraId="6FFE2BFA" w14:textId="77777777" w:rsidR="00BF4CC1" w:rsidRPr="009B4A78" w:rsidRDefault="00BF4CC1" w:rsidP="00984F70">
      <w:pPr>
        <w:tabs>
          <w:tab w:val="left" w:pos="1427"/>
        </w:tabs>
        <w:jc w:val="center"/>
        <w:rPr>
          <w:rFonts w:ascii="Arial" w:hAnsi="Arial" w:cs="Arial"/>
          <w:i/>
          <w:sz w:val="20"/>
          <w:szCs w:val="24"/>
        </w:rPr>
      </w:pPr>
    </w:p>
    <w:p w14:paraId="04EA0B0D" w14:textId="77777777" w:rsidR="00BF4CC1" w:rsidRPr="009B4A78" w:rsidRDefault="00BF4CC1" w:rsidP="00984F70">
      <w:pPr>
        <w:keepNext/>
        <w:keepLines/>
        <w:tabs>
          <w:tab w:val="left" w:pos="1427"/>
        </w:tabs>
        <w:jc w:val="center"/>
        <w:rPr>
          <w:rFonts w:ascii="Arial" w:hAnsi="Arial" w:cs="Arial"/>
          <w:szCs w:val="20"/>
        </w:rPr>
      </w:pPr>
      <w:r w:rsidRPr="009B4A78">
        <w:rPr>
          <w:rFonts w:ascii="Arial" w:hAnsi="Arial" w:cs="Arial"/>
          <w:b/>
          <w:sz w:val="20"/>
          <w:szCs w:val="24"/>
        </w:rPr>
        <w:lastRenderedPageBreak/>
        <w:t>Program 14:  Resources by Object of Expenditure</w:t>
      </w:r>
    </w:p>
    <w:p w14:paraId="21B698C3" w14:textId="77777777" w:rsidR="00BF4CC1" w:rsidRPr="009B4A78" w:rsidRDefault="00BF4CC1" w:rsidP="00984F70">
      <w:pPr>
        <w:keepNext/>
        <w:keepLines/>
        <w:tabs>
          <w:tab w:val="left" w:pos="1427"/>
        </w:tabs>
        <w:jc w:val="center"/>
        <w:rPr>
          <w:rFonts w:ascii="Arial" w:hAnsi="Arial" w:cs="Arial"/>
          <w:szCs w:val="20"/>
        </w:rPr>
      </w:pPr>
      <w:r w:rsidRPr="009B4A78">
        <w:rPr>
          <w:rFonts w:ascii="Arial" w:hAnsi="Arial" w:cs="Arial"/>
          <w:i/>
          <w:sz w:val="20"/>
          <w:szCs w:val="24"/>
        </w:rPr>
        <w:t>(In thousands of Swiss francs)</w:t>
      </w:r>
    </w:p>
    <w:p w14:paraId="750F3CAA" w14:textId="77777777" w:rsidR="00BF4CC1" w:rsidRPr="009B4A78" w:rsidRDefault="00BF4CC1" w:rsidP="00984F70">
      <w:pPr>
        <w:keepNext/>
        <w:keepLines/>
        <w:tabs>
          <w:tab w:val="left" w:pos="1427"/>
        </w:tabs>
        <w:jc w:val="center"/>
        <w:rPr>
          <w:rFonts w:ascii="Arial" w:hAnsi="Arial" w:cs="Arial"/>
          <w:szCs w:val="20"/>
        </w:rPr>
      </w:pPr>
    </w:p>
    <w:p w14:paraId="195B4C04" w14:textId="4F5074A3" w:rsidR="00BF4CC1" w:rsidRPr="009B4A78" w:rsidRDefault="00BF4CC1" w:rsidP="00FB68E0">
      <w:pPr>
        <w:jc w:val="center"/>
        <w:rPr>
          <w:rFonts w:ascii="Arial" w:eastAsia="Times New Roman" w:hAnsi="Arial" w:cs="Arial"/>
          <w:sz w:val="20"/>
        </w:rPr>
      </w:pPr>
      <w:r w:rsidRPr="009B4A78">
        <w:rPr>
          <w:rFonts w:ascii="Arial" w:hAnsi="Arial" w:cs="Arial"/>
          <w:noProof/>
          <w:lang w:eastAsia="en-US"/>
        </w:rPr>
        <w:drawing>
          <wp:inline distT="0" distB="0" distL="0" distR="0" wp14:anchorId="2B626FD1" wp14:editId="6B50E9A8">
            <wp:extent cx="4981488" cy="608274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989306" cy="6092294"/>
                    </a:xfrm>
                    <a:prstGeom prst="rect">
                      <a:avLst/>
                    </a:prstGeom>
                    <a:noFill/>
                    <a:ln>
                      <a:noFill/>
                    </a:ln>
                  </pic:spPr>
                </pic:pic>
              </a:graphicData>
            </a:graphic>
          </wp:inline>
        </w:drawing>
      </w:r>
    </w:p>
    <w:p w14:paraId="5E7FEAF3" w14:textId="77777777" w:rsidR="00BF4CC1" w:rsidRPr="009B4A78" w:rsidRDefault="00BF4CC1" w:rsidP="00984F70">
      <w:pPr>
        <w:rPr>
          <w:rFonts w:ascii="Arial" w:eastAsia="Times New Roman" w:hAnsi="Arial" w:cs="Arial"/>
          <w:sz w:val="20"/>
        </w:rPr>
      </w:pPr>
    </w:p>
    <w:p w14:paraId="3F39C1A8" w14:textId="22C7AB3D" w:rsidR="00186D1C" w:rsidRPr="009B4A78" w:rsidRDefault="00186D1C">
      <w:pPr>
        <w:rPr>
          <w:rFonts w:ascii="Arial" w:hAnsi="Arial" w:cs="Arial"/>
          <w:bCs/>
          <w:sz w:val="20"/>
        </w:rPr>
      </w:pPr>
      <w:r w:rsidRPr="009B4A78">
        <w:rPr>
          <w:rFonts w:ascii="Arial" w:hAnsi="Arial" w:cs="Arial"/>
          <w:bCs/>
          <w:sz w:val="20"/>
        </w:rPr>
        <w:br w:type="page"/>
      </w:r>
    </w:p>
    <w:p w14:paraId="7907AC04" w14:textId="77777777" w:rsidR="00186D1C" w:rsidRPr="009B4A78" w:rsidRDefault="00186D1C" w:rsidP="00186D1C">
      <w:pPr>
        <w:pStyle w:val="StyleHeading3ComplexItalic"/>
        <w:rPr>
          <w:rStyle w:val="StyleStyleHeading3ComplexItalicLatin12ptChar"/>
          <w:rFonts w:eastAsia="SimSun"/>
          <w:b/>
          <w:szCs w:val="24"/>
        </w:rPr>
      </w:pPr>
      <w:bookmarkStart w:id="52" w:name="_Toc427154414"/>
      <w:r w:rsidRPr="009B4A78">
        <w:rPr>
          <w:rStyle w:val="StyleStyleHeading3ComplexItalicLatin12ptChar"/>
          <w:rFonts w:eastAsia="SimSun"/>
          <w:b/>
          <w:szCs w:val="24"/>
        </w:rPr>
        <w:lastRenderedPageBreak/>
        <w:t>PROGRAM 15</w:t>
      </w:r>
      <w:r w:rsidRPr="009B4A78">
        <w:rPr>
          <w:rStyle w:val="StyleStyleHeading3ComplexItalicLatin12ptChar"/>
          <w:rFonts w:eastAsia="SimSun"/>
          <w:b/>
          <w:szCs w:val="24"/>
        </w:rPr>
        <w:tab/>
        <w:t>BUSINESS SOLUTIONS FOR IP OFFICES</w:t>
      </w:r>
      <w:bookmarkEnd w:id="52"/>
    </w:p>
    <w:p w14:paraId="365F1D4D" w14:textId="77777777" w:rsidR="00186D1C" w:rsidRPr="009B4A78" w:rsidRDefault="00186D1C">
      <w:pPr>
        <w:rPr>
          <w:rFonts w:ascii="Arial" w:hAnsi="Arial" w:cs="Arial"/>
          <w:bCs/>
          <w:sz w:val="20"/>
          <w:szCs w:val="24"/>
        </w:rPr>
      </w:pPr>
    </w:p>
    <w:p w14:paraId="79F3D295" w14:textId="77777777" w:rsidR="00186D1C" w:rsidRPr="009B4A78" w:rsidRDefault="00186D1C">
      <w:pPr>
        <w:rPr>
          <w:rFonts w:ascii="Arial" w:hAnsi="Arial" w:cs="Arial"/>
          <w:bCs/>
          <w:sz w:val="20"/>
          <w:szCs w:val="24"/>
        </w:rPr>
      </w:pPr>
    </w:p>
    <w:p w14:paraId="19E2A680" w14:textId="77777777" w:rsidR="00186D1C" w:rsidRPr="009B4A78" w:rsidRDefault="00186D1C">
      <w:pPr>
        <w:rPr>
          <w:rFonts w:ascii="Arial" w:hAnsi="Arial" w:cs="Arial"/>
          <w:b/>
          <w:bCs/>
          <w:sz w:val="18"/>
        </w:rPr>
      </w:pPr>
      <w:r w:rsidRPr="009B4A78">
        <w:rPr>
          <w:rFonts w:ascii="Arial" w:hAnsi="Arial" w:cs="Arial"/>
          <w:bCs/>
          <w:szCs w:val="24"/>
        </w:rPr>
        <w:t>PLANNING CONTEXT</w:t>
      </w:r>
    </w:p>
    <w:p w14:paraId="271A4675" w14:textId="77777777" w:rsidR="00186D1C" w:rsidRPr="009B4A78" w:rsidRDefault="00186D1C" w:rsidP="00984F70">
      <w:pPr>
        <w:jc w:val="both"/>
        <w:rPr>
          <w:rFonts w:ascii="Arial" w:hAnsi="Arial" w:cs="Arial"/>
          <w:b/>
          <w:bCs/>
          <w:sz w:val="20"/>
          <w:szCs w:val="21"/>
        </w:rPr>
      </w:pPr>
    </w:p>
    <w:p w14:paraId="360DB4B2" w14:textId="77777777" w:rsidR="00186D1C" w:rsidRPr="009B4A78" w:rsidRDefault="00186D1C" w:rsidP="00B66A4A">
      <w:pPr>
        <w:numPr>
          <w:ilvl w:val="0"/>
          <w:numId w:val="17"/>
        </w:numPr>
        <w:shd w:val="clear" w:color="auto" w:fill="FFFFFF"/>
        <w:tabs>
          <w:tab w:val="left" w:pos="709"/>
        </w:tabs>
        <w:suppressAutoHyphens/>
        <w:ind w:left="0" w:firstLine="0"/>
        <w:jc w:val="both"/>
        <w:rPr>
          <w:rFonts w:ascii="Arial" w:hAnsi="Arial" w:cs="Arial"/>
          <w:color w:val="000000"/>
          <w:sz w:val="18"/>
        </w:rPr>
      </w:pPr>
      <w:r w:rsidRPr="009B4A78">
        <w:rPr>
          <w:rFonts w:ascii="Arial" w:hAnsi="Arial" w:cs="Arial"/>
          <w:color w:val="000000"/>
          <w:sz w:val="20"/>
          <w:szCs w:val="21"/>
        </w:rPr>
        <w:t>This Program forms the basis of global infrastructure with the technical architecture of the IP system complementing the legal and operational architecture.</w:t>
      </w:r>
      <w:r w:rsidRPr="009B4A78">
        <w:rPr>
          <w:rFonts w:ascii="Arial" w:hAnsi="Arial" w:cs="Arial"/>
          <w:sz w:val="20"/>
        </w:rPr>
        <w:t xml:space="preserve">  </w:t>
      </w:r>
      <w:r w:rsidRPr="009B4A78">
        <w:rPr>
          <w:rFonts w:ascii="Arial" w:eastAsia="Calibri" w:hAnsi="Arial" w:cs="Arial"/>
          <w:color w:val="000000"/>
          <w:sz w:val="20"/>
          <w:szCs w:val="21"/>
        </w:rPr>
        <w:t>The Program provides customized software solutions and associated training and project management services to support the efficient processing of IP applications in Member States, effective collaboration between IP Offices, and support to copyright collective management organizations (CMOs).  The activities of the Program are targeted particularly for IP Offices in developing and least developed countries</w:t>
      </w:r>
      <w:r w:rsidRPr="009B4A78">
        <w:rPr>
          <w:rFonts w:ascii="Arial" w:hAnsi="Arial" w:cs="Arial"/>
          <w:color w:val="000000"/>
          <w:sz w:val="20"/>
          <w:szCs w:val="21"/>
        </w:rPr>
        <w:t>.</w:t>
      </w:r>
    </w:p>
    <w:p w14:paraId="46D9E15D" w14:textId="77777777" w:rsidR="00186D1C" w:rsidRPr="009B4A78" w:rsidRDefault="00186D1C" w:rsidP="00984F70">
      <w:pPr>
        <w:shd w:val="clear" w:color="auto" w:fill="FFFFFF"/>
        <w:ind w:left="360"/>
        <w:jc w:val="both"/>
        <w:rPr>
          <w:rFonts w:ascii="Arial" w:hAnsi="Arial" w:cs="Arial"/>
          <w:color w:val="000000"/>
          <w:sz w:val="18"/>
        </w:rPr>
      </w:pPr>
    </w:p>
    <w:p w14:paraId="2FA77850" w14:textId="77777777" w:rsidR="00186D1C" w:rsidRPr="009B4A78" w:rsidRDefault="00186D1C" w:rsidP="00984F70">
      <w:pPr>
        <w:shd w:val="clear" w:color="auto" w:fill="FFFFFF"/>
        <w:ind w:left="360"/>
        <w:jc w:val="both"/>
        <w:rPr>
          <w:rFonts w:ascii="Arial" w:hAnsi="Arial" w:cs="Arial"/>
          <w:color w:val="000000"/>
          <w:sz w:val="18"/>
        </w:rPr>
      </w:pPr>
    </w:p>
    <w:p w14:paraId="46BF727F" w14:textId="77777777" w:rsidR="00186D1C" w:rsidRPr="009B4A78" w:rsidRDefault="00186D1C" w:rsidP="00984F70">
      <w:pPr>
        <w:pStyle w:val="p1"/>
        <w:shd w:val="clear" w:color="auto" w:fill="FFFFFF"/>
        <w:jc w:val="center"/>
        <w:rPr>
          <w:rFonts w:ascii="Arial" w:hAnsi="Arial" w:cs="Arial"/>
          <w:noProof/>
          <w:lang w:val="en-GB" w:eastAsia="en-GB"/>
        </w:rPr>
      </w:pPr>
      <w:r w:rsidRPr="009B4A78">
        <w:rPr>
          <w:rFonts w:ascii="Arial" w:hAnsi="Arial" w:cs="Arial"/>
          <w:noProof/>
          <w:lang w:eastAsia="en-US"/>
        </w:rPr>
        <w:drawing>
          <wp:inline distT="0" distB="0" distL="0" distR="0" wp14:anchorId="4DFE8D80" wp14:editId="398755DF">
            <wp:extent cx="5519420" cy="3239770"/>
            <wp:effectExtent l="0" t="0" r="24130" b="17780"/>
            <wp:docPr id="44" name="Chart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14:paraId="39985F62" w14:textId="77777777" w:rsidR="00186D1C" w:rsidRPr="009B4A78" w:rsidRDefault="00186D1C" w:rsidP="00984F70">
      <w:pPr>
        <w:shd w:val="clear" w:color="auto" w:fill="FFFFFF"/>
        <w:ind w:left="360"/>
        <w:jc w:val="both"/>
        <w:rPr>
          <w:rFonts w:ascii="Arial" w:eastAsia="Calibri" w:hAnsi="Arial" w:cs="Arial"/>
          <w:color w:val="000000"/>
          <w:sz w:val="20"/>
          <w:szCs w:val="21"/>
        </w:rPr>
      </w:pPr>
    </w:p>
    <w:p w14:paraId="25900600" w14:textId="77777777" w:rsidR="00186D1C" w:rsidRPr="009B4A78" w:rsidRDefault="00186D1C" w:rsidP="00984F70">
      <w:pPr>
        <w:shd w:val="clear" w:color="auto" w:fill="FFFFFF"/>
        <w:ind w:left="360"/>
        <w:jc w:val="both"/>
        <w:rPr>
          <w:rFonts w:ascii="Arial" w:eastAsia="Calibri" w:hAnsi="Arial" w:cs="Arial"/>
          <w:color w:val="000000"/>
          <w:sz w:val="20"/>
          <w:szCs w:val="21"/>
        </w:rPr>
      </w:pPr>
    </w:p>
    <w:p w14:paraId="2142E7D9" w14:textId="77777777" w:rsidR="00186D1C" w:rsidRPr="009B4A78" w:rsidRDefault="00186D1C" w:rsidP="00B66A4A">
      <w:pPr>
        <w:numPr>
          <w:ilvl w:val="0"/>
          <w:numId w:val="17"/>
        </w:numPr>
        <w:shd w:val="clear" w:color="auto" w:fill="FFFFFF"/>
        <w:tabs>
          <w:tab w:val="left" w:pos="709"/>
        </w:tabs>
        <w:suppressAutoHyphens/>
        <w:ind w:left="0" w:firstLine="0"/>
        <w:jc w:val="both"/>
        <w:rPr>
          <w:rFonts w:ascii="Arial" w:eastAsia="Calibri" w:hAnsi="Arial" w:cs="Arial"/>
          <w:color w:val="000000"/>
          <w:sz w:val="20"/>
          <w:szCs w:val="21"/>
        </w:rPr>
      </w:pPr>
      <w:r w:rsidRPr="009B4A78">
        <w:rPr>
          <w:rFonts w:ascii="Arial" w:hAnsi="Arial" w:cs="Arial"/>
          <w:color w:val="000000"/>
          <w:sz w:val="20"/>
          <w:szCs w:val="21"/>
        </w:rPr>
        <w:t xml:space="preserve">All WIPO business solutions are provided at no cost, although the remaining project costs (for example IT hardware and staff costs) are borne by the IP Office.  </w:t>
      </w:r>
      <w:r w:rsidRPr="009B4A78">
        <w:rPr>
          <w:rFonts w:ascii="Arial" w:eastAsia="Calibri" w:hAnsi="Arial" w:cs="Arial"/>
          <w:color w:val="000000"/>
          <w:sz w:val="20"/>
          <w:szCs w:val="21"/>
        </w:rPr>
        <w:t xml:space="preserve">17 of the IP Offices using WIPO software platforms are in LDCs.  </w:t>
      </w:r>
      <w:r w:rsidRPr="009B4A78">
        <w:rPr>
          <w:rFonts w:ascii="Arial" w:hAnsi="Arial" w:cs="Arial"/>
          <w:color w:val="000000"/>
          <w:sz w:val="20"/>
          <w:szCs w:val="21"/>
        </w:rPr>
        <w:t xml:space="preserve">The systems provided include </w:t>
      </w:r>
      <w:r w:rsidRPr="009B4A78">
        <w:rPr>
          <w:rFonts w:ascii="Arial" w:eastAsia="Calibri" w:hAnsi="Arial" w:cs="Arial"/>
          <w:color w:val="000000"/>
          <w:sz w:val="20"/>
          <w:szCs w:val="21"/>
        </w:rPr>
        <w:t xml:space="preserve">the IP Office Administration System (IPAS), WIPO Scan, WIPO EDMS (Electronic Document Management System).  This Program also develops and provides international platforms for processing and prosecution of IP applications such as WIPO DAS (Digital Access Service for transmission of priority documents) and WIPO CASE (Central Access to Search and Examination dossier information) to facilitate international cooperation by IP Offices and to provide cost-effective and efficient services to global users of the IP system. </w:t>
      </w:r>
    </w:p>
    <w:p w14:paraId="1EC52C00" w14:textId="77777777" w:rsidR="00186D1C" w:rsidRPr="009B4A78" w:rsidRDefault="00186D1C" w:rsidP="00984F70">
      <w:pPr>
        <w:pStyle w:val="p1"/>
        <w:shd w:val="clear" w:color="auto" w:fill="FFFFFF"/>
        <w:jc w:val="both"/>
        <w:rPr>
          <w:rFonts w:ascii="Arial" w:hAnsi="Arial" w:cs="Arial"/>
          <w:color w:val="000000"/>
          <w:sz w:val="20"/>
          <w:szCs w:val="21"/>
        </w:rPr>
      </w:pPr>
    </w:p>
    <w:p w14:paraId="0D35D05F" w14:textId="77777777" w:rsidR="00186D1C" w:rsidRPr="009B4A78" w:rsidRDefault="00186D1C" w:rsidP="00984F70">
      <w:pPr>
        <w:pStyle w:val="p1"/>
        <w:shd w:val="clear" w:color="auto" w:fill="FFFFFF"/>
        <w:jc w:val="both"/>
        <w:rPr>
          <w:rFonts w:ascii="Arial" w:hAnsi="Arial" w:cs="Arial"/>
          <w:color w:val="000000"/>
          <w:sz w:val="20"/>
          <w:szCs w:val="21"/>
        </w:rPr>
      </w:pPr>
    </w:p>
    <w:p w14:paraId="64879437" w14:textId="77777777" w:rsidR="00186D1C" w:rsidRPr="009B4A78" w:rsidRDefault="00186D1C" w:rsidP="00984F70">
      <w:pPr>
        <w:jc w:val="both"/>
        <w:rPr>
          <w:rFonts w:ascii="Arial" w:hAnsi="Arial" w:cs="Arial"/>
          <w:bCs/>
          <w:szCs w:val="21"/>
        </w:rPr>
      </w:pPr>
      <w:r w:rsidRPr="009B4A78">
        <w:rPr>
          <w:rFonts w:ascii="Arial" w:hAnsi="Arial" w:cs="Arial"/>
          <w:bCs/>
          <w:szCs w:val="21"/>
        </w:rPr>
        <w:t xml:space="preserve">IMPLEMENTATION STRATEGIES   </w:t>
      </w:r>
    </w:p>
    <w:p w14:paraId="404DFBAA" w14:textId="77777777" w:rsidR="00186D1C" w:rsidRPr="009B4A78" w:rsidRDefault="00186D1C" w:rsidP="00984F70">
      <w:pPr>
        <w:pStyle w:val="p2"/>
        <w:shd w:val="clear" w:color="auto" w:fill="FFFFFF"/>
        <w:jc w:val="both"/>
        <w:rPr>
          <w:rFonts w:ascii="Arial" w:hAnsi="Arial" w:cs="Arial"/>
          <w:color w:val="000000"/>
          <w:sz w:val="20"/>
          <w:szCs w:val="21"/>
        </w:rPr>
      </w:pPr>
    </w:p>
    <w:p w14:paraId="0ABC8200" w14:textId="5C975F5D" w:rsidR="00186D1C" w:rsidRPr="009B4A78" w:rsidRDefault="00186D1C" w:rsidP="00B66A4A">
      <w:pPr>
        <w:numPr>
          <w:ilvl w:val="0"/>
          <w:numId w:val="17"/>
        </w:numPr>
        <w:shd w:val="clear" w:color="auto" w:fill="FFFFFF"/>
        <w:tabs>
          <w:tab w:val="left" w:pos="709"/>
        </w:tabs>
        <w:suppressAutoHyphens/>
        <w:ind w:left="0" w:firstLine="0"/>
        <w:jc w:val="both"/>
        <w:rPr>
          <w:rFonts w:ascii="Arial" w:eastAsia="Calibri" w:hAnsi="Arial" w:cs="Arial"/>
          <w:color w:val="000000"/>
          <w:sz w:val="20"/>
          <w:szCs w:val="21"/>
        </w:rPr>
      </w:pPr>
      <w:r w:rsidRPr="009B4A78">
        <w:rPr>
          <w:rFonts w:ascii="Arial" w:eastAsia="Calibri" w:hAnsi="Arial" w:cs="Arial"/>
          <w:color w:val="000000"/>
          <w:sz w:val="20"/>
          <w:szCs w:val="21"/>
        </w:rPr>
        <w:t>In view of current trends and demands from IP Offices,</w:t>
      </w:r>
      <w:r w:rsidRPr="009B4A78">
        <w:rPr>
          <w:rFonts w:ascii="Arial" w:hAnsi="Arial" w:cs="Arial"/>
          <w:color w:val="000000"/>
          <w:sz w:val="20"/>
          <w:szCs w:val="21"/>
        </w:rPr>
        <w:t xml:space="preserve"> i</w:t>
      </w:r>
      <w:r w:rsidRPr="009B4A78">
        <w:rPr>
          <w:rFonts w:ascii="Arial" w:eastAsia="Calibri" w:hAnsi="Arial" w:cs="Arial"/>
          <w:color w:val="000000"/>
          <w:sz w:val="20"/>
          <w:szCs w:val="21"/>
        </w:rPr>
        <w:t>t is expected that the growth in the number of IP Offices benefiting from the WIPO solutions will reach a total of around 80.  While responding to new demands, implementation strategies will see a progressive shift towards improvement, consolidation and integration of WIPO’s software platforms and its services as well as resultant sustainability and ownerships of administration systems at IP Offices.</w:t>
      </w:r>
    </w:p>
    <w:p w14:paraId="7CD3FA49" w14:textId="77777777" w:rsidR="00186D1C" w:rsidRPr="009B4A78" w:rsidRDefault="00186D1C" w:rsidP="000D2861">
      <w:pPr>
        <w:shd w:val="clear" w:color="auto" w:fill="FFFFFF"/>
        <w:ind w:left="360"/>
        <w:jc w:val="both"/>
        <w:rPr>
          <w:rFonts w:ascii="Arial" w:eastAsia="Calibri" w:hAnsi="Arial" w:cs="Arial"/>
          <w:color w:val="000000"/>
          <w:sz w:val="20"/>
          <w:szCs w:val="21"/>
        </w:rPr>
      </w:pPr>
    </w:p>
    <w:p w14:paraId="6B35BCE0" w14:textId="274DB490" w:rsidR="00186D1C" w:rsidRPr="009B4A78" w:rsidRDefault="00186D1C" w:rsidP="00B66A4A">
      <w:pPr>
        <w:numPr>
          <w:ilvl w:val="0"/>
          <w:numId w:val="17"/>
        </w:numPr>
        <w:shd w:val="clear" w:color="auto" w:fill="FFFFFF"/>
        <w:tabs>
          <w:tab w:val="left" w:pos="709"/>
          <w:tab w:val="left" w:pos="1985"/>
        </w:tabs>
        <w:suppressAutoHyphens/>
        <w:ind w:left="0" w:firstLine="0"/>
        <w:jc w:val="both"/>
        <w:rPr>
          <w:rFonts w:ascii="Arial" w:hAnsi="Arial" w:cs="Arial"/>
          <w:color w:val="000000"/>
          <w:sz w:val="20"/>
          <w:szCs w:val="21"/>
        </w:rPr>
      </w:pPr>
      <w:r w:rsidRPr="009B4A78">
        <w:rPr>
          <w:rFonts w:ascii="Arial" w:hAnsi="Arial" w:cs="Arial"/>
          <w:color w:val="000000"/>
          <w:sz w:val="20"/>
          <w:szCs w:val="21"/>
        </w:rPr>
        <w:t xml:space="preserve">The use of WIPO business solutions will continue to be a very cost-effective option for IP Offices, resulting in costs savings and lower risk than other available alternatives.  WIPO’s business solutions will continue to be improved and </w:t>
      </w:r>
      <w:r w:rsidR="00764DA3">
        <w:rPr>
          <w:rFonts w:ascii="Arial" w:hAnsi="Arial" w:cs="Arial"/>
          <w:color w:val="000000"/>
          <w:sz w:val="20"/>
          <w:szCs w:val="21"/>
        </w:rPr>
        <w:t xml:space="preserve">its </w:t>
      </w:r>
      <w:r w:rsidRPr="009B4A78">
        <w:rPr>
          <w:rFonts w:ascii="Arial" w:hAnsi="Arial" w:cs="Arial"/>
          <w:color w:val="000000"/>
          <w:sz w:val="20"/>
          <w:szCs w:val="21"/>
        </w:rPr>
        <w:t xml:space="preserve">services consolidated.  The challenge for the biennium will be to continue the provision of high quality services in a cost-effective manner, while demand continues to increase.  </w:t>
      </w:r>
    </w:p>
    <w:p w14:paraId="079BCF0C" w14:textId="77777777" w:rsidR="00186D1C" w:rsidRPr="009B4A78" w:rsidRDefault="00186D1C" w:rsidP="00B62F81">
      <w:pPr>
        <w:pStyle w:val="p1"/>
        <w:shd w:val="clear" w:color="auto" w:fill="FFFFFF"/>
        <w:ind w:left="360"/>
        <w:jc w:val="both"/>
        <w:rPr>
          <w:rFonts w:ascii="Arial" w:hAnsi="Arial" w:cs="Arial"/>
          <w:color w:val="000000"/>
          <w:sz w:val="20"/>
          <w:szCs w:val="21"/>
        </w:rPr>
      </w:pPr>
    </w:p>
    <w:p w14:paraId="7F62A199" w14:textId="77777777" w:rsidR="00186D1C" w:rsidRPr="009B4A78" w:rsidRDefault="00186D1C" w:rsidP="00B66A4A">
      <w:pPr>
        <w:numPr>
          <w:ilvl w:val="0"/>
          <w:numId w:val="17"/>
        </w:numPr>
        <w:shd w:val="clear" w:color="auto" w:fill="FFFFFF"/>
        <w:tabs>
          <w:tab w:val="left" w:pos="709"/>
        </w:tabs>
        <w:suppressAutoHyphens/>
        <w:ind w:left="0" w:firstLine="0"/>
        <w:jc w:val="both"/>
        <w:rPr>
          <w:rFonts w:ascii="Arial" w:hAnsi="Arial" w:cs="Arial"/>
          <w:color w:val="000000"/>
          <w:sz w:val="20"/>
          <w:szCs w:val="21"/>
        </w:rPr>
      </w:pPr>
      <w:r w:rsidRPr="009B4A78">
        <w:rPr>
          <w:rFonts w:ascii="Arial" w:hAnsi="Arial" w:cs="Arial"/>
          <w:color w:val="000000"/>
          <w:sz w:val="20"/>
          <w:szCs w:val="21"/>
        </w:rPr>
        <w:lastRenderedPageBreak/>
        <w:t>The following outlines the specific priorities for the biennium:</w:t>
      </w:r>
    </w:p>
    <w:p w14:paraId="05DE6B2A" w14:textId="77777777" w:rsidR="00186D1C" w:rsidRPr="009B4A78" w:rsidRDefault="00186D1C" w:rsidP="00B62F81">
      <w:pPr>
        <w:pStyle w:val="p1"/>
        <w:shd w:val="clear" w:color="auto" w:fill="FFFFFF"/>
        <w:ind w:left="360"/>
        <w:jc w:val="both"/>
        <w:rPr>
          <w:rFonts w:ascii="Arial" w:hAnsi="Arial" w:cs="Arial"/>
          <w:color w:val="000000"/>
          <w:sz w:val="18"/>
          <w:szCs w:val="21"/>
        </w:rPr>
      </w:pPr>
    </w:p>
    <w:p w14:paraId="40C1D20C"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Sustainability of service levels and business continuity will continue to be enhanced by implementing a business continuity and contingency plan and by prioritizing knowledge transfer, training activities and reactive support services;</w:t>
      </w:r>
    </w:p>
    <w:p w14:paraId="66A3DB24" w14:textId="77777777" w:rsidR="00186D1C" w:rsidRPr="009B4A78" w:rsidRDefault="00186D1C" w:rsidP="00B62F81">
      <w:pPr>
        <w:pStyle w:val="p1"/>
        <w:shd w:val="clear" w:color="auto" w:fill="FFFFFF"/>
        <w:ind w:left="993" w:hanging="426"/>
        <w:jc w:val="both"/>
        <w:rPr>
          <w:rFonts w:ascii="Arial" w:hAnsi="Arial" w:cs="Arial"/>
          <w:color w:val="000000"/>
          <w:sz w:val="20"/>
          <w:szCs w:val="21"/>
        </w:rPr>
      </w:pPr>
    </w:p>
    <w:p w14:paraId="371AEA8A"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New software modules for online filing (WIPO File) and for online publication and data exchange (WIPO Publish) will be completed and made available to IP Offices that are ready to deploy them;</w:t>
      </w:r>
    </w:p>
    <w:p w14:paraId="1EA490A5" w14:textId="77777777" w:rsidR="00186D1C" w:rsidRPr="009B4A78" w:rsidRDefault="00186D1C" w:rsidP="00984F70">
      <w:pPr>
        <w:pStyle w:val="p1"/>
        <w:shd w:val="clear" w:color="auto" w:fill="FFFFFF"/>
        <w:ind w:left="993" w:hanging="426"/>
        <w:jc w:val="both"/>
        <w:rPr>
          <w:rFonts w:ascii="Arial" w:hAnsi="Arial" w:cs="Arial"/>
          <w:color w:val="000000"/>
          <w:sz w:val="20"/>
          <w:szCs w:val="21"/>
        </w:rPr>
      </w:pPr>
    </w:p>
    <w:p w14:paraId="2A4DBB9F"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The IPAS system will be enhanced to support new features, including better support for Madrid and PCT applications, better support for industrial designs, and other features requested by users;</w:t>
      </w:r>
    </w:p>
    <w:p w14:paraId="032386A7" w14:textId="77777777" w:rsidR="00186D1C" w:rsidRPr="009B4A78" w:rsidRDefault="00186D1C" w:rsidP="00984F70">
      <w:pPr>
        <w:pStyle w:val="p1"/>
        <w:shd w:val="clear" w:color="auto" w:fill="FFFFFF"/>
        <w:ind w:left="993" w:hanging="426"/>
        <w:jc w:val="both"/>
        <w:rPr>
          <w:rFonts w:ascii="Arial" w:hAnsi="Arial" w:cs="Arial"/>
          <w:color w:val="000000"/>
          <w:sz w:val="20"/>
          <w:szCs w:val="21"/>
        </w:rPr>
      </w:pPr>
    </w:p>
    <w:p w14:paraId="04F15783"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The AIPMS system will be phased out and replaced by IPAS which now fully supports the Arabic language;</w:t>
      </w:r>
    </w:p>
    <w:p w14:paraId="39B701D4" w14:textId="77777777" w:rsidR="00186D1C" w:rsidRPr="009B4A78" w:rsidRDefault="00186D1C" w:rsidP="00984F70">
      <w:pPr>
        <w:pStyle w:val="p1"/>
        <w:shd w:val="clear" w:color="auto" w:fill="FFFFFF"/>
        <w:ind w:left="993" w:hanging="426"/>
        <w:jc w:val="both"/>
        <w:rPr>
          <w:rFonts w:ascii="Arial" w:hAnsi="Arial" w:cs="Arial"/>
          <w:color w:val="000000"/>
          <w:sz w:val="20"/>
          <w:szCs w:val="21"/>
        </w:rPr>
      </w:pPr>
    </w:p>
    <w:p w14:paraId="3CCDE632"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Support processes will continue to be refined (online helpdesk);</w:t>
      </w:r>
    </w:p>
    <w:p w14:paraId="4204E99A" w14:textId="77777777" w:rsidR="00186D1C" w:rsidRPr="009B4A78" w:rsidRDefault="00186D1C" w:rsidP="00984F70">
      <w:pPr>
        <w:pStyle w:val="ListParagraph"/>
        <w:ind w:left="993" w:hanging="426"/>
        <w:jc w:val="both"/>
        <w:rPr>
          <w:rFonts w:ascii="Arial" w:hAnsi="Arial" w:cs="Arial"/>
          <w:color w:val="000000"/>
          <w:sz w:val="20"/>
          <w:szCs w:val="21"/>
        </w:rPr>
      </w:pPr>
    </w:p>
    <w:p w14:paraId="51827FD4" w14:textId="77777777" w:rsidR="00186D1C" w:rsidRPr="009B4A78" w:rsidRDefault="00186D1C" w:rsidP="00B66A4A">
      <w:pPr>
        <w:pStyle w:val="p1"/>
        <w:numPr>
          <w:ilvl w:val="0"/>
          <w:numId w:val="18"/>
        </w:numPr>
        <w:shd w:val="clear" w:color="auto" w:fill="FFFFFF"/>
        <w:ind w:left="993" w:hanging="426"/>
        <w:jc w:val="both"/>
        <w:rPr>
          <w:rFonts w:ascii="Arial" w:hAnsi="Arial" w:cs="Arial"/>
          <w:color w:val="000000"/>
          <w:sz w:val="20"/>
          <w:szCs w:val="21"/>
        </w:rPr>
      </w:pPr>
      <w:r w:rsidRPr="009B4A78">
        <w:rPr>
          <w:rFonts w:ascii="Arial" w:hAnsi="Arial" w:cs="Arial"/>
          <w:color w:val="000000"/>
          <w:sz w:val="20"/>
          <w:szCs w:val="21"/>
        </w:rPr>
        <w:t>A first version of the WCC (WIPO Copyright Connection) system will be made available to a first group of CMOs in developing countries or LDCs;</w:t>
      </w:r>
    </w:p>
    <w:p w14:paraId="166EBB6A" w14:textId="77777777" w:rsidR="00186D1C" w:rsidRPr="009B4A78" w:rsidRDefault="00186D1C" w:rsidP="00984F70">
      <w:pPr>
        <w:pStyle w:val="p1"/>
        <w:shd w:val="clear" w:color="auto" w:fill="FFFFFF"/>
        <w:ind w:left="993" w:hanging="426"/>
        <w:jc w:val="both"/>
        <w:rPr>
          <w:rFonts w:ascii="Arial" w:hAnsi="Arial" w:cs="Arial"/>
          <w:color w:val="000000"/>
          <w:sz w:val="20"/>
          <w:szCs w:val="21"/>
        </w:rPr>
      </w:pPr>
    </w:p>
    <w:p w14:paraId="31188B5B" w14:textId="77777777" w:rsidR="00186D1C" w:rsidRPr="009B4A78" w:rsidRDefault="00186D1C" w:rsidP="00B66A4A">
      <w:pPr>
        <w:pStyle w:val="p1"/>
        <w:numPr>
          <w:ilvl w:val="0"/>
          <w:numId w:val="18"/>
        </w:numPr>
        <w:shd w:val="clear" w:color="auto" w:fill="FFFFFF"/>
        <w:ind w:left="993" w:hanging="426"/>
        <w:jc w:val="both"/>
        <w:rPr>
          <w:rFonts w:ascii="Arial" w:hAnsi="Arial" w:cs="Arial"/>
          <w:bCs/>
          <w:sz w:val="20"/>
          <w:szCs w:val="21"/>
        </w:rPr>
      </w:pPr>
      <w:r w:rsidRPr="009B4A78">
        <w:rPr>
          <w:rFonts w:ascii="Arial" w:hAnsi="Arial" w:cs="Arial"/>
          <w:color w:val="000000"/>
          <w:sz w:val="20"/>
          <w:szCs w:val="21"/>
        </w:rPr>
        <w:t>The WIPO CASE (Centralized Access to Search and Examination results) system will be extended to new participating offices and a public version will be developed to provide global access to the dossier content of participating offices;​</w:t>
      </w:r>
    </w:p>
    <w:p w14:paraId="15A6DE3B" w14:textId="77777777" w:rsidR="00186D1C" w:rsidRPr="009B4A78" w:rsidRDefault="00186D1C" w:rsidP="00984F70">
      <w:pPr>
        <w:pStyle w:val="p1"/>
        <w:shd w:val="clear" w:color="auto" w:fill="FFFFFF"/>
        <w:ind w:left="993" w:hanging="426"/>
        <w:jc w:val="both"/>
        <w:rPr>
          <w:rFonts w:ascii="Arial" w:hAnsi="Arial" w:cs="Arial"/>
          <w:bCs/>
          <w:sz w:val="20"/>
          <w:szCs w:val="21"/>
        </w:rPr>
      </w:pPr>
    </w:p>
    <w:p w14:paraId="3DA82B71" w14:textId="77777777" w:rsidR="00186D1C" w:rsidRPr="009B4A78" w:rsidRDefault="00186D1C" w:rsidP="00B66A4A">
      <w:pPr>
        <w:pStyle w:val="p1"/>
        <w:numPr>
          <w:ilvl w:val="0"/>
          <w:numId w:val="18"/>
        </w:numPr>
        <w:shd w:val="clear" w:color="auto" w:fill="FFFFFF"/>
        <w:ind w:left="993" w:hanging="426"/>
        <w:jc w:val="both"/>
        <w:rPr>
          <w:rFonts w:ascii="Arial" w:hAnsi="Arial" w:cs="Arial"/>
          <w:bCs/>
          <w:sz w:val="20"/>
          <w:szCs w:val="21"/>
        </w:rPr>
      </w:pPr>
      <w:r w:rsidRPr="009B4A78">
        <w:rPr>
          <w:rFonts w:ascii="Arial" w:hAnsi="Arial" w:cs="Arial"/>
          <w:bCs/>
          <w:sz w:val="20"/>
          <w:szCs w:val="21"/>
        </w:rPr>
        <w:t xml:space="preserve">Technical assistance for IP Offices in LDCs for the digitization and data capturing of backlog IP records.  </w:t>
      </w:r>
    </w:p>
    <w:p w14:paraId="779755C1" w14:textId="77777777" w:rsidR="00186D1C" w:rsidRPr="009B4A78" w:rsidRDefault="00186D1C" w:rsidP="00984F70">
      <w:pPr>
        <w:pStyle w:val="ListParagraph"/>
        <w:jc w:val="both"/>
        <w:rPr>
          <w:rFonts w:ascii="Arial" w:hAnsi="Arial" w:cs="Arial"/>
          <w:bCs/>
          <w:sz w:val="20"/>
          <w:szCs w:val="21"/>
        </w:rPr>
      </w:pPr>
    </w:p>
    <w:p w14:paraId="03C1C6CD" w14:textId="77777777" w:rsidR="00186D1C" w:rsidRDefault="00186D1C" w:rsidP="00B66A4A">
      <w:pPr>
        <w:numPr>
          <w:ilvl w:val="0"/>
          <w:numId w:val="17"/>
        </w:numPr>
        <w:shd w:val="clear" w:color="auto" w:fill="FFFFFF"/>
        <w:tabs>
          <w:tab w:val="left" w:pos="709"/>
        </w:tabs>
        <w:suppressAutoHyphens/>
        <w:ind w:left="0" w:firstLine="0"/>
        <w:jc w:val="both"/>
        <w:rPr>
          <w:rFonts w:ascii="Arial" w:hAnsi="Arial" w:cs="Arial"/>
          <w:color w:val="000000"/>
          <w:sz w:val="20"/>
          <w:szCs w:val="21"/>
        </w:rPr>
      </w:pPr>
      <w:r w:rsidRPr="009B4A78">
        <w:rPr>
          <w:rFonts w:ascii="Arial" w:hAnsi="Arial" w:cs="Arial"/>
          <w:color w:val="000000"/>
          <w:sz w:val="20"/>
          <w:szCs w:val="21"/>
        </w:rPr>
        <w:t xml:space="preserve">The design, planning and implementation of activities undertaken by Program 15 are informed and guided by the relevant DA Recommendations in particular 1, 2 and 10.  </w:t>
      </w:r>
    </w:p>
    <w:p w14:paraId="793C6F7E" w14:textId="77777777" w:rsidR="007A5A68" w:rsidRDefault="007A5A68" w:rsidP="00FB68E0">
      <w:pPr>
        <w:shd w:val="clear" w:color="auto" w:fill="FFFFFF"/>
        <w:tabs>
          <w:tab w:val="left" w:pos="709"/>
        </w:tabs>
        <w:suppressAutoHyphens/>
        <w:jc w:val="both"/>
        <w:rPr>
          <w:rFonts w:ascii="Arial" w:hAnsi="Arial" w:cs="Arial"/>
          <w:color w:val="000000"/>
          <w:sz w:val="20"/>
          <w:szCs w:val="21"/>
        </w:rPr>
      </w:pPr>
    </w:p>
    <w:p w14:paraId="515C6383" w14:textId="294558D5" w:rsidR="007A5A68" w:rsidRPr="00FB68E0" w:rsidRDefault="007A5A68" w:rsidP="00B66A4A">
      <w:pPr>
        <w:numPr>
          <w:ilvl w:val="0"/>
          <w:numId w:val="17"/>
        </w:numPr>
        <w:shd w:val="clear" w:color="auto" w:fill="FFFFFF"/>
        <w:tabs>
          <w:tab w:val="left" w:pos="709"/>
        </w:tabs>
        <w:suppressAutoHyphens/>
        <w:ind w:left="0" w:firstLine="0"/>
        <w:jc w:val="both"/>
        <w:rPr>
          <w:rFonts w:ascii="Arial" w:hAnsi="Arial" w:cs="Arial"/>
          <w:color w:val="000000"/>
          <w:sz w:val="20"/>
          <w:szCs w:val="21"/>
        </w:rPr>
      </w:pPr>
      <w:r w:rsidRPr="00FB68E0">
        <w:rPr>
          <w:rFonts w:ascii="Arial" w:hAnsi="Arial" w:cs="Arial"/>
          <w:color w:val="000000"/>
          <w:sz w:val="20"/>
          <w:szCs w:val="21"/>
        </w:rPr>
        <w:t>Program 1</w:t>
      </w:r>
      <w:r>
        <w:rPr>
          <w:rFonts w:ascii="Arial" w:hAnsi="Arial" w:cs="Arial"/>
          <w:color w:val="000000"/>
          <w:sz w:val="20"/>
          <w:szCs w:val="21"/>
        </w:rPr>
        <w:t>5</w:t>
      </w:r>
      <w:r w:rsidRPr="00FB68E0">
        <w:rPr>
          <w:rFonts w:ascii="Arial" w:hAnsi="Arial" w:cs="Arial"/>
          <w:color w:val="000000"/>
          <w:sz w:val="20"/>
          <w:szCs w:val="21"/>
        </w:rPr>
        <w:t xml:space="preserve"> collaborates primarily with other Programs as illustrated below: </w:t>
      </w:r>
    </w:p>
    <w:p w14:paraId="1E8E3A39" w14:textId="77777777" w:rsidR="007A5A68" w:rsidRPr="009B4A78" w:rsidRDefault="007A5A68" w:rsidP="00FB68E0">
      <w:pPr>
        <w:shd w:val="clear" w:color="auto" w:fill="FFFFFF"/>
        <w:tabs>
          <w:tab w:val="left" w:pos="709"/>
        </w:tabs>
        <w:suppressAutoHyphens/>
        <w:jc w:val="both"/>
        <w:rPr>
          <w:rFonts w:ascii="Arial" w:hAnsi="Arial" w:cs="Arial"/>
          <w:color w:val="000000"/>
          <w:sz w:val="20"/>
          <w:szCs w:val="21"/>
        </w:rPr>
      </w:pPr>
    </w:p>
    <w:p w14:paraId="3BF45959" w14:textId="77777777" w:rsidR="00186D1C" w:rsidRPr="009B4A78" w:rsidRDefault="00186D1C" w:rsidP="00984F70">
      <w:pPr>
        <w:rPr>
          <w:rFonts w:ascii="Arial" w:hAnsi="Arial" w:cs="Arial"/>
          <w:sz w:val="18"/>
        </w:rPr>
      </w:pPr>
    </w:p>
    <w:p w14:paraId="281491FC" w14:textId="77777777" w:rsidR="00186D1C" w:rsidRPr="009B4A78" w:rsidRDefault="00186D1C" w:rsidP="00984F70">
      <w:pPr>
        <w:pStyle w:val="p1"/>
        <w:shd w:val="clear" w:color="auto" w:fill="FFFFFF"/>
        <w:ind w:left="720"/>
        <w:rPr>
          <w:rFonts w:ascii="Arial" w:hAnsi="Arial" w:cs="Arial"/>
          <w:bCs/>
          <w:sz w:val="20"/>
          <w:szCs w:val="21"/>
        </w:rPr>
      </w:pPr>
    </w:p>
    <w:p w14:paraId="3831448B" w14:textId="77777777" w:rsidR="00186D1C" w:rsidRPr="009B4A78" w:rsidRDefault="00186D1C" w:rsidP="00984F70">
      <w:pPr>
        <w:pStyle w:val="p1"/>
        <w:shd w:val="clear" w:color="auto" w:fill="FFFFFF"/>
        <w:rPr>
          <w:rFonts w:ascii="Arial" w:hAnsi="Arial" w:cs="Arial"/>
          <w:bCs/>
          <w:sz w:val="20"/>
        </w:rPr>
      </w:pPr>
      <w:r w:rsidRPr="009B4A78">
        <w:rPr>
          <w:rFonts w:ascii="Arial" w:hAnsi="Arial" w:cs="Arial"/>
          <w:noProof/>
          <w:lang w:eastAsia="en-US"/>
        </w:rPr>
        <w:drawing>
          <wp:anchor distT="0" distB="0" distL="114300" distR="114300" simplePos="0" relativeHeight="251663360" behindDoc="0" locked="0" layoutInCell="1" allowOverlap="1" wp14:anchorId="17F614D8" wp14:editId="568A6B39">
            <wp:simplePos x="0" y="0"/>
            <wp:positionH relativeFrom="column">
              <wp:posOffset>-1270</wp:posOffset>
            </wp:positionH>
            <wp:positionV relativeFrom="paragraph">
              <wp:posOffset>635</wp:posOffset>
            </wp:positionV>
            <wp:extent cx="5759450" cy="1794510"/>
            <wp:effectExtent l="0" t="0" r="0" b="15240"/>
            <wp:wrapTopAndBottom/>
            <wp:docPr id="45" name="Diagram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p>
    <w:p w14:paraId="551F53B9" w14:textId="77777777" w:rsidR="00186D1C" w:rsidRPr="009B4A78" w:rsidRDefault="00186D1C" w:rsidP="00984F70">
      <w:pPr>
        <w:pStyle w:val="p1"/>
        <w:shd w:val="clear" w:color="auto" w:fill="FFFFFF"/>
        <w:rPr>
          <w:rFonts w:ascii="Arial" w:hAnsi="Arial" w:cs="Arial"/>
          <w:bCs/>
          <w:sz w:val="20"/>
        </w:rPr>
      </w:pPr>
    </w:p>
    <w:p w14:paraId="214933ED" w14:textId="1059C35F" w:rsidR="00B62F81" w:rsidRPr="009B4A78" w:rsidRDefault="00B62F81">
      <w:pPr>
        <w:rPr>
          <w:rFonts w:ascii="Arial" w:eastAsia="Calibri" w:hAnsi="Arial" w:cs="Arial"/>
          <w:bCs/>
          <w:szCs w:val="24"/>
          <w:lang w:eastAsia="ar-SA"/>
        </w:rPr>
      </w:pPr>
    </w:p>
    <w:p w14:paraId="2DDBC822" w14:textId="50532898" w:rsidR="00186D1C" w:rsidRPr="009B4A78" w:rsidRDefault="00186D1C" w:rsidP="00734F09">
      <w:pPr>
        <w:pStyle w:val="p1"/>
        <w:keepNext/>
        <w:keepLines/>
        <w:shd w:val="clear" w:color="auto" w:fill="FFFFFF"/>
        <w:rPr>
          <w:rFonts w:ascii="Arial" w:hAnsi="Arial" w:cs="Arial"/>
          <w:bCs/>
          <w:sz w:val="22"/>
        </w:rPr>
      </w:pPr>
      <w:r w:rsidRPr="009B4A78">
        <w:rPr>
          <w:rFonts w:ascii="Arial" w:hAnsi="Arial" w:cs="Arial"/>
          <w:bCs/>
          <w:sz w:val="22"/>
        </w:rPr>
        <w:lastRenderedPageBreak/>
        <w:t xml:space="preserve">MAJOR RISKS AND MITIGATION STRATEGIES  </w:t>
      </w:r>
    </w:p>
    <w:p w14:paraId="639997B7" w14:textId="77777777" w:rsidR="00186D1C" w:rsidRPr="009B4A78" w:rsidRDefault="00186D1C" w:rsidP="00734F09">
      <w:pPr>
        <w:keepNext/>
        <w:keepLines/>
        <w:rPr>
          <w:rFonts w:ascii="Arial" w:hAnsi="Arial" w:cs="Arial"/>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186D1C" w:rsidRPr="009B4A78" w14:paraId="3E302FDE" w14:textId="77777777" w:rsidTr="00984F70">
        <w:trPr>
          <w:trHeight w:val="577"/>
        </w:trPr>
        <w:tc>
          <w:tcPr>
            <w:tcW w:w="4253" w:type="dxa"/>
            <w:tcBorders>
              <w:top w:val="single" w:sz="4" w:space="0" w:color="auto"/>
              <w:bottom w:val="single" w:sz="4" w:space="0" w:color="auto"/>
            </w:tcBorders>
            <w:shd w:val="clear" w:color="auto" w:fill="C6D9F1" w:themeFill="text2" w:themeFillTint="33"/>
            <w:vAlign w:val="center"/>
          </w:tcPr>
          <w:p w14:paraId="165E3FBE" w14:textId="77777777" w:rsidR="00186D1C" w:rsidRPr="009B4A78" w:rsidRDefault="00186D1C" w:rsidP="00734F09">
            <w:pPr>
              <w:keepNext/>
              <w:keepLines/>
              <w:jc w:val="center"/>
              <w:rPr>
                <w:rFonts w:ascii="Arial" w:hAnsi="Arial" w:cs="Arial"/>
                <w:b/>
                <w:bCs/>
                <w:sz w:val="18"/>
                <w:szCs w:val="18"/>
                <w:lang w:eastAsia="en-US"/>
              </w:rPr>
            </w:pPr>
            <w:r w:rsidRPr="009B4A78">
              <w:rPr>
                <w:rFonts w:ascii="Arial" w:hAnsi="Arial" w:cs="Arial"/>
                <w:b/>
                <w:bCs/>
                <w:sz w:val="18"/>
                <w:szCs w:val="18"/>
                <w:lang w:eastAsia="en-US"/>
              </w:rPr>
              <w:t>Risk</w:t>
            </w:r>
          </w:p>
        </w:tc>
        <w:tc>
          <w:tcPr>
            <w:tcW w:w="4961" w:type="dxa"/>
            <w:tcBorders>
              <w:top w:val="single" w:sz="4" w:space="0" w:color="auto"/>
              <w:bottom w:val="single" w:sz="4" w:space="0" w:color="auto"/>
            </w:tcBorders>
            <w:shd w:val="clear" w:color="auto" w:fill="C6D9F1" w:themeFill="text2" w:themeFillTint="33"/>
            <w:vAlign w:val="center"/>
          </w:tcPr>
          <w:p w14:paraId="38C023F5" w14:textId="77777777" w:rsidR="00186D1C" w:rsidRPr="009B4A78" w:rsidRDefault="00186D1C" w:rsidP="00734F09">
            <w:pPr>
              <w:keepNext/>
              <w:keepLines/>
              <w:jc w:val="center"/>
              <w:rPr>
                <w:rFonts w:ascii="Arial" w:hAnsi="Arial" w:cs="Arial"/>
                <w:b/>
                <w:bCs/>
                <w:sz w:val="18"/>
                <w:szCs w:val="18"/>
                <w:lang w:eastAsia="en-US"/>
              </w:rPr>
            </w:pPr>
            <w:r w:rsidRPr="009B4A78">
              <w:rPr>
                <w:rFonts w:ascii="Arial" w:hAnsi="Arial" w:cs="Arial"/>
                <w:b/>
                <w:bCs/>
                <w:sz w:val="18"/>
                <w:szCs w:val="18"/>
                <w:lang w:eastAsia="en-US"/>
              </w:rPr>
              <w:t>Mitigation</w:t>
            </w:r>
          </w:p>
        </w:tc>
      </w:tr>
      <w:tr w:rsidR="00186D1C" w:rsidRPr="009B4A78" w14:paraId="7CE321EE" w14:textId="77777777" w:rsidTr="00984F70">
        <w:trPr>
          <w:trHeight w:val="540"/>
        </w:trPr>
        <w:tc>
          <w:tcPr>
            <w:tcW w:w="4253" w:type="dxa"/>
            <w:tcBorders>
              <w:top w:val="single" w:sz="4" w:space="0" w:color="auto"/>
              <w:left w:val="single" w:sz="4" w:space="0" w:color="auto"/>
              <w:bottom w:val="nil"/>
              <w:right w:val="nil"/>
            </w:tcBorders>
            <w:shd w:val="clear" w:color="auto" w:fill="auto"/>
            <w:tcMar>
              <w:top w:w="113" w:type="dxa"/>
              <w:bottom w:w="113" w:type="dxa"/>
            </w:tcMar>
          </w:tcPr>
          <w:p w14:paraId="59A92486" w14:textId="77777777" w:rsidR="00186D1C" w:rsidRPr="009B4A78" w:rsidRDefault="00186D1C" w:rsidP="00734F09">
            <w:pPr>
              <w:keepNext/>
              <w:keepLines/>
              <w:rPr>
                <w:rFonts w:ascii="Arial" w:hAnsi="Arial" w:cs="Arial"/>
                <w:sz w:val="16"/>
                <w:szCs w:val="16"/>
                <w:lang w:eastAsia="en-US"/>
              </w:rPr>
            </w:pPr>
            <w:r w:rsidRPr="009B4A78">
              <w:rPr>
                <w:rFonts w:ascii="Arial" w:hAnsi="Arial" w:cs="Arial"/>
                <w:color w:val="000000"/>
                <w:sz w:val="16"/>
                <w:lang w:eastAsia="en-US"/>
              </w:rPr>
              <w:t>Inability of IP offices to sustain and continue self-supporting operation of WIPO software systems used for their core business.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14:paraId="48EB1075" w14:textId="77777777" w:rsidR="00186D1C" w:rsidRPr="009B4A78" w:rsidRDefault="00186D1C" w:rsidP="00734F09">
            <w:pPr>
              <w:keepNext/>
              <w:keepLines/>
              <w:rPr>
                <w:rFonts w:ascii="Arial" w:hAnsi="Arial" w:cs="Arial"/>
                <w:sz w:val="16"/>
                <w:szCs w:val="16"/>
                <w:lang w:eastAsia="en-US"/>
              </w:rPr>
            </w:pPr>
            <w:r w:rsidRPr="009B4A78">
              <w:rPr>
                <w:rFonts w:ascii="Arial" w:hAnsi="Arial" w:cs="Arial"/>
                <w:color w:val="000000"/>
                <w:sz w:val="16"/>
                <w:lang w:eastAsia="en-US"/>
              </w:rPr>
              <w:t xml:space="preserve">Ensure training for local IP Office staff. Establish formal procedures for software support and maintenance.  </w:t>
            </w:r>
          </w:p>
        </w:tc>
      </w:tr>
      <w:tr w:rsidR="00186D1C" w:rsidRPr="009B4A78" w14:paraId="12343AC9" w14:textId="77777777" w:rsidTr="00984F70">
        <w:trPr>
          <w:trHeight w:val="487"/>
        </w:trPr>
        <w:tc>
          <w:tcPr>
            <w:tcW w:w="4253" w:type="dxa"/>
            <w:tcBorders>
              <w:top w:val="nil"/>
              <w:left w:val="single" w:sz="4" w:space="0" w:color="auto"/>
              <w:bottom w:val="single" w:sz="4" w:space="0" w:color="auto"/>
              <w:right w:val="nil"/>
            </w:tcBorders>
            <w:shd w:val="clear" w:color="auto" w:fill="auto"/>
            <w:tcMar>
              <w:top w:w="113" w:type="dxa"/>
              <w:bottom w:w="113" w:type="dxa"/>
            </w:tcMar>
          </w:tcPr>
          <w:p w14:paraId="3099A7F7" w14:textId="77777777" w:rsidR="00186D1C" w:rsidRPr="009B4A78" w:rsidRDefault="00186D1C" w:rsidP="00734F09">
            <w:pPr>
              <w:keepNext/>
              <w:keepLines/>
              <w:rPr>
                <w:rFonts w:ascii="Arial" w:hAnsi="Arial" w:cs="Arial"/>
                <w:color w:val="000000"/>
                <w:sz w:val="16"/>
                <w:lang w:eastAsia="en-US"/>
              </w:rPr>
            </w:pPr>
            <w:r w:rsidRPr="009B4A78">
              <w:rPr>
                <w:rFonts w:ascii="Arial" w:hAnsi="Arial" w:cs="Arial"/>
                <w:color w:val="000000"/>
                <w:sz w:val="16"/>
                <w:lang w:eastAsia="en-US"/>
              </w:rPr>
              <w:t>Lack of access to technical and proprietary information held by relevant stakeholders, which may be required for the implementation of the WCC project.</w:t>
            </w:r>
          </w:p>
        </w:tc>
        <w:tc>
          <w:tcPr>
            <w:tcW w:w="4961" w:type="dxa"/>
            <w:tcBorders>
              <w:top w:val="nil"/>
              <w:left w:val="nil"/>
              <w:bottom w:val="single" w:sz="4" w:space="0" w:color="auto"/>
              <w:right w:val="single" w:sz="4" w:space="0" w:color="auto"/>
            </w:tcBorders>
            <w:shd w:val="clear" w:color="auto" w:fill="auto"/>
            <w:tcMar>
              <w:top w:w="113" w:type="dxa"/>
              <w:bottom w:w="113" w:type="dxa"/>
            </w:tcMar>
          </w:tcPr>
          <w:p w14:paraId="11CD75FE" w14:textId="77777777" w:rsidR="00186D1C" w:rsidRPr="009B4A78" w:rsidRDefault="00186D1C" w:rsidP="00734F09">
            <w:pPr>
              <w:keepNext/>
              <w:keepLines/>
              <w:rPr>
                <w:rFonts w:ascii="Arial" w:hAnsi="Arial" w:cs="Arial"/>
                <w:color w:val="000000"/>
                <w:sz w:val="16"/>
                <w:lang w:eastAsia="en-US"/>
              </w:rPr>
            </w:pPr>
            <w:r w:rsidRPr="009B4A78">
              <w:rPr>
                <w:rFonts w:ascii="Arial" w:hAnsi="Arial" w:cs="Arial"/>
                <w:color w:val="000000"/>
                <w:sz w:val="16"/>
                <w:lang w:eastAsia="en-US"/>
              </w:rPr>
              <w:t>Invite relevant stakeholders to participate in the WCC project Business expert Group meetings to share relevant information.</w:t>
            </w:r>
          </w:p>
        </w:tc>
      </w:tr>
    </w:tbl>
    <w:p w14:paraId="78BFFC9E" w14:textId="77777777" w:rsidR="00186D1C" w:rsidRPr="009B4A78" w:rsidRDefault="00186D1C" w:rsidP="00984F70">
      <w:pPr>
        <w:rPr>
          <w:rFonts w:ascii="Arial" w:hAnsi="Arial" w:cs="Arial"/>
          <w:lang w:eastAsia="en-US"/>
        </w:rPr>
      </w:pPr>
    </w:p>
    <w:p w14:paraId="784B442A" w14:textId="77777777" w:rsidR="00186D1C" w:rsidRPr="009B4A78" w:rsidRDefault="00186D1C">
      <w:pPr>
        <w:jc w:val="center"/>
        <w:rPr>
          <w:rFonts w:ascii="Arial" w:hAnsi="Arial" w:cs="Arial"/>
          <w:b/>
          <w:bCs/>
          <w:sz w:val="20"/>
        </w:rPr>
      </w:pPr>
    </w:p>
    <w:p w14:paraId="7A82E861" w14:textId="77777777" w:rsidR="00186D1C" w:rsidRPr="009B4A78" w:rsidRDefault="00186D1C">
      <w:pPr>
        <w:rPr>
          <w:rFonts w:ascii="Arial" w:hAnsi="Arial" w:cs="Arial"/>
          <w:bCs/>
          <w:szCs w:val="24"/>
        </w:rPr>
      </w:pPr>
      <w:r w:rsidRPr="009B4A78">
        <w:rPr>
          <w:rFonts w:ascii="Arial" w:hAnsi="Arial" w:cs="Arial"/>
          <w:bCs/>
          <w:szCs w:val="24"/>
        </w:rPr>
        <w:t>RESULTS FRAMEWORK</w:t>
      </w:r>
    </w:p>
    <w:p w14:paraId="0B19CB73" w14:textId="77777777" w:rsidR="00186D1C" w:rsidRPr="009B4A78" w:rsidRDefault="00186D1C">
      <w:pPr>
        <w:rPr>
          <w:rFonts w:ascii="Arial" w:hAnsi="Arial" w:cs="Arial"/>
          <w:sz w:val="20"/>
        </w:rPr>
      </w:pPr>
    </w:p>
    <w:tbl>
      <w:tblPr>
        <w:tblW w:w="9229" w:type="dxa"/>
        <w:tblInd w:w="93" w:type="dxa"/>
        <w:tblLook w:val="04A0" w:firstRow="1" w:lastRow="0" w:firstColumn="1" w:lastColumn="0" w:noHBand="0" w:noVBand="1"/>
      </w:tblPr>
      <w:tblGrid>
        <w:gridCol w:w="2940"/>
        <w:gridCol w:w="2543"/>
        <w:gridCol w:w="2250"/>
        <w:gridCol w:w="1496"/>
      </w:tblGrid>
      <w:tr w:rsidR="00186D1C" w:rsidRPr="009B4A78" w14:paraId="0C8BC57A" w14:textId="77777777" w:rsidTr="00B30215">
        <w:trPr>
          <w:trHeight w:val="585"/>
        </w:trPr>
        <w:tc>
          <w:tcPr>
            <w:tcW w:w="2940"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779EB824" w14:textId="77777777" w:rsidR="00186D1C" w:rsidRPr="009B4A78" w:rsidRDefault="00186D1C" w:rsidP="00984F70">
            <w:pPr>
              <w:jc w:val="center"/>
              <w:rPr>
                <w:rFonts w:ascii="Arial" w:hAnsi="Arial" w:cs="Arial"/>
                <w:b/>
                <w:bCs/>
                <w:color w:val="000000"/>
                <w:sz w:val="18"/>
                <w:szCs w:val="18"/>
                <w:lang w:eastAsia="en-US"/>
              </w:rPr>
            </w:pPr>
            <w:r w:rsidRPr="009B4A78">
              <w:rPr>
                <w:rFonts w:ascii="Arial" w:hAnsi="Arial" w:cs="Arial"/>
                <w:b/>
                <w:bCs/>
                <w:color w:val="000000"/>
                <w:sz w:val="18"/>
                <w:szCs w:val="18"/>
                <w:lang w:eastAsia="en-US"/>
              </w:rPr>
              <w:t>Expected Results</w:t>
            </w:r>
          </w:p>
        </w:tc>
        <w:tc>
          <w:tcPr>
            <w:tcW w:w="2543" w:type="dxa"/>
            <w:tcBorders>
              <w:top w:val="single" w:sz="4" w:space="0" w:color="auto"/>
              <w:left w:val="nil"/>
              <w:bottom w:val="single" w:sz="4" w:space="0" w:color="auto"/>
              <w:right w:val="nil"/>
            </w:tcBorders>
            <w:shd w:val="clear" w:color="auto" w:fill="C6D9F1" w:themeFill="text2" w:themeFillTint="33"/>
            <w:noWrap/>
            <w:vAlign w:val="center"/>
            <w:hideMark/>
          </w:tcPr>
          <w:p w14:paraId="1F0B3437" w14:textId="77777777" w:rsidR="00186D1C" w:rsidRPr="009B4A78" w:rsidRDefault="00186D1C" w:rsidP="00984F70">
            <w:pPr>
              <w:jc w:val="center"/>
              <w:rPr>
                <w:rFonts w:ascii="Arial" w:hAnsi="Arial" w:cs="Arial"/>
                <w:b/>
                <w:bCs/>
                <w:color w:val="000000"/>
                <w:sz w:val="18"/>
                <w:szCs w:val="18"/>
                <w:lang w:eastAsia="en-US"/>
              </w:rPr>
            </w:pPr>
            <w:r w:rsidRPr="009B4A78">
              <w:rPr>
                <w:rFonts w:ascii="Arial" w:hAnsi="Arial" w:cs="Arial"/>
                <w:b/>
                <w:bCs/>
                <w:color w:val="000000"/>
                <w:sz w:val="18"/>
                <w:szCs w:val="18"/>
                <w:lang w:eastAsia="en-US"/>
              </w:rPr>
              <w:t>Performance Indicators</w:t>
            </w:r>
          </w:p>
        </w:tc>
        <w:tc>
          <w:tcPr>
            <w:tcW w:w="2250" w:type="dxa"/>
            <w:tcBorders>
              <w:top w:val="single" w:sz="4" w:space="0" w:color="auto"/>
              <w:left w:val="nil"/>
              <w:bottom w:val="single" w:sz="4" w:space="0" w:color="auto"/>
              <w:right w:val="nil"/>
            </w:tcBorders>
            <w:shd w:val="clear" w:color="auto" w:fill="C6D9F1" w:themeFill="text2" w:themeFillTint="33"/>
            <w:noWrap/>
            <w:vAlign w:val="center"/>
            <w:hideMark/>
          </w:tcPr>
          <w:p w14:paraId="0BDEF47B" w14:textId="77777777" w:rsidR="00186D1C" w:rsidRPr="009B4A78" w:rsidRDefault="00186D1C" w:rsidP="00984F70">
            <w:pPr>
              <w:jc w:val="center"/>
              <w:rPr>
                <w:rFonts w:ascii="Arial" w:hAnsi="Arial" w:cs="Arial"/>
                <w:b/>
                <w:bCs/>
                <w:color w:val="000000"/>
                <w:sz w:val="18"/>
                <w:szCs w:val="18"/>
                <w:lang w:eastAsia="en-US"/>
              </w:rPr>
            </w:pPr>
            <w:r w:rsidRPr="009B4A78">
              <w:rPr>
                <w:rFonts w:ascii="Arial" w:hAnsi="Arial" w:cs="Arial"/>
                <w:b/>
                <w:bCs/>
                <w:color w:val="000000"/>
                <w:sz w:val="18"/>
                <w:szCs w:val="18"/>
                <w:lang w:eastAsia="en-US"/>
              </w:rPr>
              <w:t>Baselines</w:t>
            </w:r>
          </w:p>
        </w:tc>
        <w:tc>
          <w:tcPr>
            <w:tcW w:w="1496"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0355C5A4" w14:textId="77777777" w:rsidR="00186D1C" w:rsidRPr="009B4A78" w:rsidRDefault="00186D1C" w:rsidP="00984F70">
            <w:pPr>
              <w:jc w:val="center"/>
              <w:rPr>
                <w:rFonts w:ascii="Arial" w:hAnsi="Arial" w:cs="Arial"/>
                <w:b/>
                <w:bCs/>
                <w:color w:val="000000"/>
                <w:sz w:val="18"/>
                <w:szCs w:val="18"/>
                <w:lang w:eastAsia="en-US"/>
              </w:rPr>
            </w:pPr>
            <w:r w:rsidRPr="009B4A78">
              <w:rPr>
                <w:rFonts w:ascii="Arial" w:hAnsi="Arial" w:cs="Arial"/>
                <w:b/>
                <w:bCs/>
                <w:color w:val="000000"/>
                <w:sz w:val="18"/>
                <w:szCs w:val="18"/>
                <w:lang w:eastAsia="en-US"/>
              </w:rPr>
              <w:t>Targets</w:t>
            </w:r>
          </w:p>
        </w:tc>
      </w:tr>
      <w:tr w:rsidR="00186D1C" w:rsidRPr="009B4A78" w14:paraId="5366548B" w14:textId="77777777" w:rsidTr="008D4CE9">
        <w:trPr>
          <w:trHeight w:val="1297"/>
        </w:trPr>
        <w:tc>
          <w:tcPr>
            <w:tcW w:w="2940" w:type="dxa"/>
            <w:vMerge w:val="restart"/>
            <w:tcBorders>
              <w:top w:val="nil"/>
              <w:left w:val="single" w:sz="4" w:space="0" w:color="auto"/>
              <w:bottom w:val="single" w:sz="4" w:space="0" w:color="000000"/>
              <w:right w:val="nil"/>
            </w:tcBorders>
            <w:shd w:val="clear" w:color="000000" w:fill="FFFFFF"/>
            <w:hideMark/>
          </w:tcPr>
          <w:p w14:paraId="692382D4" w14:textId="77777777" w:rsidR="00186D1C" w:rsidRPr="009B4A78" w:rsidRDefault="00186D1C" w:rsidP="00984F70">
            <w:pPr>
              <w:rPr>
                <w:rFonts w:ascii="Arial" w:hAnsi="Arial" w:cs="Arial"/>
                <w:color w:val="000000"/>
                <w:sz w:val="16"/>
                <w:szCs w:val="16"/>
                <w:lang w:eastAsia="en-US"/>
              </w:rPr>
            </w:pPr>
          </w:p>
          <w:p w14:paraId="125EF0FC" w14:textId="77777777" w:rsidR="00186D1C" w:rsidRPr="009B4A78" w:rsidRDefault="00186D1C" w:rsidP="00984F70">
            <w:pPr>
              <w:rPr>
                <w:rFonts w:ascii="Arial" w:hAnsi="Arial" w:cs="Arial"/>
                <w:color w:val="000000"/>
                <w:sz w:val="16"/>
                <w:szCs w:val="16"/>
                <w:lang w:eastAsia="en-US"/>
              </w:rPr>
            </w:pPr>
            <w:r w:rsidRPr="009B4A78">
              <w:rPr>
                <w:rFonts w:ascii="Arial" w:hAnsi="Arial" w:cs="Arial"/>
                <w:color w:val="000000"/>
                <w:sz w:val="16"/>
                <w:szCs w:val="16"/>
                <w:lang w:eastAsia="en-US"/>
              </w:rPr>
              <w:t>IV.4 Enhanced technical and knowledge infrastructure for IP Offices and other IP institutions leading to better services (cheaper, faster, higher quality) to their stakeholders and better outcome of IP Administration</w:t>
            </w:r>
          </w:p>
        </w:tc>
        <w:tc>
          <w:tcPr>
            <w:tcW w:w="2543" w:type="dxa"/>
            <w:tcBorders>
              <w:top w:val="nil"/>
              <w:left w:val="nil"/>
              <w:bottom w:val="nil"/>
              <w:right w:val="nil"/>
            </w:tcBorders>
            <w:shd w:val="clear" w:color="000000" w:fill="FFFFFF"/>
            <w:hideMark/>
          </w:tcPr>
          <w:p w14:paraId="5F4FB196" w14:textId="77777777" w:rsidR="00186D1C" w:rsidRPr="009B4A78" w:rsidRDefault="00186D1C" w:rsidP="008D4CE9">
            <w:pPr>
              <w:ind w:left="86"/>
              <w:rPr>
                <w:rFonts w:ascii="Arial" w:hAnsi="Arial" w:cs="Arial"/>
                <w:color w:val="000000"/>
                <w:sz w:val="16"/>
                <w:szCs w:val="16"/>
                <w:highlight w:val="yellow"/>
                <w:lang w:eastAsia="en-US"/>
              </w:rPr>
            </w:pPr>
          </w:p>
          <w:p w14:paraId="0F5CB09F" w14:textId="77777777" w:rsidR="00186D1C" w:rsidRPr="009B4A78" w:rsidRDefault="00186D1C" w:rsidP="008D4CE9">
            <w:pPr>
              <w:ind w:left="86"/>
              <w:rPr>
                <w:rFonts w:ascii="Arial" w:hAnsi="Arial" w:cs="Arial"/>
                <w:color w:val="000000"/>
                <w:sz w:val="16"/>
                <w:szCs w:val="16"/>
                <w:highlight w:val="yellow"/>
                <w:lang w:eastAsia="en-US"/>
              </w:rPr>
            </w:pPr>
            <w:r w:rsidRPr="009B4A78">
              <w:rPr>
                <w:rFonts w:ascii="Arial" w:hAnsi="Arial" w:cs="Arial"/>
                <w:color w:val="000000"/>
                <w:sz w:val="16"/>
                <w:szCs w:val="16"/>
                <w:lang w:eastAsia="en-US"/>
              </w:rPr>
              <w:t>No. of Offices using WIPO Infrastructure Platforms</w:t>
            </w:r>
          </w:p>
        </w:tc>
        <w:tc>
          <w:tcPr>
            <w:tcW w:w="2250" w:type="dxa"/>
            <w:tcBorders>
              <w:top w:val="nil"/>
              <w:left w:val="nil"/>
              <w:bottom w:val="nil"/>
              <w:right w:val="nil"/>
            </w:tcBorders>
            <w:shd w:val="clear" w:color="000000" w:fill="FFFFFF"/>
            <w:hideMark/>
          </w:tcPr>
          <w:p w14:paraId="71F0712A" w14:textId="77777777" w:rsidR="00186D1C" w:rsidRPr="009B4A78" w:rsidRDefault="00186D1C" w:rsidP="008D4CE9">
            <w:pPr>
              <w:ind w:left="94"/>
              <w:rPr>
                <w:rFonts w:ascii="Arial" w:hAnsi="Arial" w:cs="Arial"/>
                <w:color w:val="000000"/>
                <w:sz w:val="16"/>
                <w:szCs w:val="16"/>
                <w:highlight w:val="yellow"/>
                <w:lang w:eastAsia="en-US"/>
              </w:rPr>
            </w:pPr>
          </w:p>
          <w:p w14:paraId="30325B4F" w14:textId="77777777" w:rsidR="00186D1C" w:rsidRPr="009B4A78" w:rsidRDefault="00186D1C" w:rsidP="008D4CE9">
            <w:pPr>
              <w:ind w:left="94"/>
              <w:rPr>
                <w:rFonts w:ascii="Arial" w:hAnsi="Arial" w:cs="Arial"/>
                <w:color w:val="000000"/>
                <w:sz w:val="16"/>
                <w:szCs w:val="16"/>
                <w:lang w:eastAsia="en-US"/>
              </w:rPr>
            </w:pPr>
            <w:r w:rsidRPr="009B4A78">
              <w:rPr>
                <w:rFonts w:ascii="Arial" w:hAnsi="Arial" w:cs="Arial"/>
                <w:color w:val="000000"/>
                <w:sz w:val="16"/>
                <w:szCs w:val="16"/>
                <w:lang w:eastAsia="en-US"/>
              </w:rPr>
              <w:t>22 Offices as of March 2015</w:t>
            </w:r>
          </w:p>
          <w:p w14:paraId="16E5B3B4" w14:textId="22DF4A79" w:rsidR="00186D1C" w:rsidRPr="009B4A78" w:rsidRDefault="005A4F9B" w:rsidP="008D4CE9">
            <w:pPr>
              <w:ind w:left="94"/>
              <w:rPr>
                <w:rFonts w:ascii="Arial" w:hAnsi="Arial" w:cs="Arial"/>
                <w:color w:val="000000"/>
                <w:sz w:val="16"/>
                <w:szCs w:val="16"/>
                <w:lang w:eastAsia="en-US"/>
              </w:rPr>
            </w:pPr>
            <w:r>
              <w:rPr>
                <w:rFonts w:ascii="Arial" w:hAnsi="Arial" w:cs="Arial"/>
                <w:color w:val="000000"/>
                <w:sz w:val="16"/>
                <w:szCs w:val="16"/>
                <w:lang w:eastAsia="en-US"/>
              </w:rPr>
              <w:t>Asia and the Pacific</w:t>
            </w:r>
            <w:r w:rsidR="00186D1C" w:rsidRPr="009B4A78">
              <w:rPr>
                <w:rFonts w:ascii="Arial" w:hAnsi="Arial" w:cs="Arial"/>
                <w:color w:val="000000"/>
                <w:sz w:val="16"/>
                <w:szCs w:val="16"/>
                <w:lang w:eastAsia="en-US"/>
              </w:rPr>
              <w:t>: 12</w:t>
            </w:r>
          </w:p>
          <w:p w14:paraId="052BB73E" w14:textId="6B38C059" w:rsidR="00186D1C" w:rsidRPr="009B4A78" w:rsidRDefault="005A4F9B" w:rsidP="008D4CE9">
            <w:pPr>
              <w:ind w:left="94"/>
              <w:rPr>
                <w:rFonts w:ascii="Arial" w:hAnsi="Arial" w:cs="Arial"/>
                <w:color w:val="000000"/>
                <w:sz w:val="16"/>
                <w:szCs w:val="16"/>
                <w:lang w:eastAsia="en-US"/>
              </w:rPr>
            </w:pPr>
            <w:r>
              <w:rPr>
                <w:rFonts w:ascii="Arial" w:hAnsi="Arial" w:cs="Arial"/>
                <w:color w:val="000000"/>
                <w:sz w:val="16"/>
                <w:szCs w:val="16"/>
                <w:lang w:eastAsia="en-US"/>
              </w:rPr>
              <w:t>Transition countries</w:t>
            </w:r>
            <w:r w:rsidR="00186D1C" w:rsidRPr="009B4A78">
              <w:rPr>
                <w:rFonts w:ascii="Arial" w:hAnsi="Arial" w:cs="Arial"/>
                <w:color w:val="000000"/>
                <w:sz w:val="16"/>
                <w:szCs w:val="16"/>
                <w:lang w:eastAsia="en-US"/>
              </w:rPr>
              <w:t>: 1</w:t>
            </w:r>
          </w:p>
          <w:p w14:paraId="7921777F" w14:textId="7B37FF9A" w:rsidR="00186D1C" w:rsidRPr="009B4A78" w:rsidRDefault="00186D1C" w:rsidP="008D4CE9">
            <w:pPr>
              <w:ind w:left="94"/>
              <w:rPr>
                <w:rFonts w:ascii="Arial" w:hAnsi="Arial" w:cs="Arial"/>
                <w:color w:val="000000"/>
                <w:sz w:val="16"/>
                <w:szCs w:val="16"/>
                <w:highlight w:val="yellow"/>
                <w:lang w:eastAsia="en-US"/>
              </w:rPr>
            </w:pPr>
            <w:r w:rsidRPr="009B4A78">
              <w:rPr>
                <w:rFonts w:ascii="Arial" w:hAnsi="Arial" w:cs="Arial"/>
                <w:color w:val="000000"/>
                <w:sz w:val="16"/>
                <w:szCs w:val="16"/>
                <w:lang w:eastAsia="en-US"/>
              </w:rPr>
              <w:t>D</w:t>
            </w:r>
            <w:r w:rsidR="005A4F9B">
              <w:rPr>
                <w:rFonts w:ascii="Arial" w:hAnsi="Arial" w:cs="Arial"/>
                <w:color w:val="000000"/>
                <w:sz w:val="16"/>
                <w:szCs w:val="16"/>
                <w:lang w:eastAsia="en-US"/>
              </w:rPr>
              <w:t>eveloped countries</w:t>
            </w:r>
            <w:r w:rsidRPr="009B4A78">
              <w:rPr>
                <w:rFonts w:ascii="Arial" w:hAnsi="Arial" w:cs="Arial"/>
                <w:color w:val="000000"/>
                <w:sz w:val="16"/>
                <w:szCs w:val="16"/>
                <w:lang w:eastAsia="en-US"/>
              </w:rPr>
              <w:t>: 9</w:t>
            </w:r>
          </w:p>
        </w:tc>
        <w:tc>
          <w:tcPr>
            <w:tcW w:w="1496" w:type="dxa"/>
            <w:tcBorders>
              <w:top w:val="nil"/>
              <w:left w:val="nil"/>
              <w:bottom w:val="nil"/>
              <w:right w:val="single" w:sz="4" w:space="0" w:color="auto"/>
            </w:tcBorders>
            <w:shd w:val="clear" w:color="000000" w:fill="FFFFFF"/>
            <w:hideMark/>
          </w:tcPr>
          <w:p w14:paraId="13F24943" w14:textId="77777777" w:rsidR="00186D1C" w:rsidRPr="009B4A78" w:rsidRDefault="00186D1C" w:rsidP="008D4CE9">
            <w:pPr>
              <w:rPr>
                <w:rFonts w:ascii="Arial" w:hAnsi="Arial" w:cs="Arial"/>
                <w:color w:val="000000"/>
                <w:sz w:val="16"/>
                <w:szCs w:val="16"/>
                <w:highlight w:val="yellow"/>
                <w:lang w:eastAsia="en-US"/>
              </w:rPr>
            </w:pPr>
          </w:p>
          <w:p w14:paraId="50F1480F" w14:textId="77777777" w:rsidR="00186D1C" w:rsidRPr="009B4A78" w:rsidRDefault="00186D1C" w:rsidP="008D4CE9">
            <w:pPr>
              <w:rPr>
                <w:rFonts w:ascii="Arial" w:hAnsi="Arial" w:cs="Arial"/>
                <w:color w:val="000000"/>
                <w:sz w:val="16"/>
                <w:szCs w:val="16"/>
                <w:highlight w:val="yellow"/>
                <w:lang w:eastAsia="en-US"/>
              </w:rPr>
            </w:pPr>
            <w:r w:rsidRPr="009B4A78">
              <w:rPr>
                <w:rFonts w:ascii="Arial" w:hAnsi="Arial" w:cs="Arial"/>
                <w:color w:val="000000"/>
                <w:sz w:val="16"/>
                <w:szCs w:val="16"/>
                <w:lang w:eastAsia="en-US"/>
              </w:rPr>
              <w:t>29 Offices end 2017</w:t>
            </w:r>
          </w:p>
        </w:tc>
      </w:tr>
      <w:tr w:rsidR="00186D1C" w:rsidRPr="009B4A78" w14:paraId="03EDE979" w14:textId="77777777" w:rsidTr="00B30215">
        <w:trPr>
          <w:trHeight w:val="716"/>
        </w:trPr>
        <w:tc>
          <w:tcPr>
            <w:tcW w:w="2940" w:type="dxa"/>
            <w:vMerge/>
            <w:tcBorders>
              <w:top w:val="nil"/>
              <w:left w:val="single" w:sz="4" w:space="0" w:color="auto"/>
              <w:bottom w:val="single" w:sz="4" w:space="0" w:color="000000"/>
              <w:right w:val="nil"/>
            </w:tcBorders>
            <w:vAlign w:val="center"/>
            <w:hideMark/>
          </w:tcPr>
          <w:p w14:paraId="17C64452" w14:textId="77777777" w:rsidR="00186D1C" w:rsidRPr="009B4A78" w:rsidRDefault="00186D1C" w:rsidP="00984F70">
            <w:pPr>
              <w:rPr>
                <w:rFonts w:ascii="Arial" w:hAnsi="Arial" w:cs="Arial"/>
                <w:color w:val="000000"/>
                <w:sz w:val="16"/>
                <w:szCs w:val="16"/>
                <w:lang w:eastAsia="en-US"/>
              </w:rPr>
            </w:pPr>
          </w:p>
        </w:tc>
        <w:tc>
          <w:tcPr>
            <w:tcW w:w="2543" w:type="dxa"/>
            <w:tcBorders>
              <w:top w:val="nil"/>
              <w:left w:val="nil"/>
              <w:bottom w:val="nil"/>
              <w:right w:val="nil"/>
            </w:tcBorders>
            <w:shd w:val="clear" w:color="000000" w:fill="FFFFFF"/>
            <w:hideMark/>
          </w:tcPr>
          <w:p w14:paraId="2C37BFE1" w14:textId="77777777" w:rsidR="00186D1C" w:rsidRPr="009B4A78" w:rsidRDefault="00186D1C" w:rsidP="008D4CE9">
            <w:pPr>
              <w:ind w:left="86"/>
              <w:rPr>
                <w:rFonts w:ascii="Arial" w:hAnsi="Arial" w:cs="Arial"/>
                <w:color w:val="000000"/>
                <w:sz w:val="16"/>
                <w:szCs w:val="16"/>
                <w:lang w:eastAsia="en-US"/>
              </w:rPr>
            </w:pPr>
            <w:r w:rsidRPr="009B4A78">
              <w:rPr>
                <w:rFonts w:ascii="Arial" w:hAnsi="Arial" w:cs="Arial"/>
                <w:color w:val="000000"/>
                <w:sz w:val="16"/>
                <w:szCs w:val="16"/>
                <w:lang w:eastAsia="en-US"/>
              </w:rPr>
              <w:t>Average Service Level of IP Offices assisted (ranging from 1 to 5)</w:t>
            </w:r>
          </w:p>
        </w:tc>
        <w:tc>
          <w:tcPr>
            <w:tcW w:w="2250" w:type="dxa"/>
            <w:tcBorders>
              <w:top w:val="nil"/>
              <w:left w:val="nil"/>
              <w:bottom w:val="nil"/>
              <w:right w:val="nil"/>
            </w:tcBorders>
            <w:shd w:val="clear" w:color="000000" w:fill="FFFFFF"/>
            <w:hideMark/>
          </w:tcPr>
          <w:p w14:paraId="71C8D627" w14:textId="77777777" w:rsidR="00186D1C" w:rsidRPr="009B4A78" w:rsidRDefault="00186D1C" w:rsidP="008D4CE9">
            <w:pPr>
              <w:ind w:left="94" w:firstLineChars="200" w:firstLine="320"/>
              <w:rPr>
                <w:rFonts w:ascii="Arial" w:hAnsi="Arial" w:cs="Arial"/>
                <w:color w:val="000000"/>
                <w:sz w:val="16"/>
                <w:szCs w:val="16"/>
                <w:lang w:eastAsia="en-US"/>
              </w:rPr>
            </w:pPr>
            <w:r w:rsidRPr="009B4A78">
              <w:rPr>
                <w:rFonts w:ascii="Arial" w:hAnsi="Arial" w:cs="Arial"/>
                <w:color w:val="000000"/>
                <w:sz w:val="16"/>
                <w:szCs w:val="16"/>
                <w:lang w:eastAsia="en-US"/>
              </w:rPr>
              <w:t>2.9 end 2015</w:t>
            </w:r>
          </w:p>
        </w:tc>
        <w:tc>
          <w:tcPr>
            <w:tcW w:w="1496" w:type="dxa"/>
            <w:tcBorders>
              <w:top w:val="nil"/>
              <w:left w:val="nil"/>
              <w:bottom w:val="nil"/>
              <w:right w:val="single" w:sz="4" w:space="0" w:color="auto"/>
            </w:tcBorders>
            <w:shd w:val="clear" w:color="000000" w:fill="FFFFFF"/>
            <w:hideMark/>
          </w:tcPr>
          <w:p w14:paraId="40CC97F2" w14:textId="77777777" w:rsidR="00186D1C" w:rsidRPr="009B4A78" w:rsidRDefault="00186D1C" w:rsidP="008D4CE9">
            <w:pPr>
              <w:rPr>
                <w:rFonts w:ascii="Arial" w:hAnsi="Arial" w:cs="Arial"/>
                <w:color w:val="000000"/>
                <w:sz w:val="16"/>
                <w:szCs w:val="16"/>
                <w:lang w:eastAsia="en-US"/>
              </w:rPr>
            </w:pPr>
            <w:r w:rsidRPr="009B4A78">
              <w:rPr>
                <w:rFonts w:ascii="Arial" w:hAnsi="Arial" w:cs="Arial"/>
                <w:color w:val="000000"/>
                <w:sz w:val="16"/>
                <w:szCs w:val="16"/>
                <w:lang w:eastAsia="en-US"/>
              </w:rPr>
              <w:t>3 end 2017</w:t>
            </w:r>
          </w:p>
        </w:tc>
      </w:tr>
      <w:tr w:rsidR="00186D1C" w:rsidRPr="009B4A78" w14:paraId="2609AAC5" w14:textId="77777777" w:rsidTr="00B30215">
        <w:trPr>
          <w:trHeight w:val="1166"/>
        </w:trPr>
        <w:tc>
          <w:tcPr>
            <w:tcW w:w="2940" w:type="dxa"/>
            <w:vMerge/>
            <w:tcBorders>
              <w:top w:val="nil"/>
              <w:left w:val="single" w:sz="4" w:space="0" w:color="auto"/>
              <w:bottom w:val="single" w:sz="4" w:space="0" w:color="000000"/>
              <w:right w:val="nil"/>
            </w:tcBorders>
            <w:vAlign w:val="center"/>
            <w:hideMark/>
          </w:tcPr>
          <w:p w14:paraId="5922702B" w14:textId="77777777" w:rsidR="00186D1C" w:rsidRPr="009B4A78" w:rsidRDefault="00186D1C" w:rsidP="00984F70">
            <w:pPr>
              <w:rPr>
                <w:rFonts w:ascii="Arial" w:hAnsi="Arial" w:cs="Arial"/>
                <w:color w:val="000000"/>
                <w:sz w:val="16"/>
                <w:szCs w:val="16"/>
                <w:lang w:eastAsia="en-US"/>
              </w:rPr>
            </w:pPr>
          </w:p>
        </w:tc>
        <w:tc>
          <w:tcPr>
            <w:tcW w:w="2543" w:type="dxa"/>
            <w:tcBorders>
              <w:top w:val="nil"/>
              <w:left w:val="nil"/>
              <w:bottom w:val="single" w:sz="4" w:space="0" w:color="auto"/>
              <w:right w:val="nil"/>
            </w:tcBorders>
            <w:shd w:val="clear" w:color="000000" w:fill="FFFFFF"/>
            <w:hideMark/>
          </w:tcPr>
          <w:p w14:paraId="1935F7B7" w14:textId="77777777" w:rsidR="00186D1C" w:rsidRPr="009B4A78" w:rsidRDefault="00186D1C" w:rsidP="008D4CE9">
            <w:pPr>
              <w:ind w:left="86"/>
              <w:rPr>
                <w:rFonts w:ascii="Arial" w:hAnsi="Arial" w:cs="Arial"/>
                <w:color w:val="000000"/>
                <w:sz w:val="16"/>
                <w:szCs w:val="16"/>
                <w:lang w:eastAsia="en-US"/>
              </w:rPr>
            </w:pPr>
            <w:r w:rsidRPr="009B4A78">
              <w:rPr>
                <w:rFonts w:ascii="Arial" w:hAnsi="Arial" w:cs="Arial"/>
                <w:color w:val="000000"/>
                <w:sz w:val="16"/>
                <w:szCs w:val="16"/>
                <w:lang w:eastAsia="en-US"/>
              </w:rPr>
              <w:t>No. of Collective Management Organizations (CMOs) in developing countries and LDCs participating in regional and global networks facilitated by WIPO</w:t>
            </w:r>
          </w:p>
        </w:tc>
        <w:tc>
          <w:tcPr>
            <w:tcW w:w="2250" w:type="dxa"/>
            <w:tcBorders>
              <w:top w:val="nil"/>
              <w:left w:val="nil"/>
              <w:bottom w:val="single" w:sz="4" w:space="0" w:color="auto"/>
              <w:right w:val="nil"/>
            </w:tcBorders>
            <w:shd w:val="clear" w:color="000000" w:fill="FFFFFF"/>
            <w:hideMark/>
          </w:tcPr>
          <w:p w14:paraId="466CF601" w14:textId="77777777" w:rsidR="00186D1C" w:rsidRPr="009B4A78" w:rsidRDefault="00186D1C" w:rsidP="008D4CE9">
            <w:pPr>
              <w:ind w:left="94"/>
              <w:rPr>
                <w:rFonts w:ascii="Arial" w:hAnsi="Arial" w:cs="Arial"/>
                <w:color w:val="000000"/>
                <w:sz w:val="16"/>
                <w:szCs w:val="16"/>
                <w:lang w:eastAsia="en-US"/>
              </w:rPr>
            </w:pPr>
            <w:r w:rsidRPr="009B4A78">
              <w:rPr>
                <w:rFonts w:ascii="Arial" w:hAnsi="Arial" w:cs="Arial"/>
                <w:color w:val="000000"/>
                <w:sz w:val="16"/>
                <w:szCs w:val="16"/>
                <w:lang w:eastAsia="en-US"/>
              </w:rPr>
              <w:t>Zero CMOs end 2015</w:t>
            </w:r>
          </w:p>
        </w:tc>
        <w:tc>
          <w:tcPr>
            <w:tcW w:w="1496" w:type="dxa"/>
            <w:tcBorders>
              <w:top w:val="nil"/>
              <w:left w:val="nil"/>
              <w:bottom w:val="single" w:sz="4" w:space="0" w:color="auto"/>
              <w:right w:val="single" w:sz="4" w:space="0" w:color="auto"/>
            </w:tcBorders>
            <w:shd w:val="clear" w:color="000000" w:fill="FFFFFF"/>
            <w:hideMark/>
          </w:tcPr>
          <w:p w14:paraId="5D266BFD" w14:textId="77777777" w:rsidR="00186D1C" w:rsidRPr="009B4A78" w:rsidRDefault="00186D1C" w:rsidP="008D4CE9">
            <w:pPr>
              <w:rPr>
                <w:rFonts w:ascii="Arial" w:hAnsi="Arial" w:cs="Arial"/>
                <w:color w:val="000000"/>
                <w:sz w:val="16"/>
                <w:szCs w:val="16"/>
                <w:lang w:eastAsia="en-US"/>
              </w:rPr>
            </w:pPr>
            <w:r w:rsidRPr="009B4A78">
              <w:rPr>
                <w:rFonts w:ascii="Arial" w:hAnsi="Arial" w:cs="Arial"/>
                <w:color w:val="000000"/>
                <w:sz w:val="16"/>
                <w:szCs w:val="16"/>
                <w:lang w:eastAsia="en-US"/>
              </w:rPr>
              <w:t>7 CMOs end 2017</w:t>
            </w:r>
          </w:p>
        </w:tc>
      </w:tr>
    </w:tbl>
    <w:p w14:paraId="5BE90395" w14:textId="77777777" w:rsidR="00186D1C" w:rsidRPr="009B4A78" w:rsidRDefault="00186D1C">
      <w:pPr>
        <w:rPr>
          <w:rFonts w:ascii="Arial" w:hAnsi="Arial" w:cs="Arial"/>
          <w:sz w:val="20"/>
        </w:rPr>
      </w:pPr>
    </w:p>
    <w:p w14:paraId="153B57ED" w14:textId="77777777" w:rsidR="00186D1C" w:rsidRPr="009B4A78" w:rsidRDefault="00186D1C">
      <w:pPr>
        <w:rPr>
          <w:rFonts w:ascii="Arial" w:hAnsi="Arial" w:cs="Arial"/>
          <w:sz w:val="20"/>
        </w:rPr>
      </w:pPr>
    </w:p>
    <w:p w14:paraId="20A8EF0C" w14:textId="77777777" w:rsidR="00186D1C" w:rsidRPr="009B4A78" w:rsidRDefault="00186D1C">
      <w:pPr>
        <w:rPr>
          <w:rFonts w:ascii="Arial" w:hAnsi="Arial" w:cs="Arial"/>
        </w:rPr>
      </w:pPr>
      <w:r w:rsidRPr="009B4A78">
        <w:rPr>
          <w:rFonts w:ascii="Arial" w:hAnsi="Arial" w:cs="Arial"/>
        </w:rPr>
        <w:t>RESOURCES FOR PROGRAM 15</w:t>
      </w:r>
    </w:p>
    <w:p w14:paraId="0BE771EF" w14:textId="77777777" w:rsidR="00186D1C" w:rsidRPr="009B4A78" w:rsidRDefault="00186D1C">
      <w:pPr>
        <w:rPr>
          <w:rFonts w:ascii="Arial" w:hAnsi="Arial" w:cs="Arial"/>
        </w:rPr>
      </w:pPr>
    </w:p>
    <w:p w14:paraId="490A97BE" w14:textId="77777777" w:rsidR="00186D1C" w:rsidRPr="00FB68E0" w:rsidRDefault="00186D1C" w:rsidP="00B66A4A">
      <w:pPr>
        <w:numPr>
          <w:ilvl w:val="0"/>
          <w:numId w:val="17"/>
        </w:numPr>
        <w:shd w:val="clear" w:color="auto" w:fill="FFFFFF"/>
        <w:tabs>
          <w:tab w:val="left" w:pos="709"/>
        </w:tabs>
        <w:suppressAutoHyphens/>
        <w:ind w:left="0" w:firstLine="0"/>
        <w:jc w:val="both"/>
        <w:rPr>
          <w:rFonts w:ascii="Arial" w:hAnsi="Arial" w:cs="Arial"/>
          <w:sz w:val="20"/>
          <w:szCs w:val="20"/>
        </w:rPr>
      </w:pPr>
      <w:r w:rsidRPr="00FB68E0">
        <w:rPr>
          <w:rFonts w:ascii="Arial" w:hAnsi="Arial" w:cs="Arial"/>
          <w:sz w:val="20"/>
          <w:szCs w:val="20"/>
        </w:rPr>
        <w:t xml:space="preserve">The </w:t>
      </w:r>
      <w:r w:rsidRPr="009B4A78">
        <w:rPr>
          <w:rFonts w:ascii="Arial" w:hAnsi="Arial" w:cs="Arial"/>
          <w:sz w:val="20"/>
        </w:rPr>
        <w:t xml:space="preserve">increase in the overall resources (both personnel and non-personnel resources) in 2016/17 compared to the 2014/15 Budget after Transfers reflects </w:t>
      </w:r>
      <w:r w:rsidRPr="00FB68E0">
        <w:rPr>
          <w:rFonts w:ascii="Arial" w:hAnsi="Arial" w:cs="Arial"/>
          <w:sz w:val="20"/>
          <w:szCs w:val="20"/>
        </w:rPr>
        <w:t xml:space="preserve">the transfer of </w:t>
      </w:r>
      <w:r w:rsidRPr="009B4A78">
        <w:rPr>
          <w:rFonts w:ascii="Arial" w:hAnsi="Arial" w:cs="Arial"/>
          <w:sz w:val="20"/>
        </w:rPr>
        <w:t xml:space="preserve">responsibilities for the development, deployment of the </w:t>
      </w:r>
      <w:r w:rsidRPr="009B4A78">
        <w:rPr>
          <w:rFonts w:ascii="Arial" w:hAnsi="Arial" w:cs="Arial"/>
          <w:color w:val="000000"/>
          <w:sz w:val="20"/>
        </w:rPr>
        <w:t xml:space="preserve">WCC </w:t>
      </w:r>
      <w:r w:rsidRPr="009B4A78">
        <w:rPr>
          <w:rFonts w:ascii="Arial" w:hAnsi="Arial" w:cs="Arial"/>
          <w:sz w:val="20"/>
        </w:rPr>
        <w:t>software platform and related support to CMOs from Program 3 (Copyright and Related rights) to the Program. In addition, the increase reflects the additional personnel resources deployed from Program 12 to reinforce the support to IP Offices globally</w:t>
      </w:r>
      <w:r w:rsidRPr="00FB68E0">
        <w:rPr>
          <w:rFonts w:ascii="Arial" w:hAnsi="Arial" w:cs="Arial"/>
          <w:sz w:val="20"/>
          <w:szCs w:val="20"/>
        </w:rPr>
        <w:t xml:space="preserve">. </w:t>
      </w:r>
    </w:p>
    <w:p w14:paraId="366C3D86" w14:textId="77777777" w:rsidR="00186D1C" w:rsidRPr="009B4A78" w:rsidRDefault="00186D1C" w:rsidP="00984F70">
      <w:pPr>
        <w:rPr>
          <w:rFonts w:ascii="Arial" w:hAnsi="Arial" w:cs="Arial"/>
          <w:sz w:val="24"/>
          <w:szCs w:val="24"/>
        </w:rPr>
      </w:pPr>
    </w:p>
    <w:p w14:paraId="71810DED" w14:textId="77777777" w:rsidR="00186D1C" w:rsidRPr="009B4A78" w:rsidRDefault="00186D1C">
      <w:pPr>
        <w:rPr>
          <w:rFonts w:ascii="Arial" w:hAnsi="Arial" w:cs="Arial"/>
        </w:rPr>
      </w:pPr>
    </w:p>
    <w:p w14:paraId="7F002B8A" w14:textId="77777777" w:rsidR="00186D1C" w:rsidRPr="009B4A78" w:rsidRDefault="00186D1C" w:rsidP="00984F70">
      <w:pPr>
        <w:tabs>
          <w:tab w:val="left" w:pos="1427"/>
        </w:tabs>
        <w:jc w:val="center"/>
        <w:rPr>
          <w:rFonts w:ascii="Arial" w:hAnsi="Arial" w:cs="Arial"/>
          <w:lang w:eastAsia="en-US"/>
        </w:rPr>
      </w:pPr>
      <w:r w:rsidRPr="009B4A78">
        <w:rPr>
          <w:rFonts w:ascii="Arial" w:hAnsi="Arial" w:cs="Arial"/>
          <w:b/>
          <w:sz w:val="20"/>
          <w:szCs w:val="24"/>
        </w:rPr>
        <w:t>Program 15:  Resources by Result</w:t>
      </w:r>
    </w:p>
    <w:p w14:paraId="4493434B" w14:textId="77777777" w:rsidR="00186D1C" w:rsidRPr="009B4A78" w:rsidRDefault="00186D1C" w:rsidP="00984F70">
      <w:pPr>
        <w:tabs>
          <w:tab w:val="left" w:pos="1427"/>
        </w:tabs>
        <w:jc w:val="center"/>
        <w:rPr>
          <w:rFonts w:ascii="Arial" w:hAnsi="Arial" w:cs="Arial"/>
          <w:lang w:eastAsia="en-US"/>
        </w:rPr>
      </w:pPr>
      <w:r w:rsidRPr="009B4A78">
        <w:rPr>
          <w:rFonts w:ascii="Arial" w:hAnsi="Arial" w:cs="Arial"/>
          <w:i/>
          <w:sz w:val="20"/>
          <w:szCs w:val="24"/>
        </w:rPr>
        <w:t>(In thousands of Swiss francs)</w:t>
      </w:r>
    </w:p>
    <w:p w14:paraId="60897F51" w14:textId="77777777" w:rsidR="00186D1C" w:rsidRPr="009B4A78" w:rsidRDefault="00186D1C">
      <w:pPr>
        <w:rPr>
          <w:rFonts w:ascii="Arial" w:hAnsi="Arial" w:cs="Arial"/>
        </w:rPr>
      </w:pPr>
    </w:p>
    <w:p w14:paraId="3BAF5D00" w14:textId="79124796" w:rsidR="00186D1C" w:rsidRPr="009B4A78" w:rsidRDefault="00186D1C" w:rsidP="00186D1C">
      <w:pPr>
        <w:jc w:val="center"/>
        <w:rPr>
          <w:rFonts w:ascii="Arial" w:hAnsi="Arial" w:cs="Arial"/>
        </w:rPr>
      </w:pPr>
      <w:r w:rsidRPr="009B4A78">
        <w:rPr>
          <w:rFonts w:ascii="Arial" w:hAnsi="Arial" w:cs="Arial"/>
          <w:noProof/>
          <w:lang w:eastAsia="en-US"/>
        </w:rPr>
        <w:drawing>
          <wp:inline distT="0" distB="0" distL="0" distR="0" wp14:anchorId="174051DC" wp14:editId="62355029">
            <wp:extent cx="5181600" cy="11715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216614" cy="1179492"/>
                    </a:xfrm>
                    <a:prstGeom prst="rect">
                      <a:avLst/>
                    </a:prstGeom>
                    <a:noFill/>
                    <a:ln>
                      <a:noFill/>
                    </a:ln>
                  </pic:spPr>
                </pic:pic>
              </a:graphicData>
            </a:graphic>
          </wp:inline>
        </w:drawing>
      </w:r>
    </w:p>
    <w:p w14:paraId="518FA0AA" w14:textId="77777777" w:rsidR="00186D1C" w:rsidRPr="009B4A78" w:rsidRDefault="00186D1C">
      <w:pPr>
        <w:rPr>
          <w:rFonts w:ascii="Arial" w:hAnsi="Arial" w:cs="Arial"/>
          <w:sz w:val="20"/>
        </w:rPr>
      </w:pPr>
    </w:p>
    <w:p w14:paraId="0E138788" w14:textId="77777777" w:rsidR="00186D1C" w:rsidRPr="009B4A78" w:rsidRDefault="00186D1C" w:rsidP="00984F70">
      <w:pPr>
        <w:keepNext/>
        <w:keepLines/>
        <w:tabs>
          <w:tab w:val="left" w:pos="1427"/>
        </w:tabs>
        <w:jc w:val="center"/>
        <w:rPr>
          <w:rFonts w:ascii="Arial" w:hAnsi="Arial" w:cs="Arial"/>
          <w:lang w:eastAsia="en-US"/>
        </w:rPr>
      </w:pPr>
      <w:r w:rsidRPr="009B4A78">
        <w:rPr>
          <w:rFonts w:ascii="Arial" w:hAnsi="Arial" w:cs="Arial"/>
          <w:b/>
          <w:sz w:val="20"/>
          <w:szCs w:val="24"/>
        </w:rPr>
        <w:lastRenderedPageBreak/>
        <w:t>Program 15:  Resources by Object of Expenditure</w:t>
      </w:r>
    </w:p>
    <w:p w14:paraId="1E4323DB" w14:textId="77777777" w:rsidR="00186D1C" w:rsidRPr="009B4A78" w:rsidRDefault="00186D1C" w:rsidP="00984F70">
      <w:pPr>
        <w:keepNext/>
        <w:keepLines/>
        <w:tabs>
          <w:tab w:val="left" w:pos="1427"/>
        </w:tabs>
        <w:jc w:val="center"/>
        <w:rPr>
          <w:rFonts w:ascii="Arial" w:hAnsi="Arial" w:cs="Arial"/>
          <w:lang w:eastAsia="en-US"/>
        </w:rPr>
      </w:pPr>
      <w:r w:rsidRPr="009B4A78">
        <w:rPr>
          <w:rFonts w:ascii="Arial" w:hAnsi="Arial" w:cs="Arial"/>
          <w:i/>
          <w:sz w:val="20"/>
          <w:szCs w:val="24"/>
        </w:rPr>
        <w:t>(In thousands of Swiss francs)</w:t>
      </w:r>
    </w:p>
    <w:p w14:paraId="10C34BEC" w14:textId="77777777" w:rsidR="00186D1C" w:rsidRPr="009B4A78" w:rsidRDefault="00186D1C" w:rsidP="00984F70">
      <w:pPr>
        <w:keepNext/>
        <w:keepLines/>
        <w:rPr>
          <w:rFonts w:ascii="Arial" w:hAnsi="Arial" w:cs="Arial"/>
          <w:sz w:val="20"/>
        </w:rPr>
      </w:pPr>
    </w:p>
    <w:p w14:paraId="5381DAC3" w14:textId="0B932B57" w:rsidR="00186D1C" w:rsidRPr="009B4A78" w:rsidRDefault="00186D1C" w:rsidP="00186D1C">
      <w:pPr>
        <w:jc w:val="center"/>
        <w:rPr>
          <w:rFonts w:ascii="Arial" w:hAnsi="Arial" w:cs="Arial"/>
          <w:sz w:val="20"/>
        </w:rPr>
      </w:pPr>
      <w:r w:rsidRPr="009B4A78">
        <w:rPr>
          <w:rFonts w:ascii="Arial" w:hAnsi="Arial" w:cs="Arial"/>
          <w:noProof/>
          <w:lang w:eastAsia="en-US"/>
        </w:rPr>
        <w:drawing>
          <wp:inline distT="0" distB="0" distL="0" distR="0" wp14:anchorId="12792850" wp14:editId="0D52020E">
            <wp:extent cx="4893308" cy="5510254"/>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906037" cy="5524588"/>
                    </a:xfrm>
                    <a:prstGeom prst="rect">
                      <a:avLst/>
                    </a:prstGeom>
                    <a:noFill/>
                    <a:ln>
                      <a:noFill/>
                    </a:ln>
                  </pic:spPr>
                </pic:pic>
              </a:graphicData>
            </a:graphic>
          </wp:inline>
        </w:drawing>
      </w:r>
    </w:p>
    <w:p w14:paraId="37B24B46" w14:textId="2419862F" w:rsidR="000D7C57" w:rsidRDefault="000D7C57">
      <w:pPr>
        <w:rPr>
          <w:rFonts w:ascii="Arial" w:hAnsi="Arial" w:cs="Arial"/>
          <w:sz w:val="20"/>
        </w:rPr>
      </w:pPr>
      <w:r>
        <w:rPr>
          <w:rFonts w:ascii="Arial" w:hAnsi="Arial" w:cs="Arial"/>
          <w:sz w:val="20"/>
        </w:rPr>
        <w:br w:type="page"/>
      </w:r>
    </w:p>
    <w:p w14:paraId="298DFEC5" w14:textId="0BD3AC2C" w:rsidR="005363E7" w:rsidRPr="00B30215" w:rsidRDefault="005363E7" w:rsidP="00584F84">
      <w:pPr>
        <w:pStyle w:val="StyleHeading3ComplexItalic"/>
        <w:tabs>
          <w:tab w:val="clear" w:pos="1985"/>
          <w:tab w:val="left" w:pos="2835"/>
        </w:tabs>
        <w:ind w:left="2835" w:hanging="2835"/>
        <w:rPr>
          <w:rStyle w:val="StyleStyleHeading3ComplexItalicLatin12ptChar"/>
          <w:rFonts w:eastAsia="SimSun"/>
          <w:b/>
          <w:szCs w:val="24"/>
        </w:rPr>
      </w:pPr>
      <w:bookmarkStart w:id="53" w:name="_Toc367350592"/>
      <w:bookmarkStart w:id="54" w:name="_Toc427154415"/>
      <w:r w:rsidRPr="00B30215">
        <w:rPr>
          <w:rStyle w:val="StyleStyleHeading3ComplexItalicLatin12ptChar"/>
          <w:rFonts w:eastAsia="SimSun"/>
          <w:b/>
          <w:szCs w:val="24"/>
        </w:rPr>
        <w:lastRenderedPageBreak/>
        <w:t>STRATEGIC GOAL V</w:t>
      </w:r>
      <w:r w:rsidR="00584F84" w:rsidRPr="00B30215">
        <w:rPr>
          <w:rStyle w:val="StyleStyleHeading3ComplexItalicLatin12ptChar"/>
          <w:rFonts w:eastAsia="SimSun"/>
          <w:b/>
          <w:szCs w:val="24"/>
        </w:rPr>
        <w:tab/>
        <w:t>WORLD REFERENCE SOURCE FOR IP INFORMATION AND ANALYSIS</w:t>
      </w:r>
      <w:bookmarkEnd w:id="53"/>
      <w:bookmarkEnd w:id="54"/>
      <w:r w:rsidR="00584F84" w:rsidRPr="00B30215">
        <w:rPr>
          <w:rStyle w:val="StyleStyleHeading3ComplexItalicLatin12ptChar"/>
          <w:rFonts w:eastAsia="SimSun"/>
          <w:b/>
          <w:szCs w:val="24"/>
        </w:rPr>
        <w:t xml:space="preserve"> </w:t>
      </w:r>
    </w:p>
    <w:p w14:paraId="47739D50" w14:textId="77777777" w:rsidR="005363E7" w:rsidRPr="00A522FE" w:rsidRDefault="005363E7" w:rsidP="005363E7">
      <w:pPr>
        <w:tabs>
          <w:tab w:val="left" w:pos="1701"/>
        </w:tabs>
        <w:ind w:left="1701" w:hanging="1701"/>
        <w:jc w:val="center"/>
        <w:rPr>
          <w:rFonts w:ascii="Arial" w:hAnsi="Arial" w:cs="Arial"/>
          <w:b/>
          <w:bCs/>
          <w:caps/>
          <w:szCs w:val="24"/>
        </w:rPr>
      </w:pPr>
    </w:p>
    <w:p w14:paraId="3966E66C" w14:textId="77777777" w:rsidR="005363E7" w:rsidRPr="00A522FE" w:rsidRDefault="005363E7" w:rsidP="005363E7">
      <w:pPr>
        <w:tabs>
          <w:tab w:val="left" w:pos="1701"/>
        </w:tabs>
        <w:ind w:left="1701" w:hanging="1701"/>
        <w:jc w:val="center"/>
        <w:rPr>
          <w:rFonts w:ascii="Arial" w:hAnsi="Arial" w:cs="Arial"/>
          <w:b/>
          <w:bCs/>
          <w:caps/>
          <w:szCs w:val="24"/>
        </w:rPr>
      </w:pPr>
    </w:p>
    <w:p w14:paraId="3BA28757" w14:textId="49796C6F" w:rsidR="005363E7" w:rsidRPr="00F3719C" w:rsidRDefault="005363E7" w:rsidP="005363E7">
      <w:pPr>
        <w:jc w:val="both"/>
        <w:rPr>
          <w:rFonts w:ascii="Arial" w:hAnsi="Arial" w:cs="Arial"/>
          <w:sz w:val="20"/>
        </w:rPr>
      </w:pPr>
      <w:r w:rsidRPr="00F3719C">
        <w:rPr>
          <w:rFonts w:ascii="Arial" w:hAnsi="Arial" w:cs="Arial"/>
          <w:sz w:val="20"/>
        </w:rPr>
        <w:t xml:space="preserve">WIPO is the generator and repository of outstanding collections of technology disclosures, brand data, and technical and legal IP information.  These collections provide a window onto what is happening in important sectors of the economy and in the IP system.  They are of immense value to policy-makers; industry, business and other users of the IP system; and the interested public.  That value has also been recognized in the Development Agenda, where there is strong demand for the Organization to provide empirical economic analysis and studies.  </w:t>
      </w:r>
    </w:p>
    <w:p w14:paraId="652EE0BB" w14:textId="77777777" w:rsidR="005363E7" w:rsidRDefault="005363E7" w:rsidP="005363E7">
      <w:pPr>
        <w:autoSpaceDE w:val="0"/>
        <w:autoSpaceDN w:val="0"/>
        <w:adjustRightInd w:val="0"/>
        <w:spacing w:before="120"/>
        <w:jc w:val="both"/>
        <w:rPr>
          <w:rFonts w:ascii="Arial" w:hAnsi="Arial" w:cs="Arial"/>
          <w:sz w:val="20"/>
        </w:rPr>
      </w:pPr>
      <w:r w:rsidRPr="00F3719C">
        <w:rPr>
          <w:rFonts w:ascii="Arial" w:hAnsi="Arial" w:cs="Arial"/>
          <w:sz w:val="20"/>
        </w:rPr>
        <w:t>The value of WIPO’s data reference collections, however, depends upon the collections being accurate, up</w:t>
      </w:r>
      <w:r w:rsidRPr="00F3719C">
        <w:rPr>
          <w:rFonts w:ascii="Arial" w:hAnsi="Arial" w:cs="Arial"/>
          <w:sz w:val="20"/>
        </w:rPr>
        <w:noBreakHyphen/>
        <w:t>to-date and responsive to the needs of stakeholders, as well as freely and univer</w:t>
      </w:r>
      <w:smartTag w:uri="urn:schemas-microsoft-com:office:smarttags" w:element="PersonName">
        <w:r w:rsidRPr="00F3719C">
          <w:rPr>
            <w:rFonts w:ascii="Arial" w:hAnsi="Arial" w:cs="Arial"/>
            <w:sz w:val="20"/>
          </w:rPr>
          <w:t>sally</w:t>
        </w:r>
      </w:smartTag>
      <w:r w:rsidRPr="00F3719C">
        <w:rPr>
          <w:rFonts w:ascii="Arial" w:hAnsi="Arial" w:cs="Arial"/>
          <w:sz w:val="20"/>
        </w:rPr>
        <w:t xml:space="preserve"> accessible.  WIPO is in a unique position to serve as a host and portal to the world’s most comprehensive and valuable collections of IP information.  Under this strategic goal, WIPO would strive to realize the potential of that unique position.</w:t>
      </w:r>
    </w:p>
    <w:p w14:paraId="527054C0" w14:textId="77777777" w:rsidR="005363E7" w:rsidRPr="00EC781A" w:rsidRDefault="005363E7" w:rsidP="005363E7">
      <w:pPr>
        <w:tabs>
          <w:tab w:val="left" w:pos="1701"/>
        </w:tabs>
        <w:ind w:left="1701" w:hanging="1701"/>
        <w:jc w:val="center"/>
        <w:rPr>
          <w:rFonts w:ascii="Arial" w:hAnsi="Arial" w:cs="Arial"/>
          <w:b/>
          <w:bCs/>
          <w:caps/>
          <w:sz w:val="20"/>
        </w:rPr>
      </w:pPr>
    </w:p>
    <w:p w14:paraId="5ED375F9" w14:textId="7F47CDF3" w:rsidR="00984F70" w:rsidRDefault="00984F70">
      <w:pPr>
        <w:rPr>
          <w:rFonts w:ascii="Arial" w:hAnsi="Arial" w:cs="Arial"/>
          <w:bCs/>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1"/>
        <w:gridCol w:w="2642"/>
        <w:gridCol w:w="2965"/>
      </w:tblGrid>
      <w:tr w:rsidR="00DD40DE" w:rsidRPr="00B35175" w14:paraId="6FB038F3" w14:textId="77777777" w:rsidTr="005A1F7F">
        <w:trPr>
          <w:cantSplit/>
          <w:trHeight w:val="470"/>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14:paraId="6B573331" w14:textId="77777777" w:rsidR="00DD40DE" w:rsidRPr="00B35175" w:rsidRDefault="00DD40DE" w:rsidP="005A1F7F">
            <w:pPr>
              <w:spacing w:after="120"/>
              <w:jc w:val="center"/>
              <w:rPr>
                <w:rFonts w:ascii="Arial" w:hAnsi="Arial" w:cs="Arial"/>
                <w:b/>
                <w:bCs/>
                <w:sz w:val="18"/>
                <w:szCs w:val="18"/>
              </w:rPr>
            </w:pPr>
            <w:r w:rsidRPr="00B35175">
              <w:rPr>
                <w:rFonts w:ascii="Arial" w:hAnsi="Arial" w:cs="Arial"/>
                <w:b/>
                <w:bCs/>
                <w:sz w:val="18"/>
                <w:szCs w:val="18"/>
              </w:rPr>
              <w:t>Expected Results</w:t>
            </w:r>
          </w:p>
        </w:tc>
        <w:tc>
          <w:tcPr>
            <w:tcW w:w="1465" w:type="pct"/>
            <w:tcBorders>
              <w:top w:val="single" w:sz="4" w:space="0" w:color="auto"/>
              <w:bottom w:val="single" w:sz="4" w:space="0" w:color="auto"/>
            </w:tcBorders>
            <w:shd w:val="clear" w:color="auto" w:fill="C6D9F1" w:themeFill="text2" w:themeFillTint="33"/>
            <w:tcMar>
              <w:top w:w="113" w:type="dxa"/>
              <w:bottom w:w="85" w:type="dxa"/>
            </w:tcMar>
            <w:vAlign w:val="center"/>
          </w:tcPr>
          <w:p w14:paraId="0B53D8A3" w14:textId="77777777" w:rsidR="00DD40DE" w:rsidRPr="00B35175" w:rsidRDefault="00DD40DE" w:rsidP="005A1F7F">
            <w:pPr>
              <w:spacing w:after="120"/>
              <w:jc w:val="center"/>
              <w:rPr>
                <w:rFonts w:ascii="Arial" w:hAnsi="Arial" w:cs="Arial"/>
                <w:b/>
                <w:bCs/>
                <w:sz w:val="18"/>
                <w:szCs w:val="18"/>
              </w:rPr>
            </w:pPr>
            <w:r w:rsidRPr="00B35175">
              <w:rPr>
                <w:rFonts w:ascii="Arial" w:hAnsi="Arial" w:cs="Arial"/>
                <w:b/>
                <w:bCs/>
                <w:sz w:val="18"/>
                <w:szCs w:val="18"/>
              </w:rPr>
              <w:t>Performance Indicators</w:t>
            </w:r>
          </w:p>
        </w:tc>
        <w:tc>
          <w:tcPr>
            <w:tcW w:w="1644" w:type="pct"/>
            <w:tcBorders>
              <w:top w:val="single" w:sz="4" w:space="0" w:color="auto"/>
              <w:bottom w:val="single" w:sz="4" w:space="0" w:color="auto"/>
            </w:tcBorders>
            <w:shd w:val="clear" w:color="auto" w:fill="C6D9F1" w:themeFill="text2" w:themeFillTint="33"/>
            <w:tcMar>
              <w:top w:w="113" w:type="dxa"/>
              <w:bottom w:w="85" w:type="dxa"/>
            </w:tcMar>
            <w:vAlign w:val="center"/>
          </w:tcPr>
          <w:p w14:paraId="2AAAA608" w14:textId="77777777" w:rsidR="00DD40DE" w:rsidRPr="00B35175" w:rsidRDefault="00DD40DE" w:rsidP="005A1F7F">
            <w:pPr>
              <w:spacing w:after="120"/>
              <w:ind w:left="85"/>
              <w:jc w:val="center"/>
              <w:rPr>
                <w:rFonts w:ascii="Arial" w:hAnsi="Arial" w:cs="Arial"/>
                <w:b/>
                <w:bCs/>
                <w:sz w:val="18"/>
                <w:szCs w:val="18"/>
              </w:rPr>
            </w:pPr>
            <w:r w:rsidRPr="00B35175">
              <w:rPr>
                <w:rFonts w:ascii="Arial" w:hAnsi="Arial" w:cs="Arial"/>
                <w:b/>
                <w:bCs/>
                <w:sz w:val="18"/>
                <w:szCs w:val="18"/>
              </w:rPr>
              <w:t>Responsible Program(s)</w:t>
            </w:r>
          </w:p>
        </w:tc>
      </w:tr>
      <w:tr w:rsidR="00DD40DE" w:rsidRPr="00AF5E7C" w14:paraId="241C3C1B" w14:textId="77777777" w:rsidTr="005A1F7F">
        <w:trPr>
          <w:cantSplit/>
        </w:trPr>
        <w:tc>
          <w:tcPr>
            <w:tcW w:w="1891" w:type="pct"/>
            <w:tcBorders>
              <w:top w:val="single" w:sz="4" w:space="0" w:color="auto"/>
            </w:tcBorders>
            <w:shd w:val="clear" w:color="auto" w:fill="auto"/>
            <w:tcMar>
              <w:top w:w="113" w:type="dxa"/>
              <w:bottom w:w="85" w:type="dxa"/>
            </w:tcMar>
          </w:tcPr>
          <w:p w14:paraId="5685BD62" w14:textId="77777777" w:rsidR="00DD40DE" w:rsidRPr="00A020B6" w:rsidRDefault="00DD40DE" w:rsidP="005A1F7F">
            <w:pPr>
              <w:rPr>
                <w:rFonts w:ascii="Arial" w:hAnsi="Arial" w:cs="Arial"/>
                <w:sz w:val="16"/>
                <w:szCs w:val="16"/>
              </w:rPr>
            </w:pPr>
            <w:r w:rsidRPr="00A020B6">
              <w:rPr>
                <w:rFonts w:ascii="Arial" w:hAnsi="Arial" w:cs="Arial"/>
                <w:sz w:val="16"/>
                <w:szCs w:val="16"/>
              </w:rPr>
              <w:t>V.</w:t>
            </w:r>
            <w:r w:rsidRPr="0067218E">
              <w:rPr>
                <w:rFonts w:ascii="Arial" w:hAnsi="Arial" w:cs="Arial"/>
                <w:sz w:val="16"/>
                <w:szCs w:val="16"/>
              </w:rPr>
              <w:t xml:space="preserve">1 </w:t>
            </w:r>
            <w:r>
              <w:rPr>
                <w:rFonts w:ascii="Arial" w:hAnsi="Arial" w:cs="Arial"/>
                <w:sz w:val="16"/>
                <w:szCs w:val="16"/>
              </w:rPr>
              <w:t xml:space="preserve"> </w:t>
            </w:r>
            <w:r w:rsidRPr="0067218E">
              <w:rPr>
                <w:rFonts w:ascii="Arial" w:hAnsi="Arial" w:cs="Arial"/>
                <w:sz w:val="16"/>
                <w:szCs w:val="16"/>
              </w:rPr>
              <w:t>Wider and better use of WIPO IP statistical information</w:t>
            </w:r>
          </w:p>
        </w:tc>
        <w:tc>
          <w:tcPr>
            <w:tcW w:w="1465" w:type="pct"/>
            <w:tcBorders>
              <w:top w:val="single" w:sz="4" w:space="0" w:color="auto"/>
            </w:tcBorders>
            <w:shd w:val="clear" w:color="auto" w:fill="auto"/>
            <w:tcMar>
              <w:top w:w="113" w:type="dxa"/>
              <w:bottom w:w="85" w:type="dxa"/>
            </w:tcMar>
          </w:tcPr>
          <w:p w14:paraId="63BF4339" w14:textId="77777777" w:rsidR="00DD40DE" w:rsidRPr="00F60057" w:rsidRDefault="00DD40DE" w:rsidP="005A1F7F">
            <w:pPr>
              <w:rPr>
                <w:rFonts w:ascii="Arial" w:hAnsi="Arial" w:cs="Arial"/>
                <w:sz w:val="16"/>
                <w:szCs w:val="16"/>
              </w:rPr>
            </w:pPr>
            <w:r w:rsidRPr="00F60057">
              <w:rPr>
                <w:rFonts w:ascii="Arial" w:hAnsi="Arial" w:cs="Arial"/>
                <w:color w:val="000000"/>
                <w:sz w:val="16"/>
                <w:szCs w:val="16"/>
              </w:rPr>
              <w:t>No. of searches on IP Statistics Data Center</w:t>
            </w:r>
          </w:p>
        </w:tc>
        <w:tc>
          <w:tcPr>
            <w:tcW w:w="1644" w:type="pct"/>
            <w:tcBorders>
              <w:top w:val="single" w:sz="4" w:space="0" w:color="auto"/>
            </w:tcBorders>
            <w:shd w:val="clear" w:color="auto" w:fill="FFFFFF"/>
            <w:tcMar>
              <w:top w:w="113" w:type="dxa"/>
              <w:bottom w:w="85" w:type="dxa"/>
            </w:tcMar>
          </w:tcPr>
          <w:p w14:paraId="3B82CDC1" w14:textId="77777777" w:rsidR="00DD40DE" w:rsidRPr="00AF5E7C" w:rsidRDefault="00DD40DE" w:rsidP="005A1F7F">
            <w:pPr>
              <w:ind w:left="768"/>
              <w:rPr>
                <w:rFonts w:ascii="Arial" w:hAnsi="Arial" w:cs="Arial"/>
                <w:sz w:val="16"/>
                <w:szCs w:val="16"/>
              </w:rPr>
            </w:pPr>
            <w:r>
              <w:rPr>
                <w:rFonts w:ascii="Arial" w:hAnsi="Arial" w:cs="Arial"/>
                <w:sz w:val="16"/>
                <w:szCs w:val="16"/>
                <w:lang w:bidi="th-TH"/>
              </w:rPr>
              <w:t>Program 16</w:t>
            </w:r>
          </w:p>
        </w:tc>
      </w:tr>
      <w:tr w:rsidR="00DD40DE" w:rsidRPr="00AF5E7C" w14:paraId="3557E7E1" w14:textId="77777777" w:rsidTr="005A1F7F">
        <w:trPr>
          <w:cantSplit/>
          <w:trHeight w:val="500"/>
        </w:trPr>
        <w:tc>
          <w:tcPr>
            <w:tcW w:w="1891" w:type="pct"/>
            <w:shd w:val="clear" w:color="auto" w:fill="auto"/>
            <w:tcMar>
              <w:top w:w="113" w:type="dxa"/>
              <w:bottom w:w="85" w:type="dxa"/>
            </w:tcMar>
          </w:tcPr>
          <w:p w14:paraId="6A3AAD39" w14:textId="77777777" w:rsidR="00DD40DE" w:rsidRPr="00AF5E7C" w:rsidRDefault="00DD40DE" w:rsidP="005A1F7F">
            <w:pPr>
              <w:rPr>
                <w:rFonts w:ascii="Arial" w:hAnsi="Arial" w:cs="Arial"/>
                <w:sz w:val="16"/>
                <w:szCs w:val="16"/>
              </w:rPr>
            </w:pPr>
          </w:p>
        </w:tc>
        <w:tc>
          <w:tcPr>
            <w:tcW w:w="1465" w:type="pct"/>
            <w:shd w:val="clear" w:color="auto" w:fill="auto"/>
            <w:tcMar>
              <w:top w:w="113" w:type="dxa"/>
              <w:bottom w:w="85" w:type="dxa"/>
            </w:tcMar>
          </w:tcPr>
          <w:p w14:paraId="6814669B" w14:textId="77777777" w:rsidR="00DD40DE" w:rsidRPr="00F60057" w:rsidRDefault="00DD40DE" w:rsidP="005A1F7F">
            <w:pPr>
              <w:rPr>
                <w:rFonts w:ascii="Arial" w:hAnsi="Arial" w:cs="Arial"/>
                <w:sz w:val="16"/>
                <w:szCs w:val="16"/>
              </w:rPr>
            </w:pPr>
            <w:r w:rsidRPr="00F60057">
              <w:rPr>
                <w:rFonts w:ascii="Arial" w:hAnsi="Arial" w:cs="Arial"/>
                <w:color w:val="000000"/>
                <w:sz w:val="16"/>
                <w:szCs w:val="16"/>
              </w:rPr>
              <w:t>No. of downloads of annual statistics reports within 6 months of their publication</w:t>
            </w:r>
          </w:p>
        </w:tc>
        <w:tc>
          <w:tcPr>
            <w:tcW w:w="1644" w:type="pct"/>
            <w:shd w:val="clear" w:color="auto" w:fill="FFFFFF"/>
            <w:tcMar>
              <w:top w:w="113" w:type="dxa"/>
              <w:bottom w:w="85" w:type="dxa"/>
            </w:tcMar>
          </w:tcPr>
          <w:p w14:paraId="71B12EA8" w14:textId="77777777" w:rsidR="00DD40DE" w:rsidRPr="00AF5E7C" w:rsidRDefault="00DD40DE" w:rsidP="005A1F7F">
            <w:pPr>
              <w:ind w:left="768"/>
              <w:rPr>
                <w:rFonts w:ascii="Arial" w:hAnsi="Arial" w:cs="Arial"/>
                <w:sz w:val="16"/>
                <w:szCs w:val="16"/>
              </w:rPr>
            </w:pPr>
            <w:r>
              <w:rPr>
                <w:rFonts w:ascii="Arial" w:hAnsi="Arial" w:cs="Arial"/>
                <w:sz w:val="16"/>
                <w:szCs w:val="16"/>
                <w:lang w:bidi="th-TH"/>
              </w:rPr>
              <w:t>Program 16</w:t>
            </w:r>
          </w:p>
        </w:tc>
      </w:tr>
      <w:tr w:rsidR="00DD40DE" w:rsidRPr="00AF5E7C" w14:paraId="4D426FC3" w14:textId="77777777" w:rsidTr="005A1F7F">
        <w:trPr>
          <w:cantSplit/>
          <w:trHeight w:val="500"/>
        </w:trPr>
        <w:tc>
          <w:tcPr>
            <w:tcW w:w="1891" w:type="pct"/>
            <w:shd w:val="clear" w:color="auto" w:fill="auto"/>
            <w:tcMar>
              <w:top w:w="113" w:type="dxa"/>
              <w:bottom w:w="85" w:type="dxa"/>
            </w:tcMar>
          </w:tcPr>
          <w:p w14:paraId="08677E87" w14:textId="77777777" w:rsidR="00DD40DE" w:rsidRPr="00AF5E7C" w:rsidRDefault="00DD40DE" w:rsidP="005A1F7F">
            <w:pPr>
              <w:rPr>
                <w:rFonts w:ascii="Arial" w:hAnsi="Arial" w:cs="Arial"/>
                <w:sz w:val="16"/>
                <w:szCs w:val="16"/>
              </w:rPr>
            </w:pPr>
          </w:p>
        </w:tc>
        <w:tc>
          <w:tcPr>
            <w:tcW w:w="1465" w:type="pct"/>
            <w:shd w:val="clear" w:color="auto" w:fill="auto"/>
            <w:tcMar>
              <w:top w:w="113" w:type="dxa"/>
              <w:bottom w:w="85" w:type="dxa"/>
            </w:tcMar>
          </w:tcPr>
          <w:p w14:paraId="056DC814" w14:textId="77777777" w:rsidR="00DD40DE" w:rsidRPr="001D624E" w:rsidRDefault="00DD40DE" w:rsidP="005A1F7F">
            <w:pPr>
              <w:rPr>
                <w:rFonts w:ascii="Arial" w:hAnsi="Arial" w:cs="Arial"/>
                <w:color w:val="000000"/>
                <w:sz w:val="16"/>
                <w:szCs w:val="16"/>
              </w:rPr>
            </w:pPr>
            <w:r w:rsidRPr="001D624E">
              <w:rPr>
                <w:rFonts w:ascii="Arial" w:hAnsi="Arial" w:cs="Arial"/>
                <w:color w:val="000000"/>
                <w:sz w:val="16"/>
                <w:szCs w:val="16"/>
              </w:rPr>
              <w:t>Difference between January forecasts and actual numbers of PCT, Madrid, and Hague filings are within threshold ranges</w:t>
            </w:r>
          </w:p>
        </w:tc>
        <w:tc>
          <w:tcPr>
            <w:tcW w:w="1644" w:type="pct"/>
            <w:shd w:val="clear" w:color="auto" w:fill="FFFFFF"/>
            <w:tcMar>
              <w:top w:w="113" w:type="dxa"/>
              <w:bottom w:w="85" w:type="dxa"/>
            </w:tcMar>
          </w:tcPr>
          <w:p w14:paraId="5FA1623C" w14:textId="77777777" w:rsidR="00DD40DE" w:rsidRDefault="00DD40DE" w:rsidP="005A1F7F">
            <w:pPr>
              <w:ind w:left="768"/>
              <w:rPr>
                <w:rFonts w:ascii="Arial" w:hAnsi="Arial" w:cs="Arial"/>
                <w:sz w:val="16"/>
                <w:szCs w:val="16"/>
                <w:lang w:bidi="th-TH"/>
              </w:rPr>
            </w:pPr>
            <w:r>
              <w:rPr>
                <w:rFonts w:ascii="Arial" w:hAnsi="Arial" w:cs="Arial"/>
                <w:sz w:val="16"/>
                <w:szCs w:val="16"/>
                <w:lang w:bidi="th-TH"/>
              </w:rPr>
              <w:t>Program 16</w:t>
            </w:r>
          </w:p>
        </w:tc>
      </w:tr>
      <w:tr w:rsidR="00DD40DE" w:rsidRPr="00AF5E7C" w14:paraId="1776A18D" w14:textId="77777777" w:rsidTr="005A1F7F">
        <w:trPr>
          <w:cantSplit/>
          <w:trHeight w:val="522"/>
        </w:trPr>
        <w:tc>
          <w:tcPr>
            <w:tcW w:w="1891" w:type="pct"/>
            <w:shd w:val="clear" w:color="auto" w:fill="auto"/>
            <w:tcMar>
              <w:top w:w="113" w:type="dxa"/>
              <w:bottom w:w="85" w:type="dxa"/>
            </w:tcMar>
          </w:tcPr>
          <w:p w14:paraId="08C66F20" w14:textId="77777777" w:rsidR="00DD40DE" w:rsidRPr="003E2A85" w:rsidRDefault="00DD40DE" w:rsidP="005A1F7F">
            <w:pPr>
              <w:tabs>
                <w:tab w:val="right" w:pos="2835"/>
              </w:tabs>
              <w:spacing w:after="60"/>
              <w:rPr>
                <w:rFonts w:ascii="Arial" w:hAnsi="Arial" w:cs="Arial"/>
                <w:sz w:val="16"/>
                <w:szCs w:val="16"/>
              </w:rPr>
            </w:pPr>
            <w:r w:rsidRPr="003E2A85">
              <w:rPr>
                <w:rFonts w:ascii="Arial" w:hAnsi="Arial" w:cs="Arial"/>
                <w:sz w:val="16"/>
                <w:szCs w:val="16"/>
              </w:rPr>
              <w:t>V.</w:t>
            </w:r>
            <w:r w:rsidRPr="0067218E">
              <w:rPr>
                <w:rFonts w:ascii="Arial" w:hAnsi="Arial" w:cs="Arial"/>
                <w:sz w:val="16"/>
                <w:szCs w:val="16"/>
              </w:rPr>
              <w:t>2</w:t>
            </w:r>
            <w:r w:rsidRPr="0067218E">
              <w:rPr>
                <w:rFonts w:ascii="Arial" w:hAnsi="Arial" w:cs="Arial"/>
                <w:sz w:val="15"/>
                <w:szCs w:val="15"/>
              </w:rPr>
              <w:t xml:space="preserve"> </w:t>
            </w:r>
            <w:r>
              <w:rPr>
                <w:rFonts w:ascii="Arial" w:hAnsi="Arial" w:cs="Arial"/>
                <w:sz w:val="15"/>
                <w:szCs w:val="15"/>
              </w:rPr>
              <w:t xml:space="preserve"> </w:t>
            </w:r>
            <w:r w:rsidRPr="0067218E">
              <w:rPr>
                <w:rFonts w:ascii="Arial" w:hAnsi="Arial" w:cs="Arial"/>
                <w:sz w:val="16"/>
                <w:szCs w:val="16"/>
              </w:rPr>
              <w:t>Wider and better use of WIPO economic analysis in policy formulation</w:t>
            </w:r>
          </w:p>
        </w:tc>
        <w:tc>
          <w:tcPr>
            <w:tcW w:w="1465" w:type="pct"/>
            <w:shd w:val="clear" w:color="auto" w:fill="auto"/>
            <w:tcMar>
              <w:top w:w="113" w:type="dxa"/>
              <w:bottom w:w="85" w:type="dxa"/>
            </w:tcMar>
          </w:tcPr>
          <w:p w14:paraId="3FA1C597" w14:textId="77777777" w:rsidR="00DD40DE" w:rsidRPr="00ED69C7" w:rsidRDefault="00DD40DE" w:rsidP="005A1F7F">
            <w:pPr>
              <w:rPr>
                <w:rFonts w:ascii="Arial" w:hAnsi="Arial" w:cs="Arial"/>
                <w:sz w:val="16"/>
                <w:szCs w:val="16"/>
              </w:rPr>
            </w:pPr>
            <w:r w:rsidRPr="00ED69C7">
              <w:rPr>
                <w:rFonts w:ascii="Arial" w:hAnsi="Arial" w:cs="Arial"/>
                <w:color w:val="000000"/>
                <w:sz w:val="16"/>
                <w:szCs w:val="16"/>
              </w:rPr>
              <w:t>Annual number of visitors to Global Innovation Index websites</w:t>
            </w:r>
          </w:p>
        </w:tc>
        <w:tc>
          <w:tcPr>
            <w:tcW w:w="1644" w:type="pct"/>
            <w:shd w:val="clear" w:color="auto" w:fill="FFFFFF"/>
            <w:tcMar>
              <w:top w:w="113" w:type="dxa"/>
              <w:bottom w:w="85" w:type="dxa"/>
            </w:tcMar>
          </w:tcPr>
          <w:p w14:paraId="3C25F6B7" w14:textId="77777777" w:rsidR="00DD40DE" w:rsidRPr="00AF5E7C" w:rsidRDefault="00DD40DE" w:rsidP="005A1F7F">
            <w:pPr>
              <w:ind w:left="768"/>
              <w:rPr>
                <w:rFonts w:ascii="Arial" w:hAnsi="Arial" w:cs="Arial"/>
                <w:sz w:val="16"/>
                <w:szCs w:val="16"/>
              </w:rPr>
            </w:pPr>
            <w:r>
              <w:rPr>
                <w:rFonts w:ascii="Arial" w:hAnsi="Arial" w:cs="Arial"/>
                <w:sz w:val="16"/>
                <w:szCs w:val="16"/>
                <w:lang w:bidi="th-TH"/>
              </w:rPr>
              <w:t>Program 16</w:t>
            </w:r>
          </w:p>
        </w:tc>
      </w:tr>
      <w:tr w:rsidR="00DD40DE" w:rsidRPr="00AF5E7C" w14:paraId="724E52FD" w14:textId="77777777" w:rsidTr="005A1F7F">
        <w:trPr>
          <w:cantSplit/>
          <w:trHeight w:val="720"/>
        </w:trPr>
        <w:tc>
          <w:tcPr>
            <w:tcW w:w="1891" w:type="pct"/>
            <w:shd w:val="clear" w:color="auto" w:fill="auto"/>
            <w:tcMar>
              <w:top w:w="113" w:type="dxa"/>
              <w:bottom w:w="85" w:type="dxa"/>
            </w:tcMar>
          </w:tcPr>
          <w:p w14:paraId="3D20543F" w14:textId="77777777" w:rsidR="00DD40DE" w:rsidRPr="00AF5E7C" w:rsidRDefault="00DD40DE" w:rsidP="005A1F7F">
            <w:pPr>
              <w:rPr>
                <w:rFonts w:ascii="Arial" w:hAnsi="Arial" w:cs="Arial"/>
                <w:sz w:val="16"/>
                <w:szCs w:val="16"/>
              </w:rPr>
            </w:pPr>
          </w:p>
        </w:tc>
        <w:tc>
          <w:tcPr>
            <w:tcW w:w="1465" w:type="pct"/>
            <w:shd w:val="clear" w:color="auto" w:fill="auto"/>
            <w:tcMar>
              <w:top w:w="113" w:type="dxa"/>
              <w:bottom w:w="85" w:type="dxa"/>
            </w:tcMar>
          </w:tcPr>
          <w:p w14:paraId="1C4CCD4E" w14:textId="77777777" w:rsidR="00DD40DE" w:rsidRPr="00ED69C7" w:rsidRDefault="00DD40DE" w:rsidP="005A1F7F">
            <w:pPr>
              <w:rPr>
                <w:rFonts w:ascii="Arial" w:hAnsi="Arial" w:cs="Arial"/>
                <w:sz w:val="16"/>
                <w:szCs w:val="16"/>
              </w:rPr>
            </w:pPr>
            <w:r w:rsidRPr="00ED69C7">
              <w:rPr>
                <w:rFonts w:ascii="Arial" w:hAnsi="Arial" w:cs="Arial"/>
                <w:color w:val="000000"/>
                <w:sz w:val="16"/>
                <w:szCs w:val="16"/>
              </w:rPr>
              <w:t>No. of downloads of World IP Report within 6 months of publication</w:t>
            </w:r>
          </w:p>
        </w:tc>
        <w:tc>
          <w:tcPr>
            <w:tcW w:w="1644" w:type="pct"/>
            <w:shd w:val="clear" w:color="auto" w:fill="FFFFFF"/>
            <w:tcMar>
              <w:top w:w="113" w:type="dxa"/>
              <w:bottom w:w="85" w:type="dxa"/>
            </w:tcMar>
          </w:tcPr>
          <w:p w14:paraId="496CE9B3" w14:textId="77777777" w:rsidR="00DD40DE" w:rsidRPr="00AF5E7C" w:rsidRDefault="00DD40DE" w:rsidP="005A1F7F">
            <w:pPr>
              <w:ind w:left="768"/>
              <w:rPr>
                <w:rFonts w:ascii="Arial" w:hAnsi="Arial" w:cs="Arial"/>
                <w:sz w:val="16"/>
                <w:szCs w:val="16"/>
              </w:rPr>
            </w:pPr>
            <w:r>
              <w:rPr>
                <w:rFonts w:ascii="Arial" w:hAnsi="Arial" w:cs="Arial"/>
                <w:sz w:val="16"/>
                <w:szCs w:val="16"/>
                <w:lang w:bidi="th-TH"/>
              </w:rPr>
              <w:t>Program 16</w:t>
            </w:r>
          </w:p>
        </w:tc>
      </w:tr>
    </w:tbl>
    <w:p w14:paraId="6A2A994B" w14:textId="77777777" w:rsidR="005363E7" w:rsidRDefault="005363E7">
      <w:pPr>
        <w:rPr>
          <w:rFonts w:ascii="Arial" w:hAnsi="Arial" w:cs="Arial"/>
          <w:bCs/>
          <w:sz w:val="20"/>
        </w:rPr>
      </w:pPr>
    </w:p>
    <w:p w14:paraId="7161CBF6" w14:textId="16654D93" w:rsidR="00984F70" w:rsidRDefault="00984F70">
      <w:pPr>
        <w:rPr>
          <w:rFonts w:ascii="Arial" w:hAnsi="Arial" w:cs="Arial"/>
          <w:bCs/>
          <w:sz w:val="20"/>
        </w:rPr>
      </w:pPr>
      <w:r>
        <w:rPr>
          <w:rFonts w:ascii="Arial" w:hAnsi="Arial" w:cs="Arial"/>
          <w:bCs/>
          <w:sz w:val="20"/>
        </w:rPr>
        <w:br w:type="page"/>
      </w:r>
    </w:p>
    <w:p w14:paraId="01ED7C2C" w14:textId="77777777" w:rsidR="009B4A78" w:rsidRPr="009B4A78" w:rsidRDefault="009B4A78" w:rsidP="00984F70">
      <w:pPr>
        <w:pStyle w:val="StyleHeading3ComplexItalic"/>
      </w:pPr>
      <w:bookmarkStart w:id="55" w:name="_Toc427154416"/>
      <w:r w:rsidRPr="009B4A78">
        <w:lastRenderedPageBreak/>
        <w:t>PROGRAM 16</w:t>
      </w:r>
      <w:r w:rsidRPr="009B4A78">
        <w:tab/>
        <w:t>ECONOMICS AND STATISTICS</w:t>
      </w:r>
      <w:bookmarkEnd w:id="55"/>
    </w:p>
    <w:p w14:paraId="0EC15391" w14:textId="77777777" w:rsidR="009B4A78" w:rsidRPr="009B4A78" w:rsidRDefault="009B4A78" w:rsidP="00984F70">
      <w:pPr>
        <w:rPr>
          <w:rFonts w:ascii="Arial" w:hAnsi="Arial" w:cs="Arial"/>
          <w:bCs/>
          <w:i/>
        </w:rPr>
      </w:pPr>
    </w:p>
    <w:p w14:paraId="29AFA245" w14:textId="77777777" w:rsidR="009B4A78" w:rsidRPr="009B4A78" w:rsidRDefault="009B4A78" w:rsidP="00984F70">
      <w:pPr>
        <w:rPr>
          <w:rFonts w:ascii="Arial" w:hAnsi="Arial" w:cs="Arial"/>
          <w:bCs/>
          <w:i/>
        </w:rPr>
      </w:pPr>
    </w:p>
    <w:p w14:paraId="51F0EB36" w14:textId="77777777" w:rsidR="009B4A78" w:rsidRPr="009B4A78" w:rsidRDefault="009B4A78" w:rsidP="00984F70">
      <w:pPr>
        <w:rPr>
          <w:rFonts w:ascii="Arial" w:hAnsi="Arial" w:cs="Arial"/>
          <w:bCs/>
          <w:sz w:val="24"/>
          <w:szCs w:val="24"/>
        </w:rPr>
      </w:pPr>
      <w:r w:rsidRPr="009B4A78">
        <w:rPr>
          <w:rFonts w:ascii="Arial" w:hAnsi="Arial" w:cs="Arial"/>
          <w:bCs/>
        </w:rPr>
        <w:t>PLANNING CONTEXT</w:t>
      </w:r>
      <w:r w:rsidRPr="009B4A78">
        <w:rPr>
          <w:rFonts w:ascii="Arial" w:hAnsi="Arial" w:cs="Arial"/>
          <w:bCs/>
          <w:sz w:val="24"/>
          <w:szCs w:val="24"/>
        </w:rPr>
        <w:t xml:space="preserve">  </w:t>
      </w:r>
    </w:p>
    <w:p w14:paraId="227C4EA9" w14:textId="77777777" w:rsidR="009B4A78" w:rsidRPr="009B4A78" w:rsidRDefault="009B4A78" w:rsidP="00984F70">
      <w:pPr>
        <w:rPr>
          <w:rFonts w:ascii="Arial" w:hAnsi="Arial" w:cs="Arial"/>
          <w:sz w:val="20"/>
        </w:rPr>
      </w:pPr>
    </w:p>
    <w:p w14:paraId="15E26D48" w14:textId="77777777"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As the recovery of the world economy continues at an uneven pace, innovation will remain essential in sustaining long-term growth and improving human development.  Fortunately, a changing innovation landscape offers new opportunities for harnessing knowledge for societies’ benefit. In particular, countries are investing more resources than ever before in the knowledge economy, and new sources of innovation have emerged – especially in Asia.  However, despite rapid economic growth in certain developing countries, a significant share of the world’s population continues to live in poverty and has not been able to harness knowledge for economic prosperity.</w:t>
      </w:r>
    </w:p>
    <w:p w14:paraId="2A872C5D" w14:textId="77777777" w:rsidR="009B4A78" w:rsidRPr="009B4A78" w:rsidRDefault="009B4A78" w:rsidP="00984F70">
      <w:pPr>
        <w:tabs>
          <w:tab w:val="num" w:pos="709"/>
        </w:tabs>
        <w:jc w:val="both"/>
        <w:rPr>
          <w:rFonts w:ascii="Arial" w:hAnsi="Arial" w:cs="Arial"/>
          <w:bCs/>
          <w:sz w:val="20"/>
        </w:rPr>
      </w:pPr>
    </w:p>
    <w:p w14:paraId="1EBDB105" w14:textId="77777777"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Against this background, the global IP system faces significant challenges.  Policymakers need to respond to an ever rising demand for IP rights, new technologies and business models and the need for fostering an international framework that promotes balanced IP protection.  For policymakers in developing countries special challenges exist in tailoring IP policy to the needs of their economies, taking into account different resource endowments and different industrial structures.</w:t>
      </w:r>
    </w:p>
    <w:p w14:paraId="6E3CE05C" w14:textId="77777777" w:rsidR="009B4A78" w:rsidRPr="009B4A78" w:rsidRDefault="009B4A78" w:rsidP="00984F70">
      <w:pPr>
        <w:tabs>
          <w:tab w:val="num" w:pos="709"/>
        </w:tabs>
        <w:jc w:val="both"/>
        <w:rPr>
          <w:rFonts w:ascii="Arial" w:hAnsi="Arial" w:cs="Arial"/>
          <w:bCs/>
          <w:sz w:val="20"/>
        </w:rPr>
      </w:pPr>
    </w:p>
    <w:p w14:paraId="30781791" w14:textId="77777777"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Thus, there are two objectives: first, to provide accurate, comprehensive and timely statistical information on the performance of the IP system worldwide; and second, to provide high quality empirical analysis in support of evidence-based policymaking.</w:t>
      </w:r>
    </w:p>
    <w:p w14:paraId="0A2CEFF8" w14:textId="77777777" w:rsidR="009B4A78" w:rsidRPr="009B4A78" w:rsidRDefault="009B4A78" w:rsidP="00984F70">
      <w:pPr>
        <w:tabs>
          <w:tab w:val="num" w:pos="709"/>
        </w:tabs>
        <w:jc w:val="both"/>
        <w:rPr>
          <w:rFonts w:ascii="Arial" w:hAnsi="Arial" w:cs="Arial"/>
          <w:bCs/>
          <w:sz w:val="20"/>
        </w:rPr>
      </w:pPr>
    </w:p>
    <w:p w14:paraId="78FEABD9" w14:textId="77777777" w:rsidR="009B4A78" w:rsidRPr="009B4A78" w:rsidRDefault="009B4A78" w:rsidP="00984F70">
      <w:pPr>
        <w:tabs>
          <w:tab w:val="num" w:pos="709"/>
        </w:tabs>
        <w:jc w:val="both"/>
        <w:rPr>
          <w:rFonts w:ascii="Arial" w:hAnsi="Arial" w:cs="Arial"/>
          <w:bCs/>
        </w:rPr>
      </w:pPr>
    </w:p>
    <w:p w14:paraId="5D138ADB" w14:textId="77777777" w:rsidR="009B4A78" w:rsidRPr="009B4A78" w:rsidRDefault="009B4A78" w:rsidP="00984F70">
      <w:pPr>
        <w:tabs>
          <w:tab w:val="num" w:pos="709"/>
        </w:tabs>
        <w:jc w:val="both"/>
        <w:rPr>
          <w:rFonts w:ascii="Arial" w:hAnsi="Arial" w:cs="Arial"/>
          <w:bCs/>
        </w:rPr>
      </w:pPr>
      <w:r w:rsidRPr="009B4A78">
        <w:rPr>
          <w:rFonts w:ascii="Arial" w:hAnsi="Arial" w:cs="Arial"/>
          <w:bCs/>
        </w:rPr>
        <w:t>IMPLEMENTATION STRATEGIES</w:t>
      </w:r>
    </w:p>
    <w:p w14:paraId="51C2EA78" w14:textId="77777777" w:rsidR="009B4A78" w:rsidRPr="009B4A78" w:rsidRDefault="009B4A78" w:rsidP="00984F70">
      <w:pPr>
        <w:tabs>
          <w:tab w:val="num" w:pos="709"/>
        </w:tabs>
        <w:jc w:val="both"/>
        <w:rPr>
          <w:rFonts w:ascii="Arial" w:hAnsi="Arial" w:cs="Arial"/>
          <w:bCs/>
          <w:sz w:val="20"/>
        </w:rPr>
      </w:pPr>
    </w:p>
    <w:p w14:paraId="3DA9E18C" w14:textId="13A73C9F"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 xml:space="preserve">In the area of IP statistics, WIPO works with national and regional IP offices in collecting data on IP activity worldwide through its annual statistics survey.  The statistics on the WIPO-administered filing treaties are generated in-house. WIPO’s statistical flagship publication – the World Intellectual Property Indicators – will continue to summarize the main statistical trends in the area of patents, utility models, trademarks, industrial designs and plant varieties. Separate statistical publications will report on the performance of the PCT, Madrid, and the Hague </w:t>
      </w:r>
      <w:r w:rsidR="00A21D1B">
        <w:rPr>
          <w:rFonts w:ascii="Arial" w:hAnsi="Arial" w:cs="Arial"/>
          <w:bCs/>
          <w:sz w:val="20"/>
        </w:rPr>
        <w:t>S</w:t>
      </w:r>
      <w:r w:rsidRPr="009B4A78">
        <w:rPr>
          <w:rFonts w:ascii="Arial" w:hAnsi="Arial" w:cs="Arial"/>
          <w:bCs/>
          <w:sz w:val="20"/>
        </w:rPr>
        <w:t>ystems.  The IP Statistics Data Center will continue to make available all statistics to users worldwide. In light of the priorities identified above, the Program will make special efforts to collect and report new statistics on geographical indications</w:t>
      </w:r>
      <w:r w:rsidR="00A21D1B">
        <w:rPr>
          <w:rFonts w:ascii="Arial" w:hAnsi="Arial" w:cs="Arial"/>
          <w:bCs/>
          <w:sz w:val="20"/>
        </w:rPr>
        <w:t xml:space="preserve">, </w:t>
      </w:r>
      <w:r w:rsidR="002B6D96">
        <w:rPr>
          <w:rFonts w:ascii="Arial" w:hAnsi="Arial" w:cs="Arial"/>
          <w:bCs/>
          <w:sz w:val="20"/>
        </w:rPr>
        <w:t>collective and certification trademarks</w:t>
      </w:r>
      <w:r w:rsidR="00A21D1B">
        <w:rPr>
          <w:rFonts w:ascii="Arial" w:hAnsi="Arial" w:cs="Arial"/>
          <w:bCs/>
          <w:sz w:val="20"/>
        </w:rPr>
        <w:t>,</w:t>
      </w:r>
      <w:r w:rsidRPr="009B4A78">
        <w:rPr>
          <w:rFonts w:ascii="Arial" w:hAnsi="Arial" w:cs="Arial"/>
          <w:bCs/>
          <w:sz w:val="20"/>
        </w:rPr>
        <w:t xml:space="preserve"> and copyright-related activities and to further improve the user-friendliness of WIPO statistics.</w:t>
      </w:r>
    </w:p>
    <w:p w14:paraId="393E9D8A" w14:textId="77777777" w:rsidR="009B4A78" w:rsidRPr="009B4A78" w:rsidRDefault="009B4A78" w:rsidP="00984F70">
      <w:pPr>
        <w:tabs>
          <w:tab w:val="num" w:pos="709"/>
        </w:tabs>
        <w:jc w:val="both"/>
        <w:rPr>
          <w:rFonts w:ascii="Arial" w:hAnsi="Arial" w:cs="Arial"/>
          <w:bCs/>
          <w:sz w:val="20"/>
        </w:rPr>
      </w:pPr>
    </w:p>
    <w:p w14:paraId="322E7D44" w14:textId="0567BDA4"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 xml:space="preserve">In the area of economic analysis, WIPO will continue to be a co-publisher of the Global Innovation Index (GII), seeking to contribute to the measurement of innovation and providing policymakers with </w:t>
      </w:r>
      <w:r w:rsidR="002B6D96">
        <w:rPr>
          <w:rFonts w:ascii="Arial" w:hAnsi="Arial" w:cs="Arial"/>
          <w:bCs/>
          <w:sz w:val="20"/>
        </w:rPr>
        <w:t>information on</w:t>
      </w:r>
      <w:r w:rsidR="002B6D96" w:rsidRPr="009B4A78">
        <w:rPr>
          <w:rFonts w:ascii="Arial" w:hAnsi="Arial" w:cs="Arial"/>
          <w:bCs/>
          <w:sz w:val="20"/>
        </w:rPr>
        <w:t xml:space="preserve"> </w:t>
      </w:r>
      <w:r w:rsidRPr="009B4A78">
        <w:rPr>
          <w:rFonts w:ascii="Arial" w:hAnsi="Arial" w:cs="Arial"/>
          <w:bCs/>
          <w:sz w:val="20"/>
        </w:rPr>
        <w:t xml:space="preserve">innovation performance.  </w:t>
      </w:r>
      <w:r w:rsidR="002B6D96">
        <w:rPr>
          <w:rFonts w:ascii="Arial" w:hAnsi="Arial" w:cs="Arial"/>
          <w:bCs/>
          <w:sz w:val="20"/>
        </w:rPr>
        <w:t>WIPO will continue to seek feedback from Member States on how to improve the Index.</w:t>
      </w:r>
      <w:r w:rsidR="00A21D1B">
        <w:rPr>
          <w:rFonts w:ascii="Arial" w:hAnsi="Arial" w:cs="Arial"/>
          <w:bCs/>
          <w:sz w:val="20"/>
        </w:rPr>
        <w:t xml:space="preserve">  </w:t>
      </w:r>
      <w:r w:rsidRPr="009B4A78">
        <w:rPr>
          <w:rFonts w:ascii="Arial" w:hAnsi="Arial" w:cs="Arial"/>
          <w:bCs/>
          <w:sz w:val="20"/>
        </w:rPr>
        <w:t>WIPO’s World Intellectual Property Report series will equally continue, seeking to explore new themes and deepen the analysis on global IP topics provided to date.  In addition, the Program will seek to establish a new line of research on policy and performance in the creative economy.</w:t>
      </w:r>
      <w:r w:rsidR="00D86441">
        <w:rPr>
          <w:rFonts w:ascii="Arial" w:hAnsi="Arial" w:cs="Arial"/>
          <w:bCs/>
          <w:sz w:val="20"/>
        </w:rPr>
        <w:t xml:space="preserve">  In implementing this new line of research, the Program will collaborate closely with Program 3.</w:t>
      </w:r>
      <w:r w:rsidRPr="009B4A78">
        <w:rPr>
          <w:rFonts w:ascii="Arial" w:hAnsi="Arial" w:cs="Arial"/>
          <w:bCs/>
          <w:sz w:val="20"/>
        </w:rPr>
        <w:t xml:space="preserve">  </w:t>
      </w:r>
      <w:r w:rsidR="002B6D96">
        <w:rPr>
          <w:rFonts w:ascii="Arial" w:hAnsi="Arial" w:cs="Arial"/>
          <w:bCs/>
          <w:sz w:val="20"/>
        </w:rPr>
        <w:t xml:space="preserve"> </w:t>
      </w:r>
    </w:p>
    <w:p w14:paraId="3C887424" w14:textId="77777777" w:rsidR="009B4A78" w:rsidRPr="009B4A78" w:rsidRDefault="009B4A78" w:rsidP="00984F70">
      <w:pPr>
        <w:tabs>
          <w:tab w:val="num" w:pos="709"/>
        </w:tabs>
        <w:jc w:val="both"/>
        <w:rPr>
          <w:rFonts w:ascii="Arial" w:hAnsi="Arial" w:cs="Arial"/>
          <w:bCs/>
          <w:sz w:val="20"/>
        </w:rPr>
      </w:pPr>
    </w:p>
    <w:p w14:paraId="59DC6C22" w14:textId="77777777"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 xml:space="preserve">As in the past, the Program will stand ready to respond to requests for economic analysis from WIPO committees.  Finally, the study work in developing countries, as part of a DA project, will be extended to four to five new countries. Responding to the needs of Member States, these studies will continue to be informed by the relevant DA Recommendations, especially Recommendations 34, 35, 37, and 39, and provide empirical input into understanding the economic effects of different IP policy choices.  </w:t>
      </w:r>
    </w:p>
    <w:p w14:paraId="782D3322" w14:textId="77777777" w:rsidR="009B4A78" w:rsidRPr="009B4A78" w:rsidRDefault="009B4A78" w:rsidP="00984F70">
      <w:pPr>
        <w:tabs>
          <w:tab w:val="num" w:pos="709"/>
        </w:tabs>
        <w:jc w:val="both"/>
        <w:rPr>
          <w:rFonts w:ascii="Arial" w:hAnsi="Arial" w:cs="Arial"/>
          <w:bCs/>
          <w:sz w:val="20"/>
        </w:rPr>
      </w:pPr>
    </w:p>
    <w:p w14:paraId="790F96EF" w14:textId="77777777"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To promote high quality economic analysis and to maximize synergies, WIPO will draw on its wide international network of academic economists and continue to coordinate the global network of IP office economists.</w:t>
      </w:r>
    </w:p>
    <w:p w14:paraId="661E4B21" w14:textId="77777777" w:rsidR="009B4A78" w:rsidRDefault="009B4A78" w:rsidP="00984F70">
      <w:pPr>
        <w:tabs>
          <w:tab w:val="num" w:pos="709"/>
        </w:tabs>
        <w:jc w:val="both"/>
        <w:rPr>
          <w:rFonts w:ascii="Arial" w:hAnsi="Arial" w:cs="Arial"/>
          <w:bCs/>
          <w:sz w:val="20"/>
        </w:rPr>
      </w:pPr>
    </w:p>
    <w:p w14:paraId="60B62260" w14:textId="4EFCC45B" w:rsidR="007A5A68" w:rsidRPr="00D86441" w:rsidRDefault="007A5A68" w:rsidP="00B66A4A">
      <w:pPr>
        <w:keepNext/>
        <w:keepLines/>
        <w:numPr>
          <w:ilvl w:val="0"/>
          <w:numId w:val="19"/>
        </w:numPr>
        <w:jc w:val="both"/>
        <w:rPr>
          <w:rFonts w:ascii="Arial" w:hAnsi="Arial" w:cs="Arial"/>
          <w:bCs/>
          <w:sz w:val="20"/>
        </w:rPr>
      </w:pPr>
      <w:r w:rsidRPr="00B70B7D">
        <w:rPr>
          <w:rFonts w:ascii="Arial" w:hAnsi="Arial" w:cs="Arial"/>
          <w:bCs/>
          <w:sz w:val="20"/>
        </w:rPr>
        <w:lastRenderedPageBreak/>
        <w:t>Program 1</w:t>
      </w:r>
      <w:r>
        <w:rPr>
          <w:rFonts w:ascii="Arial" w:hAnsi="Arial" w:cs="Arial"/>
          <w:bCs/>
          <w:sz w:val="20"/>
        </w:rPr>
        <w:t>6</w:t>
      </w:r>
      <w:r w:rsidRPr="00B70B7D">
        <w:rPr>
          <w:rFonts w:ascii="Arial" w:hAnsi="Arial" w:cs="Arial"/>
          <w:bCs/>
          <w:sz w:val="20"/>
        </w:rPr>
        <w:t xml:space="preserve"> collaborates primarily with other Programs as illustrated below</w:t>
      </w:r>
      <w:r w:rsidRPr="00D86441">
        <w:rPr>
          <w:rFonts w:ascii="Arial" w:hAnsi="Arial" w:cs="Arial"/>
          <w:bCs/>
          <w:sz w:val="20"/>
        </w:rPr>
        <w:t xml:space="preserve">: </w:t>
      </w:r>
    </w:p>
    <w:p w14:paraId="646DBB45" w14:textId="77777777" w:rsidR="007A5A68" w:rsidRDefault="007A5A68" w:rsidP="00DF28E6">
      <w:pPr>
        <w:keepNext/>
        <w:keepLines/>
        <w:tabs>
          <w:tab w:val="num" w:pos="709"/>
        </w:tabs>
        <w:jc w:val="both"/>
        <w:rPr>
          <w:rFonts w:ascii="Arial" w:hAnsi="Arial" w:cs="Arial"/>
          <w:bCs/>
          <w:sz w:val="20"/>
        </w:rPr>
      </w:pPr>
    </w:p>
    <w:p w14:paraId="6024EFBC" w14:textId="77E3022F" w:rsidR="00F850AF" w:rsidRDefault="007B5015" w:rsidP="00DF28E6">
      <w:pPr>
        <w:keepNext/>
        <w:keepLines/>
        <w:tabs>
          <w:tab w:val="num" w:pos="709"/>
        </w:tabs>
        <w:jc w:val="both"/>
        <w:rPr>
          <w:rFonts w:ascii="Arial" w:hAnsi="Arial" w:cs="Arial"/>
          <w:bCs/>
          <w:sz w:val="20"/>
        </w:rPr>
      </w:pPr>
      <w:r>
        <w:rPr>
          <w:noProof/>
          <w:lang w:eastAsia="en-US"/>
        </w:rPr>
        <w:drawing>
          <wp:inline distT="0" distB="0" distL="0" distR="0" wp14:anchorId="51D8663C" wp14:editId="4B0D2CFB">
            <wp:extent cx="5760085" cy="2258197"/>
            <wp:effectExtent l="0" t="0" r="0" b="0"/>
            <wp:docPr id="977" name="Diagram 9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1" r:lo="rId152" r:qs="rId153" r:cs="rId154"/>
              </a:graphicData>
            </a:graphic>
          </wp:inline>
        </w:drawing>
      </w:r>
    </w:p>
    <w:p w14:paraId="33351804" w14:textId="108E971A" w:rsidR="009B4A78" w:rsidRPr="009B4A78" w:rsidRDefault="009B4A78" w:rsidP="00DF28E6">
      <w:pPr>
        <w:keepNext/>
        <w:keepLines/>
        <w:tabs>
          <w:tab w:val="num" w:pos="709"/>
        </w:tabs>
        <w:jc w:val="both"/>
        <w:rPr>
          <w:rFonts w:ascii="Arial" w:hAnsi="Arial" w:cs="Arial"/>
          <w:bCs/>
        </w:rPr>
      </w:pPr>
    </w:p>
    <w:p w14:paraId="16E721EE" w14:textId="77777777" w:rsidR="009B4A78" w:rsidRPr="009B4A78" w:rsidRDefault="009B4A78" w:rsidP="00984F70">
      <w:pPr>
        <w:tabs>
          <w:tab w:val="num" w:pos="709"/>
        </w:tabs>
        <w:jc w:val="both"/>
        <w:rPr>
          <w:rFonts w:ascii="Arial" w:hAnsi="Arial" w:cs="Arial"/>
          <w:bCs/>
        </w:rPr>
      </w:pPr>
    </w:p>
    <w:p w14:paraId="3C0D5E16" w14:textId="77777777" w:rsidR="009B4A78" w:rsidRPr="009B4A78" w:rsidRDefault="009B4A78" w:rsidP="00984F70">
      <w:pPr>
        <w:rPr>
          <w:rFonts w:ascii="Arial" w:hAnsi="Arial" w:cs="Arial"/>
        </w:rPr>
      </w:pPr>
      <w:r w:rsidRPr="009B4A78">
        <w:rPr>
          <w:rFonts w:ascii="Arial" w:hAnsi="Arial" w:cs="Arial"/>
        </w:rPr>
        <w:t>MAJOR RISKS AND MITIGATION STRATEGIES</w:t>
      </w:r>
    </w:p>
    <w:p w14:paraId="67DF356D" w14:textId="77777777" w:rsidR="009B4A78" w:rsidRPr="009B4A78" w:rsidRDefault="009B4A78" w:rsidP="00984F70">
      <w:pPr>
        <w:rPr>
          <w:rFonts w:ascii="Arial" w:hAnsi="Arial" w:cs="Aria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9B4A78" w:rsidRPr="009B4A78" w14:paraId="73357221" w14:textId="77777777" w:rsidTr="008B0282">
        <w:trPr>
          <w:trHeight w:val="484"/>
        </w:trPr>
        <w:tc>
          <w:tcPr>
            <w:tcW w:w="4253" w:type="dxa"/>
            <w:tcBorders>
              <w:top w:val="single" w:sz="4" w:space="0" w:color="auto"/>
              <w:bottom w:val="single" w:sz="4" w:space="0" w:color="auto"/>
            </w:tcBorders>
            <w:shd w:val="clear" w:color="auto" w:fill="C6D9F1" w:themeFill="text2" w:themeFillTint="33"/>
            <w:vAlign w:val="center"/>
          </w:tcPr>
          <w:p w14:paraId="791182B7" w14:textId="77777777" w:rsidR="009B4A78" w:rsidRPr="009B4A78" w:rsidRDefault="009B4A78" w:rsidP="00984F70">
            <w:pPr>
              <w:keepNext/>
              <w:keepLines/>
              <w:jc w:val="center"/>
              <w:rPr>
                <w:rFonts w:ascii="Arial" w:hAnsi="Arial" w:cs="Arial"/>
                <w:b/>
                <w:bCs/>
                <w:sz w:val="18"/>
                <w:szCs w:val="18"/>
              </w:rPr>
            </w:pPr>
            <w:r w:rsidRPr="009B4A78">
              <w:rPr>
                <w:rFonts w:ascii="Arial" w:hAnsi="Arial" w:cs="Arial"/>
                <w:b/>
                <w:bCs/>
                <w:sz w:val="18"/>
                <w:szCs w:val="18"/>
              </w:rPr>
              <w:t>Risk</w:t>
            </w:r>
          </w:p>
        </w:tc>
        <w:tc>
          <w:tcPr>
            <w:tcW w:w="4961" w:type="dxa"/>
            <w:tcBorders>
              <w:top w:val="single" w:sz="4" w:space="0" w:color="auto"/>
              <w:bottom w:val="single" w:sz="4" w:space="0" w:color="auto"/>
            </w:tcBorders>
            <w:shd w:val="clear" w:color="auto" w:fill="C6D9F1" w:themeFill="text2" w:themeFillTint="33"/>
            <w:vAlign w:val="center"/>
          </w:tcPr>
          <w:p w14:paraId="2FD0AACE" w14:textId="77777777" w:rsidR="009B4A78" w:rsidRPr="009B4A78" w:rsidRDefault="009B4A78" w:rsidP="00984F70">
            <w:pPr>
              <w:keepNext/>
              <w:keepLines/>
              <w:jc w:val="center"/>
              <w:rPr>
                <w:rFonts w:ascii="Arial" w:hAnsi="Arial" w:cs="Arial"/>
                <w:b/>
                <w:bCs/>
                <w:sz w:val="18"/>
                <w:szCs w:val="18"/>
              </w:rPr>
            </w:pPr>
            <w:r w:rsidRPr="009B4A78">
              <w:rPr>
                <w:rFonts w:ascii="Arial" w:hAnsi="Arial" w:cs="Arial"/>
                <w:b/>
                <w:bCs/>
                <w:sz w:val="18"/>
                <w:szCs w:val="18"/>
              </w:rPr>
              <w:t>Mitigation</w:t>
            </w:r>
          </w:p>
        </w:tc>
      </w:tr>
      <w:tr w:rsidR="009B4A78" w:rsidRPr="009B4A78" w14:paraId="1EAB11DE" w14:textId="77777777" w:rsidTr="008B0282">
        <w:trPr>
          <w:trHeight w:val="350"/>
        </w:trPr>
        <w:tc>
          <w:tcPr>
            <w:tcW w:w="4253" w:type="dxa"/>
            <w:tcBorders>
              <w:top w:val="single" w:sz="4" w:space="0" w:color="auto"/>
              <w:left w:val="single" w:sz="4" w:space="0" w:color="auto"/>
              <w:bottom w:val="nil"/>
              <w:right w:val="nil"/>
            </w:tcBorders>
            <w:shd w:val="clear" w:color="auto" w:fill="auto"/>
            <w:tcMar>
              <w:top w:w="113" w:type="dxa"/>
              <w:bottom w:w="113" w:type="dxa"/>
            </w:tcMar>
          </w:tcPr>
          <w:p w14:paraId="64685F43" w14:textId="77777777" w:rsidR="009B4A78" w:rsidRPr="009B4A78" w:rsidRDefault="009B4A78" w:rsidP="00984F70">
            <w:pPr>
              <w:keepNext/>
              <w:keepLines/>
              <w:rPr>
                <w:rFonts w:ascii="Arial" w:hAnsi="Arial" w:cs="Arial"/>
                <w:sz w:val="16"/>
                <w:szCs w:val="16"/>
              </w:rPr>
            </w:pPr>
            <w:r w:rsidRPr="009B4A78">
              <w:rPr>
                <w:rFonts w:ascii="Arial" w:hAnsi="Arial" w:cs="Arial"/>
                <w:color w:val="000000"/>
                <w:sz w:val="16"/>
              </w:rPr>
              <w:t>Publication of incomplete statistical information (WIPI).</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14:paraId="131B702C" w14:textId="77777777" w:rsidR="009B4A78" w:rsidRPr="009B4A78" w:rsidRDefault="009B4A78" w:rsidP="00984F70">
            <w:pPr>
              <w:keepNext/>
              <w:keepLines/>
              <w:rPr>
                <w:rFonts w:ascii="Arial" w:hAnsi="Arial" w:cs="Arial"/>
                <w:sz w:val="16"/>
                <w:szCs w:val="16"/>
              </w:rPr>
            </w:pPr>
            <w:r w:rsidRPr="009B4A78">
              <w:rPr>
                <w:rFonts w:ascii="Arial" w:hAnsi="Arial" w:cs="Arial"/>
                <w:color w:val="000000"/>
                <w:sz w:val="16"/>
              </w:rPr>
              <w:t>Provide sufficient time for response, and contribute to building statistical capacity at the national level.</w:t>
            </w:r>
          </w:p>
        </w:tc>
      </w:tr>
      <w:tr w:rsidR="009B4A78" w:rsidRPr="009B4A78" w14:paraId="285C0189" w14:textId="77777777" w:rsidTr="008B0282">
        <w:trPr>
          <w:trHeight w:val="625"/>
        </w:trPr>
        <w:tc>
          <w:tcPr>
            <w:tcW w:w="4253" w:type="dxa"/>
            <w:tcBorders>
              <w:top w:val="nil"/>
              <w:left w:val="single" w:sz="4" w:space="0" w:color="auto"/>
              <w:bottom w:val="single" w:sz="4" w:space="0" w:color="auto"/>
              <w:right w:val="nil"/>
            </w:tcBorders>
            <w:shd w:val="clear" w:color="auto" w:fill="auto"/>
            <w:tcMar>
              <w:top w:w="113" w:type="dxa"/>
              <w:bottom w:w="113" w:type="dxa"/>
            </w:tcMar>
          </w:tcPr>
          <w:p w14:paraId="23D928DF" w14:textId="77777777" w:rsidR="009B4A78" w:rsidRPr="009B4A78" w:rsidRDefault="009B4A78" w:rsidP="00984F70">
            <w:pPr>
              <w:keepNext/>
              <w:keepLines/>
              <w:rPr>
                <w:rFonts w:ascii="Arial" w:hAnsi="Arial" w:cs="Arial"/>
                <w:sz w:val="16"/>
                <w:szCs w:val="16"/>
              </w:rPr>
            </w:pPr>
            <w:r w:rsidRPr="009B4A78">
              <w:rPr>
                <w:rFonts w:ascii="Arial" w:hAnsi="Arial" w:cs="Arial"/>
                <w:color w:val="000000"/>
                <w:sz w:val="16"/>
              </w:rPr>
              <w:t xml:space="preserve">WIPO publications misreport statistical data or reflect analytical shortcomings. </w:t>
            </w:r>
          </w:p>
        </w:tc>
        <w:tc>
          <w:tcPr>
            <w:tcW w:w="4961" w:type="dxa"/>
            <w:tcBorders>
              <w:top w:val="nil"/>
              <w:left w:val="nil"/>
              <w:bottom w:val="single" w:sz="4" w:space="0" w:color="auto"/>
              <w:right w:val="single" w:sz="4" w:space="0" w:color="auto"/>
            </w:tcBorders>
            <w:shd w:val="clear" w:color="auto" w:fill="auto"/>
            <w:tcMar>
              <w:top w:w="113" w:type="dxa"/>
              <w:bottom w:w="113" w:type="dxa"/>
            </w:tcMar>
          </w:tcPr>
          <w:p w14:paraId="5D01C7D4" w14:textId="77777777" w:rsidR="009B4A78" w:rsidRPr="009B4A78" w:rsidRDefault="009B4A78" w:rsidP="00984F70">
            <w:pPr>
              <w:keepNext/>
              <w:keepLines/>
              <w:rPr>
                <w:rFonts w:ascii="Arial" w:hAnsi="Arial" w:cs="Arial"/>
                <w:sz w:val="16"/>
                <w:szCs w:val="16"/>
              </w:rPr>
            </w:pPr>
            <w:r w:rsidRPr="009B4A78">
              <w:rPr>
                <w:rFonts w:ascii="Arial" w:hAnsi="Arial" w:cs="Arial"/>
                <w:color w:val="000000"/>
                <w:sz w:val="16"/>
              </w:rPr>
              <w:t>Control mechanisms are instituted that identify data inconsistencies during the collection of IP statistics; all statistical publications are carefully reviewed by statistical experts and relevant WIPO sectors;  all analytical publications are externally peer reviewed.</w:t>
            </w:r>
          </w:p>
        </w:tc>
      </w:tr>
    </w:tbl>
    <w:p w14:paraId="6CB39F5C" w14:textId="77777777" w:rsidR="009B4A78" w:rsidRPr="009B4A78" w:rsidRDefault="009B4A78" w:rsidP="00984F70">
      <w:pPr>
        <w:spacing w:after="200" w:line="276" w:lineRule="auto"/>
        <w:rPr>
          <w:rFonts w:ascii="Arial" w:hAnsi="Arial" w:cs="Arial"/>
        </w:rPr>
      </w:pPr>
    </w:p>
    <w:p w14:paraId="41F58E46" w14:textId="77777777" w:rsidR="009B4A78" w:rsidRPr="009B4A78" w:rsidRDefault="009B4A78" w:rsidP="00984F70">
      <w:pPr>
        <w:jc w:val="both"/>
        <w:rPr>
          <w:rFonts w:ascii="Arial" w:hAnsi="Arial" w:cs="Arial"/>
          <w:bCs/>
        </w:rPr>
      </w:pPr>
      <w:r w:rsidRPr="009B4A78">
        <w:rPr>
          <w:rFonts w:ascii="Arial" w:hAnsi="Arial" w:cs="Arial"/>
          <w:bCs/>
        </w:rPr>
        <w:t>RESULTS FRAMEWORK</w:t>
      </w:r>
    </w:p>
    <w:p w14:paraId="045FE508" w14:textId="77777777" w:rsidR="009B4A78" w:rsidRPr="009B4A78" w:rsidRDefault="009B4A78" w:rsidP="00984F70">
      <w:pPr>
        <w:jc w:val="both"/>
        <w:rPr>
          <w:rFonts w:ascii="Arial" w:hAnsi="Arial" w:cs="Arial"/>
          <w:bCs/>
        </w:rPr>
      </w:pPr>
    </w:p>
    <w:tbl>
      <w:tblPr>
        <w:tblW w:w="9371" w:type="dxa"/>
        <w:tblInd w:w="93" w:type="dxa"/>
        <w:tblLook w:val="04A0" w:firstRow="1" w:lastRow="0" w:firstColumn="1" w:lastColumn="0" w:noHBand="0" w:noVBand="1"/>
      </w:tblPr>
      <w:tblGrid>
        <w:gridCol w:w="2460"/>
        <w:gridCol w:w="3367"/>
        <w:gridCol w:w="1701"/>
        <w:gridCol w:w="1843"/>
      </w:tblGrid>
      <w:tr w:rsidR="009B4A78" w:rsidRPr="009B4A78" w14:paraId="78A4F410" w14:textId="77777777" w:rsidTr="008D4CE9">
        <w:trPr>
          <w:trHeight w:val="492"/>
        </w:trPr>
        <w:tc>
          <w:tcPr>
            <w:tcW w:w="2460" w:type="dxa"/>
            <w:tcBorders>
              <w:top w:val="single" w:sz="4" w:space="0" w:color="auto"/>
              <w:left w:val="single" w:sz="4" w:space="0" w:color="auto"/>
              <w:bottom w:val="single" w:sz="4" w:space="0" w:color="auto"/>
              <w:right w:val="nil"/>
            </w:tcBorders>
            <w:shd w:val="clear" w:color="auto" w:fill="C6D9F1" w:themeFill="text2" w:themeFillTint="33"/>
            <w:noWrap/>
            <w:vAlign w:val="center"/>
            <w:hideMark/>
          </w:tcPr>
          <w:p w14:paraId="6DE20FF6" w14:textId="77777777" w:rsidR="009B4A78" w:rsidRPr="009B4A78" w:rsidRDefault="009B4A78" w:rsidP="00984F70">
            <w:pPr>
              <w:jc w:val="center"/>
              <w:rPr>
                <w:rFonts w:ascii="Arial" w:hAnsi="Arial" w:cs="Arial"/>
                <w:b/>
                <w:bCs/>
                <w:color w:val="000000"/>
                <w:sz w:val="18"/>
                <w:szCs w:val="18"/>
              </w:rPr>
            </w:pPr>
            <w:r w:rsidRPr="009B4A78">
              <w:rPr>
                <w:rFonts w:ascii="Arial" w:hAnsi="Arial" w:cs="Arial"/>
                <w:b/>
                <w:bCs/>
                <w:color w:val="000000"/>
                <w:sz w:val="18"/>
                <w:szCs w:val="18"/>
              </w:rPr>
              <w:t xml:space="preserve">Expected Results </w:t>
            </w:r>
          </w:p>
        </w:tc>
        <w:tc>
          <w:tcPr>
            <w:tcW w:w="3367" w:type="dxa"/>
            <w:tcBorders>
              <w:top w:val="single" w:sz="4" w:space="0" w:color="auto"/>
              <w:left w:val="nil"/>
              <w:bottom w:val="single" w:sz="4" w:space="0" w:color="auto"/>
              <w:right w:val="nil"/>
            </w:tcBorders>
            <w:shd w:val="clear" w:color="auto" w:fill="C6D9F1" w:themeFill="text2" w:themeFillTint="33"/>
            <w:noWrap/>
            <w:vAlign w:val="center"/>
            <w:hideMark/>
          </w:tcPr>
          <w:p w14:paraId="148B4914" w14:textId="77777777" w:rsidR="009B4A78" w:rsidRPr="009B4A78" w:rsidRDefault="009B4A78" w:rsidP="00984F70">
            <w:pPr>
              <w:jc w:val="center"/>
              <w:rPr>
                <w:rFonts w:ascii="Arial" w:hAnsi="Arial" w:cs="Arial"/>
                <w:b/>
                <w:bCs/>
                <w:color w:val="000000"/>
                <w:sz w:val="18"/>
                <w:szCs w:val="18"/>
              </w:rPr>
            </w:pPr>
            <w:r w:rsidRPr="009B4A78">
              <w:rPr>
                <w:rFonts w:ascii="Arial" w:hAnsi="Arial" w:cs="Arial"/>
                <w:b/>
                <w:bCs/>
                <w:color w:val="000000"/>
                <w:sz w:val="18"/>
                <w:szCs w:val="18"/>
              </w:rPr>
              <w:t>Performance Indicators</w:t>
            </w:r>
          </w:p>
        </w:tc>
        <w:tc>
          <w:tcPr>
            <w:tcW w:w="1701" w:type="dxa"/>
            <w:tcBorders>
              <w:top w:val="single" w:sz="4" w:space="0" w:color="auto"/>
              <w:left w:val="nil"/>
              <w:bottom w:val="single" w:sz="4" w:space="0" w:color="auto"/>
              <w:right w:val="nil"/>
            </w:tcBorders>
            <w:shd w:val="clear" w:color="auto" w:fill="C6D9F1" w:themeFill="text2" w:themeFillTint="33"/>
            <w:noWrap/>
            <w:vAlign w:val="center"/>
            <w:hideMark/>
          </w:tcPr>
          <w:p w14:paraId="3E7F4FB8" w14:textId="77777777" w:rsidR="009B4A78" w:rsidRPr="009B4A78" w:rsidRDefault="009B4A78" w:rsidP="00984F70">
            <w:pPr>
              <w:jc w:val="center"/>
              <w:rPr>
                <w:rFonts w:ascii="Arial" w:hAnsi="Arial" w:cs="Arial"/>
                <w:b/>
                <w:bCs/>
                <w:color w:val="000000"/>
                <w:sz w:val="18"/>
                <w:szCs w:val="18"/>
              </w:rPr>
            </w:pPr>
            <w:r w:rsidRPr="009B4A78">
              <w:rPr>
                <w:rFonts w:ascii="Arial" w:hAnsi="Arial" w:cs="Arial"/>
                <w:b/>
                <w:bCs/>
                <w:color w:val="000000"/>
                <w:sz w:val="18"/>
                <w:szCs w:val="18"/>
              </w:rPr>
              <w:t>Baselines</w:t>
            </w:r>
          </w:p>
        </w:tc>
        <w:tc>
          <w:tcPr>
            <w:tcW w:w="1843"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35221C50" w14:textId="77777777" w:rsidR="009B4A78" w:rsidRPr="009B4A78" w:rsidRDefault="009B4A78" w:rsidP="00984F70">
            <w:pPr>
              <w:jc w:val="center"/>
              <w:rPr>
                <w:rFonts w:ascii="Arial" w:hAnsi="Arial" w:cs="Arial"/>
                <w:b/>
                <w:bCs/>
                <w:color w:val="000000"/>
                <w:sz w:val="18"/>
                <w:szCs w:val="18"/>
              </w:rPr>
            </w:pPr>
            <w:r w:rsidRPr="009B4A78">
              <w:rPr>
                <w:rFonts w:ascii="Arial" w:hAnsi="Arial" w:cs="Arial"/>
                <w:b/>
                <w:bCs/>
                <w:color w:val="000000"/>
                <w:sz w:val="18"/>
                <w:szCs w:val="18"/>
              </w:rPr>
              <w:t>Targets</w:t>
            </w:r>
          </w:p>
        </w:tc>
      </w:tr>
      <w:tr w:rsidR="009B4A78" w:rsidRPr="009B4A78" w14:paraId="4B71F346" w14:textId="77777777" w:rsidTr="008D4CE9">
        <w:trPr>
          <w:trHeight w:val="698"/>
        </w:trPr>
        <w:tc>
          <w:tcPr>
            <w:tcW w:w="2460" w:type="dxa"/>
            <w:vMerge w:val="restart"/>
            <w:tcBorders>
              <w:top w:val="single" w:sz="4" w:space="0" w:color="auto"/>
              <w:left w:val="single" w:sz="4" w:space="0" w:color="auto"/>
              <w:bottom w:val="nil"/>
              <w:right w:val="nil"/>
            </w:tcBorders>
            <w:shd w:val="clear" w:color="000000" w:fill="FFFFFF"/>
            <w:hideMark/>
          </w:tcPr>
          <w:p w14:paraId="6B340332" w14:textId="77777777" w:rsidR="009B4A78" w:rsidRPr="009B4A78" w:rsidRDefault="009B4A78" w:rsidP="00984F70">
            <w:pPr>
              <w:rPr>
                <w:rFonts w:ascii="Arial" w:hAnsi="Arial" w:cs="Arial"/>
                <w:color w:val="000000"/>
                <w:sz w:val="16"/>
                <w:szCs w:val="16"/>
              </w:rPr>
            </w:pPr>
            <w:r w:rsidRPr="009B4A78">
              <w:rPr>
                <w:rFonts w:ascii="Arial" w:hAnsi="Arial" w:cs="Arial"/>
                <w:color w:val="000000"/>
                <w:sz w:val="16"/>
                <w:szCs w:val="16"/>
              </w:rPr>
              <w:br/>
              <w:t>V.1 Wider and better use of WIPO IP statistical information</w:t>
            </w:r>
          </w:p>
        </w:tc>
        <w:tc>
          <w:tcPr>
            <w:tcW w:w="3367" w:type="dxa"/>
            <w:tcBorders>
              <w:top w:val="single" w:sz="4" w:space="0" w:color="auto"/>
              <w:left w:val="nil"/>
              <w:bottom w:val="nil"/>
              <w:right w:val="nil"/>
            </w:tcBorders>
            <w:shd w:val="clear" w:color="000000" w:fill="FFFFFF"/>
            <w:hideMark/>
          </w:tcPr>
          <w:p w14:paraId="456B78E5" w14:textId="77777777" w:rsidR="009B4A78" w:rsidRPr="009B4A78" w:rsidRDefault="009B4A78" w:rsidP="008D4CE9">
            <w:pPr>
              <w:ind w:left="141" w:firstLineChars="23" w:firstLine="37"/>
              <w:rPr>
                <w:rFonts w:ascii="Arial" w:hAnsi="Arial" w:cs="Arial"/>
                <w:color w:val="000000"/>
                <w:sz w:val="16"/>
                <w:szCs w:val="16"/>
              </w:rPr>
            </w:pPr>
            <w:r w:rsidRPr="009B4A78">
              <w:rPr>
                <w:rFonts w:ascii="Arial" w:hAnsi="Arial" w:cs="Arial"/>
                <w:color w:val="000000"/>
                <w:sz w:val="16"/>
                <w:szCs w:val="16"/>
              </w:rPr>
              <w:br/>
              <w:t>No. of searches on IP Statistics Data Center</w:t>
            </w:r>
          </w:p>
        </w:tc>
        <w:tc>
          <w:tcPr>
            <w:tcW w:w="1701" w:type="dxa"/>
            <w:tcBorders>
              <w:top w:val="single" w:sz="4" w:space="0" w:color="auto"/>
              <w:left w:val="nil"/>
              <w:bottom w:val="nil"/>
              <w:right w:val="nil"/>
            </w:tcBorders>
            <w:shd w:val="clear" w:color="000000" w:fill="FFFFFF"/>
            <w:hideMark/>
          </w:tcPr>
          <w:p w14:paraId="4709BA0A" w14:textId="77777777" w:rsidR="009B4A78" w:rsidRPr="009B4A78" w:rsidRDefault="009B4A78" w:rsidP="008D4CE9">
            <w:pPr>
              <w:ind w:left="179"/>
              <w:rPr>
                <w:rFonts w:ascii="Arial" w:hAnsi="Arial" w:cs="Arial"/>
                <w:color w:val="000000"/>
                <w:sz w:val="16"/>
                <w:szCs w:val="16"/>
              </w:rPr>
            </w:pPr>
            <w:r w:rsidRPr="009B4A78">
              <w:rPr>
                <w:rFonts w:ascii="Arial" w:hAnsi="Arial" w:cs="Arial"/>
                <w:color w:val="000000"/>
                <w:sz w:val="16"/>
                <w:szCs w:val="16"/>
              </w:rPr>
              <w:br/>
              <w:t>tbd end 2015</w:t>
            </w:r>
          </w:p>
        </w:tc>
        <w:tc>
          <w:tcPr>
            <w:tcW w:w="1843" w:type="dxa"/>
            <w:tcBorders>
              <w:top w:val="single" w:sz="4" w:space="0" w:color="auto"/>
              <w:left w:val="nil"/>
              <w:bottom w:val="nil"/>
              <w:right w:val="single" w:sz="4" w:space="0" w:color="auto"/>
            </w:tcBorders>
            <w:shd w:val="clear" w:color="000000" w:fill="FFFFFF"/>
            <w:hideMark/>
          </w:tcPr>
          <w:p w14:paraId="5B32EB19" w14:textId="77777777" w:rsidR="009B4A78" w:rsidRPr="009B4A78" w:rsidRDefault="009B4A78" w:rsidP="00984F70">
            <w:pPr>
              <w:ind w:left="382" w:firstLineChars="50" w:firstLine="80"/>
              <w:rPr>
                <w:rFonts w:ascii="Arial" w:hAnsi="Arial" w:cs="Arial"/>
                <w:color w:val="000000"/>
                <w:sz w:val="16"/>
                <w:szCs w:val="16"/>
              </w:rPr>
            </w:pPr>
            <w:r w:rsidRPr="009B4A78">
              <w:rPr>
                <w:rFonts w:ascii="Arial" w:hAnsi="Arial" w:cs="Arial"/>
                <w:color w:val="000000"/>
                <w:sz w:val="16"/>
                <w:szCs w:val="16"/>
              </w:rPr>
              <w:br/>
              <w:t>tbd</w:t>
            </w:r>
          </w:p>
        </w:tc>
      </w:tr>
      <w:tr w:rsidR="009B4A78" w:rsidRPr="009B4A78" w14:paraId="3BDA002E" w14:textId="77777777" w:rsidTr="008D4CE9">
        <w:trPr>
          <w:trHeight w:val="574"/>
        </w:trPr>
        <w:tc>
          <w:tcPr>
            <w:tcW w:w="2460" w:type="dxa"/>
            <w:vMerge/>
            <w:tcBorders>
              <w:top w:val="nil"/>
              <w:left w:val="single" w:sz="4" w:space="0" w:color="auto"/>
              <w:bottom w:val="nil"/>
              <w:right w:val="nil"/>
            </w:tcBorders>
            <w:vAlign w:val="center"/>
            <w:hideMark/>
          </w:tcPr>
          <w:p w14:paraId="6D8EB26C" w14:textId="77777777" w:rsidR="009B4A78" w:rsidRPr="009B4A78" w:rsidRDefault="009B4A78" w:rsidP="00984F70">
            <w:pPr>
              <w:rPr>
                <w:rFonts w:ascii="Arial" w:hAnsi="Arial" w:cs="Arial"/>
                <w:color w:val="000000"/>
                <w:sz w:val="16"/>
                <w:szCs w:val="16"/>
              </w:rPr>
            </w:pPr>
          </w:p>
        </w:tc>
        <w:tc>
          <w:tcPr>
            <w:tcW w:w="3367" w:type="dxa"/>
            <w:tcBorders>
              <w:top w:val="nil"/>
              <w:left w:val="nil"/>
              <w:bottom w:val="nil"/>
              <w:right w:val="nil"/>
            </w:tcBorders>
            <w:shd w:val="clear" w:color="000000" w:fill="FFFFFF"/>
            <w:hideMark/>
          </w:tcPr>
          <w:p w14:paraId="165FCBF4" w14:textId="77777777" w:rsidR="009B4A78" w:rsidRPr="009B4A78" w:rsidRDefault="009B4A78" w:rsidP="008D4CE9">
            <w:pPr>
              <w:ind w:left="141"/>
              <w:rPr>
                <w:rFonts w:ascii="Arial" w:hAnsi="Arial" w:cs="Arial"/>
                <w:color w:val="000000"/>
                <w:sz w:val="16"/>
                <w:szCs w:val="16"/>
              </w:rPr>
            </w:pPr>
            <w:r w:rsidRPr="009B4A78">
              <w:rPr>
                <w:rFonts w:ascii="Arial" w:hAnsi="Arial" w:cs="Arial"/>
                <w:color w:val="000000"/>
                <w:sz w:val="16"/>
                <w:szCs w:val="16"/>
              </w:rPr>
              <w:t>No. of downloads of annual statistics reports within 6 months of their publication</w:t>
            </w:r>
          </w:p>
        </w:tc>
        <w:tc>
          <w:tcPr>
            <w:tcW w:w="1701" w:type="dxa"/>
            <w:tcBorders>
              <w:top w:val="nil"/>
              <w:left w:val="nil"/>
              <w:bottom w:val="nil"/>
              <w:right w:val="nil"/>
            </w:tcBorders>
            <w:shd w:val="clear" w:color="000000" w:fill="FFFFFF"/>
            <w:hideMark/>
          </w:tcPr>
          <w:p w14:paraId="742006B6" w14:textId="5202C5AD" w:rsidR="009B4A78" w:rsidRPr="009B4A78" w:rsidRDefault="009B4A78" w:rsidP="008D4CE9">
            <w:pPr>
              <w:ind w:left="179"/>
              <w:rPr>
                <w:rFonts w:ascii="Arial" w:hAnsi="Arial" w:cs="Arial"/>
                <w:color w:val="000000"/>
                <w:sz w:val="16"/>
                <w:szCs w:val="16"/>
              </w:rPr>
            </w:pPr>
            <w:r w:rsidRPr="009B4A78">
              <w:rPr>
                <w:rFonts w:ascii="Arial" w:hAnsi="Arial" w:cs="Arial"/>
                <w:color w:val="000000"/>
                <w:sz w:val="16"/>
                <w:szCs w:val="16"/>
              </w:rPr>
              <w:t>tbd</w:t>
            </w:r>
            <w:r w:rsidR="00764DA3">
              <w:rPr>
                <w:rStyle w:val="FootnoteReference"/>
                <w:rFonts w:ascii="Arial" w:hAnsi="Arial" w:cs="Arial"/>
                <w:color w:val="000000"/>
                <w:sz w:val="16"/>
                <w:szCs w:val="16"/>
              </w:rPr>
              <w:footnoteReference w:id="21"/>
            </w:r>
          </w:p>
        </w:tc>
        <w:tc>
          <w:tcPr>
            <w:tcW w:w="1843" w:type="dxa"/>
            <w:tcBorders>
              <w:top w:val="nil"/>
              <w:left w:val="nil"/>
              <w:bottom w:val="nil"/>
              <w:right w:val="single" w:sz="4" w:space="0" w:color="auto"/>
            </w:tcBorders>
            <w:shd w:val="clear" w:color="000000" w:fill="FFFFFF"/>
            <w:hideMark/>
          </w:tcPr>
          <w:p w14:paraId="0BAE615E" w14:textId="77777777" w:rsidR="009B4A78" w:rsidRPr="009B4A78" w:rsidRDefault="009B4A78" w:rsidP="00984F70">
            <w:pPr>
              <w:ind w:left="382"/>
              <w:rPr>
                <w:rFonts w:ascii="Arial" w:hAnsi="Arial" w:cs="Arial"/>
                <w:color w:val="000000"/>
                <w:sz w:val="16"/>
                <w:szCs w:val="16"/>
              </w:rPr>
            </w:pPr>
            <w:r w:rsidRPr="009B4A78">
              <w:rPr>
                <w:rFonts w:ascii="Arial" w:hAnsi="Arial" w:cs="Arial"/>
                <w:color w:val="000000"/>
                <w:sz w:val="16"/>
                <w:szCs w:val="16"/>
              </w:rPr>
              <w:t>tbd</w:t>
            </w:r>
          </w:p>
        </w:tc>
      </w:tr>
      <w:tr w:rsidR="009B4A78" w:rsidRPr="009B4A78" w14:paraId="31771D2D" w14:textId="77777777" w:rsidTr="008D4CE9">
        <w:trPr>
          <w:trHeight w:val="822"/>
        </w:trPr>
        <w:tc>
          <w:tcPr>
            <w:tcW w:w="2460" w:type="dxa"/>
            <w:vMerge/>
            <w:tcBorders>
              <w:top w:val="nil"/>
              <w:left w:val="single" w:sz="4" w:space="0" w:color="auto"/>
              <w:bottom w:val="nil"/>
              <w:right w:val="nil"/>
            </w:tcBorders>
            <w:vAlign w:val="center"/>
            <w:hideMark/>
          </w:tcPr>
          <w:p w14:paraId="3545C4EB" w14:textId="77777777" w:rsidR="009B4A78" w:rsidRPr="009B4A78" w:rsidRDefault="009B4A78" w:rsidP="00984F70">
            <w:pPr>
              <w:rPr>
                <w:rFonts w:ascii="Arial" w:hAnsi="Arial" w:cs="Arial"/>
                <w:color w:val="000000"/>
                <w:sz w:val="16"/>
                <w:szCs w:val="16"/>
              </w:rPr>
            </w:pPr>
          </w:p>
        </w:tc>
        <w:tc>
          <w:tcPr>
            <w:tcW w:w="3367" w:type="dxa"/>
            <w:tcBorders>
              <w:top w:val="nil"/>
              <w:left w:val="nil"/>
              <w:bottom w:val="nil"/>
              <w:right w:val="nil"/>
            </w:tcBorders>
            <w:shd w:val="clear" w:color="000000" w:fill="FFFFFF"/>
            <w:hideMark/>
          </w:tcPr>
          <w:p w14:paraId="50A04DE7" w14:textId="77777777" w:rsidR="009B4A78" w:rsidRPr="009B4A78" w:rsidRDefault="009B4A78" w:rsidP="008D4CE9">
            <w:pPr>
              <w:ind w:left="141"/>
              <w:rPr>
                <w:rFonts w:ascii="Arial" w:hAnsi="Arial" w:cs="Arial"/>
                <w:color w:val="000000"/>
                <w:sz w:val="16"/>
                <w:szCs w:val="16"/>
              </w:rPr>
            </w:pPr>
            <w:r w:rsidRPr="009B4A78">
              <w:rPr>
                <w:rFonts w:ascii="Arial" w:hAnsi="Arial" w:cs="Arial"/>
                <w:color w:val="000000"/>
                <w:sz w:val="16"/>
                <w:szCs w:val="16"/>
              </w:rPr>
              <w:t xml:space="preserve">Difference between January forecasts and actual numbers of PCT, Madrid, and Hague filings are within threshold ranges </w:t>
            </w:r>
          </w:p>
        </w:tc>
        <w:tc>
          <w:tcPr>
            <w:tcW w:w="1701" w:type="dxa"/>
            <w:tcBorders>
              <w:top w:val="nil"/>
              <w:left w:val="nil"/>
              <w:bottom w:val="nil"/>
              <w:right w:val="nil"/>
            </w:tcBorders>
            <w:shd w:val="clear" w:color="000000" w:fill="FFFFFF"/>
            <w:hideMark/>
          </w:tcPr>
          <w:p w14:paraId="30D96B4A" w14:textId="77777777" w:rsidR="009B4A78" w:rsidRPr="009B4A78" w:rsidRDefault="009B4A78" w:rsidP="008D4CE9">
            <w:pPr>
              <w:ind w:left="179"/>
              <w:rPr>
                <w:rFonts w:ascii="Arial" w:hAnsi="Arial" w:cs="Arial"/>
                <w:color w:val="000000"/>
                <w:sz w:val="16"/>
                <w:szCs w:val="16"/>
              </w:rPr>
            </w:pPr>
            <w:r w:rsidRPr="009B4A78">
              <w:rPr>
                <w:rFonts w:ascii="Arial" w:hAnsi="Arial" w:cs="Arial"/>
                <w:color w:val="000000"/>
                <w:sz w:val="16"/>
                <w:szCs w:val="16"/>
              </w:rPr>
              <w:t>tbd in early 2016</w:t>
            </w:r>
          </w:p>
        </w:tc>
        <w:tc>
          <w:tcPr>
            <w:tcW w:w="1843" w:type="dxa"/>
            <w:tcBorders>
              <w:top w:val="nil"/>
              <w:left w:val="nil"/>
              <w:bottom w:val="nil"/>
              <w:right w:val="single" w:sz="4" w:space="0" w:color="auto"/>
            </w:tcBorders>
            <w:shd w:val="clear" w:color="000000" w:fill="FFFFFF"/>
            <w:hideMark/>
          </w:tcPr>
          <w:p w14:paraId="1FF5BD97" w14:textId="454A69EC" w:rsidR="009B4A78" w:rsidRPr="009B4A78" w:rsidRDefault="009B4A78" w:rsidP="00764DA3">
            <w:pPr>
              <w:ind w:left="382"/>
              <w:rPr>
                <w:rFonts w:ascii="Arial" w:hAnsi="Arial" w:cs="Arial"/>
                <w:color w:val="000000"/>
                <w:sz w:val="16"/>
                <w:szCs w:val="16"/>
              </w:rPr>
            </w:pPr>
            <w:r w:rsidRPr="009B4A78">
              <w:rPr>
                <w:rFonts w:ascii="Arial" w:hAnsi="Arial" w:cs="Arial"/>
                <w:color w:val="000000"/>
                <w:sz w:val="16"/>
                <w:szCs w:val="16"/>
              </w:rPr>
              <w:t>Forecasts within 80 </w:t>
            </w:r>
            <w:r w:rsidR="00764DA3">
              <w:rPr>
                <w:rFonts w:ascii="Arial" w:hAnsi="Arial" w:cs="Arial"/>
                <w:color w:val="000000"/>
                <w:sz w:val="16"/>
                <w:szCs w:val="16"/>
              </w:rPr>
              <w:t>%</w:t>
            </w:r>
            <w:r w:rsidR="00764DA3" w:rsidRPr="009B4A78">
              <w:rPr>
                <w:rFonts w:ascii="Arial" w:hAnsi="Arial" w:cs="Arial"/>
                <w:color w:val="000000"/>
                <w:sz w:val="16"/>
                <w:szCs w:val="16"/>
              </w:rPr>
              <w:t xml:space="preserve"> </w:t>
            </w:r>
            <w:r w:rsidRPr="009B4A78">
              <w:rPr>
                <w:rFonts w:ascii="Arial" w:hAnsi="Arial" w:cs="Arial"/>
                <w:color w:val="000000"/>
                <w:sz w:val="16"/>
                <w:szCs w:val="16"/>
              </w:rPr>
              <w:t>confidence interval</w:t>
            </w:r>
          </w:p>
        </w:tc>
      </w:tr>
      <w:tr w:rsidR="009B4A78" w:rsidRPr="009B4A78" w14:paraId="0119FBF0" w14:textId="77777777" w:rsidTr="008D4CE9">
        <w:trPr>
          <w:trHeight w:val="563"/>
        </w:trPr>
        <w:tc>
          <w:tcPr>
            <w:tcW w:w="2460" w:type="dxa"/>
            <w:vMerge w:val="restart"/>
            <w:tcBorders>
              <w:top w:val="nil"/>
              <w:left w:val="single" w:sz="4" w:space="0" w:color="auto"/>
              <w:bottom w:val="single" w:sz="4" w:space="0" w:color="000000"/>
              <w:right w:val="nil"/>
            </w:tcBorders>
            <w:shd w:val="clear" w:color="000000" w:fill="FFFFFF"/>
            <w:hideMark/>
          </w:tcPr>
          <w:p w14:paraId="41A72096" w14:textId="77777777" w:rsidR="009B4A78" w:rsidRPr="009B4A78" w:rsidRDefault="009B4A78" w:rsidP="00984F70">
            <w:pPr>
              <w:rPr>
                <w:rFonts w:ascii="Arial" w:hAnsi="Arial" w:cs="Arial"/>
                <w:color w:val="000000"/>
                <w:sz w:val="16"/>
                <w:szCs w:val="16"/>
              </w:rPr>
            </w:pPr>
            <w:r w:rsidRPr="009B4A78">
              <w:rPr>
                <w:rFonts w:ascii="Arial" w:hAnsi="Arial" w:cs="Arial"/>
                <w:color w:val="000000"/>
                <w:sz w:val="16"/>
                <w:szCs w:val="16"/>
              </w:rPr>
              <w:t>V.2 Wider and better use of WIPO economic analysis in policy formulation</w:t>
            </w:r>
          </w:p>
        </w:tc>
        <w:tc>
          <w:tcPr>
            <w:tcW w:w="3367" w:type="dxa"/>
            <w:tcBorders>
              <w:top w:val="nil"/>
              <w:left w:val="nil"/>
              <w:bottom w:val="nil"/>
              <w:right w:val="nil"/>
            </w:tcBorders>
            <w:shd w:val="clear" w:color="000000" w:fill="FFFFFF"/>
            <w:hideMark/>
          </w:tcPr>
          <w:p w14:paraId="439A0125" w14:textId="52CE633E" w:rsidR="009B4A78" w:rsidRPr="009B4A78" w:rsidRDefault="009B4A78" w:rsidP="008D4CE9">
            <w:pPr>
              <w:ind w:left="141"/>
              <w:rPr>
                <w:rFonts w:ascii="Arial" w:hAnsi="Arial" w:cs="Arial"/>
                <w:color w:val="000000"/>
                <w:sz w:val="16"/>
                <w:szCs w:val="16"/>
              </w:rPr>
            </w:pPr>
            <w:r w:rsidRPr="009B4A78">
              <w:rPr>
                <w:rFonts w:ascii="Arial" w:hAnsi="Arial" w:cs="Arial"/>
                <w:color w:val="000000"/>
                <w:sz w:val="16"/>
                <w:szCs w:val="16"/>
              </w:rPr>
              <w:t>Annual n</w:t>
            </w:r>
            <w:r w:rsidR="00764DA3">
              <w:rPr>
                <w:rFonts w:ascii="Arial" w:hAnsi="Arial" w:cs="Arial"/>
                <w:color w:val="000000"/>
                <w:sz w:val="16"/>
                <w:szCs w:val="16"/>
              </w:rPr>
              <w:t>o.</w:t>
            </w:r>
            <w:r w:rsidRPr="009B4A78">
              <w:rPr>
                <w:rFonts w:ascii="Arial" w:hAnsi="Arial" w:cs="Arial"/>
                <w:color w:val="000000"/>
                <w:sz w:val="16"/>
                <w:szCs w:val="16"/>
              </w:rPr>
              <w:t>of visitors to Global Innovation Index websites</w:t>
            </w:r>
          </w:p>
        </w:tc>
        <w:tc>
          <w:tcPr>
            <w:tcW w:w="1701" w:type="dxa"/>
            <w:tcBorders>
              <w:top w:val="nil"/>
              <w:left w:val="nil"/>
              <w:bottom w:val="nil"/>
              <w:right w:val="nil"/>
            </w:tcBorders>
            <w:shd w:val="clear" w:color="000000" w:fill="FFFFFF"/>
            <w:hideMark/>
          </w:tcPr>
          <w:p w14:paraId="062ABC71" w14:textId="77777777" w:rsidR="009B4A78" w:rsidRPr="009B4A78" w:rsidRDefault="009B4A78" w:rsidP="008D4CE9">
            <w:pPr>
              <w:ind w:left="179"/>
              <w:rPr>
                <w:rFonts w:ascii="Arial" w:hAnsi="Arial" w:cs="Arial"/>
                <w:color w:val="000000"/>
                <w:sz w:val="16"/>
                <w:szCs w:val="16"/>
              </w:rPr>
            </w:pPr>
            <w:r w:rsidRPr="009B4A78">
              <w:rPr>
                <w:rFonts w:ascii="Arial" w:hAnsi="Arial" w:cs="Arial"/>
                <w:color w:val="000000"/>
                <w:sz w:val="16"/>
                <w:szCs w:val="16"/>
              </w:rPr>
              <w:t>tbd end 2015</w:t>
            </w:r>
          </w:p>
        </w:tc>
        <w:tc>
          <w:tcPr>
            <w:tcW w:w="1843" w:type="dxa"/>
            <w:tcBorders>
              <w:top w:val="nil"/>
              <w:left w:val="nil"/>
              <w:bottom w:val="nil"/>
              <w:right w:val="single" w:sz="4" w:space="0" w:color="auto"/>
            </w:tcBorders>
            <w:shd w:val="clear" w:color="000000" w:fill="FFFFFF"/>
            <w:hideMark/>
          </w:tcPr>
          <w:p w14:paraId="308BDFEB" w14:textId="77777777" w:rsidR="009B4A78" w:rsidRPr="009B4A78" w:rsidRDefault="009B4A78" w:rsidP="00984F70">
            <w:pPr>
              <w:tabs>
                <w:tab w:val="left" w:pos="169"/>
              </w:tabs>
              <w:ind w:left="382"/>
              <w:rPr>
                <w:rFonts w:ascii="Arial" w:hAnsi="Arial" w:cs="Arial"/>
                <w:color w:val="000000"/>
                <w:sz w:val="16"/>
                <w:szCs w:val="16"/>
              </w:rPr>
            </w:pPr>
            <w:r w:rsidRPr="009B4A78">
              <w:rPr>
                <w:rFonts w:ascii="Arial" w:hAnsi="Arial" w:cs="Arial"/>
                <w:color w:val="000000"/>
                <w:sz w:val="16"/>
                <w:szCs w:val="16"/>
              </w:rPr>
              <w:t>tbd</w:t>
            </w:r>
          </w:p>
        </w:tc>
      </w:tr>
      <w:tr w:rsidR="009B4A78" w:rsidRPr="009B4A78" w14:paraId="42B4EE95" w14:textId="77777777" w:rsidTr="008D4CE9">
        <w:trPr>
          <w:trHeight w:val="452"/>
        </w:trPr>
        <w:tc>
          <w:tcPr>
            <w:tcW w:w="2460" w:type="dxa"/>
            <w:vMerge/>
            <w:tcBorders>
              <w:top w:val="nil"/>
              <w:left w:val="single" w:sz="4" w:space="0" w:color="auto"/>
              <w:bottom w:val="single" w:sz="4" w:space="0" w:color="auto"/>
              <w:right w:val="nil"/>
            </w:tcBorders>
            <w:vAlign w:val="center"/>
            <w:hideMark/>
          </w:tcPr>
          <w:p w14:paraId="5CE2D730" w14:textId="77777777" w:rsidR="009B4A78" w:rsidRPr="009B4A78" w:rsidRDefault="009B4A78" w:rsidP="00984F70">
            <w:pPr>
              <w:rPr>
                <w:rFonts w:ascii="Arial" w:hAnsi="Arial" w:cs="Arial"/>
                <w:color w:val="000000"/>
                <w:sz w:val="16"/>
                <w:szCs w:val="16"/>
              </w:rPr>
            </w:pPr>
          </w:p>
        </w:tc>
        <w:tc>
          <w:tcPr>
            <w:tcW w:w="3367" w:type="dxa"/>
            <w:tcBorders>
              <w:top w:val="nil"/>
              <w:left w:val="nil"/>
              <w:bottom w:val="single" w:sz="4" w:space="0" w:color="auto"/>
              <w:right w:val="nil"/>
            </w:tcBorders>
            <w:shd w:val="clear" w:color="000000" w:fill="FFFFFF"/>
            <w:hideMark/>
          </w:tcPr>
          <w:p w14:paraId="056644B4" w14:textId="77777777" w:rsidR="009B4A78" w:rsidRPr="009B4A78" w:rsidRDefault="009B4A78" w:rsidP="008D4CE9">
            <w:pPr>
              <w:ind w:left="141"/>
              <w:rPr>
                <w:rFonts w:ascii="Arial" w:hAnsi="Arial" w:cs="Arial"/>
                <w:color w:val="000000"/>
                <w:sz w:val="16"/>
                <w:szCs w:val="16"/>
              </w:rPr>
            </w:pPr>
            <w:r w:rsidRPr="009B4A78">
              <w:rPr>
                <w:rFonts w:ascii="Arial" w:hAnsi="Arial" w:cs="Arial"/>
                <w:color w:val="000000"/>
                <w:sz w:val="16"/>
                <w:szCs w:val="16"/>
              </w:rPr>
              <w:t>No. of downloads of World IP Report within 6 months of publication</w:t>
            </w:r>
          </w:p>
        </w:tc>
        <w:tc>
          <w:tcPr>
            <w:tcW w:w="1701" w:type="dxa"/>
            <w:tcBorders>
              <w:top w:val="nil"/>
              <w:left w:val="nil"/>
              <w:bottom w:val="single" w:sz="4" w:space="0" w:color="auto"/>
              <w:right w:val="nil"/>
            </w:tcBorders>
            <w:shd w:val="clear" w:color="000000" w:fill="FFFFFF"/>
            <w:hideMark/>
          </w:tcPr>
          <w:p w14:paraId="3F665A6C" w14:textId="26F46D65" w:rsidR="009B4A78" w:rsidRPr="009B4A78" w:rsidRDefault="00764DA3" w:rsidP="008D4CE9">
            <w:pPr>
              <w:ind w:left="179"/>
              <w:rPr>
                <w:rFonts w:ascii="Arial" w:hAnsi="Arial" w:cs="Arial"/>
                <w:color w:val="000000"/>
                <w:sz w:val="16"/>
                <w:szCs w:val="16"/>
              </w:rPr>
            </w:pPr>
            <w:r w:rsidRPr="009B4A78">
              <w:rPr>
                <w:rFonts w:ascii="Arial" w:hAnsi="Arial" w:cs="Arial"/>
                <w:color w:val="000000"/>
                <w:sz w:val="16"/>
                <w:szCs w:val="16"/>
              </w:rPr>
              <w:t>T</w:t>
            </w:r>
            <w:r w:rsidR="009B4A78" w:rsidRPr="009B4A78">
              <w:rPr>
                <w:rFonts w:ascii="Arial" w:hAnsi="Arial" w:cs="Arial"/>
                <w:color w:val="000000"/>
                <w:sz w:val="16"/>
                <w:szCs w:val="16"/>
              </w:rPr>
              <w:t>bd</w:t>
            </w:r>
            <w:r w:rsidRPr="00FB68E0">
              <w:rPr>
                <w:rFonts w:ascii="Arial" w:hAnsi="Arial" w:cs="Arial"/>
                <w:color w:val="000000"/>
                <w:sz w:val="16"/>
                <w:szCs w:val="16"/>
                <w:vertAlign w:val="superscript"/>
              </w:rPr>
              <w:t>18</w:t>
            </w:r>
          </w:p>
        </w:tc>
        <w:tc>
          <w:tcPr>
            <w:tcW w:w="1843" w:type="dxa"/>
            <w:tcBorders>
              <w:top w:val="nil"/>
              <w:left w:val="nil"/>
              <w:bottom w:val="single" w:sz="4" w:space="0" w:color="auto"/>
              <w:right w:val="single" w:sz="4" w:space="0" w:color="auto"/>
            </w:tcBorders>
            <w:shd w:val="clear" w:color="000000" w:fill="FFFFFF"/>
            <w:hideMark/>
          </w:tcPr>
          <w:p w14:paraId="54A7C171" w14:textId="77777777" w:rsidR="009B4A78" w:rsidRPr="009B4A78" w:rsidRDefault="009B4A78" w:rsidP="00984F70">
            <w:pPr>
              <w:ind w:left="382"/>
              <w:rPr>
                <w:rFonts w:ascii="Arial" w:hAnsi="Arial" w:cs="Arial"/>
                <w:color w:val="000000"/>
                <w:sz w:val="16"/>
                <w:szCs w:val="16"/>
              </w:rPr>
            </w:pPr>
            <w:r w:rsidRPr="009B4A78">
              <w:rPr>
                <w:rFonts w:ascii="Arial" w:hAnsi="Arial" w:cs="Arial"/>
                <w:color w:val="000000"/>
                <w:sz w:val="16"/>
                <w:szCs w:val="16"/>
              </w:rPr>
              <w:t>tbd</w:t>
            </w:r>
          </w:p>
        </w:tc>
      </w:tr>
    </w:tbl>
    <w:p w14:paraId="32319E80" w14:textId="77777777" w:rsidR="009B4A78" w:rsidRPr="009B4A78" w:rsidRDefault="009B4A78" w:rsidP="00984F70">
      <w:pPr>
        <w:jc w:val="both"/>
        <w:rPr>
          <w:rFonts w:ascii="Arial" w:hAnsi="Arial" w:cs="Arial"/>
          <w:bCs/>
        </w:rPr>
      </w:pPr>
    </w:p>
    <w:p w14:paraId="349A5C35" w14:textId="77777777" w:rsidR="009B4A78" w:rsidRPr="009B4A78" w:rsidRDefault="009B4A78" w:rsidP="00984F70">
      <w:pPr>
        <w:jc w:val="both"/>
        <w:rPr>
          <w:rFonts w:ascii="Arial" w:hAnsi="Arial" w:cs="Arial"/>
          <w:bCs/>
        </w:rPr>
      </w:pPr>
    </w:p>
    <w:p w14:paraId="6DE450A4" w14:textId="77777777" w:rsidR="009B4A78" w:rsidRPr="009B4A78" w:rsidRDefault="009B4A78" w:rsidP="008D4CE9">
      <w:pPr>
        <w:rPr>
          <w:rFonts w:ascii="Arial" w:hAnsi="Arial" w:cs="Arial"/>
          <w:bCs/>
        </w:rPr>
      </w:pPr>
      <w:r w:rsidRPr="009B4A78">
        <w:rPr>
          <w:rFonts w:ascii="Arial" w:hAnsi="Arial" w:cs="Arial"/>
          <w:bCs/>
        </w:rPr>
        <w:t xml:space="preserve">RESOURCES FOR PROGRAM 16 </w:t>
      </w:r>
    </w:p>
    <w:p w14:paraId="6AF68A3A" w14:textId="77777777" w:rsidR="009B4A78" w:rsidRPr="009B4A78" w:rsidRDefault="009B4A78" w:rsidP="00984F70">
      <w:pPr>
        <w:jc w:val="both"/>
        <w:rPr>
          <w:rFonts w:ascii="Arial" w:hAnsi="Arial" w:cs="Arial"/>
          <w:bCs/>
          <w:sz w:val="20"/>
        </w:rPr>
      </w:pPr>
    </w:p>
    <w:p w14:paraId="0F21CD6E" w14:textId="5205C8F3" w:rsidR="009B4A78" w:rsidRPr="009B4A78" w:rsidRDefault="009B4A78" w:rsidP="00B66A4A">
      <w:pPr>
        <w:numPr>
          <w:ilvl w:val="0"/>
          <w:numId w:val="19"/>
        </w:numPr>
        <w:jc w:val="both"/>
        <w:rPr>
          <w:rFonts w:ascii="Arial" w:hAnsi="Arial" w:cs="Arial"/>
          <w:bCs/>
          <w:sz w:val="20"/>
        </w:rPr>
      </w:pPr>
      <w:r w:rsidRPr="009B4A78">
        <w:rPr>
          <w:rFonts w:ascii="Arial" w:hAnsi="Arial" w:cs="Arial"/>
          <w:sz w:val="20"/>
        </w:rPr>
        <w:t>The increase in both personnel and non-personnel resources under Expected Result V.1 (Wider and better use of WIPO IP Statistical information) reflects</w:t>
      </w:r>
      <w:r w:rsidRPr="009B4A78">
        <w:rPr>
          <w:rFonts w:ascii="Arial" w:hAnsi="Arial" w:cs="Arial"/>
          <w:bCs/>
          <w:sz w:val="20"/>
        </w:rPr>
        <w:t xml:space="preserve"> strengthened efforts for the provision of statistical information on the performance of the IP system worldwide in particular for the collection </w:t>
      </w:r>
      <w:r w:rsidRPr="009B4A78">
        <w:rPr>
          <w:rFonts w:ascii="Arial" w:hAnsi="Arial" w:cs="Arial"/>
          <w:bCs/>
          <w:sz w:val="20"/>
        </w:rPr>
        <w:lastRenderedPageBreak/>
        <w:t xml:space="preserve">and report of new statistics on </w:t>
      </w:r>
      <w:r w:rsidR="00D86441">
        <w:rPr>
          <w:rFonts w:ascii="Arial" w:hAnsi="Arial" w:cs="Arial"/>
          <w:bCs/>
          <w:sz w:val="20"/>
        </w:rPr>
        <w:t xml:space="preserve">trademarks, </w:t>
      </w:r>
      <w:r w:rsidRPr="009B4A78">
        <w:rPr>
          <w:rFonts w:ascii="Arial" w:hAnsi="Arial" w:cs="Arial"/>
          <w:bCs/>
          <w:sz w:val="20"/>
        </w:rPr>
        <w:t>geographical indications and copyright</w:t>
      </w:r>
      <w:r w:rsidR="007B5015">
        <w:rPr>
          <w:rFonts w:ascii="Arial" w:hAnsi="Arial" w:cs="Arial"/>
          <w:bCs/>
          <w:sz w:val="20"/>
        </w:rPr>
        <w:t>, the latter in close cooperation with Program 3</w:t>
      </w:r>
      <w:r w:rsidRPr="009B4A78">
        <w:rPr>
          <w:rFonts w:ascii="Arial" w:hAnsi="Arial" w:cs="Arial"/>
          <w:bCs/>
          <w:sz w:val="20"/>
        </w:rPr>
        <w:t>.</w:t>
      </w:r>
    </w:p>
    <w:p w14:paraId="1ED2C044" w14:textId="77777777" w:rsidR="009B4A78" w:rsidRPr="009B4A78" w:rsidRDefault="009B4A78" w:rsidP="00984F70">
      <w:pPr>
        <w:jc w:val="both"/>
        <w:rPr>
          <w:rFonts w:ascii="Arial" w:hAnsi="Arial" w:cs="Arial"/>
          <w:bCs/>
          <w:sz w:val="20"/>
        </w:rPr>
      </w:pPr>
    </w:p>
    <w:p w14:paraId="1626B93D" w14:textId="6BFB836C" w:rsidR="009B4A78" w:rsidRPr="009B4A78" w:rsidRDefault="009B4A78" w:rsidP="00B66A4A">
      <w:pPr>
        <w:numPr>
          <w:ilvl w:val="0"/>
          <w:numId w:val="19"/>
        </w:numPr>
        <w:jc w:val="both"/>
        <w:rPr>
          <w:rFonts w:ascii="Arial" w:hAnsi="Arial" w:cs="Arial"/>
          <w:bCs/>
          <w:sz w:val="20"/>
        </w:rPr>
      </w:pPr>
      <w:r w:rsidRPr="009B4A78">
        <w:rPr>
          <w:rFonts w:ascii="Arial" w:hAnsi="Arial" w:cs="Arial"/>
          <w:bCs/>
          <w:sz w:val="20"/>
        </w:rPr>
        <w:t xml:space="preserve">Increased </w:t>
      </w:r>
      <w:r w:rsidRPr="009B4A78">
        <w:rPr>
          <w:rFonts w:ascii="Arial" w:hAnsi="Arial" w:cs="Arial"/>
          <w:sz w:val="20"/>
        </w:rPr>
        <w:t>personnel and non-personnel</w:t>
      </w:r>
      <w:r w:rsidRPr="009B4A78">
        <w:rPr>
          <w:rFonts w:ascii="Arial" w:hAnsi="Arial" w:cs="Arial"/>
          <w:bCs/>
          <w:sz w:val="20"/>
        </w:rPr>
        <w:t xml:space="preserve"> resources under Expected Result </w:t>
      </w:r>
      <w:r w:rsidRPr="009B4A78">
        <w:rPr>
          <w:rFonts w:ascii="Arial" w:hAnsi="Arial" w:cs="Arial"/>
          <w:sz w:val="20"/>
        </w:rPr>
        <w:t>V.2 (Wider and better use of WIPO economic analysis) illustrate the enhanced research commitments notably</w:t>
      </w:r>
      <w:r w:rsidRPr="009B4A78">
        <w:rPr>
          <w:rFonts w:ascii="Arial" w:hAnsi="Arial" w:cs="Arial"/>
          <w:bCs/>
          <w:sz w:val="20"/>
        </w:rPr>
        <w:t xml:space="preserve"> on policy and performance in the creative industries and on studies under the DA project IP</w:t>
      </w:r>
      <w:r w:rsidR="00C53E9A">
        <w:rPr>
          <w:rFonts w:ascii="Arial" w:hAnsi="Arial" w:cs="Arial"/>
          <w:bCs/>
          <w:sz w:val="20"/>
        </w:rPr>
        <w:t> </w:t>
      </w:r>
      <w:r w:rsidRPr="009B4A78">
        <w:rPr>
          <w:rFonts w:ascii="Arial" w:hAnsi="Arial" w:cs="Arial"/>
          <w:bCs/>
          <w:sz w:val="20"/>
        </w:rPr>
        <w:t>&amp;</w:t>
      </w:r>
      <w:r w:rsidR="00C53E9A">
        <w:rPr>
          <w:rFonts w:ascii="Arial" w:hAnsi="Arial" w:cs="Arial"/>
          <w:bCs/>
          <w:sz w:val="20"/>
        </w:rPr>
        <w:t> </w:t>
      </w:r>
      <w:r w:rsidRPr="009B4A78">
        <w:rPr>
          <w:rFonts w:ascii="Arial" w:hAnsi="Arial" w:cs="Arial"/>
          <w:bCs/>
          <w:sz w:val="20"/>
        </w:rPr>
        <w:t>Socio</w:t>
      </w:r>
      <w:r w:rsidR="00C53E9A">
        <w:rPr>
          <w:rFonts w:ascii="Arial" w:hAnsi="Arial" w:cs="Arial"/>
          <w:bCs/>
          <w:sz w:val="20"/>
        </w:rPr>
        <w:noBreakHyphen/>
      </w:r>
      <w:r w:rsidRPr="009B4A78">
        <w:rPr>
          <w:rFonts w:ascii="Arial" w:hAnsi="Arial" w:cs="Arial"/>
          <w:bCs/>
          <w:sz w:val="20"/>
        </w:rPr>
        <w:t xml:space="preserve">Economic Development. </w:t>
      </w:r>
    </w:p>
    <w:p w14:paraId="0DE0697B" w14:textId="77777777" w:rsidR="009B4A78" w:rsidRDefault="009B4A78" w:rsidP="00984F70">
      <w:pPr>
        <w:rPr>
          <w:rFonts w:ascii="Arial" w:hAnsi="Arial" w:cs="Arial"/>
          <w:sz w:val="20"/>
        </w:rPr>
      </w:pPr>
    </w:p>
    <w:p w14:paraId="3124F577" w14:textId="77777777" w:rsidR="00C53E9A" w:rsidRPr="0024401F" w:rsidRDefault="00C53E9A" w:rsidP="00984F70">
      <w:pPr>
        <w:rPr>
          <w:rFonts w:ascii="Arial" w:hAnsi="Arial" w:cs="Arial"/>
          <w:sz w:val="20"/>
        </w:rPr>
      </w:pPr>
    </w:p>
    <w:p w14:paraId="753B40F0" w14:textId="77777777" w:rsidR="009B4A78" w:rsidRPr="009B4A78" w:rsidRDefault="009B4A78" w:rsidP="00984F70">
      <w:pPr>
        <w:tabs>
          <w:tab w:val="left" w:pos="1427"/>
        </w:tabs>
        <w:jc w:val="center"/>
        <w:rPr>
          <w:rFonts w:ascii="Arial" w:hAnsi="Arial" w:cs="Arial"/>
        </w:rPr>
      </w:pPr>
      <w:r w:rsidRPr="009B4A78">
        <w:rPr>
          <w:rFonts w:ascii="Arial" w:hAnsi="Arial" w:cs="Arial"/>
          <w:b/>
          <w:szCs w:val="24"/>
        </w:rPr>
        <w:t xml:space="preserve">Program 16:  Resources by Result </w:t>
      </w:r>
    </w:p>
    <w:p w14:paraId="7D372C4C" w14:textId="77777777" w:rsidR="009B4A78" w:rsidRPr="009B4A78" w:rsidRDefault="009B4A78" w:rsidP="00984F70">
      <w:pPr>
        <w:tabs>
          <w:tab w:val="left" w:pos="1427"/>
        </w:tabs>
        <w:jc w:val="center"/>
        <w:rPr>
          <w:rFonts w:ascii="Arial" w:hAnsi="Arial" w:cs="Arial"/>
          <w:i/>
          <w:szCs w:val="24"/>
        </w:rPr>
      </w:pPr>
      <w:r w:rsidRPr="009B4A78">
        <w:rPr>
          <w:rFonts w:ascii="Arial" w:hAnsi="Arial" w:cs="Arial"/>
          <w:i/>
          <w:szCs w:val="24"/>
        </w:rPr>
        <w:t>(In thousands of Swiss francs)</w:t>
      </w:r>
    </w:p>
    <w:p w14:paraId="48AB5C37" w14:textId="77777777" w:rsidR="009B4A78" w:rsidRPr="0024401F" w:rsidRDefault="009B4A78" w:rsidP="00984F70">
      <w:pPr>
        <w:tabs>
          <w:tab w:val="left" w:pos="1427"/>
        </w:tabs>
        <w:jc w:val="center"/>
        <w:rPr>
          <w:rFonts w:ascii="Arial" w:hAnsi="Arial" w:cs="Arial"/>
          <w:i/>
          <w:sz w:val="18"/>
          <w:szCs w:val="24"/>
        </w:rPr>
      </w:pPr>
    </w:p>
    <w:p w14:paraId="70FD8684" w14:textId="77777777" w:rsidR="009B4A78" w:rsidRPr="009B4A78" w:rsidRDefault="009B4A78" w:rsidP="00984F70">
      <w:pPr>
        <w:tabs>
          <w:tab w:val="left" w:pos="1427"/>
        </w:tabs>
        <w:jc w:val="center"/>
        <w:rPr>
          <w:rFonts w:ascii="Arial" w:hAnsi="Arial" w:cs="Arial"/>
        </w:rPr>
      </w:pPr>
      <w:r w:rsidRPr="009B4A78">
        <w:rPr>
          <w:rFonts w:ascii="Arial" w:hAnsi="Arial" w:cs="Arial"/>
          <w:noProof/>
          <w:lang w:eastAsia="en-US"/>
        </w:rPr>
        <w:drawing>
          <wp:inline distT="0" distB="0" distL="0" distR="0" wp14:anchorId="1E1D3004" wp14:editId="65523C38">
            <wp:extent cx="5114925" cy="1240224"/>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154825" cy="1249898"/>
                    </a:xfrm>
                    <a:prstGeom prst="rect">
                      <a:avLst/>
                    </a:prstGeom>
                    <a:noFill/>
                    <a:ln>
                      <a:noFill/>
                    </a:ln>
                  </pic:spPr>
                </pic:pic>
              </a:graphicData>
            </a:graphic>
          </wp:inline>
        </w:drawing>
      </w:r>
    </w:p>
    <w:p w14:paraId="491E5C4E" w14:textId="77777777" w:rsidR="009B4A78" w:rsidRPr="009B4A78" w:rsidRDefault="009B4A78" w:rsidP="00984F70">
      <w:pPr>
        <w:tabs>
          <w:tab w:val="left" w:pos="1427"/>
        </w:tabs>
        <w:jc w:val="center"/>
        <w:rPr>
          <w:rFonts w:ascii="Arial" w:hAnsi="Arial" w:cs="Arial"/>
        </w:rPr>
      </w:pPr>
    </w:p>
    <w:p w14:paraId="0EEE2601" w14:textId="77777777" w:rsidR="009B4A78" w:rsidRPr="009B4A78" w:rsidRDefault="009B4A78" w:rsidP="00984F70">
      <w:pPr>
        <w:keepNext/>
        <w:keepLines/>
        <w:tabs>
          <w:tab w:val="left" w:pos="1427"/>
        </w:tabs>
        <w:jc w:val="center"/>
        <w:rPr>
          <w:rFonts w:ascii="Arial" w:hAnsi="Arial" w:cs="Arial"/>
        </w:rPr>
      </w:pPr>
      <w:r w:rsidRPr="009B4A78">
        <w:rPr>
          <w:rFonts w:ascii="Arial" w:hAnsi="Arial" w:cs="Arial"/>
          <w:b/>
          <w:szCs w:val="24"/>
        </w:rPr>
        <w:t>Program 16:  Resources by Object of Expenditure</w:t>
      </w:r>
    </w:p>
    <w:p w14:paraId="6134B46D" w14:textId="77777777" w:rsidR="009B4A78" w:rsidRPr="009B4A78" w:rsidRDefault="009B4A78" w:rsidP="00984F70">
      <w:pPr>
        <w:keepNext/>
        <w:keepLines/>
        <w:tabs>
          <w:tab w:val="left" w:pos="1427"/>
        </w:tabs>
        <w:jc w:val="center"/>
        <w:rPr>
          <w:rFonts w:ascii="Arial" w:hAnsi="Arial" w:cs="Arial"/>
          <w:i/>
          <w:szCs w:val="24"/>
        </w:rPr>
      </w:pPr>
      <w:r w:rsidRPr="009B4A78">
        <w:rPr>
          <w:rFonts w:ascii="Arial" w:hAnsi="Arial" w:cs="Arial"/>
          <w:i/>
          <w:szCs w:val="24"/>
        </w:rPr>
        <w:t>(In thousands of Swiss francs)</w:t>
      </w:r>
    </w:p>
    <w:p w14:paraId="3DFA9F0D" w14:textId="77777777" w:rsidR="009B4A78" w:rsidRPr="0024401F" w:rsidRDefault="009B4A78" w:rsidP="00984F70">
      <w:pPr>
        <w:keepNext/>
        <w:keepLines/>
        <w:tabs>
          <w:tab w:val="left" w:pos="1427"/>
        </w:tabs>
        <w:jc w:val="center"/>
        <w:rPr>
          <w:rFonts w:ascii="Arial" w:hAnsi="Arial" w:cs="Arial"/>
          <w:i/>
          <w:sz w:val="18"/>
          <w:szCs w:val="24"/>
        </w:rPr>
      </w:pPr>
    </w:p>
    <w:p w14:paraId="739E1CDC" w14:textId="1D5988A8" w:rsidR="000D7C57" w:rsidRDefault="009B4A78" w:rsidP="0024401F">
      <w:pPr>
        <w:jc w:val="center"/>
        <w:rPr>
          <w:rFonts w:ascii="Arial" w:hAnsi="Arial" w:cs="Arial"/>
          <w:bCs/>
        </w:rPr>
      </w:pPr>
      <w:r w:rsidRPr="009B4A78">
        <w:rPr>
          <w:rFonts w:ascii="Arial" w:hAnsi="Arial" w:cs="Arial"/>
          <w:noProof/>
          <w:lang w:eastAsia="en-US"/>
        </w:rPr>
        <w:drawing>
          <wp:inline distT="0" distB="0" distL="0" distR="0" wp14:anchorId="6DD7F7E4" wp14:editId="2412566F">
            <wp:extent cx="4486275" cy="5448026"/>
            <wp:effectExtent l="0" t="0" r="0" b="6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535831" cy="5508205"/>
                    </a:xfrm>
                    <a:prstGeom prst="rect">
                      <a:avLst/>
                    </a:prstGeom>
                    <a:noFill/>
                    <a:ln>
                      <a:noFill/>
                    </a:ln>
                  </pic:spPr>
                </pic:pic>
              </a:graphicData>
            </a:graphic>
          </wp:inline>
        </w:drawing>
      </w:r>
      <w:r w:rsidR="000D7C57">
        <w:rPr>
          <w:rFonts w:ascii="Arial" w:hAnsi="Arial" w:cs="Arial"/>
          <w:bCs/>
        </w:rPr>
        <w:br w:type="page"/>
      </w:r>
    </w:p>
    <w:p w14:paraId="2DBA6246" w14:textId="51945D08" w:rsidR="00DA434C" w:rsidRPr="00B30215" w:rsidRDefault="00DA434C" w:rsidP="003D65C6">
      <w:pPr>
        <w:pStyle w:val="StyleHeading3ComplexItalic"/>
        <w:tabs>
          <w:tab w:val="clear" w:pos="1985"/>
          <w:tab w:val="left" w:pos="2835"/>
        </w:tabs>
        <w:ind w:left="2835" w:hanging="2835"/>
        <w:rPr>
          <w:rStyle w:val="StyleStyleHeading3ComplexItalicLatin12ptChar"/>
          <w:rFonts w:eastAsia="SimSun"/>
          <w:b/>
          <w:szCs w:val="24"/>
        </w:rPr>
      </w:pPr>
      <w:bookmarkStart w:id="56" w:name="_Toc367350594"/>
      <w:bookmarkStart w:id="57" w:name="_Toc427154417"/>
      <w:r w:rsidRPr="00B30215">
        <w:rPr>
          <w:rStyle w:val="StyleStyleHeading3ComplexItalicLatin12ptChar"/>
          <w:rFonts w:eastAsia="SimSun"/>
          <w:b/>
          <w:szCs w:val="24"/>
        </w:rPr>
        <w:lastRenderedPageBreak/>
        <w:t>STRATEGIC GOAL VI</w:t>
      </w:r>
      <w:r w:rsidR="003D65C6" w:rsidRPr="00B30215">
        <w:rPr>
          <w:rStyle w:val="StyleStyleHeading3ComplexItalicLatin12ptChar"/>
          <w:rFonts w:eastAsia="SimSun"/>
          <w:b/>
          <w:szCs w:val="24"/>
        </w:rPr>
        <w:tab/>
        <w:t>INTERNATIONAL COOPERATION ON BUILDING RESPECT FOR IP</w:t>
      </w:r>
      <w:bookmarkEnd w:id="56"/>
      <w:bookmarkEnd w:id="57"/>
      <w:r w:rsidR="003D65C6" w:rsidRPr="00B30215">
        <w:rPr>
          <w:rStyle w:val="StyleStyleHeading3ComplexItalicLatin12ptChar"/>
          <w:rFonts w:eastAsia="SimSun"/>
          <w:b/>
          <w:szCs w:val="24"/>
        </w:rPr>
        <w:t xml:space="preserve"> </w:t>
      </w:r>
    </w:p>
    <w:p w14:paraId="6258EC22" w14:textId="77777777" w:rsidR="00DA434C" w:rsidRPr="00A522FE" w:rsidRDefault="00DA434C" w:rsidP="00DA434C">
      <w:pPr>
        <w:tabs>
          <w:tab w:val="left" w:pos="1701"/>
        </w:tabs>
        <w:ind w:left="1701" w:hanging="1701"/>
        <w:jc w:val="center"/>
        <w:rPr>
          <w:rFonts w:ascii="Arial" w:hAnsi="Arial" w:cs="Arial"/>
          <w:b/>
          <w:bCs/>
          <w:caps/>
          <w:szCs w:val="24"/>
        </w:rPr>
      </w:pPr>
    </w:p>
    <w:p w14:paraId="0867CE9A" w14:textId="77777777" w:rsidR="00DA434C" w:rsidRPr="00A522FE" w:rsidRDefault="00DA434C" w:rsidP="00DA434C">
      <w:pPr>
        <w:tabs>
          <w:tab w:val="left" w:pos="1701"/>
        </w:tabs>
        <w:ind w:left="1701" w:hanging="1701"/>
        <w:jc w:val="center"/>
        <w:rPr>
          <w:rFonts w:ascii="Arial" w:hAnsi="Arial" w:cs="Arial"/>
          <w:b/>
          <w:bCs/>
          <w:caps/>
          <w:szCs w:val="24"/>
        </w:rPr>
      </w:pPr>
    </w:p>
    <w:p w14:paraId="116D9794" w14:textId="77777777" w:rsidR="00DA434C" w:rsidRPr="00F3719C" w:rsidRDefault="00DA434C" w:rsidP="00DA434C">
      <w:pPr>
        <w:jc w:val="both"/>
        <w:rPr>
          <w:rFonts w:ascii="Arial" w:hAnsi="Arial" w:cs="Arial"/>
          <w:sz w:val="20"/>
        </w:rPr>
      </w:pPr>
      <w:r w:rsidRPr="00F3719C">
        <w:rPr>
          <w:rFonts w:ascii="Arial" w:hAnsi="Arial" w:cs="Arial"/>
          <w:sz w:val="20"/>
        </w:rPr>
        <w:t>Building respect for IP embodies a broader approach than that covered by the enforcement of IP rights alone.  It calls for a focus on international cooperation where WIPO can make a difference.  This is a broad, cross</w:t>
      </w:r>
      <w:r w:rsidRPr="00F3719C">
        <w:rPr>
          <w:rFonts w:ascii="Arial" w:hAnsi="Arial" w:cs="Arial"/>
          <w:sz w:val="20"/>
        </w:rPr>
        <w:noBreakHyphen/>
        <w:t>cutting goal, supported by many different areas of WIPO’s activities.  The WIPO Advisory Committee on Enforcement (ACE) serves as a mechanism for Member States to coordinate work towards this goal.  Work under this Strategic Goal is guided by DA Recommendation 45.</w:t>
      </w:r>
    </w:p>
    <w:p w14:paraId="345CD3FF" w14:textId="77777777" w:rsidR="00DA434C" w:rsidRDefault="00DA434C" w:rsidP="00DA434C">
      <w:pPr>
        <w:tabs>
          <w:tab w:val="left" w:pos="1701"/>
        </w:tabs>
        <w:ind w:left="1701" w:hanging="1701"/>
        <w:jc w:val="center"/>
        <w:rPr>
          <w:rFonts w:ascii="Arial" w:hAnsi="Arial" w:cs="Arial"/>
          <w:bCs/>
          <w:iCs/>
          <w:caps/>
          <w:sz w:val="20"/>
        </w:rPr>
      </w:pPr>
    </w:p>
    <w:p w14:paraId="6CB0E9F4" w14:textId="77777777" w:rsidR="008B0282" w:rsidRPr="00407F24" w:rsidRDefault="008B0282" w:rsidP="00DA434C">
      <w:pPr>
        <w:tabs>
          <w:tab w:val="left" w:pos="1701"/>
        </w:tabs>
        <w:ind w:left="1701" w:hanging="1701"/>
        <w:jc w:val="center"/>
        <w:rPr>
          <w:rFonts w:ascii="Arial" w:hAnsi="Arial" w:cs="Arial"/>
          <w:bCs/>
          <w:iCs/>
          <w:caps/>
          <w:sz w:val="20"/>
        </w:rPr>
      </w:pPr>
    </w:p>
    <w:tbl>
      <w:tblPr>
        <w:tblW w:w="493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09"/>
        <w:gridCol w:w="2641"/>
        <w:gridCol w:w="3120"/>
      </w:tblGrid>
      <w:tr w:rsidR="00DD40DE" w:rsidRPr="00AF5E7C" w14:paraId="7BD1AF70" w14:textId="77777777" w:rsidTr="00DD40DE">
        <w:trPr>
          <w:cantSplit/>
          <w:trHeight w:val="415"/>
        </w:trPr>
        <w:tc>
          <w:tcPr>
            <w:tcW w:w="1859" w:type="pct"/>
            <w:tcBorders>
              <w:top w:val="single" w:sz="4" w:space="0" w:color="auto"/>
              <w:bottom w:val="single" w:sz="4" w:space="0" w:color="auto"/>
            </w:tcBorders>
            <w:shd w:val="clear" w:color="auto" w:fill="C6D9F1" w:themeFill="text2" w:themeFillTint="33"/>
            <w:vAlign w:val="center"/>
          </w:tcPr>
          <w:p w14:paraId="41EFB6F5" w14:textId="77777777" w:rsidR="00DD40DE" w:rsidRPr="002A1191" w:rsidRDefault="00DD40DE" w:rsidP="005A1F7F">
            <w:pPr>
              <w:spacing w:after="120"/>
              <w:jc w:val="center"/>
              <w:rPr>
                <w:rFonts w:ascii="Arial" w:hAnsi="Arial" w:cs="Arial"/>
                <w:b/>
                <w:bCs/>
                <w:sz w:val="18"/>
                <w:szCs w:val="18"/>
              </w:rPr>
            </w:pPr>
            <w:r w:rsidRPr="002A1191">
              <w:rPr>
                <w:rFonts w:ascii="Arial" w:hAnsi="Arial" w:cs="Arial"/>
                <w:b/>
                <w:bCs/>
                <w:sz w:val="18"/>
                <w:szCs w:val="18"/>
              </w:rPr>
              <w:t>Expected Results</w:t>
            </w:r>
          </w:p>
        </w:tc>
        <w:tc>
          <w:tcPr>
            <w:tcW w:w="1440" w:type="pct"/>
            <w:tcBorders>
              <w:top w:val="single" w:sz="4" w:space="0" w:color="auto"/>
              <w:bottom w:val="single" w:sz="4" w:space="0" w:color="auto"/>
            </w:tcBorders>
            <w:shd w:val="clear" w:color="auto" w:fill="C6D9F1" w:themeFill="text2" w:themeFillTint="33"/>
            <w:tcMar>
              <w:top w:w="110" w:type="dxa"/>
            </w:tcMar>
            <w:vAlign w:val="center"/>
          </w:tcPr>
          <w:p w14:paraId="244A9AFD" w14:textId="77777777" w:rsidR="00DD40DE" w:rsidRPr="002A1191" w:rsidRDefault="00DD40DE" w:rsidP="005A1F7F">
            <w:pPr>
              <w:spacing w:after="120"/>
              <w:jc w:val="center"/>
              <w:rPr>
                <w:rFonts w:ascii="Arial" w:hAnsi="Arial" w:cs="Arial"/>
                <w:b/>
                <w:bCs/>
                <w:sz w:val="18"/>
                <w:szCs w:val="18"/>
              </w:rPr>
            </w:pPr>
            <w:r>
              <w:rPr>
                <w:rFonts w:ascii="Arial" w:hAnsi="Arial" w:cs="Arial"/>
                <w:b/>
                <w:bCs/>
                <w:sz w:val="18"/>
                <w:szCs w:val="18"/>
              </w:rPr>
              <w:t>Performance I</w:t>
            </w:r>
            <w:r w:rsidRPr="002A1191">
              <w:rPr>
                <w:rFonts w:ascii="Arial" w:hAnsi="Arial" w:cs="Arial"/>
                <w:b/>
                <w:bCs/>
                <w:sz w:val="18"/>
                <w:szCs w:val="18"/>
              </w:rPr>
              <w:t>ndicator</w:t>
            </w:r>
            <w:r>
              <w:rPr>
                <w:rFonts w:ascii="Arial" w:hAnsi="Arial" w:cs="Arial"/>
                <w:b/>
                <w:bCs/>
                <w:sz w:val="18"/>
                <w:szCs w:val="18"/>
              </w:rPr>
              <w:t>s</w:t>
            </w:r>
          </w:p>
        </w:tc>
        <w:tc>
          <w:tcPr>
            <w:tcW w:w="1701" w:type="pct"/>
            <w:tcBorders>
              <w:top w:val="single" w:sz="4" w:space="0" w:color="auto"/>
              <w:bottom w:val="single" w:sz="4" w:space="0" w:color="auto"/>
            </w:tcBorders>
            <w:shd w:val="clear" w:color="auto" w:fill="C6D9F1" w:themeFill="text2" w:themeFillTint="33"/>
            <w:tcMar>
              <w:top w:w="110" w:type="dxa"/>
            </w:tcMar>
            <w:vAlign w:val="center"/>
          </w:tcPr>
          <w:p w14:paraId="5D28A869" w14:textId="77777777" w:rsidR="00DD40DE" w:rsidRPr="002A1191" w:rsidRDefault="00DD40DE" w:rsidP="005A1F7F">
            <w:pPr>
              <w:spacing w:after="120"/>
              <w:ind w:left="85"/>
              <w:jc w:val="center"/>
              <w:rPr>
                <w:rFonts w:ascii="Arial" w:hAnsi="Arial" w:cs="Arial"/>
                <w:b/>
                <w:bCs/>
                <w:sz w:val="18"/>
                <w:szCs w:val="18"/>
              </w:rPr>
            </w:pPr>
            <w:r w:rsidRPr="002A1191">
              <w:rPr>
                <w:rFonts w:ascii="Arial" w:hAnsi="Arial" w:cs="Arial"/>
                <w:b/>
                <w:bCs/>
                <w:sz w:val="18"/>
                <w:szCs w:val="18"/>
              </w:rPr>
              <w:t>Responsible Program(s)</w:t>
            </w:r>
          </w:p>
        </w:tc>
      </w:tr>
      <w:tr w:rsidR="00DD40DE" w:rsidRPr="00AF5E7C" w14:paraId="61311C4C" w14:textId="77777777" w:rsidTr="00DD40DE">
        <w:trPr>
          <w:cantSplit/>
          <w:trHeight w:val="944"/>
        </w:trPr>
        <w:tc>
          <w:tcPr>
            <w:tcW w:w="1859" w:type="pct"/>
            <w:tcBorders>
              <w:top w:val="single" w:sz="4" w:space="0" w:color="auto"/>
            </w:tcBorders>
            <w:shd w:val="clear" w:color="auto" w:fill="auto"/>
            <w:tcMar>
              <w:top w:w="113" w:type="dxa"/>
              <w:bottom w:w="85" w:type="dxa"/>
            </w:tcMar>
          </w:tcPr>
          <w:p w14:paraId="36446016" w14:textId="77777777" w:rsidR="00DD40DE" w:rsidRPr="00DC5B92" w:rsidRDefault="00DD40DE" w:rsidP="005A1F7F">
            <w:pPr>
              <w:rPr>
                <w:rFonts w:ascii="Arial" w:hAnsi="Arial" w:cs="Arial"/>
                <w:sz w:val="16"/>
                <w:szCs w:val="16"/>
              </w:rPr>
            </w:pPr>
            <w:r w:rsidRPr="00DC5B92">
              <w:rPr>
                <w:rFonts w:ascii="Arial" w:hAnsi="Arial" w:cs="Arial"/>
                <w:sz w:val="16"/>
                <w:szCs w:val="16"/>
              </w:rPr>
              <w:t>VI.1</w:t>
            </w:r>
            <w:r>
              <w:rPr>
                <w:rFonts w:ascii="Arial" w:hAnsi="Arial" w:cs="Arial"/>
                <w:sz w:val="16"/>
                <w:szCs w:val="16"/>
              </w:rPr>
              <w:t xml:space="preserve">  </w:t>
            </w:r>
            <w:r w:rsidRPr="00DC5B92">
              <w:rPr>
                <w:rFonts w:ascii="Arial" w:hAnsi="Arial" w:cs="Arial"/>
                <w:sz w:val="16"/>
                <w:szCs w:val="16"/>
              </w:rPr>
              <w:t>Progress in the international policy dialogue among WIPO Member States on building respect for IP, guided by Recommendation 45 of the WIPO Development Agenda</w:t>
            </w:r>
          </w:p>
        </w:tc>
        <w:tc>
          <w:tcPr>
            <w:tcW w:w="1440" w:type="pct"/>
            <w:tcBorders>
              <w:top w:val="single" w:sz="4" w:space="0" w:color="auto"/>
            </w:tcBorders>
            <w:shd w:val="clear" w:color="auto" w:fill="auto"/>
            <w:tcMar>
              <w:top w:w="113" w:type="dxa"/>
              <w:bottom w:w="85" w:type="dxa"/>
            </w:tcMar>
          </w:tcPr>
          <w:p w14:paraId="78270454" w14:textId="77777777" w:rsidR="00DD40DE" w:rsidRPr="003A3A66" w:rsidRDefault="00DD40DE" w:rsidP="005A1F7F">
            <w:pPr>
              <w:rPr>
                <w:rFonts w:ascii="Arial" w:hAnsi="Arial" w:cs="Arial"/>
                <w:sz w:val="16"/>
                <w:szCs w:val="16"/>
              </w:rPr>
            </w:pPr>
            <w:r w:rsidRPr="003A3A66">
              <w:rPr>
                <w:rFonts w:ascii="Arial" w:hAnsi="Arial" w:cs="Arial"/>
                <w:color w:val="000000"/>
                <w:sz w:val="16"/>
                <w:szCs w:val="16"/>
              </w:rPr>
              <w:t>Continued agreement by Member States on the substantive work of the WIPO Advisory Committee on Enforcement (ACE), incorporating development-oriented concerns</w:t>
            </w:r>
          </w:p>
        </w:tc>
        <w:tc>
          <w:tcPr>
            <w:tcW w:w="1701" w:type="pct"/>
            <w:tcBorders>
              <w:top w:val="single" w:sz="4" w:space="0" w:color="auto"/>
            </w:tcBorders>
            <w:shd w:val="clear" w:color="auto" w:fill="FFFFFF"/>
            <w:tcMar>
              <w:top w:w="113" w:type="dxa"/>
              <w:bottom w:w="85" w:type="dxa"/>
            </w:tcMar>
          </w:tcPr>
          <w:p w14:paraId="0BDE10A4" w14:textId="77777777" w:rsidR="00DD40DE" w:rsidRPr="00AF5E7C" w:rsidRDefault="00DD40DE" w:rsidP="005A1F7F">
            <w:pPr>
              <w:ind w:left="769"/>
              <w:rPr>
                <w:rFonts w:ascii="Arial" w:hAnsi="Arial" w:cs="Arial"/>
                <w:sz w:val="16"/>
                <w:szCs w:val="16"/>
              </w:rPr>
            </w:pPr>
            <w:r>
              <w:rPr>
                <w:rFonts w:ascii="Arial" w:hAnsi="Arial" w:cs="Arial"/>
                <w:sz w:val="16"/>
                <w:szCs w:val="16"/>
                <w:lang w:bidi="th-TH"/>
              </w:rPr>
              <w:t>Program 17</w:t>
            </w:r>
          </w:p>
        </w:tc>
      </w:tr>
      <w:tr w:rsidR="00DD40DE" w:rsidRPr="00AF5E7C" w14:paraId="4269A6F5" w14:textId="77777777" w:rsidTr="00DD40DE">
        <w:trPr>
          <w:cantSplit/>
          <w:trHeight w:val="704"/>
        </w:trPr>
        <w:tc>
          <w:tcPr>
            <w:tcW w:w="1859" w:type="pct"/>
            <w:shd w:val="clear" w:color="auto" w:fill="auto"/>
            <w:tcMar>
              <w:top w:w="113" w:type="dxa"/>
              <w:bottom w:w="85" w:type="dxa"/>
            </w:tcMar>
          </w:tcPr>
          <w:p w14:paraId="34177CB5" w14:textId="77777777" w:rsidR="00DD40DE" w:rsidRPr="00DC5B92" w:rsidRDefault="00DD40DE" w:rsidP="005A1F7F">
            <w:pPr>
              <w:rPr>
                <w:rFonts w:ascii="Arial" w:hAnsi="Arial" w:cs="Arial"/>
                <w:sz w:val="16"/>
                <w:szCs w:val="16"/>
              </w:rPr>
            </w:pPr>
            <w:r w:rsidRPr="00DC5B92">
              <w:rPr>
                <w:rFonts w:ascii="Arial" w:hAnsi="Arial" w:cs="Arial"/>
                <w:sz w:val="16"/>
                <w:szCs w:val="16"/>
              </w:rPr>
              <w:t>VI.2</w:t>
            </w:r>
            <w:r>
              <w:rPr>
                <w:rFonts w:ascii="Arial" w:hAnsi="Arial" w:cs="Arial"/>
                <w:sz w:val="16"/>
                <w:szCs w:val="16"/>
              </w:rPr>
              <w:t xml:space="preserve">  </w:t>
            </w:r>
            <w:r w:rsidRPr="00DC5B92">
              <w:rPr>
                <w:rFonts w:ascii="Arial" w:hAnsi="Arial" w:cs="Arial"/>
                <w:sz w:val="16"/>
                <w:szCs w:val="16"/>
              </w:rPr>
              <w:t>Systematic</w:t>
            </w:r>
            <w:r>
              <w:rPr>
                <w:rFonts w:ascii="Arial" w:hAnsi="Arial" w:cs="Arial"/>
                <w:sz w:val="16"/>
                <w:szCs w:val="16"/>
              </w:rPr>
              <w:t>,</w:t>
            </w:r>
            <w:r w:rsidRPr="00DC5B92">
              <w:rPr>
                <w:rFonts w:ascii="Arial" w:hAnsi="Arial" w:cs="Arial"/>
                <w:sz w:val="16"/>
                <w:szCs w:val="16"/>
              </w:rPr>
              <w:t xml:space="preserve"> effective</w:t>
            </w:r>
            <w:r>
              <w:rPr>
                <w:rFonts w:ascii="Arial" w:hAnsi="Arial" w:cs="Arial"/>
                <w:sz w:val="16"/>
                <w:szCs w:val="16"/>
              </w:rPr>
              <w:t xml:space="preserve"> and transparent</w:t>
            </w:r>
            <w:r w:rsidRPr="00DC5B92">
              <w:rPr>
                <w:rFonts w:ascii="Arial" w:hAnsi="Arial" w:cs="Arial"/>
                <w:sz w:val="16"/>
                <w:szCs w:val="16"/>
              </w:rPr>
              <w:t xml:space="preserve"> cooperation and coordination between the work of WIPO and other international organizations in the field of building respect for IP</w:t>
            </w:r>
          </w:p>
        </w:tc>
        <w:tc>
          <w:tcPr>
            <w:tcW w:w="1440" w:type="pct"/>
            <w:shd w:val="clear" w:color="auto" w:fill="auto"/>
            <w:tcMar>
              <w:top w:w="113" w:type="dxa"/>
              <w:bottom w:w="85" w:type="dxa"/>
            </w:tcMar>
          </w:tcPr>
          <w:p w14:paraId="0417F137" w14:textId="77777777" w:rsidR="00DD40DE" w:rsidRPr="00286DC5" w:rsidRDefault="00DD40DE" w:rsidP="005A1F7F">
            <w:pPr>
              <w:rPr>
                <w:rFonts w:ascii="Arial" w:hAnsi="Arial" w:cs="Arial"/>
                <w:sz w:val="16"/>
                <w:szCs w:val="16"/>
              </w:rPr>
            </w:pPr>
            <w:r w:rsidRPr="00286DC5">
              <w:rPr>
                <w:rFonts w:ascii="Arial" w:hAnsi="Arial" w:cs="Arial"/>
                <w:color w:val="000000"/>
                <w:sz w:val="16"/>
                <w:szCs w:val="16"/>
              </w:rPr>
              <w:t>No. of strategic collaborations or other joint activities with partner organizations on building respect for IP</w:t>
            </w:r>
          </w:p>
        </w:tc>
        <w:tc>
          <w:tcPr>
            <w:tcW w:w="1701" w:type="pct"/>
            <w:shd w:val="clear" w:color="auto" w:fill="FFFFFF"/>
            <w:tcMar>
              <w:top w:w="113" w:type="dxa"/>
              <w:bottom w:w="85" w:type="dxa"/>
            </w:tcMar>
          </w:tcPr>
          <w:p w14:paraId="258D8D12" w14:textId="77777777" w:rsidR="00DD40DE" w:rsidRPr="00AF5E7C" w:rsidRDefault="00DD40DE" w:rsidP="005A1F7F">
            <w:pPr>
              <w:ind w:left="769"/>
              <w:rPr>
                <w:rFonts w:ascii="Arial" w:hAnsi="Arial" w:cs="Arial"/>
                <w:sz w:val="16"/>
                <w:szCs w:val="16"/>
              </w:rPr>
            </w:pPr>
            <w:r>
              <w:rPr>
                <w:rFonts w:ascii="Arial" w:hAnsi="Arial" w:cs="Arial"/>
                <w:sz w:val="16"/>
                <w:szCs w:val="16"/>
                <w:lang w:bidi="th-TH"/>
              </w:rPr>
              <w:t>Program 17</w:t>
            </w:r>
          </w:p>
        </w:tc>
      </w:tr>
    </w:tbl>
    <w:p w14:paraId="6C89951C" w14:textId="752A4DD4" w:rsidR="00DA434C" w:rsidRPr="009B4A78" w:rsidRDefault="00DA434C" w:rsidP="00984F70">
      <w:pPr>
        <w:rPr>
          <w:rFonts w:ascii="Arial" w:hAnsi="Arial" w:cs="Arial"/>
          <w:bCs/>
        </w:rPr>
      </w:pPr>
    </w:p>
    <w:p w14:paraId="7382311C" w14:textId="64A2FF13" w:rsidR="00984F70" w:rsidRDefault="00984F70">
      <w:pPr>
        <w:rPr>
          <w:rFonts w:ascii="Arial" w:hAnsi="Arial" w:cs="Arial"/>
          <w:bCs/>
        </w:rPr>
      </w:pPr>
      <w:r>
        <w:rPr>
          <w:rFonts w:ascii="Arial" w:hAnsi="Arial" w:cs="Arial"/>
          <w:bCs/>
        </w:rPr>
        <w:br w:type="page"/>
      </w:r>
    </w:p>
    <w:p w14:paraId="504F5F4A" w14:textId="40A25E8A" w:rsidR="003971D8" w:rsidRPr="003971D8" w:rsidRDefault="003971D8" w:rsidP="003971D8">
      <w:pPr>
        <w:pStyle w:val="StyleHeading3ComplexItalic"/>
      </w:pPr>
      <w:bookmarkStart w:id="58" w:name="_Toc427154418"/>
      <w:r w:rsidRPr="00682442">
        <w:lastRenderedPageBreak/>
        <w:t>P</w:t>
      </w:r>
      <w:r>
        <w:t>ROGRAM</w:t>
      </w:r>
      <w:r w:rsidRPr="00682442">
        <w:t> 17</w:t>
      </w:r>
      <w:r w:rsidRPr="00682442">
        <w:tab/>
      </w:r>
      <w:r w:rsidRPr="00682442">
        <w:rPr>
          <w:caps w:val="0"/>
        </w:rPr>
        <w:t>BUILDING RESPECT FOR IP</w:t>
      </w:r>
      <w:bookmarkEnd w:id="58"/>
    </w:p>
    <w:p w14:paraId="10076BDC" w14:textId="77777777" w:rsidR="003971D8" w:rsidRPr="003971D8" w:rsidRDefault="003971D8" w:rsidP="00E641D8">
      <w:pPr>
        <w:rPr>
          <w:rFonts w:ascii="Arial" w:hAnsi="Arial" w:cs="Arial"/>
        </w:rPr>
      </w:pPr>
    </w:p>
    <w:p w14:paraId="3011A415" w14:textId="77777777" w:rsidR="003971D8" w:rsidRDefault="003971D8" w:rsidP="00E641D8">
      <w:pPr>
        <w:rPr>
          <w:rFonts w:ascii="Arial" w:hAnsi="Arial" w:cs="Arial"/>
        </w:rPr>
      </w:pPr>
    </w:p>
    <w:p w14:paraId="07C17F76" w14:textId="77777777" w:rsidR="003971D8" w:rsidRPr="003971D8" w:rsidRDefault="003971D8" w:rsidP="00E641D8">
      <w:pPr>
        <w:rPr>
          <w:rFonts w:ascii="Arial" w:hAnsi="Arial" w:cs="Arial"/>
          <w:b/>
        </w:rPr>
      </w:pPr>
      <w:r w:rsidRPr="003971D8">
        <w:rPr>
          <w:rFonts w:ascii="Arial" w:hAnsi="Arial" w:cs="Arial"/>
        </w:rPr>
        <w:t>PLANNING CONTEXT</w:t>
      </w:r>
    </w:p>
    <w:p w14:paraId="25438F9C" w14:textId="77777777" w:rsidR="003971D8" w:rsidRPr="003971D8" w:rsidRDefault="003971D8" w:rsidP="00E641D8">
      <w:pPr>
        <w:tabs>
          <w:tab w:val="left" w:pos="567"/>
          <w:tab w:val="left" w:pos="1985"/>
        </w:tabs>
        <w:jc w:val="both"/>
        <w:rPr>
          <w:rFonts w:ascii="Arial" w:hAnsi="Arial" w:cs="Arial"/>
          <w:bCs/>
          <w:sz w:val="20"/>
        </w:rPr>
      </w:pPr>
    </w:p>
    <w:p w14:paraId="2BE920ED" w14:textId="77777777" w:rsidR="003971D8" w:rsidRPr="003971D8" w:rsidRDefault="003971D8" w:rsidP="00B66A4A">
      <w:pPr>
        <w:numPr>
          <w:ilvl w:val="0"/>
          <w:numId w:val="22"/>
        </w:numPr>
        <w:jc w:val="both"/>
        <w:rPr>
          <w:rFonts w:ascii="Arial" w:hAnsi="Arial" w:cs="Arial"/>
          <w:bCs/>
          <w:iCs/>
          <w:sz w:val="18"/>
        </w:rPr>
      </w:pPr>
      <w:r w:rsidRPr="003971D8">
        <w:rPr>
          <w:rFonts w:ascii="Arial" w:hAnsi="Arial" w:cs="Arial"/>
          <w:sz w:val="20"/>
        </w:rPr>
        <w:t>Respect for IP is a basic principle shared by all WIPO Member States.  Yet its full realization remains elusive as IP infringing activities – most notably counterfeiting and piracy – represent a prevalent phenomenon in many parts of the world.  In order to devise appropriate responses, it is necessary to have a solid understanding of the motivations of producers and consumers of IP-infringing goods and the impact IP infringements have on the welfare of societies.  A broad spectrum of both curative and preventive measures may then be adopted in light of national strategic needs, targeting, for example, improvements in legislation and enforcement frameworks, awareness and cultural change recognizing the value of IP, business and technology solutions that foster legal alternatives, or institutional collaboration.</w:t>
      </w:r>
      <w:r w:rsidRPr="003971D8">
        <w:rPr>
          <w:rFonts w:ascii="Arial" w:hAnsi="Arial" w:cs="Arial"/>
          <w:bCs/>
          <w:iCs/>
          <w:sz w:val="18"/>
        </w:rPr>
        <w:t xml:space="preserve">     </w:t>
      </w:r>
    </w:p>
    <w:p w14:paraId="29A0E1FD" w14:textId="77777777" w:rsidR="003971D8" w:rsidRPr="003971D8" w:rsidRDefault="003971D8" w:rsidP="00E641D8">
      <w:pPr>
        <w:jc w:val="both"/>
        <w:rPr>
          <w:rFonts w:ascii="Arial" w:hAnsi="Arial" w:cs="Arial"/>
          <w:sz w:val="20"/>
        </w:rPr>
      </w:pPr>
    </w:p>
    <w:p w14:paraId="1C0A821A" w14:textId="77777777" w:rsidR="003971D8" w:rsidRPr="003971D8" w:rsidRDefault="003971D8" w:rsidP="00B66A4A">
      <w:pPr>
        <w:numPr>
          <w:ilvl w:val="0"/>
          <w:numId w:val="22"/>
        </w:numPr>
        <w:jc w:val="both"/>
        <w:rPr>
          <w:rFonts w:ascii="Arial" w:hAnsi="Arial" w:cs="Arial"/>
          <w:sz w:val="20"/>
        </w:rPr>
      </w:pPr>
      <w:r w:rsidRPr="003971D8">
        <w:rPr>
          <w:rFonts w:ascii="Arial" w:hAnsi="Arial" w:cs="Arial"/>
          <w:sz w:val="20"/>
        </w:rPr>
        <w:t xml:space="preserve">A multiplicity of actors influence international and national IP policies in the area of building respect for IP, often with varied interests and perspectives.  In parallel, Member States endeavor to adopt measures attuned to the diverse social and economic realities in their respective countries.  The challenge for Program 17 will be to safeguard WIPO’s continued relevance in steering the debate on the proper balance in the protection and enforcement of IP rights.  The Program will seek to ensure that WIPO’s contributions to building an environment respectful of IP have a sustainable impact.  The contributions aim to strengthen the capacities of Member States to reinforce legitimate markets for IP protected goods and services and improve IP compliance, in the interests of broader societal benefits, especially consumer protection, and development-oriented concerns.  </w:t>
      </w:r>
    </w:p>
    <w:p w14:paraId="5A2DD518" w14:textId="77777777" w:rsidR="003971D8" w:rsidRPr="003971D8" w:rsidRDefault="003971D8" w:rsidP="00E641D8">
      <w:pPr>
        <w:jc w:val="both"/>
        <w:rPr>
          <w:rFonts w:ascii="Arial" w:hAnsi="Arial" w:cs="Arial"/>
          <w:sz w:val="20"/>
        </w:rPr>
      </w:pPr>
    </w:p>
    <w:p w14:paraId="2B54D5A8" w14:textId="77777777" w:rsidR="003971D8" w:rsidRPr="003971D8" w:rsidRDefault="003971D8" w:rsidP="00B66A4A">
      <w:pPr>
        <w:numPr>
          <w:ilvl w:val="0"/>
          <w:numId w:val="22"/>
        </w:numPr>
        <w:jc w:val="both"/>
        <w:rPr>
          <w:rFonts w:ascii="Arial" w:hAnsi="Arial" w:cs="Arial"/>
          <w:sz w:val="20"/>
        </w:rPr>
      </w:pPr>
      <w:r w:rsidRPr="003971D8">
        <w:rPr>
          <w:rFonts w:ascii="Arial" w:hAnsi="Arial" w:cs="Arial"/>
          <w:sz w:val="20"/>
        </w:rPr>
        <w:t xml:space="preserve">Program 17 continues to facilitate policy dialogue on building respect for IP among Member States through the Advisory Committee on Enforcement (ACE) and engages in systematic, effective, and transparent partnerships to achieve synergies in this area.  In its demand-driven technical assistance activities, Program 17 focuses on providing balanced legislative and policy advice, enhancing national capacities to promote respect for IP, offering strategic support for the incorporation of respect for IP in national strategies, and encouraging consumer participation, including by young people, with a view to fostering a shared understanding of the social benefits of a solid IP ecosystem.  </w:t>
      </w:r>
    </w:p>
    <w:p w14:paraId="709562FF" w14:textId="77777777" w:rsidR="003971D8" w:rsidRPr="003971D8" w:rsidRDefault="003971D8" w:rsidP="00E641D8">
      <w:pPr>
        <w:jc w:val="both"/>
        <w:rPr>
          <w:rFonts w:ascii="Arial" w:hAnsi="Arial" w:cs="Arial"/>
          <w:sz w:val="20"/>
        </w:rPr>
      </w:pPr>
    </w:p>
    <w:p w14:paraId="2E03D017" w14:textId="77777777" w:rsidR="003971D8" w:rsidRPr="003971D8" w:rsidRDefault="003971D8" w:rsidP="00E641D8">
      <w:pPr>
        <w:jc w:val="both"/>
        <w:rPr>
          <w:rFonts w:ascii="Arial" w:hAnsi="Arial" w:cs="Arial"/>
          <w:sz w:val="20"/>
        </w:rPr>
      </w:pPr>
    </w:p>
    <w:p w14:paraId="6352DB25" w14:textId="77777777" w:rsidR="003971D8" w:rsidRPr="003971D8" w:rsidRDefault="003971D8" w:rsidP="00E641D8">
      <w:pPr>
        <w:rPr>
          <w:rFonts w:ascii="Arial" w:hAnsi="Arial" w:cs="Arial"/>
          <w:b/>
        </w:rPr>
      </w:pPr>
      <w:r w:rsidRPr="003971D8">
        <w:rPr>
          <w:rFonts w:ascii="Arial" w:hAnsi="Arial" w:cs="Arial"/>
        </w:rPr>
        <w:t>IMPLEMENTATION STRATEGIES</w:t>
      </w:r>
    </w:p>
    <w:p w14:paraId="7CADFDA5" w14:textId="77777777" w:rsidR="003971D8" w:rsidRPr="003971D8" w:rsidRDefault="003971D8" w:rsidP="00E641D8">
      <w:pPr>
        <w:jc w:val="both"/>
        <w:rPr>
          <w:rFonts w:ascii="Arial" w:hAnsi="Arial" w:cs="Arial"/>
        </w:rPr>
      </w:pPr>
    </w:p>
    <w:p w14:paraId="39E88FAA" w14:textId="6EC03C4E" w:rsidR="003971D8" w:rsidRPr="003971D8" w:rsidRDefault="003971D8" w:rsidP="00B66A4A">
      <w:pPr>
        <w:numPr>
          <w:ilvl w:val="0"/>
          <w:numId w:val="22"/>
        </w:numPr>
        <w:jc w:val="both"/>
        <w:rPr>
          <w:rFonts w:ascii="Arial" w:hAnsi="Arial" w:cs="Arial"/>
          <w:sz w:val="20"/>
        </w:rPr>
      </w:pPr>
      <w:r w:rsidRPr="003971D8">
        <w:rPr>
          <w:rFonts w:ascii="Arial" w:hAnsi="Arial" w:cs="Arial"/>
          <w:sz w:val="20"/>
        </w:rPr>
        <w:t>In all its activities, Program 17 is guided by DA Recommendation 45.  Valued as a “marketplace of ideas”, the ACE provides a forum for the exchange of national practices and experiences.  The Program will facilitate Member States’ continued agreement on a theme-based work program that advances the building respect for IP discourse and explores it in all its complexities</w:t>
      </w:r>
      <w:r w:rsidR="00F56680" w:rsidRPr="00F56680">
        <w:rPr>
          <w:rFonts w:ascii="Arial" w:hAnsi="Arial" w:cs="Arial"/>
          <w:sz w:val="20"/>
        </w:rPr>
        <w:t>,</w:t>
      </w:r>
      <w:r w:rsidR="00F56680">
        <w:t xml:space="preserve"> </w:t>
      </w:r>
      <w:r w:rsidR="00F56680" w:rsidRPr="00F56680">
        <w:rPr>
          <w:rFonts w:ascii="Arial" w:hAnsi="Arial" w:cs="Arial"/>
          <w:sz w:val="20"/>
        </w:rPr>
        <w:t>by organizing two ACE meetings in the biennium</w:t>
      </w:r>
      <w:r w:rsidRPr="003971D8">
        <w:rPr>
          <w:rFonts w:ascii="Arial" w:hAnsi="Arial" w:cs="Arial"/>
          <w:sz w:val="20"/>
        </w:rPr>
        <w:t xml:space="preserve">.  Based on the ACE discussions, Member States may individually configure national strategies for building respect for IP relying, as the case may be, on preventive or curative measures and taking full account of the social and economic realities in the country concerned as well as its level of development.  </w:t>
      </w:r>
    </w:p>
    <w:p w14:paraId="29DC35D1" w14:textId="77777777" w:rsidR="003971D8" w:rsidRPr="003971D8" w:rsidRDefault="003971D8" w:rsidP="00E641D8">
      <w:pPr>
        <w:jc w:val="both"/>
        <w:rPr>
          <w:rFonts w:ascii="Arial" w:hAnsi="Arial" w:cs="Arial"/>
          <w:sz w:val="20"/>
        </w:rPr>
      </w:pPr>
    </w:p>
    <w:p w14:paraId="00094A3A" w14:textId="77777777" w:rsidR="003971D8" w:rsidRPr="003971D8" w:rsidRDefault="003971D8" w:rsidP="00B66A4A">
      <w:pPr>
        <w:numPr>
          <w:ilvl w:val="0"/>
          <w:numId w:val="22"/>
        </w:numPr>
        <w:jc w:val="both"/>
        <w:rPr>
          <w:rFonts w:ascii="Arial" w:hAnsi="Arial" w:cs="Arial"/>
          <w:sz w:val="20"/>
        </w:rPr>
      </w:pPr>
      <w:r w:rsidRPr="003971D8">
        <w:rPr>
          <w:rFonts w:ascii="Arial" w:hAnsi="Arial" w:cs="Arial"/>
          <w:sz w:val="20"/>
        </w:rPr>
        <w:t>With the aim of achieving international policy cohesion and maximum impact through shared resources, Program 17 will build strategic collaborative partnerships, develop joint building respect for IP activities, and participate in relevant activities of its partners.  In addition, the sharing of practical experiences in building respect for IP will be facilitated by creating fora that bring together a broad array of relevant international actors and field experts.  The collaborations, which mainstream WIPO’s development-oriented approach to building respect for IP, are informed by DA Recommendation 40.</w:t>
      </w:r>
    </w:p>
    <w:p w14:paraId="7F71487E" w14:textId="77777777" w:rsidR="003971D8" w:rsidRPr="003971D8" w:rsidRDefault="003971D8" w:rsidP="00E641D8">
      <w:pPr>
        <w:jc w:val="both"/>
        <w:rPr>
          <w:rFonts w:ascii="Arial" w:hAnsi="Arial" w:cs="Arial"/>
          <w:sz w:val="20"/>
        </w:rPr>
      </w:pPr>
    </w:p>
    <w:p w14:paraId="37F6F72C" w14:textId="77777777" w:rsidR="003971D8" w:rsidRPr="003971D8" w:rsidRDefault="003971D8" w:rsidP="00B66A4A">
      <w:pPr>
        <w:numPr>
          <w:ilvl w:val="0"/>
          <w:numId w:val="22"/>
        </w:numPr>
        <w:jc w:val="both"/>
        <w:rPr>
          <w:rFonts w:ascii="Arial" w:hAnsi="Arial" w:cs="Arial"/>
          <w:sz w:val="20"/>
        </w:rPr>
      </w:pPr>
      <w:r w:rsidRPr="003971D8">
        <w:rPr>
          <w:rFonts w:ascii="Arial" w:hAnsi="Arial" w:cs="Arial"/>
          <w:sz w:val="20"/>
        </w:rPr>
        <w:t xml:space="preserve">Program 17 continues to assist Member States, on request, in formulating tailored and balanced legislative, regulatory, or policy frameworks for building respect for IP, in line with a country’s specific characteristics and needs.  Assistance is equally provided to a variety of audiences in the form of capacity building activities on building respect for IP.  To achieve sustainable results, a particular focus will be on increasing the capacities of national legal training institutions, such as police or judicial academies, to act as multipliers, supplemented by making available specifically designed training material on building respect for IP. Program 17 will also support the development of national awareness raising strategies aimed at reducing IP infringement through behavioral change.  This will be complemented by activities aimed at increasing popular understanding of the value of IP, such as </w:t>
      </w:r>
      <w:r w:rsidRPr="003971D8">
        <w:rPr>
          <w:rFonts w:ascii="Arial" w:hAnsi="Arial" w:cs="Arial"/>
          <w:sz w:val="20"/>
        </w:rPr>
        <w:lastRenderedPageBreak/>
        <w:t xml:space="preserve">competitions on the occasion of the annual IP Day and the WIPO Awards Program, with a particular focus on helping young people appreciate the benefits of IP for society.  Technical assistance activities are guided by DA Recommendations 1, 6, 12, 13, 14, 17 (legislative, regulatory, and policy assistance), 45 (legislative, regulatory, and policy assistance) and 3, 10 and 11 (capacity building and awareness raising). </w:t>
      </w:r>
    </w:p>
    <w:p w14:paraId="18751B98" w14:textId="77777777" w:rsidR="003971D8" w:rsidRDefault="003971D8" w:rsidP="00E641D8">
      <w:pPr>
        <w:jc w:val="both"/>
        <w:rPr>
          <w:rFonts w:ascii="Arial" w:hAnsi="Arial" w:cs="Arial"/>
          <w:sz w:val="20"/>
        </w:rPr>
      </w:pPr>
    </w:p>
    <w:p w14:paraId="12447EB4" w14:textId="3F2234A9" w:rsidR="007A5A68" w:rsidRPr="00B70B7D" w:rsidRDefault="007A5A68" w:rsidP="00B66A4A">
      <w:pPr>
        <w:numPr>
          <w:ilvl w:val="0"/>
          <w:numId w:val="22"/>
        </w:numPr>
        <w:jc w:val="both"/>
        <w:rPr>
          <w:rFonts w:ascii="Arial" w:hAnsi="Arial" w:cs="Arial"/>
          <w:sz w:val="20"/>
        </w:rPr>
      </w:pPr>
      <w:r w:rsidRPr="00B70B7D">
        <w:rPr>
          <w:rFonts w:ascii="Arial" w:hAnsi="Arial" w:cs="Arial"/>
          <w:sz w:val="20"/>
        </w:rPr>
        <w:t>Program 1</w:t>
      </w:r>
      <w:r>
        <w:rPr>
          <w:rFonts w:ascii="Arial" w:hAnsi="Arial" w:cs="Arial"/>
          <w:sz w:val="20"/>
        </w:rPr>
        <w:t>7</w:t>
      </w:r>
      <w:r w:rsidRPr="00B70B7D">
        <w:rPr>
          <w:rFonts w:ascii="Arial" w:hAnsi="Arial" w:cs="Arial"/>
          <w:sz w:val="20"/>
        </w:rPr>
        <w:t xml:space="preserve"> collaborates primarily with other Programs as illustrated below: </w:t>
      </w:r>
    </w:p>
    <w:p w14:paraId="67967647" w14:textId="77777777" w:rsidR="007A5A68" w:rsidRPr="003971D8" w:rsidRDefault="007A5A68" w:rsidP="00E641D8">
      <w:pPr>
        <w:jc w:val="both"/>
        <w:rPr>
          <w:rFonts w:ascii="Arial" w:hAnsi="Arial" w:cs="Arial"/>
          <w:sz w:val="20"/>
        </w:rPr>
      </w:pPr>
    </w:p>
    <w:p w14:paraId="5FB04A11" w14:textId="77777777" w:rsidR="003971D8" w:rsidRPr="003971D8" w:rsidRDefault="003971D8" w:rsidP="00E641D8">
      <w:pPr>
        <w:jc w:val="both"/>
        <w:rPr>
          <w:rFonts w:ascii="Arial" w:hAnsi="Arial" w:cs="Arial"/>
        </w:rPr>
      </w:pPr>
      <w:r w:rsidRPr="003971D8">
        <w:rPr>
          <w:rFonts w:ascii="Arial" w:hAnsi="Arial" w:cs="Arial"/>
          <w:noProof/>
          <w:lang w:eastAsia="en-US"/>
        </w:rPr>
        <w:drawing>
          <wp:inline distT="0" distB="0" distL="0" distR="0" wp14:anchorId="3D278E8A" wp14:editId="31941309">
            <wp:extent cx="5940425" cy="1793875"/>
            <wp:effectExtent l="38100" t="38100" r="60325" b="0"/>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8" r:lo="rId159" r:qs="rId160" r:cs="rId161"/>
              </a:graphicData>
            </a:graphic>
          </wp:inline>
        </w:drawing>
      </w:r>
    </w:p>
    <w:p w14:paraId="091662B1" w14:textId="77777777" w:rsidR="003971D8" w:rsidRPr="003971D8" w:rsidRDefault="003971D8" w:rsidP="00E641D8">
      <w:pPr>
        <w:jc w:val="both"/>
        <w:rPr>
          <w:rFonts w:ascii="Arial" w:hAnsi="Arial" w:cs="Arial"/>
        </w:rPr>
      </w:pPr>
    </w:p>
    <w:p w14:paraId="3AD4E516" w14:textId="77777777" w:rsidR="003971D8" w:rsidRPr="003971D8" w:rsidRDefault="003971D8" w:rsidP="00E641D8">
      <w:pPr>
        <w:jc w:val="both"/>
        <w:rPr>
          <w:rFonts w:ascii="Arial" w:eastAsia="Times New Roman" w:hAnsi="Arial" w:cs="Arial"/>
          <w:lang w:eastAsia="en-US"/>
        </w:rPr>
      </w:pPr>
    </w:p>
    <w:p w14:paraId="14654D18" w14:textId="77777777" w:rsidR="003971D8" w:rsidRPr="003971D8" w:rsidRDefault="003971D8" w:rsidP="00E641D8">
      <w:pPr>
        <w:rPr>
          <w:rFonts w:ascii="Arial" w:hAnsi="Arial" w:cs="Arial"/>
          <w:lang w:eastAsia="en-US"/>
        </w:rPr>
      </w:pPr>
      <w:r w:rsidRPr="003971D8">
        <w:rPr>
          <w:rFonts w:ascii="Arial" w:hAnsi="Arial" w:cs="Arial"/>
          <w:lang w:eastAsia="en-US"/>
        </w:rPr>
        <w:t>MAJOR RISKS AND MITIGATION STRATEGIES</w:t>
      </w:r>
    </w:p>
    <w:p w14:paraId="0D4B4BDE" w14:textId="77777777" w:rsidR="003971D8" w:rsidRPr="003971D8" w:rsidRDefault="003971D8" w:rsidP="00E641D8">
      <w:pPr>
        <w:rPr>
          <w:rFonts w:ascii="Arial" w:eastAsia="Times New Roman" w:hAnsi="Arial" w:cs="Arial"/>
          <w:sz w:val="24"/>
          <w:lang w:eastAsia="en-US"/>
        </w:rPr>
      </w:pP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3971D8" w:rsidRPr="003971D8" w14:paraId="6C72879F" w14:textId="77777777" w:rsidTr="00E641D8">
        <w:trPr>
          <w:trHeight w:val="577"/>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14:paraId="1CAA3554" w14:textId="77777777" w:rsidR="003971D8" w:rsidRPr="003971D8" w:rsidRDefault="003971D8" w:rsidP="00E641D8">
            <w:pPr>
              <w:jc w:val="center"/>
              <w:rPr>
                <w:rFonts w:ascii="Arial" w:eastAsiaTheme="minorHAnsi" w:hAnsi="Arial" w:cs="Arial"/>
                <w:b/>
                <w:bCs/>
                <w:sz w:val="18"/>
                <w:szCs w:val="18"/>
                <w:lang w:eastAsia="en-US"/>
              </w:rPr>
            </w:pPr>
            <w:r w:rsidRPr="003971D8">
              <w:rPr>
                <w:rFonts w:ascii="Arial" w:eastAsia="Times New Roman" w:hAnsi="Arial" w:cs="Arial"/>
                <w:b/>
                <w:bCs/>
                <w:sz w:val="18"/>
                <w:szCs w:val="18"/>
                <w:lang w:eastAsia="en-US"/>
              </w:rPr>
              <w:t>Risk</w:t>
            </w:r>
          </w:p>
        </w:tc>
        <w:tc>
          <w:tcPr>
            <w:tcW w:w="4961"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14:paraId="48CC9B67" w14:textId="77777777" w:rsidR="003971D8" w:rsidRPr="003971D8" w:rsidRDefault="003971D8" w:rsidP="00E641D8">
            <w:pPr>
              <w:jc w:val="center"/>
              <w:rPr>
                <w:rFonts w:ascii="Arial" w:eastAsiaTheme="minorHAnsi" w:hAnsi="Arial" w:cs="Arial"/>
                <w:b/>
                <w:bCs/>
                <w:sz w:val="18"/>
                <w:szCs w:val="18"/>
                <w:lang w:eastAsia="en-US"/>
              </w:rPr>
            </w:pPr>
            <w:r w:rsidRPr="003971D8">
              <w:rPr>
                <w:rFonts w:ascii="Arial" w:eastAsia="Times New Roman" w:hAnsi="Arial" w:cs="Arial"/>
                <w:b/>
                <w:bCs/>
                <w:sz w:val="18"/>
                <w:szCs w:val="18"/>
                <w:lang w:eastAsia="en-US"/>
              </w:rPr>
              <w:t>Mitigation</w:t>
            </w:r>
          </w:p>
        </w:tc>
      </w:tr>
      <w:tr w:rsidR="003971D8" w:rsidRPr="003971D8" w14:paraId="359637E1" w14:textId="77777777" w:rsidTr="00E641D8">
        <w:trPr>
          <w:trHeight w:val="309"/>
        </w:trPr>
        <w:tc>
          <w:tcPr>
            <w:tcW w:w="4253" w:type="dxa"/>
            <w:tcBorders>
              <w:top w:val="nil"/>
              <w:left w:val="single" w:sz="8" w:space="0" w:color="auto"/>
              <w:bottom w:val="nil"/>
              <w:right w:val="nil"/>
            </w:tcBorders>
            <w:tcMar>
              <w:top w:w="113" w:type="dxa"/>
              <w:left w:w="108" w:type="dxa"/>
              <w:bottom w:w="113" w:type="dxa"/>
              <w:right w:w="108" w:type="dxa"/>
            </w:tcMar>
            <w:hideMark/>
          </w:tcPr>
          <w:p w14:paraId="00C9CA5D" w14:textId="77777777" w:rsidR="003971D8" w:rsidRPr="003971D8" w:rsidRDefault="003971D8" w:rsidP="00E641D8">
            <w:pPr>
              <w:rPr>
                <w:rFonts w:ascii="Arial" w:eastAsiaTheme="minorHAnsi" w:hAnsi="Arial" w:cs="Arial"/>
                <w:sz w:val="16"/>
                <w:szCs w:val="16"/>
                <w:lang w:eastAsia="en-US"/>
              </w:rPr>
            </w:pPr>
            <w:r w:rsidRPr="003971D8">
              <w:rPr>
                <w:rFonts w:ascii="Arial" w:eastAsia="Times New Roman" w:hAnsi="Arial" w:cs="Arial"/>
                <w:sz w:val="16"/>
                <w:szCs w:val="16"/>
                <w:lang w:eastAsia="en-US"/>
              </w:rPr>
              <w:t xml:space="preserve">Lack of agreement among, and of political support by, Member States in the work of WIPO in the field of building respect for IP.  WIPO’s role in building respect for IP may be compromised.   </w:t>
            </w:r>
          </w:p>
        </w:tc>
        <w:tc>
          <w:tcPr>
            <w:tcW w:w="4961" w:type="dxa"/>
            <w:tcBorders>
              <w:top w:val="nil"/>
              <w:left w:val="nil"/>
              <w:bottom w:val="nil"/>
              <w:right w:val="single" w:sz="8" w:space="0" w:color="auto"/>
            </w:tcBorders>
            <w:tcMar>
              <w:top w:w="113" w:type="dxa"/>
              <w:left w:w="108" w:type="dxa"/>
              <w:bottom w:w="113" w:type="dxa"/>
              <w:right w:w="108" w:type="dxa"/>
            </w:tcMar>
            <w:hideMark/>
          </w:tcPr>
          <w:p w14:paraId="5864FEF7" w14:textId="77777777" w:rsidR="003971D8" w:rsidRPr="003971D8" w:rsidRDefault="003971D8" w:rsidP="00E641D8">
            <w:pPr>
              <w:rPr>
                <w:rFonts w:ascii="Arial" w:eastAsiaTheme="minorHAnsi" w:hAnsi="Arial" w:cs="Arial"/>
                <w:sz w:val="16"/>
                <w:szCs w:val="16"/>
                <w:lang w:eastAsia="en-US"/>
              </w:rPr>
            </w:pPr>
            <w:r w:rsidRPr="003971D8">
              <w:rPr>
                <w:rFonts w:ascii="Arial" w:eastAsia="Times New Roman" w:hAnsi="Arial" w:cs="Arial"/>
                <w:sz w:val="16"/>
                <w:szCs w:val="16"/>
                <w:lang w:eastAsia="en-US"/>
              </w:rPr>
              <w:t>Engage in regular consultations with Member States aiming at facilitating the convergence of Member State views on the relevance, the work and the policy function of the ACE and related capacity building activities.  Rigorous standards are applied in all activities, ensuring high quality, transparency, neutrality and a balanced approach.</w:t>
            </w:r>
          </w:p>
        </w:tc>
      </w:tr>
      <w:tr w:rsidR="003971D8" w:rsidRPr="003971D8" w14:paraId="443A0C2D" w14:textId="77777777" w:rsidTr="00E641D8">
        <w:trPr>
          <w:trHeight w:val="1188"/>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14:paraId="5EEA7220" w14:textId="77777777" w:rsidR="003971D8" w:rsidRPr="003971D8" w:rsidRDefault="003971D8" w:rsidP="00E641D8">
            <w:pPr>
              <w:rPr>
                <w:rFonts w:ascii="Arial" w:eastAsiaTheme="minorHAnsi" w:hAnsi="Arial" w:cs="Arial"/>
                <w:sz w:val="16"/>
                <w:szCs w:val="16"/>
                <w:lang w:eastAsia="en-US"/>
              </w:rPr>
            </w:pPr>
            <w:r w:rsidRPr="003971D8">
              <w:rPr>
                <w:rFonts w:ascii="Arial" w:eastAsia="Times New Roman" w:hAnsi="Arial" w:cs="Arial"/>
                <w:sz w:val="16"/>
                <w:szCs w:val="16"/>
                <w:lang w:eastAsia="en-US"/>
              </w:rPr>
              <w:t>Countries/stakeholders turning away from WIPO to look towards other international or regional organizations developing activities in the area of building respect for IP.</w:t>
            </w: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14:paraId="63292916" w14:textId="77777777" w:rsidR="003971D8" w:rsidRPr="003971D8" w:rsidRDefault="003971D8" w:rsidP="00E641D8">
            <w:pPr>
              <w:rPr>
                <w:rFonts w:ascii="Arial" w:eastAsiaTheme="minorHAnsi" w:hAnsi="Arial" w:cs="Arial"/>
                <w:sz w:val="16"/>
                <w:szCs w:val="16"/>
                <w:lang w:eastAsia="en-US"/>
              </w:rPr>
            </w:pPr>
            <w:r w:rsidRPr="003971D8">
              <w:rPr>
                <w:rFonts w:ascii="Arial" w:eastAsia="Times New Roman" w:hAnsi="Arial" w:cs="Arial"/>
                <w:sz w:val="16"/>
                <w:szCs w:val="16"/>
                <w:lang w:eastAsia="en-US"/>
              </w:rPr>
              <w:t>Leverage partnerships, identify and build synergies with clear, delineated roles between the partners.</w:t>
            </w:r>
          </w:p>
          <w:p w14:paraId="3D1A2DAC" w14:textId="77777777" w:rsidR="003971D8" w:rsidRPr="003971D8" w:rsidRDefault="003971D8" w:rsidP="00E641D8">
            <w:pPr>
              <w:rPr>
                <w:rFonts w:ascii="Arial" w:eastAsia="Times New Roman" w:hAnsi="Arial" w:cs="Arial"/>
                <w:sz w:val="16"/>
                <w:szCs w:val="16"/>
                <w:lang w:eastAsia="en-US"/>
              </w:rPr>
            </w:pPr>
          </w:p>
          <w:p w14:paraId="305702EA" w14:textId="77777777" w:rsidR="003971D8" w:rsidRPr="003971D8" w:rsidRDefault="003971D8" w:rsidP="00E641D8">
            <w:pPr>
              <w:rPr>
                <w:rFonts w:ascii="Arial" w:eastAsia="Times New Roman" w:hAnsi="Arial" w:cs="Arial"/>
                <w:sz w:val="16"/>
                <w:szCs w:val="16"/>
                <w:lang w:eastAsia="en-US"/>
              </w:rPr>
            </w:pPr>
            <w:r w:rsidRPr="003971D8">
              <w:rPr>
                <w:rFonts w:ascii="Arial" w:eastAsia="Times New Roman" w:hAnsi="Arial" w:cs="Arial"/>
                <w:sz w:val="16"/>
                <w:szCs w:val="16"/>
                <w:lang w:eastAsia="en-US"/>
              </w:rPr>
              <w:t>Integrate activities and strategies on building respect for IP into IP national policies in cooperation with WIPO regional bureaus and the Department for Transition and Developed Countries.</w:t>
            </w:r>
          </w:p>
          <w:p w14:paraId="1517A646" w14:textId="77777777" w:rsidR="003971D8" w:rsidRPr="003971D8" w:rsidRDefault="003971D8" w:rsidP="00E641D8">
            <w:pPr>
              <w:rPr>
                <w:rFonts w:ascii="Arial" w:eastAsia="Times New Roman" w:hAnsi="Arial" w:cs="Arial"/>
                <w:sz w:val="16"/>
                <w:szCs w:val="16"/>
                <w:lang w:eastAsia="en-US"/>
              </w:rPr>
            </w:pPr>
          </w:p>
          <w:p w14:paraId="4752880C" w14:textId="77777777" w:rsidR="003971D8" w:rsidRPr="003971D8" w:rsidRDefault="003971D8" w:rsidP="00E641D8">
            <w:pPr>
              <w:rPr>
                <w:rFonts w:ascii="Arial" w:eastAsiaTheme="minorHAnsi" w:hAnsi="Arial" w:cs="Arial"/>
                <w:sz w:val="16"/>
                <w:szCs w:val="16"/>
                <w:lang w:eastAsia="en-US"/>
              </w:rPr>
            </w:pPr>
            <w:r w:rsidRPr="003971D8">
              <w:rPr>
                <w:rFonts w:ascii="Arial" w:eastAsia="Times New Roman" w:hAnsi="Arial" w:cs="Arial"/>
                <w:sz w:val="16"/>
                <w:szCs w:val="16"/>
                <w:lang w:eastAsia="en-US"/>
              </w:rPr>
              <w:t>Focus on policy-oriented activities where WIPO can offer a distinct role and competitive advantage.</w:t>
            </w:r>
          </w:p>
        </w:tc>
      </w:tr>
    </w:tbl>
    <w:p w14:paraId="01F1EFB2" w14:textId="77777777" w:rsidR="003971D8" w:rsidRPr="003971D8" w:rsidRDefault="003971D8" w:rsidP="00E641D8">
      <w:pPr>
        <w:rPr>
          <w:rFonts w:ascii="Arial" w:eastAsiaTheme="minorHAnsi" w:hAnsi="Arial" w:cs="Arial"/>
          <w:lang w:eastAsia="en-US"/>
        </w:rPr>
      </w:pPr>
    </w:p>
    <w:p w14:paraId="39852EDF" w14:textId="77777777" w:rsidR="003971D8" w:rsidRPr="003971D8" w:rsidRDefault="003971D8" w:rsidP="00E641D8">
      <w:pPr>
        <w:rPr>
          <w:rFonts w:ascii="Arial" w:eastAsiaTheme="minorHAnsi" w:hAnsi="Arial" w:cs="Arial"/>
          <w:lang w:eastAsia="en-US"/>
        </w:rPr>
      </w:pPr>
    </w:p>
    <w:p w14:paraId="4563E520" w14:textId="77777777" w:rsidR="003971D8" w:rsidRPr="003971D8" w:rsidRDefault="003971D8" w:rsidP="00FD3ECD">
      <w:pPr>
        <w:rPr>
          <w:rFonts w:ascii="Arial" w:eastAsiaTheme="minorHAnsi" w:hAnsi="Arial" w:cs="Arial"/>
          <w:lang w:eastAsia="en-US"/>
        </w:rPr>
      </w:pPr>
      <w:r w:rsidRPr="003971D8">
        <w:rPr>
          <w:rFonts w:ascii="Arial" w:eastAsiaTheme="minorHAnsi" w:hAnsi="Arial" w:cs="Arial"/>
          <w:lang w:eastAsia="en-US"/>
        </w:rPr>
        <w:t>RESULTS FRAMEWORK</w:t>
      </w:r>
    </w:p>
    <w:p w14:paraId="2459CB60" w14:textId="77777777" w:rsidR="003971D8" w:rsidRPr="003971D8" w:rsidRDefault="003971D8" w:rsidP="00FD3ECD">
      <w:pPr>
        <w:jc w:val="both"/>
        <w:rPr>
          <w:rFonts w:ascii="Arial" w:hAnsi="Arial" w:cs="Arial"/>
        </w:rPr>
      </w:pPr>
    </w:p>
    <w:tbl>
      <w:tblPr>
        <w:tblW w:w="9229" w:type="dxa"/>
        <w:tblInd w:w="93" w:type="dxa"/>
        <w:tblLook w:val="04A0" w:firstRow="1" w:lastRow="0" w:firstColumn="1" w:lastColumn="0" w:noHBand="0" w:noVBand="1"/>
      </w:tblPr>
      <w:tblGrid>
        <w:gridCol w:w="2480"/>
        <w:gridCol w:w="2660"/>
        <w:gridCol w:w="2120"/>
        <w:gridCol w:w="1969"/>
      </w:tblGrid>
      <w:tr w:rsidR="003971D8" w:rsidRPr="003971D8" w14:paraId="1ECA3706" w14:textId="77777777" w:rsidTr="00FD3ECD">
        <w:trPr>
          <w:trHeight w:val="466"/>
          <w:tblHeader/>
        </w:trPr>
        <w:tc>
          <w:tcPr>
            <w:tcW w:w="24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23DBF80B" w14:textId="77777777" w:rsidR="003971D8" w:rsidRPr="003971D8" w:rsidRDefault="003971D8" w:rsidP="00FD3ECD">
            <w:pPr>
              <w:jc w:val="center"/>
              <w:rPr>
                <w:rFonts w:ascii="Arial" w:eastAsia="Times New Roman" w:hAnsi="Arial" w:cs="Arial"/>
                <w:b/>
                <w:bCs/>
                <w:color w:val="000000"/>
                <w:sz w:val="18"/>
                <w:szCs w:val="18"/>
                <w:lang w:eastAsia="en-US"/>
              </w:rPr>
            </w:pPr>
            <w:r w:rsidRPr="003971D8">
              <w:rPr>
                <w:rFonts w:ascii="Arial" w:eastAsia="Times New Roman" w:hAnsi="Arial" w:cs="Arial"/>
                <w:b/>
                <w:bCs/>
                <w:color w:val="000000"/>
                <w:sz w:val="18"/>
                <w:szCs w:val="18"/>
                <w:lang w:eastAsia="en-US"/>
              </w:rPr>
              <w:t>Expected Results</w:t>
            </w:r>
          </w:p>
        </w:tc>
        <w:tc>
          <w:tcPr>
            <w:tcW w:w="266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8C7937D" w14:textId="77777777" w:rsidR="003971D8" w:rsidRPr="003971D8" w:rsidRDefault="003971D8" w:rsidP="00FD3ECD">
            <w:pPr>
              <w:jc w:val="center"/>
              <w:rPr>
                <w:rFonts w:ascii="Arial" w:eastAsia="Times New Roman" w:hAnsi="Arial" w:cs="Arial"/>
                <w:b/>
                <w:bCs/>
                <w:color w:val="000000"/>
                <w:sz w:val="18"/>
                <w:szCs w:val="18"/>
                <w:lang w:eastAsia="en-US"/>
              </w:rPr>
            </w:pPr>
            <w:r w:rsidRPr="003971D8">
              <w:rPr>
                <w:rFonts w:ascii="Arial" w:eastAsia="Times New Roman" w:hAnsi="Arial" w:cs="Arial"/>
                <w:b/>
                <w:bCs/>
                <w:color w:val="000000"/>
                <w:sz w:val="18"/>
                <w:szCs w:val="18"/>
                <w:lang w:eastAsia="en-US"/>
              </w:rPr>
              <w:t>Performance Indicators</w:t>
            </w:r>
          </w:p>
        </w:tc>
        <w:tc>
          <w:tcPr>
            <w:tcW w:w="212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2B7205EB" w14:textId="77777777" w:rsidR="003971D8" w:rsidRPr="003971D8" w:rsidRDefault="003971D8" w:rsidP="00FD3ECD">
            <w:pPr>
              <w:jc w:val="center"/>
              <w:rPr>
                <w:rFonts w:ascii="Arial" w:eastAsia="Times New Roman" w:hAnsi="Arial" w:cs="Arial"/>
                <w:b/>
                <w:bCs/>
                <w:color w:val="000000"/>
                <w:sz w:val="18"/>
                <w:szCs w:val="18"/>
                <w:lang w:eastAsia="en-US"/>
              </w:rPr>
            </w:pPr>
            <w:r w:rsidRPr="003971D8">
              <w:rPr>
                <w:rFonts w:ascii="Arial" w:eastAsia="Times New Roman" w:hAnsi="Arial" w:cs="Arial"/>
                <w:b/>
                <w:bCs/>
                <w:color w:val="000000"/>
                <w:sz w:val="18"/>
                <w:szCs w:val="18"/>
                <w:lang w:eastAsia="en-US"/>
              </w:rPr>
              <w:t>Baselines</w:t>
            </w:r>
          </w:p>
        </w:tc>
        <w:tc>
          <w:tcPr>
            <w:tcW w:w="196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5059C43D" w14:textId="77777777" w:rsidR="003971D8" w:rsidRPr="003971D8" w:rsidRDefault="003971D8" w:rsidP="00FD3ECD">
            <w:pPr>
              <w:jc w:val="center"/>
              <w:rPr>
                <w:rFonts w:ascii="Arial" w:eastAsia="Times New Roman" w:hAnsi="Arial" w:cs="Arial"/>
                <w:b/>
                <w:bCs/>
                <w:color w:val="000000"/>
                <w:sz w:val="18"/>
                <w:szCs w:val="18"/>
                <w:lang w:eastAsia="en-US"/>
              </w:rPr>
            </w:pPr>
            <w:r w:rsidRPr="003971D8">
              <w:rPr>
                <w:rFonts w:ascii="Arial" w:eastAsia="Times New Roman" w:hAnsi="Arial" w:cs="Arial"/>
                <w:b/>
                <w:bCs/>
                <w:color w:val="000000"/>
                <w:sz w:val="18"/>
                <w:szCs w:val="18"/>
                <w:lang w:eastAsia="en-US"/>
              </w:rPr>
              <w:t>Targets</w:t>
            </w:r>
          </w:p>
        </w:tc>
      </w:tr>
      <w:tr w:rsidR="003971D8" w:rsidRPr="003971D8" w14:paraId="4A0AA1AE" w14:textId="77777777" w:rsidTr="00FD3ECD">
        <w:trPr>
          <w:trHeight w:val="1793"/>
        </w:trPr>
        <w:tc>
          <w:tcPr>
            <w:tcW w:w="2480" w:type="dxa"/>
            <w:vMerge w:val="restart"/>
            <w:tcBorders>
              <w:top w:val="single" w:sz="4" w:space="0" w:color="auto"/>
              <w:left w:val="single" w:sz="4" w:space="0" w:color="auto"/>
              <w:bottom w:val="single" w:sz="4" w:space="0" w:color="auto"/>
              <w:right w:val="nil"/>
            </w:tcBorders>
            <w:shd w:val="clear" w:color="000000" w:fill="FFFFFF"/>
            <w:tcMar>
              <w:top w:w="85" w:type="dxa"/>
            </w:tcMar>
            <w:hideMark/>
          </w:tcPr>
          <w:p w14:paraId="4EAD9302" w14:textId="77777777" w:rsidR="003971D8" w:rsidRPr="003971D8" w:rsidRDefault="003971D8" w:rsidP="00FD3ECD">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I.2 Tailored and balanced IP legislative, regulatory and policy frameworks</w:t>
            </w:r>
          </w:p>
        </w:tc>
        <w:tc>
          <w:tcPr>
            <w:tcW w:w="2660" w:type="dxa"/>
            <w:tcBorders>
              <w:top w:val="single" w:sz="4" w:space="0" w:color="auto"/>
              <w:left w:val="nil"/>
              <w:bottom w:val="single" w:sz="4" w:space="0" w:color="auto"/>
              <w:right w:val="nil"/>
            </w:tcBorders>
            <w:shd w:val="clear" w:color="000000" w:fill="FFFFFF"/>
            <w:tcMar>
              <w:top w:w="85" w:type="dxa"/>
            </w:tcMar>
            <w:hideMark/>
          </w:tcPr>
          <w:p w14:paraId="73ED858C" w14:textId="6D92E5E3"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No. of countries/regional organizations having adopted or amended relevant frameworks towards effective IP enforcement in the light of Part III of the TRIPS Agreement</w:t>
            </w:r>
            <w:r w:rsidR="00F56680">
              <w:rPr>
                <w:rFonts w:ascii="Arial" w:eastAsia="Times New Roman" w:hAnsi="Arial" w:cs="Arial"/>
                <w:color w:val="000000"/>
                <w:sz w:val="16"/>
                <w:szCs w:val="16"/>
                <w:lang w:eastAsia="en-US"/>
              </w:rPr>
              <w:t xml:space="preserve"> </w:t>
            </w:r>
            <w:r w:rsidR="00F56680" w:rsidRPr="00F56680">
              <w:rPr>
                <w:rFonts w:ascii="Arial" w:eastAsia="Times New Roman" w:hAnsi="Arial" w:cs="Arial"/>
                <w:color w:val="000000"/>
                <w:sz w:val="16"/>
                <w:szCs w:val="16"/>
                <w:lang w:eastAsia="en-US"/>
              </w:rPr>
              <w:t>and DA Recommendation 45</w:t>
            </w:r>
            <w:r w:rsidRPr="003971D8">
              <w:rPr>
                <w:rFonts w:ascii="Arial" w:eastAsia="Times New Roman" w:hAnsi="Arial" w:cs="Arial"/>
                <w:color w:val="000000"/>
                <w:sz w:val="16"/>
                <w:szCs w:val="16"/>
                <w:lang w:eastAsia="en-US"/>
              </w:rPr>
              <w:t>, or being in the process of doing so, further to WIPO assistance</w:t>
            </w:r>
          </w:p>
        </w:tc>
        <w:tc>
          <w:tcPr>
            <w:tcW w:w="2120" w:type="dxa"/>
            <w:tcBorders>
              <w:top w:val="single" w:sz="4" w:space="0" w:color="auto"/>
              <w:left w:val="nil"/>
              <w:bottom w:val="single" w:sz="4" w:space="0" w:color="auto"/>
              <w:right w:val="nil"/>
            </w:tcBorders>
            <w:shd w:val="clear" w:color="000000" w:fill="FFFFFF"/>
            <w:tcMar>
              <w:top w:w="85" w:type="dxa"/>
            </w:tcMar>
            <w:hideMark/>
          </w:tcPr>
          <w:p w14:paraId="7A29332F" w14:textId="77777777" w:rsidR="003971D8" w:rsidRPr="003971D8" w:rsidRDefault="003971D8" w:rsidP="00FD3ECD">
            <w:pPr>
              <w:ind w:firstLineChars="7" w:firstLine="1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13 countries in the process of amending and/or adopting relevant frameworks towards effective IP enforcement</w:t>
            </w:r>
            <w:r w:rsidRPr="003971D8">
              <w:rPr>
                <w:rFonts w:ascii="Arial" w:eastAsia="Times New Roman" w:hAnsi="Arial" w:cs="Arial"/>
                <w:color w:val="000000"/>
                <w:sz w:val="16"/>
                <w:szCs w:val="16"/>
                <w:lang w:eastAsia="en-US"/>
              </w:rPr>
              <w:br/>
              <w:t>(as at February 15, 2015)</w:t>
            </w:r>
          </w:p>
        </w:tc>
        <w:tc>
          <w:tcPr>
            <w:tcW w:w="1969" w:type="dxa"/>
            <w:tcBorders>
              <w:top w:val="single" w:sz="4" w:space="0" w:color="auto"/>
              <w:left w:val="nil"/>
              <w:bottom w:val="single" w:sz="4" w:space="0" w:color="auto"/>
              <w:right w:val="single" w:sz="4" w:space="0" w:color="auto"/>
            </w:tcBorders>
            <w:shd w:val="clear" w:color="000000" w:fill="FFFFFF"/>
            <w:tcMar>
              <w:top w:w="85" w:type="dxa"/>
            </w:tcMar>
            <w:hideMark/>
          </w:tcPr>
          <w:p w14:paraId="199D7E80" w14:textId="77777777" w:rsidR="003971D8" w:rsidRPr="003971D8" w:rsidRDefault="003971D8" w:rsidP="008D4CE9">
            <w:pPr>
              <w:ind w:left="160"/>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 xml:space="preserve">1 country/regional organization having adopted and/or amended relevant frameworks towards effective IP enforcement </w:t>
            </w:r>
          </w:p>
        </w:tc>
      </w:tr>
      <w:tr w:rsidR="003971D8" w:rsidRPr="003971D8" w14:paraId="296B82B0" w14:textId="77777777" w:rsidTr="00FD3ECD">
        <w:trPr>
          <w:trHeight w:val="1260"/>
        </w:trPr>
        <w:tc>
          <w:tcPr>
            <w:tcW w:w="2480" w:type="dxa"/>
            <w:vMerge/>
            <w:tcBorders>
              <w:top w:val="single" w:sz="4" w:space="0" w:color="auto"/>
              <w:left w:val="single" w:sz="4" w:space="0" w:color="auto"/>
              <w:right w:val="nil"/>
            </w:tcBorders>
            <w:tcMar>
              <w:top w:w="85" w:type="dxa"/>
            </w:tcMar>
            <w:vAlign w:val="center"/>
            <w:hideMark/>
          </w:tcPr>
          <w:p w14:paraId="14E97E5C" w14:textId="77777777" w:rsidR="003971D8" w:rsidRPr="003971D8" w:rsidRDefault="003971D8" w:rsidP="00E641D8">
            <w:pPr>
              <w:rPr>
                <w:rFonts w:ascii="Arial" w:eastAsia="Times New Roman" w:hAnsi="Arial" w:cs="Arial"/>
                <w:color w:val="000000"/>
                <w:sz w:val="16"/>
                <w:szCs w:val="16"/>
                <w:lang w:eastAsia="en-US"/>
              </w:rPr>
            </w:pPr>
          </w:p>
        </w:tc>
        <w:tc>
          <w:tcPr>
            <w:tcW w:w="2660" w:type="dxa"/>
            <w:tcBorders>
              <w:top w:val="single" w:sz="4" w:space="0" w:color="auto"/>
              <w:left w:val="nil"/>
              <w:right w:val="nil"/>
            </w:tcBorders>
            <w:shd w:val="clear" w:color="000000" w:fill="FFFFFF"/>
            <w:tcMar>
              <w:top w:w="85" w:type="dxa"/>
            </w:tcMar>
            <w:hideMark/>
          </w:tcPr>
          <w:p w14:paraId="5CA14359" w14:textId="7B5B938F"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No. of countries that have adopted and/or implemented a national strategy on Building Respect for IP, or are in the process of doing so, with WIPO assistance</w:t>
            </w:r>
          </w:p>
        </w:tc>
        <w:tc>
          <w:tcPr>
            <w:tcW w:w="2120" w:type="dxa"/>
            <w:tcBorders>
              <w:top w:val="single" w:sz="4" w:space="0" w:color="auto"/>
              <w:left w:val="nil"/>
              <w:right w:val="nil"/>
            </w:tcBorders>
            <w:shd w:val="clear" w:color="000000" w:fill="FFFFFF"/>
            <w:tcMar>
              <w:top w:w="85" w:type="dxa"/>
            </w:tcMar>
            <w:hideMark/>
          </w:tcPr>
          <w:p w14:paraId="31A18274" w14:textId="77777777" w:rsidR="003971D8" w:rsidRPr="003971D8" w:rsidRDefault="003971D8" w:rsidP="00E641D8">
            <w:pPr>
              <w:ind w:left="77"/>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2 countries in the process of adopting such strategy</w:t>
            </w:r>
          </w:p>
          <w:p w14:paraId="1C165CCE" w14:textId="77777777" w:rsidR="003971D8" w:rsidRPr="003971D8" w:rsidRDefault="003971D8" w:rsidP="00E641D8">
            <w:pPr>
              <w:ind w:firstLineChars="200" w:firstLine="320"/>
              <w:rPr>
                <w:rFonts w:ascii="Arial" w:eastAsia="Times New Roman" w:hAnsi="Arial" w:cs="Arial"/>
                <w:color w:val="000000"/>
                <w:sz w:val="16"/>
                <w:szCs w:val="16"/>
                <w:lang w:eastAsia="en-US"/>
              </w:rPr>
            </w:pPr>
          </w:p>
        </w:tc>
        <w:tc>
          <w:tcPr>
            <w:tcW w:w="1969" w:type="dxa"/>
            <w:tcBorders>
              <w:top w:val="single" w:sz="4" w:space="0" w:color="auto"/>
              <w:left w:val="nil"/>
              <w:right w:val="single" w:sz="4" w:space="0" w:color="auto"/>
            </w:tcBorders>
            <w:shd w:val="clear" w:color="000000" w:fill="FFFFFF"/>
            <w:tcMar>
              <w:top w:w="85" w:type="dxa"/>
            </w:tcMar>
            <w:hideMark/>
          </w:tcPr>
          <w:p w14:paraId="20F31B50" w14:textId="77777777" w:rsidR="003971D8" w:rsidRPr="003971D8" w:rsidRDefault="003971D8" w:rsidP="00E641D8">
            <w:pPr>
              <w:ind w:left="117"/>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2 countries have adopted such strategy</w:t>
            </w:r>
          </w:p>
        </w:tc>
      </w:tr>
      <w:tr w:rsidR="003971D8" w:rsidRPr="003971D8" w14:paraId="421D59D5" w14:textId="77777777" w:rsidTr="000D7C57">
        <w:trPr>
          <w:trHeight w:val="1449"/>
        </w:trPr>
        <w:tc>
          <w:tcPr>
            <w:tcW w:w="2480" w:type="dxa"/>
            <w:tcBorders>
              <w:left w:val="single" w:sz="4" w:space="0" w:color="auto"/>
              <w:bottom w:val="nil"/>
              <w:right w:val="nil"/>
            </w:tcBorders>
            <w:shd w:val="clear" w:color="000000" w:fill="FFFFFF"/>
            <w:tcMar>
              <w:top w:w="85" w:type="dxa"/>
            </w:tcMar>
            <w:hideMark/>
          </w:tcPr>
          <w:p w14:paraId="1C815D60"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III.2 Enhanced human resource capacities able to deal with the broad range of requirements for the effective use of IP for development in developing countries, LDCs and countries with economies in transition</w:t>
            </w:r>
          </w:p>
        </w:tc>
        <w:tc>
          <w:tcPr>
            <w:tcW w:w="2660" w:type="dxa"/>
            <w:tcBorders>
              <w:left w:val="nil"/>
              <w:bottom w:val="nil"/>
              <w:right w:val="nil"/>
            </w:tcBorders>
            <w:shd w:val="clear" w:color="000000" w:fill="FFFFFF"/>
            <w:tcMar>
              <w:top w:w="85" w:type="dxa"/>
            </w:tcMar>
            <w:hideMark/>
          </w:tcPr>
          <w:p w14:paraId="29E7F1A3" w14:textId="77777777"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 of trained participants reporting satisfaction with the usefulness and relevance of the training provided for the exercising of their professional duties</w:t>
            </w:r>
          </w:p>
        </w:tc>
        <w:tc>
          <w:tcPr>
            <w:tcW w:w="2120" w:type="dxa"/>
            <w:tcBorders>
              <w:left w:val="nil"/>
              <w:bottom w:val="nil"/>
              <w:right w:val="nil"/>
            </w:tcBorders>
            <w:shd w:val="clear" w:color="000000" w:fill="FFFFFF"/>
            <w:tcMar>
              <w:top w:w="85" w:type="dxa"/>
            </w:tcMar>
            <w:hideMark/>
          </w:tcPr>
          <w:p w14:paraId="422DB1D0"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Relevance : 90%</w:t>
            </w:r>
            <w:r w:rsidRPr="003971D8">
              <w:rPr>
                <w:rFonts w:ascii="Arial" w:eastAsia="Times New Roman" w:hAnsi="Arial" w:cs="Arial"/>
                <w:color w:val="000000"/>
                <w:sz w:val="16"/>
                <w:szCs w:val="16"/>
                <w:lang w:eastAsia="en-US"/>
              </w:rPr>
              <w:br/>
              <w:t>Usefulness : 90%</w:t>
            </w:r>
            <w:r w:rsidRPr="003971D8">
              <w:rPr>
                <w:rFonts w:ascii="Arial" w:eastAsia="Times New Roman" w:hAnsi="Arial" w:cs="Arial"/>
                <w:color w:val="000000"/>
                <w:sz w:val="16"/>
                <w:szCs w:val="16"/>
                <w:lang w:eastAsia="en-US"/>
              </w:rPr>
              <w:br/>
              <w:t>(as at February 15, 2015)</w:t>
            </w:r>
          </w:p>
        </w:tc>
        <w:tc>
          <w:tcPr>
            <w:tcW w:w="1969" w:type="dxa"/>
            <w:tcBorders>
              <w:left w:val="nil"/>
              <w:bottom w:val="nil"/>
              <w:right w:val="single" w:sz="4" w:space="0" w:color="auto"/>
            </w:tcBorders>
            <w:shd w:val="clear" w:color="000000" w:fill="FFFFFF"/>
            <w:tcMar>
              <w:top w:w="85" w:type="dxa"/>
            </w:tcMar>
            <w:hideMark/>
          </w:tcPr>
          <w:p w14:paraId="6E0B49DB" w14:textId="77777777" w:rsidR="003971D8" w:rsidRPr="003971D8" w:rsidRDefault="003971D8" w:rsidP="008D4CE9">
            <w:pPr>
              <w:ind w:left="160"/>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Relevance: &gt;85%</w:t>
            </w:r>
            <w:r w:rsidRPr="003971D8">
              <w:rPr>
                <w:rFonts w:ascii="Arial" w:eastAsia="Times New Roman" w:hAnsi="Arial" w:cs="Arial"/>
                <w:color w:val="000000"/>
                <w:sz w:val="16"/>
                <w:szCs w:val="16"/>
                <w:lang w:eastAsia="en-US"/>
              </w:rPr>
              <w:br/>
              <w:t>Usefulness: &gt; 85%</w:t>
            </w:r>
          </w:p>
        </w:tc>
      </w:tr>
      <w:tr w:rsidR="003971D8" w:rsidRPr="003971D8" w14:paraId="322732B2" w14:textId="77777777" w:rsidTr="00E641D8">
        <w:trPr>
          <w:trHeight w:val="1440"/>
        </w:trPr>
        <w:tc>
          <w:tcPr>
            <w:tcW w:w="2480" w:type="dxa"/>
            <w:tcBorders>
              <w:top w:val="nil"/>
              <w:left w:val="single" w:sz="4" w:space="0" w:color="auto"/>
              <w:bottom w:val="nil"/>
              <w:right w:val="nil"/>
            </w:tcBorders>
            <w:shd w:val="clear" w:color="000000" w:fill="FFFFFF"/>
            <w:tcMar>
              <w:top w:w="85" w:type="dxa"/>
            </w:tcMar>
            <w:hideMark/>
          </w:tcPr>
          <w:p w14:paraId="7B0C2335"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VI.1 Progress in the international policy dialogue among WIPO Member States on building respect for IP, guided by Recommendation 45 of the WIPO Development Agenda</w:t>
            </w:r>
          </w:p>
        </w:tc>
        <w:tc>
          <w:tcPr>
            <w:tcW w:w="2660" w:type="dxa"/>
            <w:tcBorders>
              <w:top w:val="nil"/>
              <w:left w:val="nil"/>
              <w:bottom w:val="nil"/>
              <w:right w:val="nil"/>
            </w:tcBorders>
            <w:shd w:val="clear" w:color="000000" w:fill="FFFFFF"/>
            <w:tcMar>
              <w:top w:w="85" w:type="dxa"/>
            </w:tcMar>
            <w:hideMark/>
          </w:tcPr>
          <w:p w14:paraId="1BAF9880" w14:textId="77777777"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Continued agreement by Member States on the substantive work of the WIPO Advisory Committee on Enforcement (ACE), incorporating development-oriented concerns</w:t>
            </w:r>
          </w:p>
        </w:tc>
        <w:tc>
          <w:tcPr>
            <w:tcW w:w="2120" w:type="dxa"/>
            <w:tcBorders>
              <w:top w:val="nil"/>
              <w:left w:val="nil"/>
              <w:bottom w:val="nil"/>
              <w:right w:val="nil"/>
            </w:tcBorders>
            <w:shd w:val="clear" w:color="000000" w:fill="FFFFFF"/>
            <w:tcMar>
              <w:top w:w="85" w:type="dxa"/>
            </w:tcMar>
            <w:hideMark/>
          </w:tcPr>
          <w:p w14:paraId="3A7A1DB9"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Agreement on the work program for the 10th session of the ACE</w:t>
            </w:r>
          </w:p>
        </w:tc>
        <w:tc>
          <w:tcPr>
            <w:tcW w:w="1969" w:type="dxa"/>
            <w:tcBorders>
              <w:top w:val="nil"/>
              <w:left w:val="nil"/>
              <w:bottom w:val="nil"/>
              <w:right w:val="single" w:sz="4" w:space="0" w:color="auto"/>
            </w:tcBorders>
            <w:shd w:val="clear" w:color="000000" w:fill="FFFFFF"/>
            <w:tcMar>
              <w:top w:w="85" w:type="dxa"/>
            </w:tcMar>
            <w:hideMark/>
          </w:tcPr>
          <w:p w14:paraId="79D31706" w14:textId="77777777" w:rsidR="003971D8" w:rsidRPr="003971D8" w:rsidRDefault="003971D8" w:rsidP="008D4CE9">
            <w:pPr>
              <w:ind w:left="160"/>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Agreement on the work program for the next ACE session</w:t>
            </w:r>
          </w:p>
        </w:tc>
      </w:tr>
      <w:tr w:rsidR="003971D8" w:rsidRPr="003971D8" w14:paraId="0AABF250" w14:textId="77777777" w:rsidTr="00E641D8">
        <w:trPr>
          <w:trHeight w:val="1260"/>
        </w:trPr>
        <w:tc>
          <w:tcPr>
            <w:tcW w:w="2480" w:type="dxa"/>
            <w:tcBorders>
              <w:top w:val="nil"/>
              <w:left w:val="single" w:sz="4" w:space="0" w:color="auto"/>
              <w:bottom w:val="nil"/>
              <w:right w:val="nil"/>
            </w:tcBorders>
            <w:shd w:val="clear" w:color="000000" w:fill="FFFFFF"/>
            <w:tcMar>
              <w:top w:w="85" w:type="dxa"/>
            </w:tcMar>
            <w:hideMark/>
          </w:tcPr>
          <w:p w14:paraId="24D0B7B3"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VI.2 Systematic, effective and transparent cooperation and coordination between the work of WIPO and other international organizations in the field of building respect for IP</w:t>
            </w:r>
          </w:p>
        </w:tc>
        <w:tc>
          <w:tcPr>
            <w:tcW w:w="2660" w:type="dxa"/>
            <w:tcBorders>
              <w:top w:val="nil"/>
              <w:left w:val="nil"/>
              <w:bottom w:val="nil"/>
              <w:right w:val="nil"/>
            </w:tcBorders>
            <w:shd w:val="clear" w:color="000000" w:fill="FFFFFF"/>
            <w:tcMar>
              <w:top w:w="85" w:type="dxa"/>
            </w:tcMar>
            <w:hideMark/>
          </w:tcPr>
          <w:p w14:paraId="76240A1E" w14:textId="77777777"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 xml:space="preserve">No. of strategic collaborations or other joint activities with partner organizations on building respect for IP </w:t>
            </w:r>
          </w:p>
        </w:tc>
        <w:tc>
          <w:tcPr>
            <w:tcW w:w="2120" w:type="dxa"/>
            <w:tcBorders>
              <w:top w:val="nil"/>
              <w:left w:val="nil"/>
              <w:bottom w:val="nil"/>
              <w:right w:val="nil"/>
            </w:tcBorders>
            <w:shd w:val="clear" w:color="000000" w:fill="FFFFFF"/>
            <w:tcMar>
              <w:top w:w="85" w:type="dxa"/>
            </w:tcMar>
            <w:hideMark/>
          </w:tcPr>
          <w:p w14:paraId="5FA514A9"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6 strategic collaborations;  24 other joint activities (as at February 15, 2015)</w:t>
            </w:r>
          </w:p>
        </w:tc>
        <w:tc>
          <w:tcPr>
            <w:tcW w:w="1969" w:type="dxa"/>
            <w:tcBorders>
              <w:top w:val="nil"/>
              <w:left w:val="nil"/>
              <w:bottom w:val="nil"/>
              <w:right w:val="single" w:sz="4" w:space="0" w:color="auto"/>
            </w:tcBorders>
            <w:shd w:val="clear" w:color="000000" w:fill="FFFFFF"/>
            <w:tcMar>
              <w:top w:w="85" w:type="dxa"/>
            </w:tcMar>
            <w:hideMark/>
          </w:tcPr>
          <w:p w14:paraId="5B1689A9" w14:textId="77777777" w:rsidR="003971D8" w:rsidRPr="003971D8" w:rsidRDefault="003971D8" w:rsidP="008D4CE9">
            <w:pPr>
              <w:ind w:left="160"/>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6 strategic collaborations;  25 other joint activities</w:t>
            </w:r>
          </w:p>
        </w:tc>
      </w:tr>
      <w:tr w:rsidR="003971D8" w:rsidRPr="003971D8" w14:paraId="2F5555AC" w14:textId="77777777" w:rsidTr="00E641D8">
        <w:trPr>
          <w:trHeight w:val="932"/>
        </w:trPr>
        <w:tc>
          <w:tcPr>
            <w:tcW w:w="2480" w:type="dxa"/>
            <w:tcBorders>
              <w:top w:val="nil"/>
              <w:left w:val="single" w:sz="4" w:space="0" w:color="auto"/>
              <w:bottom w:val="single" w:sz="4" w:space="0" w:color="auto"/>
              <w:right w:val="nil"/>
            </w:tcBorders>
            <w:shd w:val="clear" w:color="000000" w:fill="FFFFFF"/>
            <w:tcMar>
              <w:top w:w="85" w:type="dxa"/>
            </w:tcMar>
            <w:hideMark/>
          </w:tcPr>
          <w:p w14:paraId="017B9958"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VIII.1 More effective communication to a broad public about intellectual property and WIPO’s role</w:t>
            </w:r>
          </w:p>
        </w:tc>
        <w:tc>
          <w:tcPr>
            <w:tcW w:w="2660" w:type="dxa"/>
            <w:tcBorders>
              <w:top w:val="nil"/>
              <w:left w:val="nil"/>
              <w:bottom w:val="single" w:sz="4" w:space="0" w:color="auto"/>
              <w:right w:val="nil"/>
            </w:tcBorders>
            <w:shd w:val="clear" w:color="000000" w:fill="FFFFFF"/>
            <w:tcMar>
              <w:top w:w="85" w:type="dxa"/>
            </w:tcMar>
            <w:hideMark/>
          </w:tcPr>
          <w:p w14:paraId="7DB673DF" w14:textId="77777777" w:rsidR="003971D8" w:rsidRPr="003971D8" w:rsidRDefault="003971D8" w:rsidP="008D4CE9">
            <w:pPr>
              <w:ind w:left="121"/>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No. of Member States participating in the WIPO Awards Program</w:t>
            </w:r>
          </w:p>
        </w:tc>
        <w:tc>
          <w:tcPr>
            <w:tcW w:w="2120" w:type="dxa"/>
            <w:tcBorders>
              <w:top w:val="nil"/>
              <w:left w:val="nil"/>
              <w:bottom w:val="single" w:sz="4" w:space="0" w:color="auto"/>
              <w:right w:val="nil"/>
            </w:tcBorders>
            <w:shd w:val="clear" w:color="000000" w:fill="FFFFFF"/>
            <w:tcMar>
              <w:top w:w="85" w:type="dxa"/>
            </w:tcMar>
            <w:hideMark/>
          </w:tcPr>
          <w:p w14:paraId="5B8826F9" w14:textId="77777777" w:rsidR="003971D8" w:rsidRPr="003971D8" w:rsidRDefault="003971D8" w:rsidP="00E641D8">
            <w:pPr>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38 (in 2014)</w:t>
            </w:r>
          </w:p>
        </w:tc>
        <w:tc>
          <w:tcPr>
            <w:tcW w:w="1969" w:type="dxa"/>
            <w:tcBorders>
              <w:top w:val="nil"/>
              <w:left w:val="nil"/>
              <w:bottom w:val="single" w:sz="4" w:space="0" w:color="auto"/>
              <w:right w:val="single" w:sz="4" w:space="0" w:color="auto"/>
            </w:tcBorders>
            <w:shd w:val="clear" w:color="000000" w:fill="FFFFFF"/>
            <w:tcMar>
              <w:top w:w="85" w:type="dxa"/>
            </w:tcMar>
            <w:hideMark/>
          </w:tcPr>
          <w:p w14:paraId="114C1885" w14:textId="77777777" w:rsidR="003971D8" w:rsidRPr="003971D8" w:rsidRDefault="003971D8" w:rsidP="00E641D8">
            <w:pPr>
              <w:ind w:firstLineChars="200" w:firstLine="320"/>
              <w:rPr>
                <w:rFonts w:ascii="Arial" w:eastAsia="Times New Roman" w:hAnsi="Arial" w:cs="Arial"/>
                <w:color w:val="000000"/>
                <w:sz w:val="16"/>
                <w:szCs w:val="16"/>
                <w:lang w:eastAsia="en-US"/>
              </w:rPr>
            </w:pPr>
            <w:r w:rsidRPr="003971D8">
              <w:rPr>
                <w:rFonts w:ascii="Arial" w:eastAsia="Times New Roman" w:hAnsi="Arial" w:cs="Arial"/>
                <w:color w:val="000000"/>
                <w:sz w:val="16"/>
                <w:szCs w:val="16"/>
                <w:lang w:eastAsia="en-US"/>
              </w:rPr>
              <w:t>45 in 2016/17</w:t>
            </w:r>
          </w:p>
        </w:tc>
      </w:tr>
    </w:tbl>
    <w:p w14:paraId="77C47987" w14:textId="77777777" w:rsidR="003971D8" w:rsidRPr="003971D8" w:rsidRDefault="003971D8" w:rsidP="00E641D8">
      <w:pPr>
        <w:jc w:val="both"/>
        <w:rPr>
          <w:rFonts w:ascii="Arial" w:hAnsi="Arial" w:cs="Arial"/>
          <w:sz w:val="20"/>
        </w:rPr>
      </w:pPr>
    </w:p>
    <w:p w14:paraId="50054184" w14:textId="03456BFB" w:rsidR="00FD3ECD" w:rsidRDefault="00FD3ECD">
      <w:pPr>
        <w:rPr>
          <w:rFonts w:ascii="Arial" w:hAnsi="Arial" w:cs="Arial"/>
        </w:rPr>
      </w:pPr>
    </w:p>
    <w:p w14:paraId="41EA596A" w14:textId="23C4CD50" w:rsidR="003971D8" w:rsidRPr="003971D8" w:rsidRDefault="003971D8" w:rsidP="00E641D8">
      <w:pPr>
        <w:jc w:val="both"/>
        <w:rPr>
          <w:rFonts w:ascii="Arial" w:hAnsi="Arial" w:cs="Arial"/>
        </w:rPr>
      </w:pPr>
      <w:r w:rsidRPr="003971D8">
        <w:rPr>
          <w:rFonts w:ascii="Arial" w:hAnsi="Arial" w:cs="Arial"/>
        </w:rPr>
        <w:t>RESOURCES FOR PROGRAM 17</w:t>
      </w:r>
    </w:p>
    <w:p w14:paraId="56750522" w14:textId="77777777" w:rsidR="003971D8" w:rsidRPr="00FB68E0" w:rsidRDefault="003971D8" w:rsidP="00E641D8">
      <w:pPr>
        <w:jc w:val="both"/>
        <w:rPr>
          <w:rFonts w:ascii="Arial" w:hAnsi="Arial" w:cs="Arial"/>
          <w:sz w:val="20"/>
        </w:rPr>
      </w:pPr>
    </w:p>
    <w:p w14:paraId="6252CA15" w14:textId="77777777" w:rsidR="003971D8" w:rsidRPr="003971D8" w:rsidRDefault="003971D8" w:rsidP="00B66A4A">
      <w:pPr>
        <w:numPr>
          <w:ilvl w:val="0"/>
          <w:numId w:val="22"/>
        </w:numPr>
        <w:jc w:val="both"/>
        <w:rPr>
          <w:rFonts w:ascii="Arial" w:hAnsi="Arial" w:cs="Arial"/>
          <w:sz w:val="20"/>
        </w:rPr>
      </w:pPr>
      <w:r w:rsidRPr="00FB68E0">
        <w:rPr>
          <w:rFonts w:ascii="Arial" w:hAnsi="Arial" w:cs="Arial"/>
          <w:sz w:val="20"/>
        </w:rPr>
        <w:t xml:space="preserve">The overall resources for Program 17 </w:t>
      </w:r>
      <w:r w:rsidRPr="003971D8">
        <w:rPr>
          <w:rFonts w:ascii="Arial" w:hAnsi="Arial" w:cs="Arial"/>
          <w:sz w:val="20"/>
        </w:rPr>
        <w:t>in the 2016/17 biennium remain at the same level as the 2014/15 Approved Budget (the decrease compared to the 2014/15 Budget after Transfers reflect a temporary assignment of a legal officer in 2014/15 to the Program).</w:t>
      </w:r>
    </w:p>
    <w:p w14:paraId="1D1F7494" w14:textId="77777777" w:rsidR="003971D8" w:rsidRPr="003971D8" w:rsidRDefault="003971D8" w:rsidP="00E641D8">
      <w:pPr>
        <w:jc w:val="both"/>
        <w:rPr>
          <w:rFonts w:ascii="Arial" w:hAnsi="Arial" w:cs="Arial"/>
          <w:sz w:val="20"/>
        </w:rPr>
      </w:pPr>
    </w:p>
    <w:p w14:paraId="5AC80949" w14:textId="77777777" w:rsidR="003971D8" w:rsidRPr="003971D8" w:rsidRDefault="003971D8" w:rsidP="00B66A4A">
      <w:pPr>
        <w:numPr>
          <w:ilvl w:val="0"/>
          <w:numId w:val="22"/>
        </w:numPr>
        <w:jc w:val="both"/>
        <w:rPr>
          <w:rFonts w:ascii="Arial" w:hAnsi="Arial" w:cs="Arial"/>
          <w:sz w:val="20"/>
        </w:rPr>
      </w:pPr>
      <w:r w:rsidRPr="00FB68E0">
        <w:rPr>
          <w:rFonts w:ascii="Arial" w:hAnsi="Arial" w:cs="Arial"/>
          <w:sz w:val="20"/>
        </w:rPr>
        <w:t xml:space="preserve">A shift in resources from Expected Result III.2 to Expected Results I.2 and VIII.1 can be observed. </w:t>
      </w:r>
      <w:r w:rsidRPr="003971D8">
        <w:rPr>
          <w:rFonts w:ascii="Arial" w:hAnsi="Arial" w:cs="Arial"/>
          <w:iCs/>
          <w:sz w:val="20"/>
        </w:rPr>
        <w:t>This reflects a better balance among the various Expected Results, with (i) the assignment of resources for the assistance rendered, based on increasing requests from Member States, in relation to legislative assistance and national strategies on building respect for IP, and (ii) the assignment of resources for the WIPO Awards Program to Expected Result VIII.1 (rather than Expected Result III.2 in the biennium 2014/15).</w:t>
      </w:r>
      <w:r w:rsidRPr="003971D8" w:rsidDel="00953BFA">
        <w:rPr>
          <w:rFonts w:ascii="Arial" w:hAnsi="Arial" w:cs="Arial"/>
          <w:sz w:val="20"/>
        </w:rPr>
        <w:t xml:space="preserve"> </w:t>
      </w:r>
    </w:p>
    <w:p w14:paraId="47192636" w14:textId="77777777" w:rsidR="003971D8" w:rsidRPr="003971D8" w:rsidRDefault="003971D8" w:rsidP="00E641D8">
      <w:pPr>
        <w:jc w:val="both"/>
        <w:rPr>
          <w:rFonts w:ascii="Arial" w:hAnsi="Arial" w:cs="Arial"/>
          <w:sz w:val="20"/>
        </w:rPr>
      </w:pPr>
    </w:p>
    <w:p w14:paraId="2ADBC6A7" w14:textId="77777777" w:rsidR="003971D8" w:rsidRPr="003971D8" w:rsidRDefault="003971D8" w:rsidP="00E641D8">
      <w:pPr>
        <w:tabs>
          <w:tab w:val="left" w:pos="1427"/>
        </w:tabs>
        <w:jc w:val="center"/>
        <w:rPr>
          <w:rFonts w:ascii="Arial" w:hAnsi="Arial" w:cs="Arial"/>
          <w:b/>
          <w:sz w:val="20"/>
          <w:szCs w:val="24"/>
        </w:rPr>
      </w:pPr>
    </w:p>
    <w:p w14:paraId="4C60B0C3" w14:textId="77777777" w:rsidR="003971D8" w:rsidRPr="003971D8" w:rsidRDefault="003971D8" w:rsidP="00E641D8">
      <w:pPr>
        <w:keepNext/>
        <w:keepLines/>
        <w:tabs>
          <w:tab w:val="left" w:pos="1427"/>
        </w:tabs>
        <w:jc w:val="center"/>
        <w:rPr>
          <w:rFonts w:ascii="Arial" w:hAnsi="Arial" w:cs="Arial"/>
          <w:sz w:val="20"/>
        </w:rPr>
      </w:pPr>
      <w:r w:rsidRPr="003971D8">
        <w:rPr>
          <w:rFonts w:ascii="Arial" w:hAnsi="Arial" w:cs="Arial"/>
          <w:b/>
          <w:sz w:val="20"/>
          <w:szCs w:val="24"/>
        </w:rPr>
        <w:lastRenderedPageBreak/>
        <w:t>Program 17:  Resources by Result</w:t>
      </w:r>
    </w:p>
    <w:p w14:paraId="3469F63E" w14:textId="77777777" w:rsidR="003971D8" w:rsidRPr="003971D8" w:rsidRDefault="003971D8" w:rsidP="00E641D8">
      <w:pPr>
        <w:keepNext/>
        <w:keepLines/>
        <w:tabs>
          <w:tab w:val="left" w:pos="1427"/>
        </w:tabs>
        <w:jc w:val="center"/>
        <w:rPr>
          <w:rFonts w:ascii="Arial" w:hAnsi="Arial" w:cs="Arial"/>
          <w:i/>
          <w:sz w:val="20"/>
          <w:szCs w:val="24"/>
        </w:rPr>
      </w:pPr>
      <w:r w:rsidRPr="003971D8">
        <w:rPr>
          <w:rFonts w:ascii="Arial" w:hAnsi="Arial" w:cs="Arial"/>
          <w:i/>
          <w:sz w:val="20"/>
          <w:szCs w:val="24"/>
        </w:rPr>
        <w:t>(In thousands of Swiss francs)</w:t>
      </w:r>
    </w:p>
    <w:p w14:paraId="60187459" w14:textId="77777777" w:rsidR="003971D8" w:rsidRPr="00FD3ECD" w:rsidRDefault="003971D8" w:rsidP="00E641D8">
      <w:pPr>
        <w:keepNext/>
        <w:keepLines/>
        <w:tabs>
          <w:tab w:val="left" w:pos="1427"/>
        </w:tabs>
        <w:jc w:val="center"/>
        <w:rPr>
          <w:rFonts w:ascii="Arial" w:hAnsi="Arial" w:cs="Arial"/>
          <w:i/>
          <w:sz w:val="18"/>
          <w:szCs w:val="24"/>
        </w:rPr>
      </w:pPr>
    </w:p>
    <w:p w14:paraId="253473A5" w14:textId="77777777" w:rsidR="003971D8" w:rsidRDefault="003971D8" w:rsidP="008B4CD5">
      <w:pPr>
        <w:keepNext/>
        <w:keepLines/>
        <w:tabs>
          <w:tab w:val="left" w:pos="1427"/>
        </w:tabs>
        <w:ind w:hanging="142"/>
        <w:jc w:val="center"/>
        <w:rPr>
          <w:rFonts w:ascii="Arial" w:hAnsi="Arial" w:cs="Arial"/>
          <w:i/>
          <w:szCs w:val="24"/>
        </w:rPr>
      </w:pPr>
      <w:r w:rsidRPr="003971D8">
        <w:rPr>
          <w:rFonts w:ascii="Arial" w:hAnsi="Arial" w:cs="Arial"/>
          <w:noProof/>
          <w:lang w:eastAsia="en-US"/>
        </w:rPr>
        <w:drawing>
          <wp:inline distT="0" distB="0" distL="0" distR="0" wp14:anchorId="18AAFE03" wp14:editId="48DE94EB">
            <wp:extent cx="4521855" cy="2565070"/>
            <wp:effectExtent l="0" t="0" r="0" b="698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4543551" cy="2577377"/>
                    </a:xfrm>
                    <a:prstGeom prst="rect">
                      <a:avLst/>
                    </a:prstGeom>
                    <a:noFill/>
                    <a:ln>
                      <a:noFill/>
                    </a:ln>
                  </pic:spPr>
                </pic:pic>
              </a:graphicData>
            </a:graphic>
          </wp:inline>
        </w:drawing>
      </w:r>
    </w:p>
    <w:p w14:paraId="505616F0" w14:textId="77777777" w:rsidR="00FD3ECD" w:rsidRPr="004B1807" w:rsidRDefault="00FD3ECD" w:rsidP="00FD3ECD">
      <w:pPr>
        <w:tabs>
          <w:tab w:val="left" w:pos="1427"/>
        </w:tabs>
        <w:ind w:hanging="142"/>
        <w:jc w:val="center"/>
        <w:rPr>
          <w:rFonts w:ascii="Arial" w:hAnsi="Arial" w:cs="Arial"/>
          <w:i/>
          <w:sz w:val="20"/>
          <w:szCs w:val="24"/>
        </w:rPr>
      </w:pPr>
    </w:p>
    <w:p w14:paraId="239BD0D2" w14:textId="77777777" w:rsidR="004B1807" w:rsidRPr="004B1807" w:rsidRDefault="004B1807" w:rsidP="00FD3ECD">
      <w:pPr>
        <w:tabs>
          <w:tab w:val="left" w:pos="1427"/>
        </w:tabs>
        <w:ind w:hanging="142"/>
        <w:jc w:val="center"/>
        <w:rPr>
          <w:rFonts w:ascii="Arial" w:hAnsi="Arial" w:cs="Arial"/>
          <w:i/>
          <w:sz w:val="20"/>
          <w:szCs w:val="24"/>
        </w:rPr>
      </w:pPr>
    </w:p>
    <w:p w14:paraId="4B6CD59F" w14:textId="77777777" w:rsidR="003971D8" w:rsidRPr="00FD3ECD" w:rsidRDefault="003971D8" w:rsidP="00E641D8">
      <w:pPr>
        <w:keepNext/>
        <w:keepLines/>
        <w:tabs>
          <w:tab w:val="left" w:pos="1427"/>
        </w:tabs>
        <w:jc w:val="center"/>
        <w:rPr>
          <w:rFonts w:ascii="Arial" w:hAnsi="Arial" w:cs="Arial"/>
          <w:sz w:val="20"/>
        </w:rPr>
      </w:pPr>
      <w:r w:rsidRPr="00FD3ECD">
        <w:rPr>
          <w:rFonts w:ascii="Arial" w:hAnsi="Arial" w:cs="Arial"/>
          <w:b/>
          <w:sz w:val="20"/>
          <w:szCs w:val="24"/>
        </w:rPr>
        <w:t>Program 17:  Resources by Object of Expenditure</w:t>
      </w:r>
    </w:p>
    <w:p w14:paraId="294C1199" w14:textId="77777777" w:rsidR="003971D8" w:rsidRPr="00FD3ECD" w:rsidRDefault="003971D8" w:rsidP="00E641D8">
      <w:pPr>
        <w:keepNext/>
        <w:keepLines/>
        <w:tabs>
          <w:tab w:val="left" w:pos="1427"/>
        </w:tabs>
        <w:jc w:val="center"/>
        <w:rPr>
          <w:rFonts w:ascii="Arial" w:hAnsi="Arial" w:cs="Arial"/>
          <w:i/>
          <w:sz w:val="20"/>
          <w:szCs w:val="24"/>
        </w:rPr>
      </w:pPr>
      <w:r w:rsidRPr="00FD3ECD">
        <w:rPr>
          <w:rFonts w:ascii="Arial" w:hAnsi="Arial" w:cs="Arial"/>
          <w:i/>
          <w:sz w:val="20"/>
          <w:szCs w:val="24"/>
        </w:rPr>
        <w:t>(In thousands of Swiss francs)</w:t>
      </w:r>
    </w:p>
    <w:p w14:paraId="664BF671" w14:textId="77777777" w:rsidR="003971D8" w:rsidRPr="00FD3ECD" w:rsidRDefault="003971D8" w:rsidP="00E641D8">
      <w:pPr>
        <w:keepNext/>
        <w:keepLines/>
        <w:tabs>
          <w:tab w:val="left" w:pos="1427"/>
        </w:tabs>
        <w:jc w:val="center"/>
        <w:rPr>
          <w:rFonts w:ascii="Arial" w:hAnsi="Arial" w:cs="Arial"/>
          <w:i/>
          <w:sz w:val="20"/>
          <w:szCs w:val="24"/>
        </w:rPr>
      </w:pPr>
    </w:p>
    <w:p w14:paraId="0B3A416B" w14:textId="77777777" w:rsidR="003971D8" w:rsidRPr="00FD3ECD" w:rsidRDefault="003971D8" w:rsidP="008B4CD5">
      <w:pPr>
        <w:ind w:hanging="142"/>
        <w:jc w:val="center"/>
        <w:rPr>
          <w:rFonts w:ascii="Arial" w:hAnsi="Arial" w:cs="Arial"/>
          <w:sz w:val="20"/>
        </w:rPr>
      </w:pPr>
      <w:r w:rsidRPr="0008204A">
        <w:rPr>
          <w:noProof/>
          <w:lang w:eastAsia="en-US"/>
        </w:rPr>
        <w:drawing>
          <wp:inline distT="0" distB="0" distL="0" distR="0" wp14:anchorId="04319BDD" wp14:editId="6912B4C7">
            <wp:extent cx="4536374" cy="5111193"/>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561177" cy="5139139"/>
                    </a:xfrm>
                    <a:prstGeom prst="rect">
                      <a:avLst/>
                    </a:prstGeom>
                    <a:noFill/>
                    <a:ln>
                      <a:noFill/>
                    </a:ln>
                  </pic:spPr>
                </pic:pic>
              </a:graphicData>
            </a:graphic>
          </wp:inline>
        </w:drawing>
      </w:r>
    </w:p>
    <w:p w14:paraId="54EC5CB8" w14:textId="77777777" w:rsidR="003971D8" w:rsidRPr="00FD3ECD" w:rsidRDefault="003971D8" w:rsidP="00E641D8">
      <w:pPr>
        <w:jc w:val="both"/>
        <w:rPr>
          <w:rFonts w:ascii="Arial" w:hAnsi="Arial" w:cs="Arial"/>
          <w:sz w:val="20"/>
        </w:rPr>
      </w:pPr>
    </w:p>
    <w:p w14:paraId="4A2505D5" w14:textId="77777777" w:rsidR="003971D8" w:rsidRPr="00FD3ECD" w:rsidRDefault="003971D8" w:rsidP="00E641D8">
      <w:pPr>
        <w:keepNext/>
        <w:keepLines/>
        <w:jc w:val="center"/>
        <w:rPr>
          <w:rFonts w:ascii="Arial" w:hAnsi="Arial" w:cs="Arial"/>
          <w:b/>
          <w:sz w:val="20"/>
        </w:rPr>
      </w:pPr>
      <w:r w:rsidRPr="00FD3ECD">
        <w:rPr>
          <w:rFonts w:ascii="Arial" w:hAnsi="Arial" w:cs="Arial"/>
          <w:b/>
          <w:sz w:val="20"/>
        </w:rPr>
        <w:lastRenderedPageBreak/>
        <w:t>Funds in Trust Potentially Available for Programming in 2016/17 (BY PROGRAM)</w:t>
      </w:r>
      <w:r w:rsidRPr="00FD3ECD">
        <w:rPr>
          <w:rFonts w:ascii="Arial" w:hAnsi="Arial" w:cs="Arial"/>
          <w:i/>
          <w:sz w:val="20"/>
          <w:vertAlign w:val="superscript"/>
        </w:rPr>
        <w:t xml:space="preserve"> </w:t>
      </w:r>
      <w:r w:rsidRPr="00FD3ECD">
        <w:rPr>
          <w:rFonts w:ascii="Arial" w:hAnsi="Arial" w:cs="Arial"/>
          <w:sz w:val="20"/>
          <w:vertAlign w:val="superscript"/>
        </w:rPr>
        <w:t>1</w:t>
      </w:r>
    </w:p>
    <w:p w14:paraId="095D9B77" w14:textId="77777777" w:rsidR="003971D8" w:rsidRPr="00FD3ECD" w:rsidRDefault="003971D8" w:rsidP="00E641D8">
      <w:pPr>
        <w:keepNext/>
        <w:keepLines/>
        <w:jc w:val="center"/>
        <w:rPr>
          <w:rFonts w:ascii="Arial" w:hAnsi="Arial" w:cs="Arial"/>
          <w:i/>
          <w:sz w:val="20"/>
        </w:rPr>
      </w:pPr>
      <w:r w:rsidRPr="00FD3ECD">
        <w:rPr>
          <w:rFonts w:ascii="Arial" w:hAnsi="Arial" w:cs="Arial"/>
          <w:i/>
          <w:sz w:val="20"/>
        </w:rPr>
        <w:t>(in thousands of Swiss francs)</w:t>
      </w:r>
    </w:p>
    <w:p w14:paraId="1B3FCB31" w14:textId="77777777" w:rsidR="003971D8" w:rsidRPr="00FD3ECD" w:rsidRDefault="003971D8" w:rsidP="00E641D8">
      <w:pPr>
        <w:keepNext/>
        <w:keepLines/>
        <w:jc w:val="center"/>
        <w:rPr>
          <w:rFonts w:ascii="Arial" w:hAnsi="Arial" w:cs="Arial"/>
          <w:i/>
          <w:sz w:val="20"/>
        </w:rPr>
      </w:pPr>
    </w:p>
    <w:p w14:paraId="7962D8E2" w14:textId="77777777" w:rsidR="003971D8" w:rsidRPr="00FD3ECD" w:rsidRDefault="003971D8" w:rsidP="000049A4">
      <w:pPr>
        <w:keepNext/>
        <w:keepLines/>
        <w:jc w:val="center"/>
        <w:rPr>
          <w:rFonts w:ascii="Arial" w:hAnsi="Arial" w:cs="Arial"/>
          <w:sz w:val="20"/>
        </w:rPr>
      </w:pPr>
      <w:r w:rsidRPr="007728AE">
        <w:rPr>
          <w:noProof/>
          <w:lang w:eastAsia="en-US"/>
        </w:rPr>
        <w:drawing>
          <wp:inline distT="0" distB="0" distL="0" distR="0" wp14:anchorId="576A682F" wp14:editId="4852FAA1">
            <wp:extent cx="5383033" cy="877703"/>
            <wp:effectExtent l="0" t="0" r="825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432890" cy="885832"/>
                    </a:xfrm>
                    <a:prstGeom prst="rect">
                      <a:avLst/>
                    </a:prstGeom>
                    <a:noFill/>
                    <a:ln>
                      <a:noFill/>
                    </a:ln>
                  </pic:spPr>
                </pic:pic>
              </a:graphicData>
            </a:graphic>
          </wp:inline>
        </w:drawing>
      </w:r>
    </w:p>
    <w:p w14:paraId="60275E3F" w14:textId="77777777" w:rsidR="003971D8" w:rsidRPr="00FD3ECD" w:rsidRDefault="003971D8" w:rsidP="00E641D8">
      <w:pPr>
        <w:keepNext/>
        <w:keepLines/>
        <w:jc w:val="both"/>
        <w:rPr>
          <w:rFonts w:ascii="Arial" w:hAnsi="Arial" w:cs="Arial"/>
          <w:sz w:val="20"/>
        </w:rPr>
      </w:pPr>
    </w:p>
    <w:p w14:paraId="6157725F" w14:textId="77777777" w:rsidR="003971D8" w:rsidRPr="00FD3ECD" w:rsidRDefault="003971D8" w:rsidP="00FB68E0">
      <w:pPr>
        <w:keepNext/>
        <w:keepLines/>
        <w:spacing w:after="60"/>
        <w:rPr>
          <w:rFonts w:ascii="Arial" w:hAnsi="Arial" w:cs="Arial"/>
          <w:i/>
          <w:sz w:val="16"/>
          <w:szCs w:val="14"/>
        </w:rPr>
      </w:pPr>
      <w:r w:rsidRPr="00FD3ECD">
        <w:rPr>
          <w:rFonts w:ascii="Arial" w:hAnsi="Arial" w:cs="Arial"/>
          <w:i/>
          <w:sz w:val="16"/>
          <w:szCs w:val="14"/>
          <w:vertAlign w:val="superscript"/>
        </w:rPr>
        <w:t>1</w:t>
      </w:r>
      <w:r w:rsidRPr="00FD3ECD">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08887A83" w14:textId="77777777" w:rsidR="003971D8" w:rsidRPr="00FD3ECD" w:rsidRDefault="003971D8" w:rsidP="00E641D8">
      <w:pPr>
        <w:keepNext/>
        <w:keepLines/>
        <w:rPr>
          <w:rFonts w:ascii="Arial" w:hAnsi="Arial" w:cs="Arial"/>
          <w:i/>
          <w:sz w:val="16"/>
          <w:szCs w:val="14"/>
        </w:rPr>
      </w:pPr>
      <w:r w:rsidRPr="00FD3ECD">
        <w:rPr>
          <w:rFonts w:ascii="Arial" w:hAnsi="Arial" w:cs="Arial"/>
          <w:i/>
          <w:sz w:val="16"/>
          <w:szCs w:val="14"/>
          <w:vertAlign w:val="superscript"/>
        </w:rPr>
        <w:t>2</w:t>
      </w:r>
      <w:r w:rsidRPr="00FD3ECD">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0BAF9FE7" w14:textId="6B96179D" w:rsidR="000D7C57" w:rsidRPr="00FD3ECD" w:rsidRDefault="000D7C57">
      <w:pPr>
        <w:rPr>
          <w:rFonts w:ascii="Arial" w:hAnsi="Arial" w:cs="Arial"/>
        </w:rPr>
      </w:pPr>
      <w:r w:rsidRPr="00FD3ECD">
        <w:rPr>
          <w:rFonts w:ascii="Arial" w:hAnsi="Arial" w:cs="Arial"/>
        </w:rPr>
        <w:br w:type="page"/>
      </w:r>
    </w:p>
    <w:p w14:paraId="7814D2CD" w14:textId="77777777" w:rsidR="000D7C57" w:rsidRPr="0010779B" w:rsidRDefault="000D7C57" w:rsidP="00E641D8">
      <w:pPr>
        <w:jc w:val="both"/>
      </w:pPr>
    </w:p>
    <w:p w14:paraId="381529EF" w14:textId="11909865" w:rsidR="00A55BB0" w:rsidRPr="00B30215" w:rsidRDefault="00A55BB0" w:rsidP="003D65C6">
      <w:pPr>
        <w:pStyle w:val="StyleHeading3ComplexItalic"/>
        <w:tabs>
          <w:tab w:val="clear" w:pos="1985"/>
          <w:tab w:val="left" w:pos="2835"/>
        </w:tabs>
        <w:ind w:left="2835" w:hanging="2835"/>
        <w:rPr>
          <w:rStyle w:val="StyleStyleHeading3ComplexItalicLatin12ptChar"/>
          <w:rFonts w:eastAsia="SimSun"/>
          <w:b/>
          <w:szCs w:val="24"/>
        </w:rPr>
      </w:pPr>
      <w:bookmarkStart w:id="59" w:name="_Toc367350596"/>
      <w:bookmarkStart w:id="60" w:name="_Toc427154419"/>
      <w:r w:rsidRPr="00B30215">
        <w:rPr>
          <w:rStyle w:val="StyleStyleHeading3ComplexItalicLatin12ptChar"/>
          <w:rFonts w:eastAsia="SimSun"/>
          <w:b/>
          <w:szCs w:val="24"/>
        </w:rPr>
        <w:t xml:space="preserve">STRATEGIC GOAL VII </w:t>
      </w:r>
      <w:r w:rsidR="003D65C6" w:rsidRPr="00B30215">
        <w:rPr>
          <w:rStyle w:val="StyleStyleHeading3ComplexItalicLatin12ptChar"/>
          <w:rFonts w:eastAsia="SimSun"/>
          <w:b/>
          <w:szCs w:val="24"/>
        </w:rPr>
        <w:tab/>
        <w:t>ADDRESSING IP IN RELATION TO GLOBAL POLICY ISSUES</w:t>
      </w:r>
      <w:bookmarkEnd w:id="59"/>
      <w:bookmarkEnd w:id="60"/>
      <w:r w:rsidR="003D65C6" w:rsidRPr="00B30215">
        <w:rPr>
          <w:rStyle w:val="StyleStyleHeading3ComplexItalicLatin12ptChar"/>
          <w:rFonts w:eastAsia="SimSun"/>
          <w:b/>
          <w:szCs w:val="24"/>
        </w:rPr>
        <w:t xml:space="preserve"> </w:t>
      </w:r>
    </w:p>
    <w:p w14:paraId="58E68472" w14:textId="77777777" w:rsidR="003D65C6" w:rsidRDefault="003D65C6" w:rsidP="00A55BB0">
      <w:pPr>
        <w:jc w:val="both"/>
        <w:rPr>
          <w:rFonts w:ascii="Arial" w:hAnsi="Arial" w:cs="Arial"/>
          <w:sz w:val="20"/>
        </w:rPr>
      </w:pPr>
    </w:p>
    <w:p w14:paraId="1E740114" w14:textId="77777777" w:rsidR="003D65C6" w:rsidRDefault="003D65C6" w:rsidP="00A55BB0">
      <w:pPr>
        <w:jc w:val="both"/>
        <w:rPr>
          <w:rFonts w:ascii="Arial" w:hAnsi="Arial" w:cs="Arial"/>
          <w:sz w:val="20"/>
        </w:rPr>
      </w:pPr>
    </w:p>
    <w:p w14:paraId="1EF680C1" w14:textId="77777777" w:rsidR="00A55BB0" w:rsidRPr="00636873" w:rsidRDefault="00A55BB0" w:rsidP="00A55BB0">
      <w:pPr>
        <w:jc w:val="both"/>
        <w:rPr>
          <w:rFonts w:ascii="Arial" w:hAnsi="Arial" w:cs="Arial"/>
          <w:bCs/>
          <w:i/>
          <w:iCs/>
          <w:caps/>
          <w:szCs w:val="24"/>
        </w:rPr>
      </w:pPr>
      <w:r w:rsidRPr="00F3719C">
        <w:rPr>
          <w:rFonts w:ascii="Arial" w:hAnsi="Arial" w:cs="Arial"/>
          <w:sz w:val="20"/>
        </w:rPr>
        <w:t>This Strategic Goal reflects WIPO’s potential to serve as the leading intergovernmental forum for addressing the intersection between IP, innovation and global public policy issues.  It implies proactive and substantive engagement with other UN, intergovernmental, and non</w:t>
      </w:r>
      <w:r w:rsidRPr="00F3719C">
        <w:rPr>
          <w:rFonts w:ascii="Arial" w:hAnsi="Arial" w:cs="Arial"/>
          <w:sz w:val="20"/>
        </w:rPr>
        <w:noBreakHyphen/>
        <w:t>governmental organizations in order to contribute to the search for shared solutions to the major challenges facing humanity, including climate change, food security, public health, the protection of biodiversity and meeting the Millennium Development Goals (MDGs).  The most immediate impact of many of these global problems is borne by developing and least developed countries, and the programs under this Strategic Goal will be closely involved in the realization of development objectives and Development Agenda recommendations.</w:t>
      </w:r>
    </w:p>
    <w:p w14:paraId="71B6382A" w14:textId="77777777" w:rsidR="00A55BB0" w:rsidRPr="00EB7BCC" w:rsidRDefault="00A55BB0" w:rsidP="00A55BB0">
      <w:pPr>
        <w:tabs>
          <w:tab w:val="left" w:pos="1701"/>
        </w:tabs>
        <w:ind w:left="1701" w:hanging="1701"/>
        <w:jc w:val="center"/>
        <w:rPr>
          <w:rFonts w:ascii="Arial" w:hAnsi="Arial" w:cs="Arial"/>
          <w:b/>
          <w:bCs/>
          <w:caps/>
          <w:sz w:val="20"/>
        </w:rPr>
      </w:pPr>
    </w:p>
    <w:p w14:paraId="48389BBF" w14:textId="430BE11E" w:rsidR="00A55BB0" w:rsidRDefault="00A55BB0">
      <w:pPr>
        <w:rPr>
          <w:rFonts w:ascii="Arial" w:hAnsi="Arial" w:cs="Arial"/>
          <w:bCs/>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7D76DC" w:rsidRPr="00AF5E7C" w14:paraId="3BD42B3A" w14:textId="77777777" w:rsidTr="005A1F7F">
        <w:trPr>
          <w:cantSplit/>
          <w:tblHeader/>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14:paraId="65C60D13" w14:textId="77777777" w:rsidR="007D76DC" w:rsidRPr="00206A01" w:rsidRDefault="007D76DC" w:rsidP="005A1F7F">
            <w:pPr>
              <w:spacing w:after="120"/>
              <w:jc w:val="center"/>
              <w:rPr>
                <w:rFonts w:ascii="Arial" w:hAnsi="Arial" w:cs="Arial"/>
                <w:b/>
                <w:bCs/>
                <w:sz w:val="18"/>
                <w:szCs w:val="18"/>
              </w:rPr>
            </w:pPr>
            <w:r w:rsidRPr="00206A01">
              <w:rPr>
                <w:rFonts w:ascii="Arial" w:hAnsi="Arial" w:cs="Arial"/>
                <w:b/>
                <w:bCs/>
                <w:sz w:val="18"/>
                <w:szCs w:val="18"/>
              </w:rPr>
              <w:t>Expected Results</w:t>
            </w:r>
          </w:p>
        </w:tc>
        <w:tc>
          <w:tcPr>
            <w:tcW w:w="1524" w:type="pct"/>
            <w:tcBorders>
              <w:top w:val="single" w:sz="4" w:space="0" w:color="auto"/>
              <w:bottom w:val="single" w:sz="4" w:space="0" w:color="auto"/>
            </w:tcBorders>
            <w:shd w:val="clear" w:color="auto" w:fill="C6D9F1" w:themeFill="text2" w:themeFillTint="33"/>
            <w:tcMar>
              <w:top w:w="113" w:type="dxa"/>
              <w:bottom w:w="85" w:type="dxa"/>
            </w:tcMar>
            <w:vAlign w:val="center"/>
          </w:tcPr>
          <w:p w14:paraId="79F08C1A" w14:textId="77777777" w:rsidR="007D76DC" w:rsidRPr="00206A01" w:rsidRDefault="007D76DC" w:rsidP="005A1F7F">
            <w:pPr>
              <w:spacing w:after="120"/>
              <w:jc w:val="center"/>
              <w:rPr>
                <w:rFonts w:ascii="Arial" w:hAnsi="Arial" w:cs="Arial"/>
                <w:b/>
                <w:sz w:val="18"/>
                <w:szCs w:val="18"/>
              </w:rPr>
            </w:pPr>
            <w:r w:rsidRPr="00206A01">
              <w:rPr>
                <w:rFonts w:ascii="Arial" w:hAnsi="Arial" w:cs="Arial"/>
                <w:b/>
                <w:sz w:val="18"/>
                <w:szCs w:val="18"/>
              </w:rPr>
              <w:t>Performance Indicators</w:t>
            </w:r>
          </w:p>
        </w:tc>
        <w:tc>
          <w:tcPr>
            <w:tcW w:w="1585" w:type="pct"/>
            <w:tcBorders>
              <w:top w:val="single" w:sz="4" w:space="0" w:color="auto"/>
              <w:bottom w:val="single" w:sz="4" w:space="0" w:color="auto"/>
            </w:tcBorders>
            <w:shd w:val="clear" w:color="auto" w:fill="C6D9F1" w:themeFill="text2" w:themeFillTint="33"/>
            <w:tcMar>
              <w:top w:w="113" w:type="dxa"/>
              <w:bottom w:w="85" w:type="dxa"/>
            </w:tcMar>
            <w:vAlign w:val="center"/>
          </w:tcPr>
          <w:p w14:paraId="1C3BC3D3" w14:textId="77777777" w:rsidR="007D76DC" w:rsidRPr="00206A01" w:rsidRDefault="007D76DC" w:rsidP="005A1F7F">
            <w:pPr>
              <w:spacing w:after="120"/>
              <w:ind w:left="85"/>
              <w:jc w:val="center"/>
              <w:rPr>
                <w:rFonts w:ascii="Arial" w:hAnsi="Arial" w:cs="Arial"/>
                <w:sz w:val="18"/>
                <w:szCs w:val="18"/>
              </w:rPr>
            </w:pPr>
            <w:r w:rsidRPr="00206A01">
              <w:rPr>
                <w:rFonts w:ascii="Arial" w:hAnsi="Arial" w:cs="Arial"/>
                <w:b/>
                <w:bCs/>
                <w:sz w:val="18"/>
                <w:szCs w:val="18"/>
              </w:rPr>
              <w:t>Responsible Program(s)</w:t>
            </w:r>
          </w:p>
        </w:tc>
      </w:tr>
      <w:tr w:rsidR="007D76DC" w:rsidRPr="00AF5E7C" w14:paraId="15E8388C" w14:textId="77777777" w:rsidTr="005A1F7F">
        <w:trPr>
          <w:cantSplit/>
        </w:trPr>
        <w:tc>
          <w:tcPr>
            <w:tcW w:w="1891" w:type="pct"/>
            <w:tcBorders>
              <w:top w:val="nil"/>
            </w:tcBorders>
            <w:shd w:val="clear" w:color="auto" w:fill="auto"/>
            <w:tcMar>
              <w:top w:w="113" w:type="dxa"/>
              <w:bottom w:w="85" w:type="dxa"/>
            </w:tcMar>
          </w:tcPr>
          <w:p w14:paraId="558B250A" w14:textId="77777777" w:rsidR="007D76DC" w:rsidRPr="00300636" w:rsidRDefault="007D76DC" w:rsidP="005A1F7F">
            <w:pPr>
              <w:rPr>
                <w:rFonts w:ascii="Arial" w:hAnsi="Arial" w:cs="Arial"/>
                <w:sz w:val="16"/>
                <w:szCs w:val="16"/>
              </w:rPr>
            </w:pPr>
            <w:r>
              <w:rPr>
                <w:rFonts w:ascii="Arial" w:hAnsi="Arial" w:cs="Arial"/>
                <w:sz w:val="16"/>
                <w:szCs w:val="16"/>
              </w:rPr>
              <w:t xml:space="preserve">VII.2  </w:t>
            </w:r>
            <w:r>
              <w:rPr>
                <w:rFonts w:ascii="Arial" w:hAnsi="Arial" w:cs="Arial"/>
                <w:color w:val="000000"/>
                <w:sz w:val="16"/>
                <w:szCs w:val="16"/>
              </w:rPr>
              <w:t>IP-based platforms and tools for knowledge transfer, technology adaptation and diffusion from developed to developing countries, particularly least developed countries, to address global challenges</w:t>
            </w:r>
          </w:p>
        </w:tc>
        <w:tc>
          <w:tcPr>
            <w:tcW w:w="1524" w:type="pct"/>
            <w:tcBorders>
              <w:top w:val="nil"/>
            </w:tcBorders>
            <w:shd w:val="clear" w:color="auto" w:fill="auto"/>
            <w:tcMar>
              <w:top w:w="113" w:type="dxa"/>
              <w:bottom w:w="85" w:type="dxa"/>
            </w:tcMar>
          </w:tcPr>
          <w:p w14:paraId="5618C9B9" w14:textId="77777777" w:rsidR="007D76DC" w:rsidRDefault="007D76DC" w:rsidP="005A1F7F">
            <w:pPr>
              <w:rPr>
                <w:rFonts w:ascii="Arial" w:hAnsi="Arial" w:cs="Arial"/>
                <w:sz w:val="16"/>
                <w:szCs w:val="16"/>
              </w:rPr>
            </w:pPr>
            <w:r w:rsidRPr="002E2072">
              <w:rPr>
                <w:rFonts w:ascii="Arial" w:hAnsi="Arial" w:cs="Arial"/>
                <w:color w:val="000000"/>
                <w:sz w:val="16"/>
                <w:szCs w:val="16"/>
              </w:rPr>
              <w:t>Increased membership in WIPO Re:Search, including from developing countries and LDCs</w:t>
            </w:r>
            <w:r w:rsidRPr="002E2072">
              <w:rPr>
                <w:rFonts w:ascii="Arial" w:hAnsi="Arial" w:cs="Arial"/>
                <w:color w:val="000000"/>
                <w:sz w:val="16"/>
                <w:szCs w:val="16"/>
              </w:rPr>
              <w:br/>
            </w:r>
          </w:p>
          <w:p w14:paraId="0FFF96ED" w14:textId="77777777" w:rsidR="007D76DC" w:rsidRPr="00300636" w:rsidRDefault="007D76DC" w:rsidP="005A1F7F">
            <w:pPr>
              <w:rPr>
                <w:rFonts w:ascii="Arial" w:hAnsi="Arial" w:cs="Arial"/>
                <w:sz w:val="16"/>
                <w:szCs w:val="16"/>
              </w:rPr>
            </w:pPr>
            <w:r>
              <w:rPr>
                <w:rFonts w:ascii="Arial" w:hAnsi="Arial" w:cs="Arial"/>
                <w:color w:val="000000"/>
                <w:sz w:val="16"/>
                <w:szCs w:val="16"/>
              </w:rPr>
              <w:t>No. of records in the  WIPO Re:Search database</w:t>
            </w:r>
          </w:p>
        </w:tc>
        <w:tc>
          <w:tcPr>
            <w:tcW w:w="1585" w:type="pct"/>
            <w:tcBorders>
              <w:top w:val="nil"/>
            </w:tcBorders>
            <w:shd w:val="clear" w:color="auto" w:fill="FFFFFF"/>
            <w:tcMar>
              <w:top w:w="113" w:type="dxa"/>
              <w:bottom w:w="85" w:type="dxa"/>
            </w:tcMar>
          </w:tcPr>
          <w:p w14:paraId="5B4DB7F8"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 xml:space="preserve">Program 18 </w:t>
            </w:r>
          </w:p>
          <w:p w14:paraId="4F9795EF" w14:textId="77777777" w:rsidR="007D76DC" w:rsidRDefault="007D76DC" w:rsidP="005A1F7F">
            <w:pPr>
              <w:ind w:left="661"/>
              <w:rPr>
                <w:rFonts w:ascii="Arial" w:hAnsi="Arial" w:cs="Arial"/>
                <w:sz w:val="16"/>
                <w:szCs w:val="16"/>
                <w:lang w:bidi="th-TH"/>
              </w:rPr>
            </w:pPr>
          </w:p>
          <w:p w14:paraId="055FE0CC" w14:textId="77777777" w:rsidR="007D76DC" w:rsidRDefault="007D76DC" w:rsidP="005A1F7F">
            <w:pPr>
              <w:ind w:left="661"/>
              <w:rPr>
                <w:rFonts w:ascii="Arial" w:hAnsi="Arial" w:cs="Arial"/>
                <w:sz w:val="16"/>
                <w:szCs w:val="16"/>
                <w:lang w:bidi="th-TH"/>
              </w:rPr>
            </w:pPr>
          </w:p>
          <w:p w14:paraId="4A3FA5F6" w14:textId="77777777" w:rsidR="007D76DC" w:rsidRDefault="007D76DC" w:rsidP="005A1F7F">
            <w:pPr>
              <w:ind w:left="661"/>
              <w:rPr>
                <w:rFonts w:ascii="Arial" w:hAnsi="Arial" w:cs="Arial"/>
                <w:sz w:val="16"/>
                <w:szCs w:val="16"/>
                <w:lang w:bidi="th-TH"/>
              </w:rPr>
            </w:pPr>
          </w:p>
          <w:p w14:paraId="06CE9C85"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 xml:space="preserve">Program 18 </w:t>
            </w:r>
          </w:p>
          <w:p w14:paraId="3F575F1A" w14:textId="77777777" w:rsidR="007D76DC" w:rsidRPr="00AF5E7C" w:rsidRDefault="007D76DC" w:rsidP="005A1F7F">
            <w:pPr>
              <w:ind w:left="661"/>
              <w:rPr>
                <w:rFonts w:ascii="Arial" w:hAnsi="Arial" w:cs="Arial"/>
                <w:sz w:val="16"/>
                <w:szCs w:val="16"/>
              </w:rPr>
            </w:pPr>
          </w:p>
        </w:tc>
      </w:tr>
      <w:tr w:rsidR="007D76DC" w:rsidRPr="00AF5E7C" w14:paraId="5D906D53" w14:textId="77777777" w:rsidTr="005A1F7F">
        <w:trPr>
          <w:cantSplit/>
          <w:trHeight w:val="272"/>
        </w:trPr>
        <w:tc>
          <w:tcPr>
            <w:tcW w:w="1891" w:type="pct"/>
            <w:shd w:val="clear" w:color="auto" w:fill="auto"/>
            <w:tcMar>
              <w:top w:w="113" w:type="dxa"/>
              <w:bottom w:w="85" w:type="dxa"/>
            </w:tcMar>
          </w:tcPr>
          <w:p w14:paraId="08CE0D02"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63D5B767" w14:textId="77777777" w:rsidR="007D76DC" w:rsidRPr="00300636" w:rsidRDefault="007D76DC" w:rsidP="005A1F7F">
            <w:pPr>
              <w:rPr>
                <w:rFonts w:ascii="Arial" w:hAnsi="Arial" w:cs="Arial"/>
                <w:sz w:val="16"/>
                <w:szCs w:val="16"/>
              </w:rPr>
            </w:pPr>
            <w:r>
              <w:rPr>
                <w:rFonts w:ascii="Arial" w:hAnsi="Arial" w:cs="Arial"/>
                <w:color w:val="000000"/>
                <w:sz w:val="16"/>
                <w:szCs w:val="16"/>
              </w:rPr>
              <w:t>Increased no. of agreements under WIPO Re:Search which lead to new or accelerated R&amp;D in NTDs, Malaria and TB"</w:t>
            </w:r>
          </w:p>
        </w:tc>
        <w:tc>
          <w:tcPr>
            <w:tcW w:w="1585" w:type="pct"/>
            <w:shd w:val="clear" w:color="auto" w:fill="FFFFFF"/>
            <w:tcMar>
              <w:top w:w="113" w:type="dxa"/>
              <w:bottom w:w="85" w:type="dxa"/>
            </w:tcMar>
          </w:tcPr>
          <w:p w14:paraId="18E9D4AB" w14:textId="77777777" w:rsidR="007D76DC" w:rsidRPr="00AF5E7C" w:rsidRDefault="007D76DC" w:rsidP="005A1F7F">
            <w:pPr>
              <w:ind w:left="661"/>
              <w:rPr>
                <w:rFonts w:ascii="Arial" w:hAnsi="Arial" w:cs="Arial"/>
                <w:sz w:val="16"/>
                <w:szCs w:val="16"/>
              </w:rPr>
            </w:pPr>
            <w:r>
              <w:rPr>
                <w:rFonts w:ascii="Arial" w:hAnsi="Arial" w:cs="Arial"/>
                <w:sz w:val="16"/>
                <w:szCs w:val="16"/>
                <w:lang w:bidi="th-TH"/>
              </w:rPr>
              <w:t>Program 18</w:t>
            </w:r>
          </w:p>
        </w:tc>
      </w:tr>
      <w:tr w:rsidR="007D76DC" w:rsidRPr="00AF5E7C" w14:paraId="303E5A9E" w14:textId="77777777" w:rsidTr="005A1F7F">
        <w:trPr>
          <w:cantSplit/>
          <w:trHeight w:val="258"/>
        </w:trPr>
        <w:tc>
          <w:tcPr>
            <w:tcW w:w="1891" w:type="pct"/>
            <w:shd w:val="clear" w:color="auto" w:fill="auto"/>
            <w:tcMar>
              <w:top w:w="113" w:type="dxa"/>
              <w:bottom w:w="85" w:type="dxa"/>
            </w:tcMar>
          </w:tcPr>
          <w:p w14:paraId="08BEF4C1"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20C03D4C" w14:textId="77777777" w:rsidR="007D76DC" w:rsidRPr="00AF5E7C" w:rsidRDefault="007D76DC" w:rsidP="005A1F7F">
            <w:pPr>
              <w:rPr>
                <w:rFonts w:ascii="Arial" w:hAnsi="Arial" w:cs="Arial"/>
                <w:sz w:val="16"/>
                <w:szCs w:val="16"/>
              </w:rPr>
            </w:pPr>
            <w:r>
              <w:rPr>
                <w:rFonts w:ascii="Arial" w:hAnsi="Arial" w:cs="Arial"/>
                <w:color w:val="000000"/>
                <w:sz w:val="16"/>
                <w:szCs w:val="16"/>
              </w:rPr>
              <w:t>No. of WIPO GREEN Members</w:t>
            </w:r>
          </w:p>
        </w:tc>
        <w:tc>
          <w:tcPr>
            <w:tcW w:w="1585" w:type="pct"/>
            <w:shd w:val="clear" w:color="auto" w:fill="FFFFFF"/>
            <w:tcMar>
              <w:top w:w="113" w:type="dxa"/>
              <w:bottom w:w="85" w:type="dxa"/>
            </w:tcMar>
          </w:tcPr>
          <w:p w14:paraId="09FC5465" w14:textId="77777777" w:rsidR="007D76DC" w:rsidRPr="00AF5E7C" w:rsidRDefault="007D76DC" w:rsidP="005A1F7F">
            <w:pPr>
              <w:ind w:left="661"/>
              <w:rPr>
                <w:rFonts w:ascii="Arial" w:hAnsi="Arial" w:cs="Arial"/>
                <w:sz w:val="16"/>
                <w:szCs w:val="16"/>
                <w:lang w:bidi="th-TH"/>
              </w:rPr>
            </w:pPr>
            <w:r>
              <w:rPr>
                <w:rFonts w:ascii="Arial" w:hAnsi="Arial" w:cs="Arial"/>
                <w:sz w:val="16"/>
                <w:szCs w:val="16"/>
                <w:lang w:bidi="th-TH"/>
              </w:rPr>
              <w:t>Program 18</w:t>
            </w:r>
          </w:p>
        </w:tc>
      </w:tr>
      <w:tr w:rsidR="007D76DC" w:rsidRPr="00AF5E7C" w14:paraId="24284505" w14:textId="77777777" w:rsidTr="005A1F7F">
        <w:trPr>
          <w:cantSplit/>
          <w:trHeight w:val="296"/>
        </w:trPr>
        <w:tc>
          <w:tcPr>
            <w:tcW w:w="1891" w:type="pct"/>
            <w:shd w:val="clear" w:color="auto" w:fill="auto"/>
            <w:tcMar>
              <w:top w:w="113" w:type="dxa"/>
              <w:bottom w:w="85" w:type="dxa"/>
            </w:tcMar>
          </w:tcPr>
          <w:p w14:paraId="63273484"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721692FA" w14:textId="77777777" w:rsidR="007D76DC" w:rsidRDefault="007D76DC" w:rsidP="005A1F7F">
            <w:pPr>
              <w:rPr>
                <w:rFonts w:ascii="Arial" w:hAnsi="Arial" w:cs="Arial"/>
                <w:sz w:val="16"/>
                <w:szCs w:val="16"/>
              </w:rPr>
            </w:pPr>
            <w:r>
              <w:rPr>
                <w:rFonts w:ascii="Arial" w:hAnsi="Arial" w:cs="Arial"/>
                <w:color w:val="000000"/>
                <w:sz w:val="16"/>
                <w:szCs w:val="16"/>
              </w:rPr>
              <w:t>No. of records in the WIPO GREEN database</w:t>
            </w:r>
          </w:p>
        </w:tc>
        <w:tc>
          <w:tcPr>
            <w:tcW w:w="1585" w:type="pct"/>
            <w:shd w:val="clear" w:color="auto" w:fill="FFFFFF"/>
            <w:tcMar>
              <w:top w:w="113" w:type="dxa"/>
              <w:bottom w:w="85" w:type="dxa"/>
            </w:tcMar>
          </w:tcPr>
          <w:p w14:paraId="671177A8"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Program 18</w:t>
            </w:r>
          </w:p>
        </w:tc>
      </w:tr>
      <w:tr w:rsidR="007D76DC" w:rsidRPr="00AF5E7C" w14:paraId="01762442" w14:textId="77777777" w:rsidTr="005A1F7F">
        <w:trPr>
          <w:cantSplit/>
          <w:trHeight w:val="344"/>
        </w:trPr>
        <w:tc>
          <w:tcPr>
            <w:tcW w:w="1891" w:type="pct"/>
            <w:shd w:val="clear" w:color="auto" w:fill="auto"/>
            <w:tcMar>
              <w:top w:w="113" w:type="dxa"/>
              <w:bottom w:w="85" w:type="dxa"/>
            </w:tcMar>
          </w:tcPr>
          <w:p w14:paraId="37EC9441"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0A004760" w14:textId="77777777" w:rsidR="007D76DC" w:rsidRDefault="007D76DC" w:rsidP="005A1F7F">
            <w:pPr>
              <w:rPr>
                <w:rFonts w:ascii="Arial" w:hAnsi="Arial" w:cs="Arial"/>
                <w:sz w:val="16"/>
                <w:szCs w:val="16"/>
              </w:rPr>
            </w:pPr>
            <w:r>
              <w:rPr>
                <w:rFonts w:ascii="Arial" w:hAnsi="Arial" w:cs="Arial"/>
                <w:color w:val="000000"/>
                <w:sz w:val="16"/>
                <w:szCs w:val="16"/>
              </w:rPr>
              <w:t>No. of agreements catalyzed by WIPO GREEN facilitating knowledge transfer, technology adaptation, transfer and/or diffusion</w:t>
            </w:r>
          </w:p>
        </w:tc>
        <w:tc>
          <w:tcPr>
            <w:tcW w:w="1585" w:type="pct"/>
            <w:shd w:val="clear" w:color="auto" w:fill="FFFFFF"/>
            <w:tcMar>
              <w:top w:w="113" w:type="dxa"/>
              <w:bottom w:w="85" w:type="dxa"/>
            </w:tcMar>
          </w:tcPr>
          <w:p w14:paraId="47BEE579"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Program 18</w:t>
            </w:r>
          </w:p>
        </w:tc>
      </w:tr>
      <w:tr w:rsidR="007D76DC" w:rsidRPr="00AF5E7C" w14:paraId="0B6E4955" w14:textId="77777777" w:rsidTr="005A1F7F">
        <w:trPr>
          <w:cantSplit/>
          <w:trHeight w:val="344"/>
        </w:trPr>
        <w:tc>
          <w:tcPr>
            <w:tcW w:w="1891" w:type="pct"/>
            <w:shd w:val="clear" w:color="auto" w:fill="auto"/>
            <w:tcMar>
              <w:top w:w="113" w:type="dxa"/>
              <w:bottom w:w="85" w:type="dxa"/>
            </w:tcMar>
          </w:tcPr>
          <w:p w14:paraId="2C59AE87"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07892D84" w14:textId="77777777" w:rsidR="007D76DC" w:rsidRDefault="007D76DC" w:rsidP="005A1F7F">
            <w:pPr>
              <w:rPr>
                <w:rFonts w:ascii="Arial" w:hAnsi="Arial" w:cs="Arial"/>
                <w:color w:val="000000"/>
                <w:sz w:val="16"/>
                <w:szCs w:val="16"/>
              </w:rPr>
            </w:pPr>
            <w:r>
              <w:rPr>
                <w:rFonts w:ascii="Arial" w:hAnsi="Arial" w:cs="Arial"/>
                <w:color w:val="000000"/>
                <w:sz w:val="16"/>
                <w:szCs w:val="16"/>
              </w:rPr>
              <w:t>Progress towards an international collaborative framework for effective contribution of IP to food security through consultative process</w:t>
            </w:r>
          </w:p>
        </w:tc>
        <w:tc>
          <w:tcPr>
            <w:tcW w:w="1585" w:type="pct"/>
            <w:shd w:val="clear" w:color="auto" w:fill="FFFFFF"/>
            <w:tcMar>
              <w:top w:w="113" w:type="dxa"/>
              <w:bottom w:w="85" w:type="dxa"/>
            </w:tcMar>
          </w:tcPr>
          <w:p w14:paraId="34A3CFF9"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Program 18</w:t>
            </w:r>
          </w:p>
        </w:tc>
      </w:tr>
      <w:tr w:rsidR="007D76DC" w:rsidRPr="00AF5E7C" w14:paraId="6607D9E8" w14:textId="77777777" w:rsidTr="005A1F7F">
        <w:trPr>
          <w:cantSplit/>
          <w:trHeight w:val="344"/>
        </w:trPr>
        <w:tc>
          <w:tcPr>
            <w:tcW w:w="1891" w:type="pct"/>
            <w:shd w:val="clear" w:color="auto" w:fill="auto"/>
            <w:tcMar>
              <w:top w:w="113" w:type="dxa"/>
              <w:bottom w:w="85" w:type="dxa"/>
            </w:tcMar>
          </w:tcPr>
          <w:p w14:paraId="20FFF0C0" w14:textId="77777777" w:rsidR="007D76DC" w:rsidRPr="00AF5E7C" w:rsidRDefault="007D76DC" w:rsidP="005A1F7F">
            <w:pPr>
              <w:rPr>
                <w:rFonts w:ascii="Arial" w:hAnsi="Arial" w:cs="Arial"/>
                <w:sz w:val="16"/>
                <w:szCs w:val="16"/>
              </w:rPr>
            </w:pPr>
          </w:p>
        </w:tc>
        <w:tc>
          <w:tcPr>
            <w:tcW w:w="1524" w:type="pct"/>
            <w:shd w:val="clear" w:color="auto" w:fill="auto"/>
            <w:tcMar>
              <w:top w:w="113" w:type="dxa"/>
              <w:bottom w:w="85" w:type="dxa"/>
            </w:tcMar>
          </w:tcPr>
          <w:p w14:paraId="15C3ADB0" w14:textId="77777777" w:rsidR="007D76DC" w:rsidRDefault="007D76DC" w:rsidP="005A1F7F">
            <w:pPr>
              <w:rPr>
                <w:rFonts w:ascii="Arial" w:hAnsi="Arial" w:cs="Arial"/>
                <w:color w:val="000000"/>
                <w:sz w:val="16"/>
                <w:szCs w:val="16"/>
              </w:rPr>
            </w:pPr>
            <w:r>
              <w:rPr>
                <w:rFonts w:ascii="Arial" w:hAnsi="Arial" w:cs="Arial"/>
                <w:color w:val="000000"/>
                <w:sz w:val="16"/>
                <w:szCs w:val="16"/>
              </w:rPr>
              <w:t>No. of visits to the Global Challenges website</w:t>
            </w:r>
          </w:p>
        </w:tc>
        <w:tc>
          <w:tcPr>
            <w:tcW w:w="1585" w:type="pct"/>
            <w:shd w:val="clear" w:color="auto" w:fill="FFFFFF"/>
            <w:tcMar>
              <w:top w:w="113" w:type="dxa"/>
              <w:bottom w:w="85" w:type="dxa"/>
            </w:tcMar>
          </w:tcPr>
          <w:p w14:paraId="0EEAF00D" w14:textId="77777777" w:rsidR="007D76DC" w:rsidRDefault="007D76DC" w:rsidP="005A1F7F">
            <w:pPr>
              <w:ind w:left="661"/>
              <w:rPr>
                <w:rFonts w:ascii="Arial" w:hAnsi="Arial" w:cs="Arial"/>
                <w:sz w:val="16"/>
                <w:szCs w:val="16"/>
                <w:lang w:bidi="th-TH"/>
              </w:rPr>
            </w:pPr>
            <w:r>
              <w:rPr>
                <w:rFonts w:ascii="Arial" w:hAnsi="Arial" w:cs="Arial"/>
                <w:sz w:val="16"/>
                <w:szCs w:val="16"/>
                <w:lang w:bidi="th-TH"/>
              </w:rPr>
              <w:t>Program 18</w:t>
            </w:r>
          </w:p>
        </w:tc>
      </w:tr>
      <w:tr w:rsidR="007D76DC" w:rsidRPr="00AF5E7C" w14:paraId="3B058D0C" w14:textId="77777777" w:rsidTr="005A1F7F">
        <w:trPr>
          <w:cantSplit/>
          <w:trHeight w:val="706"/>
        </w:trPr>
        <w:tc>
          <w:tcPr>
            <w:tcW w:w="1891" w:type="pct"/>
            <w:shd w:val="clear" w:color="auto" w:fill="auto"/>
            <w:tcMar>
              <w:top w:w="113" w:type="dxa"/>
              <w:bottom w:w="85" w:type="dxa"/>
            </w:tcMar>
          </w:tcPr>
          <w:p w14:paraId="563F7DCC" w14:textId="77777777" w:rsidR="007D76DC" w:rsidRPr="00DD2110" w:rsidRDefault="007D76DC" w:rsidP="005A1F7F">
            <w:pPr>
              <w:rPr>
                <w:rFonts w:ascii="Arial" w:hAnsi="Arial" w:cs="Arial"/>
                <w:sz w:val="16"/>
                <w:szCs w:val="16"/>
                <w:highlight w:val="yellow"/>
              </w:rPr>
            </w:pPr>
          </w:p>
        </w:tc>
        <w:tc>
          <w:tcPr>
            <w:tcW w:w="1524" w:type="pct"/>
            <w:shd w:val="clear" w:color="auto" w:fill="auto"/>
            <w:tcMar>
              <w:top w:w="113" w:type="dxa"/>
              <w:bottom w:w="85" w:type="dxa"/>
            </w:tcMar>
          </w:tcPr>
          <w:p w14:paraId="5CC9DB8A" w14:textId="77777777" w:rsidR="007D76DC" w:rsidRPr="007F2A1B" w:rsidRDefault="007D76DC" w:rsidP="005A1F7F">
            <w:pPr>
              <w:rPr>
                <w:rFonts w:ascii="Arial" w:hAnsi="Arial" w:cs="Arial"/>
                <w:sz w:val="16"/>
                <w:szCs w:val="16"/>
              </w:rPr>
            </w:pPr>
            <w:r w:rsidRPr="007F2A1B">
              <w:rPr>
                <w:rFonts w:ascii="Arial" w:hAnsi="Arial" w:cs="Arial"/>
                <w:sz w:val="16"/>
                <w:szCs w:val="16"/>
              </w:rPr>
              <w:t>Participation of stakeholders in WIPO's platform such as WIPO GREEN and WIPO Re:Search</w:t>
            </w:r>
          </w:p>
        </w:tc>
        <w:tc>
          <w:tcPr>
            <w:tcW w:w="1585" w:type="pct"/>
            <w:shd w:val="clear" w:color="auto" w:fill="FFFFFF"/>
            <w:tcMar>
              <w:top w:w="113" w:type="dxa"/>
              <w:bottom w:w="85" w:type="dxa"/>
            </w:tcMar>
          </w:tcPr>
          <w:p w14:paraId="46F83492" w14:textId="77777777" w:rsidR="007D76DC" w:rsidRPr="007F2A1B" w:rsidRDefault="007D76DC" w:rsidP="005A1F7F">
            <w:pPr>
              <w:ind w:left="661"/>
              <w:rPr>
                <w:rFonts w:ascii="Arial" w:hAnsi="Arial" w:cs="Arial"/>
                <w:sz w:val="16"/>
                <w:szCs w:val="16"/>
                <w:lang w:bidi="th-TH"/>
              </w:rPr>
            </w:pPr>
            <w:r w:rsidRPr="007F2A1B">
              <w:rPr>
                <w:rFonts w:ascii="Arial" w:hAnsi="Arial" w:cs="Arial"/>
                <w:sz w:val="16"/>
                <w:szCs w:val="16"/>
                <w:lang w:bidi="th-TH"/>
              </w:rPr>
              <w:t>Program 20</w:t>
            </w:r>
          </w:p>
        </w:tc>
      </w:tr>
    </w:tbl>
    <w:p w14:paraId="3EBBBB43" w14:textId="77777777" w:rsidR="00A55BB0" w:rsidRDefault="00A55BB0">
      <w:pPr>
        <w:rPr>
          <w:rFonts w:ascii="Arial" w:hAnsi="Arial" w:cs="Arial"/>
          <w:bCs/>
        </w:rPr>
      </w:pPr>
    </w:p>
    <w:p w14:paraId="13C62C38" w14:textId="47685D02" w:rsidR="00723542" w:rsidRDefault="00723542">
      <w:pPr>
        <w:rPr>
          <w:rFonts w:ascii="Arial" w:hAnsi="Arial" w:cs="Arial"/>
          <w:bCs/>
        </w:rPr>
      </w:pPr>
      <w:r>
        <w:rPr>
          <w:rFonts w:ascii="Arial" w:hAnsi="Arial" w:cs="Arial"/>
          <w:bCs/>
        </w:rPr>
        <w:br w:type="page"/>
      </w:r>
    </w:p>
    <w:p w14:paraId="6972B7C6" w14:textId="77777777" w:rsidR="000C537C" w:rsidRPr="00A522FE" w:rsidRDefault="000C537C" w:rsidP="00984F70">
      <w:pPr>
        <w:pStyle w:val="StyleStyleHeading3ComplexItalicLatin12pt"/>
      </w:pPr>
      <w:bookmarkStart w:id="61" w:name="_Toc367350597"/>
      <w:bookmarkStart w:id="62" w:name="_Toc427154420"/>
      <w:r w:rsidRPr="00A522FE">
        <w:rPr>
          <w:caps w:val="0"/>
        </w:rPr>
        <w:lastRenderedPageBreak/>
        <w:t>PROGRAM 18</w:t>
      </w:r>
      <w:r w:rsidRPr="00A522FE">
        <w:rPr>
          <w:caps w:val="0"/>
        </w:rPr>
        <w:tab/>
        <w:t>IP AND GLOBAL CHALLENGES</w:t>
      </w:r>
      <w:bookmarkEnd w:id="61"/>
      <w:bookmarkEnd w:id="62"/>
    </w:p>
    <w:p w14:paraId="71011B4A" w14:textId="77777777" w:rsidR="000C537C" w:rsidRDefault="000C537C" w:rsidP="00984F70">
      <w:pPr>
        <w:rPr>
          <w:rFonts w:ascii="Arial" w:hAnsi="Arial"/>
          <w:sz w:val="20"/>
        </w:rPr>
      </w:pPr>
    </w:p>
    <w:p w14:paraId="5280E975" w14:textId="77777777" w:rsidR="000C537C" w:rsidRPr="000F60BC" w:rsidRDefault="000C537C" w:rsidP="00984F70">
      <w:pPr>
        <w:rPr>
          <w:rFonts w:ascii="Arial" w:hAnsi="Arial"/>
          <w:sz w:val="20"/>
        </w:rPr>
      </w:pPr>
    </w:p>
    <w:p w14:paraId="368905D8" w14:textId="77777777" w:rsidR="000C537C" w:rsidRPr="00E91DFE" w:rsidRDefault="000C537C" w:rsidP="00984F70">
      <w:pPr>
        <w:rPr>
          <w:rFonts w:ascii="Arial" w:hAnsi="Arial"/>
          <w:b/>
        </w:rPr>
      </w:pPr>
      <w:r w:rsidRPr="00E91DFE">
        <w:rPr>
          <w:rFonts w:ascii="Arial" w:hAnsi="Arial"/>
          <w:b/>
        </w:rPr>
        <w:t>IP AND GLOBAL CHALLENGES</w:t>
      </w:r>
    </w:p>
    <w:p w14:paraId="41B20F3A" w14:textId="77777777" w:rsidR="000C537C" w:rsidRPr="00026146" w:rsidRDefault="000C537C" w:rsidP="00984F70">
      <w:pPr>
        <w:rPr>
          <w:rFonts w:ascii="Arial" w:hAnsi="Arial"/>
          <w:b/>
          <w:sz w:val="20"/>
        </w:rPr>
      </w:pPr>
    </w:p>
    <w:p w14:paraId="66FF0327" w14:textId="77777777" w:rsidR="000C537C" w:rsidRDefault="000C537C" w:rsidP="00984F70">
      <w:pPr>
        <w:pStyle w:val="BodyTextIndent"/>
        <w:ind w:left="1985" w:hanging="1985"/>
        <w:jc w:val="both"/>
        <w:rPr>
          <w:rFonts w:ascii="Arial" w:hAnsi="Arial" w:cs="Arial"/>
          <w:sz w:val="22"/>
          <w:szCs w:val="22"/>
        </w:rPr>
      </w:pPr>
      <w:r w:rsidRPr="00A522FE">
        <w:rPr>
          <w:rFonts w:ascii="Arial" w:hAnsi="Arial" w:cs="Arial"/>
          <w:sz w:val="22"/>
          <w:szCs w:val="22"/>
        </w:rPr>
        <w:t>PLANNING CONTEXT</w:t>
      </w:r>
    </w:p>
    <w:p w14:paraId="6028DC43" w14:textId="77777777" w:rsidR="000C537C" w:rsidRPr="00A522FE" w:rsidRDefault="000C537C" w:rsidP="00984F70">
      <w:pPr>
        <w:pStyle w:val="BodyTextIndent"/>
        <w:tabs>
          <w:tab w:val="left" w:pos="709"/>
        </w:tabs>
        <w:ind w:left="1985" w:hanging="1985"/>
        <w:jc w:val="both"/>
        <w:rPr>
          <w:rFonts w:ascii="Arial" w:hAnsi="Arial" w:cs="Arial"/>
          <w:sz w:val="22"/>
          <w:szCs w:val="22"/>
        </w:rPr>
      </w:pPr>
    </w:p>
    <w:p w14:paraId="1A96E22A" w14:textId="77777777" w:rsidR="000C537C" w:rsidRPr="002F7AC4" w:rsidRDefault="000C537C" w:rsidP="00B66A4A">
      <w:pPr>
        <w:numPr>
          <w:ilvl w:val="0"/>
          <w:numId w:val="74"/>
        </w:numPr>
        <w:tabs>
          <w:tab w:val="left" w:pos="709"/>
        </w:tabs>
        <w:jc w:val="both"/>
        <w:rPr>
          <w:rFonts w:ascii="Arial" w:hAnsi="Arial" w:cs="Arial"/>
          <w:sz w:val="20"/>
        </w:rPr>
      </w:pPr>
      <w:r w:rsidRPr="002F7AC4">
        <w:rPr>
          <w:rFonts w:ascii="Arial" w:hAnsi="Arial" w:cs="Arial"/>
          <w:spacing w:val="8"/>
          <w:sz w:val="20"/>
        </w:rPr>
        <w:t xml:space="preserve">This Program addresses innovation and IP at the nexus of </w:t>
      </w:r>
      <w:r w:rsidRPr="000A5C7D">
        <w:rPr>
          <w:rFonts w:ascii="Arial" w:hAnsi="Arial" w:cs="Arial"/>
          <w:spacing w:val="8"/>
          <w:sz w:val="20"/>
        </w:rPr>
        <w:t xml:space="preserve">interconnected </w:t>
      </w:r>
      <w:r w:rsidRPr="002F7AC4">
        <w:rPr>
          <w:rFonts w:ascii="Arial" w:hAnsi="Arial" w:cs="Arial"/>
          <w:spacing w:val="8"/>
          <w:sz w:val="20"/>
        </w:rPr>
        <w:t xml:space="preserve">global </w:t>
      </w:r>
      <w:r w:rsidRPr="002F7AC4">
        <w:rPr>
          <w:rFonts w:ascii="Arial" w:hAnsi="Arial" w:cs="Arial"/>
          <w:spacing w:val="1"/>
          <w:sz w:val="20"/>
        </w:rPr>
        <w:t xml:space="preserve">issues, in particular </w:t>
      </w:r>
      <w:r>
        <w:rPr>
          <w:rFonts w:ascii="Arial" w:hAnsi="Arial" w:cs="Arial"/>
          <w:spacing w:val="1"/>
          <w:sz w:val="20"/>
        </w:rPr>
        <w:t>g</w:t>
      </w:r>
      <w:r w:rsidRPr="002F7AC4">
        <w:rPr>
          <w:rFonts w:ascii="Arial" w:hAnsi="Arial" w:cs="Arial"/>
          <w:spacing w:val="1"/>
          <w:sz w:val="20"/>
        </w:rPr>
        <w:t xml:space="preserve">lobal </w:t>
      </w:r>
      <w:r>
        <w:rPr>
          <w:rFonts w:ascii="Arial" w:hAnsi="Arial" w:cs="Arial"/>
          <w:spacing w:val="1"/>
          <w:sz w:val="20"/>
        </w:rPr>
        <w:t>h</w:t>
      </w:r>
      <w:r w:rsidRPr="002F7AC4">
        <w:rPr>
          <w:rFonts w:ascii="Arial" w:hAnsi="Arial" w:cs="Arial"/>
          <w:spacing w:val="1"/>
          <w:sz w:val="20"/>
        </w:rPr>
        <w:t>ealth</w:t>
      </w:r>
      <w:r>
        <w:rPr>
          <w:rFonts w:ascii="Arial" w:hAnsi="Arial" w:cs="Arial"/>
          <w:spacing w:val="1"/>
          <w:sz w:val="20"/>
        </w:rPr>
        <w:t xml:space="preserve"> and</w:t>
      </w:r>
      <w:r w:rsidRPr="002F7AC4">
        <w:rPr>
          <w:rFonts w:ascii="Arial" w:hAnsi="Arial" w:cs="Arial"/>
          <w:spacing w:val="1"/>
          <w:sz w:val="20"/>
        </w:rPr>
        <w:t xml:space="preserve"> </w:t>
      </w:r>
      <w:r>
        <w:rPr>
          <w:rFonts w:ascii="Arial" w:hAnsi="Arial" w:cs="Arial"/>
          <w:spacing w:val="1"/>
          <w:sz w:val="20"/>
        </w:rPr>
        <w:t>c</w:t>
      </w:r>
      <w:r w:rsidRPr="002F7AC4">
        <w:rPr>
          <w:rFonts w:ascii="Arial" w:hAnsi="Arial" w:cs="Arial"/>
          <w:spacing w:val="1"/>
          <w:sz w:val="20"/>
        </w:rPr>
        <w:t xml:space="preserve">limate </w:t>
      </w:r>
      <w:r>
        <w:rPr>
          <w:rFonts w:ascii="Arial" w:hAnsi="Arial" w:cs="Arial"/>
          <w:spacing w:val="1"/>
          <w:sz w:val="20"/>
        </w:rPr>
        <w:t>c</w:t>
      </w:r>
      <w:r w:rsidRPr="002F7AC4">
        <w:rPr>
          <w:rFonts w:ascii="Arial" w:hAnsi="Arial" w:cs="Arial"/>
          <w:spacing w:val="1"/>
          <w:sz w:val="20"/>
        </w:rPr>
        <w:t>hange</w:t>
      </w:r>
      <w:r>
        <w:rPr>
          <w:rFonts w:ascii="Arial" w:hAnsi="Arial" w:cs="Arial"/>
          <w:spacing w:val="1"/>
          <w:sz w:val="20"/>
        </w:rPr>
        <w:t>,</w:t>
      </w:r>
      <w:r w:rsidRPr="002F7AC4">
        <w:rPr>
          <w:rFonts w:ascii="Arial" w:hAnsi="Arial" w:cs="Arial"/>
          <w:spacing w:val="1"/>
          <w:sz w:val="20"/>
        </w:rPr>
        <w:t xml:space="preserve"> and</w:t>
      </w:r>
      <w:r>
        <w:rPr>
          <w:rFonts w:ascii="Arial" w:hAnsi="Arial" w:cs="Arial"/>
          <w:spacing w:val="1"/>
          <w:sz w:val="20"/>
        </w:rPr>
        <w:t>, to a lesser extent, f</w:t>
      </w:r>
      <w:r w:rsidRPr="002F7AC4">
        <w:rPr>
          <w:rFonts w:ascii="Arial" w:hAnsi="Arial" w:cs="Arial"/>
          <w:spacing w:val="1"/>
          <w:sz w:val="20"/>
        </w:rPr>
        <w:t xml:space="preserve">ood </w:t>
      </w:r>
      <w:r>
        <w:rPr>
          <w:rFonts w:ascii="Arial" w:hAnsi="Arial" w:cs="Arial"/>
          <w:spacing w:val="1"/>
          <w:sz w:val="20"/>
        </w:rPr>
        <w:t>s</w:t>
      </w:r>
      <w:r w:rsidRPr="002F7AC4">
        <w:rPr>
          <w:rFonts w:ascii="Arial" w:hAnsi="Arial" w:cs="Arial"/>
          <w:spacing w:val="1"/>
          <w:sz w:val="20"/>
        </w:rPr>
        <w:t>ecurity</w:t>
      </w:r>
      <w:r>
        <w:rPr>
          <w:rFonts w:ascii="Arial" w:hAnsi="Arial" w:cs="Arial"/>
          <w:spacing w:val="1"/>
          <w:sz w:val="20"/>
        </w:rPr>
        <w:t xml:space="preserve">.  </w:t>
      </w:r>
      <w:r w:rsidRPr="002F7AC4">
        <w:rPr>
          <w:rFonts w:ascii="Arial" w:hAnsi="Arial" w:cs="Arial"/>
          <w:spacing w:val="1"/>
          <w:sz w:val="20"/>
        </w:rPr>
        <w:t xml:space="preserve">The </w:t>
      </w:r>
      <w:r>
        <w:rPr>
          <w:rFonts w:ascii="Arial" w:hAnsi="Arial" w:cs="Arial"/>
          <w:spacing w:val="1"/>
          <w:sz w:val="20"/>
        </w:rPr>
        <w:t xml:space="preserve">choice of priorities reflects both the focus of Member States </w:t>
      </w:r>
      <w:r>
        <w:rPr>
          <w:rFonts w:ascii="Arial" w:hAnsi="Arial" w:cs="Arial"/>
          <w:sz w:val="20"/>
        </w:rPr>
        <w:t xml:space="preserve">(e.g., in the post-2015 Development Agenda) </w:t>
      </w:r>
      <w:r>
        <w:rPr>
          <w:rFonts w:ascii="Arial" w:hAnsi="Arial" w:cs="Arial"/>
          <w:spacing w:val="1"/>
          <w:sz w:val="20"/>
        </w:rPr>
        <w:t xml:space="preserve">and the potential for innovation-driven solutions to deliver tangible results. </w:t>
      </w:r>
    </w:p>
    <w:p w14:paraId="296F2759" w14:textId="77777777" w:rsidR="000C537C" w:rsidRDefault="000C537C" w:rsidP="00B66A4A">
      <w:pPr>
        <w:numPr>
          <w:ilvl w:val="0"/>
          <w:numId w:val="74"/>
        </w:numPr>
        <w:tabs>
          <w:tab w:val="left" w:pos="709"/>
        </w:tabs>
        <w:spacing w:before="216"/>
        <w:jc w:val="both"/>
        <w:rPr>
          <w:rFonts w:ascii="Arial" w:hAnsi="Arial" w:cs="Arial"/>
          <w:spacing w:val="2"/>
          <w:sz w:val="20"/>
        </w:rPr>
      </w:pPr>
      <w:r w:rsidRPr="002F7AC4">
        <w:rPr>
          <w:rFonts w:ascii="Arial" w:hAnsi="Arial" w:cs="Arial"/>
          <w:spacing w:val="4"/>
          <w:sz w:val="20"/>
        </w:rPr>
        <w:t xml:space="preserve">Solutions </w:t>
      </w:r>
      <w:r>
        <w:rPr>
          <w:rFonts w:ascii="Arial" w:hAnsi="Arial" w:cs="Arial"/>
          <w:spacing w:val="4"/>
          <w:sz w:val="20"/>
        </w:rPr>
        <w:t>to</w:t>
      </w:r>
      <w:r w:rsidRPr="002F7AC4">
        <w:rPr>
          <w:rFonts w:ascii="Arial" w:hAnsi="Arial" w:cs="Arial"/>
          <w:spacing w:val="4"/>
          <w:sz w:val="20"/>
        </w:rPr>
        <w:t xml:space="preserve"> </w:t>
      </w:r>
      <w:r>
        <w:rPr>
          <w:rFonts w:ascii="Arial" w:hAnsi="Arial" w:cs="Arial"/>
          <w:spacing w:val="4"/>
          <w:sz w:val="20"/>
        </w:rPr>
        <w:t xml:space="preserve">these </w:t>
      </w:r>
      <w:r w:rsidRPr="002F7AC4">
        <w:rPr>
          <w:rFonts w:ascii="Arial" w:hAnsi="Arial" w:cs="Arial"/>
          <w:spacing w:val="4"/>
          <w:sz w:val="20"/>
        </w:rPr>
        <w:t xml:space="preserve">global problems depend in part on </w:t>
      </w:r>
      <w:r w:rsidRPr="002F7AC4">
        <w:rPr>
          <w:rFonts w:ascii="Arial" w:hAnsi="Arial" w:cs="Arial"/>
          <w:spacing w:val="2"/>
          <w:sz w:val="20"/>
        </w:rPr>
        <w:t xml:space="preserve">unlocking the potential of innovation in such a </w:t>
      </w:r>
      <w:r w:rsidRPr="00924770">
        <w:rPr>
          <w:rFonts w:ascii="Arial" w:hAnsi="Arial" w:cs="Arial"/>
          <w:spacing w:val="2"/>
          <w:sz w:val="20"/>
        </w:rPr>
        <w:t>way that</w:t>
      </w:r>
      <w:r>
        <w:rPr>
          <w:rFonts w:ascii="Arial" w:hAnsi="Arial" w:cs="Arial"/>
          <w:spacing w:val="2"/>
          <w:sz w:val="20"/>
        </w:rPr>
        <w:t xml:space="preserve"> </w:t>
      </w:r>
      <w:r w:rsidRPr="00924770">
        <w:rPr>
          <w:rFonts w:ascii="Arial" w:hAnsi="Arial" w:cs="Arial"/>
          <w:spacing w:val="2"/>
          <w:sz w:val="20"/>
        </w:rPr>
        <w:t>countries</w:t>
      </w:r>
      <w:r>
        <w:rPr>
          <w:rFonts w:ascii="Arial" w:hAnsi="Arial" w:cs="Arial"/>
          <w:spacing w:val="2"/>
          <w:sz w:val="20"/>
        </w:rPr>
        <w:t>,</w:t>
      </w:r>
      <w:r w:rsidRPr="002F7AC4">
        <w:rPr>
          <w:rFonts w:ascii="Arial" w:hAnsi="Arial" w:cs="Arial"/>
          <w:spacing w:val="2"/>
          <w:sz w:val="20"/>
        </w:rPr>
        <w:t xml:space="preserve"> at all levels of development</w:t>
      </w:r>
      <w:r>
        <w:rPr>
          <w:rFonts w:ascii="Arial" w:hAnsi="Arial" w:cs="Arial"/>
          <w:spacing w:val="2"/>
          <w:sz w:val="20"/>
        </w:rPr>
        <w:t>,</w:t>
      </w:r>
      <w:r w:rsidRPr="002F7AC4">
        <w:rPr>
          <w:rFonts w:ascii="Arial" w:hAnsi="Arial" w:cs="Arial"/>
          <w:spacing w:val="2"/>
          <w:sz w:val="20"/>
        </w:rPr>
        <w:t xml:space="preserve"> benefit</w:t>
      </w:r>
      <w:r>
        <w:rPr>
          <w:rFonts w:ascii="Arial" w:hAnsi="Arial" w:cs="Arial"/>
          <w:spacing w:val="2"/>
          <w:sz w:val="20"/>
        </w:rPr>
        <w:t xml:space="preserve">.  </w:t>
      </w:r>
      <w:r w:rsidRPr="002F7AC4">
        <w:rPr>
          <w:rFonts w:ascii="Arial" w:hAnsi="Arial" w:cs="Arial"/>
          <w:spacing w:val="2"/>
          <w:sz w:val="20"/>
        </w:rPr>
        <w:t xml:space="preserve">Increasingly, capacity building, technology transfer and the diffusion of practical tools are taking place via novel forms of collaborations </w:t>
      </w:r>
      <w:r>
        <w:rPr>
          <w:rFonts w:ascii="Arial" w:hAnsi="Arial" w:cs="Arial"/>
          <w:spacing w:val="2"/>
          <w:sz w:val="20"/>
        </w:rPr>
        <w:t xml:space="preserve">involving a broad range of stakeholders.  </w:t>
      </w:r>
    </w:p>
    <w:p w14:paraId="03386D2B" w14:textId="3E45CBFC" w:rsidR="000C537C" w:rsidRPr="008E4276" w:rsidRDefault="000C537C" w:rsidP="00B66A4A">
      <w:pPr>
        <w:numPr>
          <w:ilvl w:val="0"/>
          <w:numId w:val="74"/>
        </w:numPr>
        <w:tabs>
          <w:tab w:val="left" w:pos="709"/>
        </w:tabs>
        <w:spacing w:before="216"/>
        <w:jc w:val="both"/>
        <w:rPr>
          <w:rFonts w:ascii="Arial" w:hAnsi="Arial" w:cs="Arial"/>
          <w:bCs/>
          <w:sz w:val="20"/>
        </w:rPr>
      </w:pPr>
      <w:r w:rsidRPr="005F606C">
        <w:rPr>
          <w:rFonts w:ascii="Arial" w:hAnsi="Arial" w:cs="Arial"/>
          <w:spacing w:val="2"/>
          <w:sz w:val="20"/>
        </w:rPr>
        <w:t>The Program</w:t>
      </w:r>
      <w:r w:rsidR="007824BC">
        <w:rPr>
          <w:rFonts w:ascii="Arial" w:hAnsi="Arial" w:cs="Arial"/>
          <w:spacing w:val="2"/>
          <w:sz w:val="20"/>
        </w:rPr>
        <w:t xml:space="preserve"> </w:t>
      </w:r>
      <w:r w:rsidR="00093750">
        <w:rPr>
          <w:rFonts w:ascii="Arial" w:hAnsi="Arial" w:cs="Arial"/>
          <w:spacing w:val="2"/>
          <w:sz w:val="20"/>
        </w:rPr>
        <w:t xml:space="preserve">has </w:t>
      </w:r>
      <w:r w:rsidR="00664CD3">
        <w:rPr>
          <w:rFonts w:ascii="Arial" w:hAnsi="Arial" w:cs="Arial"/>
          <w:spacing w:val="2"/>
          <w:sz w:val="20"/>
        </w:rPr>
        <w:t>implemented</w:t>
      </w:r>
      <w:r w:rsidR="007824BC">
        <w:rPr>
          <w:rFonts w:ascii="Arial" w:hAnsi="Arial" w:cs="Arial"/>
          <w:spacing w:val="2"/>
          <w:sz w:val="20"/>
        </w:rPr>
        <w:t xml:space="preserve"> </w:t>
      </w:r>
      <w:r w:rsidR="00093750">
        <w:rPr>
          <w:rFonts w:ascii="Arial" w:hAnsi="Arial" w:cs="Arial"/>
          <w:spacing w:val="2"/>
          <w:sz w:val="20"/>
        </w:rPr>
        <w:t>two</w:t>
      </w:r>
      <w:r w:rsidRPr="005F606C">
        <w:rPr>
          <w:rFonts w:ascii="Arial" w:hAnsi="Arial" w:cs="Arial"/>
          <w:spacing w:val="2"/>
          <w:sz w:val="20"/>
        </w:rPr>
        <w:t xml:space="preserve"> multi-stakeholder platforms</w:t>
      </w:r>
      <w:r>
        <w:rPr>
          <w:rFonts w:ascii="Arial" w:hAnsi="Arial" w:cs="Arial"/>
          <w:spacing w:val="2"/>
          <w:sz w:val="20"/>
        </w:rPr>
        <w:t>, WIPO Re:Search</w:t>
      </w:r>
      <w:r w:rsidR="00E66A2C">
        <w:rPr>
          <w:rFonts w:ascii="Arial" w:hAnsi="Arial" w:cs="Arial"/>
          <w:spacing w:val="2"/>
          <w:sz w:val="20"/>
        </w:rPr>
        <w:t xml:space="preserve"> (with the goal of facilitating access to IP to accelerate research and development into drugs against neglected tropical diseases, malaria and </w:t>
      </w:r>
      <w:r w:rsidR="00093750">
        <w:rPr>
          <w:rFonts w:ascii="Arial" w:hAnsi="Arial" w:cs="Arial"/>
          <w:spacing w:val="2"/>
          <w:sz w:val="20"/>
        </w:rPr>
        <w:t>T</w:t>
      </w:r>
      <w:r w:rsidR="00E66A2C">
        <w:rPr>
          <w:rFonts w:ascii="Arial" w:hAnsi="Arial" w:cs="Arial"/>
          <w:spacing w:val="2"/>
          <w:sz w:val="20"/>
        </w:rPr>
        <w:t xml:space="preserve">uberculosis) </w:t>
      </w:r>
      <w:r>
        <w:rPr>
          <w:rFonts w:ascii="Arial" w:hAnsi="Arial" w:cs="Arial"/>
          <w:spacing w:val="2"/>
          <w:sz w:val="20"/>
        </w:rPr>
        <w:t xml:space="preserve">in </w:t>
      </w:r>
      <w:r w:rsidR="00093750">
        <w:rPr>
          <w:rFonts w:ascii="Arial" w:hAnsi="Arial" w:cs="Arial"/>
          <w:spacing w:val="2"/>
          <w:sz w:val="20"/>
        </w:rPr>
        <w:t xml:space="preserve">global </w:t>
      </w:r>
      <w:r>
        <w:rPr>
          <w:rFonts w:ascii="Arial" w:hAnsi="Arial" w:cs="Arial"/>
          <w:spacing w:val="2"/>
          <w:sz w:val="20"/>
        </w:rPr>
        <w:t>health</w:t>
      </w:r>
      <w:r w:rsidR="007824BC">
        <w:rPr>
          <w:rFonts w:ascii="Arial" w:hAnsi="Arial" w:cs="Arial"/>
          <w:spacing w:val="2"/>
          <w:sz w:val="20"/>
        </w:rPr>
        <w:t xml:space="preserve"> </w:t>
      </w:r>
      <w:r>
        <w:rPr>
          <w:rFonts w:ascii="Arial" w:hAnsi="Arial" w:cs="Arial"/>
          <w:spacing w:val="2"/>
          <w:sz w:val="20"/>
        </w:rPr>
        <w:t xml:space="preserve">and WIPO GREEN </w:t>
      </w:r>
      <w:r w:rsidR="00E66A2C">
        <w:rPr>
          <w:rFonts w:ascii="Arial" w:hAnsi="Arial" w:cs="Arial"/>
          <w:spacing w:val="2"/>
          <w:sz w:val="20"/>
        </w:rPr>
        <w:t xml:space="preserve">(a marketplace to enhance the environment for innovation while enabling faster diffusion of green technologies) </w:t>
      </w:r>
      <w:r>
        <w:rPr>
          <w:rFonts w:ascii="Arial" w:hAnsi="Arial" w:cs="Arial"/>
          <w:spacing w:val="2"/>
          <w:sz w:val="20"/>
        </w:rPr>
        <w:t>in climate chang</w:t>
      </w:r>
      <w:r w:rsidR="009846BC">
        <w:rPr>
          <w:rFonts w:ascii="Arial" w:hAnsi="Arial" w:cs="Arial"/>
          <w:spacing w:val="2"/>
          <w:sz w:val="20"/>
        </w:rPr>
        <w:t xml:space="preserve">e.  </w:t>
      </w:r>
      <w:r w:rsidR="007824BC">
        <w:rPr>
          <w:rFonts w:ascii="Arial" w:hAnsi="Arial" w:cs="Arial"/>
          <w:spacing w:val="2"/>
          <w:sz w:val="20"/>
        </w:rPr>
        <w:t>.</w:t>
      </w:r>
      <w:r w:rsidRPr="008E4276">
        <w:rPr>
          <w:rFonts w:ascii="Arial" w:hAnsi="Arial" w:cs="Arial"/>
          <w:spacing w:val="2"/>
          <w:sz w:val="20"/>
        </w:rPr>
        <w:t xml:space="preserve">Across both platforms, </w:t>
      </w:r>
      <w:r>
        <w:rPr>
          <w:rFonts w:ascii="Arial" w:hAnsi="Arial" w:cs="Arial"/>
          <w:spacing w:val="2"/>
          <w:sz w:val="20"/>
        </w:rPr>
        <w:t>the Program will undertake a number of steps</w:t>
      </w:r>
      <w:r w:rsidR="00E66A2C">
        <w:rPr>
          <w:rFonts w:ascii="Arial" w:hAnsi="Arial" w:cs="Arial"/>
          <w:spacing w:val="2"/>
          <w:sz w:val="20"/>
        </w:rPr>
        <w:t>, in line with the functions of the Secretariat as defined in the Guiding Principles of WIPO Re:Search and the Charter of WIPO GREEN,</w:t>
      </w:r>
      <w:r>
        <w:rPr>
          <w:rFonts w:ascii="Arial" w:hAnsi="Arial" w:cs="Arial"/>
          <w:spacing w:val="2"/>
          <w:sz w:val="20"/>
        </w:rPr>
        <w:t xml:space="preserve"> </w:t>
      </w:r>
      <w:r w:rsidR="00093750">
        <w:rPr>
          <w:rFonts w:ascii="Arial" w:hAnsi="Arial" w:cs="Arial"/>
          <w:spacing w:val="2"/>
          <w:sz w:val="20"/>
        </w:rPr>
        <w:t xml:space="preserve">and </w:t>
      </w:r>
      <w:r>
        <w:rPr>
          <w:rFonts w:ascii="Arial" w:hAnsi="Arial" w:cs="Arial"/>
          <w:spacing w:val="2"/>
          <w:sz w:val="20"/>
        </w:rPr>
        <w:t xml:space="preserve">continue developing and implementing strategies to maintain momentum of the consortia and mobilize additional capacity to adequately resource </w:t>
      </w:r>
      <w:r w:rsidRPr="008E4276">
        <w:rPr>
          <w:rFonts w:ascii="Arial" w:hAnsi="Arial" w:cs="Arial"/>
          <w:bCs/>
          <w:sz w:val="20"/>
        </w:rPr>
        <w:t>ongoing and planned activities.</w:t>
      </w:r>
    </w:p>
    <w:p w14:paraId="26C0AED0" w14:textId="77777777" w:rsidR="000C537C" w:rsidRDefault="000C537C" w:rsidP="00984F70">
      <w:pPr>
        <w:tabs>
          <w:tab w:val="left" w:pos="567"/>
          <w:tab w:val="left" w:pos="709"/>
          <w:tab w:val="left" w:pos="1985"/>
        </w:tabs>
        <w:jc w:val="both"/>
        <w:rPr>
          <w:rFonts w:ascii="Arial" w:hAnsi="Arial" w:cs="Arial"/>
          <w:spacing w:val="2"/>
          <w:sz w:val="20"/>
        </w:rPr>
      </w:pPr>
    </w:p>
    <w:p w14:paraId="48FF3123" w14:textId="77777777" w:rsidR="000C537C" w:rsidRDefault="000C537C" w:rsidP="00984F70">
      <w:pPr>
        <w:tabs>
          <w:tab w:val="left" w:pos="567"/>
          <w:tab w:val="left" w:pos="709"/>
          <w:tab w:val="left" w:pos="1985"/>
        </w:tabs>
        <w:jc w:val="both"/>
        <w:rPr>
          <w:rFonts w:ascii="Arial" w:hAnsi="Arial" w:cs="Arial"/>
          <w:bCs/>
          <w:sz w:val="20"/>
        </w:rPr>
      </w:pPr>
    </w:p>
    <w:p w14:paraId="010CF8D1" w14:textId="77777777" w:rsidR="000C537C" w:rsidRPr="00455368" w:rsidRDefault="000C537C" w:rsidP="00984F70">
      <w:pPr>
        <w:tabs>
          <w:tab w:val="left" w:pos="567"/>
          <w:tab w:val="left" w:pos="709"/>
          <w:tab w:val="left" w:pos="1985"/>
        </w:tabs>
        <w:jc w:val="both"/>
        <w:rPr>
          <w:rFonts w:ascii="Arial" w:hAnsi="Arial" w:cs="Arial"/>
          <w:bCs/>
        </w:rPr>
      </w:pPr>
      <w:r w:rsidRPr="00976CAA">
        <w:rPr>
          <w:rFonts w:ascii="Arial" w:hAnsi="Arial" w:cs="Arial"/>
          <w:bCs/>
        </w:rPr>
        <w:t>IMPLEMENTATION STRATEGIES</w:t>
      </w:r>
    </w:p>
    <w:p w14:paraId="69B20905" w14:textId="77777777" w:rsidR="000C537C" w:rsidRPr="00455368" w:rsidRDefault="000C537C" w:rsidP="00984F70">
      <w:pPr>
        <w:tabs>
          <w:tab w:val="left" w:pos="709"/>
        </w:tabs>
        <w:jc w:val="both"/>
        <w:rPr>
          <w:rFonts w:ascii="Arial" w:hAnsi="Arial" w:cs="Arial"/>
          <w:sz w:val="20"/>
        </w:rPr>
      </w:pPr>
    </w:p>
    <w:p w14:paraId="6E10ED44" w14:textId="77777777" w:rsidR="000C537C" w:rsidRDefault="000C537C" w:rsidP="00B66A4A">
      <w:pPr>
        <w:numPr>
          <w:ilvl w:val="0"/>
          <w:numId w:val="74"/>
        </w:numPr>
        <w:tabs>
          <w:tab w:val="left" w:pos="709"/>
        </w:tabs>
        <w:jc w:val="both"/>
        <w:rPr>
          <w:rFonts w:ascii="Arial" w:hAnsi="Arial" w:cs="Arial"/>
          <w:sz w:val="20"/>
        </w:rPr>
      </w:pPr>
      <w:r w:rsidRPr="00E071FF">
        <w:rPr>
          <w:rFonts w:ascii="Arial" w:hAnsi="Arial" w:cs="Arial"/>
          <w:spacing w:val="1"/>
          <w:sz w:val="20"/>
        </w:rPr>
        <w:t>Effective</w:t>
      </w:r>
      <w:r w:rsidRPr="002F7AC4">
        <w:rPr>
          <w:rFonts w:ascii="Arial" w:hAnsi="Arial" w:cs="Arial"/>
          <w:spacing w:val="1"/>
          <w:sz w:val="20"/>
        </w:rPr>
        <w:t xml:space="preserve"> and constructive contribution to innovation-based solutions and to the global policy dialogue will be pursued through a </w:t>
      </w:r>
      <w:r w:rsidRPr="002F7AC4">
        <w:rPr>
          <w:rFonts w:ascii="Arial" w:hAnsi="Arial" w:cs="Arial"/>
          <w:sz w:val="20"/>
        </w:rPr>
        <w:t>three-pronged implementation strategy:</w:t>
      </w:r>
    </w:p>
    <w:p w14:paraId="1A6B36F4" w14:textId="77777777" w:rsidR="000C537C" w:rsidRDefault="000C537C" w:rsidP="00984F70">
      <w:pPr>
        <w:tabs>
          <w:tab w:val="left" w:pos="709"/>
        </w:tabs>
        <w:jc w:val="both"/>
        <w:rPr>
          <w:rFonts w:ascii="Arial" w:hAnsi="Arial" w:cs="Arial"/>
          <w:sz w:val="20"/>
        </w:rPr>
      </w:pPr>
    </w:p>
    <w:p w14:paraId="1E27DBAD" w14:textId="42E365F2" w:rsidR="000C537C" w:rsidRPr="000D7992" w:rsidRDefault="000C537C" w:rsidP="000D7992">
      <w:pPr>
        <w:rPr>
          <w:rFonts w:ascii="Arial" w:hAnsi="Arial" w:cs="Arial"/>
          <w:sz w:val="20"/>
          <w:u w:val="single"/>
        </w:rPr>
      </w:pPr>
      <w:r w:rsidRPr="000D7992">
        <w:rPr>
          <w:rFonts w:ascii="Arial" w:hAnsi="Arial" w:cs="Arial"/>
          <w:sz w:val="20"/>
          <w:u w:val="single"/>
        </w:rPr>
        <w:t xml:space="preserve">Developing and maintaining practical IP-based platforms and tools </w:t>
      </w:r>
      <w:r w:rsidR="00323604" w:rsidRPr="000D7992">
        <w:rPr>
          <w:rFonts w:ascii="Arial" w:hAnsi="Arial" w:cs="Arial"/>
          <w:sz w:val="20"/>
          <w:u w:val="single"/>
        </w:rPr>
        <w:t>for addressing global </w:t>
      </w:r>
      <w:r w:rsidRPr="000D7992">
        <w:rPr>
          <w:rFonts w:ascii="Arial" w:hAnsi="Arial" w:cs="Arial"/>
          <w:sz w:val="20"/>
          <w:u w:val="single"/>
        </w:rPr>
        <w:t>challenges</w:t>
      </w:r>
    </w:p>
    <w:p w14:paraId="7A2335B0" w14:textId="77777777" w:rsidR="000C537C" w:rsidRDefault="000C537C" w:rsidP="00984F70">
      <w:pPr>
        <w:tabs>
          <w:tab w:val="left" w:pos="709"/>
        </w:tabs>
        <w:jc w:val="both"/>
        <w:rPr>
          <w:rFonts w:ascii="Arial" w:hAnsi="Arial" w:cs="Arial"/>
          <w:sz w:val="20"/>
        </w:rPr>
      </w:pPr>
    </w:p>
    <w:p w14:paraId="33CFA9D5" w14:textId="77777777" w:rsidR="000C537C" w:rsidRDefault="000C537C" w:rsidP="00B66A4A">
      <w:pPr>
        <w:numPr>
          <w:ilvl w:val="0"/>
          <w:numId w:val="74"/>
        </w:numPr>
        <w:tabs>
          <w:tab w:val="left" w:pos="709"/>
        </w:tabs>
        <w:jc w:val="both"/>
        <w:rPr>
          <w:rFonts w:ascii="Arial" w:hAnsi="Arial" w:cs="Arial"/>
          <w:sz w:val="20"/>
        </w:rPr>
      </w:pPr>
      <w:r w:rsidRPr="002F7AC4">
        <w:rPr>
          <w:rFonts w:ascii="Arial" w:hAnsi="Arial" w:cs="Arial"/>
          <w:sz w:val="20"/>
        </w:rPr>
        <w:t xml:space="preserve">The core element of the Program’s strategy rests on the </w:t>
      </w:r>
      <w:r>
        <w:rPr>
          <w:rFonts w:ascii="Arial" w:hAnsi="Arial" w:cs="Arial"/>
          <w:sz w:val="20"/>
        </w:rPr>
        <w:t xml:space="preserve">further </w:t>
      </w:r>
      <w:r w:rsidRPr="002F7AC4">
        <w:rPr>
          <w:rFonts w:ascii="Arial" w:hAnsi="Arial" w:cs="Arial"/>
          <w:sz w:val="20"/>
        </w:rPr>
        <w:t xml:space="preserve">implementation and sustainability of </w:t>
      </w:r>
      <w:r>
        <w:rPr>
          <w:rFonts w:ascii="Arial" w:hAnsi="Arial" w:cs="Arial"/>
          <w:sz w:val="20"/>
        </w:rPr>
        <w:t xml:space="preserve">its two </w:t>
      </w:r>
      <w:r w:rsidRPr="002F7AC4">
        <w:rPr>
          <w:rFonts w:ascii="Arial" w:hAnsi="Arial" w:cs="Arial"/>
          <w:sz w:val="20"/>
        </w:rPr>
        <w:t>multi-</w:t>
      </w:r>
      <w:r>
        <w:rPr>
          <w:rFonts w:ascii="Arial" w:hAnsi="Arial" w:cs="Arial"/>
          <w:sz w:val="20"/>
        </w:rPr>
        <w:t>stakeholder</w:t>
      </w:r>
      <w:r w:rsidRPr="002F7AC4">
        <w:rPr>
          <w:rFonts w:ascii="Arial" w:hAnsi="Arial" w:cs="Arial"/>
          <w:sz w:val="20"/>
        </w:rPr>
        <w:t xml:space="preserve"> platforms that facilitate effective collaborative networks and technology transfer relevant </w:t>
      </w:r>
      <w:r w:rsidRPr="002F7AC4">
        <w:rPr>
          <w:rFonts w:ascii="Arial" w:hAnsi="Arial" w:cs="Arial"/>
          <w:spacing w:val="3"/>
          <w:sz w:val="20"/>
        </w:rPr>
        <w:t>to health and climate change</w:t>
      </w:r>
      <w:r>
        <w:rPr>
          <w:rFonts w:ascii="Arial" w:hAnsi="Arial" w:cs="Arial"/>
          <w:spacing w:val="3"/>
          <w:sz w:val="20"/>
        </w:rPr>
        <w:t xml:space="preserve">.  </w:t>
      </w:r>
      <w:r w:rsidRPr="002F7AC4">
        <w:rPr>
          <w:rFonts w:ascii="Arial" w:hAnsi="Arial" w:cs="Arial"/>
          <w:spacing w:val="3"/>
          <w:sz w:val="20"/>
        </w:rPr>
        <w:t xml:space="preserve">Initiatives will build on partnerships and collaborations </w:t>
      </w:r>
      <w:r>
        <w:rPr>
          <w:rFonts w:ascii="Arial" w:hAnsi="Arial" w:cs="Arial"/>
          <w:spacing w:val="4"/>
          <w:sz w:val="20"/>
        </w:rPr>
        <w:t xml:space="preserve">using </w:t>
      </w:r>
      <w:r w:rsidRPr="002F7AC4">
        <w:rPr>
          <w:rFonts w:ascii="Arial" w:hAnsi="Arial" w:cs="Arial"/>
          <w:spacing w:val="4"/>
          <w:sz w:val="20"/>
        </w:rPr>
        <w:t xml:space="preserve">open innovation structures, networked innovation and other forms of </w:t>
      </w:r>
      <w:r w:rsidRPr="002F7AC4">
        <w:rPr>
          <w:rFonts w:ascii="Arial" w:hAnsi="Arial" w:cs="Arial"/>
          <w:sz w:val="20"/>
        </w:rPr>
        <w:t xml:space="preserve">partnerships to accelerate </w:t>
      </w:r>
      <w:r>
        <w:rPr>
          <w:rFonts w:ascii="Arial" w:hAnsi="Arial" w:cs="Arial"/>
          <w:sz w:val="20"/>
        </w:rPr>
        <w:t>their</w:t>
      </w:r>
      <w:r w:rsidRPr="002F7AC4">
        <w:rPr>
          <w:rFonts w:ascii="Arial" w:hAnsi="Arial" w:cs="Arial"/>
          <w:sz w:val="20"/>
        </w:rPr>
        <w:t xml:space="preserve"> impact</w:t>
      </w:r>
      <w:r>
        <w:rPr>
          <w:rFonts w:ascii="Arial" w:hAnsi="Arial" w:cs="Arial"/>
          <w:sz w:val="20"/>
        </w:rPr>
        <w:t xml:space="preserve">.  </w:t>
      </w:r>
      <w:r w:rsidRPr="002F7AC4">
        <w:rPr>
          <w:rFonts w:ascii="Arial" w:hAnsi="Arial" w:cs="Arial"/>
          <w:sz w:val="20"/>
        </w:rPr>
        <w:t xml:space="preserve">Emphasis will also be placed on increasing </w:t>
      </w:r>
      <w:r w:rsidRPr="005C3BD0">
        <w:rPr>
          <w:rFonts w:ascii="Arial" w:hAnsi="Arial" w:cs="Arial"/>
          <w:sz w:val="20"/>
        </w:rPr>
        <w:t>North–South</w:t>
      </w:r>
      <w:r>
        <w:rPr>
          <w:rFonts w:ascii="Arial" w:hAnsi="Arial" w:cs="Arial"/>
          <w:sz w:val="20"/>
        </w:rPr>
        <w:t xml:space="preserve"> and S</w:t>
      </w:r>
      <w:r w:rsidRPr="002F7AC4">
        <w:rPr>
          <w:rFonts w:ascii="Arial" w:hAnsi="Arial" w:cs="Arial"/>
          <w:sz w:val="20"/>
        </w:rPr>
        <w:t>outh</w:t>
      </w:r>
      <w:r>
        <w:rPr>
          <w:rFonts w:ascii="Arial" w:hAnsi="Arial" w:cs="Arial"/>
          <w:sz w:val="20"/>
        </w:rPr>
        <w:t>–S</w:t>
      </w:r>
      <w:r w:rsidRPr="002F7AC4">
        <w:rPr>
          <w:rFonts w:ascii="Arial" w:hAnsi="Arial" w:cs="Arial"/>
          <w:sz w:val="20"/>
        </w:rPr>
        <w:t xml:space="preserve">outh collaborations and partnerships that facilitate the global connectivity of </w:t>
      </w:r>
      <w:r>
        <w:rPr>
          <w:rFonts w:ascii="Arial" w:hAnsi="Arial" w:cs="Arial"/>
          <w:sz w:val="20"/>
        </w:rPr>
        <w:t>developing country innovators.</w:t>
      </w:r>
    </w:p>
    <w:p w14:paraId="40B324D3" w14:textId="77777777" w:rsidR="000C537C" w:rsidRPr="002F7AC4" w:rsidRDefault="000C537C" w:rsidP="00984F70">
      <w:pPr>
        <w:tabs>
          <w:tab w:val="left" w:pos="709"/>
        </w:tabs>
        <w:jc w:val="both"/>
        <w:rPr>
          <w:rFonts w:ascii="Arial" w:hAnsi="Arial" w:cs="Arial"/>
          <w:sz w:val="20"/>
        </w:rPr>
      </w:pPr>
    </w:p>
    <w:p w14:paraId="33988154" w14:textId="77777777" w:rsidR="000C537C" w:rsidRDefault="000C537C" w:rsidP="00B66A4A">
      <w:pPr>
        <w:numPr>
          <w:ilvl w:val="0"/>
          <w:numId w:val="74"/>
        </w:numPr>
        <w:tabs>
          <w:tab w:val="left" w:pos="709"/>
        </w:tabs>
        <w:jc w:val="both"/>
        <w:rPr>
          <w:rFonts w:ascii="Arial" w:hAnsi="Arial" w:cs="Arial"/>
          <w:sz w:val="20"/>
        </w:rPr>
      </w:pPr>
      <w:r w:rsidRPr="002F7AC4">
        <w:rPr>
          <w:rFonts w:ascii="Arial" w:hAnsi="Arial" w:cs="Arial"/>
          <w:sz w:val="20"/>
        </w:rPr>
        <w:t>Together with external partners, technology sharing tools to facilitate the diffusion and transfer of both health</w:t>
      </w:r>
      <w:r>
        <w:rPr>
          <w:rFonts w:ascii="Arial" w:hAnsi="Arial" w:cs="Arial"/>
          <w:sz w:val="20"/>
        </w:rPr>
        <w:t xml:space="preserve"> </w:t>
      </w:r>
      <w:r w:rsidRPr="002F7AC4">
        <w:rPr>
          <w:rFonts w:ascii="Arial" w:hAnsi="Arial" w:cs="Arial"/>
          <w:sz w:val="20"/>
        </w:rPr>
        <w:t xml:space="preserve">and green technologies will be </w:t>
      </w:r>
      <w:r>
        <w:rPr>
          <w:rFonts w:ascii="Arial" w:hAnsi="Arial" w:cs="Arial"/>
          <w:sz w:val="20"/>
        </w:rPr>
        <w:t>increased</w:t>
      </w:r>
      <w:r w:rsidRPr="002F7AC4">
        <w:rPr>
          <w:rFonts w:ascii="Arial" w:hAnsi="Arial" w:cs="Arial"/>
          <w:sz w:val="20"/>
        </w:rPr>
        <w:t xml:space="preserve">, consistent with the goals of the </w:t>
      </w:r>
      <w:r>
        <w:rPr>
          <w:rFonts w:ascii="Arial" w:hAnsi="Arial" w:cs="Arial"/>
          <w:sz w:val="20"/>
        </w:rPr>
        <w:t>DA, in particular Recommendations 19 (access to knowledge and technology), 25 (transfer of technology) and 30, 40 and 42 (cooperation with IGOs and NGOs).</w:t>
      </w:r>
    </w:p>
    <w:p w14:paraId="7CA642B6" w14:textId="77777777" w:rsidR="000C537C" w:rsidRDefault="000C537C" w:rsidP="00984F70">
      <w:pPr>
        <w:pStyle w:val="ListParagraph"/>
        <w:tabs>
          <w:tab w:val="left" w:pos="709"/>
        </w:tabs>
        <w:rPr>
          <w:rFonts w:ascii="Arial" w:hAnsi="Arial" w:cs="Arial"/>
          <w:sz w:val="20"/>
        </w:rPr>
      </w:pPr>
    </w:p>
    <w:p w14:paraId="115A4019" w14:textId="77777777" w:rsidR="000C537C" w:rsidRDefault="000C537C" w:rsidP="00B66A4A">
      <w:pPr>
        <w:numPr>
          <w:ilvl w:val="0"/>
          <w:numId w:val="74"/>
        </w:numPr>
        <w:tabs>
          <w:tab w:val="left" w:pos="709"/>
        </w:tabs>
        <w:jc w:val="both"/>
        <w:rPr>
          <w:rFonts w:ascii="Arial" w:hAnsi="Arial" w:cs="Arial"/>
          <w:sz w:val="20"/>
        </w:rPr>
      </w:pPr>
      <w:r>
        <w:rPr>
          <w:rFonts w:ascii="Arial" w:hAnsi="Arial" w:cs="Arial"/>
          <w:sz w:val="20"/>
        </w:rPr>
        <w:t xml:space="preserve">A strategy to address IP and food security that builds upon WIPO’s previous activities in this area will also be developed during the biennium in consultation with relevant WIPO Programs, as well as external stakeholders, notably IGOs, the private sector </w:t>
      </w:r>
      <w:r w:rsidRPr="00F3719C">
        <w:rPr>
          <w:rFonts w:ascii="Arial" w:hAnsi="Arial" w:cs="Arial"/>
          <w:sz w:val="20"/>
        </w:rPr>
        <w:t xml:space="preserve">and </w:t>
      </w:r>
      <w:r>
        <w:rPr>
          <w:rFonts w:ascii="Arial" w:hAnsi="Arial" w:cs="Arial"/>
          <w:sz w:val="20"/>
        </w:rPr>
        <w:t>civil society.</w:t>
      </w:r>
    </w:p>
    <w:p w14:paraId="4E59BBD9" w14:textId="77777777" w:rsidR="000C537C" w:rsidRDefault="000C537C" w:rsidP="00984F70">
      <w:pPr>
        <w:rPr>
          <w:rFonts w:ascii="Arial" w:hAnsi="Arial" w:cs="Arial"/>
          <w:sz w:val="20"/>
        </w:rPr>
      </w:pPr>
    </w:p>
    <w:p w14:paraId="63885995" w14:textId="77777777" w:rsidR="000C537C" w:rsidRDefault="000C537C" w:rsidP="000D7992">
      <w:pPr>
        <w:keepNext/>
        <w:keepLines/>
        <w:rPr>
          <w:rFonts w:ascii="Arial" w:hAnsi="Arial" w:cs="Arial"/>
          <w:sz w:val="20"/>
          <w:u w:val="single"/>
        </w:rPr>
      </w:pPr>
      <w:r w:rsidRPr="002F7AC4">
        <w:rPr>
          <w:rFonts w:ascii="Arial" w:hAnsi="Arial" w:cs="Arial"/>
          <w:spacing w:val="-1"/>
          <w:sz w:val="20"/>
          <w:u w:val="single"/>
        </w:rPr>
        <w:lastRenderedPageBreak/>
        <w:t xml:space="preserve">Providing </w:t>
      </w:r>
      <w:r>
        <w:rPr>
          <w:rFonts w:ascii="Arial" w:hAnsi="Arial" w:cs="Arial"/>
          <w:spacing w:val="-1"/>
          <w:sz w:val="20"/>
          <w:u w:val="single"/>
        </w:rPr>
        <w:t xml:space="preserve">enhanced access to, and use of IP information to </w:t>
      </w:r>
      <w:r w:rsidRPr="002F7AC4">
        <w:rPr>
          <w:rFonts w:ascii="Arial" w:hAnsi="Arial" w:cs="Arial"/>
          <w:spacing w:val="-1"/>
          <w:sz w:val="20"/>
          <w:u w:val="single"/>
        </w:rPr>
        <w:t xml:space="preserve">support Member States, IGOs, </w:t>
      </w:r>
      <w:r>
        <w:rPr>
          <w:rFonts w:ascii="Arial" w:hAnsi="Arial" w:cs="Arial"/>
          <w:spacing w:val="-1"/>
          <w:sz w:val="20"/>
          <w:u w:val="single"/>
        </w:rPr>
        <w:t xml:space="preserve">the private sector, </w:t>
      </w:r>
      <w:r w:rsidRPr="002F7AC4">
        <w:rPr>
          <w:rFonts w:ascii="Arial" w:hAnsi="Arial" w:cs="Arial"/>
          <w:spacing w:val="-1"/>
          <w:sz w:val="20"/>
          <w:u w:val="single"/>
        </w:rPr>
        <w:t xml:space="preserve">civil society and other stakeholders and assisting them in </w:t>
      </w:r>
      <w:r w:rsidRPr="002F7AC4">
        <w:rPr>
          <w:rFonts w:ascii="Arial" w:hAnsi="Arial" w:cs="Arial"/>
          <w:sz w:val="20"/>
          <w:u w:val="single"/>
        </w:rPr>
        <w:t xml:space="preserve">the identification of feasible approaches </w:t>
      </w:r>
    </w:p>
    <w:p w14:paraId="00E19C99" w14:textId="1FF0B0B5" w:rsidR="000C537C" w:rsidRPr="00E009BD" w:rsidRDefault="000C537C" w:rsidP="00B66A4A">
      <w:pPr>
        <w:keepNext/>
        <w:keepLines/>
        <w:numPr>
          <w:ilvl w:val="0"/>
          <w:numId w:val="74"/>
        </w:numPr>
        <w:spacing w:before="216"/>
        <w:jc w:val="both"/>
        <w:rPr>
          <w:rFonts w:ascii="Arial" w:hAnsi="Arial" w:cs="Arial"/>
          <w:bCs/>
          <w:sz w:val="20"/>
        </w:rPr>
      </w:pPr>
      <w:r>
        <w:rPr>
          <w:rFonts w:ascii="Arial" w:hAnsi="Arial" w:cs="Arial"/>
          <w:sz w:val="20"/>
        </w:rPr>
        <w:t>T</w:t>
      </w:r>
      <w:r w:rsidRPr="002F7AC4">
        <w:rPr>
          <w:rFonts w:ascii="Arial" w:hAnsi="Arial" w:cs="Arial"/>
          <w:sz w:val="20"/>
        </w:rPr>
        <w:t xml:space="preserve">he Program will continue to </w:t>
      </w:r>
      <w:r w:rsidR="00C116BA">
        <w:rPr>
          <w:rFonts w:ascii="Arial" w:hAnsi="Arial" w:cs="Arial"/>
          <w:sz w:val="20"/>
        </w:rPr>
        <w:t>contribute to</w:t>
      </w:r>
      <w:r w:rsidR="009846BC">
        <w:rPr>
          <w:rFonts w:ascii="Arial" w:hAnsi="Arial" w:cs="Arial"/>
          <w:sz w:val="20"/>
        </w:rPr>
        <w:t xml:space="preserve"> </w:t>
      </w:r>
      <w:r w:rsidRPr="002F7AC4">
        <w:rPr>
          <w:rFonts w:ascii="Arial" w:hAnsi="Arial" w:cs="Arial"/>
          <w:sz w:val="20"/>
        </w:rPr>
        <w:t xml:space="preserve">policy dialogues on IP and global </w:t>
      </w:r>
      <w:r w:rsidRPr="002F7AC4">
        <w:rPr>
          <w:rFonts w:ascii="Arial" w:hAnsi="Arial" w:cs="Arial"/>
          <w:spacing w:val="-1"/>
          <w:sz w:val="20"/>
        </w:rPr>
        <w:t>challenges</w:t>
      </w:r>
      <w:r>
        <w:rPr>
          <w:rFonts w:ascii="Arial" w:hAnsi="Arial" w:cs="Arial"/>
          <w:spacing w:val="-1"/>
          <w:sz w:val="20"/>
        </w:rPr>
        <w:t>,</w:t>
      </w:r>
      <w:r w:rsidRPr="002F7AC4">
        <w:rPr>
          <w:rFonts w:ascii="Arial" w:hAnsi="Arial" w:cs="Arial"/>
          <w:spacing w:val="-1"/>
          <w:sz w:val="20"/>
        </w:rPr>
        <w:t xml:space="preserve"> with the aim of reinforcing WIPO’s </w:t>
      </w:r>
      <w:r>
        <w:rPr>
          <w:rFonts w:ascii="Arial" w:hAnsi="Arial" w:cs="Arial"/>
          <w:spacing w:val="-1"/>
          <w:sz w:val="20"/>
        </w:rPr>
        <w:t xml:space="preserve">role </w:t>
      </w:r>
      <w:r w:rsidRPr="002F7AC4">
        <w:rPr>
          <w:rFonts w:ascii="Arial" w:hAnsi="Arial" w:cs="Arial"/>
          <w:spacing w:val="-1"/>
          <w:sz w:val="20"/>
        </w:rPr>
        <w:t xml:space="preserve">as a </w:t>
      </w:r>
      <w:r>
        <w:rPr>
          <w:rFonts w:ascii="Arial" w:hAnsi="Arial" w:cs="Arial"/>
          <w:spacing w:val="-1"/>
          <w:sz w:val="20"/>
        </w:rPr>
        <w:t xml:space="preserve">credible </w:t>
      </w:r>
      <w:r w:rsidRPr="002F7AC4">
        <w:rPr>
          <w:rFonts w:ascii="Arial" w:hAnsi="Arial" w:cs="Arial"/>
          <w:spacing w:val="-1"/>
          <w:sz w:val="20"/>
        </w:rPr>
        <w:t xml:space="preserve">source of fact-based information and </w:t>
      </w:r>
      <w:r w:rsidRPr="002F7AC4">
        <w:rPr>
          <w:rFonts w:ascii="Arial" w:hAnsi="Arial" w:cs="Arial"/>
          <w:sz w:val="20"/>
        </w:rPr>
        <w:t xml:space="preserve">analysis, </w:t>
      </w:r>
      <w:r w:rsidR="00517572">
        <w:rPr>
          <w:rFonts w:ascii="Arial" w:hAnsi="Arial" w:cs="Arial"/>
          <w:sz w:val="20"/>
        </w:rPr>
        <w:t xml:space="preserve">offering WIPO </w:t>
      </w:r>
      <w:r w:rsidR="00C116BA">
        <w:rPr>
          <w:rFonts w:ascii="Arial" w:hAnsi="Arial" w:cs="Arial"/>
          <w:sz w:val="20"/>
        </w:rPr>
        <w:t xml:space="preserve">events </w:t>
      </w:r>
      <w:r>
        <w:rPr>
          <w:rFonts w:ascii="Arial" w:hAnsi="Arial" w:cs="Arial"/>
          <w:sz w:val="20"/>
        </w:rPr>
        <w:t xml:space="preserve">as </w:t>
      </w:r>
      <w:r w:rsidRPr="002F7AC4">
        <w:rPr>
          <w:rFonts w:ascii="Arial" w:hAnsi="Arial" w:cs="Arial"/>
          <w:sz w:val="20"/>
        </w:rPr>
        <w:t>a forum for discussion</w:t>
      </w:r>
      <w:r w:rsidR="00517572">
        <w:rPr>
          <w:rFonts w:ascii="Arial" w:hAnsi="Arial" w:cs="Arial"/>
          <w:sz w:val="20"/>
        </w:rPr>
        <w:t xml:space="preserve"> on these</w:t>
      </w:r>
      <w:r w:rsidR="00C116BA">
        <w:rPr>
          <w:rFonts w:ascii="Arial" w:hAnsi="Arial" w:cs="Arial"/>
          <w:sz w:val="20"/>
        </w:rPr>
        <w:t xml:space="preserve"> issues</w:t>
      </w:r>
      <w:r w:rsidR="00E66A2C">
        <w:rPr>
          <w:rFonts w:ascii="Arial" w:hAnsi="Arial" w:cs="Arial"/>
          <w:sz w:val="20"/>
        </w:rPr>
        <w:t>.  Working in close coordination with Program</w:t>
      </w:r>
      <w:r w:rsidR="009846BC">
        <w:rPr>
          <w:rFonts w:ascii="Arial" w:hAnsi="Arial" w:cs="Arial"/>
          <w:sz w:val="20"/>
        </w:rPr>
        <w:t> </w:t>
      </w:r>
      <w:r w:rsidR="00E66A2C">
        <w:rPr>
          <w:rFonts w:ascii="Arial" w:hAnsi="Arial" w:cs="Arial"/>
          <w:sz w:val="20"/>
        </w:rPr>
        <w:t xml:space="preserve">20, the Program will ensure that WIPO, as a part of the UN </w:t>
      </w:r>
      <w:r w:rsidR="00A7528A">
        <w:rPr>
          <w:rFonts w:ascii="Arial" w:hAnsi="Arial" w:cs="Arial"/>
          <w:sz w:val="20"/>
        </w:rPr>
        <w:t>S</w:t>
      </w:r>
      <w:r w:rsidR="00E66A2C">
        <w:rPr>
          <w:rFonts w:ascii="Arial" w:hAnsi="Arial" w:cs="Arial"/>
          <w:sz w:val="20"/>
        </w:rPr>
        <w:t xml:space="preserve">ystem and as an observer organization to various UN processes, responds in a timely and quality manner to requests for such information from </w:t>
      </w:r>
      <w:r w:rsidR="00517572">
        <w:rPr>
          <w:rFonts w:ascii="Arial" w:hAnsi="Arial" w:cs="Arial"/>
          <w:sz w:val="20"/>
        </w:rPr>
        <w:t xml:space="preserve">the UN, international organizations and </w:t>
      </w:r>
      <w:r w:rsidR="00E66A2C">
        <w:rPr>
          <w:rFonts w:ascii="Arial" w:hAnsi="Arial" w:cs="Arial"/>
          <w:sz w:val="20"/>
        </w:rPr>
        <w:t>Member States</w:t>
      </w:r>
      <w:r>
        <w:rPr>
          <w:rFonts w:ascii="Arial" w:hAnsi="Arial" w:cs="Arial"/>
          <w:sz w:val="20"/>
        </w:rPr>
        <w:t>.  W</w:t>
      </w:r>
      <w:r w:rsidRPr="002F7AC4">
        <w:rPr>
          <w:rFonts w:ascii="Arial" w:hAnsi="Arial" w:cs="Arial"/>
          <w:sz w:val="20"/>
        </w:rPr>
        <w:t xml:space="preserve">ork </w:t>
      </w:r>
      <w:r>
        <w:rPr>
          <w:rFonts w:ascii="Arial" w:hAnsi="Arial" w:cs="Arial"/>
          <w:sz w:val="20"/>
        </w:rPr>
        <w:t xml:space="preserve">will be </w:t>
      </w:r>
      <w:r w:rsidRPr="002F7AC4">
        <w:rPr>
          <w:rFonts w:ascii="Arial" w:hAnsi="Arial" w:cs="Arial"/>
          <w:sz w:val="20"/>
        </w:rPr>
        <w:t xml:space="preserve">guided </w:t>
      </w:r>
      <w:r>
        <w:rPr>
          <w:rFonts w:ascii="Arial" w:hAnsi="Arial" w:cs="Arial"/>
          <w:sz w:val="20"/>
        </w:rPr>
        <w:t xml:space="preserve">by the relevance of IP and innovation to global health, climate change, and food security, the DA and the </w:t>
      </w:r>
      <w:r w:rsidRPr="003252F3">
        <w:rPr>
          <w:rFonts w:ascii="Arial" w:hAnsi="Arial" w:cs="Arial"/>
          <w:sz w:val="20"/>
        </w:rPr>
        <w:t>UN post-2015 Development Agenda.</w:t>
      </w:r>
      <w:r>
        <w:rPr>
          <w:rFonts w:ascii="Arial" w:hAnsi="Arial" w:cs="Arial"/>
          <w:sz w:val="20"/>
        </w:rPr>
        <w:t xml:space="preserve">  </w:t>
      </w:r>
    </w:p>
    <w:p w14:paraId="6A414989" w14:textId="77777777" w:rsidR="000C537C" w:rsidRDefault="000C537C" w:rsidP="00984F70">
      <w:pPr>
        <w:jc w:val="both"/>
        <w:rPr>
          <w:rFonts w:ascii="Arial" w:hAnsi="Arial" w:cs="Arial"/>
          <w:sz w:val="20"/>
        </w:rPr>
      </w:pPr>
    </w:p>
    <w:p w14:paraId="65AEF033" w14:textId="51576D5D" w:rsidR="000C537C" w:rsidRPr="001A24BE" w:rsidRDefault="000C537C" w:rsidP="00B66A4A">
      <w:pPr>
        <w:numPr>
          <w:ilvl w:val="0"/>
          <w:numId w:val="74"/>
        </w:numPr>
        <w:jc w:val="both"/>
        <w:rPr>
          <w:rFonts w:ascii="Arial" w:hAnsi="Arial" w:cs="Arial"/>
          <w:sz w:val="20"/>
        </w:rPr>
      </w:pPr>
      <w:r>
        <w:rPr>
          <w:rFonts w:ascii="Arial" w:hAnsi="Arial" w:cs="Arial"/>
          <w:sz w:val="20"/>
        </w:rPr>
        <w:t>P</w:t>
      </w:r>
      <w:r w:rsidRPr="002D0B5E">
        <w:rPr>
          <w:rFonts w:ascii="Arial" w:hAnsi="Arial" w:cs="Arial"/>
          <w:sz w:val="20"/>
        </w:rPr>
        <w:t xml:space="preserve">olicy </w:t>
      </w:r>
      <w:r>
        <w:rPr>
          <w:rFonts w:ascii="Arial" w:hAnsi="Arial" w:cs="Arial"/>
          <w:sz w:val="20"/>
        </w:rPr>
        <w:t>studies</w:t>
      </w:r>
      <w:r w:rsidRPr="002D0B5E">
        <w:rPr>
          <w:rFonts w:ascii="Arial" w:hAnsi="Arial" w:cs="Arial"/>
          <w:sz w:val="20"/>
        </w:rPr>
        <w:t xml:space="preserve"> will </w:t>
      </w:r>
      <w:r w:rsidRPr="001A24BE">
        <w:rPr>
          <w:rFonts w:ascii="Arial" w:hAnsi="Arial" w:cs="Arial"/>
          <w:sz w:val="20"/>
        </w:rPr>
        <w:t xml:space="preserve">continue to be </w:t>
      </w:r>
      <w:r>
        <w:rPr>
          <w:rFonts w:ascii="Arial" w:hAnsi="Arial" w:cs="Arial"/>
          <w:sz w:val="20"/>
        </w:rPr>
        <w:t xml:space="preserve">developed </w:t>
      </w:r>
      <w:r w:rsidRPr="001A24BE">
        <w:rPr>
          <w:rFonts w:ascii="Arial" w:hAnsi="Arial" w:cs="Arial"/>
          <w:sz w:val="20"/>
        </w:rPr>
        <w:t xml:space="preserve">on topics such as the role of IP and IP management in innovation, technology transfer and technology diffusion in addressing global challenges.  </w:t>
      </w:r>
      <w:r>
        <w:rPr>
          <w:rFonts w:ascii="Arial" w:hAnsi="Arial" w:cs="Arial"/>
          <w:sz w:val="20"/>
        </w:rPr>
        <w:t xml:space="preserve">Substantive analyses, in the forms of reports and </w:t>
      </w:r>
      <w:r w:rsidRPr="001A24BE">
        <w:rPr>
          <w:rFonts w:ascii="Arial" w:hAnsi="Arial" w:cs="Arial"/>
          <w:sz w:val="20"/>
        </w:rPr>
        <w:t>briefs</w:t>
      </w:r>
      <w:r>
        <w:rPr>
          <w:rFonts w:ascii="Arial" w:hAnsi="Arial" w:cs="Arial"/>
          <w:sz w:val="20"/>
        </w:rPr>
        <w:t>,</w:t>
      </w:r>
      <w:r w:rsidRPr="001A24BE">
        <w:rPr>
          <w:rFonts w:ascii="Arial" w:hAnsi="Arial" w:cs="Arial"/>
          <w:sz w:val="20"/>
        </w:rPr>
        <w:t xml:space="preserve"> </w:t>
      </w:r>
      <w:r>
        <w:rPr>
          <w:rFonts w:ascii="Arial" w:hAnsi="Arial" w:cs="Arial"/>
          <w:sz w:val="20"/>
        </w:rPr>
        <w:t xml:space="preserve">will </w:t>
      </w:r>
      <w:r w:rsidRPr="001A24BE">
        <w:rPr>
          <w:rFonts w:ascii="Arial" w:hAnsi="Arial" w:cs="Arial"/>
          <w:sz w:val="20"/>
        </w:rPr>
        <w:t xml:space="preserve">aim to facilitate a better understanding of the policy and strategic drivers of innovation; </w:t>
      </w:r>
      <w:r>
        <w:rPr>
          <w:rFonts w:ascii="Arial" w:hAnsi="Arial" w:cs="Arial"/>
          <w:sz w:val="20"/>
        </w:rPr>
        <w:t xml:space="preserve">and </w:t>
      </w:r>
      <w:r w:rsidRPr="001A24BE">
        <w:rPr>
          <w:rFonts w:ascii="Arial" w:hAnsi="Arial" w:cs="Arial"/>
          <w:sz w:val="20"/>
        </w:rPr>
        <w:t xml:space="preserve">demonstrate proactively the </w:t>
      </w:r>
      <w:r>
        <w:rPr>
          <w:rFonts w:ascii="Arial" w:hAnsi="Arial" w:cs="Arial"/>
          <w:sz w:val="20"/>
        </w:rPr>
        <w:t xml:space="preserve">value </w:t>
      </w:r>
      <w:r w:rsidRPr="001A24BE">
        <w:rPr>
          <w:rFonts w:ascii="Arial" w:hAnsi="Arial" w:cs="Arial"/>
          <w:sz w:val="20"/>
        </w:rPr>
        <w:t xml:space="preserve">of IP </w:t>
      </w:r>
      <w:r>
        <w:rPr>
          <w:rFonts w:ascii="Arial" w:hAnsi="Arial" w:cs="Arial"/>
          <w:sz w:val="20"/>
        </w:rPr>
        <w:t xml:space="preserve">as a development </w:t>
      </w:r>
      <w:r w:rsidRPr="001A24BE">
        <w:rPr>
          <w:rFonts w:ascii="Arial" w:hAnsi="Arial" w:cs="Arial"/>
          <w:sz w:val="20"/>
        </w:rPr>
        <w:t>tool</w:t>
      </w:r>
      <w:r>
        <w:rPr>
          <w:rFonts w:ascii="Arial" w:hAnsi="Arial" w:cs="Arial"/>
          <w:sz w:val="20"/>
        </w:rPr>
        <w:t xml:space="preserve">. This </w:t>
      </w:r>
      <w:r w:rsidRPr="001A24BE">
        <w:rPr>
          <w:rFonts w:ascii="Arial" w:hAnsi="Arial" w:cs="Arial"/>
          <w:sz w:val="20"/>
        </w:rPr>
        <w:t>include</w:t>
      </w:r>
      <w:r>
        <w:rPr>
          <w:rFonts w:ascii="Arial" w:hAnsi="Arial" w:cs="Arial"/>
          <w:sz w:val="20"/>
        </w:rPr>
        <w:t>s</w:t>
      </w:r>
      <w:r w:rsidRPr="001A24BE">
        <w:rPr>
          <w:rFonts w:ascii="Arial" w:hAnsi="Arial" w:cs="Arial"/>
          <w:sz w:val="20"/>
        </w:rPr>
        <w:t xml:space="preserve"> the sharing of experiences from the two platforms through case studies aimed at raising awareness of the Program’s activities.</w:t>
      </w:r>
    </w:p>
    <w:p w14:paraId="0341BB42" w14:textId="77777777" w:rsidR="000C537C" w:rsidRPr="00816DF0" w:rsidRDefault="000C537C" w:rsidP="00984F70">
      <w:pPr>
        <w:jc w:val="both"/>
        <w:rPr>
          <w:rFonts w:ascii="Arial" w:hAnsi="Arial" w:cs="Arial"/>
          <w:sz w:val="20"/>
        </w:rPr>
      </w:pPr>
    </w:p>
    <w:p w14:paraId="0BB98794" w14:textId="77777777" w:rsidR="000C537C" w:rsidRDefault="000C537C" w:rsidP="00B66A4A">
      <w:pPr>
        <w:numPr>
          <w:ilvl w:val="0"/>
          <w:numId w:val="74"/>
        </w:numPr>
        <w:jc w:val="both"/>
        <w:rPr>
          <w:rFonts w:ascii="Arial" w:hAnsi="Arial" w:cs="Arial"/>
          <w:sz w:val="20"/>
        </w:rPr>
      </w:pPr>
      <w:r>
        <w:rPr>
          <w:rFonts w:ascii="Arial" w:hAnsi="Arial" w:cs="Arial"/>
          <w:spacing w:val="2"/>
          <w:sz w:val="20"/>
        </w:rPr>
        <w:t>A</w:t>
      </w:r>
      <w:r w:rsidRPr="002F7AC4">
        <w:rPr>
          <w:rFonts w:ascii="Arial" w:hAnsi="Arial" w:cs="Arial"/>
          <w:spacing w:val="2"/>
          <w:sz w:val="20"/>
        </w:rPr>
        <w:t xml:space="preserve">lso, in response to requests from Member States, IGOs, </w:t>
      </w:r>
      <w:r w:rsidRPr="002F7AC4">
        <w:rPr>
          <w:rFonts w:ascii="Arial" w:hAnsi="Arial" w:cs="Arial"/>
          <w:sz w:val="20"/>
        </w:rPr>
        <w:t xml:space="preserve">civil society, and other stakeholders, the Program will provide input, as appropriate, in fora </w:t>
      </w:r>
      <w:r w:rsidRPr="00D83A5B">
        <w:rPr>
          <w:rFonts w:ascii="Arial" w:hAnsi="Arial" w:cs="Arial"/>
          <w:sz w:val="20"/>
        </w:rPr>
        <w:t>related to the Program’s core issues</w:t>
      </w:r>
      <w:r>
        <w:rPr>
          <w:rFonts w:ascii="Arial" w:hAnsi="Arial" w:cs="Arial"/>
          <w:sz w:val="20"/>
        </w:rPr>
        <w:t xml:space="preserve">.  </w:t>
      </w:r>
      <w:r w:rsidRPr="002F7AC4">
        <w:rPr>
          <w:rFonts w:ascii="Arial" w:hAnsi="Arial" w:cs="Arial"/>
          <w:sz w:val="20"/>
        </w:rPr>
        <w:t xml:space="preserve">Ensuring </w:t>
      </w:r>
      <w:r w:rsidRPr="002F7AC4">
        <w:rPr>
          <w:rFonts w:ascii="Arial" w:hAnsi="Arial" w:cs="Arial"/>
          <w:spacing w:val="-1"/>
          <w:sz w:val="20"/>
        </w:rPr>
        <w:t xml:space="preserve">WIPO’s constructive engagement in relevant public policy </w:t>
      </w:r>
      <w:r>
        <w:rPr>
          <w:rFonts w:ascii="Arial" w:hAnsi="Arial" w:cs="Arial"/>
          <w:spacing w:val="-1"/>
          <w:sz w:val="20"/>
        </w:rPr>
        <w:t xml:space="preserve">discussions </w:t>
      </w:r>
      <w:r w:rsidRPr="002F7AC4">
        <w:rPr>
          <w:rFonts w:ascii="Arial" w:hAnsi="Arial" w:cs="Arial"/>
          <w:spacing w:val="-1"/>
          <w:sz w:val="20"/>
        </w:rPr>
        <w:t xml:space="preserve">provides support to other actors </w:t>
      </w:r>
      <w:r w:rsidRPr="002F7AC4">
        <w:rPr>
          <w:rFonts w:ascii="Arial" w:hAnsi="Arial" w:cs="Arial"/>
          <w:sz w:val="20"/>
        </w:rPr>
        <w:t>and helps establish WIPO as the forum and reference point on IP as it touches on global public policy issues</w:t>
      </w:r>
      <w:r>
        <w:rPr>
          <w:rFonts w:ascii="Arial" w:hAnsi="Arial" w:cs="Arial"/>
          <w:sz w:val="20"/>
        </w:rPr>
        <w:t>. Integral to this objective is the</w:t>
      </w:r>
      <w:r w:rsidRPr="00E009BD">
        <w:rPr>
          <w:rFonts w:ascii="Arial" w:hAnsi="Arial" w:cs="Arial"/>
          <w:sz w:val="20"/>
        </w:rPr>
        <w:t xml:space="preserve"> Program</w:t>
      </w:r>
      <w:r>
        <w:rPr>
          <w:rFonts w:ascii="Arial" w:hAnsi="Arial" w:cs="Arial"/>
          <w:sz w:val="20"/>
        </w:rPr>
        <w:t xml:space="preserve">’s ongoing </w:t>
      </w:r>
      <w:r w:rsidRPr="00E009BD">
        <w:rPr>
          <w:rFonts w:ascii="Arial" w:hAnsi="Arial" w:cs="Arial"/>
          <w:sz w:val="20"/>
        </w:rPr>
        <w:t>successful trilateral cooperation with the World Health Organization</w:t>
      </w:r>
      <w:r>
        <w:rPr>
          <w:rFonts w:ascii="Arial" w:hAnsi="Arial" w:cs="Arial"/>
          <w:sz w:val="20"/>
        </w:rPr>
        <w:t xml:space="preserve"> (WHO) and World Trade Organization (WTO).</w:t>
      </w:r>
    </w:p>
    <w:p w14:paraId="6792FFDF" w14:textId="77777777" w:rsidR="000C537C" w:rsidRPr="002F7AC4" w:rsidRDefault="000C537C" w:rsidP="00984F70">
      <w:pPr>
        <w:rPr>
          <w:rFonts w:ascii="Arial" w:hAnsi="Arial" w:cs="Arial"/>
          <w:sz w:val="20"/>
        </w:rPr>
      </w:pPr>
    </w:p>
    <w:p w14:paraId="0D6F0D4F" w14:textId="77777777" w:rsidR="000C537C" w:rsidRPr="000D7992" w:rsidRDefault="000C537C" w:rsidP="000D7992">
      <w:pPr>
        <w:rPr>
          <w:rFonts w:ascii="Arial" w:hAnsi="Arial" w:cs="Arial"/>
          <w:sz w:val="20"/>
          <w:szCs w:val="20"/>
          <w:u w:val="single"/>
        </w:rPr>
      </w:pPr>
      <w:r w:rsidRPr="000D7992">
        <w:rPr>
          <w:rFonts w:ascii="Arial" w:hAnsi="Arial" w:cs="Arial"/>
          <w:sz w:val="20"/>
          <w:szCs w:val="20"/>
          <w:u w:val="single"/>
        </w:rPr>
        <w:t xml:space="preserve">Enhancing human resource capacities on the relationships among global challenges, innovation and technology transfer </w:t>
      </w:r>
    </w:p>
    <w:p w14:paraId="785E4B30" w14:textId="77777777" w:rsidR="000C537C" w:rsidRDefault="000C537C" w:rsidP="00984F70">
      <w:pPr>
        <w:rPr>
          <w:rFonts w:ascii="Arial" w:hAnsi="Arial" w:cs="Arial"/>
          <w:sz w:val="20"/>
          <w:u w:val="single"/>
        </w:rPr>
      </w:pPr>
    </w:p>
    <w:p w14:paraId="5477792E" w14:textId="77777777" w:rsidR="000C537C" w:rsidRDefault="000C537C" w:rsidP="00B66A4A">
      <w:pPr>
        <w:numPr>
          <w:ilvl w:val="0"/>
          <w:numId w:val="74"/>
        </w:numPr>
        <w:jc w:val="both"/>
        <w:rPr>
          <w:rFonts w:ascii="Arial" w:hAnsi="Arial" w:cs="Arial"/>
          <w:sz w:val="20"/>
        </w:rPr>
      </w:pPr>
      <w:r w:rsidRPr="002F7AC4">
        <w:rPr>
          <w:rFonts w:ascii="Arial" w:hAnsi="Arial" w:cs="Arial"/>
          <w:sz w:val="20"/>
        </w:rPr>
        <w:t xml:space="preserve">A key aspect of this </w:t>
      </w:r>
      <w:r>
        <w:rPr>
          <w:rFonts w:ascii="Arial" w:hAnsi="Arial" w:cs="Arial"/>
          <w:sz w:val="20"/>
        </w:rPr>
        <w:t xml:space="preserve">work </w:t>
      </w:r>
      <w:r w:rsidRPr="002F7AC4">
        <w:rPr>
          <w:rFonts w:ascii="Arial" w:hAnsi="Arial" w:cs="Arial"/>
          <w:sz w:val="20"/>
        </w:rPr>
        <w:t xml:space="preserve">will be </w:t>
      </w:r>
      <w:r>
        <w:rPr>
          <w:rFonts w:ascii="Arial" w:hAnsi="Arial" w:cs="Arial"/>
          <w:sz w:val="20"/>
        </w:rPr>
        <w:t xml:space="preserve">the exploration of synergies with </w:t>
      </w:r>
      <w:r w:rsidRPr="002F7AC4">
        <w:rPr>
          <w:rFonts w:ascii="Arial" w:hAnsi="Arial" w:cs="Arial"/>
          <w:sz w:val="20"/>
        </w:rPr>
        <w:t xml:space="preserve">other </w:t>
      </w:r>
      <w:r>
        <w:rPr>
          <w:rFonts w:ascii="Arial" w:hAnsi="Arial" w:cs="Arial"/>
          <w:sz w:val="20"/>
        </w:rPr>
        <w:t>Programs</w:t>
      </w:r>
      <w:r w:rsidRPr="002F7AC4">
        <w:rPr>
          <w:rFonts w:ascii="Arial" w:hAnsi="Arial" w:cs="Arial"/>
          <w:sz w:val="20"/>
        </w:rPr>
        <w:t xml:space="preserve"> of WIPO</w:t>
      </w:r>
      <w:r>
        <w:rPr>
          <w:rFonts w:ascii="Arial" w:hAnsi="Arial" w:cs="Arial"/>
          <w:sz w:val="20"/>
        </w:rPr>
        <w:t xml:space="preserve">.  </w:t>
      </w:r>
      <w:r w:rsidRPr="002F7AC4">
        <w:rPr>
          <w:rFonts w:ascii="Arial" w:hAnsi="Arial" w:cs="Arial"/>
          <w:sz w:val="20"/>
        </w:rPr>
        <w:t xml:space="preserve">For example, as the substantive platforms </w:t>
      </w:r>
      <w:r>
        <w:rPr>
          <w:rFonts w:ascii="Arial" w:hAnsi="Arial" w:cs="Arial"/>
          <w:sz w:val="20"/>
        </w:rPr>
        <w:t xml:space="preserve">have been </w:t>
      </w:r>
      <w:r w:rsidRPr="002F7AC4">
        <w:rPr>
          <w:rFonts w:ascii="Arial" w:hAnsi="Arial" w:cs="Arial"/>
          <w:sz w:val="20"/>
        </w:rPr>
        <w:t>developed, the</w:t>
      </w:r>
      <w:r>
        <w:rPr>
          <w:rFonts w:ascii="Arial" w:hAnsi="Arial" w:cs="Arial"/>
          <w:sz w:val="20"/>
        </w:rPr>
        <w:t>y</w:t>
      </w:r>
      <w:r w:rsidRPr="002F7AC4">
        <w:rPr>
          <w:rFonts w:ascii="Arial" w:hAnsi="Arial" w:cs="Arial"/>
          <w:sz w:val="20"/>
        </w:rPr>
        <w:t xml:space="preserve"> </w:t>
      </w:r>
      <w:r>
        <w:rPr>
          <w:rFonts w:ascii="Arial" w:hAnsi="Arial" w:cs="Arial"/>
          <w:sz w:val="20"/>
        </w:rPr>
        <w:t xml:space="preserve">should increasingly </w:t>
      </w:r>
      <w:r w:rsidRPr="002F7AC4">
        <w:rPr>
          <w:rFonts w:ascii="Arial" w:hAnsi="Arial" w:cs="Arial"/>
          <w:sz w:val="20"/>
        </w:rPr>
        <w:t xml:space="preserve">serve as entry points for developing country institutions to access a range of </w:t>
      </w:r>
      <w:r>
        <w:rPr>
          <w:rFonts w:ascii="Arial" w:hAnsi="Arial" w:cs="Arial"/>
          <w:sz w:val="20"/>
        </w:rPr>
        <w:t xml:space="preserve">relevant </w:t>
      </w:r>
      <w:r w:rsidRPr="002F7AC4">
        <w:rPr>
          <w:rFonts w:ascii="Arial" w:hAnsi="Arial" w:cs="Arial"/>
          <w:sz w:val="20"/>
        </w:rPr>
        <w:t>WIPO services and training programs that facilitate access to technical IP information (e.g</w:t>
      </w:r>
      <w:r>
        <w:rPr>
          <w:rFonts w:ascii="Arial" w:hAnsi="Arial" w:cs="Arial"/>
          <w:sz w:val="20"/>
        </w:rPr>
        <w:t xml:space="preserve">. </w:t>
      </w:r>
      <w:r w:rsidRPr="002F7AC4">
        <w:rPr>
          <w:rFonts w:ascii="Arial" w:hAnsi="Arial" w:cs="Arial"/>
          <w:sz w:val="20"/>
        </w:rPr>
        <w:t>patent databases)</w:t>
      </w:r>
      <w:r>
        <w:rPr>
          <w:rFonts w:ascii="Arial" w:hAnsi="Arial" w:cs="Arial"/>
          <w:sz w:val="20"/>
        </w:rPr>
        <w:t xml:space="preserve">.  Projects funded under Funds-in-Trust will continue and build on previous accomplishments from earlier biennia.  </w:t>
      </w:r>
    </w:p>
    <w:p w14:paraId="3EFE1232" w14:textId="77777777" w:rsidR="007A5A68" w:rsidRDefault="007A5A68" w:rsidP="00FB68E0">
      <w:pPr>
        <w:jc w:val="both"/>
        <w:rPr>
          <w:rFonts w:ascii="Arial" w:hAnsi="Arial" w:cs="Arial"/>
          <w:sz w:val="20"/>
        </w:rPr>
      </w:pPr>
    </w:p>
    <w:p w14:paraId="0A866BD2" w14:textId="77777777" w:rsidR="00B46E15" w:rsidRDefault="00B46E15" w:rsidP="00B46E15">
      <w:pPr>
        <w:keepNext/>
        <w:keepLines/>
        <w:tabs>
          <w:tab w:val="left" w:pos="567"/>
          <w:tab w:val="left" w:pos="1985"/>
        </w:tabs>
        <w:jc w:val="both"/>
        <w:rPr>
          <w:rFonts w:ascii="Arial" w:hAnsi="Arial" w:cs="Arial"/>
          <w:b/>
          <w:bCs/>
        </w:rPr>
      </w:pPr>
    </w:p>
    <w:p w14:paraId="00CD74C9" w14:textId="77777777" w:rsidR="00B46E15" w:rsidRPr="00B619BE" w:rsidRDefault="00B46E15" w:rsidP="00B46E15">
      <w:pPr>
        <w:keepNext/>
        <w:keepLines/>
        <w:tabs>
          <w:tab w:val="left" w:pos="567"/>
          <w:tab w:val="left" w:pos="1985"/>
        </w:tabs>
        <w:jc w:val="both"/>
        <w:rPr>
          <w:rFonts w:ascii="Arial" w:hAnsi="Arial" w:cs="Arial"/>
          <w:b/>
          <w:bCs/>
        </w:rPr>
      </w:pPr>
      <w:r w:rsidRPr="00B619BE">
        <w:rPr>
          <w:rFonts w:ascii="Arial" w:hAnsi="Arial" w:cs="Arial"/>
          <w:b/>
          <w:bCs/>
        </w:rPr>
        <w:t>IP AND COMPETITION POLICY</w:t>
      </w:r>
    </w:p>
    <w:p w14:paraId="65060242" w14:textId="77777777" w:rsidR="00B46E15" w:rsidRDefault="00B46E15" w:rsidP="00B46E15">
      <w:pPr>
        <w:keepNext/>
        <w:keepLines/>
        <w:tabs>
          <w:tab w:val="left" w:pos="567"/>
          <w:tab w:val="left" w:pos="1985"/>
        </w:tabs>
        <w:jc w:val="both"/>
        <w:rPr>
          <w:rFonts w:ascii="Arial" w:hAnsi="Arial" w:cs="Arial"/>
          <w:bCs/>
          <w:sz w:val="20"/>
        </w:rPr>
      </w:pPr>
    </w:p>
    <w:p w14:paraId="1527EF9C" w14:textId="77777777" w:rsidR="00B46E15" w:rsidRPr="00FB68E0" w:rsidRDefault="00B46E15" w:rsidP="00B46E15">
      <w:pPr>
        <w:keepNext/>
        <w:keepLines/>
        <w:jc w:val="both"/>
        <w:rPr>
          <w:rFonts w:ascii="Arial" w:hAnsi="Arial" w:cs="Arial"/>
        </w:rPr>
      </w:pPr>
      <w:r w:rsidRPr="00FB68E0">
        <w:rPr>
          <w:rFonts w:ascii="Arial" w:hAnsi="Arial" w:cs="Arial"/>
        </w:rPr>
        <w:t>PLANNING CONTEXT</w:t>
      </w:r>
    </w:p>
    <w:p w14:paraId="381FE9C5" w14:textId="77777777" w:rsidR="00B46E15" w:rsidRPr="0077512B" w:rsidRDefault="00B46E15" w:rsidP="00B46E15">
      <w:pPr>
        <w:jc w:val="both"/>
        <w:rPr>
          <w:rFonts w:ascii="Arial" w:hAnsi="Arial" w:cs="Arial"/>
          <w:sz w:val="20"/>
        </w:rPr>
      </w:pPr>
    </w:p>
    <w:p w14:paraId="3B5809F3" w14:textId="77777777" w:rsidR="00B46E15" w:rsidRPr="0077512B" w:rsidRDefault="00B46E15" w:rsidP="00B46E15">
      <w:pPr>
        <w:numPr>
          <w:ilvl w:val="0"/>
          <w:numId w:val="74"/>
        </w:numPr>
        <w:tabs>
          <w:tab w:val="left" w:pos="709"/>
        </w:tabs>
        <w:jc w:val="both"/>
        <w:rPr>
          <w:rFonts w:ascii="Arial" w:hAnsi="Arial" w:cs="Arial"/>
          <w:sz w:val="20"/>
        </w:rPr>
      </w:pPr>
      <w:r w:rsidRPr="0077512B">
        <w:rPr>
          <w:rFonts w:ascii="Arial" w:hAnsi="Arial" w:cs="Arial"/>
          <w:sz w:val="20"/>
        </w:rPr>
        <w:t xml:space="preserve">WIPO’s work on IP and </w:t>
      </w:r>
      <w:r>
        <w:rPr>
          <w:rFonts w:ascii="Arial" w:hAnsi="Arial" w:cs="Arial"/>
          <w:sz w:val="20"/>
        </w:rPr>
        <w:t>c</w:t>
      </w:r>
      <w:r w:rsidRPr="0077512B">
        <w:rPr>
          <w:rFonts w:ascii="Arial" w:hAnsi="Arial" w:cs="Arial"/>
          <w:sz w:val="20"/>
        </w:rPr>
        <w:t xml:space="preserve">ompetition </w:t>
      </w:r>
      <w:r>
        <w:rPr>
          <w:rFonts w:ascii="Arial" w:hAnsi="Arial" w:cs="Arial"/>
          <w:sz w:val="20"/>
        </w:rPr>
        <w:t xml:space="preserve">policy </w:t>
      </w:r>
      <w:r w:rsidRPr="0077512B">
        <w:rPr>
          <w:rFonts w:ascii="Arial" w:hAnsi="Arial" w:cs="Arial"/>
          <w:sz w:val="20"/>
        </w:rPr>
        <w:t xml:space="preserve">is linked to Strategic Goals I and III. In the context of Strategic Goal I, the work aims at </w:t>
      </w:r>
      <w:r>
        <w:rPr>
          <w:rFonts w:ascii="Arial" w:hAnsi="Arial" w:cs="Arial"/>
          <w:sz w:val="20"/>
        </w:rPr>
        <w:t>providing</w:t>
      </w:r>
      <w:r w:rsidRPr="0077512B">
        <w:rPr>
          <w:rFonts w:ascii="Arial" w:hAnsi="Arial" w:cs="Arial"/>
          <w:sz w:val="20"/>
        </w:rPr>
        <w:t xml:space="preserve"> WIPO Member States the tools for establishing – at the national level – a balanced normative setting that ensures that IP remains the legal framework for free and open markets. </w:t>
      </w:r>
      <w:r>
        <w:rPr>
          <w:rFonts w:ascii="Arial" w:hAnsi="Arial" w:cs="Arial"/>
          <w:sz w:val="20"/>
        </w:rPr>
        <w:t xml:space="preserve"> </w:t>
      </w:r>
      <w:r w:rsidRPr="0077512B">
        <w:rPr>
          <w:rFonts w:ascii="Arial" w:hAnsi="Arial" w:cs="Arial"/>
          <w:sz w:val="20"/>
        </w:rPr>
        <w:t xml:space="preserve">At the same time, </w:t>
      </w:r>
      <w:r>
        <w:rPr>
          <w:rFonts w:ascii="Arial" w:hAnsi="Arial" w:cs="Arial"/>
          <w:sz w:val="20"/>
        </w:rPr>
        <w:t xml:space="preserve">ensuring the freedom of markets is a strong catalyst </w:t>
      </w:r>
      <w:r w:rsidRPr="0077512B">
        <w:rPr>
          <w:rFonts w:ascii="Arial" w:hAnsi="Arial" w:cs="Arial"/>
          <w:sz w:val="20"/>
        </w:rPr>
        <w:t>for development.</w:t>
      </w:r>
    </w:p>
    <w:p w14:paraId="3B8291E2" w14:textId="77777777" w:rsidR="00B46E15" w:rsidRDefault="00B46E15" w:rsidP="00B46E15">
      <w:pPr>
        <w:jc w:val="both"/>
        <w:rPr>
          <w:rFonts w:ascii="Arial" w:hAnsi="Arial" w:cs="Arial"/>
          <w:sz w:val="20"/>
        </w:rPr>
      </w:pPr>
    </w:p>
    <w:p w14:paraId="1B236671" w14:textId="77777777" w:rsidR="00B46E15" w:rsidRDefault="00B46E15" w:rsidP="00B46E15">
      <w:pPr>
        <w:numPr>
          <w:ilvl w:val="0"/>
          <w:numId w:val="74"/>
        </w:numPr>
        <w:tabs>
          <w:tab w:val="left" w:pos="709"/>
        </w:tabs>
        <w:jc w:val="both"/>
        <w:rPr>
          <w:rFonts w:ascii="Arial" w:hAnsi="Arial" w:cs="Arial"/>
          <w:sz w:val="20"/>
        </w:rPr>
      </w:pPr>
      <w:r w:rsidRPr="0077512B">
        <w:rPr>
          <w:rFonts w:ascii="Arial" w:hAnsi="Arial" w:cs="Arial"/>
          <w:sz w:val="20"/>
        </w:rPr>
        <w:t>WIPO will continue to serve as a forum for the sharing of experiences between Member States</w:t>
      </w:r>
      <w:r>
        <w:rPr>
          <w:rFonts w:ascii="Arial" w:hAnsi="Arial" w:cs="Arial"/>
          <w:sz w:val="20"/>
        </w:rPr>
        <w:t xml:space="preserve"> on IP and competition policy through awareness </w:t>
      </w:r>
      <w:r w:rsidRPr="0077512B">
        <w:rPr>
          <w:rFonts w:ascii="Arial" w:hAnsi="Arial" w:cs="Arial"/>
          <w:sz w:val="20"/>
        </w:rPr>
        <w:t>raising and dissemination of information, with a special focus on developing and least-developed countries.</w:t>
      </w:r>
    </w:p>
    <w:p w14:paraId="381DC0A3" w14:textId="77777777" w:rsidR="00B46E15" w:rsidRDefault="00B46E15" w:rsidP="00B46E15">
      <w:pPr>
        <w:jc w:val="both"/>
        <w:rPr>
          <w:rFonts w:ascii="Arial" w:hAnsi="Arial" w:cs="Arial"/>
          <w:sz w:val="20"/>
        </w:rPr>
      </w:pPr>
    </w:p>
    <w:p w14:paraId="687400E8" w14:textId="77777777" w:rsidR="00B46E15" w:rsidRPr="0077512B" w:rsidRDefault="00B46E15" w:rsidP="00B46E15">
      <w:pPr>
        <w:jc w:val="both"/>
        <w:rPr>
          <w:rFonts w:ascii="Arial" w:hAnsi="Arial" w:cs="Arial"/>
          <w:sz w:val="20"/>
        </w:rPr>
      </w:pPr>
    </w:p>
    <w:p w14:paraId="4553C05D" w14:textId="77777777" w:rsidR="00B46E15" w:rsidRPr="0035376F" w:rsidRDefault="00B46E15" w:rsidP="00B46E15">
      <w:pPr>
        <w:jc w:val="both"/>
        <w:rPr>
          <w:rFonts w:ascii="Arial" w:hAnsi="Arial" w:cs="Arial"/>
        </w:rPr>
      </w:pPr>
      <w:r w:rsidRPr="0035376F">
        <w:rPr>
          <w:rFonts w:ascii="Arial" w:hAnsi="Arial" w:cs="Arial"/>
        </w:rPr>
        <w:t>IMPLEMENTATION STRATEGIES</w:t>
      </w:r>
    </w:p>
    <w:p w14:paraId="390781D5" w14:textId="77777777" w:rsidR="00B46E15" w:rsidRPr="0077512B" w:rsidRDefault="00B46E15" w:rsidP="00B46E15">
      <w:pPr>
        <w:jc w:val="both"/>
        <w:rPr>
          <w:rFonts w:ascii="Arial" w:hAnsi="Arial" w:cs="Arial"/>
          <w:sz w:val="20"/>
        </w:rPr>
      </w:pPr>
    </w:p>
    <w:p w14:paraId="700C9E3E" w14:textId="77777777" w:rsidR="00B46E15" w:rsidRDefault="00B46E15" w:rsidP="00B46E15">
      <w:pPr>
        <w:numPr>
          <w:ilvl w:val="0"/>
          <w:numId w:val="74"/>
        </w:numPr>
        <w:tabs>
          <w:tab w:val="left" w:pos="709"/>
        </w:tabs>
        <w:jc w:val="both"/>
        <w:rPr>
          <w:rFonts w:ascii="Arial" w:hAnsi="Arial" w:cs="Arial"/>
          <w:sz w:val="20"/>
        </w:rPr>
      </w:pPr>
      <w:r w:rsidRPr="0077512B">
        <w:rPr>
          <w:rFonts w:ascii="Arial" w:hAnsi="Arial" w:cs="Arial"/>
          <w:sz w:val="20"/>
        </w:rPr>
        <w:t>Activities</w:t>
      </w:r>
      <w:r>
        <w:rPr>
          <w:rFonts w:ascii="Arial" w:hAnsi="Arial" w:cs="Arial"/>
          <w:sz w:val="20"/>
        </w:rPr>
        <w:t xml:space="preserve"> linked to the </w:t>
      </w:r>
      <w:r w:rsidRPr="0077512B">
        <w:rPr>
          <w:rFonts w:ascii="Arial" w:hAnsi="Arial" w:cs="Arial"/>
          <w:sz w:val="20"/>
        </w:rPr>
        <w:t xml:space="preserve">exchange of experiences and assistance to Member States in addressing the interface between IP and competition policy will be continued in 2016/17. </w:t>
      </w:r>
      <w:r>
        <w:rPr>
          <w:rFonts w:ascii="Arial" w:hAnsi="Arial" w:cs="Arial"/>
          <w:sz w:val="20"/>
        </w:rPr>
        <w:t xml:space="preserve"> </w:t>
      </w:r>
      <w:r w:rsidRPr="0077512B">
        <w:rPr>
          <w:rFonts w:ascii="Arial" w:hAnsi="Arial" w:cs="Arial"/>
          <w:sz w:val="20"/>
        </w:rPr>
        <w:t>These activities will include study and analysis of the use by a number of Member States of the rules of protection against unfair competition as complementary mechanisms to competition law enforcement.</w:t>
      </w:r>
    </w:p>
    <w:p w14:paraId="2F1FB6DF" w14:textId="77777777" w:rsidR="00B46E15" w:rsidRPr="0077512B" w:rsidRDefault="00B46E15" w:rsidP="00B46E15">
      <w:pPr>
        <w:jc w:val="both"/>
        <w:rPr>
          <w:rFonts w:ascii="Arial" w:hAnsi="Arial" w:cs="Arial"/>
          <w:sz w:val="20"/>
        </w:rPr>
      </w:pPr>
    </w:p>
    <w:p w14:paraId="6EB756B6" w14:textId="77777777" w:rsidR="00B46E15" w:rsidRPr="0077512B" w:rsidRDefault="00B46E15" w:rsidP="00B46E15">
      <w:pPr>
        <w:numPr>
          <w:ilvl w:val="0"/>
          <w:numId w:val="74"/>
        </w:numPr>
        <w:tabs>
          <w:tab w:val="left" w:pos="709"/>
        </w:tabs>
        <w:jc w:val="both"/>
        <w:rPr>
          <w:rFonts w:ascii="Arial" w:hAnsi="Arial" w:cs="Arial"/>
          <w:sz w:val="20"/>
        </w:rPr>
      </w:pPr>
      <w:r w:rsidRPr="0077512B">
        <w:rPr>
          <w:rFonts w:ascii="Arial" w:hAnsi="Arial" w:cs="Arial"/>
          <w:sz w:val="20"/>
        </w:rPr>
        <w:t xml:space="preserve">In addition, to ensure that efforts will not be duplicated with other intergovernmental organizations, WIPO will continue coordinating on a regular basis with the </w:t>
      </w:r>
      <w:r w:rsidRPr="005241F7">
        <w:rPr>
          <w:rFonts w:ascii="Arial" w:hAnsi="Arial" w:cs="Arial"/>
          <w:bCs/>
          <w:sz w:val="20"/>
        </w:rPr>
        <w:t xml:space="preserve">Organisation for Economic </w:t>
      </w:r>
      <w:r w:rsidRPr="005241F7">
        <w:rPr>
          <w:rFonts w:ascii="Arial" w:hAnsi="Arial" w:cs="Arial"/>
          <w:bCs/>
          <w:sz w:val="20"/>
        </w:rPr>
        <w:lastRenderedPageBreak/>
        <w:t>Co-operation and Development</w:t>
      </w:r>
      <w:r w:rsidRPr="005241F7">
        <w:rPr>
          <w:rFonts w:ascii="Arial" w:hAnsi="Arial" w:cs="Arial"/>
          <w:sz w:val="16"/>
        </w:rPr>
        <w:t xml:space="preserve"> </w:t>
      </w:r>
      <w:r>
        <w:rPr>
          <w:rFonts w:ascii="Arial" w:hAnsi="Arial" w:cs="Arial"/>
          <w:sz w:val="16"/>
        </w:rPr>
        <w:t>(</w:t>
      </w:r>
      <w:r w:rsidRPr="0077512B">
        <w:rPr>
          <w:rFonts w:ascii="Arial" w:hAnsi="Arial" w:cs="Arial"/>
          <w:sz w:val="20"/>
        </w:rPr>
        <w:t>OECD</w:t>
      </w:r>
      <w:r>
        <w:rPr>
          <w:rFonts w:ascii="Arial" w:hAnsi="Arial" w:cs="Arial"/>
          <w:sz w:val="20"/>
        </w:rPr>
        <w:t>)</w:t>
      </w:r>
      <w:r w:rsidRPr="0077512B">
        <w:rPr>
          <w:rFonts w:ascii="Arial" w:hAnsi="Arial" w:cs="Arial"/>
          <w:sz w:val="20"/>
        </w:rPr>
        <w:t xml:space="preserve">, the WTO, </w:t>
      </w:r>
      <w:r>
        <w:rPr>
          <w:rFonts w:ascii="Arial" w:hAnsi="Arial" w:cs="Arial"/>
          <w:sz w:val="20"/>
        </w:rPr>
        <w:t xml:space="preserve">the </w:t>
      </w:r>
      <w:r w:rsidRPr="005241F7">
        <w:rPr>
          <w:rFonts w:ascii="Arial" w:hAnsi="Arial" w:cs="Arial"/>
          <w:bCs/>
          <w:sz w:val="20"/>
        </w:rPr>
        <w:t>United Nations Conference on Trade and Development</w:t>
      </w:r>
      <w:r w:rsidRPr="005241F7">
        <w:rPr>
          <w:rFonts w:ascii="Arial" w:hAnsi="Arial" w:cs="Arial"/>
          <w:sz w:val="20"/>
        </w:rPr>
        <w:t xml:space="preserve"> (</w:t>
      </w:r>
      <w:r w:rsidRPr="005241F7">
        <w:rPr>
          <w:rFonts w:ascii="Arial" w:hAnsi="Arial" w:cs="Arial"/>
          <w:bCs/>
          <w:sz w:val="20"/>
        </w:rPr>
        <w:t>UNCTAD</w:t>
      </w:r>
      <w:r w:rsidRPr="005241F7">
        <w:rPr>
          <w:rFonts w:ascii="Arial" w:hAnsi="Arial" w:cs="Arial"/>
          <w:sz w:val="20"/>
        </w:rPr>
        <w:t>)</w:t>
      </w:r>
      <w:r w:rsidRPr="0077512B">
        <w:rPr>
          <w:rFonts w:ascii="Arial" w:hAnsi="Arial" w:cs="Arial"/>
          <w:sz w:val="20"/>
        </w:rPr>
        <w:t xml:space="preserve"> and, when appropriate, with the I</w:t>
      </w:r>
      <w:r>
        <w:rPr>
          <w:rFonts w:ascii="Arial" w:hAnsi="Arial" w:cs="Arial"/>
          <w:sz w:val="20"/>
        </w:rPr>
        <w:t>nternational Competition Network (I</w:t>
      </w:r>
      <w:r w:rsidRPr="0077512B">
        <w:rPr>
          <w:rFonts w:ascii="Arial" w:hAnsi="Arial" w:cs="Arial"/>
          <w:sz w:val="20"/>
        </w:rPr>
        <w:t>CN</w:t>
      </w:r>
      <w:r>
        <w:rPr>
          <w:rFonts w:ascii="Arial" w:hAnsi="Arial" w:cs="Arial"/>
          <w:sz w:val="20"/>
        </w:rPr>
        <w:t>)</w:t>
      </w:r>
      <w:r w:rsidRPr="0077512B">
        <w:rPr>
          <w:rFonts w:ascii="Arial" w:hAnsi="Arial" w:cs="Arial"/>
          <w:sz w:val="20"/>
        </w:rPr>
        <w:t>.</w:t>
      </w:r>
    </w:p>
    <w:p w14:paraId="017BADF6" w14:textId="77777777" w:rsidR="00B46E15" w:rsidRDefault="00B46E15" w:rsidP="00FB68E0">
      <w:pPr>
        <w:jc w:val="both"/>
        <w:rPr>
          <w:rFonts w:ascii="Arial" w:hAnsi="Arial" w:cs="Arial"/>
          <w:sz w:val="20"/>
        </w:rPr>
      </w:pPr>
    </w:p>
    <w:p w14:paraId="340CE35A" w14:textId="6D7ACFB4" w:rsidR="007A5A68" w:rsidRPr="00B70B7D" w:rsidRDefault="007A5A68" w:rsidP="00B66A4A">
      <w:pPr>
        <w:numPr>
          <w:ilvl w:val="0"/>
          <w:numId w:val="74"/>
        </w:numPr>
        <w:jc w:val="both"/>
        <w:rPr>
          <w:rFonts w:ascii="Arial" w:hAnsi="Arial" w:cs="Arial"/>
          <w:sz w:val="20"/>
        </w:rPr>
      </w:pPr>
      <w:r w:rsidRPr="00B70B7D">
        <w:rPr>
          <w:rFonts w:ascii="Arial" w:hAnsi="Arial" w:cs="Arial"/>
          <w:sz w:val="20"/>
        </w:rPr>
        <w:t xml:space="preserve">Program 18 collaborates primarily with other Programs as illustrated below: </w:t>
      </w:r>
    </w:p>
    <w:p w14:paraId="1E4B04A6" w14:textId="77777777" w:rsidR="007A5A68" w:rsidRDefault="007A5A68" w:rsidP="00FB68E0">
      <w:pPr>
        <w:jc w:val="both"/>
        <w:rPr>
          <w:rFonts w:ascii="Arial" w:hAnsi="Arial" w:cs="Arial"/>
          <w:sz w:val="20"/>
        </w:rPr>
      </w:pPr>
    </w:p>
    <w:p w14:paraId="0670C696" w14:textId="77777777" w:rsidR="000C537C" w:rsidRPr="008B29D8" w:rsidRDefault="000C537C" w:rsidP="00984F70">
      <w:pPr>
        <w:jc w:val="both"/>
        <w:rPr>
          <w:rFonts w:ascii="Arial" w:hAnsi="Arial" w:cs="Arial"/>
          <w:sz w:val="20"/>
        </w:rPr>
      </w:pPr>
    </w:p>
    <w:p w14:paraId="2F7F190C" w14:textId="77777777" w:rsidR="000C537C" w:rsidRDefault="000C537C" w:rsidP="00984F70">
      <w:pPr>
        <w:tabs>
          <w:tab w:val="left" w:pos="567"/>
          <w:tab w:val="left" w:pos="1985"/>
        </w:tabs>
        <w:jc w:val="both"/>
        <w:rPr>
          <w:rFonts w:ascii="Arial" w:hAnsi="Arial" w:cs="Arial"/>
          <w:bCs/>
          <w:sz w:val="20"/>
        </w:rPr>
      </w:pPr>
    </w:p>
    <w:p w14:paraId="39F0AFCF" w14:textId="77777777" w:rsidR="000C537C" w:rsidRDefault="000C537C" w:rsidP="00984F70">
      <w:pPr>
        <w:tabs>
          <w:tab w:val="left" w:pos="567"/>
          <w:tab w:val="left" w:pos="1985"/>
        </w:tabs>
        <w:jc w:val="both"/>
        <w:rPr>
          <w:rFonts w:ascii="Arial" w:hAnsi="Arial" w:cs="Arial"/>
          <w:bCs/>
          <w:sz w:val="20"/>
        </w:rPr>
      </w:pPr>
      <w:r w:rsidRPr="00B619BE">
        <w:rPr>
          <w:rFonts w:ascii="Arial" w:hAnsi="Arial" w:cs="Arial"/>
          <w:noProof/>
          <w:lang w:eastAsia="en-US"/>
        </w:rPr>
        <w:drawing>
          <wp:inline distT="0" distB="0" distL="0" distR="0" wp14:anchorId="4321FF0E" wp14:editId="0A4289A4">
            <wp:extent cx="5943600" cy="1413040"/>
            <wp:effectExtent l="0" t="0" r="0" b="0"/>
            <wp:docPr id="34" name="Diagram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p>
    <w:p w14:paraId="3E4A4F89" w14:textId="77777777" w:rsidR="000C537C" w:rsidRDefault="000C537C" w:rsidP="00984F70">
      <w:pPr>
        <w:tabs>
          <w:tab w:val="left" w:pos="567"/>
          <w:tab w:val="left" w:pos="1985"/>
        </w:tabs>
        <w:jc w:val="both"/>
        <w:rPr>
          <w:rFonts w:ascii="Arial" w:hAnsi="Arial" w:cs="Arial"/>
          <w:bCs/>
          <w:sz w:val="20"/>
        </w:rPr>
      </w:pPr>
    </w:p>
    <w:p w14:paraId="28CAC829" w14:textId="77777777" w:rsidR="00323604" w:rsidRDefault="00323604" w:rsidP="00984F70">
      <w:pPr>
        <w:tabs>
          <w:tab w:val="left" w:pos="567"/>
          <w:tab w:val="left" w:pos="1985"/>
        </w:tabs>
        <w:jc w:val="both"/>
        <w:rPr>
          <w:rFonts w:ascii="Arial" w:hAnsi="Arial" w:cs="Arial"/>
          <w:bCs/>
          <w:sz w:val="20"/>
        </w:rPr>
      </w:pPr>
    </w:p>
    <w:p w14:paraId="43DA1CC7" w14:textId="77777777" w:rsidR="000C537C" w:rsidRDefault="000C537C" w:rsidP="00984F70">
      <w:pPr>
        <w:tabs>
          <w:tab w:val="left" w:pos="567"/>
          <w:tab w:val="left" w:pos="1985"/>
        </w:tabs>
        <w:jc w:val="both"/>
        <w:rPr>
          <w:rFonts w:ascii="Arial" w:hAnsi="Arial" w:cs="Arial"/>
          <w:bCs/>
        </w:rPr>
      </w:pPr>
      <w:r>
        <w:rPr>
          <w:rFonts w:ascii="Arial" w:hAnsi="Arial" w:cs="Arial"/>
          <w:bCs/>
        </w:rPr>
        <w:t>MAJOR RISKS AND MITIGATION STRATEGIES</w:t>
      </w:r>
    </w:p>
    <w:p w14:paraId="218EC840" w14:textId="77777777" w:rsidR="000C537C" w:rsidRPr="00E91DFE" w:rsidRDefault="000C537C" w:rsidP="00984F70">
      <w:pPr>
        <w:rPr>
          <w:rFonts w:ascii="Arial" w:hAnsi="Arial" w:cs="Arial"/>
          <w:sz w:val="16"/>
          <w:szCs w:val="16"/>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0C537C" w14:paraId="17A5995B" w14:textId="77777777" w:rsidTr="00984F70">
        <w:trPr>
          <w:trHeight w:val="577"/>
        </w:trPr>
        <w:tc>
          <w:tcPr>
            <w:tcW w:w="4111" w:type="dxa"/>
            <w:tcBorders>
              <w:top w:val="single" w:sz="4" w:space="0" w:color="auto"/>
              <w:bottom w:val="single" w:sz="4" w:space="0" w:color="auto"/>
            </w:tcBorders>
            <w:shd w:val="clear" w:color="auto" w:fill="C6D9F1" w:themeFill="text2" w:themeFillTint="33"/>
            <w:vAlign w:val="center"/>
          </w:tcPr>
          <w:p w14:paraId="7DA4FD70" w14:textId="77777777" w:rsidR="000C537C" w:rsidRPr="003C527B" w:rsidRDefault="000C537C" w:rsidP="00984F70">
            <w:pPr>
              <w:jc w:val="center"/>
              <w:rPr>
                <w:rFonts w:ascii="Arial" w:hAnsi="Arial" w:cs="Arial"/>
                <w:b/>
                <w:bCs/>
                <w:sz w:val="18"/>
                <w:szCs w:val="18"/>
              </w:rPr>
            </w:pPr>
            <w:r>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3D9BA8C0" w14:textId="77777777" w:rsidR="000C537C" w:rsidRPr="003C527B" w:rsidRDefault="000C537C" w:rsidP="00984F70">
            <w:pPr>
              <w:jc w:val="center"/>
              <w:rPr>
                <w:rFonts w:ascii="Arial" w:hAnsi="Arial" w:cs="Arial"/>
                <w:b/>
                <w:bCs/>
                <w:sz w:val="18"/>
                <w:szCs w:val="18"/>
              </w:rPr>
            </w:pPr>
            <w:r>
              <w:rPr>
                <w:rFonts w:ascii="Arial" w:hAnsi="Arial" w:cs="Arial"/>
                <w:b/>
                <w:bCs/>
                <w:sz w:val="18"/>
                <w:szCs w:val="18"/>
              </w:rPr>
              <w:t>Mitigation</w:t>
            </w:r>
          </w:p>
        </w:tc>
      </w:tr>
      <w:tr w:rsidR="000C537C" w14:paraId="6C8757A5" w14:textId="77777777" w:rsidTr="00984F70">
        <w:trPr>
          <w:trHeight w:val="147"/>
        </w:trPr>
        <w:tc>
          <w:tcPr>
            <w:tcW w:w="4111" w:type="dxa"/>
            <w:tcBorders>
              <w:top w:val="single" w:sz="4" w:space="0" w:color="auto"/>
            </w:tcBorders>
            <w:shd w:val="clear" w:color="auto" w:fill="auto"/>
            <w:tcMar>
              <w:top w:w="113" w:type="dxa"/>
              <w:bottom w:w="113" w:type="dxa"/>
            </w:tcMar>
          </w:tcPr>
          <w:p w14:paraId="46F8F619" w14:textId="77777777" w:rsidR="000C537C" w:rsidRPr="00AA76F3" w:rsidRDefault="000C537C" w:rsidP="00984F70">
            <w:pPr>
              <w:rPr>
                <w:sz w:val="16"/>
                <w:szCs w:val="16"/>
              </w:rPr>
            </w:pPr>
            <w:r>
              <w:rPr>
                <w:rFonts w:ascii="Arial" w:hAnsi="Arial" w:cs="Arial"/>
                <w:color w:val="000000"/>
                <w:sz w:val="16"/>
                <w:szCs w:val="16"/>
              </w:rPr>
              <w:t>Lack of commitment of members or partners for WIPO Re:Search and WIPO GREEN could result in insufficient records and thus reduced credibility of the platforms.</w:t>
            </w:r>
            <w:r w:rsidDel="008D4CE6">
              <w:rPr>
                <w:rFonts w:ascii="Arial" w:hAnsi="Arial" w:cs="Arial"/>
                <w:color w:val="000000"/>
                <w:sz w:val="16"/>
                <w:szCs w:val="16"/>
              </w:rPr>
              <w:t xml:space="preserve"> </w:t>
            </w:r>
          </w:p>
        </w:tc>
        <w:tc>
          <w:tcPr>
            <w:tcW w:w="5103" w:type="dxa"/>
            <w:tcBorders>
              <w:top w:val="single" w:sz="4" w:space="0" w:color="auto"/>
            </w:tcBorders>
            <w:shd w:val="clear" w:color="auto" w:fill="auto"/>
            <w:tcMar>
              <w:top w:w="113" w:type="dxa"/>
              <w:bottom w:w="113" w:type="dxa"/>
            </w:tcMar>
          </w:tcPr>
          <w:p w14:paraId="58060635" w14:textId="77777777" w:rsidR="000C537C" w:rsidRDefault="000C537C" w:rsidP="00984F70">
            <w:pPr>
              <w:spacing w:line="276" w:lineRule="auto"/>
              <w:rPr>
                <w:rFonts w:ascii="Arial" w:hAnsi="Arial" w:cs="Arial"/>
                <w:color w:val="000000"/>
                <w:sz w:val="16"/>
                <w:szCs w:val="16"/>
              </w:rPr>
            </w:pPr>
            <w:r>
              <w:rPr>
                <w:rFonts w:ascii="Arial" w:hAnsi="Arial" w:cs="Arial"/>
                <w:color w:val="000000"/>
                <w:sz w:val="16"/>
                <w:szCs w:val="16"/>
              </w:rPr>
              <w:t>WIPO Re:Search: Increase efforts to enhance resources and activities of Partnership Hub.</w:t>
            </w:r>
          </w:p>
          <w:p w14:paraId="7A28F305" w14:textId="77777777" w:rsidR="000C537C" w:rsidRPr="00E91DFE" w:rsidRDefault="000C537C" w:rsidP="00984F70">
            <w:pPr>
              <w:rPr>
                <w:rFonts w:ascii="Arial" w:hAnsi="Arial" w:cs="Arial"/>
                <w:color w:val="000000"/>
                <w:sz w:val="8"/>
                <w:szCs w:val="8"/>
              </w:rPr>
            </w:pPr>
          </w:p>
          <w:p w14:paraId="100009DF" w14:textId="77777777" w:rsidR="000C537C" w:rsidRPr="00AA76F3" w:rsidRDefault="000C537C" w:rsidP="00984F70">
            <w:pPr>
              <w:rPr>
                <w:sz w:val="16"/>
                <w:szCs w:val="16"/>
              </w:rPr>
            </w:pPr>
            <w:r>
              <w:rPr>
                <w:rFonts w:ascii="Arial" w:hAnsi="Arial" w:cs="Arial"/>
                <w:color w:val="000000"/>
                <w:sz w:val="16"/>
                <w:szCs w:val="16"/>
              </w:rPr>
              <w:t>WIPO GREEN: Ensure that the services offered are aligned with customers’ needs, effective marketing and maintain close collaboration with existing partners/stakeholders. </w:t>
            </w:r>
          </w:p>
        </w:tc>
      </w:tr>
    </w:tbl>
    <w:p w14:paraId="1F3A5885" w14:textId="77777777" w:rsidR="000C537C" w:rsidRDefault="000C537C" w:rsidP="00984F70">
      <w:pPr>
        <w:tabs>
          <w:tab w:val="left" w:pos="567"/>
          <w:tab w:val="left" w:pos="1985"/>
        </w:tabs>
        <w:jc w:val="both"/>
        <w:rPr>
          <w:rFonts w:ascii="Arial" w:hAnsi="Arial" w:cs="Arial"/>
          <w:bCs/>
        </w:rPr>
      </w:pPr>
    </w:p>
    <w:p w14:paraId="1C62984C" w14:textId="77777777" w:rsidR="000C537C" w:rsidRDefault="000C537C" w:rsidP="00984F70">
      <w:pPr>
        <w:tabs>
          <w:tab w:val="left" w:pos="567"/>
          <w:tab w:val="left" w:pos="1985"/>
        </w:tabs>
        <w:jc w:val="both"/>
        <w:rPr>
          <w:rFonts w:ascii="Arial" w:hAnsi="Arial" w:cs="Arial"/>
          <w:bCs/>
        </w:rPr>
      </w:pPr>
    </w:p>
    <w:p w14:paraId="0D795502" w14:textId="77777777" w:rsidR="000C537C" w:rsidRDefault="000C537C" w:rsidP="00FD3ECD">
      <w:pPr>
        <w:keepNext/>
        <w:keepLines/>
        <w:tabs>
          <w:tab w:val="left" w:pos="567"/>
          <w:tab w:val="left" w:pos="1985"/>
        </w:tabs>
        <w:jc w:val="both"/>
        <w:rPr>
          <w:rFonts w:ascii="Arial" w:hAnsi="Arial" w:cs="Arial"/>
          <w:bCs/>
        </w:rPr>
      </w:pPr>
      <w:r>
        <w:rPr>
          <w:rFonts w:ascii="Arial" w:hAnsi="Arial" w:cs="Arial"/>
          <w:bCs/>
        </w:rPr>
        <w:lastRenderedPageBreak/>
        <w:t>RESULTS FRAMEWORK</w:t>
      </w:r>
    </w:p>
    <w:p w14:paraId="02BEE674" w14:textId="77777777" w:rsidR="000C537C" w:rsidRDefault="000C537C" w:rsidP="00FD3ECD">
      <w:pPr>
        <w:keepNext/>
        <w:keepLines/>
        <w:tabs>
          <w:tab w:val="left" w:pos="567"/>
          <w:tab w:val="left" w:pos="1985"/>
        </w:tabs>
        <w:jc w:val="both"/>
        <w:rPr>
          <w:rFonts w:ascii="Arial" w:hAnsi="Arial" w:cs="Arial"/>
          <w:bCs/>
          <w:sz w:val="20"/>
        </w:rPr>
      </w:pPr>
    </w:p>
    <w:tbl>
      <w:tblPr>
        <w:tblW w:w="9260" w:type="dxa"/>
        <w:tblInd w:w="93" w:type="dxa"/>
        <w:tblLook w:val="04A0" w:firstRow="1" w:lastRow="0" w:firstColumn="1" w:lastColumn="0" w:noHBand="0" w:noVBand="1"/>
      </w:tblPr>
      <w:tblGrid>
        <w:gridCol w:w="2340"/>
        <w:gridCol w:w="2380"/>
        <w:gridCol w:w="2520"/>
        <w:gridCol w:w="2020"/>
      </w:tblGrid>
      <w:tr w:rsidR="000C537C" w:rsidRPr="002E2072" w14:paraId="6533EA07" w14:textId="77777777" w:rsidTr="00984F70">
        <w:trPr>
          <w:trHeight w:val="675"/>
        </w:trPr>
        <w:tc>
          <w:tcPr>
            <w:tcW w:w="234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709B9082" w14:textId="77777777" w:rsidR="000C537C" w:rsidRPr="002E2072" w:rsidRDefault="000C537C" w:rsidP="00FD3ECD">
            <w:pPr>
              <w:keepNext/>
              <w:keepLines/>
              <w:jc w:val="center"/>
              <w:rPr>
                <w:rFonts w:ascii="Arial" w:hAnsi="Arial" w:cs="Arial"/>
                <w:b/>
                <w:bCs/>
                <w:color w:val="000000"/>
                <w:sz w:val="18"/>
                <w:szCs w:val="18"/>
              </w:rPr>
            </w:pPr>
            <w:r w:rsidRPr="002E2072">
              <w:rPr>
                <w:rFonts w:ascii="Arial" w:hAnsi="Arial" w:cs="Arial"/>
                <w:b/>
                <w:bCs/>
                <w:color w:val="000000"/>
                <w:sz w:val="18"/>
                <w:szCs w:val="18"/>
              </w:rPr>
              <w:t>Expected Results</w:t>
            </w:r>
          </w:p>
        </w:tc>
        <w:tc>
          <w:tcPr>
            <w:tcW w:w="2380" w:type="dxa"/>
            <w:tcBorders>
              <w:top w:val="single" w:sz="4" w:space="0" w:color="auto"/>
              <w:left w:val="nil"/>
              <w:bottom w:val="single" w:sz="4" w:space="0" w:color="auto"/>
              <w:right w:val="nil"/>
            </w:tcBorders>
            <w:shd w:val="clear" w:color="auto" w:fill="C6D9F1" w:themeFill="text2" w:themeFillTint="33"/>
            <w:vAlign w:val="center"/>
            <w:hideMark/>
          </w:tcPr>
          <w:p w14:paraId="1B03B70E" w14:textId="77777777" w:rsidR="000C537C" w:rsidRPr="002E2072" w:rsidRDefault="000C537C" w:rsidP="00FD3ECD">
            <w:pPr>
              <w:keepNext/>
              <w:keepLines/>
              <w:jc w:val="center"/>
              <w:rPr>
                <w:rFonts w:ascii="Arial" w:hAnsi="Arial" w:cs="Arial"/>
                <w:b/>
                <w:bCs/>
                <w:color w:val="000000"/>
                <w:sz w:val="18"/>
                <w:szCs w:val="18"/>
              </w:rPr>
            </w:pPr>
            <w:r w:rsidRPr="002E2072">
              <w:rPr>
                <w:rFonts w:ascii="Arial" w:hAnsi="Arial" w:cs="Arial"/>
                <w:b/>
                <w:bCs/>
                <w:color w:val="000000"/>
                <w:sz w:val="18"/>
                <w:szCs w:val="18"/>
              </w:rPr>
              <w:t>Performance Indicators</w:t>
            </w:r>
          </w:p>
        </w:tc>
        <w:tc>
          <w:tcPr>
            <w:tcW w:w="2520" w:type="dxa"/>
            <w:tcBorders>
              <w:top w:val="single" w:sz="4" w:space="0" w:color="auto"/>
              <w:left w:val="nil"/>
              <w:bottom w:val="single" w:sz="4" w:space="0" w:color="auto"/>
              <w:right w:val="nil"/>
            </w:tcBorders>
            <w:shd w:val="clear" w:color="auto" w:fill="C6D9F1" w:themeFill="text2" w:themeFillTint="33"/>
            <w:vAlign w:val="center"/>
            <w:hideMark/>
          </w:tcPr>
          <w:p w14:paraId="789246CF" w14:textId="77777777" w:rsidR="000C537C" w:rsidRPr="002E2072" w:rsidRDefault="000C537C" w:rsidP="00FD3ECD">
            <w:pPr>
              <w:keepNext/>
              <w:keepLines/>
              <w:jc w:val="center"/>
              <w:rPr>
                <w:rFonts w:ascii="Arial" w:hAnsi="Arial" w:cs="Arial"/>
                <w:b/>
                <w:bCs/>
                <w:color w:val="000000"/>
                <w:sz w:val="18"/>
                <w:szCs w:val="18"/>
              </w:rPr>
            </w:pPr>
            <w:r w:rsidRPr="002E2072">
              <w:rPr>
                <w:rFonts w:ascii="Arial" w:hAnsi="Arial" w:cs="Arial"/>
                <w:b/>
                <w:bCs/>
                <w:color w:val="000000"/>
                <w:sz w:val="18"/>
                <w:szCs w:val="18"/>
              </w:rPr>
              <w:t>Baselines</w:t>
            </w:r>
          </w:p>
        </w:tc>
        <w:tc>
          <w:tcPr>
            <w:tcW w:w="202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1EB37248" w14:textId="77777777" w:rsidR="000C537C" w:rsidRPr="002E2072" w:rsidRDefault="000C537C" w:rsidP="00FD3ECD">
            <w:pPr>
              <w:keepNext/>
              <w:keepLines/>
              <w:jc w:val="center"/>
              <w:rPr>
                <w:rFonts w:ascii="Arial" w:hAnsi="Arial" w:cs="Arial"/>
                <w:b/>
                <w:bCs/>
                <w:color w:val="000000"/>
                <w:sz w:val="18"/>
                <w:szCs w:val="18"/>
              </w:rPr>
            </w:pPr>
            <w:r w:rsidRPr="002E2072">
              <w:rPr>
                <w:rFonts w:ascii="Arial" w:hAnsi="Arial" w:cs="Arial"/>
                <w:b/>
                <w:bCs/>
                <w:color w:val="000000"/>
                <w:sz w:val="18"/>
                <w:szCs w:val="18"/>
              </w:rPr>
              <w:t>Targets</w:t>
            </w:r>
          </w:p>
        </w:tc>
      </w:tr>
      <w:tr w:rsidR="00B46E15" w:rsidRPr="002E2072" w14:paraId="61BE95A3" w14:textId="77777777" w:rsidTr="008D4CE9">
        <w:trPr>
          <w:trHeight w:val="955"/>
        </w:trPr>
        <w:tc>
          <w:tcPr>
            <w:tcW w:w="2340" w:type="dxa"/>
            <w:tcBorders>
              <w:top w:val="nil"/>
              <w:left w:val="single" w:sz="4" w:space="0" w:color="auto"/>
              <w:bottom w:val="nil"/>
              <w:right w:val="nil"/>
            </w:tcBorders>
            <w:shd w:val="clear" w:color="000000" w:fill="FFFFFF"/>
          </w:tcPr>
          <w:p w14:paraId="5B8CA00D" w14:textId="2117AC9C" w:rsidR="00B46E15" w:rsidRPr="002E2072" w:rsidRDefault="00B46E15" w:rsidP="00FD3ECD">
            <w:pPr>
              <w:keepNext/>
              <w:keepLines/>
              <w:rPr>
                <w:rFonts w:ascii="Arial" w:hAnsi="Arial" w:cs="Arial"/>
                <w:color w:val="000000"/>
                <w:sz w:val="16"/>
                <w:szCs w:val="16"/>
              </w:rPr>
            </w:pPr>
            <w:r w:rsidRPr="009B4A78">
              <w:rPr>
                <w:rFonts w:ascii="Arial" w:eastAsia="Times New Roman" w:hAnsi="Arial" w:cs="Arial"/>
                <w:color w:val="000000"/>
                <w:sz w:val="16"/>
                <w:szCs w:val="16"/>
                <w:lang w:eastAsia="en-US"/>
              </w:rPr>
              <w:t>I.2 Tailored and balanced IP legislative, regulatory and policy frameworks</w:t>
            </w:r>
          </w:p>
        </w:tc>
        <w:tc>
          <w:tcPr>
            <w:tcW w:w="2380" w:type="dxa"/>
            <w:tcBorders>
              <w:top w:val="nil"/>
              <w:left w:val="nil"/>
              <w:bottom w:val="nil"/>
              <w:right w:val="nil"/>
            </w:tcBorders>
            <w:shd w:val="clear" w:color="000000" w:fill="FFFFFF"/>
          </w:tcPr>
          <w:p w14:paraId="3CE5085C" w14:textId="6FB7E326" w:rsidR="00B46E15" w:rsidRPr="002E2072" w:rsidRDefault="00B46E15" w:rsidP="008D4CE9">
            <w:pPr>
              <w:keepNext/>
              <w:keepLines/>
              <w:ind w:left="119"/>
              <w:rPr>
                <w:rFonts w:ascii="Arial" w:hAnsi="Arial" w:cs="Arial"/>
                <w:color w:val="000000"/>
                <w:sz w:val="16"/>
                <w:szCs w:val="16"/>
              </w:rPr>
            </w:pPr>
            <w:r w:rsidRPr="000A3927">
              <w:rPr>
                <w:rFonts w:ascii="Arial" w:hAnsi="Arial" w:cs="Arial"/>
                <w:color w:val="000000"/>
                <w:sz w:val="16"/>
                <w:szCs w:val="16"/>
              </w:rPr>
              <w:t xml:space="preserve">No. of countries requesting WIPO’s specific contribution on IP in relation to </w:t>
            </w:r>
            <w:r w:rsidR="00010CEF">
              <w:rPr>
                <w:rFonts w:ascii="Arial" w:hAnsi="Arial" w:cs="Arial"/>
                <w:color w:val="000000"/>
                <w:sz w:val="16"/>
                <w:szCs w:val="16"/>
              </w:rPr>
              <w:t>competition policy</w:t>
            </w:r>
            <w:r w:rsidRPr="000A3927">
              <w:rPr>
                <w:rFonts w:ascii="Arial" w:hAnsi="Arial" w:cs="Arial"/>
                <w:color w:val="000000"/>
                <w:sz w:val="16"/>
                <w:szCs w:val="16"/>
              </w:rPr>
              <w:t>-related issues</w:t>
            </w:r>
          </w:p>
        </w:tc>
        <w:tc>
          <w:tcPr>
            <w:tcW w:w="2520" w:type="dxa"/>
            <w:tcBorders>
              <w:top w:val="nil"/>
              <w:left w:val="nil"/>
              <w:bottom w:val="nil"/>
              <w:right w:val="nil"/>
            </w:tcBorders>
            <w:shd w:val="clear" w:color="000000" w:fill="FFFFFF"/>
          </w:tcPr>
          <w:p w14:paraId="397E9201" w14:textId="0058F42E" w:rsidR="00B46E15" w:rsidRPr="002E2072" w:rsidRDefault="000A3927" w:rsidP="008D4CE9">
            <w:pPr>
              <w:keepNext/>
              <w:keepLines/>
              <w:ind w:left="149"/>
              <w:rPr>
                <w:rFonts w:ascii="Arial" w:hAnsi="Arial" w:cs="Arial"/>
                <w:color w:val="000000"/>
                <w:sz w:val="16"/>
                <w:szCs w:val="16"/>
              </w:rPr>
            </w:pPr>
            <w:r w:rsidRPr="000A3927">
              <w:rPr>
                <w:rFonts w:ascii="Arial" w:hAnsi="Arial" w:cs="Arial"/>
                <w:color w:val="000000"/>
                <w:sz w:val="16"/>
                <w:szCs w:val="16"/>
              </w:rPr>
              <w:t>12 countries (2014)</w:t>
            </w:r>
          </w:p>
        </w:tc>
        <w:tc>
          <w:tcPr>
            <w:tcW w:w="2020" w:type="dxa"/>
            <w:tcBorders>
              <w:top w:val="nil"/>
              <w:left w:val="nil"/>
              <w:bottom w:val="nil"/>
              <w:right w:val="single" w:sz="4" w:space="0" w:color="auto"/>
            </w:tcBorders>
            <w:shd w:val="clear" w:color="000000" w:fill="FFFFFF"/>
          </w:tcPr>
          <w:p w14:paraId="47B40F5F" w14:textId="69B2FB33" w:rsidR="00B46E15" w:rsidRPr="002E2072" w:rsidRDefault="000A3927" w:rsidP="00F66697">
            <w:pPr>
              <w:keepNext/>
              <w:keepLines/>
              <w:ind w:left="180"/>
              <w:rPr>
                <w:rFonts w:ascii="Arial" w:hAnsi="Arial" w:cs="Arial"/>
                <w:color w:val="000000"/>
                <w:sz w:val="16"/>
                <w:szCs w:val="16"/>
              </w:rPr>
            </w:pPr>
            <w:r w:rsidRPr="000A3927">
              <w:rPr>
                <w:rFonts w:ascii="Arial" w:hAnsi="Arial" w:cs="Arial"/>
                <w:color w:val="000000"/>
                <w:sz w:val="16"/>
                <w:szCs w:val="16"/>
              </w:rPr>
              <w:t>12 countries</w:t>
            </w:r>
            <w:r w:rsidR="00F66697">
              <w:rPr>
                <w:rFonts w:ascii="Arial" w:hAnsi="Arial" w:cs="Arial"/>
                <w:color w:val="000000"/>
                <w:sz w:val="16"/>
                <w:szCs w:val="16"/>
              </w:rPr>
              <w:t xml:space="preserve"> in 2016/17</w:t>
            </w:r>
          </w:p>
        </w:tc>
      </w:tr>
      <w:tr w:rsidR="00B46E15" w:rsidRPr="002E2072" w14:paraId="11A17142" w14:textId="77777777" w:rsidTr="00F66697">
        <w:trPr>
          <w:trHeight w:val="1365"/>
        </w:trPr>
        <w:tc>
          <w:tcPr>
            <w:tcW w:w="2340" w:type="dxa"/>
            <w:tcBorders>
              <w:top w:val="nil"/>
              <w:left w:val="single" w:sz="4" w:space="0" w:color="auto"/>
              <w:bottom w:val="nil"/>
              <w:right w:val="nil"/>
            </w:tcBorders>
            <w:shd w:val="clear" w:color="000000" w:fill="FFFFFF"/>
          </w:tcPr>
          <w:p w14:paraId="2C2D3684" w14:textId="77777777" w:rsidR="00B46E15" w:rsidRPr="002E2072" w:rsidRDefault="00B46E15" w:rsidP="00FD3ECD">
            <w:pPr>
              <w:keepNext/>
              <w:keepLines/>
              <w:rPr>
                <w:rFonts w:ascii="Arial" w:hAnsi="Arial" w:cs="Arial"/>
                <w:color w:val="000000"/>
                <w:sz w:val="16"/>
                <w:szCs w:val="16"/>
              </w:rPr>
            </w:pPr>
          </w:p>
        </w:tc>
        <w:tc>
          <w:tcPr>
            <w:tcW w:w="2380" w:type="dxa"/>
            <w:tcBorders>
              <w:top w:val="nil"/>
              <w:left w:val="nil"/>
              <w:bottom w:val="nil"/>
              <w:right w:val="nil"/>
            </w:tcBorders>
            <w:shd w:val="clear" w:color="000000" w:fill="FFFFFF"/>
          </w:tcPr>
          <w:p w14:paraId="5D9121BF" w14:textId="0CDF8931" w:rsidR="00B46E15" w:rsidRPr="002E2072" w:rsidRDefault="000A3927" w:rsidP="008D4CE9">
            <w:pPr>
              <w:keepNext/>
              <w:keepLines/>
              <w:ind w:left="119"/>
              <w:rPr>
                <w:rFonts w:ascii="Arial" w:hAnsi="Arial" w:cs="Arial"/>
                <w:color w:val="000000"/>
                <w:sz w:val="16"/>
                <w:szCs w:val="16"/>
              </w:rPr>
            </w:pPr>
            <w:r>
              <w:rPr>
                <w:rFonts w:ascii="Arial" w:hAnsi="Arial" w:cs="Arial"/>
                <w:color w:val="000000"/>
                <w:sz w:val="16"/>
                <w:szCs w:val="16"/>
              </w:rPr>
              <w:t>No. and diversity of stakeholders (IP offices, competition and authorities, relevant IGOs and NGOs) engaged in dialogue with WIPO</w:t>
            </w:r>
          </w:p>
        </w:tc>
        <w:tc>
          <w:tcPr>
            <w:tcW w:w="2520" w:type="dxa"/>
            <w:tcBorders>
              <w:top w:val="nil"/>
              <w:left w:val="nil"/>
              <w:bottom w:val="nil"/>
              <w:right w:val="nil"/>
            </w:tcBorders>
            <w:shd w:val="clear" w:color="000000" w:fill="FFFFFF"/>
          </w:tcPr>
          <w:p w14:paraId="23C87448" w14:textId="7C83DC9A" w:rsidR="00B46E15" w:rsidRPr="002E2072" w:rsidRDefault="000A3927" w:rsidP="008D4CE9">
            <w:pPr>
              <w:keepNext/>
              <w:keepLines/>
              <w:ind w:left="149"/>
              <w:rPr>
                <w:rFonts w:ascii="Arial" w:hAnsi="Arial" w:cs="Arial"/>
                <w:color w:val="000000"/>
                <w:sz w:val="16"/>
                <w:szCs w:val="16"/>
              </w:rPr>
            </w:pPr>
            <w:r w:rsidRPr="000A3927">
              <w:rPr>
                <w:rFonts w:ascii="Arial" w:hAnsi="Arial" w:cs="Arial"/>
                <w:color w:val="000000"/>
                <w:sz w:val="16"/>
                <w:szCs w:val="16"/>
              </w:rPr>
              <w:t>64 national IP/Competition authorities and 5 IGO's/NGO's</w:t>
            </w:r>
            <w:r w:rsidR="00F66697">
              <w:rPr>
                <w:rFonts w:ascii="Arial" w:hAnsi="Arial" w:cs="Arial"/>
                <w:color w:val="000000"/>
                <w:sz w:val="16"/>
                <w:szCs w:val="16"/>
              </w:rPr>
              <w:t xml:space="preserve"> (cumulative)</w:t>
            </w:r>
          </w:p>
        </w:tc>
        <w:tc>
          <w:tcPr>
            <w:tcW w:w="2020" w:type="dxa"/>
            <w:tcBorders>
              <w:top w:val="nil"/>
              <w:left w:val="nil"/>
              <w:bottom w:val="nil"/>
              <w:right w:val="single" w:sz="4" w:space="0" w:color="auto"/>
            </w:tcBorders>
            <w:shd w:val="clear" w:color="000000" w:fill="FFFFFF"/>
          </w:tcPr>
          <w:p w14:paraId="5C21A41A" w14:textId="27DCEB02" w:rsidR="00B46E15" w:rsidRPr="002E2072" w:rsidRDefault="000A3927" w:rsidP="000A3927">
            <w:pPr>
              <w:keepNext/>
              <w:keepLines/>
              <w:ind w:left="180"/>
              <w:rPr>
                <w:rFonts w:ascii="Arial" w:hAnsi="Arial" w:cs="Arial"/>
                <w:color w:val="000000"/>
                <w:sz w:val="16"/>
                <w:szCs w:val="16"/>
              </w:rPr>
            </w:pPr>
            <w:r w:rsidRPr="000A3927">
              <w:rPr>
                <w:rFonts w:ascii="Arial" w:hAnsi="Arial" w:cs="Arial"/>
                <w:color w:val="000000"/>
                <w:sz w:val="16"/>
                <w:szCs w:val="16"/>
              </w:rPr>
              <w:t>26 additional national IP/Competition authorities and 5 IGO's/NGO's</w:t>
            </w:r>
          </w:p>
        </w:tc>
      </w:tr>
      <w:tr w:rsidR="000C537C" w:rsidRPr="002E2072" w14:paraId="3DCED3FE" w14:textId="77777777" w:rsidTr="008D4CE9">
        <w:trPr>
          <w:trHeight w:val="2121"/>
        </w:trPr>
        <w:tc>
          <w:tcPr>
            <w:tcW w:w="2340" w:type="dxa"/>
            <w:tcBorders>
              <w:top w:val="nil"/>
              <w:left w:val="single" w:sz="4" w:space="0" w:color="auto"/>
              <w:bottom w:val="nil"/>
              <w:right w:val="nil"/>
            </w:tcBorders>
            <w:shd w:val="clear" w:color="000000" w:fill="FFFFFF"/>
            <w:hideMark/>
          </w:tcPr>
          <w:p w14:paraId="13A5FF63" w14:textId="77777777" w:rsidR="000C537C" w:rsidRPr="002E2072" w:rsidRDefault="000C537C" w:rsidP="00FD3ECD">
            <w:pPr>
              <w:keepNext/>
              <w:keepLines/>
              <w:rPr>
                <w:rFonts w:ascii="Arial" w:hAnsi="Arial" w:cs="Arial"/>
                <w:color w:val="000000"/>
                <w:sz w:val="16"/>
                <w:szCs w:val="16"/>
              </w:rPr>
            </w:pPr>
            <w:r w:rsidRPr="002E2072">
              <w:rPr>
                <w:rFonts w:ascii="Arial" w:hAnsi="Arial" w:cs="Arial"/>
                <w:color w:val="000000"/>
                <w:sz w:val="16"/>
                <w:szCs w:val="16"/>
              </w:rPr>
              <w:br/>
              <w:t>III.2 Enhanced human resource capacities able to deal with the broad range of requirements for the effective use of IP for development in developing countries, LDCs and countries with economies in transition</w:t>
            </w:r>
          </w:p>
        </w:tc>
        <w:tc>
          <w:tcPr>
            <w:tcW w:w="2380" w:type="dxa"/>
            <w:tcBorders>
              <w:top w:val="nil"/>
              <w:left w:val="nil"/>
              <w:bottom w:val="nil"/>
              <w:right w:val="nil"/>
            </w:tcBorders>
            <w:shd w:val="clear" w:color="000000" w:fill="FFFFFF"/>
            <w:hideMark/>
          </w:tcPr>
          <w:p w14:paraId="62434192" w14:textId="77777777" w:rsidR="000C537C"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 xml:space="preserve"> </w:t>
            </w:r>
            <w:r w:rsidRPr="002E2072">
              <w:rPr>
                <w:rFonts w:ascii="Arial" w:hAnsi="Arial" w:cs="Arial"/>
                <w:color w:val="000000"/>
                <w:sz w:val="16"/>
                <w:szCs w:val="16"/>
              </w:rPr>
              <w:br/>
              <w:t>No. of hosting arrangements for developing country scientists</w:t>
            </w:r>
          </w:p>
          <w:p w14:paraId="49375841" w14:textId="77777777" w:rsidR="000C537C" w:rsidRDefault="000C537C" w:rsidP="008D4CE9">
            <w:pPr>
              <w:keepNext/>
              <w:keepLines/>
              <w:ind w:left="119"/>
              <w:rPr>
                <w:rFonts w:ascii="Arial" w:hAnsi="Arial" w:cs="Arial"/>
                <w:color w:val="000000"/>
                <w:sz w:val="16"/>
                <w:szCs w:val="16"/>
              </w:rPr>
            </w:pPr>
          </w:p>
          <w:p w14:paraId="6B4183C3" w14:textId="77777777" w:rsidR="000C537C" w:rsidRPr="002E2072"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 of participants of the IP and Health DL module who affirm use of IP for development through transfer of knowledge and creation of skills</w:t>
            </w:r>
          </w:p>
        </w:tc>
        <w:tc>
          <w:tcPr>
            <w:tcW w:w="2520" w:type="dxa"/>
            <w:tcBorders>
              <w:top w:val="nil"/>
              <w:left w:val="nil"/>
              <w:bottom w:val="nil"/>
              <w:right w:val="nil"/>
            </w:tcBorders>
            <w:shd w:val="clear" w:color="000000" w:fill="FFFFFF"/>
            <w:hideMark/>
          </w:tcPr>
          <w:p w14:paraId="4B68BAFD"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br/>
              <w:t xml:space="preserve">5 </w:t>
            </w:r>
          </w:p>
          <w:p w14:paraId="0BDA4C03" w14:textId="77777777" w:rsidR="000C537C" w:rsidRDefault="000C537C" w:rsidP="00FD3ECD">
            <w:pPr>
              <w:keepNext/>
              <w:keepLines/>
              <w:ind w:left="290" w:firstLineChars="18" w:firstLine="29"/>
              <w:rPr>
                <w:rFonts w:ascii="Arial" w:hAnsi="Arial" w:cs="Arial"/>
                <w:color w:val="000000"/>
                <w:sz w:val="16"/>
                <w:szCs w:val="16"/>
              </w:rPr>
            </w:pPr>
          </w:p>
          <w:p w14:paraId="50A2C93C" w14:textId="77777777" w:rsidR="000C537C" w:rsidRDefault="000C537C" w:rsidP="00FD3ECD">
            <w:pPr>
              <w:keepNext/>
              <w:keepLines/>
              <w:ind w:left="290" w:firstLineChars="18" w:firstLine="29"/>
              <w:rPr>
                <w:rFonts w:ascii="Arial" w:hAnsi="Arial" w:cs="Arial"/>
                <w:color w:val="000000"/>
                <w:sz w:val="16"/>
                <w:szCs w:val="16"/>
              </w:rPr>
            </w:pPr>
          </w:p>
          <w:p w14:paraId="100EDAD7" w14:textId="77777777" w:rsidR="000C537C" w:rsidRDefault="000C537C" w:rsidP="00FD3ECD">
            <w:pPr>
              <w:keepNext/>
              <w:keepLines/>
              <w:ind w:left="290" w:firstLineChars="18" w:firstLine="29"/>
              <w:rPr>
                <w:rFonts w:ascii="Arial" w:hAnsi="Arial" w:cs="Arial"/>
                <w:color w:val="000000"/>
                <w:sz w:val="16"/>
                <w:szCs w:val="16"/>
              </w:rPr>
            </w:pPr>
          </w:p>
          <w:p w14:paraId="24EE2DFE" w14:textId="77777777" w:rsidR="000C537C" w:rsidRDefault="000C537C" w:rsidP="00FD3ECD">
            <w:pPr>
              <w:keepNext/>
              <w:keepLines/>
              <w:ind w:left="290" w:firstLineChars="18" w:firstLine="29"/>
              <w:rPr>
                <w:rFonts w:ascii="Arial" w:hAnsi="Arial" w:cs="Arial"/>
                <w:color w:val="000000"/>
                <w:sz w:val="16"/>
                <w:szCs w:val="16"/>
              </w:rPr>
            </w:pPr>
          </w:p>
          <w:p w14:paraId="6067327A" w14:textId="77777777" w:rsidR="000C537C" w:rsidRPr="002E2072" w:rsidRDefault="000C537C" w:rsidP="00FD3ECD">
            <w:pPr>
              <w:keepNext/>
              <w:keepLines/>
              <w:ind w:left="290" w:firstLineChars="18" w:firstLine="29"/>
              <w:rPr>
                <w:rFonts w:ascii="Arial" w:hAnsi="Arial" w:cs="Arial"/>
                <w:color w:val="000000"/>
                <w:sz w:val="16"/>
                <w:szCs w:val="16"/>
              </w:rPr>
            </w:pPr>
            <w:r w:rsidRPr="002E2072">
              <w:rPr>
                <w:rFonts w:ascii="Arial" w:hAnsi="Arial" w:cs="Arial"/>
                <w:color w:val="000000"/>
                <w:sz w:val="16"/>
                <w:szCs w:val="16"/>
              </w:rPr>
              <w:t>n/a</w:t>
            </w:r>
          </w:p>
        </w:tc>
        <w:tc>
          <w:tcPr>
            <w:tcW w:w="2020" w:type="dxa"/>
            <w:tcBorders>
              <w:top w:val="nil"/>
              <w:left w:val="nil"/>
              <w:bottom w:val="nil"/>
              <w:right w:val="single" w:sz="4" w:space="0" w:color="auto"/>
            </w:tcBorders>
            <w:shd w:val="clear" w:color="000000" w:fill="FFFFFF"/>
            <w:hideMark/>
          </w:tcPr>
          <w:p w14:paraId="72085DEA" w14:textId="77777777" w:rsidR="000C537C" w:rsidRDefault="000C537C" w:rsidP="00FD3ECD">
            <w:pPr>
              <w:keepNext/>
              <w:keepLines/>
              <w:ind w:left="180" w:firstLineChars="87" w:firstLine="139"/>
              <w:rPr>
                <w:rFonts w:ascii="Arial" w:hAnsi="Arial" w:cs="Arial"/>
                <w:color w:val="000000"/>
                <w:sz w:val="16"/>
                <w:szCs w:val="16"/>
              </w:rPr>
            </w:pPr>
            <w:r w:rsidRPr="002E2072">
              <w:rPr>
                <w:rFonts w:ascii="Arial" w:hAnsi="Arial" w:cs="Arial"/>
                <w:color w:val="000000"/>
                <w:sz w:val="16"/>
                <w:szCs w:val="16"/>
              </w:rPr>
              <w:br/>
              <w:t xml:space="preserve">2 additional hosting arrangements </w:t>
            </w:r>
          </w:p>
          <w:p w14:paraId="4607D3EB" w14:textId="77777777" w:rsidR="000C537C" w:rsidRDefault="000C537C" w:rsidP="00FD3ECD">
            <w:pPr>
              <w:keepNext/>
              <w:keepLines/>
              <w:ind w:left="180" w:firstLineChars="87" w:firstLine="139"/>
              <w:rPr>
                <w:rFonts w:ascii="Arial" w:hAnsi="Arial" w:cs="Arial"/>
                <w:color w:val="000000"/>
                <w:sz w:val="16"/>
                <w:szCs w:val="16"/>
              </w:rPr>
            </w:pPr>
          </w:p>
          <w:p w14:paraId="3559A63A" w14:textId="77777777" w:rsidR="000C537C" w:rsidRDefault="000C537C" w:rsidP="00FD3ECD">
            <w:pPr>
              <w:keepNext/>
              <w:keepLines/>
              <w:ind w:left="180" w:firstLineChars="87" w:firstLine="139"/>
              <w:rPr>
                <w:rFonts w:ascii="Arial" w:hAnsi="Arial" w:cs="Arial"/>
                <w:color w:val="000000"/>
                <w:sz w:val="16"/>
                <w:szCs w:val="16"/>
              </w:rPr>
            </w:pPr>
          </w:p>
          <w:p w14:paraId="4B4AE054" w14:textId="77777777" w:rsidR="000C537C" w:rsidRDefault="000C537C" w:rsidP="00FD3ECD">
            <w:pPr>
              <w:keepNext/>
              <w:keepLines/>
              <w:ind w:left="180"/>
              <w:rPr>
                <w:rFonts w:ascii="Arial" w:hAnsi="Arial" w:cs="Arial"/>
                <w:color w:val="000000"/>
                <w:sz w:val="16"/>
                <w:szCs w:val="16"/>
              </w:rPr>
            </w:pPr>
          </w:p>
          <w:p w14:paraId="128CC784" w14:textId="77777777" w:rsidR="000C537C" w:rsidRPr="002E2072" w:rsidRDefault="000C537C" w:rsidP="00FD3ECD">
            <w:pPr>
              <w:keepNext/>
              <w:keepLines/>
              <w:ind w:left="180"/>
              <w:rPr>
                <w:rFonts w:ascii="Arial" w:hAnsi="Arial" w:cs="Arial"/>
                <w:color w:val="000000"/>
                <w:sz w:val="16"/>
                <w:szCs w:val="16"/>
              </w:rPr>
            </w:pPr>
            <w:r w:rsidRPr="002E2072">
              <w:rPr>
                <w:rFonts w:ascii="Arial" w:hAnsi="Arial" w:cs="Arial"/>
                <w:color w:val="000000"/>
                <w:sz w:val="16"/>
                <w:szCs w:val="16"/>
              </w:rPr>
              <w:t>At least 70% of respondents</w:t>
            </w:r>
          </w:p>
        </w:tc>
      </w:tr>
      <w:tr w:rsidR="000C537C" w:rsidRPr="002E2072" w14:paraId="15B16FF5" w14:textId="77777777" w:rsidTr="008D4CE9">
        <w:trPr>
          <w:trHeight w:val="2580"/>
        </w:trPr>
        <w:tc>
          <w:tcPr>
            <w:tcW w:w="2340" w:type="dxa"/>
            <w:tcBorders>
              <w:top w:val="nil"/>
              <w:left w:val="single" w:sz="4" w:space="0" w:color="auto"/>
              <w:bottom w:val="nil"/>
              <w:right w:val="nil"/>
            </w:tcBorders>
            <w:shd w:val="clear" w:color="000000" w:fill="FFFFFF"/>
            <w:hideMark/>
          </w:tcPr>
          <w:p w14:paraId="42A7843A" w14:textId="77777777" w:rsidR="000C537C" w:rsidRPr="002E2072" w:rsidRDefault="000C537C" w:rsidP="00984F70">
            <w:pPr>
              <w:rPr>
                <w:rFonts w:ascii="Arial" w:hAnsi="Arial" w:cs="Arial"/>
                <w:color w:val="000000"/>
                <w:sz w:val="16"/>
                <w:szCs w:val="16"/>
              </w:rPr>
            </w:pPr>
            <w:r w:rsidRPr="002E2072">
              <w:rPr>
                <w:rFonts w:ascii="Arial" w:hAnsi="Arial" w:cs="Arial"/>
                <w:color w:val="000000"/>
                <w:sz w:val="16"/>
                <w:szCs w:val="16"/>
              </w:rPr>
              <w:t>VII.2 IP-based platforms and tools for knowledge transfer, technology adaptation and diffusion from developed to developing countries, particularly least developed countries, to address global challenges</w:t>
            </w:r>
          </w:p>
        </w:tc>
        <w:tc>
          <w:tcPr>
            <w:tcW w:w="2380" w:type="dxa"/>
            <w:tcBorders>
              <w:top w:val="nil"/>
              <w:left w:val="nil"/>
              <w:bottom w:val="nil"/>
              <w:right w:val="nil"/>
            </w:tcBorders>
            <w:shd w:val="clear" w:color="000000" w:fill="FFFFFF"/>
            <w:hideMark/>
          </w:tcPr>
          <w:p w14:paraId="2F886D74" w14:textId="77777777" w:rsidR="000C537C" w:rsidRPr="002E2072"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Increased membership in WIPO Re:Search, including from developing countries and LDCs</w:t>
            </w:r>
            <w:r w:rsidRPr="002E2072">
              <w:rPr>
                <w:rFonts w:ascii="Arial" w:hAnsi="Arial" w:cs="Arial"/>
                <w:color w:val="000000"/>
                <w:sz w:val="16"/>
                <w:szCs w:val="16"/>
              </w:rPr>
              <w:br/>
            </w:r>
            <w:r w:rsidRPr="002E2072">
              <w:rPr>
                <w:rFonts w:ascii="Arial" w:hAnsi="Arial" w:cs="Arial"/>
                <w:color w:val="000000"/>
                <w:sz w:val="16"/>
                <w:szCs w:val="16"/>
              </w:rPr>
              <w:br/>
              <w:t xml:space="preserve">No. of records in the  WIPO Re:Search database </w:t>
            </w:r>
            <w:r w:rsidRPr="002E2072">
              <w:rPr>
                <w:rFonts w:ascii="Arial" w:hAnsi="Arial" w:cs="Arial"/>
                <w:color w:val="000000"/>
                <w:sz w:val="16"/>
                <w:szCs w:val="16"/>
              </w:rPr>
              <w:br/>
            </w:r>
            <w:r w:rsidRPr="002E2072">
              <w:rPr>
                <w:rFonts w:ascii="Arial" w:hAnsi="Arial" w:cs="Arial"/>
                <w:color w:val="000000"/>
                <w:sz w:val="16"/>
                <w:szCs w:val="16"/>
              </w:rPr>
              <w:br/>
              <w:t>Increased no. of agreements under WIPO Re:Search which lead to new or accelerated R&amp;D in NTDs, Malaria and TB"</w:t>
            </w:r>
          </w:p>
        </w:tc>
        <w:tc>
          <w:tcPr>
            <w:tcW w:w="2520" w:type="dxa"/>
            <w:tcBorders>
              <w:top w:val="nil"/>
              <w:left w:val="nil"/>
              <w:bottom w:val="nil"/>
              <w:right w:val="nil"/>
            </w:tcBorders>
            <w:shd w:val="clear" w:color="000000" w:fill="FFFFFF"/>
            <w:hideMark/>
          </w:tcPr>
          <w:p w14:paraId="1FDBC074" w14:textId="220B6972"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 xml:space="preserve">96 Members; </w:t>
            </w:r>
            <w:r>
              <w:rPr>
                <w:rFonts w:ascii="Arial" w:hAnsi="Arial" w:cs="Arial"/>
                <w:color w:val="000000"/>
                <w:sz w:val="16"/>
                <w:szCs w:val="16"/>
              </w:rPr>
              <w:t>27</w:t>
            </w:r>
            <w:r w:rsidRPr="002E2072">
              <w:rPr>
                <w:rFonts w:ascii="Arial" w:hAnsi="Arial" w:cs="Arial"/>
                <w:color w:val="000000"/>
                <w:sz w:val="16"/>
                <w:szCs w:val="16"/>
              </w:rPr>
              <w:t xml:space="preserve">  from developing countries </w:t>
            </w:r>
          </w:p>
          <w:p w14:paraId="4C72D64A"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 xml:space="preserve">(as at </w:t>
            </w:r>
            <w:r>
              <w:rPr>
                <w:rFonts w:ascii="Arial" w:hAnsi="Arial" w:cs="Arial"/>
                <w:color w:val="000000"/>
                <w:sz w:val="16"/>
                <w:szCs w:val="16"/>
              </w:rPr>
              <w:t xml:space="preserve">end </w:t>
            </w:r>
            <w:r w:rsidRPr="002E2072">
              <w:rPr>
                <w:rFonts w:ascii="Arial" w:hAnsi="Arial" w:cs="Arial"/>
                <w:color w:val="000000"/>
                <w:sz w:val="16"/>
                <w:szCs w:val="16"/>
              </w:rPr>
              <w:t>December 2014)</w:t>
            </w:r>
            <w:r w:rsidRPr="002E2072">
              <w:rPr>
                <w:rFonts w:ascii="Arial" w:hAnsi="Arial" w:cs="Arial"/>
                <w:color w:val="000000"/>
                <w:sz w:val="16"/>
                <w:szCs w:val="16"/>
              </w:rPr>
              <w:br/>
            </w:r>
            <w:r w:rsidRPr="002E2072">
              <w:rPr>
                <w:rFonts w:ascii="Arial" w:hAnsi="Arial" w:cs="Arial"/>
                <w:color w:val="000000"/>
                <w:sz w:val="16"/>
                <w:szCs w:val="16"/>
              </w:rPr>
              <w:br/>
            </w:r>
            <w:r w:rsidRPr="002E2072">
              <w:rPr>
                <w:rFonts w:ascii="Arial" w:hAnsi="Arial" w:cs="Arial"/>
                <w:color w:val="000000"/>
                <w:sz w:val="16"/>
                <w:szCs w:val="16"/>
              </w:rPr>
              <w:br/>
              <w:t xml:space="preserve">186 database records </w:t>
            </w:r>
          </w:p>
          <w:p w14:paraId="6C93BEE7"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(as at April 24, 2015)</w:t>
            </w:r>
            <w:r w:rsidRPr="002E2072">
              <w:rPr>
                <w:rFonts w:ascii="Arial" w:hAnsi="Arial" w:cs="Arial"/>
                <w:color w:val="000000"/>
                <w:sz w:val="16"/>
                <w:szCs w:val="16"/>
              </w:rPr>
              <w:br/>
            </w:r>
            <w:r w:rsidRPr="002E2072">
              <w:rPr>
                <w:rFonts w:ascii="Arial" w:hAnsi="Arial" w:cs="Arial"/>
                <w:color w:val="000000"/>
                <w:sz w:val="16"/>
                <w:szCs w:val="16"/>
              </w:rPr>
              <w:br/>
            </w:r>
          </w:p>
          <w:p w14:paraId="7B0FA4F1"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 xml:space="preserve">90 agreements </w:t>
            </w:r>
          </w:p>
          <w:p w14:paraId="2237A983" w14:textId="77777777" w:rsidR="000C537C" w:rsidRPr="002E2072"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(as at April 9, 2015)</w:t>
            </w:r>
          </w:p>
        </w:tc>
        <w:tc>
          <w:tcPr>
            <w:tcW w:w="2020" w:type="dxa"/>
            <w:tcBorders>
              <w:top w:val="nil"/>
              <w:left w:val="nil"/>
              <w:bottom w:val="nil"/>
              <w:right w:val="single" w:sz="4" w:space="0" w:color="auto"/>
            </w:tcBorders>
            <w:shd w:val="clear" w:color="000000" w:fill="FFFFFF"/>
            <w:hideMark/>
          </w:tcPr>
          <w:p w14:paraId="4C6ED916" w14:textId="2AD8FA08" w:rsidR="000C537C" w:rsidRDefault="000C537C" w:rsidP="00984F70">
            <w:pPr>
              <w:ind w:left="180"/>
              <w:rPr>
                <w:rFonts w:ascii="Arial" w:hAnsi="Arial" w:cs="Arial"/>
                <w:color w:val="000000"/>
                <w:sz w:val="16"/>
                <w:szCs w:val="16"/>
              </w:rPr>
            </w:pPr>
            <w:r>
              <w:rPr>
                <w:rFonts w:ascii="Arial" w:hAnsi="Arial" w:cs="Arial"/>
                <w:color w:val="000000"/>
                <w:sz w:val="16"/>
                <w:szCs w:val="16"/>
              </w:rPr>
              <w:t>8</w:t>
            </w:r>
            <w:r w:rsidRPr="002E2072">
              <w:rPr>
                <w:rFonts w:ascii="Arial" w:hAnsi="Arial" w:cs="Arial"/>
                <w:color w:val="000000"/>
                <w:sz w:val="16"/>
                <w:szCs w:val="16"/>
              </w:rPr>
              <w:t xml:space="preserve"> new Members; 7  from developing countries</w:t>
            </w:r>
            <w:r w:rsidRPr="002E2072">
              <w:rPr>
                <w:rFonts w:ascii="Arial" w:hAnsi="Arial" w:cs="Arial"/>
                <w:color w:val="000000"/>
                <w:sz w:val="16"/>
                <w:szCs w:val="16"/>
              </w:rPr>
              <w:br/>
            </w:r>
            <w:r w:rsidRPr="002E2072">
              <w:rPr>
                <w:rFonts w:ascii="Arial" w:hAnsi="Arial" w:cs="Arial"/>
                <w:color w:val="000000"/>
                <w:sz w:val="16"/>
                <w:szCs w:val="16"/>
              </w:rPr>
              <w:br/>
            </w:r>
            <w:r w:rsidRPr="002E2072">
              <w:rPr>
                <w:rFonts w:ascii="Arial" w:hAnsi="Arial" w:cs="Arial"/>
                <w:color w:val="000000"/>
                <w:sz w:val="16"/>
                <w:szCs w:val="16"/>
              </w:rPr>
              <w:br/>
              <w:t xml:space="preserve">300 database records in total </w:t>
            </w:r>
            <w:r w:rsidRPr="002E2072">
              <w:rPr>
                <w:rFonts w:ascii="Arial" w:hAnsi="Arial" w:cs="Arial"/>
                <w:color w:val="000000"/>
                <w:sz w:val="16"/>
                <w:szCs w:val="16"/>
              </w:rPr>
              <w:br/>
            </w:r>
            <w:r w:rsidRPr="002E2072">
              <w:rPr>
                <w:rFonts w:ascii="Arial" w:hAnsi="Arial" w:cs="Arial"/>
                <w:color w:val="000000"/>
                <w:sz w:val="16"/>
                <w:szCs w:val="16"/>
              </w:rPr>
              <w:br/>
            </w:r>
          </w:p>
          <w:p w14:paraId="538AFA4E" w14:textId="77777777" w:rsidR="000C537C" w:rsidRPr="002E2072" w:rsidRDefault="000C537C" w:rsidP="00984F70">
            <w:pPr>
              <w:ind w:left="180"/>
              <w:rPr>
                <w:rFonts w:ascii="Arial" w:hAnsi="Arial" w:cs="Arial"/>
                <w:color w:val="000000"/>
                <w:sz w:val="16"/>
                <w:szCs w:val="16"/>
              </w:rPr>
            </w:pPr>
            <w:r w:rsidRPr="002E2072">
              <w:rPr>
                <w:rFonts w:ascii="Arial" w:hAnsi="Arial" w:cs="Arial"/>
                <w:color w:val="000000"/>
                <w:sz w:val="16"/>
                <w:szCs w:val="16"/>
              </w:rPr>
              <w:t>30 new agreements of which 20 are follow-on agreements</w:t>
            </w:r>
          </w:p>
        </w:tc>
      </w:tr>
      <w:tr w:rsidR="000C537C" w:rsidRPr="002E2072" w14:paraId="56D08F39" w14:textId="77777777" w:rsidTr="008D4CE9">
        <w:trPr>
          <w:trHeight w:val="2479"/>
        </w:trPr>
        <w:tc>
          <w:tcPr>
            <w:tcW w:w="2340" w:type="dxa"/>
            <w:tcBorders>
              <w:top w:val="nil"/>
              <w:left w:val="single" w:sz="4" w:space="0" w:color="auto"/>
              <w:bottom w:val="nil"/>
              <w:right w:val="nil"/>
            </w:tcBorders>
            <w:shd w:val="clear" w:color="000000" w:fill="FFFFFF"/>
            <w:hideMark/>
          </w:tcPr>
          <w:p w14:paraId="5320D9E0" w14:textId="77777777" w:rsidR="000C537C" w:rsidRPr="002E2072" w:rsidRDefault="000C537C" w:rsidP="00984F70">
            <w:pPr>
              <w:rPr>
                <w:rFonts w:ascii="Arial" w:hAnsi="Arial" w:cs="Arial"/>
                <w:color w:val="000000"/>
                <w:sz w:val="16"/>
                <w:szCs w:val="16"/>
              </w:rPr>
            </w:pPr>
            <w:r w:rsidRPr="002E2072">
              <w:rPr>
                <w:rFonts w:ascii="Arial" w:hAnsi="Arial" w:cs="Arial"/>
                <w:color w:val="000000"/>
                <w:sz w:val="16"/>
                <w:szCs w:val="16"/>
              </w:rPr>
              <w:t> </w:t>
            </w:r>
          </w:p>
        </w:tc>
        <w:tc>
          <w:tcPr>
            <w:tcW w:w="2380" w:type="dxa"/>
            <w:tcBorders>
              <w:top w:val="nil"/>
              <w:left w:val="nil"/>
              <w:bottom w:val="nil"/>
              <w:right w:val="nil"/>
            </w:tcBorders>
            <w:shd w:val="clear" w:color="000000" w:fill="FFFFFF"/>
            <w:hideMark/>
          </w:tcPr>
          <w:p w14:paraId="2E535858" w14:textId="77777777" w:rsidR="000C537C" w:rsidRPr="002E2072"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 xml:space="preserve">No. of WIPO GREEN Members </w:t>
            </w:r>
            <w:r w:rsidRPr="002E2072">
              <w:rPr>
                <w:rFonts w:ascii="Arial" w:hAnsi="Arial" w:cs="Arial"/>
                <w:color w:val="000000"/>
                <w:sz w:val="16"/>
                <w:szCs w:val="16"/>
              </w:rPr>
              <w:br/>
            </w:r>
            <w:r w:rsidRPr="002E2072">
              <w:rPr>
                <w:rFonts w:ascii="Arial" w:hAnsi="Arial" w:cs="Arial"/>
                <w:color w:val="000000"/>
                <w:sz w:val="16"/>
                <w:szCs w:val="16"/>
              </w:rPr>
              <w:br/>
            </w:r>
            <w:r w:rsidRPr="002E2072">
              <w:rPr>
                <w:rFonts w:ascii="Arial" w:hAnsi="Arial" w:cs="Arial"/>
                <w:color w:val="000000"/>
                <w:sz w:val="16"/>
                <w:szCs w:val="16"/>
              </w:rPr>
              <w:br/>
              <w:t>No. of records in the WIPO GREEN database</w:t>
            </w:r>
            <w:r w:rsidRPr="002E2072">
              <w:rPr>
                <w:rFonts w:ascii="Arial" w:hAnsi="Arial" w:cs="Arial"/>
                <w:color w:val="000000"/>
                <w:sz w:val="16"/>
                <w:szCs w:val="16"/>
              </w:rPr>
              <w:br/>
            </w:r>
            <w:r w:rsidRPr="002E2072">
              <w:rPr>
                <w:rFonts w:ascii="Arial" w:hAnsi="Arial" w:cs="Arial"/>
                <w:color w:val="000000"/>
                <w:sz w:val="16"/>
                <w:szCs w:val="16"/>
              </w:rPr>
              <w:br/>
              <w:t xml:space="preserve">No. of agreements catalyzed by WIPO GREEN facilitating knowledge transfer, technology adaptation, transfer and/or diffusion </w:t>
            </w:r>
          </w:p>
        </w:tc>
        <w:tc>
          <w:tcPr>
            <w:tcW w:w="2520" w:type="dxa"/>
            <w:tcBorders>
              <w:top w:val="nil"/>
              <w:left w:val="nil"/>
              <w:bottom w:val="nil"/>
              <w:right w:val="nil"/>
            </w:tcBorders>
            <w:shd w:val="clear" w:color="000000" w:fill="FFFFFF"/>
            <w:hideMark/>
          </w:tcPr>
          <w:p w14:paraId="4E70E602"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 xml:space="preserve">57 Partners; 430 users </w:t>
            </w:r>
          </w:p>
          <w:p w14:paraId="5C34C3D9"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(as at April 24, 2015)</w:t>
            </w:r>
            <w:r w:rsidRPr="002E2072">
              <w:rPr>
                <w:rFonts w:ascii="Arial" w:hAnsi="Arial" w:cs="Arial"/>
                <w:color w:val="000000"/>
                <w:sz w:val="16"/>
                <w:szCs w:val="16"/>
              </w:rPr>
              <w:br/>
            </w:r>
            <w:r w:rsidRPr="002E2072">
              <w:rPr>
                <w:rFonts w:ascii="Arial" w:hAnsi="Arial" w:cs="Arial"/>
                <w:color w:val="000000"/>
                <w:sz w:val="16"/>
                <w:szCs w:val="16"/>
              </w:rPr>
              <w:br/>
            </w:r>
            <w:r w:rsidRPr="002E2072">
              <w:rPr>
                <w:rFonts w:ascii="Arial" w:hAnsi="Arial" w:cs="Arial"/>
                <w:color w:val="000000"/>
                <w:sz w:val="16"/>
                <w:szCs w:val="16"/>
              </w:rPr>
              <w:br/>
              <w:t xml:space="preserve">2,050 records </w:t>
            </w:r>
          </w:p>
          <w:p w14:paraId="6F4A55F6" w14:textId="2FD5E2BE" w:rsidR="000C537C" w:rsidRPr="002E2072"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(as at April 24, 2015)</w:t>
            </w:r>
            <w:r w:rsidRPr="002E2072">
              <w:rPr>
                <w:rFonts w:ascii="Arial" w:hAnsi="Arial" w:cs="Arial"/>
                <w:color w:val="000000"/>
                <w:sz w:val="16"/>
                <w:szCs w:val="16"/>
              </w:rPr>
              <w:br/>
            </w:r>
            <w:r w:rsidRPr="002E2072">
              <w:rPr>
                <w:rFonts w:ascii="Arial" w:hAnsi="Arial" w:cs="Arial"/>
                <w:color w:val="000000"/>
                <w:sz w:val="16"/>
                <w:szCs w:val="16"/>
              </w:rPr>
              <w:br/>
              <w:t>7 agreements (AUTM, DKPTO, EACIN, Eco-patent commons, KOTEC, TechnologieAllianz, UNOS</w:t>
            </w:r>
            <w:r w:rsidR="004F51AB">
              <w:rPr>
                <w:rFonts w:ascii="Arial" w:hAnsi="Arial" w:cs="Arial"/>
                <w:color w:val="000000"/>
                <w:sz w:val="16"/>
                <w:szCs w:val="16"/>
              </w:rPr>
              <w:t>S</w:t>
            </w:r>
            <w:r w:rsidRPr="002E2072">
              <w:rPr>
                <w:rFonts w:ascii="Arial" w:hAnsi="Arial" w:cs="Arial"/>
                <w:color w:val="000000"/>
                <w:sz w:val="16"/>
                <w:szCs w:val="16"/>
              </w:rPr>
              <w:t>C) (as at April 24, 2015)</w:t>
            </w:r>
          </w:p>
        </w:tc>
        <w:tc>
          <w:tcPr>
            <w:tcW w:w="2020" w:type="dxa"/>
            <w:tcBorders>
              <w:top w:val="nil"/>
              <w:left w:val="nil"/>
              <w:bottom w:val="nil"/>
              <w:right w:val="single" w:sz="4" w:space="0" w:color="auto"/>
            </w:tcBorders>
            <w:shd w:val="clear" w:color="000000" w:fill="FFFFFF"/>
            <w:hideMark/>
          </w:tcPr>
          <w:p w14:paraId="11D0C16B" w14:textId="77777777" w:rsidR="000C537C" w:rsidRDefault="000C537C" w:rsidP="00984F70">
            <w:pPr>
              <w:ind w:left="180"/>
              <w:rPr>
                <w:rFonts w:ascii="Arial" w:hAnsi="Arial" w:cs="Arial"/>
                <w:color w:val="000000"/>
                <w:sz w:val="16"/>
                <w:szCs w:val="16"/>
              </w:rPr>
            </w:pPr>
            <w:r w:rsidRPr="002E2072">
              <w:rPr>
                <w:rFonts w:ascii="Arial" w:hAnsi="Arial" w:cs="Arial"/>
                <w:color w:val="000000"/>
                <w:sz w:val="16"/>
                <w:szCs w:val="16"/>
              </w:rPr>
              <w:t>14 additional Partners; 200 additional users</w:t>
            </w:r>
          </w:p>
          <w:p w14:paraId="1098F3E0" w14:textId="77777777" w:rsidR="000C537C" w:rsidRPr="002E2072" w:rsidRDefault="000C537C" w:rsidP="00984F70">
            <w:pPr>
              <w:ind w:left="180"/>
              <w:rPr>
                <w:rFonts w:ascii="Arial" w:hAnsi="Arial" w:cs="Arial"/>
                <w:color w:val="000000"/>
                <w:sz w:val="16"/>
                <w:szCs w:val="16"/>
              </w:rPr>
            </w:pPr>
            <w:r w:rsidRPr="002E2072">
              <w:rPr>
                <w:rFonts w:ascii="Arial" w:hAnsi="Arial" w:cs="Arial"/>
                <w:color w:val="000000"/>
                <w:sz w:val="16"/>
                <w:szCs w:val="16"/>
              </w:rPr>
              <w:br/>
            </w:r>
            <w:r w:rsidRPr="002E2072">
              <w:rPr>
                <w:rFonts w:ascii="Arial" w:hAnsi="Arial" w:cs="Arial"/>
                <w:color w:val="000000"/>
                <w:sz w:val="16"/>
                <w:szCs w:val="16"/>
              </w:rPr>
              <w:br/>
              <w:t xml:space="preserve">1,200 additional records </w:t>
            </w:r>
            <w:r w:rsidRPr="002E2072">
              <w:rPr>
                <w:rFonts w:ascii="Arial" w:hAnsi="Arial" w:cs="Arial"/>
                <w:color w:val="000000"/>
                <w:sz w:val="16"/>
                <w:szCs w:val="16"/>
              </w:rPr>
              <w:br/>
            </w:r>
            <w:r w:rsidRPr="002E2072">
              <w:rPr>
                <w:rFonts w:ascii="Arial" w:hAnsi="Arial" w:cs="Arial"/>
                <w:color w:val="000000"/>
                <w:sz w:val="16"/>
                <w:szCs w:val="16"/>
              </w:rPr>
              <w:br/>
              <w:t>10 agreements</w:t>
            </w:r>
          </w:p>
        </w:tc>
      </w:tr>
      <w:tr w:rsidR="000C537C" w:rsidRPr="002E2072" w14:paraId="054A287D" w14:textId="77777777" w:rsidTr="00984F70">
        <w:trPr>
          <w:trHeight w:val="1269"/>
        </w:trPr>
        <w:tc>
          <w:tcPr>
            <w:tcW w:w="2340" w:type="dxa"/>
            <w:tcBorders>
              <w:top w:val="nil"/>
              <w:left w:val="single" w:sz="4" w:space="0" w:color="auto"/>
              <w:bottom w:val="nil"/>
              <w:right w:val="nil"/>
            </w:tcBorders>
            <w:shd w:val="clear" w:color="000000" w:fill="FFFFFF"/>
            <w:hideMark/>
          </w:tcPr>
          <w:p w14:paraId="1A13560D" w14:textId="77777777" w:rsidR="000C537C" w:rsidRPr="002E2072" w:rsidRDefault="000C537C" w:rsidP="00984F70">
            <w:pPr>
              <w:rPr>
                <w:rFonts w:ascii="Arial" w:hAnsi="Arial" w:cs="Arial"/>
                <w:color w:val="000000"/>
                <w:sz w:val="16"/>
                <w:szCs w:val="16"/>
              </w:rPr>
            </w:pPr>
            <w:r w:rsidRPr="002E2072">
              <w:rPr>
                <w:rFonts w:ascii="Arial" w:hAnsi="Arial" w:cs="Arial"/>
                <w:color w:val="000000"/>
                <w:sz w:val="16"/>
                <w:szCs w:val="16"/>
              </w:rPr>
              <w:t> </w:t>
            </w:r>
          </w:p>
        </w:tc>
        <w:tc>
          <w:tcPr>
            <w:tcW w:w="2380" w:type="dxa"/>
            <w:tcBorders>
              <w:top w:val="nil"/>
              <w:left w:val="nil"/>
              <w:bottom w:val="nil"/>
              <w:right w:val="nil"/>
            </w:tcBorders>
            <w:shd w:val="clear" w:color="000000" w:fill="FFFFFF"/>
            <w:hideMark/>
          </w:tcPr>
          <w:p w14:paraId="72D8EA1D" w14:textId="77777777" w:rsidR="000C537C" w:rsidRPr="002E2072"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Progress towards an international collaborative framework for effective contribution of IP to food security through consultative process</w:t>
            </w:r>
          </w:p>
        </w:tc>
        <w:tc>
          <w:tcPr>
            <w:tcW w:w="2520" w:type="dxa"/>
            <w:tcBorders>
              <w:top w:val="nil"/>
              <w:left w:val="nil"/>
              <w:bottom w:val="nil"/>
              <w:right w:val="nil"/>
            </w:tcBorders>
            <w:shd w:val="clear" w:color="000000" w:fill="FFFFFF"/>
            <w:hideMark/>
          </w:tcPr>
          <w:p w14:paraId="069A5FFC" w14:textId="77777777" w:rsidR="000C537C" w:rsidRPr="002E2072" w:rsidRDefault="000C537C" w:rsidP="00984F70">
            <w:pPr>
              <w:ind w:firstLineChars="200" w:firstLine="320"/>
              <w:rPr>
                <w:rFonts w:ascii="Arial" w:hAnsi="Arial" w:cs="Arial"/>
                <w:color w:val="000000"/>
                <w:sz w:val="16"/>
                <w:szCs w:val="16"/>
              </w:rPr>
            </w:pPr>
            <w:r w:rsidRPr="002E2072">
              <w:rPr>
                <w:rFonts w:ascii="Arial" w:hAnsi="Arial" w:cs="Arial"/>
                <w:color w:val="000000"/>
                <w:sz w:val="16"/>
                <w:szCs w:val="16"/>
              </w:rPr>
              <w:t>n/a</w:t>
            </w:r>
          </w:p>
        </w:tc>
        <w:tc>
          <w:tcPr>
            <w:tcW w:w="2020" w:type="dxa"/>
            <w:tcBorders>
              <w:top w:val="nil"/>
              <w:left w:val="nil"/>
              <w:bottom w:val="nil"/>
              <w:right w:val="single" w:sz="4" w:space="0" w:color="auto"/>
            </w:tcBorders>
            <w:shd w:val="clear" w:color="000000" w:fill="FFFFFF"/>
            <w:hideMark/>
          </w:tcPr>
          <w:p w14:paraId="6B610D5A" w14:textId="77777777" w:rsidR="000C537C" w:rsidRPr="002E2072" w:rsidRDefault="000C537C" w:rsidP="00984F70">
            <w:pPr>
              <w:ind w:left="180"/>
              <w:rPr>
                <w:rFonts w:ascii="Arial" w:hAnsi="Arial" w:cs="Arial"/>
                <w:color w:val="000000"/>
                <w:sz w:val="16"/>
                <w:szCs w:val="16"/>
              </w:rPr>
            </w:pPr>
            <w:r w:rsidRPr="002E2072">
              <w:rPr>
                <w:rFonts w:ascii="Arial" w:hAnsi="Arial" w:cs="Arial"/>
                <w:color w:val="000000"/>
                <w:sz w:val="16"/>
                <w:szCs w:val="16"/>
              </w:rPr>
              <w:t>A comprehensive draft framework developed</w:t>
            </w:r>
          </w:p>
        </w:tc>
      </w:tr>
      <w:tr w:rsidR="000C537C" w:rsidRPr="002E2072" w14:paraId="7CB589E8" w14:textId="77777777" w:rsidTr="00984F70">
        <w:trPr>
          <w:trHeight w:val="1521"/>
        </w:trPr>
        <w:tc>
          <w:tcPr>
            <w:tcW w:w="2340" w:type="dxa"/>
            <w:tcBorders>
              <w:top w:val="nil"/>
              <w:left w:val="single" w:sz="4" w:space="0" w:color="auto"/>
              <w:bottom w:val="single" w:sz="4" w:space="0" w:color="auto"/>
              <w:right w:val="nil"/>
            </w:tcBorders>
            <w:shd w:val="clear" w:color="000000" w:fill="FFFFFF"/>
            <w:hideMark/>
          </w:tcPr>
          <w:p w14:paraId="09000161" w14:textId="77777777" w:rsidR="000C537C" w:rsidRPr="002E2072" w:rsidRDefault="000C537C" w:rsidP="00984F70">
            <w:pPr>
              <w:rPr>
                <w:rFonts w:ascii="Arial" w:hAnsi="Arial" w:cs="Arial"/>
                <w:color w:val="000000"/>
                <w:sz w:val="16"/>
                <w:szCs w:val="16"/>
              </w:rPr>
            </w:pPr>
            <w:r w:rsidRPr="002E2072">
              <w:rPr>
                <w:rFonts w:ascii="Arial" w:hAnsi="Arial" w:cs="Arial"/>
                <w:color w:val="000000"/>
                <w:sz w:val="16"/>
                <w:szCs w:val="16"/>
              </w:rPr>
              <w:t> </w:t>
            </w:r>
          </w:p>
        </w:tc>
        <w:tc>
          <w:tcPr>
            <w:tcW w:w="2380" w:type="dxa"/>
            <w:tcBorders>
              <w:top w:val="nil"/>
              <w:left w:val="nil"/>
              <w:bottom w:val="single" w:sz="4" w:space="0" w:color="auto"/>
              <w:right w:val="nil"/>
            </w:tcBorders>
            <w:shd w:val="clear" w:color="000000" w:fill="FFFFFF"/>
            <w:hideMark/>
          </w:tcPr>
          <w:p w14:paraId="6041A208" w14:textId="77777777" w:rsidR="000C537C" w:rsidRPr="002E2072" w:rsidRDefault="000C537C" w:rsidP="008D4CE9">
            <w:pPr>
              <w:keepNext/>
              <w:keepLines/>
              <w:ind w:left="119"/>
              <w:rPr>
                <w:rFonts w:ascii="Arial" w:hAnsi="Arial" w:cs="Arial"/>
                <w:color w:val="000000"/>
                <w:sz w:val="16"/>
                <w:szCs w:val="16"/>
              </w:rPr>
            </w:pPr>
            <w:r w:rsidRPr="002E2072">
              <w:rPr>
                <w:rFonts w:ascii="Arial" w:hAnsi="Arial" w:cs="Arial"/>
                <w:color w:val="000000"/>
                <w:sz w:val="16"/>
                <w:szCs w:val="16"/>
              </w:rPr>
              <w:t>No. of visits to the Global Challenges website</w:t>
            </w:r>
          </w:p>
        </w:tc>
        <w:tc>
          <w:tcPr>
            <w:tcW w:w="2520" w:type="dxa"/>
            <w:tcBorders>
              <w:top w:val="nil"/>
              <w:left w:val="nil"/>
              <w:bottom w:val="single" w:sz="4" w:space="0" w:color="auto"/>
              <w:right w:val="nil"/>
            </w:tcBorders>
            <w:shd w:val="clear" w:color="000000" w:fill="FFFFFF"/>
            <w:hideMark/>
          </w:tcPr>
          <w:p w14:paraId="50F1E4CC" w14:textId="77777777" w:rsidR="000C537C" w:rsidRDefault="000C537C" w:rsidP="008D4CE9">
            <w:pPr>
              <w:keepNext/>
              <w:keepLines/>
              <w:ind w:left="149"/>
              <w:rPr>
                <w:rFonts w:ascii="Arial" w:hAnsi="Arial" w:cs="Arial"/>
                <w:color w:val="000000"/>
                <w:sz w:val="16"/>
                <w:szCs w:val="16"/>
              </w:rPr>
            </w:pPr>
            <w:r w:rsidRPr="002E2072">
              <w:rPr>
                <w:rFonts w:ascii="Arial" w:hAnsi="Arial" w:cs="Arial"/>
                <w:color w:val="000000"/>
                <w:sz w:val="16"/>
                <w:szCs w:val="16"/>
              </w:rPr>
              <w:t xml:space="preserve">No. of page views: </w:t>
            </w:r>
            <w:r w:rsidRPr="002E2072">
              <w:rPr>
                <w:rFonts w:ascii="Arial" w:hAnsi="Arial" w:cs="Arial"/>
                <w:color w:val="000000"/>
                <w:sz w:val="16"/>
                <w:szCs w:val="16"/>
              </w:rPr>
              <w:br/>
              <w:t xml:space="preserve">- GCD: 1,353 </w:t>
            </w:r>
            <w:r w:rsidRPr="002E2072">
              <w:rPr>
                <w:rFonts w:ascii="Arial" w:hAnsi="Arial" w:cs="Arial"/>
                <w:color w:val="000000"/>
                <w:sz w:val="16"/>
                <w:szCs w:val="16"/>
              </w:rPr>
              <w:br/>
              <w:t>- Global Health and IP:</w:t>
            </w:r>
          </w:p>
          <w:p w14:paraId="6AE3426B" w14:textId="77777777" w:rsidR="000C537C" w:rsidRDefault="000C537C" w:rsidP="008D4CE9">
            <w:pPr>
              <w:keepNext/>
              <w:keepLines/>
              <w:ind w:left="149"/>
              <w:rPr>
                <w:rFonts w:ascii="Arial" w:hAnsi="Arial" w:cs="Arial"/>
                <w:color w:val="000000"/>
                <w:sz w:val="16"/>
                <w:szCs w:val="16"/>
              </w:rPr>
            </w:pPr>
            <w:r>
              <w:rPr>
                <w:rFonts w:ascii="Arial" w:hAnsi="Arial" w:cs="Arial"/>
                <w:color w:val="000000"/>
                <w:sz w:val="16"/>
                <w:szCs w:val="16"/>
              </w:rPr>
              <w:t xml:space="preserve"> </w:t>
            </w:r>
            <w:r w:rsidRPr="002E2072">
              <w:rPr>
                <w:rFonts w:ascii="Arial" w:hAnsi="Arial" w:cs="Arial"/>
                <w:color w:val="000000"/>
                <w:sz w:val="16"/>
                <w:szCs w:val="16"/>
              </w:rPr>
              <w:t xml:space="preserve"> </w:t>
            </w:r>
            <w:r>
              <w:rPr>
                <w:rFonts w:ascii="Arial" w:hAnsi="Arial" w:cs="Arial"/>
                <w:color w:val="000000"/>
                <w:sz w:val="16"/>
                <w:szCs w:val="16"/>
              </w:rPr>
              <w:t xml:space="preserve"> </w:t>
            </w:r>
            <w:r w:rsidRPr="002E2072">
              <w:rPr>
                <w:rFonts w:ascii="Arial" w:hAnsi="Arial" w:cs="Arial"/>
                <w:color w:val="000000"/>
                <w:sz w:val="16"/>
                <w:szCs w:val="16"/>
              </w:rPr>
              <w:t>4,778</w:t>
            </w:r>
            <w:r w:rsidRPr="002E2072">
              <w:rPr>
                <w:rFonts w:ascii="Arial" w:hAnsi="Arial" w:cs="Arial"/>
                <w:color w:val="000000"/>
                <w:sz w:val="16"/>
                <w:szCs w:val="16"/>
              </w:rPr>
              <w:br/>
              <w:t>- Climate Change and IP:</w:t>
            </w:r>
          </w:p>
          <w:p w14:paraId="2B77FAAF" w14:textId="77777777" w:rsidR="000C537C" w:rsidRPr="002E2072" w:rsidRDefault="000C537C" w:rsidP="008D4CE9">
            <w:pPr>
              <w:keepNext/>
              <w:keepLines/>
              <w:ind w:left="149"/>
              <w:rPr>
                <w:rFonts w:ascii="Arial" w:hAnsi="Arial" w:cs="Arial"/>
                <w:color w:val="000000"/>
                <w:sz w:val="16"/>
                <w:szCs w:val="16"/>
              </w:rPr>
            </w:pPr>
            <w:r>
              <w:rPr>
                <w:rFonts w:ascii="Arial" w:hAnsi="Arial" w:cs="Arial"/>
                <w:color w:val="000000"/>
                <w:sz w:val="16"/>
                <w:szCs w:val="16"/>
              </w:rPr>
              <w:t xml:space="preserve">  </w:t>
            </w:r>
            <w:r w:rsidRPr="002E2072">
              <w:rPr>
                <w:rFonts w:ascii="Arial" w:hAnsi="Arial" w:cs="Arial"/>
                <w:color w:val="000000"/>
                <w:sz w:val="16"/>
                <w:szCs w:val="16"/>
              </w:rPr>
              <w:t xml:space="preserve"> 2,462 </w:t>
            </w:r>
            <w:r w:rsidRPr="002E2072">
              <w:rPr>
                <w:rFonts w:ascii="Arial" w:hAnsi="Arial" w:cs="Arial"/>
                <w:color w:val="000000"/>
                <w:sz w:val="16"/>
                <w:szCs w:val="16"/>
              </w:rPr>
              <w:br/>
              <w:t xml:space="preserve">- WIPO Re:Search: 38,852 </w:t>
            </w:r>
            <w:r w:rsidRPr="002E2072">
              <w:rPr>
                <w:rFonts w:ascii="Arial" w:hAnsi="Arial" w:cs="Arial"/>
                <w:color w:val="000000"/>
                <w:sz w:val="16"/>
                <w:szCs w:val="16"/>
              </w:rPr>
              <w:br/>
              <w:t>- WIPO GREEN:  77,752</w:t>
            </w:r>
          </w:p>
        </w:tc>
        <w:tc>
          <w:tcPr>
            <w:tcW w:w="2020" w:type="dxa"/>
            <w:tcBorders>
              <w:top w:val="nil"/>
              <w:left w:val="nil"/>
              <w:bottom w:val="single" w:sz="4" w:space="0" w:color="auto"/>
              <w:right w:val="single" w:sz="4" w:space="0" w:color="auto"/>
            </w:tcBorders>
            <w:shd w:val="clear" w:color="000000" w:fill="FFFFFF"/>
            <w:hideMark/>
          </w:tcPr>
          <w:p w14:paraId="34D8D022" w14:textId="77777777" w:rsidR="000C537C" w:rsidRPr="002E2072" w:rsidRDefault="000C537C" w:rsidP="00984F70">
            <w:pPr>
              <w:ind w:left="180" w:hanging="180"/>
              <w:rPr>
                <w:rFonts w:ascii="Arial" w:hAnsi="Arial" w:cs="Arial"/>
                <w:color w:val="000000"/>
                <w:sz w:val="16"/>
                <w:szCs w:val="16"/>
              </w:rPr>
            </w:pPr>
            <w:r>
              <w:rPr>
                <w:rFonts w:ascii="Arial" w:hAnsi="Arial" w:cs="Arial"/>
                <w:color w:val="000000"/>
                <w:sz w:val="16"/>
                <w:szCs w:val="16"/>
              </w:rPr>
              <w:t xml:space="preserve">   </w:t>
            </w:r>
            <w:r w:rsidRPr="002E2072">
              <w:rPr>
                <w:rFonts w:ascii="Arial" w:hAnsi="Arial" w:cs="Arial"/>
                <w:color w:val="000000"/>
                <w:sz w:val="16"/>
                <w:szCs w:val="16"/>
              </w:rPr>
              <w:t xml:space="preserve"> 10% increase </w:t>
            </w:r>
          </w:p>
        </w:tc>
      </w:tr>
    </w:tbl>
    <w:p w14:paraId="5B787627" w14:textId="77777777" w:rsidR="000C537C" w:rsidRDefault="000C537C" w:rsidP="00984F70">
      <w:pPr>
        <w:tabs>
          <w:tab w:val="left" w:pos="567"/>
          <w:tab w:val="left" w:pos="1985"/>
        </w:tabs>
        <w:jc w:val="both"/>
        <w:rPr>
          <w:rFonts w:ascii="Arial" w:hAnsi="Arial" w:cs="Arial"/>
          <w:bCs/>
          <w:sz w:val="20"/>
        </w:rPr>
      </w:pPr>
    </w:p>
    <w:p w14:paraId="01893351" w14:textId="77777777" w:rsidR="000C537C" w:rsidRDefault="000C537C" w:rsidP="00984F70">
      <w:pPr>
        <w:tabs>
          <w:tab w:val="left" w:pos="567"/>
          <w:tab w:val="left" w:pos="1985"/>
        </w:tabs>
        <w:jc w:val="both"/>
        <w:rPr>
          <w:rFonts w:ascii="Arial" w:hAnsi="Arial" w:cs="Arial"/>
          <w:bCs/>
          <w:sz w:val="20"/>
        </w:rPr>
      </w:pPr>
    </w:p>
    <w:p w14:paraId="14E2141F" w14:textId="77777777" w:rsidR="000C537C" w:rsidRDefault="000C537C" w:rsidP="00984F70">
      <w:pPr>
        <w:tabs>
          <w:tab w:val="left" w:pos="567"/>
          <w:tab w:val="left" w:pos="1985"/>
        </w:tabs>
        <w:jc w:val="both"/>
        <w:rPr>
          <w:rFonts w:ascii="Arial" w:hAnsi="Arial" w:cs="Arial"/>
          <w:bCs/>
          <w:sz w:val="20"/>
        </w:rPr>
      </w:pPr>
    </w:p>
    <w:p w14:paraId="402A9372" w14:textId="77777777" w:rsidR="000C537C" w:rsidRPr="00BC78B8" w:rsidRDefault="000C537C" w:rsidP="00984F70">
      <w:pPr>
        <w:tabs>
          <w:tab w:val="left" w:pos="567"/>
          <w:tab w:val="left" w:pos="1985"/>
        </w:tabs>
        <w:jc w:val="both"/>
        <w:rPr>
          <w:rFonts w:ascii="Arial" w:hAnsi="Arial" w:cs="Arial"/>
          <w:bCs/>
          <w:sz w:val="20"/>
        </w:rPr>
      </w:pPr>
    </w:p>
    <w:p w14:paraId="64E8DBD3" w14:textId="77777777" w:rsidR="000C537C" w:rsidRDefault="000C537C">
      <w:pPr>
        <w:tabs>
          <w:tab w:val="left" w:pos="567"/>
          <w:tab w:val="left" w:pos="1985"/>
        </w:tabs>
        <w:jc w:val="both"/>
        <w:rPr>
          <w:rFonts w:ascii="Arial" w:hAnsi="Arial" w:cs="Arial"/>
          <w:bCs/>
        </w:rPr>
      </w:pPr>
      <w:r w:rsidRPr="00BC78B8">
        <w:rPr>
          <w:rFonts w:ascii="Arial" w:hAnsi="Arial" w:cs="Arial"/>
          <w:bCs/>
        </w:rPr>
        <w:t xml:space="preserve">RESOURCES FOR PROGRAM 18 </w:t>
      </w:r>
    </w:p>
    <w:p w14:paraId="54461A26" w14:textId="77777777" w:rsidR="000C537C" w:rsidRDefault="000C537C" w:rsidP="000C537C">
      <w:pPr>
        <w:tabs>
          <w:tab w:val="left" w:pos="709"/>
          <w:tab w:val="left" w:pos="1985"/>
        </w:tabs>
        <w:jc w:val="both"/>
        <w:rPr>
          <w:rFonts w:ascii="Arial" w:hAnsi="Arial" w:cs="Arial"/>
          <w:bCs/>
        </w:rPr>
      </w:pPr>
    </w:p>
    <w:p w14:paraId="2065FE3F" w14:textId="77777777" w:rsidR="000C537C" w:rsidRPr="00D81CA2" w:rsidRDefault="000C537C" w:rsidP="00B66A4A">
      <w:pPr>
        <w:numPr>
          <w:ilvl w:val="0"/>
          <w:numId w:val="74"/>
        </w:numPr>
        <w:tabs>
          <w:tab w:val="left" w:pos="709"/>
        </w:tabs>
        <w:jc w:val="both"/>
        <w:rPr>
          <w:rFonts w:ascii="Arial" w:hAnsi="Arial" w:cs="Arial"/>
          <w:sz w:val="20"/>
        </w:rPr>
      </w:pPr>
      <w:r w:rsidRPr="00FB68E0">
        <w:rPr>
          <w:rFonts w:ascii="Arial" w:hAnsi="Arial" w:cs="Arial"/>
          <w:bCs/>
          <w:sz w:val="20"/>
        </w:rPr>
        <w:t xml:space="preserve">A slight reduction can be observed in the total resources for 2016/17 for Program 18 compared to the 2014/15 Budget after Transfers. This is due to a reduction in non-personnel resources for IP and competition policy and a reduction in personnel resources for the Program in 2016/17 </w:t>
      </w:r>
      <w:r w:rsidRPr="00D81CA2">
        <w:rPr>
          <w:rFonts w:ascii="Arial" w:hAnsi="Arial" w:cs="Arial"/>
          <w:sz w:val="20"/>
        </w:rPr>
        <w:t xml:space="preserve">due to the </w:t>
      </w:r>
      <w:r w:rsidRPr="00DD392F">
        <w:rPr>
          <w:rFonts w:ascii="Arial" w:hAnsi="Arial" w:cs="Arial"/>
          <w:sz w:val="20"/>
        </w:rPr>
        <w:t>change in the costing methodology for personnel resources</w:t>
      </w:r>
      <w:r w:rsidRPr="00D81CA2">
        <w:rPr>
          <w:rFonts w:ascii="Arial" w:hAnsi="Arial" w:cs="Arial"/>
          <w:sz w:val="20"/>
        </w:rPr>
        <w:t xml:space="preserve"> in 2016/17 based on actuals based costing. </w:t>
      </w:r>
    </w:p>
    <w:p w14:paraId="03D77395" w14:textId="77777777" w:rsidR="000C537C" w:rsidRDefault="000C537C" w:rsidP="000C537C">
      <w:pPr>
        <w:tabs>
          <w:tab w:val="left" w:pos="709"/>
          <w:tab w:val="left" w:pos="1985"/>
        </w:tabs>
        <w:jc w:val="both"/>
        <w:rPr>
          <w:rFonts w:ascii="Arial" w:hAnsi="Arial" w:cs="Arial"/>
          <w:sz w:val="20"/>
        </w:rPr>
      </w:pPr>
    </w:p>
    <w:p w14:paraId="7B79D38C" w14:textId="7127A786" w:rsidR="000C537C" w:rsidRDefault="000C537C" w:rsidP="00B66A4A">
      <w:pPr>
        <w:numPr>
          <w:ilvl w:val="0"/>
          <w:numId w:val="74"/>
        </w:numPr>
        <w:tabs>
          <w:tab w:val="left" w:pos="709"/>
        </w:tabs>
        <w:jc w:val="both"/>
        <w:rPr>
          <w:rFonts w:ascii="Arial" w:hAnsi="Arial" w:cs="Arial"/>
          <w:sz w:val="20"/>
        </w:rPr>
      </w:pPr>
      <w:r>
        <w:rPr>
          <w:rFonts w:ascii="Arial" w:hAnsi="Arial" w:cs="Arial"/>
          <w:sz w:val="20"/>
        </w:rPr>
        <w:t>The Expected Result VII.3 has been merged with Expected</w:t>
      </w:r>
      <w:r w:rsidR="00ED6FE3">
        <w:rPr>
          <w:rFonts w:ascii="Arial" w:hAnsi="Arial" w:cs="Arial"/>
          <w:sz w:val="20"/>
        </w:rPr>
        <w:t xml:space="preserve"> Result </w:t>
      </w:r>
      <w:r>
        <w:rPr>
          <w:rFonts w:ascii="Arial" w:hAnsi="Arial" w:cs="Arial"/>
          <w:sz w:val="20"/>
        </w:rPr>
        <w:t xml:space="preserve">I.2 in 2016/17 resulting in a shift of resources from </w:t>
      </w:r>
      <w:r w:rsidR="00ED6FE3">
        <w:rPr>
          <w:rFonts w:ascii="Arial" w:hAnsi="Arial" w:cs="Arial"/>
          <w:sz w:val="20"/>
        </w:rPr>
        <w:t xml:space="preserve">VII.3 in 2014/15 to </w:t>
      </w:r>
      <w:r>
        <w:rPr>
          <w:rFonts w:ascii="Arial" w:hAnsi="Arial" w:cs="Arial"/>
          <w:sz w:val="20"/>
        </w:rPr>
        <w:t xml:space="preserve">I.2 in 2016/17.  </w:t>
      </w:r>
    </w:p>
    <w:p w14:paraId="0BB59973" w14:textId="77777777" w:rsidR="000C537C" w:rsidRDefault="000C537C" w:rsidP="000C537C">
      <w:pPr>
        <w:tabs>
          <w:tab w:val="left" w:pos="709"/>
          <w:tab w:val="left" w:pos="1985"/>
        </w:tabs>
        <w:jc w:val="both"/>
        <w:rPr>
          <w:rFonts w:ascii="Arial" w:hAnsi="Arial" w:cs="Arial"/>
          <w:sz w:val="20"/>
        </w:rPr>
      </w:pPr>
    </w:p>
    <w:p w14:paraId="50CC805B" w14:textId="4D484A45" w:rsidR="000C537C" w:rsidRDefault="000C537C" w:rsidP="00B66A4A">
      <w:pPr>
        <w:numPr>
          <w:ilvl w:val="0"/>
          <w:numId w:val="74"/>
        </w:numPr>
        <w:tabs>
          <w:tab w:val="left" w:pos="709"/>
        </w:tabs>
        <w:jc w:val="both"/>
        <w:rPr>
          <w:rFonts w:ascii="Arial" w:hAnsi="Arial" w:cs="Arial"/>
          <w:sz w:val="20"/>
        </w:rPr>
      </w:pPr>
      <w:r>
        <w:rPr>
          <w:rFonts w:ascii="Arial" w:hAnsi="Arial" w:cs="Arial"/>
          <w:sz w:val="20"/>
        </w:rPr>
        <w:t xml:space="preserve">Resources associated with global health related activities have been linked to Expected Result VIII.5 in the biennium 2016/17 to better reflect the trilateral </w:t>
      </w:r>
      <w:r w:rsidRPr="00E009BD">
        <w:rPr>
          <w:rFonts w:ascii="Arial" w:hAnsi="Arial" w:cs="Arial"/>
          <w:sz w:val="20"/>
        </w:rPr>
        <w:t xml:space="preserve">cooperation with the </w:t>
      </w:r>
      <w:r>
        <w:rPr>
          <w:rFonts w:ascii="Arial" w:hAnsi="Arial" w:cs="Arial"/>
          <w:sz w:val="20"/>
        </w:rPr>
        <w:t xml:space="preserve">WHO and WTO. This is compensated by a </w:t>
      </w:r>
      <w:r w:rsidR="00ED6FE3">
        <w:rPr>
          <w:rFonts w:ascii="Arial" w:hAnsi="Arial" w:cs="Arial"/>
          <w:sz w:val="20"/>
        </w:rPr>
        <w:t>shift of</w:t>
      </w:r>
      <w:r>
        <w:rPr>
          <w:rFonts w:ascii="Arial" w:hAnsi="Arial" w:cs="Arial"/>
          <w:sz w:val="20"/>
        </w:rPr>
        <w:t xml:space="preserve"> resources linked to Expected Result IV.2.</w:t>
      </w:r>
    </w:p>
    <w:p w14:paraId="50650A02" w14:textId="77777777" w:rsidR="000C537C" w:rsidRDefault="000C537C" w:rsidP="000C537C">
      <w:pPr>
        <w:tabs>
          <w:tab w:val="left" w:pos="709"/>
          <w:tab w:val="left" w:pos="1985"/>
        </w:tabs>
        <w:jc w:val="both"/>
        <w:rPr>
          <w:rFonts w:ascii="Arial" w:hAnsi="Arial" w:cs="Arial"/>
          <w:sz w:val="20"/>
        </w:rPr>
      </w:pPr>
    </w:p>
    <w:p w14:paraId="4F3DDE98" w14:textId="77777777" w:rsidR="000C537C" w:rsidRDefault="000C537C" w:rsidP="00B66A4A">
      <w:pPr>
        <w:numPr>
          <w:ilvl w:val="0"/>
          <w:numId w:val="74"/>
        </w:numPr>
        <w:tabs>
          <w:tab w:val="left" w:pos="709"/>
        </w:tabs>
        <w:jc w:val="both"/>
        <w:rPr>
          <w:rFonts w:ascii="Arial" w:hAnsi="Arial" w:cs="Arial"/>
          <w:bCs/>
        </w:rPr>
      </w:pPr>
      <w:r>
        <w:rPr>
          <w:rFonts w:ascii="Arial" w:hAnsi="Arial" w:cs="Arial"/>
          <w:sz w:val="20"/>
        </w:rPr>
        <w:t xml:space="preserve">Resources linked to Expected Results I.1, VI.1, VI.2 and VIII.5 under this Program reflects efforts dedicated by the Office of the Assistance Director General of the Global Issues Sector to the activities of Programs 4, 17 and 20 respectively.          </w:t>
      </w:r>
      <w:r>
        <w:rPr>
          <w:rFonts w:ascii="Arial" w:hAnsi="Arial" w:cs="Arial"/>
          <w:bCs/>
        </w:rPr>
        <w:t xml:space="preserve"> </w:t>
      </w:r>
    </w:p>
    <w:p w14:paraId="13914E54" w14:textId="77777777" w:rsidR="000C537C" w:rsidRDefault="000C537C">
      <w:pPr>
        <w:tabs>
          <w:tab w:val="left" w:pos="567"/>
          <w:tab w:val="left" w:pos="1985"/>
        </w:tabs>
        <w:jc w:val="both"/>
        <w:rPr>
          <w:rFonts w:ascii="Arial" w:hAnsi="Arial" w:cs="Arial"/>
          <w:bCs/>
        </w:rPr>
      </w:pPr>
    </w:p>
    <w:p w14:paraId="4876AF94" w14:textId="77777777" w:rsidR="000C537C" w:rsidRPr="00BC78B8" w:rsidRDefault="000C537C">
      <w:pPr>
        <w:tabs>
          <w:tab w:val="left" w:pos="567"/>
          <w:tab w:val="left" w:pos="1985"/>
        </w:tabs>
        <w:jc w:val="both"/>
        <w:rPr>
          <w:rFonts w:ascii="Arial" w:hAnsi="Arial" w:cs="Arial"/>
          <w:bCs/>
        </w:rPr>
      </w:pPr>
      <w:r>
        <w:rPr>
          <w:rFonts w:ascii="Arial" w:hAnsi="Arial" w:cs="Arial"/>
          <w:bCs/>
        </w:rPr>
        <w:t xml:space="preserve"> </w:t>
      </w:r>
    </w:p>
    <w:p w14:paraId="0C3A8A0D" w14:textId="77777777" w:rsidR="000C537C" w:rsidRPr="00E53EEC" w:rsidRDefault="000C537C" w:rsidP="000C537C">
      <w:pPr>
        <w:keepNext/>
        <w:keepLines/>
        <w:tabs>
          <w:tab w:val="left" w:pos="1427"/>
        </w:tabs>
        <w:jc w:val="center"/>
        <w:rPr>
          <w:rFonts w:ascii="Arial" w:hAnsi="Arial" w:cs="Arial"/>
          <w:sz w:val="20"/>
        </w:rPr>
      </w:pPr>
      <w:r>
        <w:rPr>
          <w:rFonts w:ascii="Arial" w:hAnsi="Arial" w:cs="Arial"/>
          <w:b/>
          <w:sz w:val="20"/>
          <w:szCs w:val="24"/>
        </w:rPr>
        <w:t>Program 18</w:t>
      </w:r>
      <w:r w:rsidRPr="00E53EEC">
        <w:rPr>
          <w:rFonts w:ascii="Arial" w:hAnsi="Arial" w:cs="Arial"/>
          <w:b/>
          <w:sz w:val="20"/>
          <w:szCs w:val="24"/>
        </w:rPr>
        <w:t xml:space="preserve">:  Resources by </w:t>
      </w:r>
      <w:r>
        <w:rPr>
          <w:rFonts w:ascii="Arial" w:hAnsi="Arial" w:cs="Arial"/>
          <w:b/>
          <w:sz w:val="20"/>
          <w:szCs w:val="24"/>
        </w:rPr>
        <w:t>Result</w:t>
      </w:r>
    </w:p>
    <w:p w14:paraId="3CCEBA90" w14:textId="77777777" w:rsidR="000C537C" w:rsidRDefault="000C537C" w:rsidP="000C537C">
      <w:pPr>
        <w:keepNext/>
        <w:keepLines/>
        <w:tabs>
          <w:tab w:val="left" w:pos="1427"/>
        </w:tabs>
        <w:jc w:val="center"/>
        <w:rPr>
          <w:rFonts w:ascii="Arial" w:hAnsi="Arial" w:cs="Arial"/>
          <w:i/>
          <w:sz w:val="20"/>
          <w:szCs w:val="24"/>
        </w:rPr>
      </w:pPr>
      <w:r w:rsidRPr="00E53EEC">
        <w:rPr>
          <w:rFonts w:ascii="Arial" w:hAnsi="Arial" w:cs="Arial"/>
          <w:i/>
          <w:sz w:val="20"/>
          <w:szCs w:val="24"/>
        </w:rPr>
        <w:t>(In thousands of Swiss francs)</w:t>
      </w:r>
    </w:p>
    <w:p w14:paraId="61D7F5BC" w14:textId="77777777" w:rsidR="000C537C" w:rsidRPr="00E53EEC" w:rsidRDefault="000C537C" w:rsidP="000C537C">
      <w:pPr>
        <w:keepNext/>
        <w:keepLines/>
        <w:tabs>
          <w:tab w:val="left" w:pos="1427"/>
        </w:tabs>
        <w:jc w:val="center"/>
        <w:rPr>
          <w:rFonts w:ascii="Arial" w:hAnsi="Arial" w:cs="Arial"/>
          <w:i/>
          <w:sz w:val="20"/>
          <w:szCs w:val="24"/>
        </w:rPr>
      </w:pPr>
    </w:p>
    <w:p w14:paraId="34FB1BD1" w14:textId="77777777" w:rsidR="000C537C" w:rsidRPr="00E53EEC" w:rsidRDefault="000C537C" w:rsidP="000C537C">
      <w:pPr>
        <w:keepNext/>
        <w:keepLines/>
        <w:tabs>
          <w:tab w:val="left" w:pos="567"/>
          <w:tab w:val="left" w:pos="1985"/>
          <w:tab w:val="left" w:pos="9072"/>
        </w:tabs>
        <w:jc w:val="center"/>
        <w:rPr>
          <w:rFonts w:ascii="Arial" w:hAnsi="Arial" w:cs="Arial"/>
          <w:bCs/>
          <w:sz w:val="18"/>
        </w:rPr>
      </w:pPr>
      <w:r w:rsidRPr="007749B4">
        <w:rPr>
          <w:noProof/>
          <w:lang w:eastAsia="en-US"/>
        </w:rPr>
        <w:drawing>
          <wp:inline distT="0" distB="0" distL="0" distR="0" wp14:anchorId="35A70BFB" wp14:editId="1C649715">
            <wp:extent cx="4857027" cy="4579951"/>
            <wp:effectExtent l="0" t="0" r="127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872340" cy="4594391"/>
                    </a:xfrm>
                    <a:prstGeom prst="rect">
                      <a:avLst/>
                    </a:prstGeom>
                    <a:noFill/>
                    <a:ln>
                      <a:noFill/>
                    </a:ln>
                  </pic:spPr>
                </pic:pic>
              </a:graphicData>
            </a:graphic>
          </wp:inline>
        </w:drawing>
      </w:r>
    </w:p>
    <w:p w14:paraId="11B65D5C" w14:textId="77777777" w:rsidR="000C537C" w:rsidRDefault="000C537C" w:rsidP="000C537C">
      <w:pPr>
        <w:tabs>
          <w:tab w:val="left" w:pos="1427"/>
        </w:tabs>
        <w:jc w:val="center"/>
        <w:rPr>
          <w:rFonts w:ascii="Arial" w:hAnsi="Arial" w:cs="Arial"/>
          <w:b/>
          <w:sz w:val="20"/>
          <w:szCs w:val="24"/>
        </w:rPr>
      </w:pPr>
    </w:p>
    <w:p w14:paraId="1C284CDE" w14:textId="77777777" w:rsidR="000C537C" w:rsidRDefault="000C537C" w:rsidP="000C537C">
      <w:pPr>
        <w:tabs>
          <w:tab w:val="left" w:pos="1427"/>
        </w:tabs>
        <w:jc w:val="center"/>
        <w:rPr>
          <w:rFonts w:ascii="Arial" w:hAnsi="Arial" w:cs="Arial"/>
          <w:b/>
          <w:sz w:val="20"/>
          <w:szCs w:val="24"/>
        </w:rPr>
      </w:pPr>
    </w:p>
    <w:p w14:paraId="613CB44A" w14:textId="77777777" w:rsidR="000C537C" w:rsidRDefault="000C537C">
      <w:pPr>
        <w:rPr>
          <w:rFonts w:ascii="Arial" w:hAnsi="Arial" w:cs="Arial"/>
          <w:b/>
          <w:sz w:val="20"/>
          <w:szCs w:val="24"/>
        </w:rPr>
      </w:pPr>
      <w:r>
        <w:rPr>
          <w:rFonts w:ascii="Arial" w:hAnsi="Arial" w:cs="Arial"/>
          <w:b/>
          <w:sz w:val="20"/>
          <w:szCs w:val="24"/>
        </w:rPr>
        <w:br w:type="page"/>
      </w:r>
    </w:p>
    <w:p w14:paraId="2066F7B2" w14:textId="5119AE33" w:rsidR="000C537C" w:rsidRPr="00E53EEC" w:rsidRDefault="000C537C" w:rsidP="000C537C">
      <w:pPr>
        <w:tabs>
          <w:tab w:val="left" w:pos="1427"/>
        </w:tabs>
        <w:jc w:val="center"/>
        <w:rPr>
          <w:rFonts w:ascii="Arial" w:hAnsi="Arial" w:cs="Arial"/>
          <w:sz w:val="20"/>
        </w:rPr>
      </w:pPr>
      <w:r>
        <w:rPr>
          <w:rFonts w:ascii="Arial" w:hAnsi="Arial" w:cs="Arial"/>
          <w:b/>
          <w:sz w:val="20"/>
          <w:szCs w:val="24"/>
        </w:rPr>
        <w:lastRenderedPageBreak/>
        <w:t>Program 18</w:t>
      </w:r>
      <w:r w:rsidRPr="00E53EEC">
        <w:rPr>
          <w:rFonts w:ascii="Arial" w:hAnsi="Arial" w:cs="Arial"/>
          <w:b/>
          <w:sz w:val="20"/>
          <w:szCs w:val="24"/>
        </w:rPr>
        <w:t>:  Resources by Object of Expenditure</w:t>
      </w:r>
    </w:p>
    <w:p w14:paraId="2939282E" w14:textId="77777777" w:rsidR="000C537C" w:rsidRDefault="000C537C" w:rsidP="000C537C">
      <w:pPr>
        <w:tabs>
          <w:tab w:val="left" w:pos="1427"/>
        </w:tabs>
        <w:jc w:val="center"/>
        <w:rPr>
          <w:rFonts w:ascii="Arial" w:hAnsi="Arial" w:cs="Arial"/>
          <w:i/>
          <w:sz w:val="20"/>
          <w:szCs w:val="24"/>
        </w:rPr>
      </w:pPr>
      <w:r w:rsidRPr="00E53EEC">
        <w:rPr>
          <w:rFonts w:ascii="Arial" w:hAnsi="Arial" w:cs="Arial"/>
          <w:i/>
          <w:sz w:val="20"/>
          <w:szCs w:val="24"/>
        </w:rPr>
        <w:t>(In thousands of Swiss francs)</w:t>
      </w:r>
    </w:p>
    <w:p w14:paraId="10C72F40" w14:textId="77777777" w:rsidR="000C537C" w:rsidRDefault="000C537C" w:rsidP="000C537C">
      <w:pPr>
        <w:tabs>
          <w:tab w:val="left" w:pos="1427"/>
        </w:tabs>
        <w:jc w:val="center"/>
        <w:rPr>
          <w:rFonts w:ascii="Arial" w:hAnsi="Arial" w:cs="Arial"/>
          <w:i/>
          <w:sz w:val="20"/>
          <w:szCs w:val="24"/>
        </w:rPr>
      </w:pPr>
    </w:p>
    <w:p w14:paraId="446C691D" w14:textId="77777777" w:rsidR="000C537C" w:rsidRPr="000E77D3" w:rsidRDefault="000C537C" w:rsidP="008B4CD5">
      <w:pPr>
        <w:tabs>
          <w:tab w:val="left" w:pos="567"/>
          <w:tab w:val="left" w:pos="1985"/>
        </w:tabs>
        <w:jc w:val="center"/>
        <w:rPr>
          <w:rFonts w:ascii="Arial" w:hAnsi="Arial" w:cs="Arial"/>
          <w:bCs/>
          <w:sz w:val="20"/>
        </w:rPr>
      </w:pPr>
      <w:r w:rsidRPr="00143A2F">
        <w:rPr>
          <w:noProof/>
          <w:lang w:eastAsia="en-US"/>
        </w:rPr>
        <w:drawing>
          <wp:inline distT="0" distB="0" distL="0" distR="0" wp14:anchorId="200EEFFA" wp14:editId="66817B86">
            <wp:extent cx="5041199" cy="5672941"/>
            <wp:effectExtent l="0" t="0" r="762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045658" cy="5677959"/>
                    </a:xfrm>
                    <a:prstGeom prst="rect">
                      <a:avLst/>
                    </a:prstGeom>
                    <a:noFill/>
                    <a:ln>
                      <a:noFill/>
                    </a:ln>
                  </pic:spPr>
                </pic:pic>
              </a:graphicData>
            </a:graphic>
          </wp:inline>
        </w:drawing>
      </w:r>
    </w:p>
    <w:p w14:paraId="0E096697" w14:textId="77777777" w:rsidR="000C537C" w:rsidRPr="000E77D3" w:rsidRDefault="000C537C" w:rsidP="00984F70">
      <w:pPr>
        <w:tabs>
          <w:tab w:val="left" w:pos="567"/>
          <w:tab w:val="left" w:pos="1985"/>
        </w:tabs>
        <w:jc w:val="both"/>
        <w:rPr>
          <w:rFonts w:ascii="Arial" w:hAnsi="Arial" w:cs="Arial"/>
          <w:bCs/>
          <w:sz w:val="20"/>
        </w:rPr>
      </w:pPr>
    </w:p>
    <w:p w14:paraId="19B1554C" w14:textId="51E7EA8C" w:rsidR="000D7C57" w:rsidRDefault="000D7C57">
      <w:pPr>
        <w:rPr>
          <w:rFonts w:ascii="Arial" w:hAnsi="Arial" w:cs="Arial"/>
          <w:bCs/>
          <w:sz w:val="20"/>
        </w:rPr>
      </w:pPr>
      <w:r>
        <w:rPr>
          <w:rFonts w:ascii="Arial" w:hAnsi="Arial" w:cs="Arial"/>
          <w:bCs/>
          <w:sz w:val="20"/>
        </w:rPr>
        <w:br w:type="page"/>
      </w:r>
    </w:p>
    <w:p w14:paraId="0A49C6D1" w14:textId="0D634944" w:rsidR="00A52130" w:rsidRPr="00B30215" w:rsidRDefault="00A52130" w:rsidP="003D65C6">
      <w:pPr>
        <w:pStyle w:val="StyleHeading3ComplexItalic"/>
        <w:tabs>
          <w:tab w:val="clear" w:pos="1985"/>
          <w:tab w:val="left" w:pos="3119"/>
        </w:tabs>
        <w:ind w:left="3119" w:hanging="3119"/>
        <w:rPr>
          <w:rStyle w:val="StyleStyleHeading3ComplexItalicLatin12ptChar"/>
          <w:rFonts w:eastAsia="SimSun"/>
          <w:b/>
          <w:szCs w:val="24"/>
        </w:rPr>
      </w:pPr>
      <w:bookmarkStart w:id="63" w:name="_Toc367350598"/>
      <w:bookmarkStart w:id="64" w:name="_Toc427154421"/>
      <w:r w:rsidRPr="00B30215">
        <w:rPr>
          <w:rStyle w:val="StyleStyleHeading3ComplexItalicLatin12ptChar"/>
          <w:rFonts w:eastAsia="SimSun"/>
          <w:b/>
          <w:szCs w:val="24"/>
        </w:rPr>
        <w:lastRenderedPageBreak/>
        <w:t xml:space="preserve">STRATEGIC GOAL </w:t>
      </w:r>
      <w:r w:rsidR="003D65C6" w:rsidRPr="00B30215">
        <w:rPr>
          <w:rStyle w:val="StyleStyleHeading3ComplexItalicLatin12ptChar"/>
          <w:rFonts w:eastAsia="SimSun"/>
          <w:b/>
          <w:szCs w:val="24"/>
        </w:rPr>
        <w:t>VIII</w:t>
      </w:r>
      <w:r w:rsidR="003D65C6" w:rsidRPr="00B30215">
        <w:rPr>
          <w:rStyle w:val="StyleStyleHeading3ComplexItalicLatin12ptChar"/>
          <w:rFonts w:eastAsia="SimSun"/>
          <w:b/>
          <w:szCs w:val="24"/>
        </w:rPr>
        <w:tab/>
        <w:t>A RESPONSIVE COMMUNICATIONS INTERFACE BETWEEN WIPO, ITS</w:t>
      </w:r>
      <w:r w:rsidR="003D65C6" w:rsidRPr="00B30215">
        <w:rPr>
          <w:rStyle w:val="StyleStyleHeading3ComplexItalicLatin12ptChar"/>
          <w:rFonts w:eastAsia="SimSun"/>
          <w:szCs w:val="24"/>
        </w:rPr>
        <w:t xml:space="preserve"> </w:t>
      </w:r>
      <w:r w:rsidR="003D65C6" w:rsidRPr="00B30215">
        <w:rPr>
          <w:rStyle w:val="StyleStyleHeading3ComplexItalicLatin12ptChar"/>
          <w:rFonts w:eastAsia="SimSun"/>
          <w:b/>
          <w:szCs w:val="24"/>
        </w:rPr>
        <w:t>MEMBERS AND ALL STAKEHOLDERS</w:t>
      </w:r>
      <w:bookmarkEnd w:id="63"/>
      <w:bookmarkEnd w:id="64"/>
      <w:r w:rsidR="003D65C6" w:rsidRPr="00B30215">
        <w:rPr>
          <w:rStyle w:val="StyleStyleHeading3ComplexItalicLatin12ptChar"/>
          <w:rFonts w:eastAsia="SimSun"/>
          <w:b/>
          <w:szCs w:val="24"/>
        </w:rPr>
        <w:t xml:space="preserve"> </w:t>
      </w:r>
    </w:p>
    <w:p w14:paraId="4B5D0802" w14:textId="77777777" w:rsidR="00A52130" w:rsidRPr="00A522FE" w:rsidRDefault="00A52130" w:rsidP="00A52130">
      <w:pPr>
        <w:tabs>
          <w:tab w:val="left" w:pos="1701"/>
        </w:tabs>
        <w:ind w:left="1701" w:hanging="1701"/>
        <w:jc w:val="center"/>
        <w:rPr>
          <w:rFonts w:ascii="Arial" w:hAnsi="Arial" w:cs="Arial"/>
          <w:b/>
          <w:bCs/>
          <w:caps/>
          <w:szCs w:val="24"/>
        </w:rPr>
      </w:pPr>
    </w:p>
    <w:p w14:paraId="4B090486" w14:textId="77777777" w:rsidR="00A52130" w:rsidRPr="00A522FE" w:rsidRDefault="00A52130" w:rsidP="00A52130">
      <w:pPr>
        <w:tabs>
          <w:tab w:val="left" w:pos="1701"/>
        </w:tabs>
        <w:ind w:left="1701" w:hanging="1701"/>
        <w:jc w:val="center"/>
        <w:rPr>
          <w:rFonts w:ascii="Arial" w:hAnsi="Arial" w:cs="Arial"/>
          <w:b/>
          <w:bCs/>
          <w:caps/>
          <w:szCs w:val="24"/>
        </w:rPr>
      </w:pPr>
    </w:p>
    <w:p w14:paraId="33FF73AE" w14:textId="77777777" w:rsidR="00A52130" w:rsidRPr="00F3719C" w:rsidRDefault="00A52130" w:rsidP="00A52130">
      <w:pPr>
        <w:autoSpaceDE w:val="0"/>
        <w:autoSpaceDN w:val="0"/>
        <w:adjustRightInd w:val="0"/>
        <w:spacing w:before="120"/>
        <w:jc w:val="both"/>
        <w:rPr>
          <w:rFonts w:ascii="Arial" w:hAnsi="Arial" w:cs="Arial"/>
          <w:sz w:val="20"/>
        </w:rPr>
      </w:pPr>
      <w:r w:rsidRPr="00F3719C">
        <w:rPr>
          <w:rFonts w:ascii="Arial" w:hAnsi="Arial" w:cs="Arial"/>
          <w:sz w:val="20"/>
        </w:rPr>
        <w:t>This Strategic Goal signals the high priority which the WIPO Secretariat attaches to effective communication as an essential enabler of success in every aspect of its work, and to service as a core, corporate value.  WIPO provides diverse services to a wide range of stakeholders – first and foremost, as a United Nations Specialized Agency, to its Member States.  Such services include support to the Committees in their normative activities, capacity building services to developing countries, information and technical services, as well as the global IP registration, filing and dispute resolution services.</w:t>
      </w:r>
    </w:p>
    <w:p w14:paraId="6A059C5F" w14:textId="77777777" w:rsidR="00A52130" w:rsidRDefault="00A52130" w:rsidP="00A52130">
      <w:pPr>
        <w:tabs>
          <w:tab w:val="left" w:pos="1701"/>
        </w:tabs>
        <w:ind w:left="1701" w:hanging="1701"/>
        <w:jc w:val="center"/>
        <w:rPr>
          <w:rFonts w:ascii="Arial" w:hAnsi="Arial" w:cs="Arial"/>
          <w:bCs/>
          <w:iCs/>
          <w:caps/>
          <w:sz w:val="20"/>
        </w:rPr>
      </w:pPr>
    </w:p>
    <w:p w14:paraId="4AD32571" w14:textId="339C50DC" w:rsidR="00984F70" w:rsidRDefault="00984F70">
      <w:pPr>
        <w:rPr>
          <w:rFonts w:ascii="Arial" w:hAnsi="Arial" w:cs="Arial"/>
          <w:bCs/>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292B80" w:rsidRPr="00AF5E7C" w14:paraId="32BD4184" w14:textId="77777777" w:rsidTr="007644FB">
        <w:trPr>
          <w:cantSplit/>
          <w:trHeight w:val="383"/>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14:paraId="0C3201A0" w14:textId="77777777" w:rsidR="00292B80" w:rsidRPr="00396294" w:rsidRDefault="00292B80" w:rsidP="005A1F7F">
            <w:pPr>
              <w:spacing w:after="120"/>
              <w:jc w:val="center"/>
              <w:rPr>
                <w:rFonts w:ascii="Arial" w:hAnsi="Arial" w:cs="Arial"/>
                <w:b/>
                <w:bCs/>
                <w:sz w:val="18"/>
                <w:szCs w:val="18"/>
              </w:rPr>
            </w:pPr>
            <w:r w:rsidRPr="00396294">
              <w:rPr>
                <w:rFonts w:ascii="Arial" w:hAnsi="Arial" w:cs="Arial"/>
                <w:b/>
                <w:bCs/>
                <w:sz w:val="18"/>
                <w:szCs w:val="18"/>
              </w:rPr>
              <w:t>Expected Results</w:t>
            </w:r>
          </w:p>
        </w:tc>
        <w:tc>
          <w:tcPr>
            <w:tcW w:w="1524" w:type="pct"/>
            <w:tcBorders>
              <w:top w:val="single" w:sz="4" w:space="0" w:color="auto"/>
              <w:bottom w:val="single" w:sz="4" w:space="0" w:color="auto"/>
            </w:tcBorders>
            <w:shd w:val="clear" w:color="auto" w:fill="C6D9F1" w:themeFill="text2" w:themeFillTint="33"/>
            <w:tcMar>
              <w:top w:w="85" w:type="dxa"/>
              <w:bottom w:w="85" w:type="dxa"/>
            </w:tcMar>
            <w:vAlign w:val="center"/>
          </w:tcPr>
          <w:p w14:paraId="75751CA8" w14:textId="77777777" w:rsidR="00292B80" w:rsidRPr="00396294" w:rsidRDefault="00292B80" w:rsidP="005A1F7F">
            <w:pPr>
              <w:spacing w:after="120"/>
              <w:jc w:val="center"/>
              <w:rPr>
                <w:rFonts w:ascii="Arial" w:hAnsi="Arial" w:cs="Arial"/>
                <w:b/>
                <w:sz w:val="18"/>
                <w:szCs w:val="18"/>
              </w:rPr>
            </w:pPr>
            <w:r w:rsidRPr="00396294">
              <w:rPr>
                <w:rFonts w:ascii="Arial" w:hAnsi="Arial" w:cs="Arial"/>
                <w:b/>
                <w:sz w:val="18"/>
                <w:szCs w:val="18"/>
              </w:rPr>
              <w:t>Performance Indicators</w:t>
            </w:r>
          </w:p>
        </w:tc>
        <w:tc>
          <w:tcPr>
            <w:tcW w:w="1585" w:type="pct"/>
            <w:tcBorders>
              <w:top w:val="single" w:sz="4" w:space="0" w:color="auto"/>
              <w:bottom w:val="single" w:sz="4" w:space="0" w:color="auto"/>
            </w:tcBorders>
            <w:shd w:val="clear" w:color="auto" w:fill="C6D9F1" w:themeFill="text2" w:themeFillTint="33"/>
            <w:tcMar>
              <w:top w:w="85" w:type="dxa"/>
              <w:bottom w:w="85" w:type="dxa"/>
            </w:tcMar>
            <w:vAlign w:val="center"/>
          </w:tcPr>
          <w:p w14:paraId="28D94874" w14:textId="77777777" w:rsidR="00292B80" w:rsidRPr="00396294" w:rsidRDefault="00292B80" w:rsidP="005A1F7F">
            <w:pPr>
              <w:spacing w:after="120"/>
              <w:ind w:left="85"/>
              <w:jc w:val="center"/>
              <w:rPr>
                <w:rFonts w:ascii="Arial" w:hAnsi="Arial" w:cs="Arial"/>
                <w:sz w:val="18"/>
                <w:szCs w:val="18"/>
              </w:rPr>
            </w:pPr>
            <w:r w:rsidRPr="00396294">
              <w:rPr>
                <w:rFonts w:ascii="Arial" w:hAnsi="Arial" w:cs="Arial"/>
                <w:b/>
                <w:bCs/>
                <w:sz w:val="18"/>
                <w:szCs w:val="18"/>
              </w:rPr>
              <w:t>Responsible Program(s)</w:t>
            </w:r>
          </w:p>
        </w:tc>
      </w:tr>
      <w:tr w:rsidR="00292B80" w:rsidRPr="00AF5E7C" w14:paraId="03F79F6B" w14:textId="77777777" w:rsidTr="007644FB">
        <w:trPr>
          <w:cantSplit/>
          <w:trHeight w:val="593"/>
        </w:trPr>
        <w:tc>
          <w:tcPr>
            <w:tcW w:w="1891" w:type="pct"/>
            <w:tcBorders>
              <w:top w:val="single" w:sz="4" w:space="0" w:color="auto"/>
              <w:left w:val="single" w:sz="4" w:space="0" w:color="auto"/>
              <w:bottom w:val="nil"/>
            </w:tcBorders>
            <w:shd w:val="clear" w:color="auto" w:fill="auto"/>
            <w:tcMar>
              <w:top w:w="85" w:type="dxa"/>
              <w:bottom w:w="85" w:type="dxa"/>
            </w:tcMar>
          </w:tcPr>
          <w:p w14:paraId="21872159" w14:textId="77777777" w:rsidR="00292B80" w:rsidRPr="00D2533A" w:rsidRDefault="00292B80" w:rsidP="005A1F7F">
            <w:pPr>
              <w:rPr>
                <w:rFonts w:ascii="Arial" w:hAnsi="Arial" w:cs="Arial"/>
                <w:sz w:val="16"/>
                <w:szCs w:val="16"/>
              </w:rPr>
            </w:pPr>
            <w:r w:rsidRPr="00D2533A">
              <w:rPr>
                <w:rFonts w:ascii="Arial" w:hAnsi="Arial" w:cs="Arial"/>
                <w:sz w:val="16"/>
                <w:szCs w:val="16"/>
              </w:rPr>
              <w:t>VIII.1</w:t>
            </w:r>
            <w:r>
              <w:rPr>
                <w:rFonts w:ascii="Arial" w:hAnsi="Arial" w:cs="Arial"/>
                <w:sz w:val="16"/>
                <w:szCs w:val="16"/>
              </w:rPr>
              <w:t xml:space="preserve">  </w:t>
            </w:r>
            <w:r w:rsidRPr="00D2533A">
              <w:rPr>
                <w:rFonts w:ascii="Arial" w:hAnsi="Arial" w:cs="Arial"/>
                <w:sz w:val="16"/>
                <w:szCs w:val="16"/>
              </w:rPr>
              <w:t>More effective communication to a broad public about intellectual property and WIPO’s role</w:t>
            </w:r>
          </w:p>
        </w:tc>
        <w:tc>
          <w:tcPr>
            <w:tcW w:w="1524" w:type="pct"/>
            <w:tcBorders>
              <w:top w:val="single" w:sz="4" w:space="0" w:color="auto"/>
              <w:bottom w:val="nil"/>
            </w:tcBorders>
            <w:shd w:val="clear" w:color="auto" w:fill="auto"/>
            <w:tcMar>
              <w:top w:w="85" w:type="dxa"/>
              <w:bottom w:w="85" w:type="dxa"/>
            </w:tcMar>
          </w:tcPr>
          <w:p w14:paraId="5817163E" w14:textId="77777777" w:rsidR="00292B80" w:rsidRPr="00633368" w:rsidRDefault="00292B80" w:rsidP="005A1F7F">
            <w:pPr>
              <w:rPr>
                <w:rFonts w:ascii="Arial" w:hAnsi="Arial" w:cs="Arial"/>
                <w:sz w:val="16"/>
                <w:szCs w:val="16"/>
              </w:rPr>
            </w:pPr>
            <w:r w:rsidRPr="00633368">
              <w:rPr>
                <w:rFonts w:ascii="Arial" w:hAnsi="Arial" w:cs="Arial"/>
                <w:color w:val="000000"/>
                <w:sz w:val="16"/>
                <w:szCs w:val="16"/>
              </w:rPr>
              <w:t>No. of Member States participating in the WIPO Awards Program</w:t>
            </w:r>
          </w:p>
        </w:tc>
        <w:tc>
          <w:tcPr>
            <w:tcW w:w="1585" w:type="pct"/>
            <w:tcBorders>
              <w:top w:val="single" w:sz="4" w:space="0" w:color="auto"/>
              <w:bottom w:val="nil"/>
              <w:right w:val="single" w:sz="4" w:space="0" w:color="auto"/>
            </w:tcBorders>
            <w:shd w:val="clear" w:color="auto" w:fill="FFFFFF"/>
            <w:tcMar>
              <w:top w:w="85" w:type="dxa"/>
              <w:bottom w:w="85" w:type="dxa"/>
            </w:tcMar>
          </w:tcPr>
          <w:p w14:paraId="08BD2A3C" w14:textId="77777777" w:rsidR="00292B80" w:rsidRDefault="00292B80" w:rsidP="005A1F7F">
            <w:pPr>
              <w:ind w:left="768"/>
              <w:rPr>
                <w:rFonts w:ascii="Arial" w:hAnsi="Arial" w:cs="Arial"/>
                <w:sz w:val="16"/>
                <w:szCs w:val="16"/>
                <w:lang w:bidi="th-TH"/>
              </w:rPr>
            </w:pPr>
            <w:r>
              <w:rPr>
                <w:rFonts w:ascii="Arial" w:hAnsi="Arial" w:cs="Arial"/>
                <w:sz w:val="16"/>
                <w:szCs w:val="16"/>
                <w:lang w:bidi="th-TH"/>
              </w:rPr>
              <w:t>Program 17</w:t>
            </w:r>
          </w:p>
          <w:p w14:paraId="5C09EDE0" w14:textId="77777777" w:rsidR="00292B80" w:rsidRPr="00AF5E7C" w:rsidRDefault="00292B80" w:rsidP="005A1F7F">
            <w:pPr>
              <w:ind w:left="768"/>
              <w:rPr>
                <w:rFonts w:ascii="Arial" w:hAnsi="Arial" w:cs="Arial"/>
                <w:sz w:val="16"/>
                <w:szCs w:val="16"/>
              </w:rPr>
            </w:pPr>
          </w:p>
        </w:tc>
      </w:tr>
      <w:tr w:rsidR="00292B80" w:rsidRPr="00AF5E7C" w14:paraId="4BFC9EF6" w14:textId="77777777" w:rsidTr="007644FB">
        <w:trPr>
          <w:cantSplit/>
          <w:trHeight w:val="501"/>
        </w:trPr>
        <w:tc>
          <w:tcPr>
            <w:tcW w:w="1891" w:type="pct"/>
            <w:tcBorders>
              <w:top w:val="nil"/>
              <w:bottom w:val="nil"/>
            </w:tcBorders>
            <w:shd w:val="clear" w:color="auto" w:fill="auto"/>
            <w:tcMar>
              <w:top w:w="85" w:type="dxa"/>
              <w:bottom w:w="85" w:type="dxa"/>
            </w:tcMar>
          </w:tcPr>
          <w:p w14:paraId="4DAB74B5" w14:textId="77777777" w:rsidR="00292B80" w:rsidRPr="00D2533A"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45A91D5E" w14:textId="77777777" w:rsidR="00292B80" w:rsidRDefault="00292B80" w:rsidP="005A1F7F">
            <w:pPr>
              <w:rPr>
                <w:rFonts w:ascii="Arial" w:hAnsi="Arial" w:cs="Arial"/>
                <w:color w:val="000000"/>
                <w:sz w:val="16"/>
                <w:szCs w:val="16"/>
              </w:rPr>
            </w:pPr>
            <w:r>
              <w:rPr>
                <w:rFonts w:ascii="Arial" w:hAnsi="Arial" w:cs="Arial"/>
                <w:color w:val="000000"/>
                <w:sz w:val="16"/>
                <w:szCs w:val="16"/>
              </w:rPr>
              <w:t>S</w:t>
            </w:r>
            <w:r w:rsidRPr="0080719C">
              <w:rPr>
                <w:rFonts w:ascii="Arial" w:hAnsi="Arial" w:cs="Arial"/>
                <w:color w:val="000000"/>
                <w:sz w:val="16"/>
                <w:szCs w:val="16"/>
              </w:rPr>
              <w:t>takeholders with a positive perception of WIPO's reputation; and increased brand recognition of WIPO.</w:t>
            </w:r>
          </w:p>
        </w:tc>
        <w:tc>
          <w:tcPr>
            <w:tcW w:w="1585" w:type="pct"/>
            <w:tcBorders>
              <w:top w:val="nil"/>
              <w:bottom w:val="nil"/>
            </w:tcBorders>
            <w:shd w:val="clear" w:color="auto" w:fill="FFFFFF"/>
            <w:tcMar>
              <w:top w:w="85" w:type="dxa"/>
              <w:bottom w:w="85" w:type="dxa"/>
            </w:tcMar>
          </w:tcPr>
          <w:p w14:paraId="03D88248" w14:textId="77777777" w:rsidR="00292B80" w:rsidRDefault="00292B80" w:rsidP="005A1F7F">
            <w:pPr>
              <w:ind w:left="768"/>
              <w:rPr>
                <w:rFonts w:ascii="Arial" w:hAnsi="Arial" w:cs="Arial"/>
                <w:sz w:val="16"/>
                <w:szCs w:val="16"/>
                <w:lang w:bidi="th-TH"/>
              </w:rPr>
            </w:pPr>
            <w:r>
              <w:rPr>
                <w:rFonts w:ascii="Arial" w:hAnsi="Arial" w:cs="Arial"/>
                <w:sz w:val="16"/>
                <w:szCs w:val="16"/>
                <w:lang w:bidi="th-TH"/>
              </w:rPr>
              <w:t>Program 19</w:t>
            </w:r>
          </w:p>
          <w:p w14:paraId="240AC38C" w14:textId="77777777" w:rsidR="00292B80" w:rsidRDefault="00292B80" w:rsidP="005A1F7F">
            <w:pPr>
              <w:ind w:left="768"/>
              <w:rPr>
                <w:rFonts w:ascii="Arial" w:hAnsi="Arial" w:cs="Arial"/>
                <w:sz w:val="16"/>
                <w:szCs w:val="16"/>
                <w:lang w:bidi="th-TH"/>
              </w:rPr>
            </w:pPr>
          </w:p>
        </w:tc>
      </w:tr>
      <w:tr w:rsidR="00292B80" w:rsidRPr="00AF5E7C" w14:paraId="571FEFB3" w14:textId="77777777" w:rsidTr="007644FB">
        <w:trPr>
          <w:cantSplit/>
        </w:trPr>
        <w:tc>
          <w:tcPr>
            <w:tcW w:w="1891" w:type="pct"/>
            <w:tcBorders>
              <w:top w:val="nil"/>
              <w:bottom w:val="nil"/>
            </w:tcBorders>
            <w:shd w:val="clear" w:color="auto" w:fill="auto"/>
            <w:tcMar>
              <w:top w:w="85" w:type="dxa"/>
              <w:bottom w:w="85" w:type="dxa"/>
            </w:tcMar>
          </w:tcPr>
          <w:p w14:paraId="356B19B0"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68C53200" w14:textId="77777777" w:rsidR="00292B80" w:rsidRPr="00D2533A" w:rsidRDefault="00292B80" w:rsidP="005A1F7F">
            <w:pPr>
              <w:rPr>
                <w:rFonts w:ascii="Arial" w:hAnsi="Arial" w:cs="Arial"/>
                <w:sz w:val="16"/>
                <w:szCs w:val="16"/>
              </w:rPr>
            </w:pPr>
            <w:r>
              <w:rPr>
                <w:rFonts w:ascii="Arial" w:hAnsi="Arial" w:cs="Arial"/>
                <w:color w:val="000000"/>
                <w:sz w:val="16"/>
                <w:szCs w:val="16"/>
              </w:rPr>
              <w:t>No. of people who view content about major WIPO events, achievements, activities</w:t>
            </w:r>
          </w:p>
        </w:tc>
        <w:tc>
          <w:tcPr>
            <w:tcW w:w="1585" w:type="pct"/>
            <w:tcBorders>
              <w:top w:val="nil"/>
              <w:bottom w:val="nil"/>
            </w:tcBorders>
            <w:shd w:val="clear" w:color="auto" w:fill="FFFFFF"/>
            <w:tcMar>
              <w:top w:w="85" w:type="dxa"/>
              <w:bottom w:w="85" w:type="dxa"/>
            </w:tcMar>
          </w:tcPr>
          <w:p w14:paraId="701C2BA0"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 xml:space="preserve">Program 19 </w:t>
            </w:r>
          </w:p>
          <w:p w14:paraId="03C27C1C" w14:textId="77777777" w:rsidR="00292B80" w:rsidRPr="00AF5E7C" w:rsidRDefault="00292B80" w:rsidP="005A1F7F">
            <w:pPr>
              <w:ind w:left="768"/>
              <w:rPr>
                <w:rFonts w:ascii="Arial" w:hAnsi="Arial" w:cs="Arial"/>
                <w:sz w:val="16"/>
                <w:szCs w:val="16"/>
              </w:rPr>
            </w:pPr>
          </w:p>
        </w:tc>
      </w:tr>
      <w:tr w:rsidR="00292B80" w:rsidRPr="00AF5E7C" w14:paraId="070F6180" w14:textId="77777777" w:rsidTr="007644FB">
        <w:trPr>
          <w:cantSplit/>
          <w:trHeight w:val="472"/>
        </w:trPr>
        <w:tc>
          <w:tcPr>
            <w:tcW w:w="1891" w:type="pct"/>
            <w:tcBorders>
              <w:top w:val="nil"/>
              <w:bottom w:val="nil"/>
            </w:tcBorders>
            <w:shd w:val="clear" w:color="auto" w:fill="auto"/>
            <w:tcMar>
              <w:top w:w="85" w:type="dxa"/>
              <w:bottom w:w="85" w:type="dxa"/>
            </w:tcMar>
          </w:tcPr>
          <w:p w14:paraId="7F3B8256"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2904150E" w14:textId="77777777" w:rsidR="00292B80" w:rsidRPr="00D2533A" w:rsidRDefault="00292B80" w:rsidP="005A1F7F">
            <w:pPr>
              <w:rPr>
                <w:rFonts w:ascii="Arial" w:hAnsi="Arial" w:cs="Arial"/>
                <w:sz w:val="16"/>
                <w:szCs w:val="16"/>
              </w:rPr>
            </w:pPr>
            <w:r w:rsidRPr="0080719C">
              <w:rPr>
                <w:rFonts w:ascii="Arial" w:hAnsi="Arial" w:cs="Arial"/>
                <w:color w:val="000000"/>
                <w:sz w:val="16"/>
                <w:szCs w:val="16"/>
              </w:rPr>
              <w:t>Global participation in World IP Day campaign</w:t>
            </w:r>
          </w:p>
        </w:tc>
        <w:tc>
          <w:tcPr>
            <w:tcW w:w="1585" w:type="pct"/>
            <w:tcBorders>
              <w:top w:val="nil"/>
              <w:bottom w:val="nil"/>
            </w:tcBorders>
            <w:shd w:val="clear" w:color="auto" w:fill="FFFFFF"/>
            <w:tcMar>
              <w:top w:w="85" w:type="dxa"/>
              <w:bottom w:w="85" w:type="dxa"/>
            </w:tcMar>
          </w:tcPr>
          <w:p w14:paraId="1CA87EA6" w14:textId="77777777" w:rsidR="00292B80" w:rsidRPr="00AF5E7C" w:rsidRDefault="00292B80" w:rsidP="005A1F7F">
            <w:pPr>
              <w:ind w:left="768"/>
              <w:rPr>
                <w:rFonts w:ascii="Arial" w:hAnsi="Arial" w:cs="Arial"/>
                <w:sz w:val="16"/>
                <w:szCs w:val="16"/>
              </w:rPr>
            </w:pPr>
            <w:r>
              <w:rPr>
                <w:rFonts w:ascii="Arial" w:hAnsi="Arial" w:cs="Arial"/>
                <w:sz w:val="16"/>
                <w:szCs w:val="16"/>
                <w:lang w:bidi="th-TH"/>
              </w:rPr>
              <w:t>Program 19</w:t>
            </w:r>
          </w:p>
        </w:tc>
      </w:tr>
      <w:tr w:rsidR="00292B80" w:rsidRPr="00AF5E7C" w14:paraId="18B2BA10" w14:textId="77777777" w:rsidTr="007644FB">
        <w:trPr>
          <w:cantSplit/>
          <w:trHeight w:val="429"/>
        </w:trPr>
        <w:tc>
          <w:tcPr>
            <w:tcW w:w="1891" w:type="pct"/>
            <w:tcBorders>
              <w:top w:val="nil"/>
              <w:bottom w:val="nil"/>
            </w:tcBorders>
            <w:shd w:val="clear" w:color="auto" w:fill="auto"/>
            <w:tcMar>
              <w:top w:w="85" w:type="dxa"/>
              <w:bottom w:w="85" w:type="dxa"/>
            </w:tcMar>
          </w:tcPr>
          <w:p w14:paraId="741C3201"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78B74DA4" w14:textId="77777777" w:rsidR="00292B80" w:rsidRPr="00D2533A" w:rsidRDefault="00292B80" w:rsidP="005A1F7F">
            <w:pPr>
              <w:rPr>
                <w:rFonts w:ascii="Arial" w:hAnsi="Arial" w:cs="Arial"/>
                <w:sz w:val="16"/>
                <w:szCs w:val="16"/>
              </w:rPr>
            </w:pPr>
            <w:r>
              <w:rPr>
                <w:rFonts w:ascii="Arial" w:hAnsi="Arial" w:cs="Arial"/>
                <w:color w:val="000000"/>
                <w:sz w:val="16"/>
                <w:szCs w:val="16"/>
              </w:rPr>
              <w:t>O</w:t>
            </w:r>
            <w:r w:rsidRPr="0080719C">
              <w:rPr>
                <w:rFonts w:ascii="Arial" w:hAnsi="Arial" w:cs="Arial"/>
                <w:color w:val="000000"/>
                <w:sz w:val="16"/>
                <w:szCs w:val="16"/>
              </w:rPr>
              <w:t>nline traffic to the WIPO Publications site and WIPO Magazine site</w:t>
            </w:r>
          </w:p>
        </w:tc>
        <w:tc>
          <w:tcPr>
            <w:tcW w:w="1585" w:type="pct"/>
            <w:tcBorders>
              <w:top w:val="nil"/>
              <w:bottom w:val="nil"/>
            </w:tcBorders>
            <w:shd w:val="clear" w:color="auto" w:fill="FFFFFF"/>
            <w:tcMar>
              <w:top w:w="85" w:type="dxa"/>
              <w:bottom w:w="85" w:type="dxa"/>
            </w:tcMar>
          </w:tcPr>
          <w:p w14:paraId="2B2A8165" w14:textId="77777777" w:rsidR="00292B80" w:rsidRPr="00AF5E7C" w:rsidRDefault="00292B80" w:rsidP="005A1F7F">
            <w:pPr>
              <w:ind w:left="768"/>
              <w:rPr>
                <w:rFonts w:ascii="Arial" w:hAnsi="Arial" w:cs="Arial"/>
                <w:sz w:val="16"/>
                <w:szCs w:val="16"/>
              </w:rPr>
            </w:pPr>
            <w:r>
              <w:rPr>
                <w:rFonts w:ascii="Arial" w:hAnsi="Arial" w:cs="Arial"/>
                <w:sz w:val="16"/>
                <w:szCs w:val="16"/>
                <w:lang w:bidi="th-TH"/>
              </w:rPr>
              <w:t>Program 19</w:t>
            </w:r>
          </w:p>
        </w:tc>
      </w:tr>
      <w:tr w:rsidR="00292B80" w:rsidRPr="00AF5E7C" w14:paraId="14FC47C1" w14:textId="77777777" w:rsidTr="007644FB">
        <w:trPr>
          <w:cantSplit/>
          <w:trHeight w:val="353"/>
        </w:trPr>
        <w:tc>
          <w:tcPr>
            <w:tcW w:w="1891" w:type="pct"/>
            <w:tcBorders>
              <w:top w:val="nil"/>
              <w:bottom w:val="nil"/>
            </w:tcBorders>
            <w:shd w:val="clear" w:color="auto" w:fill="auto"/>
            <w:tcMar>
              <w:top w:w="85" w:type="dxa"/>
              <w:bottom w:w="85" w:type="dxa"/>
            </w:tcMar>
          </w:tcPr>
          <w:p w14:paraId="1B98BE66"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4DCD0693" w14:textId="77777777" w:rsidR="00292B80" w:rsidRPr="00512DF2" w:rsidRDefault="00292B80" w:rsidP="005A1F7F">
            <w:pPr>
              <w:rPr>
                <w:rFonts w:ascii="Arial" w:hAnsi="Arial" w:cs="Arial"/>
                <w:sz w:val="16"/>
                <w:szCs w:val="16"/>
              </w:rPr>
            </w:pPr>
            <w:r>
              <w:rPr>
                <w:rFonts w:ascii="Arial" w:hAnsi="Arial" w:cs="Arial"/>
                <w:color w:val="000000"/>
                <w:sz w:val="16"/>
                <w:szCs w:val="16"/>
              </w:rPr>
              <w:t>V</w:t>
            </w:r>
            <w:r w:rsidRPr="0080719C">
              <w:rPr>
                <w:rFonts w:ascii="Arial" w:hAnsi="Arial" w:cs="Arial"/>
                <w:color w:val="000000"/>
                <w:sz w:val="16"/>
                <w:szCs w:val="16"/>
              </w:rPr>
              <w:t>iews of WIPO press, video and photographic content</w:t>
            </w:r>
          </w:p>
        </w:tc>
        <w:tc>
          <w:tcPr>
            <w:tcW w:w="1585" w:type="pct"/>
            <w:tcBorders>
              <w:top w:val="nil"/>
              <w:bottom w:val="nil"/>
            </w:tcBorders>
            <w:shd w:val="clear" w:color="auto" w:fill="FFFFFF"/>
            <w:tcMar>
              <w:top w:w="85" w:type="dxa"/>
              <w:bottom w:w="85" w:type="dxa"/>
            </w:tcMar>
          </w:tcPr>
          <w:p w14:paraId="4D822618"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19</w:t>
            </w:r>
          </w:p>
        </w:tc>
      </w:tr>
      <w:tr w:rsidR="00292B80" w:rsidRPr="00AF5E7C" w14:paraId="7DEF4FDD" w14:textId="77777777" w:rsidTr="007644FB">
        <w:trPr>
          <w:cantSplit/>
          <w:trHeight w:val="330"/>
        </w:trPr>
        <w:tc>
          <w:tcPr>
            <w:tcW w:w="1891" w:type="pct"/>
            <w:tcBorders>
              <w:top w:val="nil"/>
              <w:bottom w:val="nil"/>
            </w:tcBorders>
            <w:shd w:val="clear" w:color="auto" w:fill="auto"/>
            <w:tcMar>
              <w:top w:w="85" w:type="dxa"/>
              <w:bottom w:w="85" w:type="dxa"/>
            </w:tcMar>
          </w:tcPr>
          <w:p w14:paraId="2D597335"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5BA585A7" w14:textId="60FCC08C" w:rsidR="00292B80" w:rsidRPr="00512DF2" w:rsidRDefault="00292B80" w:rsidP="005A1F7F">
            <w:pPr>
              <w:rPr>
                <w:rFonts w:ascii="Arial" w:hAnsi="Arial" w:cs="Arial"/>
                <w:sz w:val="16"/>
                <w:szCs w:val="16"/>
              </w:rPr>
            </w:pPr>
            <w:r w:rsidRPr="0080719C">
              <w:rPr>
                <w:rFonts w:ascii="Arial" w:hAnsi="Arial" w:cs="Arial"/>
                <w:color w:val="000000"/>
                <w:sz w:val="16"/>
                <w:szCs w:val="16"/>
              </w:rPr>
              <w:t>Fewer users who leave the WIPO website directly from the portal and key gateway pages.</w:t>
            </w:r>
          </w:p>
        </w:tc>
        <w:tc>
          <w:tcPr>
            <w:tcW w:w="1585" w:type="pct"/>
            <w:tcBorders>
              <w:top w:val="nil"/>
              <w:bottom w:val="nil"/>
            </w:tcBorders>
            <w:shd w:val="clear" w:color="auto" w:fill="FFFFFF"/>
            <w:tcMar>
              <w:top w:w="85" w:type="dxa"/>
              <w:bottom w:w="85" w:type="dxa"/>
            </w:tcMar>
          </w:tcPr>
          <w:p w14:paraId="780549DB"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19</w:t>
            </w:r>
          </w:p>
        </w:tc>
      </w:tr>
      <w:tr w:rsidR="00292B80" w:rsidRPr="00AF5E7C" w14:paraId="4E47ED0B" w14:textId="77777777" w:rsidTr="007644FB">
        <w:trPr>
          <w:cantSplit/>
          <w:trHeight w:val="336"/>
        </w:trPr>
        <w:tc>
          <w:tcPr>
            <w:tcW w:w="1891" w:type="pct"/>
            <w:tcBorders>
              <w:top w:val="nil"/>
              <w:bottom w:val="nil"/>
            </w:tcBorders>
            <w:shd w:val="clear" w:color="auto" w:fill="auto"/>
            <w:tcMar>
              <w:top w:w="85" w:type="dxa"/>
              <w:bottom w:w="85" w:type="dxa"/>
            </w:tcMar>
          </w:tcPr>
          <w:p w14:paraId="60D7D47C"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52FF74FC" w14:textId="77777777" w:rsidR="00292B80" w:rsidRPr="00512DF2" w:rsidRDefault="00292B80" w:rsidP="005A1F7F">
            <w:pPr>
              <w:rPr>
                <w:rFonts w:ascii="Arial" w:hAnsi="Arial" w:cs="Arial"/>
                <w:sz w:val="16"/>
                <w:szCs w:val="16"/>
              </w:rPr>
            </w:pPr>
            <w:r w:rsidRPr="0080719C">
              <w:rPr>
                <w:rFonts w:ascii="Arial" w:hAnsi="Arial" w:cs="Arial"/>
                <w:color w:val="000000"/>
                <w:sz w:val="16"/>
                <w:szCs w:val="16"/>
              </w:rPr>
              <w:t>WIPO influence and stakeholder engagement on social media</w:t>
            </w:r>
          </w:p>
        </w:tc>
        <w:tc>
          <w:tcPr>
            <w:tcW w:w="1585" w:type="pct"/>
            <w:tcBorders>
              <w:top w:val="nil"/>
              <w:bottom w:val="nil"/>
            </w:tcBorders>
            <w:shd w:val="clear" w:color="auto" w:fill="FFFFFF"/>
            <w:tcMar>
              <w:top w:w="85" w:type="dxa"/>
              <w:bottom w:w="85" w:type="dxa"/>
            </w:tcMar>
          </w:tcPr>
          <w:p w14:paraId="2D37BC84"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19</w:t>
            </w:r>
          </w:p>
        </w:tc>
      </w:tr>
      <w:tr w:rsidR="00292B80" w:rsidRPr="00AF5E7C" w14:paraId="5E51B4BD" w14:textId="77777777" w:rsidTr="007644FB">
        <w:trPr>
          <w:cantSplit/>
          <w:trHeight w:val="335"/>
        </w:trPr>
        <w:tc>
          <w:tcPr>
            <w:tcW w:w="1891" w:type="pct"/>
            <w:tcBorders>
              <w:top w:val="nil"/>
              <w:bottom w:val="nil"/>
            </w:tcBorders>
            <w:shd w:val="clear" w:color="auto" w:fill="auto"/>
            <w:tcMar>
              <w:top w:w="85" w:type="dxa"/>
              <w:bottom w:w="85" w:type="dxa"/>
            </w:tcMar>
          </w:tcPr>
          <w:p w14:paraId="385D97B6"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7991FD5A" w14:textId="77777777" w:rsidR="00292B80" w:rsidRPr="007F2A1B" w:rsidRDefault="00292B80" w:rsidP="005A1F7F">
            <w:pPr>
              <w:rPr>
                <w:rFonts w:ascii="Arial" w:hAnsi="Arial" w:cs="Arial"/>
                <w:sz w:val="16"/>
                <w:szCs w:val="16"/>
              </w:rPr>
            </w:pPr>
            <w:r w:rsidRPr="007F2A1B">
              <w:rPr>
                <w:rFonts w:ascii="Arial" w:hAnsi="Arial" w:cs="Arial"/>
                <w:sz w:val="16"/>
                <w:szCs w:val="16"/>
              </w:rPr>
              <w:t>Increased traffic to the website of WIPO External Offices</w:t>
            </w:r>
          </w:p>
        </w:tc>
        <w:tc>
          <w:tcPr>
            <w:tcW w:w="1585" w:type="pct"/>
            <w:tcBorders>
              <w:top w:val="nil"/>
              <w:bottom w:val="nil"/>
            </w:tcBorders>
            <w:shd w:val="clear" w:color="auto" w:fill="FFFFFF"/>
            <w:tcMar>
              <w:top w:w="85" w:type="dxa"/>
              <w:bottom w:w="85" w:type="dxa"/>
            </w:tcMar>
          </w:tcPr>
          <w:p w14:paraId="70B15689" w14:textId="77777777" w:rsidR="00292B80" w:rsidRPr="007F2A1B" w:rsidRDefault="00292B80" w:rsidP="005A1F7F">
            <w:pPr>
              <w:ind w:left="768"/>
              <w:rPr>
                <w:rFonts w:ascii="Arial" w:hAnsi="Arial" w:cs="Arial"/>
                <w:sz w:val="16"/>
                <w:szCs w:val="16"/>
                <w:lang w:bidi="th-TH"/>
              </w:rPr>
            </w:pPr>
            <w:r w:rsidRPr="007F2A1B">
              <w:rPr>
                <w:rFonts w:ascii="Arial" w:hAnsi="Arial" w:cs="Arial"/>
                <w:sz w:val="16"/>
                <w:szCs w:val="16"/>
                <w:lang w:bidi="th-TH"/>
              </w:rPr>
              <w:t>Program 20</w:t>
            </w:r>
          </w:p>
        </w:tc>
      </w:tr>
      <w:tr w:rsidR="00292B80" w:rsidRPr="00AF5E7C" w14:paraId="2A28EF52" w14:textId="77777777" w:rsidTr="007644FB">
        <w:trPr>
          <w:cantSplit/>
          <w:trHeight w:val="385"/>
        </w:trPr>
        <w:tc>
          <w:tcPr>
            <w:tcW w:w="1891" w:type="pct"/>
            <w:tcBorders>
              <w:top w:val="nil"/>
              <w:bottom w:val="nil"/>
            </w:tcBorders>
            <w:shd w:val="clear" w:color="auto" w:fill="auto"/>
            <w:tcMar>
              <w:top w:w="85" w:type="dxa"/>
              <w:bottom w:w="85" w:type="dxa"/>
            </w:tcMar>
          </w:tcPr>
          <w:p w14:paraId="7F8F90F2" w14:textId="77777777" w:rsidR="00292B80" w:rsidRPr="00512DF2" w:rsidRDefault="00292B80" w:rsidP="005A1F7F">
            <w:pPr>
              <w:rPr>
                <w:rFonts w:ascii="Arial" w:hAnsi="Arial" w:cs="Arial"/>
                <w:sz w:val="16"/>
                <w:szCs w:val="16"/>
              </w:rPr>
            </w:pPr>
            <w:r w:rsidRPr="00512DF2">
              <w:rPr>
                <w:rFonts w:ascii="Arial" w:hAnsi="Arial" w:cs="Arial"/>
                <w:sz w:val="16"/>
                <w:szCs w:val="16"/>
              </w:rPr>
              <w:t>VIII.2</w:t>
            </w:r>
            <w:r>
              <w:rPr>
                <w:rFonts w:ascii="Arial" w:hAnsi="Arial" w:cs="Arial"/>
                <w:sz w:val="16"/>
                <w:szCs w:val="16"/>
              </w:rPr>
              <w:t xml:space="preserve"> </w:t>
            </w:r>
            <w:r w:rsidRPr="00512DF2">
              <w:rPr>
                <w:rFonts w:ascii="Arial" w:hAnsi="Arial" w:cs="Arial"/>
                <w:sz w:val="16"/>
                <w:szCs w:val="16"/>
              </w:rPr>
              <w:t xml:space="preserve"> Improved service orientation and responsiveness to inquiries</w:t>
            </w:r>
          </w:p>
        </w:tc>
        <w:tc>
          <w:tcPr>
            <w:tcW w:w="1524" w:type="pct"/>
            <w:tcBorders>
              <w:top w:val="nil"/>
              <w:bottom w:val="nil"/>
            </w:tcBorders>
            <w:shd w:val="clear" w:color="auto" w:fill="auto"/>
            <w:tcMar>
              <w:top w:w="85" w:type="dxa"/>
              <w:bottom w:w="85" w:type="dxa"/>
            </w:tcMar>
          </w:tcPr>
          <w:p w14:paraId="41B88F65" w14:textId="77777777" w:rsidR="00292B80" w:rsidRPr="00512DF2" w:rsidRDefault="00292B80" w:rsidP="005A1F7F">
            <w:pPr>
              <w:rPr>
                <w:rFonts w:ascii="Arial" w:hAnsi="Arial" w:cs="Arial"/>
                <w:sz w:val="16"/>
                <w:szCs w:val="16"/>
              </w:rPr>
            </w:pPr>
            <w:r>
              <w:rPr>
                <w:rFonts w:ascii="Arial" w:hAnsi="Arial" w:cs="Arial"/>
                <w:color w:val="000000"/>
                <w:sz w:val="16"/>
                <w:szCs w:val="16"/>
              </w:rPr>
              <w:t>U</w:t>
            </w:r>
            <w:r w:rsidRPr="0080719C">
              <w:rPr>
                <w:rFonts w:ascii="Arial" w:hAnsi="Arial" w:cs="Arial"/>
                <w:color w:val="000000"/>
                <w:sz w:val="16"/>
                <w:szCs w:val="16"/>
              </w:rPr>
              <w:t>ser satisf</w:t>
            </w:r>
            <w:r>
              <w:rPr>
                <w:rFonts w:ascii="Arial" w:hAnsi="Arial" w:cs="Arial"/>
                <w:color w:val="000000"/>
                <w:sz w:val="16"/>
                <w:szCs w:val="16"/>
              </w:rPr>
              <w:t>action</w:t>
            </w:r>
            <w:r w:rsidRPr="0080719C">
              <w:rPr>
                <w:rFonts w:ascii="Arial" w:hAnsi="Arial" w:cs="Arial"/>
                <w:color w:val="000000"/>
                <w:sz w:val="16"/>
                <w:szCs w:val="16"/>
              </w:rPr>
              <w:t xml:space="preserve"> with Library services</w:t>
            </w:r>
          </w:p>
        </w:tc>
        <w:tc>
          <w:tcPr>
            <w:tcW w:w="1585" w:type="pct"/>
            <w:tcBorders>
              <w:top w:val="nil"/>
              <w:bottom w:val="nil"/>
            </w:tcBorders>
            <w:shd w:val="clear" w:color="auto" w:fill="FFFFFF"/>
            <w:tcMar>
              <w:top w:w="85" w:type="dxa"/>
              <w:bottom w:w="85" w:type="dxa"/>
            </w:tcMar>
          </w:tcPr>
          <w:p w14:paraId="6061FCB7"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19</w:t>
            </w:r>
          </w:p>
        </w:tc>
      </w:tr>
      <w:tr w:rsidR="00292B80" w:rsidRPr="00AF5E7C" w14:paraId="17EE07B7" w14:textId="77777777" w:rsidTr="007644FB">
        <w:trPr>
          <w:cantSplit/>
          <w:trHeight w:val="337"/>
        </w:trPr>
        <w:tc>
          <w:tcPr>
            <w:tcW w:w="1891" w:type="pct"/>
            <w:tcBorders>
              <w:top w:val="nil"/>
              <w:bottom w:val="nil"/>
            </w:tcBorders>
            <w:shd w:val="clear" w:color="auto" w:fill="auto"/>
            <w:tcMar>
              <w:top w:w="85" w:type="dxa"/>
              <w:bottom w:w="85" w:type="dxa"/>
            </w:tcMar>
          </w:tcPr>
          <w:p w14:paraId="7F71D369"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4CC84CF1" w14:textId="77777777" w:rsidR="00292B80" w:rsidRPr="00512DF2" w:rsidRDefault="00292B80" w:rsidP="005A1F7F">
            <w:pPr>
              <w:rPr>
                <w:rFonts w:ascii="Arial" w:hAnsi="Arial" w:cs="Arial"/>
                <w:sz w:val="16"/>
                <w:szCs w:val="16"/>
              </w:rPr>
            </w:pPr>
            <w:r w:rsidRPr="0080719C">
              <w:rPr>
                <w:rFonts w:ascii="Arial" w:hAnsi="Arial" w:cs="Arial"/>
                <w:color w:val="000000"/>
                <w:sz w:val="16"/>
                <w:szCs w:val="16"/>
              </w:rPr>
              <w:t>Customer/stakeholder satisfaction rate</w:t>
            </w:r>
          </w:p>
        </w:tc>
        <w:tc>
          <w:tcPr>
            <w:tcW w:w="1585" w:type="pct"/>
            <w:tcBorders>
              <w:top w:val="nil"/>
              <w:bottom w:val="nil"/>
            </w:tcBorders>
            <w:shd w:val="clear" w:color="auto" w:fill="FFFFFF"/>
            <w:tcMar>
              <w:top w:w="85" w:type="dxa"/>
              <w:bottom w:w="85" w:type="dxa"/>
            </w:tcMar>
          </w:tcPr>
          <w:p w14:paraId="3B3CA5AC" w14:textId="77777777" w:rsidR="00292B80" w:rsidRDefault="00292B80" w:rsidP="005A1F7F">
            <w:pPr>
              <w:ind w:left="768"/>
              <w:rPr>
                <w:rFonts w:ascii="Arial" w:hAnsi="Arial" w:cs="Arial"/>
                <w:sz w:val="16"/>
                <w:szCs w:val="16"/>
                <w:lang w:bidi="th-TH"/>
              </w:rPr>
            </w:pPr>
            <w:r>
              <w:rPr>
                <w:rFonts w:ascii="Arial" w:hAnsi="Arial" w:cs="Arial"/>
                <w:sz w:val="16"/>
                <w:szCs w:val="16"/>
                <w:lang w:bidi="th-TH"/>
              </w:rPr>
              <w:t>Program 19</w:t>
            </w:r>
          </w:p>
          <w:p w14:paraId="20AC9572" w14:textId="77777777" w:rsidR="00292B80" w:rsidRPr="00AF5E7C" w:rsidRDefault="00292B80" w:rsidP="005A1F7F">
            <w:pPr>
              <w:ind w:left="768"/>
              <w:rPr>
                <w:rFonts w:ascii="Arial" w:hAnsi="Arial" w:cs="Arial"/>
                <w:sz w:val="16"/>
                <w:szCs w:val="16"/>
                <w:lang w:bidi="th-TH"/>
              </w:rPr>
            </w:pPr>
          </w:p>
        </w:tc>
      </w:tr>
      <w:tr w:rsidR="00292B80" w:rsidRPr="00AF5E7C" w14:paraId="3F39D2B3" w14:textId="77777777" w:rsidTr="007644FB">
        <w:trPr>
          <w:cantSplit/>
          <w:trHeight w:val="317"/>
        </w:trPr>
        <w:tc>
          <w:tcPr>
            <w:tcW w:w="1891" w:type="pct"/>
            <w:tcBorders>
              <w:top w:val="nil"/>
              <w:bottom w:val="nil"/>
            </w:tcBorders>
            <w:shd w:val="clear" w:color="auto" w:fill="auto"/>
            <w:tcMar>
              <w:top w:w="85" w:type="dxa"/>
              <w:bottom w:w="85" w:type="dxa"/>
            </w:tcMar>
          </w:tcPr>
          <w:p w14:paraId="21AAAE08"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2BE32560" w14:textId="77777777" w:rsidR="00292B80" w:rsidRPr="00512DF2" w:rsidRDefault="00292B80" w:rsidP="005A1F7F">
            <w:pPr>
              <w:rPr>
                <w:rFonts w:ascii="Arial" w:hAnsi="Arial" w:cs="Arial"/>
                <w:sz w:val="16"/>
                <w:szCs w:val="16"/>
              </w:rPr>
            </w:pPr>
            <w:r w:rsidRPr="0080719C">
              <w:rPr>
                <w:rFonts w:ascii="Arial" w:hAnsi="Arial" w:cs="Arial"/>
                <w:color w:val="000000"/>
                <w:sz w:val="16"/>
                <w:szCs w:val="16"/>
              </w:rPr>
              <w:t>Service Standards for the WIPO Customer Service Center</w:t>
            </w:r>
          </w:p>
        </w:tc>
        <w:tc>
          <w:tcPr>
            <w:tcW w:w="1585" w:type="pct"/>
            <w:tcBorders>
              <w:top w:val="nil"/>
              <w:bottom w:val="nil"/>
            </w:tcBorders>
            <w:shd w:val="clear" w:color="auto" w:fill="FFFFFF"/>
            <w:tcMar>
              <w:top w:w="85" w:type="dxa"/>
              <w:bottom w:w="85" w:type="dxa"/>
            </w:tcMar>
          </w:tcPr>
          <w:p w14:paraId="441D9DC1"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19</w:t>
            </w:r>
          </w:p>
        </w:tc>
      </w:tr>
      <w:tr w:rsidR="00292B80" w:rsidRPr="00AF5E7C" w14:paraId="04B4805B" w14:textId="77777777" w:rsidTr="007644FB">
        <w:trPr>
          <w:cantSplit/>
          <w:trHeight w:val="297"/>
        </w:trPr>
        <w:tc>
          <w:tcPr>
            <w:tcW w:w="1891" w:type="pct"/>
            <w:tcBorders>
              <w:top w:val="nil"/>
              <w:left w:val="single" w:sz="4" w:space="0" w:color="auto"/>
              <w:bottom w:val="nil"/>
            </w:tcBorders>
            <w:shd w:val="clear" w:color="auto" w:fill="auto"/>
            <w:tcMar>
              <w:top w:w="85" w:type="dxa"/>
              <w:bottom w:w="85" w:type="dxa"/>
            </w:tcMar>
          </w:tcPr>
          <w:p w14:paraId="2854F1D9"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5DCEDCFC" w14:textId="0CBC6FA3" w:rsidR="00292B80" w:rsidRPr="001E1EA0" w:rsidRDefault="00292B80">
            <w:pPr>
              <w:rPr>
                <w:rFonts w:ascii="Arial" w:hAnsi="Arial" w:cs="Arial"/>
                <w:sz w:val="16"/>
                <w:szCs w:val="16"/>
              </w:rPr>
            </w:pPr>
            <w:r w:rsidRPr="001E1EA0">
              <w:rPr>
                <w:rFonts w:ascii="Arial" w:hAnsi="Arial" w:cs="Arial"/>
                <w:sz w:val="16"/>
                <w:szCs w:val="16"/>
              </w:rPr>
              <w:t xml:space="preserve">Processing time of </w:t>
            </w:r>
            <w:r w:rsidR="00117C7E">
              <w:rPr>
                <w:rFonts w:ascii="Arial" w:hAnsi="Arial" w:cs="Arial"/>
                <w:sz w:val="16"/>
                <w:szCs w:val="16"/>
              </w:rPr>
              <w:t>i</w:t>
            </w:r>
            <w:r w:rsidRPr="001E1EA0">
              <w:rPr>
                <w:rFonts w:ascii="Arial" w:hAnsi="Arial" w:cs="Arial"/>
                <w:sz w:val="16"/>
                <w:szCs w:val="16"/>
              </w:rPr>
              <w:t>nquiries</w:t>
            </w:r>
          </w:p>
        </w:tc>
        <w:tc>
          <w:tcPr>
            <w:tcW w:w="1585" w:type="pct"/>
            <w:tcBorders>
              <w:top w:val="nil"/>
              <w:bottom w:val="nil"/>
              <w:right w:val="single" w:sz="4" w:space="0" w:color="auto"/>
            </w:tcBorders>
            <w:shd w:val="clear" w:color="auto" w:fill="FFFFFF"/>
            <w:tcMar>
              <w:top w:w="85" w:type="dxa"/>
              <w:bottom w:w="85" w:type="dxa"/>
            </w:tcMar>
          </w:tcPr>
          <w:p w14:paraId="64009081" w14:textId="77777777" w:rsidR="00292B80" w:rsidRPr="001E1EA0" w:rsidRDefault="00292B80" w:rsidP="005A1F7F">
            <w:pPr>
              <w:ind w:left="768"/>
              <w:rPr>
                <w:rFonts w:ascii="Arial" w:hAnsi="Arial" w:cs="Arial"/>
                <w:sz w:val="16"/>
                <w:szCs w:val="16"/>
                <w:lang w:bidi="th-TH"/>
              </w:rPr>
            </w:pPr>
            <w:r w:rsidRPr="001E1EA0">
              <w:rPr>
                <w:rFonts w:ascii="Arial" w:hAnsi="Arial" w:cs="Arial"/>
                <w:sz w:val="16"/>
                <w:szCs w:val="16"/>
                <w:lang w:bidi="th-TH"/>
              </w:rPr>
              <w:t>Program 20</w:t>
            </w:r>
          </w:p>
        </w:tc>
      </w:tr>
      <w:tr w:rsidR="00292B80" w:rsidRPr="00AF5E7C" w14:paraId="38FCADC5" w14:textId="77777777" w:rsidTr="007644FB">
        <w:trPr>
          <w:cantSplit/>
          <w:trHeight w:val="622"/>
        </w:trPr>
        <w:tc>
          <w:tcPr>
            <w:tcW w:w="1891" w:type="pct"/>
            <w:tcBorders>
              <w:top w:val="nil"/>
              <w:left w:val="single" w:sz="4" w:space="0" w:color="auto"/>
              <w:bottom w:val="nil"/>
            </w:tcBorders>
            <w:shd w:val="clear" w:color="auto" w:fill="auto"/>
            <w:tcMar>
              <w:top w:w="85" w:type="dxa"/>
              <w:bottom w:w="85" w:type="dxa"/>
            </w:tcMar>
          </w:tcPr>
          <w:p w14:paraId="1BACCE38" w14:textId="77777777" w:rsidR="00292B80" w:rsidRPr="0092679D" w:rsidRDefault="00292B80" w:rsidP="005A1F7F">
            <w:pPr>
              <w:rPr>
                <w:rFonts w:ascii="Arial" w:hAnsi="Arial" w:cs="Arial"/>
                <w:sz w:val="16"/>
                <w:szCs w:val="16"/>
              </w:rPr>
            </w:pPr>
            <w:r w:rsidRPr="0092679D">
              <w:rPr>
                <w:rFonts w:ascii="Arial" w:hAnsi="Arial" w:cs="Arial"/>
                <w:sz w:val="16"/>
                <w:szCs w:val="16"/>
              </w:rPr>
              <w:t>VIII.3</w:t>
            </w:r>
            <w:r>
              <w:rPr>
                <w:rFonts w:ascii="Arial" w:hAnsi="Arial" w:cs="Arial"/>
                <w:sz w:val="16"/>
                <w:szCs w:val="16"/>
              </w:rPr>
              <w:t xml:space="preserve"> </w:t>
            </w:r>
            <w:r>
              <w:rPr>
                <w:rFonts w:ascii="Arial" w:hAnsi="Arial" w:cs="Arial"/>
                <w:color w:val="000000"/>
                <w:sz w:val="16"/>
                <w:szCs w:val="16"/>
              </w:rPr>
              <w:t>Effective engagement with Member States</w:t>
            </w:r>
          </w:p>
        </w:tc>
        <w:tc>
          <w:tcPr>
            <w:tcW w:w="1524" w:type="pct"/>
            <w:tcBorders>
              <w:top w:val="nil"/>
              <w:bottom w:val="nil"/>
            </w:tcBorders>
            <w:shd w:val="clear" w:color="auto" w:fill="auto"/>
            <w:tcMar>
              <w:top w:w="85" w:type="dxa"/>
              <w:bottom w:w="85" w:type="dxa"/>
            </w:tcMar>
          </w:tcPr>
          <w:p w14:paraId="4F7005CC" w14:textId="77777777" w:rsidR="00292B80" w:rsidRPr="0092679D" w:rsidRDefault="00292B80" w:rsidP="005A1F7F">
            <w:pPr>
              <w:rPr>
                <w:rFonts w:ascii="Arial" w:hAnsi="Arial" w:cs="Arial"/>
                <w:sz w:val="16"/>
                <w:szCs w:val="16"/>
              </w:rPr>
            </w:pPr>
            <w:r>
              <w:rPr>
                <w:rFonts w:ascii="Arial" w:hAnsi="Arial" w:cs="Arial"/>
                <w:color w:val="000000"/>
                <w:sz w:val="16"/>
                <w:szCs w:val="16"/>
              </w:rPr>
              <w:t>% of Committee meetings for which pre-Committee information meetings for Member States are held</w:t>
            </w:r>
          </w:p>
        </w:tc>
        <w:tc>
          <w:tcPr>
            <w:tcW w:w="1585" w:type="pct"/>
            <w:tcBorders>
              <w:top w:val="nil"/>
              <w:bottom w:val="nil"/>
              <w:right w:val="single" w:sz="4" w:space="0" w:color="auto"/>
            </w:tcBorders>
            <w:shd w:val="clear" w:color="auto" w:fill="FFFFFF"/>
            <w:tcMar>
              <w:top w:w="85" w:type="dxa"/>
              <w:bottom w:w="85" w:type="dxa"/>
            </w:tcMar>
          </w:tcPr>
          <w:p w14:paraId="179B3994"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1F06132F" w14:textId="77777777" w:rsidTr="007644FB">
        <w:trPr>
          <w:cantSplit/>
          <w:trHeight w:val="584"/>
        </w:trPr>
        <w:tc>
          <w:tcPr>
            <w:tcW w:w="1891" w:type="pct"/>
            <w:tcBorders>
              <w:top w:val="nil"/>
              <w:bottom w:val="single" w:sz="4" w:space="0" w:color="auto"/>
            </w:tcBorders>
            <w:shd w:val="clear" w:color="auto" w:fill="auto"/>
            <w:tcMar>
              <w:top w:w="85" w:type="dxa"/>
              <w:bottom w:w="85" w:type="dxa"/>
            </w:tcMar>
          </w:tcPr>
          <w:p w14:paraId="50A33196" w14:textId="77777777" w:rsidR="00292B80" w:rsidRPr="00AF5E7C" w:rsidRDefault="00292B80" w:rsidP="005A1F7F">
            <w:pPr>
              <w:rPr>
                <w:rFonts w:ascii="Arial" w:hAnsi="Arial" w:cs="Arial"/>
                <w:sz w:val="16"/>
                <w:szCs w:val="16"/>
              </w:rPr>
            </w:pPr>
          </w:p>
        </w:tc>
        <w:tc>
          <w:tcPr>
            <w:tcW w:w="1524" w:type="pct"/>
            <w:tcBorders>
              <w:top w:val="nil"/>
              <w:bottom w:val="single" w:sz="4" w:space="0" w:color="auto"/>
            </w:tcBorders>
            <w:shd w:val="clear" w:color="auto" w:fill="auto"/>
            <w:tcMar>
              <w:top w:w="85" w:type="dxa"/>
              <w:bottom w:w="85" w:type="dxa"/>
            </w:tcMar>
          </w:tcPr>
          <w:p w14:paraId="1FB22B39" w14:textId="77777777" w:rsidR="00292B80" w:rsidRPr="0092679D" w:rsidRDefault="00292B80" w:rsidP="005A1F7F">
            <w:pPr>
              <w:rPr>
                <w:rFonts w:ascii="Arial" w:hAnsi="Arial" w:cs="Arial"/>
                <w:sz w:val="16"/>
                <w:szCs w:val="16"/>
              </w:rPr>
            </w:pPr>
            <w:r>
              <w:rPr>
                <w:rFonts w:ascii="Arial" w:hAnsi="Arial" w:cs="Arial"/>
                <w:color w:val="000000"/>
                <w:sz w:val="16"/>
                <w:szCs w:val="16"/>
              </w:rPr>
              <w:t>% of adherence and other WIPO Treaty-related actions by Member States processed in a timely manner</w:t>
            </w:r>
          </w:p>
        </w:tc>
        <w:tc>
          <w:tcPr>
            <w:tcW w:w="1585" w:type="pct"/>
            <w:tcBorders>
              <w:top w:val="nil"/>
              <w:bottom w:val="single" w:sz="4" w:space="0" w:color="auto"/>
            </w:tcBorders>
            <w:shd w:val="clear" w:color="auto" w:fill="FFFFFF"/>
            <w:tcMar>
              <w:top w:w="85" w:type="dxa"/>
              <w:bottom w:w="85" w:type="dxa"/>
            </w:tcMar>
          </w:tcPr>
          <w:p w14:paraId="1130FA7C"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03296DF0" w14:textId="77777777" w:rsidTr="007644FB">
        <w:trPr>
          <w:cantSplit/>
          <w:trHeight w:val="490"/>
        </w:trPr>
        <w:tc>
          <w:tcPr>
            <w:tcW w:w="1891" w:type="pct"/>
            <w:tcBorders>
              <w:top w:val="single" w:sz="4" w:space="0" w:color="auto"/>
              <w:bottom w:val="nil"/>
            </w:tcBorders>
            <w:shd w:val="clear" w:color="auto" w:fill="auto"/>
            <w:tcMar>
              <w:top w:w="85" w:type="dxa"/>
              <w:bottom w:w="85" w:type="dxa"/>
            </w:tcMar>
          </w:tcPr>
          <w:p w14:paraId="471AA506" w14:textId="77777777" w:rsidR="00292B80" w:rsidRPr="00AF5E7C" w:rsidRDefault="00292B80" w:rsidP="005A1F7F">
            <w:pPr>
              <w:rPr>
                <w:rFonts w:ascii="Arial" w:hAnsi="Arial" w:cs="Arial"/>
                <w:sz w:val="16"/>
                <w:szCs w:val="16"/>
              </w:rPr>
            </w:pPr>
          </w:p>
        </w:tc>
        <w:tc>
          <w:tcPr>
            <w:tcW w:w="1524" w:type="pct"/>
            <w:tcBorders>
              <w:top w:val="single" w:sz="4" w:space="0" w:color="auto"/>
              <w:bottom w:val="nil"/>
            </w:tcBorders>
            <w:shd w:val="clear" w:color="auto" w:fill="auto"/>
            <w:tcMar>
              <w:top w:w="85" w:type="dxa"/>
              <w:bottom w:w="85" w:type="dxa"/>
            </w:tcMar>
          </w:tcPr>
          <w:p w14:paraId="6439C4CC" w14:textId="77777777" w:rsidR="00292B80" w:rsidRPr="00D81234" w:rsidRDefault="00292B80" w:rsidP="005A1F7F">
            <w:pPr>
              <w:rPr>
                <w:rFonts w:ascii="Arial" w:hAnsi="Arial" w:cs="Arial"/>
                <w:sz w:val="16"/>
                <w:szCs w:val="16"/>
              </w:rPr>
            </w:pPr>
            <w:r>
              <w:rPr>
                <w:rFonts w:ascii="Arial" w:hAnsi="Arial" w:cs="Arial"/>
                <w:color w:val="000000"/>
                <w:sz w:val="16"/>
                <w:szCs w:val="16"/>
              </w:rPr>
              <w:t>Timeliness of publication of Assemblies documents</w:t>
            </w:r>
          </w:p>
        </w:tc>
        <w:tc>
          <w:tcPr>
            <w:tcW w:w="1585" w:type="pct"/>
            <w:tcBorders>
              <w:top w:val="single" w:sz="4" w:space="0" w:color="auto"/>
              <w:bottom w:val="nil"/>
            </w:tcBorders>
            <w:shd w:val="clear" w:color="auto" w:fill="FFFFFF"/>
            <w:tcMar>
              <w:top w:w="85" w:type="dxa"/>
              <w:bottom w:w="85" w:type="dxa"/>
            </w:tcMar>
          </w:tcPr>
          <w:p w14:paraId="173FBC59"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39BB02CF" w14:textId="77777777" w:rsidTr="007644FB">
        <w:trPr>
          <w:cantSplit/>
          <w:trHeight w:val="524"/>
        </w:trPr>
        <w:tc>
          <w:tcPr>
            <w:tcW w:w="1891" w:type="pct"/>
            <w:tcBorders>
              <w:top w:val="nil"/>
              <w:bottom w:val="nil"/>
            </w:tcBorders>
            <w:shd w:val="clear" w:color="auto" w:fill="auto"/>
            <w:tcMar>
              <w:top w:w="85" w:type="dxa"/>
              <w:bottom w:w="85" w:type="dxa"/>
            </w:tcMar>
          </w:tcPr>
          <w:p w14:paraId="676B4E3A"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1AA4F033" w14:textId="77777777" w:rsidR="00292B80" w:rsidRPr="00970B2F" w:rsidRDefault="00292B80" w:rsidP="005A1F7F">
            <w:pPr>
              <w:rPr>
                <w:rFonts w:ascii="Arial" w:hAnsi="Arial" w:cs="Arial"/>
                <w:sz w:val="16"/>
                <w:szCs w:val="16"/>
              </w:rPr>
            </w:pPr>
            <w:r>
              <w:rPr>
                <w:rFonts w:ascii="Arial" w:hAnsi="Arial" w:cs="Arial"/>
                <w:color w:val="000000"/>
                <w:sz w:val="16"/>
                <w:szCs w:val="16"/>
              </w:rPr>
              <w:t>Satisfaction rate of Member States and stakeholders with the organization of events</w:t>
            </w:r>
          </w:p>
        </w:tc>
        <w:tc>
          <w:tcPr>
            <w:tcW w:w="1585" w:type="pct"/>
            <w:tcBorders>
              <w:top w:val="nil"/>
              <w:bottom w:val="nil"/>
            </w:tcBorders>
            <w:shd w:val="clear" w:color="auto" w:fill="FFFFFF"/>
            <w:tcMar>
              <w:top w:w="85" w:type="dxa"/>
              <w:bottom w:w="85" w:type="dxa"/>
            </w:tcMar>
          </w:tcPr>
          <w:p w14:paraId="449F98F0"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28E2AACA" w14:textId="77777777" w:rsidTr="007644FB">
        <w:trPr>
          <w:cantSplit/>
          <w:trHeight w:val="503"/>
        </w:trPr>
        <w:tc>
          <w:tcPr>
            <w:tcW w:w="1891" w:type="pct"/>
            <w:tcBorders>
              <w:top w:val="nil"/>
              <w:bottom w:val="nil"/>
            </w:tcBorders>
            <w:shd w:val="clear" w:color="auto" w:fill="auto"/>
            <w:tcMar>
              <w:top w:w="85" w:type="dxa"/>
              <w:bottom w:w="85" w:type="dxa"/>
            </w:tcMar>
          </w:tcPr>
          <w:p w14:paraId="56678DF3"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5DBD7972" w14:textId="77777777" w:rsidR="00292B80" w:rsidRPr="00970B2F" w:rsidRDefault="00292B80" w:rsidP="005A1F7F">
            <w:pPr>
              <w:rPr>
                <w:rFonts w:ascii="Arial" w:hAnsi="Arial" w:cs="Arial"/>
                <w:sz w:val="16"/>
                <w:szCs w:val="16"/>
              </w:rPr>
            </w:pPr>
            <w:r>
              <w:rPr>
                <w:rFonts w:ascii="Arial" w:hAnsi="Arial" w:cs="Arial"/>
                <w:color w:val="000000"/>
                <w:sz w:val="16"/>
                <w:szCs w:val="16"/>
              </w:rPr>
              <w:t>Delegates’ satisfaction levels with the organization of the Assemblies</w:t>
            </w:r>
          </w:p>
        </w:tc>
        <w:tc>
          <w:tcPr>
            <w:tcW w:w="1585" w:type="pct"/>
            <w:tcBorders>
              <w:top w:val="nil"/>
              <w:bottom w:val="nil"/>
            </w:tcBorders>
            <w:shd w:val="clear" w:color="auto" w:fill="FFFFFF"/>
            <w:tcMar>
              <w:top w:w="85" w:type="dxa"/>
              <w:bottom w:w="85" w:type="dxa"/>
            </w:tcMar>
          </w:tcPr>
          <w:p w14:paraId="48E8DFE8"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2299D89C" w14:textId="77777777" w:rsidTr="007644FB">
        <w:trPr>
          <w:cantSplit/>
          <w:trHeight w:val="522"/>
        </w:trPr>
        <w:tc>
          <w:tcPr>
            <w:tcW w:w="1891" w:type="pct"/>
            <w:tcBorders>
              <w:top w:val="nil"/>
              <w:bottom w:val="nil"/>
            </w:tcBorders>
            <w:shd w:val="clear" w:color="auto" w:fill="auto"/>
            <w:tcMar>
              <w:top w:w="85" w:type="dxa"/>
              <w:bottom w:w="85" w:type="dxa"/>
            </w:tcMar>
          </w:tcPr>
          <w:p w14:paraId="1ABEC341" w14:textId="77777777" w:rsidR="00292B80" w:rsidRPr="00DF155F" w:rsidRDefault="00292B80" w:rsidP="005A1F7F">
            <w:pPr>
              <w:rPr>
                <w:rFonts w:ascii="Arial" w:hAnsi="Arial" w:cs="Arial"/>
                <w:sz w:val="16"/>
                <w:szCs w:val="16"/>
              </w:rPr>
            </w:pPr>
            <w:r w:rsidRPr="006947C1">
              <w:rPr>
                <w:rFonts w:ascii="Arial" w:hAnsi="Arial" w:cs="Arial"/>
                <w:sz w:val="16"/>
                <w:szCs w:val="16"/>
              </w:rPr>
              <w:t>VIII.4  Open, transparent and responsive interaction with non-governmental stakeholders</w:t>
            </w:r>
          </w:p>
        </w:tc>
        <w:tc>
          <w:tcPr>
            <w:tcW w:w="1524" w:type="pct"/>
            <w:tcBorders>
              <w:top w:val="nil"/>
              <w:bottom w:val="nil"/>
            </w:tcBorders>
            <w:shd w:val="clear" w:color="auto" w:fill="auto"/>
            <w:tcMar>
              <w:top w:w="85" w:type="dxa"/>
              <w:bottom w:w="85" w:type="dxa"/>
            </w:tcMar>
          </w:tcPr>
          <w:p w14:paraId="23554D1C" w14:textId="77777777" w:rsidR="00292B80" w:rsidRPr="00383FE3" w:rsidRDefault="00292B80" w:rsidP="005A1F7F">
            <w:pPr>
              <w:rPr>
                <w:rFonts w:ascii="Arial" w:hAnsi="Arial" w:cs="Arial"/>
                <w:sz w:val="16"/>
                <w:szCs w:val="16"/>
              </w:rPr>
            </w:pPr>
            <w:r w:rsidRPr="00383FE3">
              <w:rPr>
                <w:rFonts w:ascii="Arial" w:hAnsi="Arial" w:cs="Arial"/>
                <w:sz w:val="16"/>
                <w:szCs w:val="16"/>
              </w:rPr>
              <w:t xml:space="preserve">No. of permanent observer NGOs engaging in WIPO’s work and vice versa </w:t>
            </w:r>
          </w:p>
        </w:tc>
        <w:tc>
          <w:tcPr>
            <w:tcW w:w="1585" w:type="pct"/>
            <w:tcBorders>
              <w:top w:val="nil"/>
              <w:bottom w:val="nil"/>
            </w:tcBorders>
            <w:shd w:val="clear" w:color="auto" w:fill="FFFFFF"/>
            <w:tcMar>
              <w:top w:w="85" w:type="dxa"/>
              <w:bottom w:w="85" w:type="dxa"/>
            </w:tcMar>
          </w:tcPr>
          <w:p w14:paraId="1A7C035D" w14:textId="34138AD8" w:rsidR="00292B80" w:rsidRPr="00383FE3" w:rsidRDefault="00292B80">
            <w:pPr>
              <w:ind w:left="768"/>
              <w:rPr>
                <w:rFonts w:ascii="Arial" w:hAnsi="Arial" w:cs="Arial"/>
                <w:sz w:val="16"/>
                <w:szCs w:val="16"/>
                <w:lang w:bidi="th-TH"/>
              </w:rPr>
            </w:pPr>
            <w:r w:rsidRPr="00383FE3">
              <w:rPr>
                <w:rFonts w:ascii="Arial" w:hAnsi="Arial" w:cs="Arial"/>
                <w:sz w:val="16"/>
                <w:szCs w:val="16"/>
                <w:lang w:bidi="th-TH"/>
              </w:rPr>
              <w:t>Program 2</w:t>
            </w:r>
            <w:r w:rsidR="00C240B2">
              <w:rPr>
                <w:rFonts w:ascii="Arial" w:hAnsi="Arial" w:cs="Arial"/>
                <w:sz w:val="16"/>
                <w:szCs w:val="16"/>
                <w:lang w:bidi="th-TH"/>
              </w:rPr>
              <w:t>1</w:t>
            </w:r>
          </w:p>
        </w:tc>
      </w:tr>
      <w:tr w:rsidR="00292B80" w:rsidRPr="00AF5E7C" w14:paraId="743AEA82" w14:textId="77777777" w:rsidTr="007644FB">
        <w:trPr>
          <w:cantSplit/>
          <w:trHeight w:val="537"/>
        </w:trPr>
        <w:tc>
          <w:tcPr>
            <w:tcW w:w="1891" w:type="pct"/>
            <w:tcBorders>
              <w:top w:val="nil"/>
              <w:bottom w:val="nil"/>
            </w:tcBorders>
            <w:shd w:val="clear" w:color="auto" w:fill="auto"/>
            <w:tcMar>
              <w:top w:w="85" w:type="dxa"/>
              <w:bottom w:w="85" w:type="dxa"/>
            </w:tcMar>
          </w:tcPr>
          <w:p w14:paraId="031799A4" w14:textId="77777777" w:rsidR="00292B80" w:rsidRPr="00DF155F" w:rsidRDefault="00292B80" w:rsidP="005A1F7F">
            <w:pPr>
              <w:rPr>
                <w:rFonts w:ascii="Arial" w:hAnsi="Arial" w:cs="Arial"/>
                <w:sz w:val="16"/>
                <w:szCs w:val="16"/>
              </w:rPr>
            </w:pPr>
            <w:r w:rsidRPr="00DF155F">
              <w:rPr>
                <w:rFonts w:ascii="Arial" w:hAnsi="Arial" w:cs="Arial"/>
                <w:sz w:val="16"/>
                <w:szCs w:val="16"/>
              </w:rPr>
              <w:t>VIII.5</w:t>
            </w:r>
            <w:r>
              <w:rPr>
                <w:rFonts w:ascii="Arial" w:hAnsi="Arial" w:cs="Arial"/>
                <w:sz w:val="16"/>
                <w:szCs w:val="16"/>
              </w:rPr>
              <w:t xml:space="preserve"> </w:t>
            </w:r>
            <w:r w:rsidRPr="00DF155F">
              <w:rPr>
                <w:rFonts w:ascii="Arial" w:hAnsi="Arial" w:cs="Arial"/>
                <w:sz w:val="16"/>
                <w:szCs w:val="16"/>
              </w:rPr>
              <w:t xml:space="preserve"> </w:t>
            </w:r>
            <w:r>
              <w:rPr>
                <w:rFonts w:ascii="Arial" w:hAnsi="Arial" w:cs="Arial"/>
                <w:color w:val="000000"/>
                <w:sz w:val="16"/>
                <w:szCs w:val="16"/>
              </w:rPr>
              <w:t>WIPO effectively interacts and partners with UN and other IGO processes and negotiations</w:t>
            </w:r>
          </w:p>
        </w:tc>
        <w:tc>
          <w:tcPr>
            <w:tcW w:w="1524" w:type="pct"/>
            <w:tcBorders>
              <w:top w:val="nil"/>
              <w:bottom w:val="nil"/>
            </w:tcBorders>
            <w:shd w:val="clear" w:color="auto" w:fill="auto"/>
            <w:tcMar>
              <w:top w:w="85" w:type="dxa"/>
              <w:bottom w:w="85" w:type="dxa"/>
            </w:tcMar>
          </w:tcPr>
          <w:p w14:paraId="3B6DC833" w14:textId="77777777" w:rsidR="00292B80" w:rsidRDefault="00292B80" w:rsidP="005A1F7F">
            <w:pPr>
              <w:jc w:val="both"/>
              <w:rPr>
                <w:rFonts w:ascii="Arial" w:hAnsi="Arial" w:cs="Arial"/>
                <w:color w:val="000000"/>
                <w:sz w:val="16"/>
                <w:szCs w:val="16"/>
              </w:rPr>
            </w:pPr>
            <w:r w:rsidRPr="00870F2F">
              <w:rPr>
                <w:rFonts w:ascii="Arial" w:hAnsi="Arial" w:cs="Arial"/>
                <w:color w:val="000000"/>
                <w:sz w:val="16"/>
                <w:szCs w:val="16"/>
              </w:rPr>
              <w:t>WIPO's contributions reflected in UN and IGO reports, resolutions and documents from relevant, targeted processes</w:t>
            </w:r>
          </w:p>
          <w:p w14:paraId="7DA61907" w14:textId="77777777" w:rsidR="00292B80" w:rsidRPr="00E123A3" w:rsidRDefault="00292B80" w:rsidP="005A1F7F">
            <w:pPr>
              <w:rPr>
                <w:rFonts w:ascii="Arial" w:hAnsi="Arial" w:cs="Arial"/>
                <w:sz w:val="16"/>
                <w:szCs w:val="16"/>
                <w:highlight w:val="yellow"/>
              </w:rPr>
            </w:pPr>
          </w:p>
        </w:tc>
        <w:tc>
          <w:tcPr>
            <w:tcW w:w="1585" w:type="pct"/>
            <w:tcBorders>
              <w:top w:val="nil"/>
              <w:bottom w:val="nil"/>
            </w:tcBorders>
            <w:shd w:val="clear" w:color="auto" w:fill="FFFFFF"/>
            <w:tcMar>
              <w:top w:w="85" w:type="dxa"/>
              <w:bottom w:w="85" w:type="dxa"/>
            </w:tcMar>
          </w:tcPr>
          <w:p w14:paraId="681B23D7" w14:textId="77777777" w:rsidR="00292B80" w:rsidRPr="00E123A3" w:rsidRDefault="00292B80" w:rsidP="005A1F7F">
            <w:pPr>
              <w:ind w:left="768"/>
              <w:rPr>
                <w:rFonts w:ascii="Arial" w:hAnsi="Arial" w:cs="Arial"/>
                <w:sz w:val="16"/>
                <w:szCs w:val="16"/>
                <w:highlight w:val="yellow"/>
                <w:lang w:bidi="th-TH"/>
              </w:rPr>
            </w:pPr>
            <w:r w:rsidRPr="0052668A">
              <w:rPr>
                <w:rFonts w:ascii="Arial" w:hAnsi="Arial" w:cs="Arial"/>
                <w:sz w:val="16"/>
                <w:szCs w:val="16"/>
                <w:lang w:bidi="th-TH"/>
              </w:rPr>
              <w:t>Program 20</w:t>
            </w:r>
          </w:p>
        </w:tc>
      </w:tr>
      <w:tr w:rsidR="00292B80" w:rsidRPr="00AF5E7C" w14:paraId="0BE49F95" w14:textId="77777777" w:rsidTr="007644FB">
        <w:trPr>
          <w:cantSplit/>
          <w:trHeight w:val="514"/>
        </w:trPr>
        <w:tc>
          <w:tcPr>
            <w:tcW w:w="1891" w:type="pct"/>
            <w:tcBorders>
              <w:top w:val="nil"/>
              <w:bottom w:val="nil"/>
            </w:tcBorders>
            <w:shd w:val="clear" w:color="auto" w:fill="auto"/>
            <w:tcMar>
              <w:top w:w="85" w:type="dxa"/>
              <w:bottom w:w="85" w:type="dxa"/>
            </w:tcMar>
          </w:tcPr>
          <w:p w14:paraId="134383A7"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201E4BE7" w14:textId="6CC25702" w:rsidR="00292B80" w:rsidRPr="00E123A3" w:rsidRDefault="00292B80">
            <w:pPr>
              <w:rPr>
                <w:rFonts w:ascii="Arial" w:hAnsi="Arial" w:cs="Arial"/>
                <w:sz w:val="16"/>
                <w:szCs w:val="16"/>
                <w:highlight w:val="yellow"/>
              </w:rPr>
            </w:pPr>
            <w:r w:rsidRPr="00870F2F">
              <w:rPr>
                <w:rFonts w:ascii="Arial" w:hAnsi="Arial" w:cs="Arial"/>
                <w:color w:val="000000"/>
                <w:sz w:val="16"/>
                <w:szCs w:val="16"/>
              </w:rPr>
              <w:t>No. of WIPO-led initiatives in partnership with UN and other IGOs to implement the SDGs</w:t>
            </w:r>
          </w:p>
        </w:tc>
        <w:tc>
          <w:tcPr>
            <w:tcW w:w="1585" w:type="pct"/>
            <w:tcBorders>
              <w:top w:val="nil"/>
              <w:bottom w:val="nil"/>
            </w:tcBorders>
            <w:shd w:val="clear" w:color="auto" w:fill="FFFFFF"/>
            <w:tcMar>
              <w:top w:w="85" w:type="dxa"/>
              <w:bottom w:w="85" w:type="dxa"/>
            </w:tcMar>
          </w:tcPr>
          <w:p w14:paraId="4552932B" w14:textId="77777777" w:rsidR="00292B80" w:rsidRPr="00E123A3" w:rsidRDefault="00292B80" w:rsidP="005A1F7F">
            <w:pPr>
              <w:ind w:left="768"/>
              <w:rPr>
                <w:rFonts w:ascii="Arial" w:hAnsi="Arial" w:cs="Arial"/>
                <w:sz w:val="16"/>
                <w:szCs w:val="16"/>
                <w:highlight w:val="yellow"/>
                <w:lang w:bidi="th-TH"/>
              </w:rPr>
            </w:pPr>
            <w:r w:rsidRPr="0052668A">
              <w:rPr>
                <w:rFonts w:ascii="Arial" w:hAnsi="Arial" w:cs="Arial"/>
                <w:sz w:val="16"/>
                <w:szCs w:val="16"/>
                <w:lang w:bidi="th-TH"/>
              </w:rPr>
              <w:t>Program 20</w:t>
            </w:r>
          </w:p>
        </w:tc>
      </w:tr>
      <w:tr w:rsidR="00292B80" w:rsidRPr="00AF5E7C" w14:paraId="6D437A0B" w14:textId="77777777" w:rsidTr="007644FB">
        <w:trPr>
          <w:cantSplit/>
          <w:trHeight w:val="514"/>
        </w:trPr>
        <w:tc>
          <w:tcPr>
            <w:tcW w:w="1891" w:type="pct"/>
            <w:tcBorders>
              <w:top w:val="nil"/>
              <w:bottom w:val="nil"/>
            </w:tcBorders>
            <w:shd w:val="clear" w:color="auto" w:fill="auto"/>
            <w:tcMar>
              <w:top w:w="85" w:type="dxa"/>
              <w:bottom w:w="85" w:type="dxa"/>
            </w:tcMar>
          </w:tcPr>
          <w:p w14:paraId="5CCACB21"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6ADF8D13" w14:textId="77777777" w:rsidR="00292B80" w:rsidRPr="00870F2F" w:rsidRDefault="00292B80" w:rsidP="005A1F7F">
            <w:pPr>
              <w:rPr>
                <w:rFonts w:ascii="Arial" w:hAnsi="Arial" w:cs="Arial"/>
                <w:color w:val="000000"/>
                <w:sz w:val="16"/>
                <w:szCs w:val="16"/>
              </w:rPr>
            </w:pPr>
            <w:r>
              <w:rPr>
                <w:rFonts w:ascii="Arial" w:hAnsi="Arial" w:cs="Arial"/>
                <w:color w:val="000000"/>
                <w:sz w:val="16"/>
                <w:szCs w:val="16"/>
              </w:rPr>
              <w:t>No. of joint activities with ASEAN Secretariat, ECAP/OHIM, Asia/Europe Foundation, AANZFTA</w:t>
            </w:r>
          </w:p>
        </w:tc>
        <w:tc>
          <w:tcPr>
            <w:tcW w:w="1585" w:type="pct"/>
            <w:tcBorders>
              <w:top w:val="nil"/>
              <w:bottom w:val="nil"/>
            </w:tcBorders>
            <w:shd w:val="clear" w:color="auto" w:fill="FFFFFF"/>
            <w:tcMar>
              <w:top w:w="85" w:type="dxa"/>
              <w:bottom w:w="85" w:type="dxa"/>
            </w:tcMar>
          </w:tcPr>
          <w:p w14:paraId="1D33F4CF" w14:textId="77777777" w:rsidR="00292B80" w:rsidRPr="0052668A" w:rsidRDefault="00292B80" w:rsidP="005A1F7F">
            <w:pPr>
              <w:ind w:left="768"/>
              <w:rPr>
                <w:rFonts w:ascii="Arial" w:hAnsi="Arial" w:cs="Arial"/>
                <w:sz w:val="16"/>
                <w:szCs w:val="16"/>
                <w:lang w:bidi="th-TH"/>
              </w:rPr>
            </w:pPr>
            <w:r>
              <w:rPr>
                <w:rFonts w:ascii="Arial" w:hAnsi="Arial" w:cs="Arial"/>
                <w:sz w:val="16"/>
                <w:szCs w:val="16"/>
                <w:lang w:bidi="th-TH"/>
              </w:rPr>
              <w:t xml:space="preserve">Program 20 </w:t>
            </w:r>
          </w:p>
        </w:tc>
      </w:tr>
      <w:tr w:rsidR="00292B80" w:rsidRPr="00AF5E7C" w14:paraId="39065B95" w14:textId="77777777" w:rsidTr="007644FB">
        <w:trPr>
          <w:cantSplit/>
          <w:trHeight w:val="356"/>
        </w:trPr>
        <w:tc>
          <w:tcPr>
            <w:tcW w:w="1891" w:type="pct"/>
            <w:tcBorders>
              <w:top w:val="nil"/>
              <w:bottom w:val="nil"/>
            </w:tcBorders>
            <w:shd w:val="clear" w:color="auto" w:fill="auto"/>
            <w:tcMar>
              <w:top w:w="85" w:type="dxa"/>
              <w:bottom w:w="85" w:type="dxa"/>
            </w:tcMar>
          </w:tcPr>
          <w:p w14:paraId="50ADF7D3" w14:textId="77777777" w:rsidR="00292B80" w:rsidRPr="0092679D"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3D092ED9" w14:textId="77777777" w:rsidR="00292B80" w:rsidRPr="0092679D" w:rsidRDefault="00292B80" w:rsidP="005A1F7F">
            <w:pPr>
              <w:rPr>
                <w:rFonts w:ascii="Arial" w:hAnsi="Arial" w:cs="Arial"/>
                <w:sz w:val="16"/>
                <w:szCs w:val="16"/>
              </w:rPr>
            </w:pPr>
            <w:r>
              <w:rPr>
                <w:rFonts w:ascii="Arial" w:hAnsi="Arial" w:cs="Arial"/>
                <w:color w:val="000000"/>
                <w:sz w:val="16"/>
                <w:szCs w:val="16"/>
              </w:rPr>
              <w:t>New joint initiatives with other UN agencies/IGOs</w:t>
            </w:r>
          </w:p>
        </w:tc>
        <w:tc>
          <w:tcPr>
            <w:tcW w:w="1585" w:type="pct"/>
            <w:tcBorders>
              <w:top w:val="nil"/>
              <w:bottom w:val="nil"/>
            </w:tcBorders>
            <w:shd w:val="clear" w:color="auto" w:fill="FFFFFF"/>
            <w:tcMar>
              <w:top w:w="85" w:type="dxa"/>
              <w:bottom w:w="85" w:type="dxa"/>
            </w:tcMar>
          </w:tcPr>
          <w:p w14:paraId="24570277"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21</w:t>
            </w:r>
          </w:p>
        </w:tc>
      </w:tr>
      <w:tr w:rsidR="00292B80" w:rsidRPr="00AF5E7C" w14:paraId="74FEE5F9" w14:textId="77777777" w:rsidTr="007644FB">
        <w:trPr>
          <w:cantSplit/>
          <w:trHeight w:val="383"/>
        </w:trPr>
        <w:tc>
          <w:tcPr>
            <w:tcW w:w="1891" w:type="pct"/>
            <w:tcBorders>
              <w:top w:val="nil"/>
              <w:bottom w:val="nil"/>
            </w:tcBorders>
            <w:shd w:val="clear" w:color="auto" w:fill="auto"/>
            <w:tcMar>
              <w:top w:w="85" w:type="dxa"/>
              <w:bottom w:w="85" w:type="dxa"/>
            </w:tcMar>
          </w:tcPr>
          <w:p w14:paraId="43F4407D" w14:textId="77777777" w:rsidR="00292B80" w:rsidRPr="00AF5E7C" w:rsidRDefault="00292B80" w:rsidP="005A1F7F">
            <w:pPr>
              <w:rPr>
                <w:rFonts w:ascii="Arial" w:hAnsi="Arial" w:cs="Arial"/>
                <w:sz w:val="16"/>
                <w:szCs w:val="16"/>
              </w:rPr>
            </w:pPr>
          </w:p>
        </w:tc>
        <w:tc>
          <w:tcPr>
            <w:tcW w:w="1524" w:type="pct"/>
            <w:tcBorders>
              <w:top w:val="nil"/>
              <w:bottom w:val="nil"/>
            </w:tcBorders>
            <w:shd w:val="clear" w:color="auto" w:fill="auto"/>
            <w:tcMar>
              <w:top w:w="85" w:type="dxa"/>
              <w:bottom w:w="85" w:type="dxa"/>
            </w:tcMar>
          </w:tcPr>
          <w:p w14:paraId="0C5AE1B1" w14:textId="77777777" w:rsidR="00292B80" w:rsidRPr="006A3FC3" w:rsidRDefault="00292B80" w:rsidP="005A1F7F">
            <w:pPr>
              <w:rPr>
                <w:rFonts w:ascii="Arial" w:hAnsi="Arial" w:cs="Arial"/>
                <w:bCs/>
                <w:sz w:val="16"/>
                <w:szCs w:val="16"/>
              </w:rPr>
            </w:pPr>
            <w:r>
              <w:rPr>
                <w:rFonts w:ascii="Arial" w:hAnsi="Arial" w:cs="Arial"/>
                <w:color w:val="000000"/>
                <w:sz w:val="16"/>
                <w:szCs w:val="16"/>
              </w:rPr>
              <w:t>% of locally sourced goods and services compared to total amount procured for development activity</w:t>
            </w:r>
          </w:p>
        </w:tc>
        <w:tc>
          <w:tcPr>
            <w:tcW w:w="1585" w:type="pct"/>
            <w:tcBorders>
              <w:top w:val="nil"/>
              <w:bottom w:val="nil"/>
            </w:tcBorders>
            <w:shd w:val="clear" w:color="auto" w:fill="FFFFFF"/>
            <w:tcMar>
              <w:top w:w="85" w:type="dxa"/>
              <w:bottom w:w="85" w:type="dxa"/>
            </w:tcMar>
          </w:tcPr>
          <w:p w14:paraId="1590F475"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24</w:t>
            </w:r>
          </w:p>
        </w:tc>
      </w:tr>
      <w:tr w:rsidR="00292B80" w:rsidRPr="00AF5E7C" w14:paraId="47AD5502" w14:textId="77777777" w:rsidTr="007644FB">
        <w:trPr>
          <w:cantSplit/>
          <w:trHeight w:val="515"/>
        </w:trPr>
        <w:tc>
          <w:tcPr>
            <w:tcW w:w="1891" w:type="pct"/>
            <w:tcBorders>
              <w:top w:val="nil"/>
              <w:bottom w:val="single" w:sz="4" w:space="0" w:color="auto"/>
            </w:tcBorders>
            <w:shd w:val="clear" w:color="auto" w:fill="auto"/>
            <w:tcMar>
              <w:top w:w="85" w:type="dxa"/>
              <w:bottom w:w="85" w:type="dxa"/>
            </w:tcMar>
          </w:tcPr>
          <w:p w14:paraId="71C96782" w14:textId="77777777" w:rsidR="00292B80" w:rsidRPr="00AF5E7C" w:rsidRDefault="00292B80" w:rsidP="005A1F7F">
            <w:pPr>
              <w:rPr>
                <w:rFonts w:ascii="Arial" w:hAnsi="Arial" w:cs="Arial"/>
                <w:sz w:val="16"/>
                <w:szCs w:val="16"/>
              </w:rPr>
            </w:pPr>
          </w:p>
        </w:tc>
        <w:tc>
          <w:tcPr>
            <w:tcW w:w="1524" w:type="pct"/>
            <w:tcBorders>
              <w:top w:val="nil"/>
              <w:bottom w:val="single" w:sz="4" w:space="0" w:color="auto"/>
            </w:tcBorders>
            <w:shd w:val="clear" w:color="auto" w:fill="auto"/>
            <w:tcMar>
              <w:top w:w="85" w:type="dxa"/>
              <w:bottom w:w="85" w:type="dxa"/>
            </w:tcMar>
          </w:tcPr>
          <w:p w14:paraId="5694CF33" w14:textId="77777777" w:rsidR="00292B80" w:rsidRPr="00F7400E" w:rsidRDefault="00292B80" w:rsidP="005A1F7F">
            <w:pPr>
              <w:rPr>
                <w:rFonts w:ascii="Arial" w:hAnsi="Arial" w:cs="Arial"/>
                <w:sz w:val="16"/>
                <w:szCs w:val="16"/>
              </w:rPr>
            </w:pPr>
            <w:r>
              <w:rPr>
                <w:rFonts w:ascii="Arial" w:hAnsi="Arial" w:cs="Arial"/>
                <w:color w:val="000000"/>
                <w:sz w:val="16"/>
                <w:szCs w:val="16"/>
              </w:rPr>
              <w:t>% of spend subject to UN leverage (either common tender or piggy-backing)</w:t>
            </w:r>
          </w:p>
        </w:tc>
        <w:tc>
          <w:tcPr>
            <w:tcW w:w="1585" w:type="pct"/>
            <w:tcBorders>
              <w:top w:val="nil"/>
              <w:bottom w:val="single" w:sz="4" w:space="0" w:color="auto"/>
            </w:tcBorders>
            <w:shd w:val="clear" w:color="auto" w:fill="FFFFFF"/>
            <w:tcMar>
              <w:top w:w="85" w:type="dxa"/>
              <w:bottom w:w="85" w:type="dxa"/>
            </w:tcMar>
          </w:tcPr>
          <w:p w14:paraId="25DDC3CD" w14:textId="77777777" w:rsidR="00292B80" w:rsidRPr="00AF5E7C" w:rsidRDefault="00292B80" w:rsidP="005A1F7F">
            <w:pPr>
              <w:ind w:left="768"/>
              <w:rPr>
                <w:rFonts w:ascii="Arial" w:hAnsi="Arial" w:cs="Arial"/>
                <w:sz w:val="16"/>
                <w:szCs w:val="16"/>
                <w:lang w:bidi="th-TH"/>
              </w:rPr>
            </w:pPr>
            <w:r>
              <w:rPr>
                <w:rFonts w:ascii="Arial" w:hAnsi="Arial" w:cs="Arial"/>
                <w:sz w:val="16"/>
                <w:szCs w:val="16"/>
                <w:lang w:bidi="th-TH"/>
              </w:rPr>
              <w:t>Program 24</w:t>
            </w:r>
          </w:p>
        </w:tc>
      </w:tr>
    </w:tbl>
    <w:p w14:paraId="63183B00" w14:textId="77777777" w:rsidR="00A52130" w:rsidRDefault="00A52130">
      <w:pPr>
        <w:rPr>
          <w:rFonts w:ascii="Arial" w:hAnsi="Arial" w:cs="Arial"/>
          <w:bCs/>
          <w:sz w:val="20"/>
        </w:rPr>
      </w:pPr>
    </w:p>
    <w:p w14:paraId="09C4F617" w14:textId="129B6B9B" w:rsidR="00B66294" w:rsidRDefault="00B66294">
      <w:pPr>
        <w:rPr>
          <w:rFonts w:ascii="Arial" w:hAnsi="Arial" w:cs="Arial"/>
          <w:bCs/>
          <w:sz w:val="20"/>
        </w:rPr>
      </w:pPr>
      <w:r>
        <w:rPr>
          <w:rFonts w:ascii="Arial" w:hAnsi="Arial" w:cs="Arial"/>
          <w:bCs/>
          <w:sz w:val="20"/>
        </w:rPr>
        <w:br w:type="page"/>
      </w:r>
    </w:p>
    <w:p w14:paraId="35644957" w14:textId="77777777" w:rsidR="00B66294" w:rsidRPr="00B66294" w:rsidRDefault="00B66294" w:rsidP="00B66294">
      <w:pPr>
        <w:pStyle w:val="StyleStyleHeading3ComplexItalicLatin12pt"/>
        <w:rPr>
          <w:caps w:val="0"/>
        </w:rPr>
      </w:pPr>
      <w:bookmarkStart w:id="65" w:name="_Toc427154422"/>
      <w:r w:rsidRPr="00B66294">
        <w:rPr>
          <w:caps w:val="0"/>
        </w:rPr>
        <w:lastRenderedPageBreak/>
        <w:t xml:space="preserve">PROGRAM 19 </w:t>
      </w:r>
      <w:r w:rsidRPr="00B66294">
        <w:rPr>
          <w:caps w:val="0"/>
        </w:rPr>
        <w:tab/>
        <w:t>COMMUNICATIONS</w:t>
      </w:r>
      <w:bookmarkEnd w:id="65"/>
    </w:p>
    <w:p w14:paraId="635E6632" w14:textId="77777777" w:rsidR="00B66294" w:rsidRPr="00945C16" w:rsidRDefault="00B66294" w:rsidP="00984F70">
      <w:pPr>
        <w:rPr>
          <w:rFonts w:ascii="Arial" w:eastAsia="MS Mincho" w:hAnsi="Arial" w:cs="Arial"/>
          <w:bCs/>
          <w:i/>
        </w:rPr>
      </w:pPr>
    </w:p>
    <w:p w14:paraId="378372F7" w14:textId="77777777" w:rsidR="00B66294" w:rsidRDefault="00B66294" w:rsidP="00984F70">
      <w:pPr>
        <w:rPr>
          <w:rFonts w:ascii="Arial" w:eastAsia="MS Mincho" w:hAnsi="Arial" w:cs="Arial"/>
        </w:rPr>
      </w:pPr>
    </w:p>
    <w:p w14:paraId="48DE4FA9" w14:textId="77777777" w:rsidR="00B66294" w:rsidRPr="00945C16" w:rsidRDefault="00B66294" w:rsidP="00984F70">
      <w:pPr>
        <w:rPr>
          <w:rFonts w:ascii="Arial" w:eastAsia="MS Mincho" w:hAnsi="Arial" w:cs="Arial"/>
        </w:rPr>
      </w:pPr>
      <w:r w:rsidRPr="00945C16">
        <w:rPr>
          <w:rFonts w:ascii="Arial" w:eastAsia="MS Mincho" w:hAnsi="Arial" w:cs="Arial"/>
        </w:rPr>
        <w:t xml:space="preserve">PLANNING CONTEXT    </w:t>
      </w:r>
    </w:p>
    <w:p w14:paraId="13A2EFBF" w14:textId="77777777" w:rsidR="00B66294" w:rsidRPr="00945C16" w:rsidRDefault="00B66294" w:rsidP="00984F70">
      <w:pPr>
        <w:tabs>
          <w:tab w:val="num" w:pos="709"/>
        </w:tabs>
        <w:ind w:left="1140" w:hanging="1140"/>
        <w:jc w:val="both"/>
        <w:rPr>
          <w:rFonts w:ascii="Arial" w:eastAsia="MS Mincho" w:hAnsi="Arial" w:cs="Arial"/>
          <w:bCs/>
        </w:rPr>
      </w:pPr>
    </w:p>
    <w:p w14:paraId="6CD434B2" w14:textId="5B73AB2D" w:rsidR="00B66294" w:rsidRDefault="00B66294" w:rsidP="00B66A4A">
      <w:pPr>
        <w:numPr>
          <w:ilvl w:val="0"/>
          <w:numId w:val="20"/>
        </w:numPr>
        <w:jc w:val="both"/>
        <w:rPr>
          <w:rFonts w:ascii="Arial" w:eastAsia="MS Mincho" w:hAnsi="Arial" w:cs="Arial"/>
          <w:sz w:val="20"/>
        </w:rPr>
      </w:pPr>
      <w:r>
        <w:rPr>
          <w:rFonts w:ascii="Arial" w:eastAsia="MS Mincho" w:hAnsi="Arial" w:cs="Arial"/>
          <w:sz w:val="20"/>
        </w:rPr>
        <w:t>WIPO is a multifaceted</w:t>
      </w:r>
      <w:r w:rsidRPr="00351B9D">
        <w:rPr>
          <w:rFonts w:ascii="Arial" w:eastAsia="MS Mincho" w:hAnsi="Arial" w:cs="Arial"/>
          <w:sz w:val="20"/>
        </w:rPr>
        <w:t xml:space="preserve"> organization dealing with </w:t>
      </w:r>
      <w:r>
        <w:rPr>
          <w:rFonts w:ascii="Arial" w:eastAsia="MS Mincho" w:hAnsi="Arial" w:cs="Arial"/>
          <w:sz w:val="20"/>
        </w:rPr>
        <w:t xml:space="preserve">many </w:t>
      </w:r>
      <w:r w:rsidRPr="00351B9D">
        <w:rPr>
          <w:rFonts w:ascii="Arial" w:eastAsia="MS Mincho" w:hAnsi="Arial" w:cs="Arial"/>
          <w:sz w:val="20"/>
        </w:rPr>
        <w:t>complex subject matters</w:t>
      </w:r>
      <w:r>
        <w:rPr>
          <w:rFonts w:ascii="Arial" w:eastAsia="MS Mincho" w:hAnsi="Arial" w:cs="Arial"/>
          <w:sz w:val="20"/>
        </w:rPr>
        <w:t xml:space="preserve"> </w:t>
      </w:r>
      <w:r w:rsidRPr="00351B9D">
        <w:rPr>
          <w:rFonts w:ascii="Arial" w:eastAsia="MS Mincho" w:hAnsi="Arial" w:cs="Arial"/>
          <w:sz w:val="20"/>
        </w:rPr>
        <w:t xml:space="preserve">and activities. </w:t>
      </w:r>
      <w:r w:rsidR="009843A4">
        <w:rPr>
          <w:rFonts w:ascii="Arial" w:eastAsia="MS Mincho" w:hAnsi="Arial" w:cs="Arial"/>
          <w:sz w:val="20"/>
        </w:rPr>
        <w:t xml:space="preserve"> </w:t>
      </w:r>
      <w:r w:rsidRPr="00351B9D">
        <w:rPr>
          <w:rFonts w:ascii="Arial" w:eastAsia="MS Mincho" w:hAnsi="Arial" w:cs="Arial"/>
          <w:sz w:val="20"/>
        </w:rPr>
        <w:t>The challenge for Communications is to cut through the complexity and connect with diverse audiences worldwide. To build the understanding, engagement and trust needed to fulfill its mandate, WIPO must communicate clearly its purpose, values, and what it does to make IP work for innovation and creativity.</w:t>
      </w:r>
      <w:r w:rsidR="009843A4">
        <w:rPr>
          <w:rFonts w:ascii="Arial" w:eastAsia="MS Mincho" w:hAnsi="Arial" w:cs="Arial"/>
          <w:sz w:val="20"/>
        </w:rPr>
        <w:t xml:space="preserve"> </w:t>
      </w:r>
      <w:r w:rsidRPr="00351B9D">
        <w:rPr>
          <w:rFonts w:ascii="Arial" w:eastAsia="MS Mincho" w:hAnsi="Arial" w:cs="Arial"/>
          <w:sz w:val="20"/>
        </w:rPr>
        <w:t xml:space="preserve"> It must strengthen recognition of its unique position as the global forum for IP, and the demand for WIPO IP tools and services. </w:t>
      </w:r>
    </w:p>
    <w:p w14:paraId="23F6875A" w14:textId="77777777" w:rsidR="00B66294" w:rsidRDefault="00B66294" w:rsidP="00984F70">
      <w:pPr>
        <w:jc w:val="both"/>
        <w:rPr>
          <w:rFonts w:ascii="Arial" w:eastAsia="MS Mincho" w:hAnsi="Arial" w:cs="Arial"/>
          <w:sz w:val="20"/>
        </w:rPr>
      </w:pPr>
    </w:p>
    <w:p w14:paraId="43B356BF" w14:textId="425098CD" w:rsidR="00B66294" w:rsidRPr="00351B9D" w:rsidRDefault="00B66294" w:rsidP="00B66A4A">
      <w:pPr>
        <w:numPr>
          <w:ilvl w:val="0"/>
          <w:numId w:val="20"/>
        </w:numPr>
        <w:jc w:val="both"/>
        <w:rPr>
          <w:rFonts w:ascii="Arial" w:eastAsia="MS Mincho" w:hAnsi="Arial" w:cs="Arial"/>
          <w:sz w:val="20"/>
        </w:rPr>
      </w:pPr>
      <w:r w:rsidRPr="00351B9D">
        <w:rPr>
          <w:rFonts w:ascii="Arial" w:eastAsia="MS Mincho" w:hAnsi="Arial" w:cs="Arial"/>
          <w:sz w:val="20"/>
        </w:rPr>
        <w:t xml:space="preserve">IP is a crowded field, in which WIPO’s marketing and promotional communications for its services, products, events and achievements compete for the attention of stakeholders. </w:t>
      </w:r>
      <w:r w:rsidR="009843A4">
        <w:rPr>
          <w:rFonts w:ascii="Arial" w:eastAsia="MS Mincho" w:hAnsi="Arial" w:cs="Arial"/>
          <w:sz w:val="20"/>
        </w:rPr>
        <w:t xml:space="preserve"> </w:t>
      </w:r>
      <w:r w:rsidRPr="00351B9D">
        <w:rPr>
          <w:rFonts w:ascii="Arial" w:eastAsia="MS Mincho" w:hAnsi="Arial" w:cs="Arial"/>
          <w:sz w:val="20"/>
        </w:rPr>
        <w:t>To maximize impact</w:t>
      </w:r>
      <w:r>
        <w:rPr>
          <w:rFonts w:ascii="Arial" w:eastAsia="MS Mincho" w:hAnsi="Arial" w:cs="Arial"/>
          <w:sz w:val="20"/>
        </w:rPr>
        <w:t xml:space="preserve">, </w:t>
      </w:r>
      <w:r w:rsidRPr="00351B9D">
        <w:rPr>
          <w:rFonts w:ascii="Arial" w:eastAsia="MS Mincho" w:hAnsi="Arial" w:cs="Arial"/>
          <w:sz w:val="20"/>
        </w:rPr>
        <w:t xml:space="preserve">more integrated internal coordination will be required; external partnerships should be more systematically exploited; and WIPO’s communications must be innovative, accessible, engaging and user-centric, with a strong focus on the relevance of IP to people and economies around the world. </w:t>
      </w:r>
      <w:r w:rsidR="009843A4">
        <w:rPr>
          <w:rFonts w:ascii="Arial" w:eastAsia="MS Mincho" w:hAnsi="Arial" w:cs="Arial"/>
          <w:sz w:val="20"/>
        </w:rPr>
        <w:t xml:space="preserve"> </w:t>
      </w:r>
      <w:r w:rsidRPr="00351B9D">
        <w:rPr>
          <w:rFonts w:ascii="Arial" w:eastAsia="MS Mincho" w:hAnsi="Arial" w:cs="Arial"/>
          <w:sz w:val="20"/>
        </w:rPr>
        <w:t>To be able to keep pace with the rapidly evolving global digital communications environment, and to exploit the opportunities presented by new technologies, the focus will continue on building multimedia skills in digital content creation and management, and on accelerati</w:t>
      </w:r>
      <w:r>
        <w:rPr>
          <w:rFonts w:ascii="Arial" w:eastAsia="MS Mincho" w:hAnsi="Arial" w:cs="Arial"/>
          <w:sz w:val="20"/>
        </w:rPr>
        <w:t>ng</w:t>
      </w:r>
      <w:r w:rsidRPr="00351B9D">
        <w:rPr>
          <w:rFonts w:ascii="Arial" w:eastAsia="MS Mincho" w:hAnsi="Arial" w:cs="Arial"/>
          <w:sz w:val="20"/>
        </w:rPr>
        <w:t xml:space="preserve">  the transition from traditional to “born digital” publishing. </w:t>
      </w:r>
    </w:p>
    <w:p w14:paraId="5213A910" w14:textId="77777777" w:rsidR="00B66294" w:rsidRPr="00351B9D" w:rsidRDefault="00B66294" w:rsidP="00984F70">
      <w:pPr>
        <w:jc w:val="both"/>
        <w:rPr>
          <w:rFonts w:ascii="Arial" w:eastAsia="MS Mincho" w:hAnsi="Arial" w:cs="Arial"/>
          <w:sz w:val="20"/>
        </w:rPr>
      </w:pPr>
    </w:p>
    <w:p w14:paraId="5749B62F" w14:textId="77777777" w:rsidR="00B66294" w:rsidRPr="00351B9D" w:rsidRDefault="00B66294" w:rsidP="00B66A4A">
      <w:pPr>
        <w:numPr>
          <w:ilvl w:val="0"/>
          <w:numId w:val="20"/>
        </w:numPr>
        <w:jc w:val="both"/>
        <w:rPr>
          <w:rFonts w:ascii="Arial" w:eastAsia="MS Mincho" w:hAnsi="Arial" w:cs="Arial"/>
          <w:sz w:val="20"/>
        </w:rPr>
      </w:pPr>
      <w:r w:rsidRPr="00351B9D">
        <w:rPr>
          <w:rFonts w:ascii="Arial" w:eastAsia="MS Mincho" w:hAnsi="Arial" w:cs="Arial"/>
          <w:sz w:val="20"/>
        </w:rPr>
        <w:t xml:space="preserve">Good communication and responsiveness constitute an essential element in service delivery </w:t>
      </w:r>
      <w:r>
        <w:rPr>
          <w:rFonts w:ascii="Arial" w:eastAsia="MS Mincho" w:hAnsi="Arial" w:cs="Arial"/>
          <w:sz w:val="20"/>
        </w:rPr>
        <w:noBreakHyphen/>
      </w:r>
      <w:r w:rsidRPr="00351B9D">
        <w:rPr>
          <w:rFonts w:ascii="Arial" w:eastAsia="MS Mincho" w:hAnsi="Arial" w:cs="Arial"/>
          <w:sz w:val="20"/>
        </w:rPr>
        <w:t xml:space="preserve"> both internal and external. WIPO must continue to improve its understanding of the needs and expectations of its many different stakeholders and to foster an Organization-wide culture of service orientation supported by improved technical tools and applications.</w:t>
      </w:r>
    </w:p>
    <w:p w14:paraId="41DF0E14" w14:textId="77777777" w:rsidR="00B66294" w:rsidRPr="00945C16" w:rsidRDefault="00B66294" w:rsidP="00984F70">
      <w:pPr>
        <w:tabs>
          <w:tab w:val="num" w:pos="709"/>
        </w:tabs>
        <w:ind w:left="1140" w:hanging="1140"/>
        <w:jc w:val="both"/>
        <w:rPr>
          <w:rFonts w:ascii="Arial" w:eastAsia="MS Mincho" w:hAnsi="Arial" w:cs="Arial"/>
        </w:rPr>
      </w:pPr>
    </w:p>
    <w:p w14:paraId="252BE969" w14:textId="77777777" w:rsidR="00B66294" w:rsidRDefault="00B66294" w:rsidP="00984F70">
      <w:pPr>
        <w:jc w:val="both"/>
        <w:rPr>
          <w:rFonts w:ascii="Arial" w:eastAsia="MS Mincho" w:hAnsi="Arial" w:cs="Arial"/>
        </w:rPr>
      </w:pPr>
    </w:p>
    <w:p w14:paraId="20A63A50" w14:textId="77777777" w:rsidR="00B66294" w:rsidRPr="00945C16" w:rsidRDefault="00B66294" w:rsidP="00984F70">
      <w:pPr>
        <w:jc w:val="both"/>
        <w:rPr>
          <w:rFonts w:ascii="Arial" w:eastAsia="MS Mincho" w:hAnsi="Arial" w:cs="Arial"/>
        </w:rPr>
      </w:pPr>
      <w:r w:rsidRPr="00945C16">
        <w:rPr>
          <w:rFonts w:ascii="Arial" w:eastAsia="MS Mincho" w:hAnsi="Arial" w:cs="Arial"/>
        </w:rPr>
        <w:t xml:space="preserve">IMPLEMENTATION STRATEGIES   </w:t>
      </w:r>
    </w:p>
    <w:p w14:paraId="2417C862" w14:textId="77777777" w:rsidR="00B66294" w:rsidRDefault="00B66294" w:rsidP="00984F70">
      <w:pPr>
        <w:tabs>
          <w:tab w:val="num" w:pos="709"/>
        </w:tabs>
        <w:jc w:val="both"/>
        <w:rPr>
          <w:rFonts w:ascii="Arial" w:eastAsia="MS Mincho" w:hAnsi="Arial" w:cs="Arial"/>
        </w:rPr>
      </w:pPr>
    </w:p>
    <w:p w14:paraId="3F6F2FB8" w14:textId="77777777" w:rsidR="00B66294" w:rsidRPr="00351B9D" w:rsidRDefault="00B66294" w:rsidP="00B66A4A">
      <w:pPr>
        <w:numPr>
          <w:ilvl w:val="0"/>
          <w:numId w:val="20"/>
        </w:numPr>
        <w:jc w:val="both"/>
        <w:rPr>
          <w:rFonts w:ascii="Arial" w:eastAsia="MS Mincho" w:hAnsi="Arial" w:cs="Arial"/>
          <w:sz w:val="20"/>
        </w:rPr>
      </w:pPr>
      <w:r w:rsidRPr="00351B9D">
        <w:rPr>
          <w:rFonts w:ascii="Arial" w:eastAsia="MS Mincho" w:hAnsi="Arial" w:cs="Arial"/>
          <w:sz w:val="20"/>
        </w:rPr>
        <w:t xml:space="preserve">The work of Program 19 in 2016/17 should result in effective communication about IP and WIPO. The success of the Program’s contribution will be measured through increased reach of public information content, including publications, videos, visuals, media materials and web-based resources; as well as </w:t>
      </w:r>
      <w:r>
        <w:rPr>
          <w:rFonts w:ascii="Arial" w:eastAsia="MS Mincho" w:hAnsi="Arial" w:cs="Arial"/>
          <w:sz w:val="20"/>
        </w:rPr>
        <w:t>enhanced</w:t>
      </w:r>
      <w:r w:rsidRPr="00351B9D">
        <w:rPr>
          <w:rFonts w:ascii="Arial" w:eastAsia="MS Mincho" w:hAnsi="Arial" w:cs="Arial"/>
          <w:sz w:val="20"/>
        </w:rPr>
        <w:t xml:space="preserve"> stakeholder engagement on social media platforms and in events. Successful communication of key events and achievements will result in increased visibility in international media, and in positive</w:t>
      </w:r>
      <w:r>
        <w:rPr>
          <w:rFonts w:ascii="Arial" w:eastAsia="MS Mincho" w:hAnsi="Arial" w:cs="Arial"/>
          <w:sz w:val="20"/>
        </w:rPr>
        <w:t xml:space="preserve"> </w:t>
      </w:r>
      <w:r w:rsidRPr="00351B9D">
        <w:rPr>
          <w:rFonts w:ascii="Arial" w:eastAsia="MS Mincho" w:hAnsi="Arial" w:cs="Arial"/>
          <w:sz w:val="20"/>
        </w:rPr>
        <w:t>recognition of WIPO’s role and reputation by stakeholders. Improved responsiveness in handling external enquiries will result in an increased stakeholder satisfaction rate.</w:t>
      </w:r>
      <w:r>
        <w:rPr>
          <w:rFonts w:ascii="Arial" w:eastAsia="MS Mincho" w:hAnsi="Arial" w:cs="Arial"/>
          <w:sz w:val="20"/>
        </w:rPr>
        <w:t xml:space="preserve">  S</w:t>
      </w:r>
      <w:r w:rsidRPr="00351B9D">
        <w:rPr>
          <w:rFonts w:ascii="Arial" w:eastAsia="MS Mincho" w:hAnsi="Arial" w:cs="Arial"/>
          <w:sz w:val="20"/>
        </w:rPr>
        <w:t>trategies to achieve these results will continue to include the following:</w:t>
      </w:r>
    </w:p>
    <w:p w14:paraId="278670B3" w14:textId="77777777" w:rsidR="00B66294" w:rsidRPr="00351B9D" w:rsidRDefault="00B66294" w:rsidP="00984F70">
      <w:pPr>
        <w:jc w:val="both"/>
        <w:rPr>
          <w:rFonts w:ascii="Arial" w:eastAsia="MS Mincho" w:hAnsi="Arial" w:cs="Arial"/>
          <w:sz w:val="20"/>
        </w:rPr>
      </w:pPr>
    </w:p>
    <w:p w14:paraId="6B9E481C" w14:textId="77777777" w:rsidR="00B66294" w:rsidRPr="00351B9D" w:rsidRDefault="00B66294" w:rsidP="00984F70">
      <w:pPr>
        <w:tabs>
          <w:tab w:val="left" w:pos="1100"/>
        </w:tabs>
        <w:ind w:left="567"/>
        <w:jc w:val="both"/>
        <w:rPr>
          <w:rFonts w:ascii="Arial" w:eastAsia="MS Mincho" w:hAnsi="Arial" w:cs="Arial"/>
          <w:iCs/>
          <w:sz w:val="20"/>
        </w:rPr>
      </w:pPr>
      <w:r w:rsidRPr="00260AD8">
        <w:rPr>
          <w:rFonts w:ascii="Arial" w:eastAsia="MS Mincho" w:hAnsi="Arial" w:cs="Arial"/>
          <w:iCs/>
          <w:sz w:val="20"/>
        </w:rPr>
        <w:t>(i)</w:t>
      </w:r>
      <w:r>
        <w:rPr>
          <w:rFonts w:ascii="Arial" w:eastAsia="MS Mincho" w:hAnsi="Arial" w:cs="Arial"/>
          <w:i/>
          <w:iCs/>
          <w:sz w:val="20"/>
        </w:rPr>
        <w:tab/>
      </w:r>
      <w:r w:rsidRPr="00351B9D">
        <w:rPr>
          <w:rFonts w:ascii="Arial" w:eastAsia="MS Mincho" w:hAnsi="Arial" w:cs="Arial"/>
          <w:i/>
          <w:iCs/>
          <w:sz w:val="20"/>
        </w:rPr>
        <w:t>Prioritization.</w:t>
      </w:r>
      <w:r>
        <w:rPr>
          <w:rFonts w:ascii="Arial" w:eastAsia="MS Mincho" w:hAnsi="Arial" w:cs="Arial"/>
          <w:i/>
          <w:iCs/>
          <w:sz w:val="20"/>
        </w:rPr>
        <w:t xml:space="preserve"> </w:t>
      </w:r>
      <w:r w:rsidRPr="00351B9D">
        <w:rPr>
          <w:rFonts w:ascii="Arial" w:eastAsia="MS Mincho" w:hAnsi="Arial" w:cs="Arial"/>
          <w:i/>
          <w:iCs/>
          <w:sz w:val="20"/>
        </w:rPr>
        <w:t xml:space="preserve"> </w:t>
      </w:r>
      <w:r w:rsidRPr="00351B9D">
        <w:rPr>
          <w:rFonts w:ascii="Arial" w:eastAsia="MS Mincho" w:hAnsi="Arial" w:cs="Arial"/>
          <w:bCs/>
          <w:iCs/>
          <w:sz w:val="20"/>
        </w:rPr>
        <w:t xml:space="preserve">Focus will be tightened on content production in support of top organizational objectives. </w:t>
      </w:r>
      <w:r w:rsidRPr="00351B9D">
        <w:rPr>
          <w:rFonts w:ascii="Arial" w:eastAsia="MS Mincho" w:hAnsi="Arial" w:cs="Arial"/>
          <w:sz w:val="20"/>
        </w:rPr>
        <w:t xml:space="preserve">A limited number of major WIPO events, products and achievements will be identified each year as strategic communications and marketing priorities. </w:t>
      </w:r>
      <w:r>
        <w:rPr>
          <w:rFonts w:ascii="Arial" w:eastAsia="MS Mincho" w:hAnsi="Arial" w:cs="Arial"/>
          <w:sz w:val="20"/>
        </w:rPr>
        <w:t xml:space="preserve"> </w:t>
      </w:r>
      <w:r w:rsidRPr="00351B9D">
        <w:rPr>
          <w:rFonts w:ascii="Arial" w:eastAsia="MS Mincho" w:hAnsi="Arial" w:cs="Arial"/>
          <w:sz w:val="20"/>
        </w:rPr>
        <w:t xml:space="preserve">These will be given higher media visibility, with tailored communications plans as a means of mobilizing available resources for greater impact and reach. </w:t>
      </w:r>
      <w:r>
        <w:rPr>
          <w:rFonts w:ascii="Arial" w:eastAsia="MS Mincho" w:hAnsi="Arial" w:cs="Arial"/>
          <w:sz w:val="20"/>
        </w:rPr>
        <w:t xml:space="preserve"> </w:t>
      </w:r>
      <w:r>
        <w:rPr>
          <w:rFonts w:ascii="Arial" w:eastAsia="MS Mincho" w:hAnsi="Arial" w:cs="Arial"/>
          <w:bCs/>
          <w:sz w:val="20"/>
        </w:rPr>
        <w:t>S</w:t>
      </w:r>
      <w:r w:rsidRPr="00351B9D">
        <w:rPr>
          <w:rFonts w:ascii="Arial" w:eastAsia="MS Mincho" w:hAnsi="Arial" w:cs="Arial"/>
          <w:bCs/>
          <w:sz w:val="20"/>
        </w:rPr>
        <w:t xml:space="preserve">trategic media partnerships </w:t>
      </w:r>
      <w:r>
        <w:rPr>
          <w:rFonts w:ascii="Arial" w:eastAsia="MS Mincho" w:hAnsi="Arial" w:cs="Arial"/>
          <w:bCs/>
          <w:sz w:val="20"/>
        </w:rPr>
        <w:t xml:space="preserve">will be developed </w:t>
      </w:r>
      <w:r w:rsidRPr="00351B9D">
        <w:rPr>
          <w:rFonts w:ascii="Arial" w:eastAsia="MS Mincho" w:hAnsi="Arial" w:cs="Arial"/>
          <w:bCs/>
          <w:sz w:val="20"/>
        </w:rPr>
        <w:t>to increase the visibility and reach of high profile events. Newly-developed marketing tools</w:t>
      </w:r>
      <w:r>
        <w:rPr>
          <w:rFonts w:ascii="Arial" w:eastAsia="MS Mincho" w:hAnsi="Arial" w:cs="Arial"/>
          <w:bCs/>
          <w:sz w:val="20"/>
        </w:rPr>
        <w:t>,</w:t>
      </w:r>
      <w:r w:rsidRPr="00351B9D">
        <w:rPr>
          <w:rFonts w:ascii="Arial" w:eastAsia="MS Mincho" w:hAnsi="Arial" w:cs="Arial"/>
          <w:bCs/>
          <w:sz w:val="20"/>
        </w:rPr>
        <w:t xml:space="preserve"> such as the </w:t>
      </w:r>
      <w:r>
        <w:rPr>
          <w:rFonts w:ascii="Arial" w:eastAsia="MS Mincho" w:hAnsi="Arial" w:cs="Arial"/>
          <w:sz w:val="20"/>
        </w:rPr>
        <w:t xml:space="preserve">central Contact Database </w:t>
      </w:r>
      <w:r w:rsidRPr="00351B9D">
        <w:rPr>
          <w:rFonts w:ascii="Arial" w:eastAsia="MS Mincho" w:hAnsi="Arial" w:cs="Arial"/>
          <w:sz w:val="20"/>
        </w:rPr>
        <w:t>and email newsletter platform</w:t>
      </w:r>
      <w:r>
        <w:rPr>
          <w:rFonts w:ascii="Arial" w:eastAsia="MS Mincho" w:hAnsi="Arial" w:cs="Arial"/>
          <w:sz w:val="20"/>
        </w:rPr>
        <w:t>,</w:t>
      </w:r>
      <w:r w:rsidRPr="00351B9D">
        <w:rPr>
          <w:rFonts w:ascii="Arial" w:eastAsia="MS Mincho" w:hAnsi="Arial" w:cs="Arial"/>
          <w:sz w:val="20"/>
        </w:rPr>
        <w:t xml:space="preserve"> will help ensure that promotional communications reach intended audiences.</w:t>
      </w:r>
    </w:p>
    <w:p w14:paraId="32414625" w14:textId="77777777" w:rsidR="00B66294" w:rsidRPr="00351B9D" w:rsidRDefault="00B66294" w:rsidP="00984F70">
      <w:pPr>
        <w:tabs>
          <w:tab w:val="left" w:pos="1100"/>
        </w:tabs>
        <w:ind w:left="567"/>
        <w:jc w:val="both"/>
        <w:rPr>
          <w:rFonts w:ascii="Arial" w:eastAsia="MS Mincho" w:hAnsi="Arial" w:cs="Arial"/>
          <w:sz w:val="20"/>
        </w:rPr>
      </w:pPr>
    </w:p>
    <w:p w14:paraId="0D2CC98B" w14:textId="77777777" w:rsidR="00B66294" w:rsidRPr="00351B9D" w:rsidRDefault="00B66294" w:rsidP="00984F70">
      <w:pPr>
        <w:tabs>
          <w:tab w:val="left" w:pos="1100"/>
        </w:tabs>
        <w:ind w:left="567"/>
        <w:jc w:val="both"/>
        <w:rPr>
          <w:rFonts w:ascii="Arial" w:eastAsia="MS Mincho" w:hAnsi="Arial" w:cs="Arial"/>
          <w:iCs/>
          <w:sz w:val="20"/>
        </w:rPr>
      </w:pPr>
      <w:r w:rsidRPr="00260AD8">
        <w:rPr>
          <w:rFonts w:ascii="Arial" w:eastAsia="MS Mincho" w:hAnsi="Arial" w:cs="Arial"/>
          <w:sz w:val="20"/>
        </w:rPr>
        <w:t>(ii)</w:t>
      </w:r>
      <w:r>
        <w:rPr>
          <w:rFonts w:ascii="Arial" w:eastAsia="MS Mincho" w:hAnsi="Arial" w:cs="Arial"/>
          <w:i/>
          <w:sz w:val="20"/>
        </w:rPr>
        <w:tab/>
      </w:r>
      <w:r w:rsidRPr="00351B9D">
        <w:rPr>
          <w:rFonts w:ascii="Arial" w:eastAsia="MS Mincho" w:hAnsi="Arial" w:cs="Arial"/>
          <w:i/>
          <w:sz w:val="20"/>
        </w:rPr>
        <w:t>User-focused content and delivery</w:t>
      </w:r>
      <w:r w:rsidRPr="00351B9D">
        <w:rPr>
          <w:rFonts w:ascii="Arial" w:eastAsia="MS Mincho" w:hAnsi="Arial" w:cs="Arial"/>
          <w:sz w:val="20"/>
        </w:rPr>
        <w:t xml:space="preserve">. </w:t>
      </w:r>
      <w:r>
        <w:rPr>
          <w:rFonts w:ascii="Arial" w:eastAsia="MS Mincho" w:hAnsi="Arial" w:cs="Arial"/>
          <w:sz w:val="20"/>
        </w:rPr>
        <w:t xml:space="preserve"> </w:t>
      </w:r>
      <w:r w:rsidRPr="00351B9D">
        <w:rPr>
          <w:rFonts w:ascii="Arial" w:eastAsia="MS Mincho" w:hAnsi="Arial" w:cs="Arial"/>
          <w:sz w:val="20"/>
        </w:rPr>
        <w:t>High quality content, from data-based information products to IP stories, will be created, tailored and disseminated through diverse channels to meet the needs and interests of different audiences and different levels of IP knowledge.</w:t>
      </w:r>
      <w:r w:rsidRPr="00351B9D">
        <w:rPr>
          <w:rFonts w:ascii="Arial" w:eastAsia="MS Mincho" w:hAnsi="Arial" w:cs="Arial"/>
          <w:iCs/>
          <w:sz w:val="20"/>
        </w:rPr>
        <w:t xml:space="preserve">  Close attention will continue to be paid to geographical considerations and gender balance; and to telling the stories of how innovators around the world are using IP to improve lives. </w:t>
      </w:r>
      <w:r>
        <w:rPr>
          <w:rFonts w:ascii="Arial" w:eastAsia="MS Mincho" w:hAnsi="Arial" w:cs="Arial"/>
          <w:iCs/>
          <w:sz w:val="20"/>
        </w:rPr>
        <w:t xml:space="preserve"> </w:t>
      </w:r>
      <w:r w:rsidRPr="00351B9D">
        <w:rPr>
          <w:rFonts w:ascii="Arial" w:eastAsia="MS Mincho" w:hAnsi="Arial" w:cs="Arial"/>
          <w:sz w:val="20"/>
        </w:rPr>
        <w:t xml:space="preserve">The new </w:t>
      </w:r>
      <w:r w:rsidRPr="00351B9D">
        <w:rPr>
          <w:rFonts w:ascii="Arial" w:eastAsia="MS Mincho" w:hAnsi="Arial" w:cs="Arial"/>
          <w:i/>
          <w:sz w:val="20"/>
        </w:rPr>
        <w:t>WIPO Wire</w:t>
      </w:r>
      <w:r w:rsidRPr="00351B9D">
        <w:rPr>
          <w:rFonts w:ascii="Arial" w:eastAsia="MS Mincho" w:hAnsi="Arial" w:cs="Arial"/>
          <w:sz w:val="20"/>
        </w:rPr>
        <w:t xml:space="preserve"> fortnightly newsletter will help stakeholders stay abreast of WIPO news and resources; and the new mailing platform will </w:t>
      </w:r>
      <w:r>
        <w:rPr>
          <w:rFonts w:ascii="Arial" w:eastAsia="MS Mincho" w:hAnsi="Arial" w:cs="Arial"/>
          <w:sz w:val="20"/>
        </w:rPr>
        <w:t>make</w:t>
      </w:r>
      <w:r w:rsidRPr="00351B9D">
        <w:rPr>
          <w:rFonts w:ascii="Arial" w:eastAsia="MS Mincho" w:hAnsi="Arial" w:cs="Arial"/>
          <w:sz w:val="20"/>
        </w:rPr>
        <w:t xml:space="preserve"> all WIPO’s e-newsletters and e-alerts</w:t>
      </w:r>
      <w:r>
        <w:rPr>
          <w:rFonts w:ascii="Arial" w:eastAsia="MS Mincho" w:hAnsi="Arial" w:cs="Arial"/>
          <w:sz w:val="20"/>
        </w:rPr>
        <w:t xml:space="preserve"> more user-friendly</w:t>
      </w:r>
      <w:r w:rsidRPr="00351B9D">
        <w:rPr>
          <w:rFonts w:ascii="Arial" w:eastAsia="MS Mincho" w:hAnsi="Arial" w:cs="Arial"/>
          <w:sz w:val="20"/>
        </w:rPr>
        <w:t xml:space="preserve">. </w:t>
      </w:r>
      <w:r>
        <w:rPr>
          <w:rFonts w:ascii="Arial" w:eastAsia="MS Mincho" w:hAnsi="Arial" w:cs="Arial"/>
          <w:sz w:val="20"/>
        </w:rPr>
        <w:t>F</w:t>
      </w:r>
      <w:r w:rsidRPr="00351B9D">
        <w:rPr>
          <w:rFonts w:ascii="Arial" w:eastAsia="MS Mincho" w:hAnsi="Arial" w:cs="Arial"/>
          <w:sz w:val="20"/>
        </w:rPr>
        <w:t xml:space="preserve">urther improvements to the information architecture, design and content </w:t>
      </w:r>
      <w:r>
        <w:rPr>
          <w:rFonts w:ascii="Arial" w:eastAsia="MS Mincho" w:hAnsi="Arial" w:cs="Arial"/>
          <w:sz w:val="20"/>
        </w:rPr>
        <w:t>o</w:t>
      </w:r>
      <w:r w:rsidRPr="004314D4">
        <w:rPr>
          <w:rFonts w:ascii="Arial" w:eastAsia="MS Mincho" w:hAnsi="Arial" w:cs="Arial"/>
          <w:sz w:val="20"/>
        </w:rPr>
        <w:t xml:space="preserve">n the WIPO website </w:t>
      </w:r>
      <w:r w:rsidRPr="00351B9D">
        <w:rPr>
          <w:rFonts w:ascii="Arial" w:eastAsia="MS Mincho" w:hAnsi="Arial" w:cs="Arial"/>
          <w:sz w:val="20"/>
        </w:rPr>
        <w:t>will help different users find what they need more easily</w:t>
      </w:r>
      <w:r>
        <w:rPr>
          <w:rFonts w:ascii="Arial" w:eastAsia="MS Mincho" w:hAnsi="Arial" w:cs="Arial"/>
          <w:sz w:val="20"/>
        </w:rPr>
        <w:t xml:space="preserve">. </w:t>
      </w:r>
      <w:r w:rsidRPr="00351B9D">
        <w:rPr>
          <w:rFonts w:ascii="Arial" w:eastAsia="MS Mincho" w:hAnsi="Arial" w:cs="Arial"/>
          <w:sz w:val="20"/>
        </w:rPr>
        <w:t xml:space="preserve"> Analytics tools will provide insights to help gauge communications effectiveness and better serve users’ interests. </w:t>
      </w:r>
    </w:p>
    <w:p w14:paraId="0A3C93A5" w14:textId="77777777" w:rsidR="00B66294" w:rsidRPr="00351B9D" w:rsidRDefault="00B66294" w:rsidP="00984F70">
      <w:pPr>
        <w:tabs>
          <w:tab w:val="left" w:pos="1100"/>
        </w:tabs>
        <w:ind w:left="567"/>
        <w:jc w:val="both"/>
        <w:rPr>
          <w:rFonts w:ascii="Arial" w:eastAsia="MS Mincho" w:hAnsi="Arial" w:cs="Arial"/>
          <w:sz w:val="20"/>
        </w:rPr>
      </w:pPr>
    </w:p>
    <w:p w14:paraId="50F8D29E" w14:textId="7F7AC1E6" w:rsidR="00B66294" w:rsidRPr="00351B9D" w:rsidRDefault="00B66294" w:rsidP="00984F70">
      <w:pPr>
        <w:tabs>
          <w:tab w:val="left" w:pos="1100"/>
        </w:tabs>
        <w:ind w:left="567"/>
        <w:jc w:val="both"/>
        <w:rPr>
          <w:rFonts w:ascii="Arial" w:eastAsia="MS Mincho" w:hAnsi="Arial" w:cs="Arial"/>
          <w:sz w:val="20"/>
        </w:rPr>
      </w:pPr>
      <w:r w:rsidRPr="00260AD8">
        <w:rPr>
          <w:rFonts w:ascii="Arial" w:eastAsia="MS Mincho" w:hAnsi="Arial" w:cs="Arial"/>
          <w:iCs/>
          <w:sz w:val="20"/>
        </w:rPr>
        <w:t>(ii</w:t>
      </w:r>
      <w:r w:rsidR="009843A4" w:rsidRPr="00260AD8">
        <w:rPr>
          <w:rFonts w:ascii="Arial" w:eastAsia="MS Mincho" w:hAnsi="Arial" w:cs="Arial"/>
          <w:iCs/>
          <w:sz w:val="20"/>
        </w:rPr>
        <w:t>i</w:t>
      </w:r>
      <w:r w:rsidRPr="00260AD8">
        <w:rPr>
          <w:rFonts w:ascii="Arial" w:eastAsia="MS Mincho" w:hAnsi="Arial" w:cs="Arial"/>
          <w:iCs/>
          <w:sz w:val="20"/>
        </w:rPr>
        <w:t>)</w:t>
      </w:r>
      <w:r>
        <w:rPr>
          <w:rFonts w:ascii="Arial" w:eastAsia="MS Mincho" w:hAnsi="Arial" w:cs="Arial"/>
          <w:i/>
          <w:iCs/>
          <w:sz w:val="20"/>
        </w:rPr>
        <w:tab/>
      </w:r>
      <w:r w:rsidRPr="00351B9D">
        <w:rPr>
          <w:rFonts w:ascii="Arial" w:eastAsia="MS Mincho" w:hAnsi="Arial" w:cs="Arial"/>
          <w:i/>
          <w:iCs/>
          <w:sz w:val="20"/>
        </w:rPr>
        <w:t>Widening access.</w:t>
      </w:r>
      <w:r>
        <w:rPr>
          <w:rFonts w:ascii="Arial" w:eastAsia="MS Mincho" w:hAnsi="Arial" w:cs="Arial"/>
          <w:i/>
          <w:iCs/>
          <w:sz w:val="20"/>
        </w:rPr>
        <w:t xml:space="preserve"> </w:t>
      </w:r>
      <w:r w:rsidRPr="00351B9D">
        <w:rPr>
          <w:rFonts w:ascii="Arial" w:eastAsia="MS Mincho" w:hAnsi="Arial" w:cs="Arial"/>
          <w:i/>
          <w:iCs/>
          <w:sz w:val="20"/>
        </w:rPr>
        <w:t xml:space="preserve"> </w:t>
      </w:r>
      <w:r w:rsidRPr="00351B9D">
        <w:rPr>
          <w:rFonts w:ascii="Arial" w:eastAsia="MS Mincho" w:hAnsi="Arial" w:cs="Arial"/>
          <w:sz w:val="20"/>
        </w:rPr>
        <w:t xml:space="preserve">The WIPO Open Access policy – supported by Creative Commons licensing tools - will be rolled out on the website. </w:t>
      </w:r>
      <w:r>
        <w:rPr>
          <w:rFonts w:ascii="Arial" w:eastAsia="MS Mincho" w:hAnsi="Arial" w:cs="Arial"/>
          <w:sz w:val="20"/>
        </w:rPr>
        <w:t>A</w:t>
      </w:r>
      <w:r w:rsidRPr="00351B9D">
        <w:rPr>
          <w:rFonts w:ascii="Arial" w:eastAsia="MS Mincho" w:hAnsi="Arial" w:cs="Arial"/>
          <w:sz w:val="20"/>
        </w:rPr>
        <w:t xml:space="preserve"> new comprehensive, text-searchable, online </w:t>
      </w:r>
      <w:r w:rsidRPr="00351B9D">
        <w:rPr>
          <w:rFonts w:ascii="Arial" w:eastAsia="MS Mincho" w:hAnsi="Arial" w:cs="Arial"/>
          <w:sz w:val="20"/>
        </w:rPr>
        <w:lastRenderedPageBreak/>
        <w:t xml:space="preserve">publication platform (launched in 2015 together with print-on-demand) will make all WIPO publications and studies freely and easily available online, including facilitating access to different language versions. Archived WIPO publications will be digitized and added to the collection.  Alternative formats of WIPO flagship titles will be explored for wider accessibility, and to build on WIPO’s commitments to accessible publishing.  In the Library, as many ebooks and journals as possible will be made available in electronic format for WIPO staff and visitors. The WIPO Depository Library program will continue to respond to requests from developing countries for printed and digital IP reference materials.  </w:t>
      </w:r>
    </w:p>
    <w:p w14:paraId="74B4E1A5" w14:textId="77777777" w:rsidR="00B66294" w:rsidRPr="00351B9D" w:rsidRDefault="00B66294" w:rsidP="00984F70">
      <w:pPr>
        <w:tabs>
          <w:tab w:val="left" w:pos="1100"/>
        </w:tabs>
        <w:ind w:left="567"/>
        <w:jc w:val="both"/>
        <w:rPr>
          <w:rFonts w:ascii="Arial" w:eastAsia="MS Mincho" w:hAnsi="Arial" w:cs="Arial"/>
          <w:sz w:val="20"/>
        </w:rPr>
      </w:pPr>
    </w:p>
    <w:p w14:paraId="5A416682" w14:textId="77777777" w:rsidR="00B66294" w:rsidRPr="00351B9D" w:rsidRDefault="00B66294" w:rsidP="00984F70">
      <w:pPr>
        <w:tabs>
          <w:tab w:val="left" w:pos="1100"/>
        </w:tabs>
        <w:ind w:left="567"/>
        <w:jc w:val="both"/>
        <w:rPr>
          <w:rFonts w:ascii="Arial" w:eastAsia="MS Mincho" w:hAnsi="Arial" w:cs="Arial"/>
          <w:bCs/>
          <w:sz w:val="20"/>
        </w:rPr>
      </w:pPr>
      <w:r w:rsidRPr="00260AD8">
        <w:rPr>
          <w:rFonts w:ascii="Arial" w:eastAsia="MS Mincho" w:hAnsi="Arial" w:cs="Arial"/>
          <w:iCs/>
          <w:sz w:val="20"/>
        </w:rPr>
        <w:t>(iv</w:t>
      </w:r>
      <w:r>
        <w:rPr>
          <w:rFonts w:ascii="Arial" w:eastAsia="MS Mincho" w:hAnsi="Arial" w:cs="Arial"/>
          <w:i/>
          <w:iCs/>
          <w:sz w:val="20"/>
        </w:rPr>
        <w:t>)</w:t>
      </w:r>
      <w:r>
        <w:rPr>
          <w:rFonts w:ascii="Arial" w:eastAsia="MS Mincho" w:hAnsi="Arial" w:cs="Arial"/>
          <w:i/>
          <w:iCs/>
          <w:sz w:val="20"/>
        </w:rPr>
        <w:tab/>
      </w:r>
      <w:r w:rsidRPr="00351B9D">
        <w:rPr>
          <w:rFonts w:ascii="Arial" w:eastAsia="MS Mincho" w:hAnsi="Arial" w:cs="Arial"/>
          <w:i/>
          <w:iCs/>
          <w:sz w:val="20"/>
        </w:rPr>
        <w:t xml:space="preserve">Stakeholder engagement. </w:t>
      </w:r>
      <w:r>
        <w:rPr>
          <w:rFonts w:ascii="Arial" w:eastAsia="MS Mincho" w:hAnsi="Arial" w:cs="Arial"/>
          <w:i/>
          <w:iCs/>
          <w:sz w:val="20"/>
        </w:rPr>
        <w:t xml:space="preserve"> </w:t>
      </w:r>
      <w:r w:rsidRPr="00351B9D">
        <w:rPr>
          <w:rFonts w:ascii="Arial" w:eastAsia="MS Mincho" w:hAnsi="Arial" w:cs="Arial"/>
          <w:iCs/>
          <w:sz w:val="20"/>
        </w:rPr>
        <w:t xml:space="preserve">Program 19 will continue to lead the integration and expansion of social media tools and strategies to enable multi-directional communication, improve WIPO’s responsiveness, and increase the direct engagement and voice of stakeholders. </w:t>
      </w:r>
      <w:r>
        <w:rPr>
          <w:rFonts w:ascii="Arial" w:eastAsia="MS Mincho" w:hAnsi="Arial" w:cs="Arial"/>
          <w:iCs/>
          <w:sz w:val="20"/>
        </w:rPr>
        <w:t xml:space="preserve"> </w:t>
      </w:r>
      <w:r w:rsidRPr="00351B9D">
        <w:rPr>
          <w:rFonts w:ascii="Arial" w:eastAsia="MS Mincho" w:hAnsi="Arial" w:cs="Arial"/>
          <w:sz w:val="20"/>
        </w:rPr>
        <w:t>Shareable media content will be created and disseminated via a greater diversity of platforms.</w:t>
      </w:r>
      <w:r>
        <w:rPr>
          <w:rFonts w:ascii="Arial" w:eastAsia="MS Mincho" w:hAnsi="Arial" w:cs="Arial"/>
          <w:sz w:val="20"/>
        </w:rPr>
        <w:t xml:space="preserve"> </w:t>
      </w:r>
      <w:r w:rsidRPr="00351B9D">
        <w:rPr>
          <w:rFonts w:ascii="Arial" w:eastAsia="MS Mincho" w:hAnsi="Arial" w:cs="Arial"/>
          <w:iCs/>
          <w:sz w:val="20"/>
        </w:rPr>
        <w:t xml:space="preserve"> </w:t>
      </w:r>
      <w:r w:rsidRPr="00351B9D">
        <w:rPr>
          <w:rFonts w:ascii="Arial" w:eastAsia="MS Mincho" w:hAnsi="Arial" w:cs="Arial"/>
          <w:sz w:val="20"/>
        </w:rPr>
        <w:t xml:space="preserve">A more interactive online WIPO Magazine will be launched.  </w:t>
      </w:r>
      <w:r w:rsidRPr="00351B9D">
        <w:rPr>
          <w:rFonts w:ascii="Arial" w:eastAsia="MS Mincho" w:hAnsi="Arial" w:cs="Arial"/>
          <w:iCs/>
          <w:sz w:val="20"/>
        </w:rPr>
        <w:t xml:space="preserve">The annual World IP Day campaign will be further expanded as a popular platform for connecting with new audiences and promoting the positive association between IP and innovation. </w:t>
      </w:r>
      <w:r>
        <w:rPr>
          <w:rFonts w:ascii="Arial" w:eastAsia="MS Mincho" w:hAnsi="Arial" w:cs="Arial"/>
          <w:iCs/>
          <w:sz w:val="20"/>
        </w:rPr>
        <w:t xml:space="preserve"> </w:t>
      </w:r>
      <w:r w:rsidRPr="00351B9D">
        <w:rPr>
          <w:rFonts w:ascii="Arial" w:eastAsia="MS Mincho" w:hAnsi="Arial" w:cs="Arial"/>
          <w:bCs/>
          <w:sz w:val="20"/>
        </w:rPr>
        <w:t xml:space="preserve">Media engagement will remain a powerful tool. To strengthen WIPO’s position as the world reference source and trusted authority on IP, </w:t>
      </w:r>
      <w:r w:rsidRPr="00351B9D">
        <w:rPr>
          <w:rFonts w:ascii="Arial" w:eastAsia="MS Mincho" w:hAnsi="Arial" w:cs="Arial"/>
          <w:bCs/>
          <w:iCs/>
          <w:sz w:val="20"/>
        </w:rPr>
        <w:t xml:space="preserve">and to help change public perceptions where necessary, </w:t>
      </w:r>
      <w:r w:rsidRPr="00351B9D">
        <w:rPr>
          <w:rFonts w:ascii="Arial" w:eastAsia="MS Mincho" w:hAnsi="Arial" w:cs="Arial"/>
          <w:bCs/>
          <w:sz w:val="20"/>
        </w:rPr>
        <w:t xml:space="preserve">there will be continued </w:t>
      </w:r>
      <w:r w:rsidRPr="00351B9D">
        <w:rPr>
          <w:rFonts w:ascii="Arial" w:eastAsia="MS Mincho" w:hAnsi="Arial" w:cs="Arial"/>
          <w:sz w:val="20"/>
        </w:rPr>
        <w:t xml:space="preserve">proactive </w:t>
      </w:r>
      <w:r w:rsidRPr="00351B9D">
        <w:rPr>
          <w:rFonts w:ascii="Arial" w:eastAsia="MS Mincho" w:hAnsi="Arial" w:cs="Arial"/>
          <w:bCs/>
          <w:sz w:val="20"/>
        </w:rPr>
        <w:t>outreach to targeted influential press, blogs and digital media.</w:t>
      </w:r>
    </w:p>
    <w:p w14:paraId="1A0674E7" w14:textId="77777777" w:rsidR="00B66294" w:rsidRPr="00351B9D" w:rsidRDefault="00B66294" w:rsidP="00984F70">
      <w:pPr>
        <w:tabs>
          <w:tab w:val="left" w:pos="1100"/>
        </w:tabs>
        <w:ind w:left="567"/>
        <w:jc w:val="both"/>
        <w:rPr>
          <w:rFonts w:ascii="Arial" w:eastAsia="MS Mincho" w:hAnsi="Arial" w:cs="Arial"/>
          <w:bCs/>
          <w:sz w:val="20"/>
        </w:rPr>
      </w:pPr>
    </w:p>
    <w:p w14:paraId="04BF7612" w14:textId="77777777" w:rsidR="00B66294" w:rsidRPr="00351B9D" w:rsidRDefault="00B66294" w:rsidP="00984F70">
      <w:pPr>
        <w:tabs>
          <w:tab w:val="left" w:pos="1100"/>
        </w:tabs>
        <w:ind w:left="567"/>
        <w:jc w:val="both"/>
        <w:rPr>
          <w:rFonts w:ascii="Arial" w:eastAsia="MS Mincho" w:hAnsi="Arial" w:cs="Arial"/>
          <w:sz w:val="20"/>
        </w:rPr>
      </w:pPr>
      <w:r w:rsidRPr="00260AD8">
        <w:rPr>
          <w:rFonts w:ascii="Arial" w:eastAsia="MS Mincho" w:hAnsi="Arial" w:cs="Arial"/>
          <w:iCs/>
          <w:sz w:val="20"/>
        </w:rPr>
        <w:t>(v)</w:t>
      </w:r>
      <w:r>
        <w:rPr>
          <w:rFonts w:ascii="Arial" w:eastAsia="MS Mincho" w:hAnsi="Arial" w:cs="Arial"/>
          <w:i/>
          <w:iCs/>
          <w:sz w:val="20"/>
        </w:rPr>
        <w:tab/>
      </w:r>
      <w:r w:rsidRPr="00351B9D">
        <w:rPr>
          <w:rFonts w:ascii="Arial" w:eastAsia="MS Mincho" w:hAnsi="Arial" w:cs="Arial"/>
          <w:i/>
          <w:iCs/>
          <w:sz w:val="20"/>
        </w:rPr>
        <w:t>Video and visual communication.</w:t>
      </w:r>
      <w:r w:rsidRPr="00351B9D">
        <w:rPr>
          <w:rFonts w:ascii="Arial" w:eastAsia="MS Mincho" w:hAnsi="Arial" w:cs="Arial"/>
          <w:iCs/>
          <w:sz w:val="20"/>
        </w:rPr>
        <w:t xml:space="preserve">  Meaningful images, graphics and design will be used creatively across web-based, digital and print media to enhance the visual impact and immediacy of WIPO communications. Capacity will be built to increase production of q</w:t>
      </w:r>
      <w:r w:rsidRPr="00351B9D">
        <w:rPr>
          <w:rFonts w:ascii="Arial" w:eastAsia="MS Mincho" w:hAnsi="Arial" w:cs="Arial"/>
          <w:sz w:val="20"/>
        </w:rPr>
        <w:t xml:space="preserve">uality infographics and visuals in order to promote high value data-rich content, such as WIPO’s unique statistical and economic reports. </w:t>
      </w:r>
      <w:r>
        <w:rPr>
          <w:rFonts w:ascii="Arial" w:eastAsia="MS Mincho" w:hAnsi="Arial" w:cs="Arial"/>
          <w:sz w:val="20"/>
        </w:rPr>
        <w:t xml:space="preserve"> </w:t>
      </w:r>
      <w:r w:rsidRPr="00351B9D">
        <w:rPr>
          <w:rFonts w:ascii="Arial" w:eastAsia="MS Mincho" w:hAnsi="Arial" w:cs="Arial"/>
          <w:iCs/>
          <w:sz w:val="20"/>
        </w:rPr>
        <w:t xml:space="preserve">The global public appetite for video will be exploited through increased production of interviews, news content, stories, motion graphics, video-tutorials and other audiovisual content which explain WIPO’s work and products. </w:t>
      </w:r>
    </w:p>
    <w:p w14:paraId="40215433" w14:textId="77777777" w:rsidR="00B66294" w:rsidRPr="00351B9D" w:rsidRDefault="00B66294" w:rsidP="00984F70">
      <w:pPr>
        <w:tabs>
          <w:tab w:val="left" w:pos="1100"/>
        </w:tabs>
        <w:ind w:left="567"/>
        <w:jc w:val="both"/>
        <w:rPr>
          <w:rFonts w:ascii="Arial" w:eastAsia="MS Mincho" w:hAnsi="Arial" w:cs="Arial"/>
          <w:sz w:val="20"/>
        </w:rPr>
      </w:pPr>
    </w:p>
    <w:p w14:paraId="59A80330" w14:textId="699CC1CE" w:rsidR="00B66294" w:rsidRPr="00351B9D" w:rsidRDefault="00B66294" w:rsidP="00984F70">
      <w:pPr>
        <w:tabs>
          <w:tab w:val="left" w:pos="1100"/>
        </w:tabs>
        <w:ind w:left="567"/>
        <w:jc w:val="both"/>
        <w:rPr>
          <w:rFonts w:ascii="Arial" w:eastAsia="MS Mincho" w:hAnsi="Arial" w:cs="Arial"/>
          <w:sz w:val="20"/>
        </w:rPr>
      </w:pPr>
      <w:r w:rsidRPr="00260AD8">
        <w:rPr>
          <w:rFonts w:ascii="Arial" w:eastAsia="MS Mincho" w:hAnsi="Arial" w:cs="Arial"/>
          <w:sz w:val="20"/>
        </w:rPr>
        <w:t>(v</w:t>
      </w:r>
      <w:r w:rsidR="009843A4" w:rsidRPr="00260AD8">
        <w:rPr>
          <w:rFonts w:ascii="Arial" w:eastAsia="MS Mincho" w:hAnsi="Arial" w:cs="Arial"/>
          <w:sz w:val="20"/>
        </w:rPr>
        <w:t>i</w:t>
      </w:r>
      <w:r w:rsidRPr="00260AD8">
        <w:rPr>
          <w:rFonts w:ascii="Arial" w:eastAsia="MS Mincho" w:hAnsi="Arial" w:cs="Arial"/>
          <w:sz w:val="20"/>
        </w:rPr>
        <w:t>)</w:t>
      </w:r>
      <w:r>
        <w:rPr>
          <w:rFonts w:ascii="Arial" w:eastAsia="MS Mincho" w:hAnsi="Arial" w:cs="Arial"/>
          <w:i/>
          <w:sz w:val="20"/>
        </w:rPr>
        <w:tab/>
      </w:r>
      <w:r w:rsidRPr="00351B9D">
        <w:rPr>
          <w:rFonts w:ascii="Arial" w:eastAsia="MS Mincho" w:hAnsi="Arial" w:cs="Arial"/>
          <w:i/>
          <w:sz w:val="20"/>
        </w:rPr>
        <w:t>A strong</w:t>
      </w:r>
      <w:r w:rsidRPr="00351B9D">
        <w:rPr>
          <w:rFonts w:ascii="Arial" w:eastAsia="MS Mincho" w:hAnsi="Arial" w:cs="Arial"/>
          <w:i/>
          <w:iCs/>
          <w:sz w:val="20"/>
        </w:rPr>
        <w:t xml:space="preserve"> WIPO identity</w:t>
      </w:r>
      <w:r w:rsidRPr="00351B9D">
        <w:rPr>
          <w:rFonts w:ascii="Arial" w:eastAsia="MS Mincho" w:hAnsi="Arial" w:cs="Arial"/>
          <w:i/>
          <w:iCs/>
          <w:color w:val="808080"/>
          <w:sz w:val="20"/>
        </w:rPr>
        <w:t xml:space="preserve">. </w:t>
      </w:r>
      <w:r>
        <w:rPr>
          <w:rFonts w:ascii="Arial" w:eastAsia="MS Mincho" w:hAnsi="Arial" w:cs="Arial"/>
          <w:i/>
          <w:iCs/>
          <w:color w:val="808080"/>
          <w:sz w:val="20"/>
        </w:rPr>
        <w:t xml:space="preserve"> </w:t>
      </w:r>
      <w:r w:rsidRPr="00351B9D">
        <w:rPr>
          <w:rFonts w:ascii="Arial" w:eastAsia="MS Mincho" w:hAnsi="Arial" w:cs="Arial"/>
          <w:iCs/>
          <w:sz w:val="20"/>
        </w:rPr>
        <w:t xml:space="preserve">A consistent verbal and visual expression of </w:t>
      </w:r>
      <w:r w:rsidRPr="00351B9D">
        <w:rPr>
          <w:rFonts w:ascii="Arial" w:eastAsia="MS Mincho" w:hAnsi="Arial" w:cs="Arial"/>
          <w:sz w:val="20"/>
        </w:rPr>
        <w:t xml:space="preserve">WIPO’s “brand” - its mission, values and role </w:t>
      </w:r>
      <w:r>
        <w:rPr>
          <w:rFonts w:ascii="Arial" w:eastAsia="MS Mincho" w:hAnsi="Arial" w:cs="Arial"/>
          <w:sz w:val="20"/>
        </w:rPr>
        <w:t xml:space="preserve">- </w:t>
      </w:r>
      <w:r w:rsidRPr="00351B9D">
        <w:rPr>
          <w:rFonts w:ascii="Arial" w:eastAsia="MS Mincho" w:hAnsi="Arial" w:cs="Arial"/>
          <w:sz w:val="20"/>
        </w:rPr>
        <w:t>will be mainstreamed Organization-wide into editorial, design, content creation, media</w:t>
      </w:r>
      <w:r>
        <w:rPr>
          <w:rFonts w:ascii="Arial" w:eastAsia="MS Mincho" w:hAnsi="Arial" w:cs="Arial"/>
          <w:sz w:val="20"/>
        </w:rPr>
        <w:t>,</w:t>
      </w:r>
      <w:r w:rsidRPr="00351B9D">
        <w:rPr>
          <w:rFonts w:ascii="Arial" w:eastAsia="MS Mincho" w:hAnsi="Arial" w:cs="Arial"/>
          <w:sz w:val="20"/>
        </w:rPr>
        <w:t xml:space="preserve"> publishing </w:t>
      </w:r>
      <w:r>
        <w:rPr>
          <w:rFonts w:ascii="Arial" w:eastAsia="MS Mincho" w:hAnsi="Arial" w:cs="Arial"/>
          <w:sz w:val="20"/>
        </w:rPr>
        <w:t xml:space="preserve">and customer service </w:t>
      </w:r>
      <w:r w:rsidRPr="00351B9D">
        <w:rPr>
          <w:rFonts w:ascii="Arial" w:eastAsia="MS Mincho" w:hAnsi="Arial" w:cs="Arial"/>
          <w:sz w:val="20"/>
        </w:rPr>
        <w:t xml:space="preserve">activities. Implementation of the updated corporate look will be completed. </w:t>
      </w:r>
      <w:r>
        <w:rPr>
          <w:rFonts w:ascii="Arial" w:eastAsia="MS Mincho" w:hAnsi="Arial" w:cs="Arial"/>
          <w:sz w:val="20"/>
        </w:rPr>
        <w:t xml:space="preserve"> </w:t>
      </w:r>
      <w:r w:rsidRPr="00351B9D">
        <w:rPr>
          <w:rFonts w:ascii="Arial" w:eastAsia="MS Mincho" w:hAnsi="Arial" w:cs="Arial"/>
          <w:sz w:val="20"/>
        </w:rPr>
        <w:t>Stakeholder perceptions of WIPO’s image and performance in relation to key reputational drivers</w:t>
      </w:r>
      <w:r>
        <w:rPr>
          <w:rFonts w:ascii="Arial" w:eastAsia="MS Mincho" w:hAnsi="Arial" w:cs="Arial"/>
          <w:sz w:val="20"/>
        </w:rPr>
        <w:t xml:space="preserve"> </w:t>
      </w:r>
      <w:r w:rsidRPr="00351B9D">
        <w:rPr>
          <w:rFonts w:ascii="Arial" w:eastAsia="MS Mincho" w:hAnsi="Arial" w:cs="Arial"/>
          <w:sz w:val="20"/>
        </w:rPr>
        <w:t>will be surveyed and lessons will be drawn to improve areas of weakness.</w:t>
      </w:r>
    </w:p>
    <w:p w14:paraId="1D8F4066" w14:textId="77777777" w:rsidR="00B66294" w:rsidRPr="00351B9D" w:rsidRDefault="00B66294" w:rsidP="00984F70">
      <w:pPr>
        <w:tabs>
          <w:tab w:val="left" w:pos="1100"/>
        </w:tabs>
        <w:ind w:left="567"/>
        <w:jc w:val="both"/>
        <w:rPr>
          <w:rFonts w:ascii="Arial" w:eastAsia="MS Mincho" w:hAnsi="Arial" w:cs="Arial"/>
          <w:sz w:val="20"/>
        </w:rPr>
      </w:pPr>
    </w:p>
    <w:p w14:paraId="1BA65B7A" w14:textId="3C91F800" w:rsidR="00B66294" w:rsidRPr="00351B9D" w:rsidRDefault="00B66294" w:rsidP="00984F70">
      <w:pPr>
        <w:tabs>
          <w:tab w:val="left" w:pos="1100"/>
        </w:tabs>
        <w:ind w:left="567"/>
        <w:jc w:val="both"/>
        <w:rPr>
          <w:rFonts w:ascii="Arial" w:eastAsia="MS Mincho" w:hAnsi="Arial" w:cs="Arial"/>
          <w:sz w:val="20"/>
        </w:rPr>
      </w:pPr>
      <w:r w:rsidRPr="00260AD8">
        <w:rPr>
          <w:rFonts w:ascii="Arial" w:eastAsia="MS Mincho" w:hAnsi="Arial" w:cs="Arial"/>
          <w:iCs/>
          <w:sz w:val="20"/>
        </w:rPr>
        <w:t>(vi</w:t>
      </w:r>
      <w:r w:rsidR="009843A4" w:rsidRPr="00260AD8">
        <w:rPr>
          <w:rFonts w:ascii="Arial" w:eastAsia="MS Mincho" w:hAnsi="Arial" w:cs="Arial"/>
          <w:iCs/>
          <w:sz w:val="20"/>
        </w:rPr>
        <w:t>i</w:t>
      </w:r>
      <w:r w:rsidRPr="00260AD8">
        <w:rPr>
          <w:rFonts w:ascii="Arial" w:eastAsia="MS Mincho" w:hAnsi="Arial" w:cs="Arial"/>
          <w:iCs/>
          <w:sz w:val="20"/>
        </w:rPr>
        <w:t>)</w:t>
      </w:r>
      <w:r>
        <w:rPr>
          <w:rFonts w:ascii="Arial" w:eastAsia="MS Mincho" w:hAnsi="Arial" w:cs="Arial"/>
          <w:i/>
          <w:iCs/>
          <w:sz w:val="20"/>
        </w:rPr>
        <w:tab/>
      </w:r>
      <w:r w:rsidRPr="00351B9D">
        <w:rPr>
          <w:rFonts w:ascii="Arial" w:eastAsia="MS Mincho" w:hAnsi="Arial" w:cs="Arial"/>
          <w:i/>
          <w:iCs/>
          <w:sz w:val="20"/>
        </w:rPr>
        <w:t>Internal coordination.</w:t>
      </w:r>
      <w:r w:rsidRPr="00351B9D">
        <w:rPr>
          <w:rFonts w:ascii="Arial" w:eastAsia="MS Mincho" w:hAnsi="Arial" w:cs="Arial"/>
          <w:iCs/>
          <w:sz w:val="20"/>
        </w:rPr>
        <w:t xml:space="preserve">  </w:t>
      </w:r>
      <w:r w:rsidRPr="00351B9D">
        <w:rPr>
          <w:rFonts w:ascii="Arial" w:eastAsia="MS Mincho" w:hAnsi="Arial" w:cs="Arial"/>
          <w:sz w:val="20"/>
        </w:rPr>
        <w:t>A more strategic approach to communications</w:t>
      </w:r>
      <w:r>
        <w:rPr>
          <w:rFonts w:ascii="Arial" w:eastAsia="MS Mincho" w:hAnsi="Arial" w:cs="Arial"/>
          <w:sz w:val="20"/>
        </w:rPr>
        <w:t xml:space="preserve"> and marketing</w:t>
      </w:r>
      <w:r w:rsidRPr="00351B9D">
        <w:rPr>
          <w:rFonts w:ascii="Arial" w:eastAsia="MS Mincho" w:hAnsi="Arial" w:cs="Arial"/>
          <w:sz w:val="20"/>
        </w:rPr>
        <w:t xml:space="preserve"> will continue to be fostered across the Organization, supported by more systematic cross-sector planning and coordination. </w:t>
      </w:r>
      <w:r>
        <w:rPr>
          <w:rFonts w:ascii="Arial" w:eastAsia="MS Mincho" w:hAnsi="Arial" w:cs="Arial"/>
          <w:sz w:val="20"/>
        </w:rPr>
        <w:t xml:space="preserve"> </w:t>
      </w:r>
      <w:r w:rsidRPr="00351B9D">
        <w:rPr>
          <w:rFonts w:ascii="Arial" w:eastAsia="MS Mincho" w:hAnsi="Arial" w:cs="Arial"/>
          <w:sz w:val="20"/>
        </w:rPr>
        <w:t xml:space="preserve">Program 19 will lead </w:t>
      </w:r>
      <w:r>
        <w:rPr>
          <w:rFonts w:ascii="Arial" w:eastAsia="MS Mincho" w:hAnsi="Arial" w:cs="Arial"/>
          <w:sz w:val="20"/>
        </w:rPr>
        <w:t>i</w:t>
      </w:r>
      <w:r w:rsidRPr="00351B9D">
        <w:rPr>
          <w:rFonts w:ascii="Arial" w:eastAsia="MS Mincho" w:hAnsi="Arial" w:cs="Arial"/>
          <w:sz w:val="20"/>
        </w:rPr>
        <w:t>nitiatives to strengthen “same page” communication</w:t>
      </w:r>
      <w:r>
        <w:rPr>
          <w:rFonts w:ascii="Arial" w:eastAsia="MS Mincho" w:hAnsi="Arial" w:cs="Arial"/>
          <w:sz w:val="20"/>
        </w:rPr>
        <w:t xml:space="preserve"> </w:t>
      </w:r>
      <w:r w:rsidRPr="00351B9D">
        <w:rPr>
          <w:rFonts w:ascii="Arial" w:eastAsia="MS Mincho" w:hAnsi="Arial" w:cs="Arial"/>
          <w:sz w:val="20"/>
        </w:rPr>
        <w:t>and</w:t>
      </w:r>
      <w:r>
        <w:rPr>
          <w:rFonts w:ascii="Arial" w:eastAsia="MS Mincho" w:hAnsi="Arial" w:cs="Arial"/>
          <w:sz w:val="20"/>
        </w:rPr>
        <w:t xml:space="preserve"> will </w:t>
      </w:r>
      <w:r w:rsidRPr="00351B9D">
        <w:rPr>
          <w:rFonts w:ascii="Arial" w:eastAsia="MS Mincho" w:hAnsi="Arial" w:cs="Arial"/>
          <w:sz w:val="20"/>
        </w:rPr>
        <w:t xml:space="preserve">continue to support efforts to encourage horizontal communication and information-sharing.   </w:t>
      </w:r>
    </w:p>
    <w:p w14:paraId="581029AA" w14:textId="77777777" w:rsidR="00B66294" w:rsidRPr="00351B9D" w:rsidRDefault="00B66294" w:rsidP="00984F70">
      <w:pPr>
        <w:tabs>
          <w:tab w:val="left" w:pos="1100"/>
        </w:tabs>
        <w:ind w:left="567"/>
        <w:jc w:val="both"/>
        <w:rPr>
          <w:rFonts w:ascii="Arial" w:eastAsia="MS Mincho" w:hAnsi="Arial" w:cs="Arial"/>
          <w:sz w:val="20"/>
        </w:rPr>
      </w:pPr>
    </w:p>
    <w:p w14:paraId="7F1B507F" w14:textId="77777777" w:rsidR="00B66294" w:rsidRPr="00351B9D" w:rsidRDefault="00B66294" w:rsidP="00984F70">
      <w:pPr>
        <w:tabs>
          <w:tab w:val="left" w:pos="1100"/>
        </w:tabs>
        <w:ind w:left="567"/>
        <w:jc w:val="both"/>
        <w:rPr>
          <w:rFonts w:ascii="Arial" w:eastAsia="MS Mincho" w:hAnsi="Arial" w:cs="Arial"/>
          <w:sz w:val="20"/>
        </w:rPr>
      </w:pPr>
      <w:r w:rsidRPr="00260AD8">
        <w:rPr>
          <w:rFonts w:ascii="Arial" w:eastAsia="MS Mincho" w:hAnsi="Arial" w:cs="Arial"/>
          <w:iCs/>
          <w:sz w:val="20"/>
        </w:rPr>
        <w:t>(viii)</w:t>
      </w:r>
      <w:r>
        <w:rPr>
          <w:rFonts w:ascii="Arial" w:eastAsia="MS Mincho" w:hAnsi="Arial" w:cs="Arial"/>
          <w:i/>
          <w:iCs/>
          <w:sz w:val="20"/>
        </w:rPr>
        <w:tab/>
      </w:r>
      <w:r w:rsidRPr="00351B9D">
        <w:rPr>
          <w:rFonts w:ascii="Arial" w:eastAsia="MS Mincho" w:hAnsi="Arial" w:cs="Arial"/>
          <w:i/>
          <w:iCs/>
          <w:sz w:val="20"/>
        </w:rPr>
        <w:t xml:space="preserve">Service-oriented culture. </w:t>
      </w:r>
      <w:r>
        <w:rPr>
          <w:rFonts w:ascii="Arial" w:eastAsia="MS Mincho" w:hAnsi="Arial" w:cs="Arial"/>
          <w:i/>
          <w:iCs/>
          <w:sz w:val="20"/>
        </w:rPr>
        <w:t xml:space="preserve"> </w:t>
      </w:r>
      <w:r w:rsidRPr="00351B9D">
        <w:rPr>
          <w:rFonts w:ascii="Arial" w:eastAsia="MS Mincho" w:hAnsi="Arial" w:cs="Arial"/>
          <w:iCs/>
          <w:sz w:val="20"/>
        </w:rPr>
        <w:t xml:space="preserve">Program 19 will continue to strengthen the organizational culture of service and responsiveness to WIPO’s stakeholders and to support customer services across the Organization. </w:t>
      </w:r>
      <w:r>
        <w:rPr>
          <w:rFonts w:ascii="Arial" w:eastAsia="MS Mincho" w:hAnsi="Arial" w:cs="Arial"/>
          <w:iCs/>
          <w:sz w:val="20"/>
        </w:rPr>
        <w:t xml:space="preserve"> </w:t>
      </w:r>
      <w:r w:rsidRPr="00351B9D">
        <w:rPr>
          <w:rFonts w:ascii="Arial" w:eastAsia="MS Mincho" w:hAnsi="Arial" w:cs="Arial"/>
          <w:sz w:val="20"/>
        </w:rPr>
        <w:t xml:space="preserve">The service orientation of staff will be further improved through training and awareness activities based on the WIPO Service Charter. </w:t>
      </w:r>
      <w:r>
        <w:rPr>
          <w:rFonts w:ascii="Arial" w:eastAsia="MS Mincho" w:hAnsi="Arial" w:cs="Arial"/>
          <w:sz w:val="20"/>
        </w:rPr>
        <w:t xml:space="preserve"> </w:t>
      </w:r>
      <w:r w:rsidRPr="00351B9D">
        <w:rPr>
          <w:rFonts w:ascii="Arial" w:eastAsia="MS Mincho" w:hAnsi="Arial" w:cs="Arial"/>
          <w:sz w:val="20"/>
        </w:rPr>
        <w:t xml:space="preserve">Tools will continue to be provided to streamline the handling of enquiries (central contact database, ticketing systems, enquiry volume measurement, etc.). </w:t>
      </w:r>
      <w:r>
        <w:rPr>
          <w:rFonts w:ascii="Arial" w:eastAsia="MS Mincho" w:hAnsi="Arial" w:cs="Arial"/>
          <w:sz w:val="20"/>
        </w:rPr>
        <w:t xml:space="preserve"> </w:t>
      </w:r>
      <w:r w:rsidRPr="00351B9D">
        <w:rPr>
          <w:rFonts w:ascii="Arial" w:eastAsia="MS Mincho" w:hAnsi="Arial" w:cs="Arial"/>
          <w:sz w:val="20"/>
        </w:rPr>
        <w:t>External expectations will be systematically monitored through customer feedback and surveys in order to help improve satisfaction.</w:t>
      </w:r>
    </w:p>
    <w:p w14:paraId="55EC0DFF" w14:textId="77777777" w:rsidR="00B66294" w:rsidRDefault="00B66294" w:rsidP="00984F70">
      <w:pPr>
        <w:jc w:val="both"/>
        <w:rPr>
          <w:rFonts w:ascii="Arial" w:hAnsi="Arial" w:cs="Arial"/>
        </w:rPr>
      </w:pPr>
    </w:p>
    <w:p w14:paraId="5BE1E533" w14:textId="77777777" w:rsidR="00B66294" w:rsidRPr="00984AD2" w:rsidRDefault="00B66294" w:rsidP="00984F70">
      <w:pPr>
        <w:jc w:val="both"/>
        <w:rPr>
          <w:rFonts w:ascii="Arial" w:hAnsi="Arial" w:cs="Arial"/>
        </w:rPr>
      </w:pPr>
    </w:p>
    <w:p w14:paraId="0422AF25" w14:textId="77777777" w:rsidR="00B66294" w:rsidRPr="004E4371" w:rsidRDefault="00B66294" w:rsidP="00984F70">
      <w:pPr>
        <w:pStyle w:val="BodyText"/>
        <w:keepNext/>
        <w:keepLines/>
        <w:rPr>
          <w:rFonts w:eastAsia="SimSun"/>
        </w:rPr>
      </w:pPr>
      <w:r w:rsidRPr="004E4371">
        <w:rPr>
          <w:rFonts w:eastAsia="SimSun"/>
        </w:rPr>
        <w:lastRenderedPageBreak/>
        <w:t>MAJOR RISKS AND MITIGATION STRATEGIES</w:t>
      </w: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B66294" w:rsidRPr="00984AD2" w14:paraId="6C7127D3" w14:textId="77777777" w:rsidTr="00984F70">
        <w:trPr>
          <w:trHeight w:val="540"/>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14:paraId="41A5DB35" w14:textId="77777777" w:rsidR="00B66294" w:rsidRPr="00984AD2" w:rsidRDefault="00B66294" w:rsidP="00984F70">
            <w:pPr>
              <w:keepNext/>
              <w:keepLines/>
              <w:spacing w:line="276" w:lineRule="auto"/>
              <w:jc w:val="center"/>
              <w:rPr>
                <w:rFonts w:ascii="Arial" w:eastAsiaTheme="minorHAnsi" w:hAnsi="Arial" w:cs="Arial"/>
                <w:b/>
                <w:bCs/>
                <w:sz w:val="18"/>
                <w:szCs w:val="18"/>
              </w:rPr>
            </w:pPr>
            <w:r w:rsidRPr="00984AD2">
              <w:rPr>
                <w:rFonts w:ascii="Arial" w:hAnsi="Arial" w:cs="Arial"/>
                <w:b/>
                <w:bCs/>
                <w:sz w:val="18"/>
                <w:szCs w:val="18"/>
              </w:rPr>
              <w:t>Risk</w:t>
            </w:r>
          </w:p>
        </w:tc>
        <w:tc>
          <w:tcPr>
            <w:tcW w:w="4961"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14:paraId="12D76602" w14:textId="77777777" w:rsidR="00B66294" w:rsidRPr="00984AD2" w:rsidRDefault="00B66294" w:rsidP="00984F70">
            <w:pPr>
              <w:keepNext/>
              <w:keepLines/>
              <w:spacing w:line="276" w:lineRule="auto"/>
              <w:jc w:val="center"/>
              <w:rPr>
                <w:rFonts w:ascii="Arial" w:eastAsiaTheme="minorHAnsi" w:hAnsi="Arial" w:cs="Arial"/>
                <w:b/>
                <w:bCs/>
                <w:sz w:val="18"/>
                <w:szCs w:val="18"/>
              </w:rPr>
            </w:pPr>
            <w:r w:rsidRPr="00984AD2">
              <w:rPr>
                <w:rFonts w:ascii="Arial" w:hAnsi="Arial" w:cs="Arial"/>
                <w:b/>
                <w:bCs/>
                <w:sz w:val="18"/>
                <w:szCs w:val="18"/>
              </w:rPr>
              <w:t>Mitigation</w:t>
            </w:r>
          </w:p>
        </w:tc>
      </w:tr>
      <w:tr w:rsidR="00B66294" w:rsidRPr="00984AD2" w14:paraId="40B78B59" w14:textId="77777777" w:rsidTr="00984F70">
        <w:trPr>
          <w:trHeight w:val="1296"/>
        </w:trPr>
        <w:tc>
          <w:tcPr>
            <w:tcW w:w="4253" w:type="dxa"/>
            <w:tcBorders>
              <w:top w:val="nil"/>
              <w:left w:val="single" w:sz="8" w:space="0" w:color="auto"/>
              <w:bottom w:val="nil"/>
              <w:right w:val="nil"/>
            </w:tcBorders>
            <w:tcMar>
              <w:top w:w="113" w:type="dxa"/>
              <w:left w:w="108" w:type="dxa"/>
              <w:bottom w:w="113" w:type="dxa"/>
              <w:right w:w="108" w:type="dxa"/>
            </w:tcMar>
            <w:hideMark/>
          </w:tcPr>
          <w:p w14:paraId="4C11C655" w14:textId="77777777" w:rsidR="00B66294" w:rsidRPr="00984AD2" w:rsidRDefault="00B66294" w:rsidP="00984F70">
            <w:pPr>
              <w:keepNext/>
              <w:keepLines/>
              <w:rPr>
                <w:rFonts w:ascii="Arial" w:eastAsiaTheme="minorHAnsi" w:hAnsi="Arial" w:cs="Arial"/>
                <w:color w:val="000000"/>
                <w:sz w:val="16"/>
                <w:szCs w:val="16"/>
              </w:rPr>
            </w:pPr>
            <w:r w:rsidRPr="00984AD2">
              <w:rPr>
                <w:rFonts w:ascii="Arial" w:hAnsi="Arial" w:cs="Arial"/>
                <w:color w:val="000000"/>
                <w:sz w:val="16"/>
                <w:szCs w:val="16"/>
              </w:rPr>
              <w:t>WIPO must adhere to the highest standards of transparency and accountability and is subject to continuous scrutiny from its customers, stakeholders, staff, as well as the general public. Reputational impact may result from the occurrence of any risk event and can cause significant harm to the credibility of the Organization’s work.</w:t>
            </w:r>
          </w:p>
        </w:tc>
        <w:tc>
          <w:tcPr>
            <w:tcW w:w="4961" w:type="dxa"/>
            <w:tcBorders>
              <w:top w:val="nil"/>
              <w:left w:val="nil"/>
              <w:bottom w:val="nil"/>
              <w:right w:val="single" w:sz="8" w:space="0" w:color="auto"/>
            </w:tcBorders>
            <w:tcMar>
              <w:top w:w="113" w:type="dxa"/>
              <w:left w:w="108" w:type="dxa"/>
              <w:bottom w:w="113" w:type="dxa"/>
              <w:right w:w="108" w:type="dxa"/>
            </w:tcMar>
          </w:tcPr>
          <w:p w14:paraId="60F28E4F" w14:textId="77777777" w:rsidR="00B66294" w:rsidRPr="00984AD2" w:rsidRDefault="00B66294" w:rsidP="00984F70">
            <w:pPr>
              <w:keepNext/>
              <w:keepLines/>
              <w:rPr>
                <w:rFonts w:ascii="Arial" w:eastAsiaTheme="minorHAnsi" w:hAnsi="Arial" w:cs="Arial"/>
                <w:color w:val="000000"/>
                <w:sz w:val="16"/>
                <w:szCs w:val="16"/>
              </w:rPr>
            </w:pPr>
            <w:r w:rsidRPr="00984AD2">
              <w:rPr>
                <w:rFonts w:ascii="Arial" w:hAnsi="Arial" w:cs="Arial"/>
                <w:color w:val="000000"/>
                <w:sz w:val="16"/>
                <w:szCs w:val="16"/>
              </w:rPr>
              <w:t>Public disclosure, proactive provision of information, media awareness and openness in responding to queries. Continuous monitoring of press and social media coverage to enable timely reaction if required.</w:t>
            </w:r>
          </w:p>
          <w:p w14:paraId="544A47F6" w14:textId="77777777" w:rsidR="00B66294" w:rsidRPr="00984AD2" w:rsidRDefault="00B66294" w:rsidP="00984F70">
            <w:pPr>
              <w:keepNext/>
              <w:keepLines/>
              <w:rPr>
                <w:rFonts w:ascii="Arial" w:eastAsiaTheme="minorHAnsi" w:hAnsi="Arial" w:cs="Arial"/>
                <w:color w:val="000000"/>
                <w:sz w:val="16"/>
                <w:szCs w:val="16"/>
              </w:rPr>
            </w:pPr>
          </w:p>
        </w:tc>
      </w:tr>
      <w:tr w:rsidR="00B66294" w:rsidRPr="00984AD2" w14:paraId="20F66244" w14:textId="77777777" w:rsidTr="00984F70">
        <w:trPr>
          <w:trHeight w:val="874"/>
        </w:trPr>
        <w:tc>
          <w:tcPr>
            <w:tcW w:w="4253" w:type="dxa"/>
            <w:tcBorders>
              <w:top w:val="nil"/>
              <w:left w:val="single" w:sz="8" w:space="0" w:color="auto"/>
              <w:bottom w:val="single" w:sz="8" w:space="0" w:color="auto"/>
              <w:right w:val="nil"/>
            </w:tcBorders>
            <w:tcMar>
              <w:top w:w="113" w:type="dxa"/>
              <w:left w:w="108" w:type="dxa"/>
              <w:bottom w:w="113" w:type="dxa"/>
              <w:right w:w="108" w:type="dxa"/>
            </w:tcMar>
          </w:tcPr>
          <w:p w14:paraId="5C69AD26" w14:textId="77777777" w:rsidR="00B66294" w:rsidRPr="00984AD2" w:rsidRDefault="00B66294" w:rsidP="00984F70">
            <w:pPr>
              <w:keepNext/>
              <w:keepLines/>
              <w:rPr>
                <w:rFonts w:ascii="Arial" w:eastAsiaTheme="minorHAnsi" w:hAnsi="Arial" w:cs="Arial"/>
                <w:color w:val="000000"/>
                <w:sz w:val="16"/>
                <w:szCs w:val="16"/>
              </w:rPr>
            </w:pPr>
            <w:r w:rsidRPr="00984AD2">
              <w:rPr>
                <w:rFonts w:ascii="Arial" w:hAnsi="Arial" w:cs="Arial"/>
                <w:color w:val="000000"/>
                <w:sz w:val="16"/>
                <w:szCs w:val="16"/>
              </w:rPr>
              <w:t>WIPO's web and social media presences fail to keep pace with evolving trends in digital communications or with stakeholder preferences.</w:t>
            </w:r>
          </w:p>
          <w:p w14:paraId="5D246026" w14:textId="77777777" w:rsidR="00B66294" w:rsidRPr="00984AD2" w:rsidRDefault="00B66294" w:rsidP="00984F70">
            <w:pPr>
              <w:keepNext/>
              <w:keepLines/>
              <w:rPr>
                <w:rFonts w:eastAsiaTheme="minorHAnsi"/>
                <w:sz w:val="16"/>
                <w:szCs w:val="16"/>
              </w:rPr>
            </w:pP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14:paraId="5789675F" w14:textId="77777777" w:rsidR="00B66294" w:rsidRPr="00984AD2" w:rsidRDefault="00B66294" w:rsidP="00984F70">
            <w:pPr>
              <w:keepNext/>
              <w:keepLines/>
              <w:rPr>
                <w:rFonts w:ascii="Arial" w:eastAsiaTheme="minorHAnsi" w:hAnsi="Arial" w:cs="Arial"/>
                <w:color w:val="000000"/>
                <w:sz w:val="16"/>
                <w:szCs w:val="16"/>
              </w:rPr>
            </w:pPr>
            <w:r w:rsidRPr="00984AD2">
              <w:rPr>
                <w:rFonts w:ascii="Arial" w:hAnsi="Arial" w:cs="Arial"/>
                <w:color w:val="000000"/>
                <w:sz w:val="16"/>
                <w:szCs w:val="16"/>
              </w:rPr>
              <w:t>Implementation of responsive web design across the WIPO website to ensure optimal display in mobile devices.</w:t>
            </w:r>
          </w:p>
          <w:p w14:paraId="4D4F91FC" w14:textId="77777777" w:rsidR="00B66294" w:rsidRPr="00984AD2" w:rsidRDefault="00B66294" w:rsidP="00984F70">
            <w:pPr>
              <w:keepNext/>
              <w:keepLines/>
              <w:rPr>
                <w:rFonts w:ascii="Arial" w:hAnsi="Arial" w:cs="Arial"/>
                <w:color w:val="000000"/>
                <w:sz w:val="16"/>
                <w:szCs w:val="16"/>
              </w:rPr>
            </w:pPr>
          </w:p>
          <w:p w14:paraId="00A04EA9" w14:textId="77777777" w:rsidR="00B66294" w:rsidRPr="00984AD2" w:rsidRDefault="00B66294" w:rsidP="00984F70">
            <w:pPr>
              <w:keepNext/>
              <w:keepLines/>
              <w:rPr>
                <w:rFonts w:eastAsiaTheme="minorHAnsi"/>
                <w:sz w:val="16"/>
                <w:szCs w:val="16"/>
              </w:rPr>
            </w:pPr>
            <w:r w:rsidRPr="00984AD2">
              <w:rPr>
                <w:rFonts w:ascii="Arial" w:hAnsi="Arial" w:cs="Arial"/>
                <w:color w:val="000000"/>
                <w:sz w:val="16"/>
                <w:szCs w:val="16"/>
              </w:rPr>
              <w:t>Use of external resources and partnerships to extend in-house capacity.</w:t>
            </w:r>
          </w:p>
        </w:tc>
      </w:tr>
    </w:tbl>
    <w:p w14:paraId="27249F60" w14:textId="77777777" w:rsidR="00B66294" w:rsidRDefault="00B66294" w:rsidP="00984F70">
      <w:pPr>
        <w:autoSpaceDE w:val="0"/>
        <w:autoSpaceDN w:val="0"/>
        <w:adjustRightInd w:val="0"/>
        <w:rPr>
          <w:rFonts w:ascii="Arial" w:hAnsi="Arial" w:cs="Arial"/>
        </w:rPr>
      </w:pPr>
    </w:p>
    <w:p w14:paraId="4302EE98" w14:textId="77777777" w:rsidR="00B66294" w:rsidRDefault="00B66294" w:rsidP="00984F70">
      <w:pPr>
        <w:autoSpaceDE w:val="0"/>
        <w:autoSpaceDN w:val="0"/>
        <w:adjustRightInd w:val="0"/>
        <w:rPr>
          <w:rFonts w:ascii="Arial" w:hAnsi="Arial" w:cs="Arial"/>
        </w:rPr>
      </w:pPr>
    </w:p>
    <w:p w14:paraId="62880EB4" w14:textId="77777777" w:rsidR="00B66294" w:rsidRDefault="00B66294" w:rsidP="00984F70">
      <w:pPr>
        <w:autoSpaceDE w:val="0"/>
        <w:autoSpaceDN w:val="0"/>
        <w:adjustRightInd w:val="0"/>
        <w:rPr>
          <w:rFonts w:ascii="Arial" w:hAnsi="Arial" w:cs="Arial"/>
        </w:rPr>
      </w:pPr>
      <w:r>
        <w:rPr>
          <w:rFonts w:ascii="Arial" w:hAnsi="Arial" w:cs="Arial"/>
        </w:rPr>
        <w:t>RESULTS FRAMEWORK</w:t>
      </w:r>
    </w:p>
    <w:p w14:paraId="18A8EA95" w14:textId="77777777" w:rsidR="00B66294" w:rsidRDefault="00B66294" w:rsidP="00984F70">
      <w:pPr>
        <w:autoSpaceDE w:val="0"/>
        <w:autoSpaceDN w:val="0"/>
        <w:adjustRightInd w:val="0"/>
        <w:rPr>
          <w:rFonts w:ascii="Arial" w:hAnsi="Arial" w:cs="Arial"/>
        </w:rPr>
      </w:pPr>
    </w:p>
    <w:tbl>
      <w:tblPr>
        <w:tblW w:w="9195" w:type="dxa"/>
        <w:tblInd w:w="93" w:type="dxa"/>
        <w:tblLook w:val="04A0" w:firstRow="1" w:lastRow="0" w:firstColumn="1" w:lastColumn="0" w:noHBand="0" w:noVBand="1"/>
      </w:tblPr>
      <w:tblGrid>
        <w:gridCol w:w="2140"/>
        <w:gridCol w:w="2140"/>
        <w:gridCol w:w="2485"/>
        <w:gridCol w:w="2430"/>
      </w:tblGrid>
      <w:tr w:rsidR="00B66294" w:rsidRPr="0080719C" w14:paraId="554DE8F1" w14:textId="77777777" w:rsidTr="00984F70">
        <w:trPr>
          <w:trHeight w:val="455"/>
          <w:tblHeader/>
        </w:trPr>
        <w:tc>
          <w:tcPr>
            <w:tcW w:w="2140"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14:paraId="233C0BC8" w14:textId="77777777" w:rsidR="00B66294" w:rsidRPr="0080719C" w:rsidRDefault="00B66294" w:rsidP="00984F70">
            <w:pPr>
              <w:jc w:val="center"/>
              <w:rPr>
                <w:rFonts w:ascii="Arial" w:hAnsi="Arial" w:cs="Arial"/>
                <w:b/>
                <w:bCs/>
                <w:color w:val="000000"/>
                <w:sz w:val="18"/>
                <w:szCs w:val="18"/>
              </w:rPr>
            </w:pPr>
            <w:r w:rsidRPr="0080719C">
              <w:rPr>
                <w:rFonts w:ascii="Arial" w:hAnsi="Arial" w:cs="Arial"/>
                <w:b/>
                <w:bCs/>
                <w:color w:val="000000"/>
                <w:sz w:val="18"/>
                <w:szCs w:val="18"/>
              </w:rPr>
              <w:t>Expected Results</w:t>
            </w:r>
          </w:p>
        </w:tc>
        <w:tc>
          <w:tcPr>
            <w:tcW w:w="2140" w:type="dxa"/>
            <w:tcBorders>
              <w:top w:val="single" w:sz="4" w:space="0" w:color="auto"/>
              <w:left w:val="nil"/>
              <w:bottom w:val="single" w:sz="4" w:space="0" w:color="auto"/>
              <w:right w:val="nil"/>
            </w:tcBorders>
            <w:shd w:val="clear" w:color="000000" w:fill="C5D9F1"/>
            <w:tcMar>
              <w:top w:w="85" w:type="dxa"/>
            </w:tcMar>
            <w:vAlign w:val="center"/>
            <w:hideMark/>
          </w:tcPr>
          <w:p w14:paraId="519CAD3B" w14:textId="77777777" w:rsidR="00B66294" w:rsidRPr="0080719C" w:rsidRDefault="00B66294" w:rsidP="00984F70">
            <w:pPr>
              <w:jc w:val="center"/>
              <w:rPr>
                <w:rFonts w:ascii="Arial" w:hAnsi="Arial" w:cs="Arial"/>
                <w:b/>
                <w:bCs/>
                <w:color w:val="000000"/>
                <w:sz w:val="18"/>
                <w:szCs w:val="18"/>
              </w:rPr>
            </w:pPr>
            <w:r w:rsidRPr="0080719C">
              <w:rPr>
                <w:rFonts w:ascii="Arial" w:hAnsi="Arial" w:cs="Arial"/>
                <w:b/>
                <w:bCs/>
                <w:color w:val="000000"/>
                <w:sz w:val="18"/>
                <w:szCs w:val="18"/>
              </w:rPr>
              <w:t>Performance Indicators</w:t>
            </w:r>
          </w:p>
        </w:tc>
        <w:tc>
          <w:tcPr>
            <w:tcW w:w="2485" w:type="dxa"/>
            <w:tcBorders>
              <w:top w:val="single" w:sz="4" w:space="0" w:color="auto"/>
              <w:left w:val="nil"/>
              <w:bottom w:val="single" w:sz="4" w:space="0" w:color="auto"/>
              <w:right w:val="nil"/>
            </w:tcBorders>
            <w:shd w:val="clear" w:color="000000" w:fill="C5D9F1"/>
            <w:tcMar>
              <w:top w:w="85" w:type="dxa"/>
            </w:tcMar>
            <w:vAlign w:val="center"/>
            <w:hideMark/>
          </w:tcPr>
          <w:p w14:paraId="02AE8568" w14:textId="77777777" w:rsidR="00B66294" w:rsidRPr="0080719C" w:rsidRDefault="00B66294" w:rsidP="00984F70">
            <w:pPr>
              <w:jc w:val="center"/>
              <w:rPr>
                <w:rFonts w:ascii="Arial" w:hAnsi="Arial" w:cs="Arial"/>
                <w:b/>
                <w:bCs/>
                <w:color w:val="000000"/>
                <w:sz w:val="18"/>
                <w:szCs w:val="18"/>
              </w:rPr>
            </w:pPr>
            <w:r w:rsidRPr="0080719C">
              <w:rPr>
                <w:rFonts w:ascii="Arial" w:hAnsi="Arial" w:cs="Arial"/>
                <w:b/>
                <w:bCs/>
                <w:color w:val="000000"/>
                <w:sz w:val="18"/>
                <w:szCs w:val="18"/>
              </w:rPr>
              <w:t>Baselines</w:t>
            </w:r>
          </w:p>
        </w:tc>
        <w:tc>
          <w:tcPr>
            <w:tcW w:w="2430"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14:paraId="7C409981" w14:textId="77777777" w:rsidR="00B66294" w:rsidRPr="0080719C" w:rsidRDefault="00B66294" w:rsidP="00984F70">
            <w:pPr>
              <w:jc w:val="center"/>
              <w:rPr>
                <w:rFonts w:ascii="Arial" w:hAnsi="Arial" w:cs="Arial"/>
                <w:b/>
                <w:bCs/>
                <w:color w:val="000000"/>
                <w:sz w:val="18"/>
                <w:szCs w:val="18"/>
              </w:rPr>
            </w:pPr>
            <w:r w:rsidRPr="0080719C">
              <w:rPr>
                <w:rFonts w:ascii="Arial" w:hAnsi="Arial" w:cs="Arial"/>
                <w:b/>
                <w:bCs/>
                <w:color w:val="000000"/>
                <w:sz w:val="18"/>
                <w:szCs w:val="18"/>
              </w:rPr>
              <w:t>Targets</w:t>
            </w:r>
          </w:p>
        </w:tc>
      </w:tr>
      <w:tr w:rsidR="00B66294" w:rsidRPr="0080719C" w14:paraId="2533A610" w14:textId="77777777" w:rsidTr="00984F70">
        <w:trPr>
          <w:trHeight w:val="1567"/>
        </w:trPr>
        <w:tc>
          <w:tcPr>
            <w:tcW w:w="2140" w:type="dxa"/>
            <w:tcBorders>
              <w:top w:val="nil"/>
              <w:left w:val="single" w:sz="4" w:space="0" w:color="auto"/>
              <w:bottom w:val="nil"/>
              <w:right w:val="nil"/>
            </w:tcBorders>
            <w:shd w:val="clear" w:color="000000" w:fill="FFFFFF"/>
            <w:tcMar>
              <w:top w:w="85" w:type="dxa"/>
            </w:tcMar>
            <w:hideMark/>
          </w:tcPr>
          <w:p w14:paraId="28EE58B8"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VIII.1 More effective communication to a broad public about intellectual property and WIPO’s role</w:t>
            </w:r>
          </w:p>
        </w:tc>
        <w:tc>
          <w:tcPr>
            <w:tcW w:w="2140" w:type="dxa"/>
            <w:tcBorders>
              <w:top w:val="nil"/>
              <w:left w:val="nil"/>
              <w:bottom w:val="nil"/>
              <w:right w:val="nil"/>
            </w:tcBorders>
            <w:shd w:val="clear" w:color="000000" w:fill="FFFFFF"/>
            <w:tcMar>
              <w:top w:w="85" w:type="dxa"/>
            </w:tcMar>
            <w:hideMark/>
          </w:tcPr>
          <w:p w14:paraId="5ACE4549" w14:textId="77777777" w:rsidR="00B66294" w:rsidRPr="0080719C" w:rsidRDefault="00B66294" w:rsidP="00984F70">
            <w:pPr>
              <w:rPr>
                <w:rFonts w:ascii="Arial" w:hAnsi="Arial" w:cs="Arial"/>
                <w:color w:val="000000"/>
                <w:sz w:val="16"/>
                <w:szCs w:val="16"/>
              </w:rPr>
            </w:pPr>
            <w:r>
              <w:rPr>
                <w:rFonts w:ascii="Arial" w:hAnsi="Arial" w:cs="Arial"/>
                <w:color w:val="000000"/>
                <w:sz w:val="16"/>
                <w:szCs w:val="16"/>
              </w:rPr>
              <w:t>S</w:t>
            </w:r>
            <w:r w:rsidRPr="0080719C">
              <w:rPr>
                <w:rFonts w:ascii="Arial" w:hAnsi="Arial" w:cs="Arial"/>
                <w:color w:val="000000"/>
                <w:sz w:val="16"/>
                <w:szCs w:val="16"/>
              </w:rPr>
              <w:t>takeholders with a positive perception of WIPO's reputation; and increased brand recognition of WIPO.</w:t>
            </w:r>
          </w:p>
        </w:tc>
        <w:tc>
          <w:tcPr>
            <w:tcW w:w="2485" w:type="dxa"/>
            <w:tcBorders>
              <w:top w:val="nil"/>
              <w:left w:val="nil"/>
              <w:bottom w:val="nil"/>
              <w:right w:val="nil"/>
            </w:tcBorders>
            <w:shd w:val="clear" w:color="000000" w:fill="FFFFFF"/>
            <w:tcMar>
              <w:top w:w="85" w:type="dxa"/>
            </w:tcMar>
            <w:hideMark/>
          </w:tcPr>
          <w:p w14:paraId="3644F56F"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85.3% of survey respondents agree/strongly agree that WIPO has a good overall reputation. 70.2% of respondents perceived WIPO as the global forum for IP  (WIPO Stakeholders Perceptions Survey, Jun 2014)</w:t>
            </w:r>
          </w:p>
        </w:tc>
        <w:tc>
          <w:tcPr>
            <w:tcW w:w="2430" w:type="dxa"/>
            <w:tcBorders>
              <w:top w:val="nil"/>
              <w:left w:val="nil"/>
              <w:bottom w:val="nil"/>
              <w:right w:val="single" w:sz="4" w:space="0" w:color="auto"/>
            </w:tcBorders>
            <w:shd w:val="clear" w:color="000000" w:fill="FFFFFF"/>
            <w:tcMar>
              <w:top w:w="85" w:type="dxa"/>
            </w:tcMar>
            <w:hideMark/>
          </w:tcPr>
          <w:p w14:paraId="0E887D17"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xml:space="preserve">85% have a positive perception of WIPO's reputation. 75% recognize WIPO as the global forum for IP.  </w:t>
            </w:r>
          </w:p>
        </w:tc>
      </w:tr>
      <w:tr w:rsidR="00B66294" w:rsidRPr="0080719C" w14:paraId="0096A132" w14:textId="77777777" w:rsidTr="00984F70">
        <w:trPr>
          <w:trHeight w:val="754"/>
        </w:trPr>
        <w:tc>
          <w:tcPr>
            <w:tcW w:w="2140" w:type="dxa"/>
            <w:tcBorders>
              <w:top w:val="nil"/>
              <w:left w:val="single" w:sz="4" w:space="0" w:color="auto"/>
              <w:bottom w:val="nil"/>
              <w:right w:val="nil"/>
            </w:tcBorders>
            <w:shd w:val="clear" w:color="000000" w:fill="FFFFFF"/>
            <w:tcMar>
              <w:top w:w="85" w:type="dxa"/>
            </w:tcMar>
            <w:hideMark/>
          </w:tcPr>
          <w:p w14:paraId="49766AF6"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bottom w:val="nil"/>
              <w:right w:val="nil"/>
            </w:tcBorders>
            <w:shd w:val="clear" w:color="000000" w:fill="FFFFFF"/>
            <w:tcMar>
              <w:top w:w="85" w:type="dxa"/>
            </w:tcMar>
            <w:hideMark/>
          </w:tcPr>
          <w:p w14:paraId="5EF22D37"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No. of people who view content about major WIPO events, achievements, activities</w:t>
            </w:r>
          </w:p>
        </w:tc>
        <w:tc>
          <w:tcPr>
            <w:tcW w:w="2485" w:type="dxa"/>
            <w:tcBorders>
              <w:top w:val="nil"/>
              <w:left w:val="nil"/>
              <w:bottom w:val="nil"/>
              <w:right w:val="nil"/>
            </w:tcBorders>
            <w:shd w:val="clear" w:color="000000" w:fill="FFFFFF"/>
            <w:tcMar>
              <w:top w:w="85" w:type="dxa"/>
            </w:tcMar>
            <w:hideMark/>
          </w:tcPr>
          <w:p w14:paraId="0BBD8C9F"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tbd</w:t>
            </w:r>
          </w:p>
        </w:tc>
        <w:tc>
          <w:tcPr>
            <w:tcW w:w="2430" w:type="dxa"/>
            <w:tcBorders>
              <w:top w:val="nil"/>
              <w:left w:val="nil"/>
              <w:bottom w:val="nil"/>
              <w:right w:val="single" w:sz="4" w:space="0" w:color="auto"/>
            </w:tcBorders>
            <w:shd w:val="clear" w:color="000000" w:fill="FFFFFF"/>
            <w:tcMar>
              <w:top w:w="85" w:type="dxa"/>
            </w:tcMar>
            <w:hideMark/>
          </w:tcPr>
          <w:p w14:paraId="01C869FC" w14:textId="46E3FC6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23% of recipients of the WIPO Wire newsletter open it to view content</w:t>
            </w:r>
          </w:p>
        </w:tc>
      </w:tr>
      <w:tr w:rsidR="00B66294" w:rsidRPr="0080719C" w14:paraId="288FC337" w14:textId="77777777" w:rsidTr="00984F70">
        <w:trPr>
          <w:trHeight w:val="766"/>
        </w:trPr>
        <w:tc>
          <w:tcPr>
            <w:tcW w:w="2140" w:type="dxa"/>
            <w:tcBorders>
              <w:top w:val="nil"/>
              <w:left w:val="single" w:sz="4" w:space="0" w:color="auto"/>
              <w:bottom w:val="nil"/>
              <w:right w:val="nil"/>
            </w:tcBorders>
            <w:shd w:val="clear" w:color="000000" w:fill="FFFFFF"/>
            <w:tcMar>
              <w:top w:w="85" w:type="dxa"/>
            </w:tcMar>
            <w:hideMark/>
          </w:tcPr>
          <w:p w14:paraId="2DB2BAEF"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bottom w:val="nil"/>
              <w:right w:val="nil"/>
            </w:tcBorders>
            <w:shd w:val="clear" w:color="000000" w:fill="FFFFFF"/>
            <w:tcMar>
              <w:top w:w="85" w:type="dxa"/>
            </w:tcMar>
            <w:hideMark/>
          </w:tcPr>
          <w:p w14:paraId="3CBA1D0A"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Global participation in World IP Day campaign</w:t>
            </w:r>
          </w:p>
        </w:tc>
        <w:tc>
          <w:tcPr>
            <w:tcW w:w="2485" w:type="dxa"/>
            <w:tcBorders>
              <w:top w:val="nil"/>
              <w:left w:val="nil"/>
              <w:bottom w:val="nil"/>
              <w:right w:val="nil"/>
            </w:tcBorders>
            <w:shd w:val="clear" w:color="000000" w:fill="FFFFFF"/>
            <w:tcMar>
              <w:top w:w="85" w:type="dxa"/>
            </w:tcMar>
            <w:hideMark/>
          </w:tcPr>
          <w:p w14:paraId="4AF8D489"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Events in 110 countries were published on the 2014 World IP Day Events Map</w:t>
            </w:r>
          </w:p>
        </w:tc>
        <w:tc>
          <w:tcPr>
            <w:tcW w:w="2430" w:type="dxa"/>
            <w:tcBorders>
              <w:top w:val="nil"/>
              <w:left w:val="nil"/>
              <w:bottom w:val="nil"/>
              <w:right w:val="single" w:sz="4" w:space="0" w:color="auto"/>
            </w:tcBorders>
            <w:shd w:val="clear" w:color="000000" w:fill="FFFFFF"/>
            <w:tcMar>
              <w:top w:w="85" w:type="dxa"/>
            </w:tcMar>
            <w:hideMark/>
          </w:tcPr>
          <w:p w14:paraId="46FE65AF"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Events in ≥ 100 countries published on the World IP Day Events Map</w:t>
            </w:r>
          </w:p>
        </w:tc>
      </w:tr>
      <w:tr w:rsidR="00B66294" w:rsidRPr="0080719C" w14:paraId="625A74A2" w14:textId="77777777" w:rsidTr="00984F70">
        <w:trPr>
          <w:trHeight w:val="974"/>
        </w:trPr>
        <w:tc>
          <w:tcPr>
            <w:tcW w:w="2140" w:type="dxa"/>
            <w:tcBorders>
              <w:top w:val="nil"/>
              <w:left w:val="single" w:sz="4" w:space="0" w:color="auto"/>
              <w:bottom w:val="nil"/>
              <w:right w:val="nil"/>
            </w:tcBorders>
            <w:shd w:val="clear" w:color="000000" w:fill="FFFFFF"/>
            <w:tcMar>
              <w:top w:w="85" w:type="dxa"/>
            </w:tcMar>
            <w:hideMark/>
          </w:tcPr>
          <w:p w14:paraId="2E40EA40"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bottom w:val="nil"/>
              <w:right w:val="nil"/>
            </w:tcBorders>
            <w:shd w:val="clear" w:color="000000" w:fill="FFFFFF"/>
            <w:tcMar>
              <w:top w:w="85" w:type="dxa"/>
            </w:tcMar>
            <w:hideMark/>
          </w:tcPr>
          <w:p w14:paraId="0B6767DA" w14:textId="77777777" w:rsidR="00B66294" w:rsidRPr="0080719C" w:rsidRDefault="00B66294" w:rsidP="00984F70">
            <w:pPr>
              <w:rPr>
                <w:rFonts w:ascii="Arial" w:hAnsi="Arial" w:cs="Arial"/>
                <w:color w:val="000000"/>
                <w:sz w:val="16"/>
                <w:szCs w:val="16"/>
              </w:rPr>
            </w:pPr>
            <w:r>
              <w:rPr>
                <w:rFonts w:ascii="Arial" w:hAnsi="Arial" w:cs="Arial"/>
                <w:color w:val="000000"/>
                <w:sz w:val="16"/>
                <w:szCs w:val="16"/>
              </w:rPr>
              <w:t>O</w:t>
            </w:r>
            <w:r w:rsidRPr="0080719C">
              <w:rPr>
                <w:rFonts w:ascii="Arial" w:hAnsi="Arial" w:cs="Arial"/>
                <w:color w:val="000000"/>
                <w:sz w:val="16"/>
                <w:szCs w:val="16"/>
              </w:rPr>
              <w:t>nline traffic to the WIPO Publications site and WIPO Magazine site</w:t>
            </w:r>
          </w:p>
        </w:tc>
        <w:tc>
          <w:tcPr>
            <w:tcW w:w="2485" w:type="dxa"/>
            <w:tcBorders>
              <w:top w:val="nil"/>
              <w:left w:val="nil"/>
              <w:bottom w:val="nil"/>
              <w:right w:val="nil"/>
            </w:tcBorders>
            <w:shd w:val="clear" w:color="000000" w:fill="FFFFFF"/>
            <w:tcMar>
              <w:top w:w="85" w:type="dxa"/>
            </w:tcMar>
            <w:hideMark/>
          </w:tcPr>
          <w:p w14:paraId="1907DE6E" w14:textId="77777777" w:rsidR="00B66294" w:rsidRPr="0080719C" w:rsidRDefault="00B66294" w:rsidP="00984F70">
            <w:pPr>
              <w:rPr>
                <w:rFonts w:ascii="Arial" w:hAnsi="Arial" w:cs="Arial"/>
                <w:sz w:val="16"/>
                <w:szCs w:val="16"/>
              </w:rPr>
            </w:pPr>
            <w:r w:rsidRPr="0080719C">
              <w:rPr>
                <w:rFonts w:ascii="Arial" w:hAnsi="Arial" w:cs="Arial"/>
                <w:sz w:val="16"/>
                <w:szCs w:val="16"/>
              </w:rPr>
              <w:t>(i) 97,804 unique page views of the publications site; (ii) 432,342 unique views of the WIPO Magazine site in 2014</w:t>
            </w:r>
          </w:p>
        </w:tc>
        <w:tc>
          <w:tcPr>
            <w:tcW w:w="2430" w:type="dxa"/>
            <w:tcBorders>
              <w:top w:val="nil"/>
              <w:left w:val="nil"/>
              <w:bottom w:val="nil"/>
              <w:right w:val="single" w:sz="4" w:space="0" w:color="auto"/>
            </w:tcBorders>
            <w:shd w:val="clear" w:color="000000" w:fill="FFFFFF"/>
            <w:tcMar>
              <w:top w:w="85" w:type="dxa"/>
            </w:tcMar>
            <w:hideMark/>
          </w:tcPr>
          <w:p w14:paraId="5DECD955"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(i) 20% increase in unique page views of the publications site; (ii) 10% increase in unique page views of the Magazine site</w:t>
            </w:r>
          </w:p>
        </w:tc>
      </w:tr>
      <w:tr w:rsidR="00B66294" w:rsidRPr="0080719C" w14:paraId="68C5E836" w14:textId="77777777" w:rsidTr="007644FB">
        <w:trPr>
          <w:trHeight w:val="1871"/>
        </w:trPr>
        <w:tc>
          <w:tcPr>
            <w:tcW w:w="2140" w:type="dxa"/>
            <w:tcBorders>
              <w:top w:val="nil"/>
              <w:left w:val="single" w:sz="4" w:space="0" w:color="auto"/>
              <w:right w:val="nil"/>
            </w:tcBorders>
            <w:shd w:val="clear" w:color="000000" w:fill="FFFFFF"/>
            <w:tcMar>
              <w:top w:w="85" w:type="dxa"/>
            </w:tcMar>
            <w:hideMark/>
          </w:tcPr>
          <w:p w14:paraId="43395420"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right w:val="nil"/>
            </w:tcBorders>
            <w:shd w:val="clear" w:color="000000" w:fill="FFFFFF"/>
            <w:tcMar>
              <w:top w:w="85" w:type="dxa"/>
            </w:tcMar>
            <w:hideMark/>
          </w:tcPr>
          <w:p w14:paraId="095D3156" w14:textId="77777777" w:rsidR="00B66294" w:rsidRPr="0080719C" w:rsidRDefault="00B66294" w:rsidP="00984F70">
            <w:pPr>
              <w:rPr>
                <w:rFonts w:ascii="Arial" w:hAnsi="Arial" w:cs="Arial"/>
                <w:color w:val="000000"/>
                <w:sz w:val="16"/>
                <w:szCs w:val="16"/>
              </w:rPr>
            </w:pPr>
            <w:r>
              <w:rPr>
                <w:rFonts w:ascii="Arial" w:hAnsi="Arial" w:cs="Arial"/>
                <w:color w:val="000000"/>
                <w:sz w:val="16"/>
                <w:szCs w:val="16"/>
              </w:rPr>
              <w:t>V</w:t>
            </w:r>
            <w:r w:rsidRPr="0080719C">
              <w:rPr>
                <w:rFonts w:ascii="Arial" w:hAnsi="Arial" w:cs="Arial"/>
                <w:color w:val="000000"/>
                <w:sz w:val="16"/>
                <w:szCs w:val="16"/>
              </w:rPr>
              <w:t>iews of WIPO press, video and photographic content</w:t>
            </w:r>
          </w:p>
        </w:tc>
        <w:tc>
          <w:tcPr>
            <w:tcW w:w="2485" w:type="dxa"/>
            <w:tcBorders>
              <w:top w:val="nil"/>
              <w:left w:val="nil"/>
              <w:right w:val="nil"/>
            </w:tcBorders>
            <w:shd w:val="clear" w:color="000000" w:fill="FFFFFF"/>
            <w:tcMar>
              <w:top w:w="85" w:type="dxa"/>
            </w:tcMar>
            <w:hideMark/>
          </w:tcPr>
          <w:p w14:paraId="573A5E52"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xml:space="preserve">(i). 250,000 unique page views of Media Center web content (all lang.s) in 2014 </w:t>
            </w:r>
            <w:r w:rsidRPr="0080719C">
              <w:rPr>
                <w:rFonts w:ascii="Arial" w:hAnsi="Arial" w:cs="Arial"/>
                <w:color w:val="000000"/>
                <w:sz w:val="16"/>
                <w:szCs w:val="16"/>
              </w:rPr>
              <w:br/>
              <w:t xml:space="preserve">(ii).467,180 views on WIPO YouTube channel in 2013/14 (excl. pre-school)  </w:t>
            </w:r>
            <w:r w:rsidRPr="0080719C">
              <w:rPr>
                <w:rFonts w:ascii="Arial" w:hAnsi="Arial" w:cs="Arial"/>
                <w:color w:val="000000"/>
                <w:sz w:val="16"/>
                <w:szCs w:val="16"/>
              </w:rPr>
              <w:br/>
              <w:t>(iii). 1.44 million additional photo</w:t>
            </w:r>
            <w:r>
              <w:rPr>
                <w:rFonts w:ascii="Arial" w:hAnsi="Arial" w:cs="Arial"/>
                <w:color w:val="000000"/>
                <w:sz w:val="16"/>
                <w:szCs w:val="16"/>
              </w:rPr>
              <w:t xml:space="preserve"> </w:t>
            </w:r>
            <w:r w:rsidRPr="0080719C">
              <w:rPr>
                <w:rFonts w:ascii="Arial" w:hAnsi="Arial" w:cs="Arial"/>
                <w:color w:val="000000"/>
                <w:sz w:val="16"/>
                <w:szCs w:val="16"/>
              </w:rPr>
              <w:t>views on Flickr in 2014. (Lifetime views end 2014: 2.41 million)</w:t>
            </w:r>
          </w:p>
        </w:tc>
        <w:tc>
          <w:tcPr>
            <w:tcW w:w="2430" w:type="dxa"/>
            <w:tcBorders>
              <w:top w:val="nil"/>
              <w:left w:val="nil"/>
              <w:right w:val="single" w:sz="4" w:space="0" w:color="auto"/>
            </w:tcBorders>
            <w:shd w:val="clear" w:color="000000" w:fill="FFFFFF"/>
            <w:tcMar>
              <w:top w:w="85" w:type="dxa"/>
            </w:tcMar>
            <w:hideMark/>
          </w:tcPr>
          <w:p w14:paraId="754164D3"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xml:space="preserve">(i) 10% increase in unique page views of Media Center web content </w:t>
            </w:r>
            <w:r w:rsidRPr="0080719C">
              <w:rPr>
                <w:rFonts w:ascii="Arial" w:hAnsi="Arial" w:cs="Arial"/>
                <w:color w:val="000000"/>
                <w:sz w:val="16"/>
                <w:szCs w:val="16"/>
              </w:rPr>
              <w:br/>
              <w:t xml:space="preserve">(ii) 10% increase in total videos views on the WIPO YouTube channel (excl. pre-school) </w:t>
            </w:r>
            <w:r w:rsidRPr="0080719C">
              <w:rPr>
                <w:rFonts w:ascii="Arial" w:hAnsi="Arial" w:cs="Arial"/>
                <w:color w:val="000000"/>
                <w:sz w:val="16"/>
                <w:szCs w:val="16"/>
              </w:rPr>
              <w:br/>
              <w:t>(iii) Target: 1 million additional photo</w:t>
            </w:r>
            <w:r>
              <w:rPr>
                <w:rFonts w:ascii="Arial" w:hAnsi="Arial" w:cs="Arial"/>
                <w:color w:val="000000"/>
                <w:sz w:val="16"/>
                <w:szCs w:val="16"/>
              </w:rPr>
              <w:t xml:space="preserve"> </w:t>
            </w:r>
            <w:r w:rsidRPr="0080719C">
              <w:rPr>
                <w:rFonts w:ascii="Arial" w:hAnsi="Arial" w:cs="Arial"/>
                <w:color w:val="000000"/>
                <w:sz w:val="16"/>
                <w:szCs w:val="16"/>
              </w:rPr>
              <w:t>views on Flickr (by end 2017)</w:t>
            </w:r>
          </w:p>
        </w:tc>
      </w:tr>
      <w:tr w:rsidR="00B66294" w:rsidRPr="0080719C" w14:paraId="44B85868" w14:textId="77777777" w:rsidTr="007644FB">
        <w:trPr>
          <w:trHeight w:val="1345"/>
        </w:trPr>
        <w:tc>
          <w:tcPr>
            <w:tcW w:w="2140" w:type="dxa"/>
            <w:tcBorders>
              <w:top w:val="nil"/>
              <w:left w:val="single" w:sz="4" w:space="0" w:color="auto"/>
              <w:right w:val="nil"/>
            </w:tcBorders>
            <w:shd w:val="clear" w:color="000000" w:fill="FFFFFF"/>
            <w:tcMar>
              <w:top w:w="85" w:type="dxa"/>
            </w:tcMar>
            <w:hideMark/>
          </w:tcPr>
          <w:p w14:paraId="0B6A5FAC"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right w:val="nil"/>
            </w:tcBorders>
            <w:shd w:val="clear" w:color="000000" w:fill="FFFFFF"/>
            <w:tcMar>
              <w:top w:w="85" w:type="dxa"/>
            </w:tcMar>
            <w:hideMark/>
          </w:tcPr>
          <w:p w14:paraId="0AE50D39" w14:textId="3356E48B"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Fewer users who leave the WIPO website directly from the portal and key gateway pages.</w:t>
            </w:r>
          </w:p>
        </w:tc>
        <w:tc>
          <w:tcPr>
            <w:tcW w:w="2485" w:type="dxa"/>
            <w:tcBorders>
              <w:top w:val="nil"/>
              <w:left w:val="nil"/>
              <w:right w:val="nil"/>
            </w:tcBorders>
            <w:shd w:val="clear" w:color="000000" w:fill="FFFFFF"/>
            <w:tcMar>
              <w:top w:w="85" w:type="dxa"/>
            </w:tcMar>
            <w:hideMark/>
          </w:tcPr>
          <w:p w14:paraId="1038FEFB"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(i) Portal bounce rate 25.1% (ii) Exit rates from “gateway” pages: Services: 13%; Policy: 16.9%; Cooperation: 15.3%; Reference: 19.1%; About IP: 55.1%; Inside WIPO: 23.5%</w:t>
            </w:r>
          </w:p>
        </w:tc>
        <w:tc>
          <w:tcPr>
            <w:tcW w:w="2430" w:type="dxa"/>
            <w:tcBorders>
              <w:top w:val="nil"/>
              <w:left w:val="nil"/>
              <w:right w:val="single" w:sz="4" w:space="0" w:color="auto"/>
            </w:tcBorders>
            <w:shd w:val="clear" w:color="000000" w:fill="FFFFFF"/>
            <w:tcMar>
              <w:top w:w="85" w:type="dxa"/>
            </w:tcMar>
            <w:hideMark/>
          </w:tcPr>
          <w:p w14:paraId="759A8A4B"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(i) stable bounce rate from the portal; (ii) stable exit rate from the "gateway" page for each of the 6 main areas of the website (IP Services, Policy, Cooperation, Reference, About IP, About WIPO)</w:t>
            </w:r>
          </w:p>
        </w:tc>
      </w:tr>
      <w:tr w:rsidR="00B66294" w:rsidRPr="0080719C" w14:paraId="66630CA2" w14:textId="77777777" w:rsidTr="007644FB">
        <w:trPr>
          <w:trHeight w:val="1045"/>
        </w:trPr>
        <w:tc>
          <w:tcPr>
            <w:tcW w:w="2140" w:type="dxa"/>
            <w:tcBorders>
              <w:left w:val="single" w:sz="4" w:space="0" w:color="auto"/>
              <w:bottom w:val="single" w:sz="4" w:space="0" w:color="auto"/>
              <w:right w:val="nil"/>
            </w:tcBorders>
            <w:shd w:val="clear" w:color="000000" w:fill="FFFFFF"/>
            <w:tcMar>
              <w:top w:w="85" w:type="dxa"/>
            </w:tcMar>
            <w:hideMark/>
          </w:tcPr>
          <w:p w14:paraId="6F245CAE"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left w:val="nil"/>
              <w:bottom w:val="single" w:sz="4" w:space="0" w:color="auto"/>
              <w:right w:val="nil"/>
            </w:tcBorders>
            <w:shd w:val="clear" w:color="000000" w:fill="FFFFFF"/>
            <w:tcMar>
              <w:top w:w="85" w:type="dxa"/>
            </w:tcMar>
            <w:hideMark/>
          </w:tcPr>
          <w:p w14:paraId="61046350"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WIPO influence and stakeholder engagement on social media</w:t>
            </w:r>
          </w:p>
        </w:tc>
        <w:tc>
          <w:tcPr>
            <w:tcW w:w="2485" w:type="dxa"/>
            <w:tcBorders>
              <w:left w:val="nil"/>
              <w:bottom w:val="single" w:sz="4" w:space="0" w:color="auto"/>
              <w:right w:val="nil"/>
            </w:tcBorders>
            <w:shd w:val="clear" w:color="000000" w:fill="FFFFFF"/>
            <w:tcMar>
              <w:top w:w="85" w:type="dxa"/>
            </w:tcMar>
            <w:hideMark/>
          </w:tcPr>
          <w:p w14:paraId="0062E7AE"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(i) number of favorites (2014=5,121)</w:t>
            </w:r>
            <w:r w:rsidRPr="0080719C">
              <w:rPr>
                <w:rFonts w:ascii="Arial" w:hAnsi="Arial" w:cs="Arial"/>
                <w:color w:val="000000"/>
                <w:sz w:val="16"/>
                <w:szCs w:val="16"/>
              </w:rPr>
              <w:br/>
              <w:t>(ii) total retweets (2014 = 11,920)</w:t>
            </w:r>
          </w:p>
        </w:tc>
        <w:tc>
          <w:tcPr>
            <w:tcW w:w="2430" w:type="dxa"/>
            <w:tcBorders>
              <w:left w:val="nil"/>
              <w:bottom w:val="single" w:sz="4" w:space="0" w:color="auto"/>
              <w:right w:val="single" w:sz="4" w:space="0" w:color="auto"/>
            </w:tcBorders>
            <w:shd w:val="clear" w:color="000000" w:fill="FFFFFF"/>
            <w:tcMar>
              <w:top w:w="85" w:type="dxa"/>
            </w:tcMar>
            <w:hideMark/>
          </w:tcPr>
          <w:p w14:paraId="6D5EBC19"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(i) 25% increase in yearly number of "favorited" WIPO tweets</w:t>
            </w:r>
            <w:r w:rsidRPr="0080719C">
              <w:rPr>
                <w:rFonts w:ascii="Arial" w:hAnsi="Arial" w:cs="Arial"/>
                <w:color w:val="000000"/>
                <w:sz w:val="16"/>
                <w:szCs w:val="16"/>
              </w:rPr>
              <w:br/>
              <w:t>(ii) 15</w:t>
            </w:r>
            <w:r>
              <w:rPr>
                <w:rFonts w:ascii="Arial" w:hAnsi="Arial" w:cs="Arial"/>
                <w:color w:val="000000"/>
                <w:sz w:val="16"/>
                <w:szCs w:val="16"/>
              </w:rPr>
              <w:t>%</w:t>
            </w:r>
            <w:r w:rsidRPr="0080719C">
              <w:rPr>
                <w:rFonts w:ascii="Arial" w:hAnsi="Arial" w:cs="Arial"/>
                <w:color w:val="000000"/>
                <w:sz w:val="16"/>
                <w:szCs w:val="16"/>
              </w:rPr>
              <w:t xml:space="preserve"> increase in total yearly number of retweets</w:t>
            </w:r>
          </w:p>
        </w:tc>
      </w:tr>
      <w:tr w:rsidR="00B66294" w:rsidRPr="0080719C" w14:paraId="22DE33AC" w14:textId="77777777" w:rsidTr="00FB68E0">
        <w:trPr>
          <w:trHeight w:val="882"/>
        </w:trPr>
        <w:tc>
          <w:tcPr>
            <w:tcW w:w="2140" w:type="dxa"/>
            <w:tcBorders>
              <w:top w:val="single" w:sz="4" w:space="0" w:color="auto"/>
              <w:left w:val="single" w:sz="4" w:space="0" w:color="auto"/>
              <w:bottom w:val="nil"/>
              <w:right w:val="nil"/>
            </w:tcBorders>
            <w:shd w:val="clear" w:color="000000" w:fill="FFFFFF"/>
            <w:tcMar>
              <w:top w:w="85" w:type="dxa"/>
            </w:tcMar>
            <w:hideMark/>
          </w:tcPr>
          <w:p w14:paraId="00E88D2E"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lastRenderedPageBreak/>
              <w:t>VIII.2 Improved service orientation and responsiveness to inquiries</w:t>
            </w:r>
          </w:p>
        </w:tc>
        <w:tc>
          <w:tcPr>
            <w:tcW w:w="2140" w:type="dxa"/>
            <w:tcBorders>
              <w:top w:val="single" w:sz="4" w:space="0" w:color="auto"/>
              <w:left w:val="nil"/>
              <w:bottom w:val="nil"/>
              <w:right w:val="nil"/>
            </w:tcBorders>
            <w:shd w:val="clear" w:color="000000" w:fill="FFFFFF"/>
            <w:tcMar>
              <w:top w:w="85" w:type="dxa"/>
            </w:tcMar>
            <w:hideMark/>
          </w:tcPr>
          <w:p w14:paraId="747CC785" w14:textId="278A7C45" w:rsidR="00B66294" w:rsidRPr="0080719C" w:rsidRDefault="00B66294" w:rsidP="00984F70">
            <w:pPr>
              <w:keepNext/>
              <w:keepLines/>
              <w:rPr>
                <w:rFonts w:ascii="Arial" w:hAnsi="Arial" w:cs="Arial"/>
                <w:color w:val="000000"/>
                <w:sz w:val="16"/>
                <w:szCs w:val="16"/>
              </w:rPr>
            </w:pPr>
            <w:r>
              <w:rPr>
                <w:rFonts w:ascii="Arial" w:hAnsi="Arial" w:cs="Arial"/>
                <w:color w:val="000000"/>
                <w:sz w:val="16"/>
                <w:szCs w:val="16"/>
              </w:rPr>
              <w:t>U</w:t>
            </w:r>
            <w:r w:rsidRPr="0080719C">
              <w:rPr>
                <w:rFonts w:ascii="Arial" w:hAnsi="Arial" w:cs="Arial"/>
                <w:color w:val="000000"/>
                <w:sz w:val="16"/>
                <w:szCs w:val="16"/>
              </w:rPr>
              <w:t>ser satisf</w:t>
            </w:r>
            <w:r>
              <w:rPr>
                <w:rFonts w:ascii="Arial" w:hAnsi="Arial" w:cs="Arial"/>
                <w:color w:val="000000"/>
                <w:sz w:val="16"/>
                <w:szCs w:val="16"/>
              </w:rPr>
              <w:t>action</w:t>
            </w:r>
            <w:r w:rsidRPr="0080719C">
              <w:rPr>
                <w:rFonts w:ascii="Arial" w:hAnsi="Arial" w:cs="Arial"/>
                <w:color w:val="000000"/>
                <w:sz w:val="16"/>
                <w:szCs w:val="16"/>
              </w:rPr>
              <w:t xml:space="preserve"> with Library services</w:t>
            </w:r>
          </w:p>
        </w:tc>
        <w:tc>
          <w:tcPr>
            <w:tcW w:w="2485" w:type="dxa"/>
            <w:tcBorders>
              <w:top w:val="single" w:sz="4" w:space="0" w:color="auto"/>
              <w:left w:val="nil"/>
              <w:bottom w:val="nil"/>
              <w:right w:val="nil"/>
            </w:tcBorders>
            <w:shd w:val="clear" w:color="000000" w:fill="FFFFFF"/>
            <w:tcMar>
              <w:top w:w="85" w:type="dxa"/>
            </w:tcMar>
            <w:hideMark/>
          </w:tcPr>
          <w:p w14:paraId="71FF20CA"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t xml:space="preserve">72.2% of respondents to a feedback questionnaire to users of Library services in 2014 were highly satisfied </w:t>
            </w:r>
          </w:p>
        </w:tc>
        <w:tc>
          <w:tcPr>
            <w:tcW w:w="2430" w:type="dxa"/>
            <w:tcBorders>
              <w:top w:val="single" w:sz="4" w:space="0" w:color="auto"/>
              <w:left w:val="nil"/>
              <w:bottom w:val="nil"/>
              <w:right w:val="single" w:sz="4" w:space="0" w:color="auto"/>
            </w:tcBorders>
            <w:shd w:val="clear" w:color="000000" w:fill="FFFFFF"/>
            <w:tcMar>
              <w:top w:w="85" w:type="dxa"/>
            </w:tcMar>
            <w:hideMark/>
          </w:tcPr>
          <w:p w14:paraId="6399EB21"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t> ≥ 70 % highly satisfied visitors and online customers</w:t>
            </w:r>
          </w:p>
        </w:tc>
      </w:tr>
      <w:tr w:rsidR="00B66294" w:rsidRPr="0080719C" w14:paraId="1BB8223C" w14:textId="77777777" w:rsidTr="00FB68E0">
        <w:trPr>
          <w:trHeight w:val="720"/>
        </w:trPr>
        <w:tc>
          <w:tcPr>
            <w:tcW w:w="2140" w:type="dxa"/>
            <w:tcBorders>
              <w:top w:val="nil"/>
              <w:left w:val="single" w:sz="4" w:space="0" w:color="auto"/>
              <w:bottom w:val="nil"/>
              <w:right w:val="nil"/>
            </w:tcBorders>
            <w:shd w:val="clear" w:color="000000" w:fill="FFFFFF"/>
            <w:tcMar>
              <w:top w:w="85" w:type="dxa"/>
            </w:tcMar>
            <w:hideMark/>
          </w:tcPr>
          <w:p w14:paraId="4171096D"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bottom w:val="nil"/>
              <w:right w:val="nil"/>
            </w:tcBorders>
            <w:shd w:val="clear" w:color="000000" w:fill="FFFFFF"/>
            <w:tcMar>
              <w:top w:w="85" w:type="dxa"/>
            </w:tcMar>
            <w:hideMark/>
          </w:tcPr>
          <w:p w14:paraId="2883806D"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t>Customer/stakeholder satisfaction rate</w:t>
            </w:r>
          </w:p>
        </w:tc>
        <w:tc>
          <w:tcPr>
            <w:tcW w:w="2485" w:type="dxa"/>
            <w:tcBorders>
              <w:top w:val="nil"/>
              <w:left w:val="nil"/>
              <w:bottom w:val="nil"/>
              <w:right w:val="nil"/>
            </w:tcBorders>
            <w:shd w:val="clear" w:color="000000" w:fill="FFFFFF"/>
            <w:tcMar>
              <w:top w:w="85" w:type="dxa"/>
            </w:tcMar>
            <w:hideMark/>
          </w:tcPr>
          <w:p w14:paraId="57E2A9AB" w14:textId="77777777" w:rsidR="00B66294" w:rsidRPr="0080719C" w:rsidRDefault="00B66294" w:rsidP="00984F70">
            <w:pPr>
              <w:keepNext/>
              <w:keepLines/>
              <w:rPr>
                <w:rFonts w:ascii="Arial" w:hAnsi="Arial" w:cs="Arial"/>
                <w:color w:val="000000"/>
                <w:sz w:val="16"/>
                <w:szCs w:val="16"/>
              </w:rPr>
            </w:pPr>
            <w:r w:rsidRPr="0080719C">
              <w:rPr>
                <w:rFonts w:ascii="Arial" w:hAnsi="Arial" w:cs="Arial"/>
                <w:color w:val="000000"/>
                <w:sz w:val="16"/>
                <w:szCs w:val="16"/>
              </w:rPr>
              <w:t>86% of Madrid and Hague customers satisfied or highly satisfied (2013 survey)</w:t>
            </w:r>
          </w:p>
        </w:tc>
        <w:tc>
          <w:tcPr>
            <w:tcW w:w="2430" w:type="dxa"/>
            <w:tcBorders>
              <w:top w:val="nil"/>
              <w:left w:val="nil"/>
              <w:bottom w:val="nil"/>
              <w:right w:val="single" w:sz="4" w:space="0" w:color="auto"/>
            </w:tcBorders>
            <w:shd w:val="clear" w:color="000000" w:fill="FFFFFF"/>
            <w:tcMar>
              <w:top w:w="85" w:type="dxa"/>
            </w:tcMar>
            <w:hideMark/>
          </w:tcPr>
          <w:p w14:paraId="2D93D752" w14:textId="77777777" w:rsidR="00B66294" w:rsidRPr="0080719C" w:rsidRDefault="00B66294" w:rsidP="00984F70">
            <w:pPr>
              <w:keepNext/>
              <w:keepLines/>
              <w:ind w:firstLineChars="200" w:firstLine="320"/>
              <w:rPr>
                <w:rFonts w:ascii="Arial" w:hAnsi="Arial" w:cs="Arial"/>
                <w:color w:val="000000"/>
                <w:sz w:val="16"/>
                <w:szCs w:val="16"/>
              </w:rPr>
            </w:pPr>
            <w:r>
              <w:rPr>
                <w:rFonts w:ascii="Arial" w:hAnsi="Arial" w:cs="Arial"/>
                <w:color w:val="000000"/>
                <w:sz w:val="16"/>
                <w:szCs w:val="16"/>
              </w:rPr>
              <w:t> </w:t>
            </w:r>
            <w:r w:rsidRPr="0080719C">
              <w:rPr>
                <w:rFonts w:ascii="Arial" w:hAnsi="Arial" w:cs="Arial"/>
                <w:color w:val="000000"/>
                <w:sz w:val="16"/>
                <w:szCs w:val="16"/>
              </w:rPr>
              <w:t>≥ 90% satisfied or highly satisfied</w:t>
            </w:r>
          </w:p>
        </w:tc>
      </w:tr>
      <w:tr w:rsidR="00B66294" w:rsidRPr="0080719C" w14:paraId="1B6796D0" w14:textId="77777777" w:rsidTr="00984F70">
        <w:trPr>
          <w:trHeight w:val="887"/>
        </w:trPr>
        <w:tc>
          <w:tcPr>
            <w:tcW w:w="2140" w:type="dxa"/>
            <w:tcBorders>
              <w:top w:val="nil"/>
              <w:left w:val="single" w:sz="4" w:space="0" w:color="auto"/>
              <w:bottom w:val="single" w:sz="4" w:space="0" w:color="auto"/>
              <w:right w:val="nil"/>
            </w:tcBorders>
            <w:shd w:val="clear" w:color="000000" w:fill="FFFFFF"/>
            <w:tcMar>
              <w:top w:w="85" w:type="dxa"/>
            </w:tcMar>
            <w:hideMark/>
          </w:tcPr>
          <w:p w14:paraId="0206092E"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w:t>
            </w:r>
          </w:p>
        </w:tc>
        <w:tc>
          <w:tcPr>
            <w:tcW w:w="2140" w:type="dxa"/>
            <w:tcBorders>
              <w:top w:val="nil"/>
              <w:left w:val="nil"/>
              <w:bottom w:val="single" w:sz="4" w:space="0" w:color="auto"/>
              <w:right w:val="nil"/>
            </w:tcBorders>
            <w:shd w:val="clear" w:color="000000" w:fill="FFFFFF"/>
            <w:tcMar>
              <w:top w:w="85" w:type="dxa"/>
            </w:tcMar>
            <w:hideMark/>
          </w:tcPr>
          <w:p w14:paraId="3C9AD1B9"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 xml:space="preserve">Service Standards for the WIPO Customer Service Center </w:t>
            </w:r>
          </w:p>
        </w:tc>
        <w:tc>
          <w:tcPr>
            <w:tcW w:w="2485" w:type="dxa"/>
            <w:tcBorders>
              <w:top w:val="nil"/>
              <w:left w:val="nil"/>
              <w:bottom w:val="single" w:sz="4" w:space="0" w:color="auto"/>
              <w:right w:val="nil"/>
            </w:tcBorders>
            <w:shd w:val="clear" w:color="000000" w:fill="FFFFFF"/>
            <w:tcMar>
              <w:top w:w="85" w:type="dxa"/>
            </w:tcMar>
            <w:hideMark/>
          </w:tcPr>
          <w:p w14:paraId="1A6C7FE7" w14:textId="77777777"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92% of tickets processed within 1 day; 100% of complaints processed within 8 working hours</w:t>
            </w:r>
          </w:p>
        </w:tc>
        <w:tc>
          <w:tcPr>
            <w:tcW w:w="2430" w:type="dxa"/>
            <w:tcBorders>
              <w:top w:val="nil"/>
              <w:left w:val="nil"/>
              <w:bottom w:val="single" w:sz="4" w:space="0" w:color="auto"/>
              <w:right w:val="single" w:sz="4" w:space="0" w:color="auto"/>
            </w:tcBorders>
            <w:shd w:val="clear" w:color="000000" w:fill="FFFFFF"/>
            <w:tcMar>
              <w:top w:w="85" w:type="dxa"/>
            </w:tcMar>
            <w:hideMark/>
          </w:tcPr>
          <w:p w14:paraId="4F73754B" w14:textId="06CE1965" w:rsidR="00B66294" w:rsidRPr="0080719C" w:rsidRDefault="00B66294" w:rsidP="00984F70">
            <w:pPr>
              <w:rPr>
                <w:rFonts w:ascii="Arial" w:hAnsi="Arial" w:cs="Arial"/>
                <w:color w:val="000000"/>
                <w:sz w:val="16"/>
                <w:szCs w:val="16"/>
              </w:rPr>
            </w:pPr>
            <w:r w:rsidRPr="0080719C">
              <w:rPr>
                <w:rFonts w:ascii="Arial" w:hAnsi="Arial" w:cs="Arial"/>
                <w:color w:val="000000"/>
                <w:sz w:val="16"/>
                <w:szCs w:val="16"/>
              </w:rPr>
              <w:t>90% of tickets processed within 1 day</w:t>
            </w:r>
            <w:r>
              <w:rPr>
                <w:rFonts w:ascii="Arial" w:hAnsi="Arial" w:cs="Arial"/>
                <w:color w:val="000000"/>
                <w:sz w:val="16"/>
                <w:szCs w:val="16"/>
              </w:rPr>
              <w:t>;</w:t>
            </w:r>
            <w:r w:rsidRPr="0080719C">
              <w:rPr>
                <w:rFonts w:ascii="Arial" w:hAnsi="Arial" w:cs="Arial"/>
                <w:color w:val="000000"/>
                <w:sz w:val="16"/>
                <w:szCs w:val="16"/>
              </w:rPr>
              <w:t xml:space="preserve"> ii. 90% of complaints processed within 8 working hours</w:t>
            </w:r>
          </w:p>
        </w:tc>
      </w:tr>
    </w:tbl>
    <w:p w14:paraId="701177DC" w14:textId="77777777" w:rsidR="00B66294" w:rsidRDefault="00B66294" w:rsidP="00984F70">
      <w:pPr>
        <w:autoSpaceDE w:val="0"/>
        <w:autoSpaceDN w:val="0"/>
        <w:adjustRightInd w:val="0"/>
        <w:rPr>
          <w:rFonts w:ascii="Arial" w:hAnsi="Arial" w:cs="Arial"/>
        </w:rPr>
      </w:pPr>
    </w:p>
    <w:p w14:paraId="69302C01" w14:textId="77777777" w:rsidR="00B66294" w:rsidRDefault="00B66294" w:rsidP="00984F70">
      <w:pPr>
        <w:autoSpaceDE w:val="0"/>
        <w:autoSpaceDN w:val="0"/>
        <w:adjustRightInd w:val="0"/>
        <w:rPr>
          <w:rFonts w:ascii="Arial" w:hAnsi="Arial" w:cs="Arial"/>
        </w:rPr>
      </w:pPr>
    </w:p>
    <w:p w14:paraId="78151094" w14:textId="77777777" w:rsidR="00B66294" w:rsidRDefault="00B66294" w:rsidP="00984F70">
      <w:pPr>
        <w:autoSpaceDE w:val="0"/>
        <w:autoSpaceDN w:val="0"/>
        <w:adjustRightInd w:val="0"/>
        <w:rPr>
          <w:rFonts w:ascii="Arial" w:hAnsi="Arial" w:cs="Arial"/>
        </w:rPr>
      </w:pPr>
      <w:r>
        <w:rPr>
          <w:rFonts w:ascii="Arial" w:hAnsi="Arial" w:cs="Arial"/>
        </w:rPr>
        <w:t>RESOURCES FOR PROGRAM 19</w:t>
      </w:r>
    </w:p>
    <w:p w14:paraId="5B2A0562" w14:textId="77777777" w:rsidR="00B66294" w:rsidRDefault="00B66294" w:rsidP="00984F70">
      <w:pPr>
        <w:autoSpaceDE w:val="0"/>
        <w:autoSpaceDN w:val="0"/>
        <w:adjustRightInd w:val="0"/>
        <w:rPr>
          <w:rFonts w:ascii="Arial" w:hAnsi="Arial" w:cs="Arial"/>
        </w:rPr>
      </w:pPr>
    </w:p>
    <w:p w14:paraId="761D77F6" w14:textId="77777777" w:rsidR="00B66294" w:rsidRPr="00FB68E0" w:rsidRDefault="00B66294" w:rsidP="00B66A4A">
      <w:pPr>
        <w:numPr>
          <w:ilvl w:val="0"/>
          <w:numId w:val="20"/>
        </w:numPr>
        <w:jc w:val="both"/>
        <w:rPr>
          <w:rFonts w:ascii="Arial" w:hAnsi="Arial" w:cs="Arial"/>
          <w:sz w:val="20"/>
          <w:szCs w:val="20"/>
        </w:rPr>
      </w:pPr>
      <w:r w:rsidRPr="001E2F7D">
        <w:rPr>
          <w:rFonts w:ascii="Arial" w:hAnsi="Arial" w:cs="Arial"/>
          <w:sz w:val="20"/>
        </w:rPr>
        <w:t xml:space="preserve">The overall resources for Program 19 in the 2016/17 biennium remain at the same level as the 2014/15 Budget after Transfers.  </w:t>
      </w:r>
      <w:r w:rsidRPr="00FB68E0">
        <w:rPr>
          <w:rFonts w:ascii="Arial" w:hAnsi="Arial" w:cs="Arial"/>
          <w:sz w:val="20"/>
          <w:szCs w:val="20"/>
        </w:rPr>
        <w:t xml:space="preserve">The shift in resources across the two Expected Results reflects a further strengthening </w:t>
      </w:r>
      <w:r w:rsidRPr="001E2F7D">
        <w:rPr>
          <w:rFonts w:ascii="Arial" w:eastAsia="MS Mincho" w:hAnsi="Arial" w:cs="Arial"/>
          <w:iCs/>
          <w:sz w:val="20"/>
        </w:rPr>
        <w:t>of the support to customer services across the Organization</w:t>
      </w:r>
      <w:r w:rsidRPr="00FB68E0">
        <w:rPr>
          <w:rFonts w:ascii="Arial" w:hAnsi="Arial" w:cs="Arial"/>
          <w:sz w:val="20"/>
          <w:szCs w:val="20"/>
        </w:rPr>
        <w:t xml:space="preserve">. </w:t>
      </w:r>
    </w:p>
    <w:p w14:paraId="638FFFC4" w14:textId="77777777" w:rsidR="00B66294" w:rsidRDefault="00B66294" w:rsidP="00984F70">
      <w:pPr>
        <w:autoSpaceDE w:val="0"/>
        <w:autoSpaceDN w:val="0"/>
        <w:adjustRightInd w:val="0"/>
        <w:rPr>
          <w:rFonts w:ascii="Arial" w:hAnsi="Arial" w:cs="Arial"/>
        </w:rPr>
      </w:pPr>
    </w:p>
    <w:p w14:paraId="2653F585" w14:textId="77777777" w:rsidR="00B66294" w:rsidRDefault="00B66294" w:rsidP="00984F70">
      <w:pPr>
        <w:autoSpaceDE w:val="0"/>
        <w:autoSpaceDN w:val="0"/>
        <w:adjustRightInd w:val="0"/>
        <w:rPr>
          <w:rFonts w:ascii="Arial" w:hAnsi="Arial" w:cs="Arial"/>
        </w:rPr>
      </w:pPr>
    </w:p>
    <w:p w14:paraId="7DFEB7B2" w14:textId="77777777" w:rsidR="00B66294" w:rsidRPr="004444B4" w:rsidRDefault="00B66294" w:rsidP="00984F70">
      <w:pPr>
        <w:spacing w:after="240"/>
        <w:contextualSpacing/>
        <w:jc w:val="center"/>
        <w:rPr>
          <w:rFonts w:ascii="Arial" w:hAnsi="Arial" w:cs="Arial"/>
          <w:b/>
          <w:sz w:val="20"/>
        </w:rPr>
      </w:pPr>
      <w:r w:rsidRPr="004444B4">
        <w:rPr>
          <w:rFonts w:ascii="Arial" w:hAnsi="Arial" w:cs="Arial"/>
          <w:b/>
          <w:sz w:val="20"/>
        </w:rPr>
        <w:t xml:space="preserve">Program </w:t>
      </w:r>
      <w:r>
        <w:rPr>
          <w:rFonts w:ascii="Arial" w:hAnsi="Arial" w:cs="Arial"/>
          <w:b/>
          <w:sz w:val="20"/>
        </w:rPr>
        <w:t>1</w:t>
      </w:r>
      <w:r w:rsidRPr="004444B4">
        <w:rPr>
          <w:rFonts w:ascii="Arial" w:hAnsi="Arial" w:cs="Arial"/>
          <w:b/>
          <w:sz w:val="20"/>
        </w:rPr>
        <w:t xml:space="preserve">9: Resources by </w:t>
      </w:r>
      <w:r>
        <w:rPr>
          <w:rFonts w:ascii="Arial" w:hAnsi="Arial" w:cs="Arial"/>
          <w:b/>
          <w:sz w:val="20"/>
        </w:rPr>
        <w:t>Result</w:t>
      </w:r>
      <w:r w:rsidRPr="004444B4">
        <w:rPr>
          <w:rFonts w:ascii="Arial" w:hAnsi="Arial" w:cs="Arial"/>
          <w:b/>
          <w:sz w:val="20"/>
        </w:rPr>
        <w:t xml:space="preserve"> </w:t>
      </w:r>
    </w:p>
    <w:p w14:paraId="2FDA1356" w14:textId="77777777" w:rsidR="00B66294" w:rsidRDefault="00B66294" w:rsidP="00984F70">
      <w:pPr>
        <w:spacing w:after="240"/>
        <w:contextualSpacing/>
        <w:jc w:val="center"/>
        <w:rPr>
          <w:rFonts w:ascii="Arial" w:hAnsi="Arial" w:cs="Arial"/>
          <w:i/>
          <w:sz w:val="20"/>
        </w:rPr>
      </w:pPr>
      <w:r w:rsidRPr="004444B4">
        <w:rPr>
          <w:rFonts w:ascii="Arial" w:hAnsi="Arial" w:cs="Arial"/>
          <w:i/>
          <w:sz w:val="20"/>
        </w:rPr>
        <w:t>(in thousands of Swiss francs)</w:t>
      </w:r>
    </w:p>
    <w:p w14:paraId="5C24A4D4" w14:textId="77777777" w:rsidR="00B66294" w:rsidRDefault="00B66294" w:rsidP="00984F70">
      <w:pPr>
        <w:spacing w:after="240"/>
        <w:contextualSpacing/>
        <w:jc w:val="center"/>
        <w:rPr>
          <w:rFonts w:ascii="Arial" w:hAnsi="Arial" w:cs="Arial"/>
          <w:i/>
          <w:sz w:val="20"/>
        </w:rPr>
      </w:pPr>
    </w:p>
    <w:p w14:paraId="04D44A03" w14:textId="77777777" w:rsidR="00B66294" w:rsidRDefault="00B66294" w:rsidP="00984F70">
      <w:pPr>
        <w:spacing w:after="240"/>
        <w:contextualSpacing/>
        <w:jc w:val="center"/>
        <w:rPr>
          <w:rFonts w:ascii="Arial" w:hAnsi="Arial" w:cs="Arial"/>
          <w:i/>
          <w:sz w:val="20"/>
        </w:rPr>
      </w:pPr>
      <w:r w:rsidRPr="00E9194F">
        <w:rPr>
          <w:noProof/>
          <w:lang w:eastAsia="en-US"/>
        </w:rPr>
        <w:drawing>
          <wp:inline distT="0" distB="0" distL="0" distR="0" wp14:anchorId="66E40082" wp14:editId="075EC640">
            <wp:extent cx="5200650" cy="129826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212486" cy="1301220"/>
                    </a:xfrm>
                    <a:prstGeom prst="rect">
                      <a:avLst/>
                    </a:prstGeom>
                    <a:noFill/>
                    <a:ln>
                      <a:noFill/>
                    </a:ln>
                  </pic:spPr>
                </pic:pic>
              </a:graphicData>
            </a:graphic>
          </wp:inline>
        </w:drawing>
      </w:r>
    </w:p>
    <w:p w14:paraId="5F280544" w14:textId="77777777" w:rsidR="00B66294" w:rsidRDefault="00B66294" w:rsidP="00984F70">
      <w:pPr>
        <w:spacing w:after="240"/>
        <w:contextualSpacing/>
        <w:jc w:val="center"/>
        <w:rPr>
          <w:rFonts w:ascii="Arial" w:hAnsi="Arial" w:cs="Arial"/>
          <w:i/>
          <w:sz w:val="20"/>
        </w:rPr>
      </w:pPr>
    </w:p>
    <w:p w14:paraId="1D5EFA0A" w14:textId="77777777" w:rsidR="00B66294" w:rsidRPr="004444B4" w:rsidRDefault="00B66294" w:rsidP="00984F70">
      <w:pPr>
        <w:spacing w:after="240"/>
        <w:contextualSpacing/>
        <w:jc w:val="center"/>
        <w:rPr>
          <w:rFonts w:ascii="Arial" w:hAnsi="Arial" w:cs="Arial"/>
          <w:i/>
          <w:sz w:val="20"/>
        </w:rPr>
      </w:pPr>
    </w:p>
    <w:p w14:paraId="5FAB2088" w14:textId="77777777" w:rsidR="00B66294" w:rsidRPr="004444B4" w:rsidRDefault="00B66294" w:rsidP="00984F70">
      <w:pPr>
        <w:keepNext/>
        <w:keepLines/>
        <w:contextualSpacing/>
        <w:jc w:val="center"/>
        <w:rPr>
          <w:rFonts w:ascii="Arial" w:hAnsi="Arial" w:cs="Arial"/>
          <w:b/>
          <w:sz w:val="20"/>
        </w:rPr>
      </w:pPr>
      <w:r w:rsidRPr="004444B4">
        <w:rPr>
          <w:rFonts w:ascii="Arial" w:hAnsi="Arial" w:cs="Arial"/>
          <w:b/>
          <w:sz w:val="20"/>
        </w:rPr>
        <w:lastRenderedPageBreak/>
        <w:t xml:space="preserve">Program </w:t>
      </w:r>
      <w:r>
        <w:rPr>
          <w:rFonts w:ascii="Arial" w:hAnsi="Arial" w:cs="Arial"/>
          <w:b/>
          <w:sz w:val="20"/>
        </w:rPr>
        <w:t>1</w:t>
      </w:r>
      <w:r w:rsidRPr="004444B4">
        <w:rPr>
          <w:rFonts w:ascii="Arial" w:hAnsi="Arial" w:cs="Arial"/>
          <w:b/>
          <w:sz w:val="20"/>
        </w:rPr>
        <w:t xml:space="preserve">9: Resources by Object of Expenditure </w:t>
      </w:r>
    </w:p>
    <w:p w14:paraId="430BE583" w14:textId="77777777" w:rsidR="00B66294" w:rsidRDefault="00B66294" w:rsidP="00984F70">
      <w:pPr>
        <w:keepNext/>
        <w:keepLines/>
        <w:contextualSpacing/>
        <w:jc w:val="center"/>
        <w:rPr>
          <w:rFonts w:ascii="Arial" w:hAnsi="Arial" w:cs="Arial"/>
          <w:i/>
          <w:sz w:val="20"/>
        </w:rPr>
      </w:pPr>
      <w:r w:rsidRPr="004444B4">
        <w:rPr>
          <w:rFonts w:ascii="Arial" w:hAnsi="Arial" w:cs="Arial"/>
          <w:i/>
          <w:sz w:val="20"/>
        </w:rPr>
        <w:t>(in thousands of Swiss francs)</w:t>
      </w:r>
    </w:p>
    <w:p w14:paraId="3A709FD7" w14:textId="77777777" w:rsidR="00B66294" w:rsidRDefault="00B66294" w:rsidP="00984F70">
      <w:pPr>
        <w:keepNext/>
        <w:keepLines/>
        <w:contextualSpacing/>
        <w:jc w:val="center"/>
        <w:rPr>
          <w:rFonts w:ascii="Arial" w:hAnsi="Arial" w:cs="Arial"/>
          <w:i/>
          <w:sz w:val="20"/>
        </w:rPr>
      </w:pPr>
    </w:p>
    <w:p w14:paraId="0DB0DF5D" w14:textId="77777777" w:rsidR="00B66294" w:rsidRDefault="00B66294" w:rsidP="00984F70">
      <w:pPr>
        <w:autoSpaceDE w:val="0"/>
        <w:autoSpaceDN w:val="0"/>
        <w:adjustRightInd w:val="0"/>
        <w:jc w:val="center"/>
        <w:rPr>
          <w:rFonts w:ascii="Arial" w:hAnsi="Arial" w:cs="Arial"/>
          <w:sz w:val="20"/>
        </w:rPr>
      </w:pPr>
      <w:r w:rsidRPr="00881D66">
        <w:rPr>
          <w:noProof/>
          <w:lang w:eastAsia="en-US"/>
        </w:rPr>
        <w:drawing>
          <wp:inline distT="0" distB="0" distL="0" distR="0" wp14:anchorId="64752509" wp14:editId="41F7B5B2">
            <wp:extent cx="5001750" cy="5628551"/>
            <wp:effectExtent l="0" t="0" r="889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007355" cy="5634859"/>
                    </a:xfrm>
                    <a:prstGeom prst="rect">
                      <a:avLst/>
                    </a:prstGeom>
                    <a:noFill/>
                    <a:ln>
                      <a:noFill/>
                    </a:ln>
                  </pic:spPr>
                </pic:pic>
              </a:graphicData>
            </a:graphic>
          </wp:inline>
        </w:drawing>
      </w:r>
    </w:p>
    <w:p w14:paraId="5575A79C" w14:textId="77777777" w:rsidR="00B66294" w:rsidRDefault="00B66294" w:rsidP="00984F70">
      <w:pPr>
        <w:autoSpaceDE w:val="0"/>
        <w:autoSpaceDN w:val="0"/>
        <w:adjustRightInd w:val="0"/>
        <w:rPr>
          <w:rFonts w:ascii="Arial" w:hAnsi="Arial" w:cs="Arial"/>
          <w:sz w:val="20"/>
        </w:rPr>
      </w:pPr>
    </w:p>
    <w:p w14:paraId="1DABE7B0" w14:textId="77777777" w:rsidR="00B66294" w:rsidRDefault="00B66294" w:rsidP="00984F70">
      <w:pPr>
        <w:autoSpaceDE w:val="0"/>
        <w:autoSpaceDN w:val="0"/>
        <w:adjustRightInd w:val="0"/>
        <w:rPr>
          <w:rFonts w:ascii="Arial" w:hAnsi="Arial" w:cs="Arial"/>
          <w:sz w:val="20"/>
        </w:rPr>
      </w:pPr>
    </w:p>
    <w:p w14:paraId="6B82CF91" w14:textId="08496C72" w:rsidR="00971C84" w:rsidRDefault="00971C84">
      <w:pPr>
        <w:rPr>
          <w:rFonts w:ascii="Arial" w:hAnsi="Arial" w:cs="Arial"/>
          <w:sz w:val="20"/>
        </w:rPr>
      </w:pPr>
      <w:r>
        <w:rPr>
          <w:rFonts w:ascii="Arial" w:hAnsi="Arial" w:cs="Arial"/>
          <w:sz w:val="20"/>
        </w:rPr>
        <w:br w:type="page"/>
      </w:r>
    </w:p>
    <w:p w14:paraId="647A5464" w14:textId="77777777" w:rsidR="00971C84" w:rsidRPr="00F74F51" w:rsidRDefault="00971C84" w:rsidP="00102279">
      <w:pPr>
        <w:pStyle w:val="StyleHeading3ComplexItalic"/>
        <w:keepLines/>
        <w:ind w:left="1985" w:hanging="1985"/>
      </w:pPr>
      <w:bookmarkStart w:id="66" w:name="_Toc427154423"/>
      <w:r w:rsidRPr="006B3627">
        <w:lastRenderedPageBreak/>
        <w:t>PROGRAM 20</w:t>
      </w:r>
      <w:r w:rsidRPr="006B3627">
        <w:tab/>
        <w:t>EXTERNAL RELATIONS, PARTNERSHIPS AND</w:t>
      </w:r>
      <w:r>
        <w:t xml:space="preserve"> </w:t>
      </w:r>
      <w:r w:rsidRPr="006B3627">
        <w:t>EXTERNAL OFFICES</w:t>
      </w:r>
      <w:bookmarkEnd w:id="66"/>
    </w:p>
    <w:p w14:paraId="7A428468" w14:textId="77777777" w:rsidR="00971C84" w:rsidRDefault="00971C84" w:rsidP="00971C84">
      <w:pPr>
        <w:jc w:val="both"/>
        <w:rPr>
          <w:rFonts w:ascii="Arial" w:hAnsi="Arial" w:cs="Arial"/>
          <w:b/>
          <w:bCs/>
        </w:rPr>
      </w:pPr>
    </w:p>
    <w:p w14:paraId="133F13B6" w14:textId="77777777" w:rsidR="00102279" w:rsidRPr="006B3627" w:rsidRDefault="00102279" w:rsidP="00971C84">
      <w:pPr>
        <w:jc w:val="both"/>
        <w:rPr>
          <w:rFonts w:ascii="Arial" w:hAnsi="Arial" w:cs="Arial"/>
          <w:b/>
          <w:bCs/>
        </w:rPr>
      </w:pPr>
    </w:p>
    <w:p w14:paraId="64DE724E" w14:textId="77777777" w:rsidR="00971C84" w:rsidRPr="006B3627" w:rsidRDefault="00971C84" w:rsidP="00971C84">
      <w:pPr>
        <w:jc w:val="both"/>
        <w:rPr>
          <w:rFonts w:ascii="Arial" w:hAnsi="Arial" w:cs="Arial"/>
        </w:rPr>
      </w:pPr>
      <w:r w:rsidRPr="006B3627">
        <w:rPr>
          <w:rFonts w:ascii="Arial" w:hAnsi="Arial" w:cs="Arial"/>
        </w:rPr>
        <w:t xml:space="preserve">PLANNING CONTEXT   </w:t>
      </w:r>
      <w:r>
        <w:rPr>
          <w:rFonts w:ascii="Arial" w:hAnsi="Arial" w:cs="Arial"/>
        </w:rPr>
        <w:t xml:space="preserve"> </w:t>
      </w:r>
    </w:p>
    <w:p w14:paraId="44D40329" w14:textId="77777777" w:rsidR="00971C84" w:rsidRPr="006B3627" w:rsidRDefault="00971C84" w:rsidP="00971C84">
      <w:pPr>
        <w:tabs>
          <w:tab w:val="num" w:pos="709"/>
        </w:tabs>
        <w:jc w:val="both"/>
        <w:rPr>
          <w:rFonts w:ascii="Arial" w:hAnsi="Arial" w:cs="Arial"/>
          <w:bCs/>
        </w:rPr>
      </w:pPr>
    </w:p>
    <w:p w14:paraId="148A1A28" w14:textId="77777777" w:rsidR="00971C84" w:rsidRDefault="00971C84" w:rsidP="00B66A4A">
      <w:pPr>
        <w:pStyle w:val="ListParagraph"/>
        <w:numPr>
          <w:ilvl w:val="0"/>
          <w:numId w:val="72"/>
        </w:numPr>
        <w:jc w:val="both"/>
        <w:rPr>
          <w:rFonts w:ascii="Arial" w:hAnsi="Arial" w:cs="Arial"/>
          <w:sz w:val="20"/>
        </w:rPr>
      </w:pPr>
      <w:r w:rsidRPr="00E9644C">
        <w:rPr>
          <w:rFonts w:ascii="Arial" w:hAnsi="Arial" w:cs="Arial"/>
          <w:bCs/>
          <w:sz w:val="20"/>
        </w:rPr>
        <w:t xml:space="preserve">In the 2016/17 biennium, the UN is set to shift from negotiation to implementation as a number of major negotiating processes converge and conclude towards the end of 2015. </w:t>
      </w:r>
      <w:r>
        <w:rPr>
          <w:rFonts w:ascii="Arial" w:hAnsi="Arial" w:cs="Arial"/>
          <w:bCs/>
          <w:sz w:val="20"/>
        </w:rPr>
        <w:t xml:space="preserve"> </w:t>
      </w:r>
      <w:r w:rsidRPr="00E9644C">
        <w:rPr>
          <w:rFonts w:ascii="Arial" w:hAnsi="Arial" w:cs="Arial"/>
          <w:bCs/>
          <w:sz w:val="20"/>
        </w:rPr>
        <w:t xml:space="preserve">The expectation is that Member States will finalize negotiations on the post-2015 Development Agenda at the UN Summit in New York in September 2015: </w:t>
      </w:r>
      <w:r w:rsidRPr="00E9644C">
        <w:rPr>
          <w:rFonts w:ascii="Arial" w:hAnsi="Arial" w:cs="Arial"/>
          <w:bCs/>
          <w:i/>
          <w:sz w:val="20"/>
        </w:rPr>
        <w:t>“Delivering on and Implementing a Transformative Post–2015 Development Agenda”</w:t>
      </w:r>
      <w:r w:rsidRPr="00E9644C">
        <w:rPr>
          <w:rFonts w:ascii="Arial" w:hAnsi="Arial" w:cs="Arial"/>
          <w:bCs/>
          <w:sz w:val="20"/>
        </w:rPr>
        <w:t xml:space="preserve">. </w:t>
      </w:r>
      <w:r>
        <w:rPr>
          <w:rFonts w:ascii="Arial" w:hAnsi="Arial" w:cs="Arial"/>
          <w:bCs/>
          <w:sz w:val="20"/>
        </w:rPr>
        <w:t xml:space="preserve"> </w:t>
      </w:r>
      <w:r w:rsidRPr="00E9644C">
        <w:rPr>
          <w:rFonts w:ascii="Arial" w:hAnsi="Arial" w:cs="Arial"/>
          <w:bCs/>
          <w:sz w:val="20"/>
        </w:rPr>
        <w:t xml:space="preserve">Prior to that, in July 2015, Member States are expected to agree on the Outcome Document of the Third International Conference on Financing for Development (FfD).  This is connected to discussions on the “Means of Implementation” for the Sustainable Development Goals (SDGs) covering both finance and the scaling up of support for innovation capacity building and the development and transfer of technologies for sustainable development. </w:t>
      </w:r>
      <w:r>
        <w:rPr>
          <w:rFonts w:ascii="Arial" w:hAnsi="Arial" w:cs="Arial"/>
          <w:bCs/>
          <w:sz w:val="20"/>
        </w:rPr>
        <w:t xml:space="preserve"> </w:t>
      </w:r>
      <w:r w:rsidRPr="00E9644C">
        <w:rPr>
          <w:rFonts w:ascii="Arial" w:hAnsi="Arial" w:cs="Arial"/>
          <w:bCs/>
          <w:sz w:val="20"/>
        </w:rPr>
        <w:t xml:space="preserve">Also closely linked to this is work on a technology transfer facilitation mechanism, originating in the Rio+20 Outcome Document and subsequent follow-up processes. </w:t>
      </w:r>
      <w:r>
        <w:rPr>
          <w:rFonts w:ascii="Arial" w:hAnsi="Arial" w:cs="Arial"/>
          <w:bCs/>
          <w:sz w:val="20"/>
        </w:rPr>
        <w:t xml:space="preserve"> </w:t>
      </w:r>
      <w:r w:rsidRPr="00E9644C">
        <w:rPr>
          <w:rFonts w:ascii="Arial" w:hAnsi="Arial" w:cs="Arial"/>
          <w:bCs/>
          <w:sz w:val="20"/>
        </w:rPr>
        <w:t xml:space="preserve">Concurrently, </w:t>
      </w:r>
      <w:r>
        <w:rPr>
          <w:rFonts w:ascii="Arial" w:hAnsi="Arial" w:cs="Arial"/>
          <w:bCs/>
          <w:sz w:val="20"/>
        </w:rPr>
        <w:t>n</w:t>
      </w:r>
      <w:r w:rsidRPr="00E9644C">
        <w:rPr>
          <w:rFonts w:ascii="Arial" w:hAnsi="Arial" w:cs="Arial"/>
          <w:sz w:val="20"/>
        </w:rPr>
        <w:t xml:space="preserve">egotiations </w:t>
      </w:r>
      <w:r>
        <w:rPr>
          <w:rFonts w:ascii="Arial" w:hAnsi="Arial" w:cs="Arial"/>
          <w:sz w:val="20"/>
        </w:rPr>
        <w:t xml:space="preserve">also </w:t>
      </w:r>
      <w:r w:rsidRPr="00E9644C">
        <w:rPr>
          <w:rFonts w:ascii="Arial" w:hAnsi="Arial" w:cs="Arial"/>
          <w:sz w:val="20"/>
        </w:rPr>
        <w:t>continue apace to agree on a new international climate change agreement under the framework of the UN Framework Convention on Climate Change (UNFCCC)</w:t>
      </w:r>
      <w:r>
        <w:rPr>
          <w:rFonts w:ascii="Arial" w:hAnsi="Arial" w:cs="Arial"/>
          <w:sz w:val="20"/>
        </w:rPr>
        <w:t>,</w:t>
      </w:r>
      <w:r w:rsidRPr="00E9644C">
        <w:rPr>
          <w:rFonts w:ascii="Arial" w:hAnsi="Arial" w:cs="Arial"/>
          <w:sz w:val="20"/>
        </w:rPr>
        <w:t xml:space="preserve"> due to be adopted at the UNFCCC 21st Conference of the Parties in Paris in December 2015.</w:t>
      </w:r>
      <w:r>
        <w:rPr>
          <w:rFonts w:ascii="Arial" w:hAnsi="Arial" w:cs="Arial"/>
          <w:sz w:val="20"/>
        </w:rPr>
        <w:t xml:space="preserve">  In addition, work continues on a number of other IGO processes of importance to WIPO such as on the digital divide, public health, and non-communicable diseases.</w:t>
      </w:r>
      <w:r w:rsidRPr="00E9644C">
        <w:rPr>
          <w:rFonts w:ascii="Arial" w:hAnsi="Arial" w:cs="Arial"/>
          <w:sz w:val="20"/>
        </w:rPr>
        <w:t xml:space="preserve"> </w:t>
      </w:r>
    </w:p>
    <w:p w14:paraId="111A3757" w14:textId="77777777" w:rsidR="00971C84" w:rsidRDefault="00971C84" w:rsidP="00971C84">
      <w:pPr>
        <w:jc w:val="both"/>
        <w:rPr>
          <w:rFonts w:ascii="Arial" w:hAnsi="Arial" w:cs="Arial"/>
          <w:sz w:val="20"/>
        </w:rPr>
      </w:pPr>
    </w:p>
    <w:p w14:paraId="35C9D109" w14:textId="77777777" w:rsidR="00971C84" w:rsidRPr="00E9644C" w:rsidRDefault="00971C84" w:rsidP="00B66A4A">
      <w:pPr>
        <w:pStyle w:val="ListParagraph"/>
        <w:numPr>
          <w:ilvl w:val="0"/>
          <w:numId w:val="72"/>
        </w:numPr>
        <w:jc w:val="both"/>
        <w:rPr>
          <w:rFonts w:ascii="Arial" w:hAnsi="Arial" w:cs="Arial"/>
          <w:bCs/>
          <w:sz w:val="20"/>
        </w:rPr>
      </w:pPr>
      <w:r w:rsidRPr="00E9644C">
        <w:rPr>
          <w:rFonts w:ascii="Arial" w:hAnsi="Arial" w:cs="Arial"/>
          <w:bCs/>
          <w:sz w:val="20"/>
        </w:rPr>
        <w:t xml:space="preserve">Technology, innovation, creativity and cultural development remain central components of all of these processes.  </w:t>
      </w:r>
      <w:r>
        <w:rPr>
          <w:rFonts w:ascii="Arial" w:hAnsi="Arial" w:cs="Arial"/>
          <w:bCs/>
          <w:sz w:val="20"/>
        </w:rPr>
        <w:t>T</w:t>
      </w:r>
      <w:r w:rsidRPr="00D1215D">
        <w:rPr>
          <w:rFonts w:ascii="Arial" w:hAnsi="Arial" w:cs="Arial"/>
          <w:bCs/>
          <w:sz w:val="20"/>
        </w:rPr>
        <w:t xml:space="preserve">he </w:t>
      </w:r>
      <w:r>
        <w:rPr>
          <w:rFonts w:ascii="Arial" w:hAnsi="Arial" w:cs="Arial"/>
          <w:bCs/>
          <w:sz w:val="20"/>
        </w:rPr>
        <w:t xml:space="preserve">Global Partnership for the </w:t>
      </w:r>
      <w:r w:rsidRPr="00E9644C">
        <w:rPr>
          <w:rFonts w:ascii="Arial" w:hAnsi="Arial" w:cs="Arial"/>
          <w:bCs/>
          <w:sz w:val="20"/>
        </w:rPr>
        <w:t>post-2015 Development Agenda</w:t>
      </w:r>
      <w:r>
        <w:rPr>
          <w:rFonts w:ascii="Arial" w:hAnsi="Arial" w:cs="Arial"/>
          <w:bCs/>
          <w:sz w:val="20"/>
        </w:rPr>
        <w:t xml:space="preserve"> </w:t>
      </w:r>
      <w:r w:rsidRPr="00E9644C">
        <w:rPr>
          <w:rFonts w:ascii="Arial" w:hAnsi="Arial" w:cs="Arial"/>
          <w:bCs/>
          <w:sz w:val="20"/>
        </w:rPr>
        <w:t xml:space="preserve">envisages the creation of multi-stakeholder alliances around </w:t>
      </w:r>
      <w:r>
        <w:rPr>
          <w:rFonts w:ascii="Arial" w:hAnsi="Arial" w:cs="Arial"/>
          <w:bCs/>
          <w:sz w:val="20"/>
        </w:rPr>
        <w:t xml:space="preserve">key </w:t>
      </w:r>
      <w:r w:rsidRPr="00E9644C">
        <w:rPr>
          <w:rFonts w:ascii="Arial" w:hAnsi="Arial" w:cs="Arial"/>
          <w:bCs/>
          <w:sz w:val="20"/>
        </w:rPr>
        <w:t xml:space="preserve">issues. </w:t>
      </w:r>
      <w:r>
        <w:rPr>
          <w:rFonts w:ascii="Arial" w:hAnsi="Arial" w:cs="Arial"/>
          <w:bCs/>
          <w:sz w:val="20"/>
        </w:rPr>
        <w:t xml:space="preserve"> </w:t>
      </w:r>
      <w:r w:rsidRPr="00E9644C">
        <w:rPr>
          <w:rFonts w:ascii="Arial" w:hAnsi="Arial" w:cs="Arial"/>
          <w:bCs/>
          <w:sz w:val="20"/>
        </w:rPr>
        <w:t>WIPO will play its full part in facilitating such partnerships</w:t>
      </w:r>
      <w:r>
        <w:rPr>
          <w:rFonts w:ascii="Arial" w:hAnsi="Arial" w:cs="Arial"/>
          <w:bCs/>
          <w:sz w:val="20"/>
        </w:rPr>
        <w:t>.</w:t>
      </w:r>
      <w:r w:rsidRPr="00E9644C">
        <w:rPr>
          <w:rFonts w:ascii="Arial" w:hAnsi="Arial" w:cs="Arial"/>
          <w:bCs/>
          <w:sz w:val="20"/>
        </w:rPr>
        <w:t xml:space="preserve"> </w:t>
      </w:r>
      <w:r>
        <w:rPr>
          <w:rFonts w:ascii="Arial" w:hAnsi="Arial" w:cs="Arial"/>
          <w:bCs/>
          <w:sz w:val="20"/>
        </w:rPr>
        <w:t xml:space="preserve">and </w:t>
      </w:r>
      <w:r w:rsidRPr="00E9644C">
        <w:rPr>
          <w:rFonts w:ascii="Arial" w:hAnsi="Arial" w:cs="Arial"/>
          <w:bCs/>
          <w:sz w:val="20"/>
        </w:rPr>
        <w:t>will work to strengthen its relationships with traditional partners such as the W</w:t>
      </w:r>
      <w:r>
        <w:rPr>
          <w:rFonts w:ascii="Arial" w:hAnsi="Arial" w:cs="Arial"/>
          <w:bCs/>
          <w:sz w:val="20"/>
        </w:rPr>
        <w:t>orld Trade Organization (W</w:t>
      </w:r>
      <w:r w:rsidRPr="00E9644C">
        <w:rPr>
          <w:rFonts w:ascii="Arial" w:hAnsi="Arial" w:cs="Arial"/>
          <w:bCs/>
          <w:sz w:val="20"/>
        </w:rPr>
        <w:t>TO</w:t>
      </w:r>
      <w:r>
        <w:rPr>
          <w:rFonts w:ascii="Arial" w:hAnsi="Arial" w:cs="Arial"/>
          <w:bCs/>
          <w:sz w:val="20"/>
        </w:rPr>
        <w:t>)</w:t>
      </w:r>
      <w:r w:rsidRPr="00E9644C">
        <w:rPr>
          <w:rFonts w:ascii="Arial" w:hAnsi="Arial" w:cs="Arial"/>
          <w:bCs/>
          <w:sz w:val="20"/>
        </w:rPr>
        <w:t xml:space="preserve">, </w:t>
      </w:r>
      <w:r>
        <w:rPr>
          <w:rFonts w:ascii="Arial" w:hAnsi="Arial" w:cs="Arial"/>
          <w:bCs/>
          <w:sz w:val="20"/>
        </w:rPr>
        <w:t>World Health Organization (</w:t>
      </w:r>
      <w:r w:rsidRPr="00E9644C">
        <w:rPr>
          <w:rFonts w:ascii="Arial" w:hAnsi="Arial" w:cs="Arial"/>
          <w:bCs/>
          <w:sz w:val="20"/>
        </w:rPr>
        <w:t>WHO</w:t>
      </w:r>
      <w:r>
        <w:rPr>
          <w:rFonts w:ascii="Arial" w:hAnsi="Arial" w:cs="Arial"/>
          <w:bCs/>
          <w:sz w:val="20"/>
        </w:rPr>
        <w:t>)</w:t>
      </w:r>
      <w:r w:rsidRPr="00E9644C">
        <w:rPr>
          <w:rFonts w:ascii="Arial" w:hAnsi="Arial" w:cs="Arial"/>
          <w:bCs/>
          <w:sz w:val="20"/>
        </w:rPr>
        <w:t>, U</w:t>
      </w:r>
      <w:r>
        <w:rPr>
          <w:rFonts w:ascii="Arial" w:hAnsi="Arial" w:cs="Arial"/>
          <w:bCs/>
          <w:sz w:val="20"/>
        </w:rPr>
        <w:t>nited Nations Conference on Trade and Development (U</w:t>
      </w:r>
      <w:r w:rsidRPr="00E9644C">
        <w:rPr>
          <w:rFonts w:ascii="Arial" w:hAnsi="Arial" w:cs="Arial"/>
          <w:bCs/>
          <w:sz w:val="20"/>
        </w:rPr>
        <w:t>NCTAD</w:t>
      </w:r>
      <w:r>
        <w:rPr>
          <w:rFonts w:ascii="Arial" w:hAnsi="Arial" w:cs="Arial"/>
          <w:bCs/>
          <w:sz w:val="20"/>
        </w:rPr>
        <w:t>)</w:t>
      </w:r>
      <w:r w:rsidRPr="00E9644C">
        <w:rPr>
          <w:rFonts w:ascii="Arial" w:hAnsi="Arial" w:cs="Arial"/>
          <w:bCs/>
          <w:sz w:val="20"/>
        </w:rPr>
        <w:t xml:space="preserve">, </w:t>
      </w:r>
      <w:r>
        <w:rPr>
          <w:rFonts w:ascii="Arial" w:hAnsi="Arial" w:cs="Arial"/>
          <w:bCs/>
          <w:sz w:val="20"/>
        </w:rPr>
        <w:t>United Nations Environment Programme (</w:t>
      </w:r>
      <w:r w:rsidRPr="00E9644C">
        <w:rPr>
          <w:rFonts w:ascii="Arial" w:hAnsi="Arial" w:cs="Arial"/>
          <w:bCs/>
          <w:sz w:val="20"/>
        </w:rPr>
        <w:t>UNEP</w:t>
      </w:r>
      <w:r>
        <w:rPr>
          <w:rFonts w:ascii="Arial" w:hAnsi="Arial" w:cs="Arial"/>
          <w:bCs/>
          <w:sz w:val="20"/>
        </w:rPr>
        <w:t>)</w:t>
      </w:r>
      <w:r w:rsidRPr="00E9644C">
        <w:rPr>
          <w:rFonts w:ascii="Arial" w:hAnsi="Arial" w:cs="Arial"/>
          <w:bCs/>
          <w:sz w:val="20"/>
        </w:rPr>
        <w:t xml:space="preserve">, </w:t>
      </w:r>
      <w:r>
        <w:rPr>
          <w:rFonts w:ascii="Arial" w:hAnsi="Arial" w:cs="Arial"/>
          <w:bCs/>
          <w:sz w:val="20"/>
        </w:rPr>
        <w:t>United Nations Industrial  Development Organization (</w:t>
      </w:r>
      <w:r w:rsidRPr="00E9644C">
        <w:rPr>
          <w:rFonts w:ascii="Arial" w:hAnsi="Arial" w:cs="Arial"/>
          <w:bCs/>
          <w:sz w:val="20"/>
        </w:rPr>
        <w:t>UNIDO</w:t>
      </w:r>
      <w:r>
        <w:rPr>
          <w:rFonts w:ascii="Arial" w:hAnsi="Arial" w:cs="Arial"/>
          <w:bCs/>
          <w:sz w:val="20"/>
        </w:rPr>
        <w:t>)</w:t>
      </w:r>
      <w:r w:rsidRPr="00E9644C">
        <w:rPr>
          <w:rFonts w:ascii="Arial" w:hAnsi="Arial" w:cs="Arial"/>
          <w:bCs/>
          <w:sz w:val="20"/>
        </w:rPr>
        <w:t xml:space="preserve">, </w:t>
      </w:r>
      <w:r w:rsidRPr="008D44F2">
        <w:rPr>
          <w:rFonts w:ascii="Arial" w:hAnsi="Arial" w:cs="Arial"/>
          <w:bCs/>
          <w:sz w:val="20"/>
        </w:rPr>
        <w:t>United Nations</w:t>
      </w:r>
      <w:r w:rsidRPr="008D44F2">
        <w:rPr>
          <w:rFonts w:ascii="Arial" w:hAnsi="Arial" w:cs="Arial"/>
          <w:bCs/>
          <w:i/>
          <w:sz w:val="20"/>
        </w:rPr>
        <w:t xml:space="preserve"> </w:t>
      </w:r>
      <w:r w:rsidRPr="008D44F2">
        <w:rPr>
          <w:rStyle w:val="Emphasis"/>
          <w:rFonts w:ascii="Arial" w:hAnsi="Arial" w:cs="Arial"/>
          <w:sz w:val="20"/>
        </w:rPr>
        <w:t>Educational, Scientific and Cultural Organization</w:t>
      </w:r>
      <w:r w:rsidRPr="008D44F2">
        <w:rPr>
          <w:rFonts w:ascii="Arial" w:hAnsi="Arial" w:cs="Arial"/>
          <w:bCs/>
          <w:i/>
          <w:sz w:val="20"/>
        </w:rPr>
        <w:t xml:space="preserve"> </w:t>
      </w:r>
      <w:r>
        <w:rPr>
          <w:rFonts w:ascii="Arial" w:hAnsi="Arial" w:cs="Arial"/>
          <w:bCs/>
          <w:i/>
          <w:sz w:val="20"/>
        </w:rPr>
        <w:t>(</w:t>
      </w:r>
      <w:r w:rsidRPr="00E9644C">
        <w:rPr>
          <w:rFonts w:ascii="Arial" w:hAnsi="Arial" w:cs="Arial"/>
          <w:bCs/>
          <w:sz w:val="20"/>
        </w:rPr>
        <w:t>UNESCO</w:t>
      </w:r>
      <w:r>
        <w:rPr>
          <w:rFonts w:ascii="Arial" w:hAnsi="Arial" w:cs="Arial"/>
          <w:bCs/>
          <w:sz w:val="20"/>
        </w:rPr>
        <w:t>)</w:t>
      </w:r>
      <w:r w:rsidRPr="00E9644C">
        <w:rPr>
          <w:rFonts w:ascii="Arial" w:hAnsi="Arial" w:cs="Arial"/>
          <w:bCs/>
          <w:sz w:val="20"/>
        </w:rPr>
        <w:t xml:space="preserve">, </w:t>
      </w:r>
      <w:r>
        <w:rPr>
          <w:rFonts w:ascii="Arial" w:hAnsi="Arial" w:cs="Arial"/>
          <w:bCs/>
          <w:sz w:val="20"/>
        </w:rPr>
        <w:t>International Telecommunications Union (</w:t>
      </w:r>
      <w:r w:rsidRPr="00E9644C">
        <w:rPr>
          <w:rFonts w:ascii="Arial" w:hAnsi="Arial" w:cs="Arial"/>
          <w:bCs/>
          <w:sz w:val="20"/>
        </w:rPr>
        <w:t>ITU</w:t>
      </w:r>
      <w:r>
        <w:rPr>
          <w:rFonts w:ascii="Arial" w:hAnsi="Arial" w:cs="Arial"/>
          <w:bCs/>
          <w:sz w:val="20"/>
        </w:rPr>
        <w:t>)</w:t>
      </w:r>
      <w:r w:rsidRPr="00E9644C">
        <w:rPr>
          <w:rFonts w:ascii="Arial" w:hAnsi="Arial" w:cs="Arial"/>
          <w:bCs/>
          <w:sz w:val="20"/>
        </w:rPr>
        <w:t xml:space="preserve">, UNFCCC, </w:t>
      </w:r>
      <w:r>
        <w:rPr>
          <w:rFonts w:ascii="Arial" w:hAnsi="Arial" w:cs="Arial"/>
          <w:bCs/>
          <w:sz w:val="20"/>
        </w:rPr>
        <w:t>United Nations department for Economic and Social Affairs (</w:t>
      </w:r>
      <w:r w:rsidRPr="00E9644C">
        <w:rPr>
          <w:rFonts w:ascii="Arial" w:hAnsi="Arial" w:cs="Arial"/>
          <w:bCs/>
          <w:sz w:val="20"/>
        </w:rPr>
        <w:t>UN-DESA</w:t>
      </w:r>
      <w:r>
        <w:rPr>
          <w:rFonts w:ascii="Arial" w:hAnsi="Arial" w:cs="Arial"/>
          <w:bCs/>
          <w:sz w:val="20"/>
        </w:rPr>
        <w:t>)</w:t>
      </w:r>
      <w:r w:rsidRPr="00E9644C">
        <w:rPr>
          <w:rFonts w:ascii="Arial" w:hAnsi="Arial" w:cs="Arial"/>
          <w:bCs/>
          <w:sz w:val="20"/>
        </w:rPr>
        <w:t xml:space="preserve">, as well as with the United Nations Economic Commissions.  Program 20  will also look afresh at how WIPO can work with the full range of stakeholders </w:t>
      </w:r>
      <w:r>
        <w:rPr>
          <w:rFonts w:ascii="Arial" w:hAnsi="Arial" w:cs="Arial"/>
          <w:bCs/>
          <w:sz w:val="20"/>
        </w:rPr>
        <w:t xml:space="preserve">(IGOs, NGOs and the private sector) </w:t>
      </w:r>
      <w:r w:rsidRPr="00E9644C">
        <w:rPr>
          <w:rFonts w:ascii="Arial" w:hAnsi="Arial" w:cs="Arial"/>
          <w:bCs/>
          <w:sz w:val="20"/>
        </w:rPr>
        <w:t xml:space="preserve">at the global, regional and national levels to ensure greater coordination and coherence in the delivery of WIPO’s specialized technical assistance. </w:t>
      </w:r>
      <w:r>
        <w:rPr>
          <w:rFonts w:ascii="Arial" w:hAnsi="Arial" w:cs="Arial"/>
          <w:bCs/>
          <w:sz w:val="20"/>
        </w:rPr>
        <w:t xml:space="preserve"> Th</w:t>
      </w:r>
      <w:r w:rsidRPr="00E9644C">
        <w:rPr>
          <w:rFonts w:ascii="Arial" w:hAnsi="Arial" w:cs="Arial"/>
          <w:bCs/>
          <w:sz w:val="20"/>
        </w:rPr>
        <w:t xml:space="preserve">is must be </w:t>
      </w:r>
      <w:r>
        <w:rPr>
          <w:rFonts w:ascii="Arial" w:hAnsi="Arial" w:cs="Arial"/>
          <w:bCs/>
          <w:sz w:val="20"/>
        </w:rPr>
        <w:t xml:space="preserve">done in a </w:t>
      </w:r>
      <w:r w:rsidRPr="00E9644C">
        <w:rPr>
          <w:rFonts w:ascii="Arial" w:hAnsi="Arial" w:cs="Arial"/>
          <w:bCs/>
          <w:sz w:val="20"/>
        </w:rPr>
        <w:t xml:space="preserve">strategic, focused </w:t>
      </w:r>
      <w:r>
        <w:rPr>
          <w:rFonts w:ascii="Arial" w:hAnsi="Arial" w:cs="Arial"/>
          <w:bCs/>
          <w:sz w:val="20"/>
        </w:rPr>
        <w:t xml:space="preserve">manner </w:t>
      </w:r>
      <w:r w:rsidRPr="00E9644C">
        <w:rPr>
          <w:rFonts w:ascii="Arial" w:hAnsi="Arial" w:cs="Arial"/>
          <w:bCs/>
          <w:sz w:val="20"/>
        </w:rPr>
        <w:t xml:space="preserve">and deliver on WIPO’s mandate and relevant WIPO Development Agenda </w:t>
      </w:r>
      <w:r>
        <w:rPr>
          <w:rFonts w:ascii="Arial" w:hAnsi="Arial" w:cs="Arial"/>
          <w:bCs/>
          <w:sz w:val="20"/>
        </w:rPr>
        <w:t xml:space="preserve">(DA) </w:t>
      </w:r>
      <w:r w:rsidRPr="00E9644C">
        <w:rPr>
          <w:rFonts w:ascii="Arial" w:hAnsi="Arial" w:cs="Arial"/>
          <w:bCs/>
          <w:sz w:val="20"/>
        </w:rPr>
        <w:t>Recommendations (DA Recommendations 2, 9, 22, 30, 40 and 42).</w:t>
      </w:r>
    </w:p>
    <w:p w14:paraId="1A65043D" w14:textId="77777777" w:rsidR="00971C84" w:rsidRPr="00E9644C" w:rsidRDefault="00971C84" w:rsidP="00971C84">
      <w:pPr>
        <w:pStyle w:val="ListParagraph"/>
        <w:ind w:left="0"/>
        <w:jc w:val="both"/>
        <w:rPr>
          <w:rFonts w:ascii="Arial" w:hAnsi="Arial" w:cs="Arial"/>
          <w:bCs/>
          <w:sz w:val="20"/>
        </w:rPr>
      </w:pPr>
    </w:p>
    <w:p w14:paraId="306053F4" w14:textId="77777777" w:rsidR="00971C84" w:rsidRPr="00E9644C" w:rsidRDefault="00971C84" w:rsidP="00B66A4A">
      <w:pPr>
        <w:pStyle w:val="ListParagraph"/>
        <w:numPr>
          <w:ilvl w:val="0"/>
          <w:numId w:val="72"/>
        </w:numPr>
        <w:jc w:val="both"/>
        <w:rPr>
          <w:rFonts w:ascii="Arial" w:hAnsi="Arial" w:cs="Arial"/>
          <w:bCs/>
          <w:sz w:val="20"/>
        </w:rPr>
      </w:pPr>
      <w:r w:rsidRPr="00E9644C">
        <w:rPr>
          <w:rFonts w:ascii="Arial" w:hAnsi="Arial" w:cs="Arial"/>
          <w:bCs/>
          <w:sz w:val="20"/>
        </w:rPr>
        <w:t>WIPO also seeks strategic and effective engagement with a wide range of non-governmental stakeholders, including non-governmental organizations (NGOs), private enterprise and civil society at large, whose varied technical expertise and insights help advance this goal.  WIPO benefits from the strong participation of a broad range of international and national NGOs accredited as observers at its official meetings, as well as their contributions – and those of their respective constituencies – to WIPO programs and events.  Representatives of private enterprise who are directly engaged in the creation and use of innovation and creative works can also offer a unique and valuable contribution to the work of WIPO through their first-hand experience in the use of IP for economic growth and development. Securing more strategic and effective engagement with all these non-governmental stakeholders will be a critical component of a policy dialogue that can truly contribute to the use of IP as a tool for development through international and multi-stakeholder cooperation.</w:t>
      </w:r>
    </w:p>
    <w:p w14:paraId="7A818F87" w14:textId="77777777" w:rsidR="00971C84" w:rsidRPr="00E9644C" w:rsidRDefault="00971C84" w:rsidP="00971C84">
      <w:pPr>
        <w:pStyle w:val="ListParagraph"/>
        <w:ind w:left="0"/>
        <w:jc w:val="both"/>
        <w:rPr>
          <w:rFonts w:ascii="Arial" w:hAnsi="Arial" w:cs="Arial"/>
          <w:bCs/>
          <w:sz w:val="20"/>
        </w:rPr>
      </w:pPr>
    </w:p>
    <w:p w14:paraId="576C30B8" w14:textId="77777777" w:rsidR="00971C84" w:rsidRPr="006B3627" w:rsidRDefault="00971C84" w:rsidP="00971C84">
      <w:pPr>
        <w:pStyle w:val="ListParagraph"/>
        <w:ind w:left="0"/>
        <w:jc w:val="both"/>
        <w:rPr>
          <w:rFonts w:ascii="Arial" w:hAnsi="Arial" w:cs="Arial"/>
          <w:bCs/>
        </w:rPr>
      </w:pPr>
    </w:p>
    <w:p w14:paraId="6C95D44A" w14:textId="77777777" w:rsidR="00971C84" w:rsidRPr="006B3627" w:rsidRDefault="00971C84" w:rsidP="00971C84">
      <w:pPr>
        <w:pStyle w:val="ListParagraph"/>
        <w:ind w:left="0"/>
        <w:jc w:val="both"/>
        <w:rPr>
          <w:rFonts w:ascii="Arial" w:hAnsi="Arial" w:cs="Arial"/>
          <w:bCs/>
        </w:rPr>
      </w:pPr>
      <w:r w:rsidRPr="006B3627">
        <w:rPr>
          <w:rFonts w:ascii="Arial" w:hAnsi="Arial" w:cs="Arial"/>
          <w:bCs/>
        </w:rPr>
        <w:t>IMPLEMENTATION STRATEGIES</w:t>
      </w:r>
    </w:p>
    <w:p w14:paraId="4AFE05BB" w14:textId="77777777" w:rsidR="00971C84" w:rsidRPr="00E9644C" w:rsidRDefault="00971C84" w:rsidP="00971C84">
      <w:pPr>
        <w:pStyle w:val="ListParagraph"/>
        <w:ind w:left="0"/>
        <w:jc w:val="both"/>
        <w:rPr>
          <w:rFonts w:ascii="Arial" w:hAnsi="Arial" w:cs="Arial"/>
          <w:bCs/>
          <w:sz w:val="20"/>
        </w:rPr>
      </w:pPr>
    </w:p>
    <w:p w14:paraId="0E2EB186" w14:textId="77777777" w:rsidR="00971C84" w:rsidRPr="00E9644C" w:rsidRDefault="00971C84" w:rsidP="00B66A4A">
      <w:pPr>
        <w:numPr>
          <w:ilvl w:val="0"/>
          <w:numId w:val="72"/>
        </w:numPr>
        <w:jc w:val="both"/>
        <w:rPr>
          <w:rFonts w:ascii="Arial" w:hAnsi="Arial" w:cs="Arial"/>
          <w:bCs/>
          <w:sz w:val="20"/>
        </w:rPr>
      </w:pPr>
      <w:r w:rsidRPr="00E9644C">
        <w:rPr>
          <w:rFonts w:ascii="Arial" w:hAnsi="Arial" w:cs="Arial"/>
          <w:bCs/>
          <w:sz w:val="20"/>
        </w:rPr>
        <w:t xml:space="preserve">Program 20’s primary role is one of coordination, engagement, monitoring and reporting aimed at ensuring that WIPO’s contributions </w:t>
      </w:r>
      <w:r>
        <w:rPr>
          <w:rFonts w:ascii="Arial" w:hAnsi="Arial" w:cs="Arial"/>
          <w:bCs/>
          <w:sz w:val="20"/>
        </w:rPr>
        <w:t xml:space="preserve">to these processes </w:t>
      </w:r>
      <w:r w:rsidRPr="00E9644C">
        <w:rPr>
          <w:rFonts w:ascii="Arial" w:hAnsi="Arial" w:cs="Arial"/>
          <w:bCs/>
          <w:sz w:val="20"/>
        </w:rPr>
        <w:t xml:space="preserve">are </w:t>
      </w:r>
      <w:r>
        <w:rPr>
          <w:rFonts w:ascii="Arial" w:hAnsi="Arial" w:cs="Arial"/>
          <w:bCs/>
          <w:sz w:val="20"/>
        </w:rPr>
        <w:t xml:space="preserve">relevant to </w:t>
      </w:r>
      <w:r w:rsidRPr="00E9644C">
        <w:rPr>
          <w:rFonts w:ascii="Arial" w:hAnsi="Arial" w:cs="Arial"/>
          <w:bCs/>
          <w:sz w:val="20"/>
        </w:rPr>
        <w:t xml:space="preserve"> the Organization’s mandate</w:t>
      </w:r>
      <w:r>
        <w:rPr>
          <w:rFonts w:ascii="Arial" w:hAnsi="Arial" w:cs="Arial"/>
          <w:bCs/>
          <w:sz w:val="20"/>
        </w:rPr>
        <w:t xml:space="preserve"> and focused on where our specialist expertise can best add value</w:t>
      </w:r>
      <w:r w:rsidRPr="00E9644C">
        <w:rPr>
          <w:rFonts w:ascii="Arial" w:hAnsi="Arial" w:cs="Arial"/>
          <w:bCs/>
          <w:sz w:val="20"/>
        </w:rPr>
        <w:t>.</w:t>
      </w:r>
      <w:r>
        <w:rPr>
          <w:rFonts w:ascii="Arial" w:hAnsi="Arial" w:cs="Arial"/>
          <w:bCs/>
          <w:sz w:val="20"/>
        </w:rPr>
        <w:t xml:space="preserve"> Implementation s</w:t>
      </w:r>
      <w:r w:rsidRPr="00E9644C">
        <w:rPr>
          <w:rFonts w:ascii="Arial" w:hAnsi="Arial" w:cs="Arial"/>
          <w:bCs/>
          <w:sz w:val="20"/>
        </w:rPr>
        <w:t>trategi</w:t>
      </w:r>
      <w:r>
        <w:rPr>
          <w:rFonts w:ascii="Arial" w:hAnsi="Arial" w:cs="Arial"/>
          <w:bCs/>
          <w:sz w:val="20"/>
        </w:rPr>
        <w:t>es</w:t>
      </w:r>
      <w:r w:rsidRPr="00E9644C">
        <w:rPr>
          <w:rFonts w:ascii="Arial" w:hAnsi="Arial" w:cs="Arial"/>
          <w:bCs/>
          <w:sz w:val="20"/>
        </w:rPr>
        <w:t xml:space="preserve"> in the biennium 2016/17 </w:t>
      </w:r>
      <w:r>
        <w:rPr>
          <w:rFonts w:ascii="Arial" w:hAnsi="Arial" w:cs="Arial"/>
          <w:bCs/>
          <w:sz w:val="20"/>
        </w:rPr>
        <w:t xml:space="preserve">address these aims and in addition the focus will shift to ways in which WIPO can best support implementation of the post 2015 Development Agenda.  These </w:t>
      </w:r>
      <w:r w:rsidRPr="00E9644C">
        <w:rPr>
          <w:rFonts w:ascii="Arial" w:hAnsi="Arial" w:cs="Arial"/>
          <w:bCs/>
          <w:sz w:val="20"/>
        </w:rPr>
        <w:t xml:space="preserve">will include:  </w:t>
      </w:r>
    </w:p>
    <w:p w14:paraId="305D2C4F" w14:textId="77777777" w:rsidR="00971C84" w:rsidRPr="00E9644C" w:rsidRDefault="00971C84">
      <w:pPr>
        <w:tabs>
          <w:tab w:val="num" w:pos="709"/>
        </w:tabs>
        <w:jc w:val="both"/>
        <w:rPr>
          <w:rFonts w:ascii="Arial" w:hAnsi="Arial" w:cs="Arial"/>
          <w:bCs/>
          <w:sz w:val="20"/>
        </w:rPr>
      </w:pPr>
    </w:p>
    <w:p w14:paraId="0179A93F" w14:textId="15CA5107" w:rsidR="00971C84" w:rsidRPr="00E9644C" w:rsidRDefault="00971C84" w:rsidP="00B66A4A">
      <w:pPr>
        <w:numPr>
          <w:ilvl w:val="0"/>
          <w:numId w:val="73"/>
        </w:numPr>
        <w:tabs>
          <w:tab w:val="clear" w:pos="1174"/>
          <w:tab w:val="num" w:pos="1134"/>
        </w:tabs>
        <w:ind w:left="1134" w:hanging="567"/>
        <w:jc w:val="both"/>
        <w:rPr>
          <w:rFonts w:ascii="Arial" w:hAnsi="Arial" w:cs="Arial"/>
          <w:bCs/>
          <w:sz w:val="20"/>
        </w:rPr>
      </w:pPr>
      <w:r w:rsidRPr="00E9644C">
        <w:rPr>
          <w:rFonts w:ascii="Arial" w:hAnsi="Arial" w:cs="Arial"/>
          <w:bCs/>
          <w:sz w:val="20"/>
        </w:rPr>
        <w:t>Further strengthening existing partnerships and developing new and innovative multi</w:t>
      </w:r>
      <w:r w:rsidR="007644FB">
        <w:rPr>
          <w:rFonts w:ascii="Arial" w:hAnsi="Arial" w:cs="Arial"/>
          <w:bCs/>
          <w:sz w:val="20"/>
        </w:rPr>
        <w:t>-</w:t>
      </w:r>
      <w:r w:rsidRPr="00E9644C">
        <w:rPr>
          <w:rFonts w:ascii="Arial" w:hAnsi="Arial" w:cs="Arial"/>
          <w:bCs/>
          <w:sz w:val="20"/>
        </w:rPr>
        <w:t>stakeholder partnerships, issues-based alliances and coalitions to support sustainable development and the implementation of the post-2015 Development Agenda;</w:t>
      </w:r>
    </w:p>
    <w:p w14:paraId="335E817F" w14:textId="77777777" w:rsidR="00971C84" w:rsidRPr="00E9644C" w:rsidRDefault="00971C84" w:rsidP="00971C84">
      <w:pPr>
        <w:tabs>
          <w:tab w:val="num" w:pos="1134"/>
        </w:tabs>
        <w:ind w:left="1134" w:hanging="567"/>
        <w:jc w:val="both"/>
        <w:rPr>
          <w:rFonts w:ascii="Arial" w:hAnsi="Arial" w:cs="Arial"/>
          <w:bCs/>
          <w:sz w:val="20"/>
        </w:rPr>
      </w:pPr>
    </w:p>
    <w:p w14:paraId="4B9AB409" w14:textId="77777777" w:rsidR="00971C84" w:rsidRDefault="00971C84" w:rsidP="00B66A4A">
      <w:pPr>
        <w:numPr>
          <w:ilvl w:val="0"/>
          <w:numId w:val="73"/>
        </w:numPr>
        <w:tabs>
          <w:tab w:val="clear" w:pos="1174"/>
          <w:tab w:val="num" w:pos="1134"/>
        </w:tabs>
        <w:ind w:left="1134" w:hanging="567"/>
        <w:jc w:val="both"/>
        <w:rPr>
          <w:rFonts w:ascii="Arial" w:hAnsi="Arial" w:cs="Arial"/>
          <w:bCs/>
          <w:sz w:val="20"/>
        </w:rPr>
      </w:pPr>
      <w:r w:rsidRPr="00E9644C">
        <w:rPr>
          <w:rFonts w:ascii="Arial" w:hAnsi="Arial" w:cs="Arial"/>
          <w:bCs/>
          <w:sz w:val="20"/>
        </w:rPr>
        <w:t xml:space="preserve">Working in close cooperation with other Programs </w:t>
      </w:r>
      <w:r>
        <w:rPr>
          <w:rFonts w:ascii="Arial" w:hAnsi="Arial" w:cs="Arial"/>
          <w:bCs/>
          <w:sz w:val="20"/>
        </w:rPr>
        <w:t xml:space="preserve">(see diagram below) </w:t>
      </w:r>
      <w:r w:rsidRPr="00E9644C">
        <w:rPr>
          <w:rFonts w:ascii="Arial" w:hAnsi="Arial" w:cs="Arial"/>
          <w:bCs/>
          <w:sz w:val="20"/>
        </w:rPr>
        <w:t>to enhance the integration of WIPO’s expertise into cooperation and collaboration at the global, regional and national levels, working more closely with sister UN organizations, including the UN Regional Economic Organizations, regional development banks and UN Country teams;</w:t>
      </w:r>
    </w:p>
    <w:p w14:paraId="08F9ACE1" w14:textId="77777777" w:rsidR="00971C84" w:rsidRDefault="00971C84" w:rsidP="00971C84">
      <w:pPr>
        <w:tabs>
          <w:tab w:val="num" w:pos="1134"/>
        </w:tabs>
        <w:ind w:left="1134" w:hanging="567"/>
        <w:jc w:val="both"/>
        <w:rPr>
          <w:rFonts w:ascii="Arial" w:hAnsi="Arial" w:cs="Arial"/>
          <w:bCs/>
          <w:sz w:val="20"/>
        </w:rPr>
      </w:pPr>
    </w:p>
    <w:p w14:paraId="6D69E94F" w14:textId="77777777" w:rsidR="00971C84" w:rsidRPr="00E9644C" w:rsidRDefault="00971C84" w:rsidP="00B66A4A">
      <w:pPr>
        <w:numPr>
          <w:ilvl w:val="0"/>
          <w:numId w:val="73"/>
        </w:numPr>
        <w:tabs>
          <w:tab w:val="clear" w:pos="1174"/>
          <w:tab w:val="num" w:pos="1134"/>
        </w:tabs>
        <w:ind w:left="1134" w:hanging="567"/>
        <w:jc w:val="both"/>
        <w:rPr>
          <w:rFonts w:ascii="Arial" w:hAnsi="Arial" w:cs="Arial"/>
          <w:bCs/>
          <w:sz w:val="20"/>
        </w:rPr>
      </w:pPr>
      <w:r>
        <w:rPr>
          <w:rFonts w:ascii="Arial" w:hAnsi="Arial" w:cs="Arial"/>
          <w:bCs/>
          <w:sz w:val="20"/>
        </w:rPr>
        <w:t>Improving the quality of WIPO’s contributions to the post 2015 Development Agenda monitoring, review and accountability mechanisms;</w:t>
      </w:r>
    </w:p>
    <w:p w14:paraId="13287709" w14:textId="77777777" w:rsidR="00971C84" w:rsidRPr="00142A87" w:rsidRDefault="00971C84" w:rsidP="00971C84">
      <w:pPr>
        <w:tabs>
          <w:tab w:val="num" w:pos="1134"/>
        </w:tabs>
        <w:ind w:left="1134" w:hanging="567"/>
        <w:jc w:val="both"/>
        <w:rPr>
          <w:rFonts w:ascii="Arial" w:hAnsi="Arial" w:cs="Arial"/>
          <w:sz w:val="20"/>
        </w:rPr>
      </w:pPr>
    </w:p>
    <w:p w14:paraId="126B4700" w14:textId="77777777" w:rsidR="00971C84" w:rsidRDefault="00971C84" w:rsidP="00B66A4A">
      <w:pPr>
        <w:numPr>
          <w:ilvl w:val="0"/>
          <w:numId w:val="73"/>
        </w:numPr>
        <w:tabs>
          <w:tab w:val="clear" w:pos="1174"/>
          <w:tab w:val="num" w:pos="1134"/>
        </w:tabs>
        <w:ind w:left="1134" w:hanging="567"/>
        <w:jc w:val="both"/>
        <w:rPr>
          <w:rFonts w:ascii="Arial" w:hAnsi="Arial" w:cs="Arial"/>
          <w:sz w:val="20"/>
        </w:rPr>
      </w:pPr>
      <w:r>
        <w:rPr>
          <w:rFonts w:ascii="Arial" w:hAnsi="Arial" w:cs="Arial"/>
          <w:sz w:val="20"/>
        </w:rPr>
        <w:t>S</w:t>
      </w:r>
      <w:r w:rsidRPr="00E9644C">
        <w:rPr>
          <w:rFonts w:ascii="Arial" w:hAnsi="Arial" w:cs="Arial"/>
          <w:sz w:val="20"/>
        </w:rPr>
        <w:t>upport to th</w:t>
      </w:r>
      <w:r>
        <w:rPr>
          <w:rFonts w:ascii="Arial" w:hAnsi="Arial" w:cs="Arial"/>
          <w:sz w:val="20"/>
        </w:rPr>
        <w:t>e</w:t>
      </w:r>
      <w:r w:rsidRPr="00E9644C">
        <w:rPr>
          <w:rFonts w:ascii="Arial" w:hAnsi="Arial" w:cs="Arial"/>
          <w:sz w:val="20"/>
        </w:rPr>
        <w:t xml:space="preserve"> </w:t>
      </w:r>
      <w:r>
        <w:rPr>
          <w:rFonts w:ascii="Arial" w:hAnsi="Arial" w:cs="Arial"/>
          <w:sz w:val="20"/>
        </w:rPr>
        <w:t xml:space="preserve">UNFCCC </w:t>
      </w:r>
      <w:r w:rsidRPr="00E9644C">
        <w:rPr>
          <w:rFonts w:ascii="Arial" w:hAnsi="Arial" w:cs="Arial"/>
          <w:sz w:val="20"/>
        </w:rPr>
        <w:t>process, in particular</w:t>
      </w:r>
      <w:r>
        <w:rPr>
          <w:rFonts w:ascii="Arial" w:hAnsi="Arial" w:cs="Arial"/>
          <w:sz w:val="20"/>
        </w:rPr>
        <w:t>,</w:t>
      </w:r>
      <w:r w:rsidRPr="00E9644C">
        <w:rPr>
          <w:rFonts w:ascii="Arial" w:hAnsi="Arial" w:cs="Arial"/>
          <w:sz w:val="20"/>
        </w:rPr>
        <w:t xml:space="preserve"> the UNFCCC Technology Mechanism</w:t>
      </w:r>
      <w:r>
        <w:rPr>
          <w:rFonts w:ascii="Arial" w:hAnsi="Arial" w:cs="Arial"/>
          <w:sz w:val="20"/>
        </w:rPr>
        <w:t>, including</w:t>
      </w:r>
      <w:r w:rsidRPr="00E9644C">
        <w:rPr>
          <w:rFonts w:ascii="Arial" w:hAnsi="Arial" w:cs="Arial"/>
          <w:sz w:val="20"/>
        </w:rPr>
        <w:t xml:space="preserve"> practical collaboration between WIPO GREEN and the UNFCCC Climate Technology Center and Network (CTCN). </w:t>
      </w:r>
    </w:p>
    <w:p w14:paraId="388F7D5A" w14:textId="77777777" w:rsidR="00971C84" w:rsidRDefault="00971C84" w:rsidP="00971C84">
      <w:pPr>
        <w:pStyle w:val="ListParagraph"/>
        <w:tabs>
          <w:tab w:val="num" w:pos="1134"/>
        </w:tabs>
        <w:ind w:left="1134" w:hanging="567"/>
        <w:jc w:val="both"/>
        <w:rPr>
          <w:rFonts w:ascii="Arial" w:hAnsi="Arial" w:cs="Arial"/>
          <w:sz w:val="20"/>
        </w:rPr>
      </w:pPr>
    </w:p>
    <w:p w14:paraId="73C8C1EE" w14:textId="77777777" w:rsidR="00971C84" w:rsidRPr="00E9644C" w:rsidRDefault="00971C84" w:rsidP="00B66A4A">
      <w:pPr>
        <w:numPr>
          <w:ilvl w:val="0"/>
          <w:numId w:val="73"/>
        </w:numPr>
        <w:tabs>
          <w:tab w:val="clear" w:pos="1174"/>
          <w:tab w:val="num" w:pos="1134"/>
        </w:tabs>
        <w:ind w:left="1134" w:hanging="567"/>
        <w:jc w:val="both"/>
        <w:rPr>
          <w:rFonts w:ascii="Arial" w:hAnsi="Arial" w:cs="Arial"/>
          <w:sz w:val="20"/>
        </w:rPr>
      </w:pPr>
      <w:r>
        <w:rPr>
          <w:rFonts w:ascii="Arial" w:hAnsi="Arial" w:cs="Arial"/>
          <w:sz w:val="20"/>
        </w:rPr>
        <w:t>C</w:t>
      </w:r>
      <w:r w:rsidRPr="00E9644C">
        <w:rPr>
          <w:rFonts w:ascii="Arial" w:hAnsi="Arial" w:cs="Arial"/>
          <w:sz w:val="20"/>
        </w:rPr>
        <w:t>ontinue</w:t>
      </w:r>
      <w:r>
        <w:rPr>
          <w:rFonts w:ascii="Arial" w:hAnsi="Arial" w:cs="Arial"/>
          <w:sz w:val="20"/>
        </w:rPr>
        <w:t>d</w:t>
      </w:r>
      <w:r w:rsidRPr="00E9644C">
        <w:rPr>
          <w:rFonts w:ascii="Arial" w:hAnsi="Arial" w:cs="Arial"/>
          <w:sz w:val="20"/>
        </w:rPr>
        <w:t xml:space="preserve"> </w:t>
      </w:r>
      <w:r>
        <w:rPr>
          <w:rFonts w:ascii="Arial" w:hAnsi="Arial" w:cs="Arial"/>
          <w:sz w:val="20"/>
        </w:rPr>
        <w:t>engagement in</w:t>
      </w:r>
      <w:r w:rsidRPr="00E9644C">
        <w:rPr>
          <w:rFonts w:ascii="Arial" w:hAnsi="Arial" w:cs="Arial"/>
          <w:sz w:val="20"/>
        </w:rPr>
        <w:t xml:space="preserve"> the WIPO-WTO-WHO trilateral work</w:t>
      </w:r>
      <w:r>
        <w:rPr>
          <w:rFonts w:ascii="Arial" w:hAnsi="Arial" w:cs="Arial"/>
          <w:sz w:val="20"/>
        </w:rPr>
        <w:t xml:space="preserve"> on public health</w:t>
      </w:r>
      <w:r w:rsidRPr="00E9644C">
        <w:rPr>
          <w:rFonts w:ascii="Arial" w:hAnsi="Arial" w:cs="Arial"/>
          <w:sz w:val="20"/>
        </w:rPr>
        <w:t xml:space="preserve">, the Global Coordination Mechanism on Non-Communicable Diseases; </w:t>
      </w:r>
      <w:r>
        <w:rPr>
          <w:rFonts w:ascii="Arial" w:hAnsi="Arial" w:cs="Arial"/>
          <w:sz w:val="20"/>
        </w:rPr>
        <w:t xml:space="preserve">and </w:t>
      </w:r>
      <w:r w:rsidRPr="003949F6">
        <w:rPr>
          <w:rFonts w:ascii="Arial" w:hAnsi="Arial" w:cs="Arial"/>
          <w:sz w:val="20"/>
        </w:rPr>
        <w:t>the World Summit on the Information Society (WSIS+10) and the Internet Governance Forum</w:t>
      </w:r>
      <w:r w:rsidRPr="00142A87">
        <w:rPr>
          <w:rFonts w:ascii="Arial" w:hAnsi="Arial" w:cs="Arial"/>
          <w:sz w:val="20"/>
        </w:rPr>
        <w:t xml:space="preserve"> </w:t>
      </w:r>
      <w:r w:rsidRPr="00E9644C">
        <w:rPr>
          <w:rFonts w:ascii="Arial" w:hAnsi="Arial" w:cs="Arial"/>
          <w:sz w:val="20"/>
        </w:rPr>
        <w:t>on the digital divide.</w:t>
      </w:r>
    </w:p>
    <w:p w14:paraId="77C4B84D" w14:textId="77777777" w:rsidR="00971C84" w:rsidRPr="00E9644C" w:rsidRDefault="00971C84" w:rsidP="00971C84">
      <w:pPr>
        <w:pStyle w:val="ListParagraph"/>
        <w:tabs>
          <w:tab w:val="num" w:pos="1134"/>
        </w:tabs>
        <w:ind w:left="1134" w:hanging="567"/>
        <w:rPr>
          <w:rFonts w:ascii="Arial" w:hAnsi="Arial" w:cs="Arial"/>
          <w:bCs/>
          <w:sz w:val="20"/>
        </w:rPr>
      </w:pPr>
    </w:p>
    <w:p w14:paraId="50DF50F1" w14:textId="0F74FAE8" w:rsidR="00971C84" w:rsidRPr="00E9644C" w:rsidRDefault="00971C84" w:rsidP="00B66A4A">
      <w:pPr>
        <w:numPr>
          <w:ilvl w:val="0"/>
          <w:numId w:val="73"/>
        </w:numPr>
        <w:tabs>
          <w:tab w:val="clear" w:pos="1174"/>
          <w:tab w:val="num" w:pos="1134"/>
        </w:tabs>
        <w:ind w:left="1134" w:hanging="567"/>
        <w:jc w:val="both"/>
        <w:rPr>
          <w:rFonts w:ascii="Arial" w:hAnsi="Arial" w:cs="Arial"/>
          <w:bCs/>
          <w:sz w:val="20"/>
        </w:rPr>
      </w:pPr>
      <w:r w:rsidRPr="00E9644C">
        <w:rPr>
          <w:rFonts w:ascii="Arial" w:hAnsi="Arial" w:cs="Arial"/>
          <w:bCs/>
          <w:sz w:val="20"/>
        </w:rPr>
        <w:t>Promoting WIPO’s expertise, projects, programs and tools with the UN and other IGOs to achieve greater awareness, recognition and use of  WIPO’s services;</w:t>
      </w:r>
    </w:p>
    <w:p w14:paraId="223107D7" w14:textId="77777777" w:rsidR="00971C84" w:rsidRPr="00E9644C" w:rsidRDefault="00971C84" w:rsidP="00971C84">
      <w:pPr>
        <w:pStyle w:val="ListParagraph"/>
        <w:tabs>
          <w:tab w:val="num" w:pos="1134"/>
        </w:tabs>
        <w:ind w:left="1134" w:hanging="567"/>
        <w:jc w:val="both"/>
        <w:rPr>
          <w:rFonts w:ascii="Arial" w:hAnsi="Arial" w:cs="Arial"/>
          <w:bCs/>
          <w:sz w:val="20"/>
        </w:rPr>
      </w:pPr>
    </w:p>
    <w:p w14:paraId="4E069839" w14:textId="77777777" w:rsidR="00971C84" w:rsidRPr="00E9644C" w:rsidRDefault="00971C84" w:rsidP="00B66A4A">
      <w:pPr>
        <w:numPr>
          <w:ilvl w:val="0"/>
          <w:numId w:val="73"/>
        </w:numPr>
        <w:tabs>
          <w:tab w:val="clear" w:pos="1174"/>
          <w:tab w:val="num" w:pos="1134"/>
        </w:tabs>
        <w:ind w:left="1134" w:hanging="567"/>
        <w:jc w:val="both"/>
        <w:rPr>
          <w:rFonts w:ascii="Arial" w:hAnsi="Arial" w:cs="Arial"/>
          <w:bCs/>
          <w:sz w:val="20"/>
        </w:rPr>
      </w:pPr>
      <w:r w:rsidRPr="00E9644C">
        <w:rPr>
          <w:rFonts w:ascii="Arial" w:hAnsi="Arial" w:cs="Arial"/>
          <w:bCs/>
          <w:sz w:val="20"/>
        </w:rPr>
        <w:t>Enhancing outreach efforts to donors and partners providing support to WIPO Member States and other WIPO Programs to increase partnership and resource mobilization for IP projects;</w:t>
      </w:r>
      <w:r>
        <w:rPr>
          <w:rFonts w:ascii="Arial" w:hAnsi="Arial" w:cs="Arial"/>
          <w:bCs/>
          <w:sz w:val="20"/>
        </w:rPr>
        <w:t xml:space="preserve"> </w:t>
      </w:r>
      <w:r w:rsidRPr="00E9644C">
        <w:rPr>
          <w:rFonts w:ascii="Arial" w:hAnsi="Arial" w:cs="Arial"/>
          <w:bCs/>
          <w:sz w:val="20"/>
        </w:rPr>
        <w:t xml:space="preserve"> and</w:t>
      </w:r>
    </w:p>
    <w:p w14:paraId="6E0AA9BB" w14:textId="77777777" w:rsidR="00971C84" w:rsidRPr="00E9644C" w:rsidRDefault="00971C84" w:rsidP="00971C84">
      <w:pPr>
        <w:tabs>
          <w:tab w:val="num" w:pos="1134"/>
        </w:tabs>
        <w:ind w:left="1134" w:hanging="567"/>
        <w:jc w:val="both"/>
        <w:rPr>
          <w:rFonts w:ascii="Arial" w:hAnsi="Arial" w:cs="Arial"/>
          <w:bCs/>
          <w:sz w:val="20"/>
        </w:rPr>
      </w:pPr>
    </w:p>
    <w:p w14:paraId="2A1E61C6" w14:textId="77777777" w:rsidR="00971C84" w:rsidRPr="00E9644C" w:rsidRDefault="00971C84" w:rsidP="00B66A4A">
      <w:pPr>
        <w:pStyle w:val="ListParagraph"/>
        <w:numPr>
          <w:ilvl w:val="0"/>
          <w:numId w:val="73"/>
        </w:numPr>
        <w:tabs>
          <w:tab w:val="clear" w:pos="1174"/>
          <w:tab w:val="num" w:pos="1134"/>
        </w:tabs>
        <w:ind w:left="1134" w:hanging="567"/>
        <w:jc w:val="both"/>
        <w:rPr>
          <w:rFonts w:ascii="Arial" w:hAnsi="Arial" w:cs="Arial"/>
          <w:bCs/>
          <w:sz w:val="20"/>
        </w:rPr>
      </w:pPr>
      <w:r w:rsidRPr="00E9644C">
        <w:rPr>
          <w:rFonts w:ascii="Arial" w:hAnsi="Arial" w:cs="Arial"/>
          <w:bCs/>
          <w:sz w:val="20"/>
        </w:rPr>
        <w:t xml:space="preserve">In coordination with other Programs, continue to develop institutional arrangements and practical partnerships with non-governmental stakeholders to harness the capacity and expertise of these stakeholders in advancing WIPO’s objectives, as well as to enhance their effective engagement in WIPO activities. </w:t>
      </w:r>
    </w:p>
    <w:p w14:paraId="228ACE06" w14:textId="77777777" w:rsidR="00971C84" w:rsidRDefault="00971C84" w:rsidP="00971C84">
      <w:pPr>
        <w:tabs>
          <w:tab w:val="num" w:pos="540"/>
        </w:tabs>
        <w:ind w:left="540" w:hanging="360"/>
        <w:jc w:val="both"/>
        <w:rPr>
          <w:rFonts w:ascii="Arial" w:hAnsi="Arial" w:cs="Arial"/>
          <w:bCs/>
          <w:sz w:val="20"/>
        </w:rPr>
      </w:pPr>
    </w:p>
    <w:p w14:paraId="420E81F0" w14:textId="77777777" w:rsidR="00971C84" w:rsidRPr="00A157BB" w:rsidRDefault="00971C84" w:rsidP="00971C84">
      <w:pPr>
        <w:jc w:val="both"/>
        <w:rPr>
          <w:rFonts w:ascii="Arial" w:hAnsi="Arial" w:cs="Arial"/>
          <w:bCs/>
          <w:sz w:val="20"/>
          <w:u w:val="single"/>
          <w:lang w:eastAsia="zh-CN"/>
        </w:rPr>
      </w:pPr>
      <w:r w:rsidRPr="008503B0">
        <w:rPr>
          <w:rFonts w:ascii="Arial" w:hAnsi="Arial" w:cs="Arial"/>
          <w:bCs/>
          <w:sz w:val="20"/>
          <w:u w:val="single"/>
          <w:lang w:eastAsia="zh-CN"/>
        </w:rPr>
        <w:t xml:space="preserve">WIPO Coordination Office </w:t>
      </w:r>
      <w:r w:rsidRPr="00A157BB">
        <w:rPr>
          <w:rFonts w:ascii="Arial" w:hAnsi="Arial" w:cs="Arial"/>
          <w:bCs/>
          <w:sz w:val="20"/>
          <w:u w:val="single"/>
          <w:lang w:eastAsia="zh-CN"/>
        </w:rPr>
        <w:t>to the United Nations in New York</w:t>
      </w:r>
    </w:p>
    <w:p w14:paraId="419BB226" w14:textId="77777777" w:rsidR="00971C84" w:rsidRPr="00A157BB" w:rsidRDefault="00971C84" w:rsidP="00971C84">
      <w:pPr>
        <w:jc w:val="both"/>
        <w:rPr>
          <w:rFonts w:ascii="Arial" w:hAnsi="Arial" w:cs="Arial"/>
          <w:bCs/>
          <w:sz w:val="20"/>
          <w:lang w:eastAsia="zh-CN"/>
        </w:rPr>
      </w:pPr>
    </w:p>
    <w:p w14:paraId="0D0E2D1B" w14:textId="77777777" w:rsidR="00971C84" w:rsidRPr="00A157BB" w:rsidRDefault="00971C84" w:rsidP="00B66A4A">
      <w:pPr>
        <w:pStyle w:val="ListParagraph"/>
        <w:numPr>
          <w:ilvl w:val="0"/>
          <w:numId w:val="72"/>
        </w:numPr>
        <w:jc w:val="both"/>
        <w:rPr>
          <w:rFonts w:ascii="Arial" w:hAnsi="Arial" w:cs="Arial"/>
          <w:sz w:val="20"/>
          <w:lang w:eastAsia="zh-CN"/>
        </w:rPr>
      </w:pPr>
      <w:r w:rsidRPr="00A157BB">
        <w:rPr>
          <w:rFonts w:ascii="Arial" w:hAnsi="Arial" w:cs="Arial"/>
          <w:sz w:val="20"/>
          <w:lang w:eastAsia="zh-CN"/>
        </w:rPr>
        <w:t xml:space="preserve">The WIPO New York Office liaises between WIPO Headquarters in Geneva and the UN, and its stakeholders in New York.  The WIPO New York Office engages in a wide range of intergovernmental and civil society-led processes in NY, both to contribute to a balanced debate on IP issues and to provide information and analysis on IP issues to the diplomatic community and UN system organizations.  Working closely with various WIPO Programs, the Office engages in outreach and briefings to the UN diplomatic community to develop a greater understanding of WIPO’s work, promotes WIPO’s treaties, processes, services and platforms, and provides reports and briefings on New York based fora. While these activities are foreseen to continue throughout the biennium 2016/17, it is proposed that the current operating model, through a physical office located in NYC, continue only until the end of 2016 with a view to establishing an alternate, more cost-effective operating model for 2017. </w:t>
      </w:r>
    </w:p>
    <w:p w14:paraId="73E51B5B" w14:textId="77777777" w:rsidR="00971C84" w:rsidRDefault="00971C84" w:rsidP="00971C84">
      <w:pPr>
        <w:tabs>
          <w:tab w:val="num" w:pos="540"/>
        </w:tabs>
        <w:ind w:left="540" w:hanging="360"/>
        <w:jc w:val="both"/>
        <w:rPr>
          <w:rFonts w:ascii="Arial" w:hAnsi="Arial" w:cs="Arial"/>
          <w:bCs/>
          <w:sz w:val="20"/>
        </w:rPr>
      </w:pPr>
      <w:r w:rsidRPr="00F74F51">
        <w:rPr>
          <w:rFonts w:ascii="Arial" w:hAnsi="Arial" w:cs="Arial"/>
          <w:noProof/>
          <w:lang w:eastAsia="en-US"/>
        </w:rPr>
        <w:drawing>
          <wp:anchor distT="0" distB="0" distL="114300" distR="114300" simplePos="0" relativeHeight="251673600" behindDoc="0" locked="0" layoutInCell="1" allowOverlap="1" wp14:anchorId="72EB52AB" wp14:editId="48CF5C50">
            <wp:simplePos x="0" y="0"/>
            <wp:positionH relativeFrom="column">
              <wp:posOffset>151130</wp:posOffset>
            </wp:positionH>
            <wp:positionV relativeFrom="paragraph">
              <wp:posOffset>267335</wp:posOffset>
            </wp:positionV>
            <wp:extent cx="5759450" cy="2620010"/>
            <wp:effectExtent l="0" t="19050" r="0" b="0"/>
            <wp:wrapTopAndBottom/>
            <wp:docPr id="985" name="Diagram 9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5" r:lo="rId176" r:qs="rId177" r:cs="rId178"/>
              </a:graphicData>
            </a:graphic>
            <wp14:sizeRelH relativeFrom="page">
              <wp14:pctWidth>0</wp14:pctWidth>
            </wp14:sizeRelH>
            <wp14:sizeRelV relativeFrom="page">
              <wp14:pctHeight>0</wp14:pctHeight>
            </wp14:sizeRelV>
          </wp:anchor>
        </w:drawing>
      </w:r>
    </w:p>
    <w:p w14:paraId="2C6078C9" w14:textId="77777777" w:rsidR="00971C84" w:rsidRPr="00A0530F" w:rsidRDefault="00971C84" w:rsidP="00971C84"/>
    <w:p w14:paraId="0C067537" w14:textId="77777777" w:rsidR="00971C84" w:rsidRPr="00F74F51" w:rsidRDefault="00971C84" w:rsidP="00971C84">
      <w:pPr>
        <w:keepNext/>
        <w:keepLines/>
        <w:rPr>
          <w:rFonts w:ascii="Arial" w:hAnsi="Arial" w:cs="Arial"/>
        </w:rPr>
      </w:pPr>
      <w:r w:rsidRPr="00F74F51">
        <w:rPr>
          <w:rFonts w:ascii="Arial" w:hAnsi="Arial" w:cs="Arial"/>
        </w:rPr>
        <w:t>MAJOR RISKS AND MITIGATION S</w:t>
      </w:r>
      <w:r>
        <w:rPr>
          <w:rFonts w:ascii="Arial" w:hAnsi="Arial" w:cs="Arial"/>
        </w:rPr>
        <w:t xml:space="preserve">TRATEGIES  </w:t>
      </w:r>
    </w:p>
    <w:p w14:paraId="6ECB6950" w14:textId="77777777" w:rsidR="00971C84" w:rsidRPr="000C7B40" w:rsidRDefault="00971C84" w:rsidP="00971C84">
      <w:pPr>
        <w:keepNext/>
        <w:keepLines/>
        <w:rPr>
          <w:rFonts w:ascii="Arial" w:hAnsi="Arial" w:cs="Aria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971C84" w:rsidRPr="000C7B40" w14:paraId="31A2A726" w14:textId="77777777" w:rsidTr="004E671F">
        <w:trPr>
          <w:trHeight w:val="577"/>
        </w:trPr>
        <w:tc>
          <w:tcPr>
            <w:tcW w:w="4111" w:type="dxa"/>
            <w:tcBorders>
              <w:top w:val="single" w:sz="4" w:space="0" w:color="auto"/>
              <w:bottom w:val="single" w:sz="4" w:space="0" w:color="auto"/>
            </w:tcBorders>
            <w:shd w:val="clear" w:color="auto" w:fill="B8CCE4" w:themeFill="accent1" w:themeFillTint="66"/>
            <w:vAlign w:val="center"/>
          </w:tcPr>
          <w:p w14:paraId="0C9413F5" w14:textId="77777777" w:rsidR="00971C84" w:rsidRPr="000C7B40" w:rsidRDefault="00971C84" w:rsidP="00971C84">
            <w:pPr>
              <w:keepNext/>
              <w:keepLines/>
              <w:jc w:val="center"/>
              <w:rPr>
                <w:rFonts w:ascii="Arial" w:hAnsi="Arial" w:cs="Arial"/>
                <w:b/>
                <w:bCs/>
                <w:sz w:val="18"/>
                <w:szCs w:val="18"/>
              </w:rPr>
            </w:pPr>
            <w:r w:rsidRPr="000C7B40">
              <w:rPr>
                <w:rFonts w:ascii="Arial" w:hAnsi="Arial" w:cs="Arial"/>
                <w:b/>
                <w:bCs/>
                <w:sz w:val="18"/>
                <w:szCs w:val="18"/>
              </w:rPr>
              <w:t>Risk</w:t>
            </w:r>
          </w:p>
        </w:tc>
        <w:tc>
          <w:tcPr>
            <w:tcW w:w="5103" w:type="dxa"/>
            <w:tcBorders>
              <w:top w:val="single" w:sz="4" w:space="0" w:color="auto"/>
              <w:bottom w:val="single" w:sz="4" w:space="0" w:color="auto"/>
            </w:tcBorders>
            <w:shd w:val="clear" w:color="auto" w:fill="B8CCE4" w:themeFill="accent1" w:themeFillTint="66"/>
            <w:vAlign w:val="center"/>
          </w:tcPr>
          <w:p w14:paraId="27CE5514" w14:textId="77777777" w:rsidR="00971C84" w:rsidRPr="000C7B40" w:rsidRDefault="00971C84" w:rsidP="00971C84">
            <w:pPr>
              <w:keepNext/>
              <w:keepLines/>
              <w:jc w:val="center"/>
              <w:rPr>
                <w:rFonts w:ascii="Arial" w:hAnsi="Arial" w:cs="Arial"/>
                <w:b/>
                <w:bCs/>
                <w:sz w:val="18"/>
                <w:szCs w:val="18"/>
              </w:rPr>
            </w:pPr>
            <w:r w:rsidRPr="000C7B40">
              <w:rPr>
                <w:rFonts w:ascii="Arial" w:hAnsi="Arial" w:cs="Arial"/>
                <w:b/>
                <w:bCs/>
                <w:sz w:val="18"/>
                <w:szCs w:val="18"/>
              </w:rPr>
              <w:t>Mitigation</w:t>
            </w:r>
          </w:p>
        </w:tc>
      </w:tr>
      <w:tr w:rsidR="00971C84" w:rsidRPr="000C7B40" w14:paraId="1DF7F4AC" w14:textId="77777777" w:rsidTr="004E671F">
        <w:trPr>
          <w:trHeight w:val="764"/>
        </w:trPr>
        <w:tc>
          <w:tcPr>
            <w:tcW w:w="4111" w:type="dxa"/>
            <w:tcBorders>
              <w:top w:val="single" w:sz="4" w:space="0" w:color="auto"/>
              <w:bottom w:val="single" w:sz="4" w:space="0" w:color="auto"/>
            </w:tcBorders>
            <w:shd w:val="clear" w:color="auto" w:fill="auto"/>
            <w:tcMar>
              <w:top w:w="72" w:type="dxa"/>
              <w:left w:w="72" w:type="dxa"/>
              <w:bottom w:w="72" w:type="dxa"/>
              <w:right w:w="72" w:type="dxa"/>
            </w:tcMar>
          </w:tcPr>
          <w:p w14:paraId="47F33033" w14:textId="77777777" w:rsidR="00971C84" w:rsidRPr="000C7B40" w:rsidRDefault="00971C84" w:rsidP="00971C84">
            <w:pPr>
              <w:keepNext/>
              <w:keepLines/>
              <w:rPr>
                <w:sz w:val="16"/>
                <w:szCs w:val="16"/>
              </w:rPr>
            </w:pPr>
            <w:r w:rsidRPr="000C7B40">
              <w:rPr>
                <w:rFonts w:ascii="Arial" w:hAnsi="Arial" w:cs="Arial"/>
                <w:sz w:val="16"/>
                <w:szCs w:val="16"/>
              </w:rPr>
              <w:t>Decisions/actions taken at the international level within the UN and other intergovernmental processes are detrimental to the international IP system.</w:t>
            </w:r>
          </w:p>
        </w:tc>
        <w:tc>
          <w:tcPr>
            <w:tcW w:w="5103" w:type="dxa"/>
            <w:tcBorders>
              <w:top w:val="single" w:sz="4" w:space="0" w:color="auto"/>
              <w:bottom w:val="single" w:sz="4" w:space="0" w:color="auto"/>
            </w:tcBorders>
            <w:shd w:val="clear" w:color="auto" w:fill="auto"/>
            <w:tcMar>
              <w:top w:w="72" w:type="dxa"/>
              <w:left w:w="72" w:type="dxa"/>
              <w:bottom w:w="72" w:type="dxa"/>
              <w:right w:w="72" w:type="dxa"/>
            </w:tcMar>
          </w:tcPr>
          <w:p w14:paraId="578CF4BC" w14:textId="77777777" w:rsidR="00971C84" w:rsidRPr="000C7B40" w:rsidRDefault="00971C84" w:rsidP="00971C84">
            <w:pPr>
              <w:keepNext/>
              <w:keepLines/>
              <w:rPr>
                <w:rFonts w:ascii="Arial" w:hAnsi="Arial" w:cs="Arial"/>
                <w:sz w:val="16"/>
                <w:szCs w:val="16"/>
              </w:rPr>
            </w:pPr>
            <w:r w:rsidRPr="000C7B40">
              <w:rPr>
                <w:rFonts w:ascii="Arial" w:hAnsi="Arial" w:cs="Arial"/>
                <w:sz w:val="16"/>
                <w:szCs w:val="16"/>
              </w:rPr>
              <w:t>Active engagement in major UN processes and ensuring an effective network of contacts within the UN Secretariat and UN Permanent Missions.</w:t>
            </w:r>
          </w:p>
          <w:p w14:paraId="5595B2D4" w14:textId="77777777" w:rsidR="00971C84" w:rsidRPr="00E9644C" w:rsidRDefault="00971C84" w:rsidP="00971C84">
            <w:pPr>
              <w:keepNext/>
              <w:keepLines/>
              <w:rPr>
                <w:rFonts w:ascii="Arial" w:hAnsi="Arial" w:cs="Arial"/>
                <w:sz w:val="8"/>
                <w:szCs w:val="8"/>
              </w:rPr>
            </w:pPr>
          </w:p>
          <w:p w14:paraId="6AFA4362" w14:textId="77777777" w:rsidR="00971C84" w:rsidRPr="000C7B40" w:rsidRDefault="00971C84" w:rsidP="00971C84">
            <w:pPr>
              <w:keepNext/>
              <w:keepLines/>
              <w:rPr>
                <w:rFonts w:ascii="Arial" w:hAnsi="Arial" w:cs="Arial"/>
                <w:color w:val="000000"/>
                <w:sz w:val="16"/>
                <w:szCs w:val="16"/>
              </w:rPr>
            </w:pPr>
            <w:r w:rsidRPr="000C7B40">
              <w:rPr>
                <w:rFonts w:ascii="Arial" w:hAnsi="Arial" w:cs="Arial"/>
                <w:sz w:val="16"/>
                <w:szCs w:val="16"/>
              </w:rPr>
              <w:t>Supporting a balanced and inclusive IP perspective by providing a space for all WIPO stakeholders (NGOs and business) to have a voice in WIPO's work.</w:t>
            </w:r>
          </w:p>
        </w:tc>
      </w:tr>
    </w:tbl>
    <w:p w14:paraId="44F321BA" w14:textId="77777777" w:rsidR="00971C84" w:rsidRDefault="00971C84" w:rsidP="00971C84">
      <w:pPr>
        <w:rPr>
          <w:rFonts w:ascii="Arial" w:hAnsi="Arial" w:cs="Arial"/>
        </w:rPr>
      </w:pPr>
    </w:p>
    <w:p w14:paraId="3E61AFE4" w14:textId="77777777" w:rsidR="00971C84" w:rsidRDefault="00971C84" w:rsidP="00971C84">
      <w:pPr>
        <w:rPr>
          <w:rFonts w:ascii="Arial" w:hAnsi="Arial" w:cs="Arial"/>
        </w:rPr>
      </w:pPr>
    </w:p>
    <w:p w14:paraId="44A59711" w14:textId="77777777" w:rsidR="00971C84" w:rsidRDefault="00971C84" w:rsidP="00971C84">
      <w:pPr>
        <w:rPr>
          <w:rFonts w:ascii="Arial" w:hAnsi="Arial" w:cs="Arial"/>
        </w:rPr>
      </w:pPr>
      <w:r w:rsidRPr="00934801">
        <w:rPr>
          <w:rFonts w:ascii="Arial" w:hAnsi="Arial" w:cs="Arial"/>
          <w:bCs/>
        </w:rPr>
        <w:t>RESULTS FRAMEWORK</w:t>
      </w:r>
    </w:p>
    <w:p w14:paraId="1FA14DD4" w14:textId="77777777" w:rsidR="00971C84" w:rsidRDefault="00971C84" w:rsidP="00971C84">
      <w:pPr>
        <w:jc w:val="both"/>
        <w:rPr>
          <w:rFonts w:ascii="Arial" w:hAnsi="Arial" w:cs="Arial"/>
          <w:bCs/>
          <w:lang w:eastAsia="zh-CN"/>
        </w:rPr>
      </w:pPr>
    </w:p>
    <w:tbl>
      <w:tblPr>
        <w:tblW w:w="9195" w:type="dxa"/>
        <w:tblInd w:w="93" w:type="dxa"/>
        <w:tblBorders>
          <w:top w:val="single" w:sz="4" w:space="0" w:color="auto"/>
          <w:left w:val="single" w:sz="4" w:space="0" w:color="auto"/>
          <w:right w:val="single" w:sz="4" w:space="0" w:color="auto"/>
          <w:insideH w:val="single" w:sz="4" w:space="0" w:color="auto"/>
        </w:tblBorders>
        <w:tblLook w:val="04A0" w:firstRow="1" w:lastRow="0" w:firstColumn="1" w:lastColumn="0" w:noHBand="0" w:noVBand="1"/>
      </w:tblPr>
      <w:tblGrid>
        <w:gridCol w:w="2160"/>
        <w:gridCol w:w="2880"/>
        <w:gridCol w:w="2840"/>
        <w:gridCol w:w="1315"/>
      </w:tblGrid>
      <w:tr w:rsidR="00971C84" w:rsidRPr="00870F2F" w14:paraId="226DA695" w14:textId="77777777" w:rsidTr="00F7225F">
        <w:trPr>
          <w:trHeight w:val="570"/>
        </w:trPr>
        <w:tc>
          <w:tcPr>
            <w:tcW w:w="2160" w:type="dxa"/>
            <w:tcBorders>
              <w:bottom w:val="single" w:sz="4" w:space="0" w:color="auto"/>
            </w:tcBorders>
            <w:shd w:val="clear" w:color="auto" w:fill="B8CCE4" w:themeFill="accent1" w:themeFillTint="66"/>
            <w:noWrap/>
            <w:vAlign w:val="center"/>
            <w:hideMark/>
          </w:tcPr>
          <w:p w14:paraId="0A339204" w14:textId="77777777" w:rsidR="00971C84" w:rsidRPr="00870F2F" w:rsidRDefault="00971C84" w:rsidP="00971C84">
            <w:pPr>
              <w:jc w:val="center"/>
              <w:rPr>
                <w:rFonts w:ascii="Arial" w:hAnsi="Arial" w:cs="Arial"/>
                <w:b/>
                <w:bCs/>
                <w:color w:val="000000"/>
                <w:sz w:val="18"/>
                <w:szCs w:val="18"/>
              </w:rPr>
            </w:pPr>
            <w:r w:rsidRPr="00870F2F">
              <w:rPr>
                <w:rFonts w:ascii="Arial" w:hAnsi="Arial" w:cs="Arial"/>
                <w:b/>
                <w:bCs/>
                <w:color w:val="000000"/>
                <w:sz w:val="18"/>
                <w:szCs w:val="18"/>
              </w:rPr>
              <w:t xml:space="preserve">Expected Results </w:t>
            </w:r>
          </w:p>
        </w:tc>
        <w:tc>
          <w:tcPr>
            <w:tcW w:w="2880" w:type="dxa"/>
            <w:tcBorders>
              <w:bottom w:val="single" w:sz="4" w:space="0" w:color="auto"/>
            </w:tcBorders>
            <w:shd w:val="clear" w:color="auto" w:fill="B8CCE4" w:themeFill="accent1" w:themeFillTint="66"/>
            <w:noWrap/>
            <w:vAlign w:val="center"/>
            <w:hideMark/>
          </w:tcPr>
          <w:p w14:paraId="77754851" w14:textId="77777777" w:rsidR="00971C84" w:rsidRPr="00870F2F" w:rsidRDefault="00971C84" w:rsidP="00971C84">
            <w:pPr>
              <w:jc w:val="center"/>
              <w:rPr>
                <w:rFonts w:ascii="Arial" w:hAnsi="Arial" w:cs="Arial"/>
                <w:b/>
                <w:bCs/>
                <w:color w:val="000000"/>
                <w:sz w:val="18"/>
                <w:szCs w:val="18"/>
              </w:rPr>
            </w:pPr>
            <w:r w:rsidRPr="00870F2F">
              <w:rPr>
                <w:rFonts w:ascii="Arial" w:hAnsi="Arial" w:cs="Arial"/>
                <w:b/>
                <w:bCs/>
                <w:color w:val="000000"/>
                <w:sz w:val="18"/>
                <w:szCs w:val="18"/>
              </w:rPr>
              <w:t>Performance Indicators</w:t>
            </w:r>
          </w:p>
        </w:tc>
        <w:tc>
          <w:tcPr>
            <w:tcW w:w="2840" w:type="dxa"/>
            <w:tcBorders>
              <w:bottom w:val="single" w:sz="4" w:space="0" w:color="auto"/>
            </w:tcBorders>
            <w:shd w:val="clear" w:color="auto" w:fill="B8CCE4" w:themeFill="accent1" w:themeFillTint="66"/>
            <w:noWrap/>
            <w:vAlign w:val="center"/>
            <w:hideMark/>
          </w:tcPr>
          <w:p w14:paraId="69643359" w14:textId="77777777" w:rsidR="00971C84" w:rsidRPr="00870F2F" w:rsidRDefault="00971C84" w:rsidP="00971C84">
            <w:pPr>
              <w:jc w:val="center"/>
              <w:rPr>
                <w:rFonts w:ascii="Arial" w:hAnsi="Arial" w:cs="Arial"/>
                <w:b/>
                <w:bCs/>
                <w:color w:val="000000"/>
                <w:sz w:val="18"/>
                <w:szCs w:val="18"/>
              </w:rPr>
            </w:pPr>
            <w:r w:rsidRPr="00870F2F">
              <w:rPr>
                <w:rFonts w:ascii="Arial" w:hAnsi="Arial" w:cs="Arial"/>
                <w:b/>
                <w:bCs/>
                <w:color w:val="000000"/>
                <w:sz w:val="18"/>
                <w:szCs w:val="18"/>
              </w:rPr>
              <w:t xml:space="preserve"> Baselines</w:t>
            </w:r>
          </w:p>
        </w:tc>
        <w:tc>
          <w:tcPr>
            <w:tcW w:w="1315" w:type="dxa"/>
            <w:tcBorders>
              <w:bottom w:val="single" w:sz="4" w:space="0" w:color="auto"/>
            </w:tcBorders>
            <w:shd w:val="clear" w:color="auto" w:fill="B8CCE4" w:themeFill="accent1" w:themeFillTint="66"/>
            <w:noWrap/>
            <w:vAlign w:val="center"/>
            <w:hideMark/>
          </w:tcPr>
          <w:p w14:paraId="4412DB23" w14:textId="77777777" w:rsidR="00971C84" w:rsidRPr="00870F2F" w:rsidRDefault="00971C84" w:rsidP="00971C84">
            <w:pPr>
              <w:jc w:val="center"/>
              <w:rPr>
                <w:rFonts w:ascii="Arial" w:hAnsi="Arial" w:cs="Arial"/>
                <w:b/>
                <w:bCs/>
                <w:color w:val="000000"/>
                <w:sz w:val="18"/>
                <w:szCs w:val="18"/>
              </w:rPr>
            </w:pPr>
            <w:r w:rsidRPr="00870F2F">
              <w:rPr>
                <w:rFonts w:ascii="Arial" w:hAnsi="Arial" w:cs="Arial"/>
                <w:b/>
                <w:bCs/>
                <w:color w:val="000000"/>
                <w:sz w:val="18"/>
                <w:szCs w:val="18"/>
              </w:rPr>
              <w:t xml:space="preserve"> Targets</w:t>
            </w:r>
          </w:p>
        </w:tc>
      </w:tr>
      <w:tr w:rsidR="00971C84" w:rsidRPr="00870F2F" w14:paraId="7187CF93" w14:textId="77777777" w:rsidTr="00F7225F">
        <w:trPr>
          <w:trHeight w:val="1859"/>
        </w:trPr>
        <w:tc>
          <w:tcPr>
            <w:tcW w:w="2160" w:type="dxa"/>
            <w:tcBorders>
              <w:bottom w:val="single" w:sz="4" w:space="0" w:color="auto"/>
            </w:tcBorders>
            <w:shd w:val="clear" w:color="000000" w:fill="FFFFFF"/>
            <w:hideMark/>
          </w:tcPr>
          <w:p w14:paraId="0CD94BD6" w14:textId="16FB2F40" w:rsidR="00971C84" w:rsidRDefault="00971C84" w:rsidP="00971C84">
            <w:pPr>
              <w:rPr>
                <w:rFonts w:ascii="Arial" w:hAnsi="Arial" w:cs="Arial"/>
                <w:color w:val="000000"/>
                <w:sz w:val="16"/>
                <w:szCs w:val="16"/>
              </w:rPr>
            </w:pPr>
            <w:r w:rsidRPr="00870F2F">
              <w:rPr>
                <w:rFonts w:ascii="Arial" w:hAnsi="Arial" w:cs="Arial"/>
                <w:color w:val="000000"/>
                <w:sz w:val="16"/>
                <w:szCs w:val="16"/>
              </w:rPr>
              <w:br/>
              <w:t>VIII.5 WIPO effectively interacts and partners with UN and other IGO processes and negotiations</w:t>
            </w:r>
            <w:r w:rsidRPr="00BE1D07">
              <w:rPr>
                <w:rFonts w:ascii="Arial" w:hAnsi="Arial" w:cs="Arial"/>
                <w:color w:val="000000"/>
                <w:sz w:val="16"/>
                <w:szCs w:val="16"/>
              </w:rPr>
              <w:t xml:space="preserve"> </w:t>
            </w:r>
          </w:p>
          <w:p w14:paraId="073F0CB0" w14:textId="77777777" w:rsidR="00971C84" w:rsidRPr="00870F2F" w:rsidRDefault="00971C84" w:rsidP="00971C84">
            <w:pPr>
              <w:rPr>
                <w:rFonts w:ascii="Arial" w:hAnsi="Arial" w:cs="Arial"/>
                <w:color w:val="000000"/>
                <w:sz w:val="16"/>
                <w:szCs w:val="16"/>
              </w:rPr>
            </w:pPr>
          </w:p>
        </w:tc>
        <w:tc>
          <w:tcPr>
            <w:tcW w:w="2880" w:type="dxa"/>
            <w:tcBorders>
              <w:bottom w:val="single" w:sz="4" w:space="0" w:color="auto"/>
            </w:tcBorders>
            <w:shd w:val="clear" w:color="000000" w:fill="FFFFFF"/>
            <w:hideMark/>
          </w:tcPr>
          <w:p w14:paraId="65026525" w14:textId="13D4FE08" w:rsidR="00971C84" w:rsidRDefault="00971C84" w:rsidP="00971C84">
            <w:pPr>
              <w:jc w:val="both"/>
              <w:rPr>
                <w:rFonts w:ascii="Arial" w:hAnsi="Arial" w:cs="Arial"/>
                <w:color w:val="000000"/>
                <w:sz w:val="16"/>
                <w:szCs w:val="16"/>
              </w:rPr>
            </w:pPr>
            <w:r w:rsidRPr="00870F2F">
              <w:rPr>
                <w:rFonts w:ascii="Arial" w:hAnsi="Arial" w:cs="Arial"/>
                <w:color w:val="000000"/>
                <w:sz w:val="16"/>
                <w:szCs w:val="16"/>
              </w:rPr>
              <w:t xml:space="preserve"> </w:t>
            </w:r>
            <w:r w:rsidRPr="00870F2F">
              <w:rPr>
                <w:rFonts w:ascii="Arial" w:hAnsi="Arial" w:cs="Arial"/>
                <w:color w:val="000000"/>
                <w:sz w:val="16"/>
                <w:szCs w:val="16"/>
              </w:rPr>
              <w:br/>
              <w:t>WIPO's contributions reflected in UN and IGO reports, resolutions and documents from relevant, targeted processes</w:t>
            </w:r>
          </w:p>
          <w:p w14:paraId="27EF2D0F" w14:textId="77777777" w:rsidR="00971C84" w:rsidRDefault="00971C84" w:rsidP="00971C84">
            <w:pPr>
              <w:jc w:val="both"/>
              <w:rPr>
                <w:rFonts w:ascii="Arial" w:hAnsi="Arial" w:cs="Arial"/>
                <w:color w:val="000000"/>
                <w:sz w:val="16"/>
                <w:szCs w:val="16"/>
              </w:rPr>
            </w:pPr>
          </w:p>
          <w:p w14:paraId="1DA07284" w14:textId="77777777" w:rsidR="00971C84" w:rsidRPr="00870F2F" w:rsidRDefault="00971C84" w:rsidP="00971C84">
            <w:pPr>
              <w:jc w:val="both"/>
              <w:rPr>
                <w:rFonts w:ascii="Arial" w:hAnsi="Arial" w:cs="Arial"/>
                <w:color w:val="000000"/>
                <w:sz w:val="16"/>
                <w:szCs w:val="16"/>
              </w:rPr>
            </w:pPr>
            <w:r w:rsidRPr="00870F2F">
              <w:rPr>
                <w:rFonts w:ascii="Arial" w:hAnsi="Arial" w:cs="Arial"/>
                <w:color w:val="000000"/>
                <w:sz w:val="16"/>
                <w:szCs w:val="16"/>
              </w:rPr>
              <w:t>No. of WIPO-led initiatives in partnership with UN and other IGOs to implementation of the SDGs</w:t>
            </w:r>
          </w:p>
        </w:tc>
        <w:tc>
          <w:tcPr>
            <w:tcW w:w="2840" w:type="dxa"/>
            <w:tcBorders>
              <w:bottom w:val="single" w:sz="4" w:space="0" w:color="auto"/>
            </w:tcBorders>
            <w:shd w:val="clear" w:color="000000" w:fill="FFFFFF"/>
            <w:hideMark/>
          </w:tcPr>
          <w:p w14:paraId="2B8D6A3F" w14:textId="7088B115" w:rsidR="00971C84" w:rsidRDefault="00971C84" w:rsidP="003E305D">
            <w:pPr>
              <w:ind w:left="87"/>
              <w:rPr>
                <w:rFonts w:ascii="Arial" w:hAnsi="Arial" w:cs="Arial"/>
                <w:color w:val="000000"/>
                <w:sz w:val="16"/>
                <w:szCs w:val="16"/>
              </w:rPr>
            </w:pPr>
            <w:r w:rsidRPr="00870F2F">
              <w:rPr>
                <w:rFonts w:ascii="Arial" w:hAnsi="Arial" w:cs="Arial"/>
                <w:color w:val="000000"/>
                <w:sz w:val="16"/>
                <w:szCs w:val="16"/>
              </w:rPr>
              <w:t xml:space="preserve"> </w:t>
            </w:r>
            <w:r w:rsidRPr="00870F2F">
              <w:rPr>
                <w:rFonts w:ascii="Arial" w:hAnsi="Arial" w:cs="Arial"/>
                <w:color w:val="000000"/>
                <w:sz w:val="16"/>
                <w:szCs w:val="16"/>
              </w:rPr>
              <w:br/>
              <w:t xml:space="preserve">2012/13 – 38 out of 38; </w:t>
            </w:r>
          </w:p>
          <w:p w14:paraId="6B31C65B" w14:textId="77777777" w:rsidR="00971C84" w:rsidRDefault="00971C84" w:rsidP="00971C84">
            <w:pPr>
              <w:ind w:left="87"/>
              <w:rPr>
                <w:rFonts w:ascii="Arial" w:hAnsi="Arial" w:cs="Arial"/>
                <w:color w:val="000000"/>
                <w:sz w:val="16"/>
                <w:szCs w:val="16"/>
              </w:rPr>
            </w:pPr>
            <w:r w:rsidRPr="00870F2F">
              <w:rPr>
                <w:rFonts w:ascii="Arial" w:hAnsi="Arial" w:cs="Arial"/>
                <w:color w:val="000000"/>
                <w:sz w:val="16"/>
                <w:szCs w:val="16"/>
              </w:rPr>
              <w:t>2014 12 out of 15, 3 on-going</w:t>
            </w:r>
          </w:p>
          <w:p w14:paraId="6F93783B" w14:textId="77777777" w:rsidR="00971C84" w:rsidRDefault="00971C84" w:rsidP="00971C84">
            <w:pPr>
              <w:ind w:left="87"/>
              <w:rPr>
                <w:rFonts w:ascii="Arial" w:hAnsi="Arial" w:cs="Arial"/>
                <w:color w:val="000000"/>
                <w:sz w:val="16"/>
                <w:szCs w:val="16"/>
              </w:rPr>
            </w:pPr>
          </w:p>
          <w:p w14:paraId="07787449" w14:textId="77777777" w:rsidR="00971C84" w:rsidRDefault="00971C84" w:rsidP="00971C84">
            <w:pPr>
              <w:ind w:left="87"/>
              <w:rPr>
                <w:rFonts w:ascii="Arial" w:hAnsi="Arial" w:cs="Arial"/>
                <w:color w:val="000000"/>
                <w:sz w:val="16"/>
                <w:szCs w:val="16"/>
              </w:rPr>
            </w:pPr>
          </w:p>
          <w:p w14:paraId="3311C9F2" w14:textId="77777777" w:rsidR="00971C84" w:rsidRDefault="00971C84" w:rsidP="00971C84">
            <w:pPr>
              <w:ind w:left="87"/>
              <w:rPr>
                <w:rFonts w:ascii="Arial" w:hAnsi="Arial" w:cs="Arial"/>
                <w:color w:val="000000"/>
                <w:sz w:val="16"/>
                <w:szCs w:val="16"/>
              </w:rPr>
            </w:pPr>
          </w:p>
          <w:p w14:paraId="4C7D0FF2" w14:textId="77777777" w:rsidR="00971C84" w:rsidRDefault="00971C84" w:rsidP="00971C84">
            <w:pPr>
              <w:ind w:left="87"/>
              <w:rPr>
                <w:rFonts w:ascii="Arial" w:hAnsi="Arial" w:cs="Arial"/>
                <w:color w:val="000000"/>
                <w:sz w:val="16"/>
                <w:szCs w:val="16"/>
              </w:rPr>
            </w:pPr>
            <w:r>
              <w:rPr>
                <w:rFonts w:ascii="Arial" w:hAnsi="Arial" w:cs="Arial"/>
                <w:color w:val="000000"/>
                <w:sz w:val="16"/>
                <w:szCs w:val="16"/>
              </w:rPr>
              <w:t>None</w:t>
            </w:r>
          </w:p>
          <w:p w14:paraId="74D9983E" w14:textId="2CAB8A53" w:rsidR="00971C84" w:rsidRPr="00870F2F" w:rsidRDefault="00971C84" w:rsidP="00971C84">
            <w:pPr>
              <w:ind w:left="87"/>
              <w:rPr>
                <w:rFonts w:ascii="Arial" w:hAnsi="Arial" w:cs="Arial"/>
                <w:color w:val="000000"/>
                <w:sz w:val="16"/>
                <w:szCs w:val="16"/>
              </w:rPr>
            </w:pPr>
          </w:p>
        </w:tc>
        <w:tc>
          <w:tcPr>
            <w:tcW w:w="1315" w:type="dxa"/>
            <w:tcBorders>
              <w:bottom w:val="single" w:sz="4" w:space="0" w:color="auto"/>
            </w:tcBorders>
            <w:shd w:val="clear" w:color="000000" w:fill="FFFFFF"/>
            <w:hideMark/>
          </w:tcPr>
          <w:p w14:paraId="7D34D652" w14:textId="48C0DBCC" w:rsidR="00971C84" w:rsidRDefault="00971C84" w:rsidP="00971C84">
            <w:pPr>
              <w:rPr>
                <w:rFonts w:ascii="Arial" w:hAnsi="Arial" w:cs="Arial"/>
                <w:color w:val="000000"/>
                <w:sz w:val="16"/>
                <w:szCs w:val="16"/>
              </w:rPr>
            </w:pPr>
            <w:r w:rsidRPr="00870F2F">
              <w:rPr>
                <w:rFonts w:ascii="Arial" w:hAnsi="Arial" w:cs="Arial"/>
                <w:color w:val="000000"/>
                <w:sz w:val="16"/>
                <w:szCs w:val="16"/>
              </w:rPr>
              <w:br/>
              <w:t>80%</w:t>
            </w:r>
          </w:p>
          <w:p w14:paraId="6F0F0A89" w14:textId="77777777" w:rsidR="00971C84" w:rsidRDefault="00971C84" w:rsidP="00971C84">
            <w:pPr>
              <w:ind w:firstLineChars="200" w:firstLine="320"/>
              <w:rPr>
                <w:rFonts w:ascii="Arial" w:hAnsi="Arial" w:cs="Arial"/>
                <w:color w:val="000000"/>
                <w:sz w:val="16"/>
                <w:szCs w:val="16"/>
              </w:rPr>
            </w:pPr>
          </w:p>
          <w:p w14:paraId="2F1428A0" w14:textId="77777777" w:rsidR="00971C84" w:rsidRDefault="00971C84" w:rsidP="00971C84">
            <w:pPr>
              <w:ind w:firstLineChars="200" w:firstLine="320"/>
              <w:rPr>
                <w:rFonts w:ascii="Arial" w:hAnsi="Arial" w:cs="Arial"/>
                <w:color w:val="000000"/>
                <w:sz w:val="16"/>
                <w:szCs w:val="16"/>
              </w:rPr>
            </w:pPr>
          </w:p>
          <w:p w14:paraId="33674988" w14:textId="77777777" w:rsidR="00971C84" w:rsidRDefault="00971C84" w:rsidP="00971C84">
            <w:pPr>
              <w:rPr>
                <w:rFonts w:ascii="Arial" w:hAnsi="Arial" w:cs="Arial"/>
                <w:color w:val="000000"/>
                <w:sz w:val="16"/>
                <w:szCs w:val="16"/>
              </w:rPr>
            </w:pPr>
          </w:p>
          <w:p w14:paraId="1C7CC438" w14:textId="77777777" w:rsidR="00971C84" w:rsidRDefault="00971C84" w:rsidP="00971C84">
            <w:pPr>
              <w:rPr>
                <w:rFonts w:ascii="Arial" w:hAnsi="Arial" w:cs="Arial"/>
                <w:color w:val="000000"/>
                <w:sz w:val="16"/>
                <w:szCs w:val="16"/>
              </w:rPr>
            </w:pPr>
          </w:p>
          <w:p w14:paraId="79805BB3" w14:textId="77777777" w:rsidR="00971C84" w:rsidRDefault="00971C84" w:rsidP="004E671F">
            <w:pPr>
              <w:rPr>
                <w:rFonts w:ascii="Arial" w:hAnsi="Arial" w:cs="Arial"/>
                <w:color w:val="000000"/>
                <w:sz w:val="16"/>
                <w:szCs w:val="16"/>
              </w:rPr>
            </w:pPr>
            <w:r>
              <w:rPr>
                <w:rFonts w:ascii="Arial" w:hAnsi="Arial" w:cs="Arial"/>
                <w:color w:val="000000"/>
                <w:sz w:val="16"/>
                <w:szCs w:val="16"/>
              </w:rPr>
              <w:t>5</w:t>
            </w:r>
          </w:p>
          <w:p w14:paraId="4C4AED8B" w14:textId="77777777" w:rsidR="00971C84" w:rsidRPr="00870F2F" w:rsidRDefault="00971C84" w:rsidP="004E671F">
            <w:pPr>
              <w:rPr>
                <w:rFonts w:ascii="Arial" w:hAnsi="Arial" w:cs="Arial"/>
                <w:color w:val="000000"/>
                <w:sz w:val="16"/>
                <w:szCs w:val="16"/>
              </w:rPr>
            </w:pPr>
          </w:p>
        </w:tc>
      </w:tr>
    </w:tbl>
    <w:p w14:paraId="023331B1" w14:textId="77777777" w:rsidR="00971C84" w:rsidRDefault="00971C84" w:rsidP="00971C84">
      <w:pPr>
        <w:jc w:val="both"/>
        <w:rPr>
          <w:rFonts w:ascii="Arial" w:hAnsi="Arial" w:cs="Arial"/>
          <w:bCs/>
          <w:lang w:eastAsia="zh-CN"/>
        </w:rPr>
      </w:pPr>
    </w:p>
    <w:p w14:paraId="51E04B1D" w14:textId="77777777" w:rsidR="00971C84" w:rsidRDefault="00971C84">
      <w:pPr>
        <w:rPr>
          <w:rFonts w:ascii="Arial" w:hAnsi="Arial" w:cs="Arial"/>
          <w:sz w:val="20"/>
          <w:lang w:eastAsia="zh-CN"/>
        </w:rPr>
      </w:pPr>
    </w:p>
    <w:p w14:paraId="24AE6A08" w14:textId="5EC18621" w:rsidR="00971C84" w:rsidRPr="00FB68E0" w:rsidRDefault="00971C84" w:rsidP="008B4CD5">
      <w:pPr>
        <w:pStyle w:val="Body"/>
        <w:keepNext/>
        <w:keepLines/>
        <w:rPr>
          <w:b/>
        </w:rPr>
      </w:pPr>
      <w:r w:rsidRPr="00FB68E0">
        <w:rPr>
          <w:b/>
        </w:rPr>
        <w:t>EXTERNAL OFFICES</w:t>
      </w:r>
    </w:p>
    <w:p w14:paraId="52268E38" w14:textId="77777777" w:rsidR="00971C84" w:rsidRDefault="00971C84" w:rsidP="008B4CD5">
      <w:pPr>
        <w:keepNext/>
        <w:keepLines/>
        <w:rPr>
          <w:rFonts w:ascii="Arial" w:hAnsi="Arial" w:cs="Arial"/>
        </w:rPr>
      </w:pPr>
    </w:p>
    <w:p w14:paraId="446CE74B" w14:textId="77777777" w:rsidR="00AA007C" w:rsidRDefault="00AA007C" w:rsidP="008B4CD5">
      <w:pPr>
        <w:keepNext/>
        <w:keepLines/>
        <w:rPr>
          <w:rFonts w:ascii="Arial" w:hAnsi="Arial" w:cs="Arial"/>
        </w:rPr>
      </w:pPr>
    </w:p>
    <w:p w14:paraId="2C2AE7F7" w14:textId="77777777" w:rsidR="00971C84" w:rsidRPr="004A5DFE" w:rsidRDefault="00971C84" w:rsidP="008B4CD5">
      <w:pPr>
        <w:keepNext/>
        <w:keepLines/>
        <w:rPr>
          <w:rFonts w:ascii="Arial" w:hAnsi="Arial" w:cs="Arial"/>
        </w:rPr>
      </w:pPr>
      <w:r w:rsidRPr="004A5DFE">
        <w:rPr>
          <w:rFonts w:ascii="Arial" w:hAnsi="Arial" w:cs="Arial"/>
        </w:rPr>
        <w:t>PLANNING CONTEXT</w:t>
      </w:r>
    </w:p>
    <w:p w14:paraId="0511BE9C" w14:textId="77777777" w:rsidR="00971C84" w:rsidRDefault="00971C84" w:rsidP="008B4CD5">
      <w:pPr>
        <w:keepNext/>
        <w:keepLines/>
        <w:rPr>
          <w:rFonts w:ascii="Arial" w:hAnsi="Arial" w:cs="Arial"/>
        </w:rPr>
      </w:pPr>
    </w:p>
    <w:p w14:paraId="14CA0BEA" w14:textId="7C920902" w:rsidR="00971C84" w:rsidRPr="00785BEE" w:rsidRDefault="00971C84" w:rsidP="00B66A4A">
      <w:pPr>
        <w:keepNext/>
        <w:keepLines/>
        <w:numPr>
          <w:ilvl w:val="0"/>
          <w:numId w:val="72"/>
        </w:numPr>
        <w:jc w:val="both"/>
        <w:rPr>
          <w:rFonts w:ascii="Arial" w:hAnsi="Arial" w:cs="Arial"/>
          <w:sz w:val="20"/>
        </w:rPr>
      </w:pPr>
      <w:r w:rsidRPr="00785BEE">
        <w:rPr>
          <w:rFonts w:ascii="Arial" w:hAnsi="Arial" w:cs="Arial"/>
          <w:sz w:val="20"/>
        </w:rPr>
        <w:t xml:space="preserve">The establishment of a network of WIPO External Offices commenced over ten years ago and at present comprises five offices: the WIPO Singapore Office (established in 2005), the WIPO Japan Office (established in 2006), the WIPO Brazil Office (established in 2010), the WIPO Office </w:t>
      </w:r>
      <w:r w:rsidR="00371BF2">
        <w:rPr>
          <w:rFonts w:ascii="Arial" w:hAnsi="Arial" w:cs="Arial"/>
          <w:sz w:val="20"/>
        </w:rPr>
        <w:t xml:space="preserve">in </w:t>
      </w:r>
      <w:r w:rsidR="00371BF2" w:rsidRPr="00785BEE">
        <w:rPr>
          <w:rFonts w:ascii="Arial" w:hAnsi="Arial" w:cs="Arial"/>
          <w:sz w:val="20"/>
        </w:rPr>
        <w:t xml:space="preserve">China </w:t>
      </w:r>
      <w:r w:rsidRPr="00785BEE">
        <w:rPr>
          <w:rFonts w:ascii="Arial" w:hAnsi="Arial" w:cs="Arial"/>
          <w:sz w:val="20"/>
        </w:rPr>
        <w:t xml:space="preserve">(established in 2014), and the WIPO Russia Office (established in 2014). </w:t>
      </w:r>
    </w:p>
    <w:p w14:paraId="2637CE0D" w14:textId="77777777" w:rsidR="00971C84" w:rsidRPr="00785BEE" w:rsidRDefault="00971C84" w:rsidP="00971C84">
      <w:pPr>
        <w:jc w:val="both"/>
        <w:rPr>
          <w:rFonts w:ascii="Arial" w:hAnsi="Arial" w:cs="Arial"/>
          <w:sz w:val="20"/>
        </w:rPr>
      </w:pPr>
    </w:p>
    <w:p w14:paraId="45E88B7C" w14:textId="5F5CD622"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WIPO’s External Offices form an integral part of the Organization, working with all </w:t>
      </w:r>
      <w:r>
        <w:rPr>
          <w:rFonts w:ascii="Arial" w:hAnsi="Arial" w:cs="Arial"/>
          <w:sz w:val="20"/>
        </w:rPr>
        <w:t>Programs</w:t>
      </w:r>
      <w:r w:rsidRPr="00785BEE">
        <w:rPr>
          <w:rFonts w:ascii="Arial" w:hAnsi="Arial" w:cs="Arial"/>
          <w:sz w:val="20"/>
        </w:rPr>
        <w:t xml:space="preserve"> </w:t>
      </w:r>
      <w:r>
        <w:rPr>
          <w:rFonts w:ascii="Arial" w:hAnsi="Arial" w:cs="Arial"/>
          <w:sz w:val="20"/>
        </w:rPr>
        <w:t>at</w:t>
      </w:r>
      <w:r w:rsidRPr="00785BEE">
        <w:rPr>
          <w:rFonts w:ascii="Arial" w:hAnsi="Arial" w:cs="Arial"/>
          <w:sz w:val="20"/>
        </w:rPr>
        <w:t xml:space="preserve"> Headquarters to contribute to the achievement of the Strategic Goals.  As such, the External Offices are an important physical extension of WIPO’s presence in the countries and/or surrounding region.  In this regard, they are ideally suited to bringing the Organization closer to its Member States and stakeholders.   </w:t>
      </w:r>
    </w:p>
    <w:p w14:paraId="053BE7D2" w14:textId="77777777" w:rsidR="00971C84" w:rsidRPr="00785BEE" w:rsidRDefault="00971C84" w:rsidP="00971C84">
      <w:pPr>
        <w:jc w:val="both"/>
        <w:rPr>
          <w:rFonts w:ascii="Arial" w:hAnsi="Arial" w:cs="Arial"/>
          <w:sz w:val="20"/>
        </w:rPr>
      </w:pPr>
    </w:p>
    <w:p w14:paraId="6639199C" w14:textId="57B7B115" w:rsidR="00971C84" w:rsidRPr="00785BEE" w:rsidRDefault="00971C84" w:rsidP="00B66A4A">
      <w:pPr>
        <w:numPr>
          <w:ilvl w:val="0"/>
          <w:numId w:val="72"/>
        </w:numPr>
        <w:jc w:val="both"/>
        <w:rPr>
          <w:rFonts w:ascii="Arial" w:hAnsi="Arial" w:cs="Arial"/>
          <w:sz w:val="20"/>
        </w:rPr>
      </w:pPr>
      <w:r w:rsidRPr="00785BEE">
        <w:rPr>
          <w:rFonts w:ascii="Arial" w:hAnsi="Arial" w:cs="Arial"/>
          <w:sz w:val="20"/>
        </w:rPr>
        <w:t>The establishment of the network of External Offices has been predicated upon the core principles that: (1) External Offices should add value, efficiency and effectiveness to program delivery</w:t>
      </w:r>
      <w:r>
        <w:rPr>
          <w:rFonts w:ascii="Arial" w:hAnsi="Arial" w:cs="Arial"/>
          <w:sz w:val="20"/>
        </w:rPr>
        <w:t xml:space="preserve"> </w:t>
      </w:r>
      <w:r w:rsidRPr="00785BEE">
        <w:rPr>
          <w:rFonts w:ascii="Arial" w:hAnsi="Arial" w:cs="Arial"/>
          <w:sz w:val="20"/>
        </w:rPr>
        <w:t xml:space="preserve">in a coordinated </w:t>
      </w:r>
      <w:r>
        <w:rPr>
          <w:rFonts w:ascii="Arial" w:hAnsi="Arial" w:cs="Arial"/>
          <w:sz w:val="20"/>
        </w:rPr>
        <w:t xml:space="preserve">manner </w:t>
      </w:r>
      <w:r w:rsidRPr="00785BEE">
        <w:rPr>
          <w:rFonts w:ascii="Arial" w:hAnsi="Arial" w:cs="Arial"/>
          <w:sz w:val="20"/>
        </w:rPr>
        <w:t xml:space="preserve">complementary </w:t>
      </w:r>
      <w:r>
        <w:rPr>
          <w:rFonts w:ascii="Arial" w:hAnsi="Arial" w:cs="Arial"/>
          <w:sz w:val="20"/>
        </w:rPr>
        <w:t xml:space="preserve">to the work at </w:t>
      </w:r>
      <w:r w:rsidRPr="00785BEE">
        <w:rPr>
          <w:rFonts w:ascii="Arial" w:hAnsi="Arial" w:cs="Arial"/>
          <w:sz w:val="20"/>
        </w:rPr>
        <w:t xml:space="preserve">Headquarters; (2) External Offices have different mixes of functions in response to local priorities and specificities; (3) External Offices </w:t>
      </w:r>
      <w:r>
        <w:rPr>
          <w:rFonts w:ascii="Arial" w:hAnsi="Arial" w:cs="Arial"/>
          <w:sz w:val="20"/>
        </w:rPr>
        <w:t>should</w:t>
      </w:r>
      <w:r w:rsidRPr="00785BEE">
        <w:rPr>
          <w:rFonts w:ascii="Arial" w:hAnsi="Arial" w:cs="Arial"/>
          <w:sz w:val="20"/>
        </w:rPr>
        <w:t xml:space="preserve"> be cost-effective; and (4) External Offices are an integral part of WIPO’s result based management and regulatory framework.</w:t>
      </w:r>
    </w:p>
    <w:p w14:paraId="379869F6" w14:textId="77777777" w:rsidR="00971C84" w:rsidRPr="00785BEE" w:rsidRDefault="00971C84" w:rsidP="00971C84">
      <w:pPr>
        <w:jc w:val="both"/>
        <w:rPr>
          <w:rFonts w:ascii="Arial" w:hAnsi="Arial" w:cs="Arial"/>
          <w:sz w:val="20"/>
        </w:rPr>
      </w:pPr>
    </w:p>
    <w:p w14:paraId="6D25D89B" w14:textId="1CEB6E1D"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In this context, WIPO’s External Offices have been contributing to the </w:t>
      </w:r>
      <w:r>
        <w:rPr>
          <w:rFonts w:ascii="Arial" w:hAnsi="Arial" w:cs="Arial"/>
          <w:sz w:val="20"/>
        </w:rPr>
        <w:t xml:space="preserve">Expected Results and </w:t>
      </w:r>
      <w:r w:rsidRPr="00785BEE">
        <w:rPr>
          <w:rFonts w:ascii="Arial" w:hAnsi="Arial" w:cs="Arial"/>
          <w:sz w:val="20"/>
        </w:rPr>
        <w:t>reali</w:t>
      </w:r>
      <w:r w:rsidR="003E305D">
        <w:rPr>
          <w:rFonts w:ascii="Arial" w:hAnsi="Arial" w:cs="Arial"/>
          <w:sz w:val="20"/>
        </w:rPr>
        <w:t>z</w:t>
      </w:r>
      <w:r w:rsidRPr="00785BEE">
        <w:rPr>
          <w:rFonts w:ascii="Arial" w:hAnsi="Arial" w:cs="Arial"/>
          <w:sz w:val="20"/>
        </w:rPr>
        <w:t>ation of WIPO Strategic Goals.  External Offices have</w:t>
      </w:r>
      <w:r>
        <w:rPr>
          <w:rFonts w:ascii="Arial" w:hAnsi="Arial" w:cs="Arial"/>
          <w:sz w:val="20"/>
        </w:rPr>
        <w:t xml:space="preserve"> </w:t>
      </w:r>
      <w:r w:rsidRPr="00785BEE">
        <w:rPr>
          <w:rFonts w:ascii="Arial" w:hAnsi="Arial" w:cs="Arial"/>
          <w:sz w:val="20"/>
        </w:rPr>
        <w:t xml:space="preserve">provided support services for WIPO’s Global IP Systems; delivered technical assistance in developing countries in relation to the global infrastructure programs of the Organization; delivered capacity building activities facilitating the use of IP for development; promoted WIPO’s treaties in furtherance of the balanced evolution of the </w:t>
      </w:r>
      <w:r>
        <w:rPr>
          <w:rFonts w:ascii="Arial" w:hAnsi="Arial" w:cs="Arial"/>
          <w:sz w:val="20"/>
        </w:rPr>
        <w:t>i</w:t>
      </w:r>
      <w:r w:rsidRPr="00785BEE">
        <w:rPr>
          <w:rFonts w:ascii="Arial" w:hAnsi="Arial" w:cs="Arial"/>
          <w:sz w:val="20"/>
        </w:rPr>
        <w:t xml:space="preserve">nternational </w:t>
      </w:r>
      <w:r>
        <w:rPr>
          <w:rFonts w:ascii="Arial" w:hAnsi="Arial" w:cs="Arial"/>
          <w:sz w:val="20"/>
        </w:rPr>
        <w:t>n</w:t>
      </w:r>
      <w:r w:rsidRPr="00785BEE">
        <w:rPr>
          <w:rFonts w:ascii="Arial" w:hAnsi="Arial" w:cs="Arial"/>
          <w:sz w:val="20"/>
        </w:rPr>
        <w:t xml:space="preserve">ormative </w:t>
      </w:r>
      <w:r>
        <w:rPr>
          <w:rFonts w:ascii="Arial" w:hAnsi="Arial" w:cs="Arial"/>
          <w:sz w:val="20"/>
        </w:rPr>
        <w:t>f</w:t>
      </w:r>
      <w:r w:rsidRPr="00785BEE">
        <w:rPr>
          <w:rFonts w:ascii="Arial" w:hAnsi="Arial" w:cs="Arial"/>
          <w:sz w:val="20"/>
        </w:rPr>
        <w:t>ramework for IP; provided more effective communications to a broad public, leveraged their close proximity to undertake targeted outreach and forged closer relationships with stakeholders; and offered ‘round the clock’ services to ensure the availability of WIPO outside of Geneva business hours.</w:t>
      </w:r>
    </w:p>
    <w:p w14:paraId="5FF3B522" w14:textId="77777777" w:rsidR="00971C84" w:rsidRPr="00785BEE" w:rsidRDefault="00971C84" w:rsidP="00971C84">
      <w:pPr>
        <w:jc w:val="both"/>
        <w:rPr>
          <w:rFonts w:ascii="Arial" w:hAnsi="Arial" w:cs="Arial"/>
          <w:sz w:val="20"/>
        </w:rPr>
      </w:pPr>
    </w:p>
    <w:p w14:paraId="2378B8BD" w14:textId="09709AA0" w:rsidR="00971C84" w:rsidRPr="00785BEE" w:rsidRDefault="00971C84" w:rsidP="00B66A4A">
      <w:pPr>
        <w:numPr>
          <w:ilvl w:val="0"/>
          <w:numId w:val="72"/>
        </w:numPr>
        <w:jc w:val="both"/>
        <w:rPr>
          <w:rFonts w:ascii="Arial" w:hAnsi="Arial" w:cs="Arial"/>
          <w:sz w:val="20"/>
        </w:rPr>
      </w:pPr>
      <w:r w:rsidRPr="00537B91">
        <w:rPr>
          <w:rFonts w:ascii="Arial" w:hAnsi="Arial" w:cs="Arial"/>
          <w:bCs/>
          <w:sz w:val="20"/>
        </w:rPr>
        <w:t>Recognizing</w:t>
      </w:r>
      <w:r w:rsidRPr="00785BEE">
        <w:rPr>
          <w:rFonts w:ascii="Arial" w:hAnsi="Arial" w:cs="Arial"/>
          <w:sz w:val="20"/>
        </w:rPr>
        <w:t xml:space="preserve"> the challenges of fully integrating a relatively new network into the operations of an Organization which is largely Headquarters</w:t>
      </w:r>
      <w:r>
        <w:rPr>
          <w:rFonts w:ascii="Arial" w:hAnsi="Arial" w:cs="Arial"/>
          <w:sz w:val="20"/>
        </w:rPr>
        <w:t>-</w:t>
      </w:r>
      <w:r w:rsidRPr="00785BEE">
        <w:rPr>
          <w:rFonts w:ascii="Arial" w:hAnsi="Arial" w:cs="Arial"/>
          <w:sz w:val="20"/>
        </w:rPr>
        <w:t xml:space="preserve">based, there has been a felt need to further improve the productivity and efficiency of the External Offices, streamline their coordination with all </w:t>
      </w:r>
      <w:r>
        <w:rPr>
          <w:rFonts w:ascii="Arial" w:hAnsi="Arial" w:cs="Arial"/>
          <w:sz w:val="20"/>
        </w:rPr>
        <w:t>Programs</w:t>
      </w:r>
      <w:r w:rsidRPr="00785BEE">
        <w:rPr>
          <w:rFonts w:ascii="Arial" w:hAnsi="Arial" w:cs="Arial"/>
          <w:sz w:val="20"/>
        </w:rPr>
        <w:t xml:space="preserve"> </w:t>
      </w:r>
      <w:r>
        <w:rPr>
          <w:rFonts w:ascii="Arial" w:hAnsi="Arial" w:cs="Arial"/>
          <w:sz w:val="20"/>
        </w:rPr>
        <w:t>at</w:t>
      </w:r>
      <w:r w:rsidRPr="00785BEE">
        <w:rPr>
          <w:rFonts w:ascii="Arial" w:hAnsi="Arial" w:cs="Arial"/>
          <w:sz w:val="20"/>
        </w:rPr>
        <w:t xml:space="preserve"> Headquarters and enhance the coherence of their overall management through concrete steps.  To this end, initiatives have been launched </w:t>
      </w:r>
      <w:r>
        <w:rPr>
          <w:rFonts w:ascii="Arial" w:hAnsi="Arial" w:cs="Arial"/>
          <w:sz w:val="20"/>
        </w:rPr>
        <w:t xml:space="preserve">in 2014/15 </w:t>
      </w:r>
      <w:r w:rsidRPr="00785BEE">
        <w:rPr>
          <w:rFonts w:ascii="Arial" w:hAnsi="Arial" w:cs="Arial"/>
          <w:sz w:val="20"/>
        </w:rPr>
        <w:t>to: improve the IT infrastructure in External Offices and integrate them seamlessly into the overall IT architecture of the Organization; improve and rationalize human resource policies concerning the staffing of External Offices; enhance program planning, implementation and monitoring of External Offices; evolve a comprehensive communications strategy for External Offices; improve and institutionalize reporting and communication between External Office</w:t>
      </w:r>
      <w:r>
        <w:rPr>
          <w:rFonts w:ascii="Arial" w:hAnsi="Arial" w:cs="Arial"/>
          <w:sz w:val="20"/>
        </w:rPr>
        <w:t>s</w:t>
      </w:r>
      <w:r w:rsidRPr="00785BEE">
        <w:rPr>
          <w:rFonts w:ascii="Arial" w:hAnsi="Arial" w:cs="Arial"/>
          <w:sz w:val="20"/>
        </w:rPr>
        <w:t xml:space="preserve"> and Headquarters; and evolve business continuity plans for each External Office.   </w:t>
      </w:r>
    </w:p>
    <w:p w14:paraId="6953E6E6" w14:textId="77777777" w:rsidR="00971C84" w:rsidRPr="00785BEE" w:rsidRDefault="00971C84" w:rsidP="00971C84">
      <w:pPr>
        <w:jc w:val="both"/>
        <w:rPr>
          <w:rFonts w:ascii="Arial" w:hAnsi="Arial" w:cs="Arial"/>
          <w:sz w:val="20"/>
        </w:rPr>
      </w:pPr>
    </w:p>
    <w:p w14:paraId="52CE0741" w14:textId="77777777" w:rsidR="00971C84" w:rsidRPr="00785BEE" w:rsidRDefault="00971C84" w:rsidP="00971C84">
      <w:pPr>
        <w:jc w:val="both"/>
        <w:rPr>
          <w:rFonts w:ascii="Arial" w:hAnsi="Arial" w:cs="Arial"/>
          <w:sz w:val="20"/>
        </w:rPr>
      </w:pPr>
    </w:p>
    <w:p w14:paraId="44F93290" w14:textId="77777777" w:rsidR="00971C84" w:rsidRPr="00FB68E0" w:rsidRDefault="00971C84" w:rsidP="00971C84">
      <w:pPr>
        <w:jc w:val="both"/>
        <w:rPr>
          <w:rFonts w:ascii="Arial" w:hAnsi="Arial" w:cs="Arial"/>
        </w:rPr>
      </w:pPr>
      <w:r w:rsidRPr="00FB68E0">
        <w:rPr>
          <w:rFonts w:ascii="Arial" w:hAnsi="Arial" w:cs="Arial"/>
        </w:rPr>
        <w:t>IMPLEMENTATION STRATEGIES</w:t>
      </w:r>
    </w:p>
    <w:p w14:paraId="27159202" w14:textId="77777777" w:rsidR="00971C84" w:rsidRPr="00785BEE" w:rsidRDefault="00971C84" w:rsidP="00971C84">
      <w:pPr>
        <w:jc w:val="both"/>
        <w:rPr>
          <w:rFonts w:ascii="Arial" w:hAnsi="Arial" w:cs="Arial"/>
          <w:sz w:val="20"/>
        </w:rPr>
      </w:pPr>
    </w:p>
    <w:p w14:paraId="018F2C73" w14:textId="6995CB7A"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Building upon the abovementioned initiatives, there will be continued efforts to improve the seamless integration of External Offices into all aspects of the functioning of the Organization.  This will be critical to ensuring that WIPO continues to evolve as a truly global Organization that is responsive to its Member States and stakeholders and </w:t>
      </w:r>
      <w:r w:rsidR="00323604">
        <w:rPr>
          <w:rFonts w:ascii="Arial" w:hAnsi="Arial" w:cs="Arial"/>
          <w:sz w:val="20"/>
        </w:rPr>
        <w:t>is able to realiz</w:t>
      </w:r>
      <w:r w:rsidRPr="00785BEE">
        <w:rPr>
          <w:rFonts w:ascii="Arial" w:hAnsi="Arial" w:cs="Arial"/>
          <w:sz w:val="20"/>
        </w:rPr>
        <w:t xml:space="preserve">e its ambitious goals of delivering its services more efficiently through closer co-operation.  In pursuit of this, WIPO’s External Offices will, within their respective host country and/or surrounding region, contribute to the achievement of </w:t>
      </w:r>
      <w:r>
        <w:rPr>
          <w:rFonts w:ascii="Arial" w:hAnsi="Arial" w:cs="Arial"/>
          <w:sz w:val="20"/>
        </w:rPr>
        <w:t xml:space="preserve">the Expected Results and </w:t>
      </w:r>
      <w:r w:rsidRPr="00785BEE">
        <w:rPr>
          <w:rFonts w:ascii="Arial" w:hAnsi="Arial" w:cs="Arial"/>
          <w:sz w:val="20"/>
        </w:rPr>
        <w:t>Strategic Goals in coordination with Headquarters.  In addition, the following specific strategies for the External Offices will be implemented.</w:t>
      </w:r>
    </w:p>
    <w:p w14:paraId="6CA8E375" w14:textId="77777777" w:rsidR="00971C84" w:rsidRPr="00785BEE" w:rsidRDefault="00971C84" w:rsidP="00971C84">
      <w:pPr>
        <w:jc w:val="both"/>
        <w:rPr>
          <w:rFonts w:ascii="Arial" w:hAnsi="Arial" w:cs="Arial"/>
          <w:sz w:val="20"/>
        </w:rPr>
      </w:pPr>
    </w:p>
    <w:p w14:paraId="262AFBBD" w14:textId="77777777" w:rsidR="00971C84" w:rsidRPr="00785BEE" w:rsidRDefault="00971C84" w:rsidP="008B4CD5">
      <w:pPr>
        <w:keepNext/>
        <w:keepLines/>
        <w:jc w:val="both"/>
        <w:rPr>
          <w:rFonts w:ascii="Arial" w:hAnsi="Arial" w:cs="Arial"/>
          <w:sz w:val="20"/>
          <w:u w:val="single"/>
        </w:rPr>
      </w:pPr>
      <w:r w:rsidRPr="00785BEE">
        <w:rPr>
          <w:rFonts w:ascii="Arial" w:hAnsi="Arial" w:cs="Arial"/>
          <w:sz w:val="20"/>
          <w:u w:val="single"/>
        </w:rPr>
        <w:t>WIPO Singapore Office (WSO)</w:t>
      </w:r>
    </w:p>
    <w:p w14:paraId="5A0846D1" w14:textId="77777777" w:rsidR="00971C84" w:rsidRPr="00785BEE" w:rsidRDefault="00971C84" w:rsidP="008B4CD5">
      <w:pPr>
        <w:keepNext/>
        <w:keepLines/>
        <w:jc w:val="both"/>
        <w:rPr>
          <w:rFonts w:ascii="Arial" w:hAnsi="Arial" w:cs="Arial"/>
          <w:sz w:val="20"/>
        </w:rPr>
      </w:pPr>
    </w:p>
    <w:p w14:paraId="0A91B2DF" w14:textId="77777777" w:rsidR="00971C84" w:rsidRPr="00785BEE" w:rsidRDefault="00971C84" w:rsidP="00B66A4A">
      <w:pPr>
        <w:keepNext/>
        <w:keepLines/>
        <w:numPr>
          <w:ilvl w:val="0"/>
          <w:numId w:val="72"/>
        </w:numPr>
        <w:jc w:val="both"/>
        <w:rPr>
          <w:rFonts w:ascii="Arial" w:hAnsi="Arial" w:cs="Arial"/>
          <w:sz w:val="20"/>
        </w:rPr>
      </w:pPr>
      <w:r w:rsidRPr="00785BEE">
        <w:rPr>
          <w:rFonts w:ascii="Arial" w:hAnsi="Arial" w:cs="Arial"/>
          <w:sz w:val="20"/>
        </w:rPr>
        <w:t>The WIPO Singapore Office (WSO) will continue to act as a Service Center in the region, including facilitating the use of IP for development, promoting WIPO’s Global IP Services and supporting and promoting the WIPO Arbitration and Mediation Center in Singapore.</w:t>
      </w:r>
    </w:p>
    <w:p w14:paraId="1287BA8E" w14:textId="77777777" w:rsidR="00971C84" w:rsidRPr="00785BEE" w:rsidRDefault="00971C84" w:rsidP="00971C84">
      <w:pPr>
        <w:jc w:val="both"/>
        <w:rPr>
          <w:rFonts w:ascii="Arial" w:hAnsi="Arial" w:cs="Arial"/>
          <w:sz w:val="20"/>
        </w:rPr>
      </w:pPr>
      <w:r w:rsidRPr="00785BEE">
        <w:rPr>
          <w:rFonts w:ascii="Arial" w:hAnsi="Arial" w:cs="Arial"/>
          <w:sz w:val="20"/>
        </w:rPr>
        <w:t xml:space="preserve"> </w:t>
      </w:r>
    </w:p>
    <w:p w14:paraId="7C0C8D22" w14:textId="77777777"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There will continue to be particular focus on the sub-region of the Association of South East Asian Nations (ASEAN) by assisting </w:t>
      </w:r>
      <w:r>
        <w:rPr>
          <w:rFonts w:ascii="Arial" w:hAnsi="Arial" w:cs="Arial"/>
          <w:sz w:val="20"/>
        </w:rPr>
        <w:t xml:space="preserve">in </w:t>
      </w:r>
      <w:r w:rsidRPr="00785BEE">
        <w:rPr>
          <w:rFonts w:ascii="Arial" w:hAnsi="Arial" w:cs="Arial"/>
          <w:sz w:val="20"/>
        </w:rPr>
        <w:t xml:space="preserve">the implementation of the ASEAN IP Action Plan (2016-2025) in accordance with the country plans and national IP strategies.  Close cooperation with the ASEAN Working Group on Intellectual Property Cooperation (AWGIPC) and the ASEAN Secretariat will be instrumental in this regard. </w:t>
      </w:r>
    </w:p>
    <w:p w14:paraId="088F505C" w14:textId="77777777" w:rsidR="00971C84" w:rsidRPr="00785BEE" w:rsidRDefault="00971C84" w:rsidP="00971C84">
      <w:pPr>
        <w:jc w:val="both"/>
        <w:rPr>
          <w:rFonts w:ascii="Arial" w:hAnsi="Arial" w:cs="Arial"/>
          <w:sz w:val="20"/>
        </w:rPr>
      </w:pPr>
      <w:r w:rsidRPr="00785BEE">
        <w:rPr>
          <w:rFonts w:ascii="Arial" w:hAnsi="Arial" w:cs="Arial"/>
          <w:sz w:val="20"/>
        </w:rPr>
        <w:t xml:space="preserve">  </w:t>
      </w:r>
    </w:p>
    <w:p w14:paraId="7D0A8866" w14:textId="77777777" w:rsidR="00971C84" w:rsidRPr="00785BEE" w:rsidRDefault="00971C84" w:rsidP="00971C84">
      <w:pPr>
        <w:jc w:val="both"/>
        <w:rPr>
          <w:rFonts w:ascii="Arial" w:hAnsi="Arial" w:cs="Arial"/>
          <w:sz w:val="20"/>
          <w:u w:val="single"/>
        </w:rPr>
      </w:pPr>
      <w:r w:rsidRPr="00785BEE">
        <w:rPr>
          <w:rFonts w:ascii="Arial" w:hAnsi="Arial" w:cs="Arial"/>
          <w:sz w:val="20"/>
          <w:u w:val="single"/>
        </w:rPr>
        <w:t>WIPO Brazil Office (WBO)</w:t>
      </w:r>
    </w:p>
    <w:p w14:paraId="181FACFD" w14:textId="77777777" w:rsidR="00971C84" w:rsidRPr="00785BEE" w:rsidRDefault="00971C84" w:rsidP="00971C84">
      <w:pPr>
        <w:jc w:val="both"/>
        <w:rPr>
          <w:rFonts w:ascii="Arial" w:hAnsi="Arial" w:cs="Arial"/>
          <w:sz w:val="20"/>
        </w:rPr>
      </w:pPr>
    </w:p>
    <w:p w14:paraId="123C2A06" w14:textId="77777777"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As </w:t>
      </w:r>
      <w:r>
        <w:rPr>
          <w:rFonts w:ascii="Arial" w:hAnsi="Arial" w:cs="Arial"/>
          <w:sz w:val="20"/>
        </w:rPr>
        <w:t xml:space="preserve">the </w:t>
      </w:r>
      <w:r w:rsidRPr="00785BEE">
        <w:rPr>
          <w:rFonts w:ascii="Arial" w:hAnsi="Arial" w:cs="Arial"/>
          <w:sz w:val="20"/>
        </w:rPr>
        <w:t>WIPO Service Center</w:t>
      </w:r>
      <w:r>
        <w:rPr>
          <w:rFonts w:ascii="Arial" w:hAnsi="Arial" w:cs="Arial"/>
          <w:sz w:val="20"/>
        </w:rPr>
        <w:t xml:space="preserve"> in Brazil</w:t>
      </w:r>
      <w:r w:rsidRPr="00785BEE">
        <w:rPr>
          <w:rFonts w:ascii="Arial" w:hAnsi="Arial" w:cs="Arial"/>
          <w:sz w:val="20"/>
        </w:rPr>
        <w:t>, the WIPO Brazil Office (WBO) will focus on the promotion of WIPO’s Global IP Services as well as on facilitating the use of IP for development through enhancing human resource capacities in particular in Brazil and in other developing countries having cooperation programs with Brazil.</w:t>
      </w:r>
    </w:p>
    <w:p w14:paraId="2924DFEE" w14:textId="77777777" w:rsidR="00971C84" w:rsidRPr="00785BEE" w:rsidRDefault="00971C84" w:rsidP="00971C84">
      <w:pPr>
        <w:jc w:val="both"/>
        <w:rPr>
          <w:rFonts w:ascii="Arial" w:hAnsi="Arial" w:cs="Arial"/>
          <w:sz w:val="20"/>
        </w:rPr>
      </w:pPr>
    </w:p>
    <w:p w14:paraId="06AF6656" w14:textId="77777777"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The WBO manages two Funds-in-Trust between the Government of Brazil and WIPO, which, </w:t>
      </w:r>
      <w:r w:rsidRPr="00785BEE">
        <w:rPr>
          <w:rFonts w:ascii="Arial" w:hAnsi="Arial" w:cs="Arial"/>
          <w:i/>
          <w:sz w:val="20"/>
        </w:rPr>
        <w:t>inter alia</w:t>
      </w:r>
      <w:r w:rsidRPr="00785BEE">
        <w:rPr>
          <w:rFonts w:ascii="Arial" w:hAnsi="Arial" w:cs="Arial"/>
          <w:sz w:val="20"/>
        </w:rPr>
        <w:t>, aims at promoting an IP culture among national and international institutions and users through south-south cooperation among developing countries within and outside the Latin American region.</w:t>
      </w:r>
    </w:p>
    <w:p w14:paraId="11F59F8D" w14:textId="77777777" w:rsidR="00971C84" w:rsidRPr="00785BEE" w:rsidRDefault="00971C84" w:rsidP="00971C84">
      <w:pPr>
        <w:jc w:val="both"/>
        <w:rPr>
          <w:rFonts w:ascii="Arial" w:hAnsi="Arial" w:cs="Arial"/>
          <w:sz w:val="20"/>
        </w:rPr>
      </w:pPr>
    </w:p>
    <w:p w14:paraId="16F6A171" w14:textId="77777777" w:rsidR="00971C84" w:rsidRPr="00785BEE" w:rsidRDefault="00971C84" w:rsidP="00971C84">
      <w:pPr>
        <w:jc w:val="both"/>
        <w:rPr>
          <w:rFonts w:ascii="Arial" w:hAnsi="Arial" w:cs="Arial"/>
          <w:sz w:val="20"/>
          <w:u w:val="single"/>
        </w:rPr>
      </w:pPr>
      <w:r w:rsidRPr="00785BEE">
        <w:rPr>
          <w:rFonts w:ascii="Arial" w:hAnsi="Arial" w:cs="Arial"/>
          <w:sz w:val="20"/>
          <w:u w:val="single"/>
        </w:rPr>
        <w:t>WIPO Japan Office (WJO)</w:t>
      </w:r>
    </w:p>
    <w:p w14:paraId="0E9C2EE4" w14:textId="77777777" w:rsidR="00971C84" w:rsidRPr="00785BEE" w:rsidRDefault="00971C84" w:rsidP="00971C84">
      <w:pPr>
        <w:jc w:val="both"/>
        <w:rPr>
          <w:rFonts w:ascii="Arial" w:hAnsi="Arial" w:cs="Arial"/>
          <w:sz w:val="20"/>
        </w:rPr>
      </w:pPr>
    </w:p>
    <w:p w14:paraId="18BF9535" w14:textId="48713E61" w:rsidR="00971C84" w:rsidRPr="00785BEE" w:rsidRDefault="00971C84" w:rsidP="00B66A4A">
      <w:pPr>
        <w:numPr>
          <w:ilvl w:val="0"/>
          <w:numId w:val="72"/>
        </w:numPr>
        <w:jc w:val="both"/>
        <w:rPr>
          <w:rFonts w:ascii="Arial" w:hAnsi="Arial" w:cs="Arial"/>
          <w:sz w:val="20"/>
        </w:rPr>
      </w:pPr>
      <w:r w:rsidRPr="00785BEE">
        <w:rPr>
          <w:rFonts w:ascii="Arial" w:hAnsi="Arial" w:cs="Arial"/>
          <w:sz w:val="20"/>
        </w:rPr>
        <w:t>The WIPO Japan Office (WJO) will reinforce its role as the WIPO Service Center in Japan, focusing, in particular, on the promotion of WIPO’s Global IP Services to current and potential future users.  Achievements in this area will be attained through further enhancing cooperation with Japanese institutions, academia, industry and other stakeholder groups.</w:t>
      </w:r>
    </w:p>
    <w:p w14:paraId="08CBC476" w14:textId="77777777" w:rsidR="00971C84" w:rsidRPr="00785BEE" w:rsidRDefault="00971C84" w:rsidP="00971C84">
      <w:pPr>
        <w:jc w:val="both"/>
        <w:rPr>
          <w:rFonts w:ascii="Arial" w:hAnsi="Arial" w:cs="Arial"/>
          <w:sz w:val="20"/>
        </w:rPr>
      </w:pPr>
    </w:p>
    <w:p w14:paraId="0C3C8ACF" w14:textId="580D08A4"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The WJO will continue its collaboration with the Government of Japan under the Funds-in-Trust agreement </w:t>
      </w:r>
      <w:r>
        <w:rPr>
          <w:rFonts w:ascii="Arial" w:hAnsi="Arial" w:cs="Arial"/>
          <w:sz w:val="20"/>
        </w:rPr>
        <w:t xml:space="preserve">for the </w:t>
      </w:r>
      <w:r w:rsidRPr="00785BEE">
        <w:rPr>
          <w:rFonts w:ascii="Arial" w:hAnsi="Arial" w:cs="Arial"/>
          <w:sz w:val="20"/>
        </w:rPr>
        <w:t>implement</w:t>
      </w:r>
      <w:r>
        <w:rPr>
          <w:rFonts w:ascii="Arial" w:hAnsi="Arial" w:cs="Arial"/>
          <w:sz w:val="20"/>
        </w:rPr>
        <w:t>ation</w:t>
      </w:r>
      <w:r w:rsidRPr="00785BEE">
        <w:rPr>
          <w:rFonts w:ascii="Arial" w:hAnsi="Arial" w:cs="Arial"/>
          <w:sz w:val="20"/>
        </w:rPr>
        <w:t xml:space="preserve"> </w:t>
      </w:r>
      <w:r>
        <w:rPr>
          <w:rFonts w:ascii="Arial" w:hAnsi="Arial" w:cs="Arial"/>
          <w:sz w:val="20"/>
        </w:rPr>
        <w:t xml:space="preserve">of </w:t>
      </w:r>
      <w:r w:rsidRPr="00785BEE">
        <w:rPr>
          <w:rFonts w:ascii="Arial" w:hAnsi="Arial" w:cs="Arial"/>
          <w:sz w:val="20"/>
        </w:rPr>
        <w:t xml:space="preserve">activities aimed at </w:t>
      </w:r>
      <w:r>
        <w:rPr>
          <w:rFonts w:ascii="Arial" w:hAnsi="Arial" w:cs="Arial"/>
          <w:sz w:val="20"/>
        </w:rPr>
        <w:t xml:space="preserve">capacity </w:t>
      </w:r>
      <w:r w:rsidRPr="00785BEE">
        <w:rPr>
          <w:rFonts w:ascii="Arial" w:hAnsi="Arial" w:cs="Arial"/>
          <w:sz w:val="20"/>
        </w:rPr>
        <w:t>building, reinforcing technical infrastructure and enhancing the use of IP in business</w:t>
      </w:r>
      <w:r>
        <w:rPr>
          <w:rFonts w:ascii="Arial" w:hAnsi="Arial" w:cs="Arial"/>
          <w:sz w:val="20"/>
        </w:rPr>
        <w:t>es</w:t>
      </w:r>
      <w:r w:rsidRPr="00785BEE">
        <w:rPr>
          <w:rFonts w:ascii="Arial" w:hAnsi="Arial" w:cs="Arial"/>
          <w:sz w:val="20"/>
        </w:rPr>
        <w:t xml:space="preserve">, including through special projects such as the </w:t>
      </w:r>
      <w:r>
        <w:rPr>
          <w:rFonts w:ascii="Arial" w:hAnsi="Arial" w:cs="Arial"/>
          <w:sz w:val="20"/>
        </w:rPr>
        <w:t xml:space="preserve">further </w:t>
      </w:r>
      <w:r w:rsidRPr="00785BEE">
        <w:rPr>
          <w:rFonts w:ascii="Arial" w:hAnsi="Arial" w:cs="Arial"/>
          <w:sz w:val="20"/>
        </w:rPr>
        <w:t xml:space="preserve">development of the IP Advantage database, in countries </w:t>
      </w:r>
      <w:r>
        <w:rPr>
          <w:rFonts w:ascii="Arial" w:hAnsi="Arial" w:cs="Arial"/>
          <w:sz w:val="20"/>
        </w:rPr>
        <w:t>primarily</w:t>
      </w:r>
      <w:r w:rsidRPr="00785BEE">
        <w:rPr>
          <w:rFonts w:ascii="Arial" w:hAnsi="Arial" w:cs="Arial"/>
          <w:sz w:val="20"/>
        </w:rPr>
        <w:t xml:space="preserve"> in the Asia Pacific</w:t>
      </w:r>
      <w:r>
        <w:rPr>
          <w:rFonts w:ascii="Arial" w:hAnsi="Arial" w:cs="Arial"/>
          <w:sz w:val="20"/>
        </w:rPr>
        <w:t xml:space="preserve"> region</w:t>
      </w:r>
      <w:r w:rsidRPr="00785BEE">
        <w:rPr>
          <w:rFonts w:ascii="Arial" w:hAnsi="Arial" w:cs="Arial"/>
          <w:sz w:val="20"/>
        </w:rPr>
        <w:t>.</w:t>
      </w:r>
    </w:p>
    <w:p w14:paraId="09A5D38F" w14:textId="77777777" w:rsidR="00971C84" w:rsidRPr="00785BEE" w:rsidRDefault="00971C84" w:rsidP="00971C84">
      <w:pPr>
        <w:jc w:val="both"/>
        <w:rPr>
          <w:rFonts w:ascii="Arial" w:hAnsi="Arial" w:cs="Arial"/>
          <w:sz w:val="20"/>
        </w:rPr>
      </w:pPr>
    </w:p>
    <w:p w14:paraId="39B1DCCE" w14:textId="77777777" w:rsidR="00971C84" w:rsidRPr="00785BEE" w:rsidRDefault="00971C84" w:rsidP="00B66A4A">
      <w:pPr>
        <w:numPr>
          <w:ilvl w:val="0"/>
          <w:numId w:val="72"/>
        </w:numPr>
        <w:jc w:val="both"/>
        <w:rPr>
          <w:rFonts w:ascii="Arial" w:hAnsi="Arial" w:cs="Arial"/>
          <w:sz w:val="20"/>
        </w:rPr>
      </w:pPr>
      <w:r w:rsidRPr="00537B91">
        <w:rPr>
          <w:rFonts w:ascii="Arial" w:hAnsi="Arial" w:cs="Arial"/>
          <w:bCs/>
          <w:sz w:val="20"/>
        </w:rPr>
        <w:lastRenderedPageBreak/>
        <w:t>The</w:t>
      </w:r>
      <w:r w:rsidRPr="00785BEE">
        <w:rPr>
          <w:rFonts w:ascii="Arial" w:hAnsi="Arial" w:cs="Arial"/>
          <w:sz w:val="20"/>
        </w:rPr>
        <w:t xml:space="preserve"> WJO will place particular emphasis on the promotion of the Hague System (bearing in mind the ratification of the Hague Agreement by Japan in 2015) and focus on reaching out to SMEs to encourage their use of WIPO Services.  </w:t>
      </w:r>
    </w:p>
    <w:p w14:paraId="7770AC17" w14:textId="77777777" w:rsidR="00971C84" w:rsidRPr="00785BEE" w:rsidRDefault="00971C84" w:rsidP="00971C84">
      <w:pPr>
        <w:jc w:val="both"/>
        <w:rPr>
          <w:rFonts w:ascii="Arial" w:hAnsi="Arial" w:cs="Arial"/>
          <w:sz w:val="20"/>
        </w:rPr>
      </w:pPr>
    </w:p>
    <w:p w14:paraId="3886E5B8" w14:textId="5970B1ED" w:rsidR="00971C84" w:rsidRPr="00785BEE" w:rsidRDefault="00971C84" w:rsidP="00971C84">
      <w:pPr>
        <w:jc w:val="both"/>
        <w:rPr>
          <w:rFonts w:ascii="Arial" w:hAnsi="Arial" w:cs="Arial"/>
          <w:sz w:val="20"/>
          <w:u w:val="single"/>
        </w:rPr>
      </w:pPr>
      <w:r w:rsidRPr="00785BEE">
        <w:rPr>
          <w:rFonts w:ascii="Arial" w:hAnsi="Arial" w:cs="Arial"/>
          <w:sz w:val="20"/>
          <w:u w:val="single"/>
        </w:rPr>
        <w:t xml:space="preserve">WIPO </w:t>
      </w:r>
      <w:r w:rsidR="00371BF2">
        <w:rPr>
          <w:rFonts w:ascii="Arial" w:hAnsi="Arial" w:cs="Arial"/>
          <w:sz w:val="20"/>
          <w:u w:val="single"/>
        </w:rPr>
        <w:t xml:space="preserve">Office in </w:t>
      </w:r>
      <w:r w:rsidRPr="00785BEE">
        <w:rPr>
          <w:rFonts w:ascii="Arial" w:hAnsi="Arial" w:cs="Arial"/>
          <w:sz w:val="20"/>
          <w:u w:val="single"/>
        </w:rPr>
        <w:t>China (W</w:t>
      </w:r>
      <w:r w:rsidR="00371BF2">
        <w:rPr>
          <w:rFonts w:ascii="Arial" w:hAnsi="Arial" w:cs="Arial"/>
          <w:sz w:val="20"/>
          <w:u w:val="single"/>
        </w:rPr>
        <w:t>O</w:t>
      </w:r>
      <w:r w:rsidRPr="00785BEE">
        <w:rPr>
          <w:rFonts w:ascii="Arial" w:hAnsi="Arial" w:cs="Arial"/>
          <w:sz w:val="20"/>
          <w:u w:val="single"/>
        </w:rPr>
        <w:t>C)</w:t>
      </w:r>
    </w:p>
    <w:p w14:paraId="2A2784F5" w14:textId="77777777" w:rsidR="00971C84" w:rsidRPr="00785BEE" w:rsidRDefault="00971C84" w:rsidP="00971C84">
      <w:pPr>
        <w:jc w:val="both"/>
        <w:rPr>
          <w:rFonts w:ascii="Arial" w:hAnsi="Arial" w:cs="Arial"/>
          <w:sz w:val="20"/>
        </w:rPr>
      </w:pPr>
    </w:p>
    <w:p w14:paraId="49247EEC" w14:textId="7063B329"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As a relatively new Office, the WIPO </w:t>
      </w:r>
      <w:r w:rsidR="00371BF2">
        <w:rPr>
          <w:rFonts w:ascii="Arial" w:hAnsi="Arial" w:cs="Arial"/>
          <w:sz w:val="20"/>
        </w:rPr>
        <w:t xml:space="preserve">Office in </w:t>
      </w:r>
      <w:r w:rsidRPr="00785BEE">
        <w:rPr>
          <w:rFonts w:ascii="Arial" w:hAnsi="Arial" w:cs="Arial"/>
          <w:sz w:val="20"/>
        </w:rPr>
        <w:t>China (</w:t>
      </w:r>
      <w:r w:rsidR="00FA17AB">
        <w:rPr>
          <w:rFonts w:ascii="Arial" w:hAnsi="Arial" w:cs="Arial"/>
          <w:sz w:val="20"/>
        </w:rPr>
        <w:t>WOC</w:t>
      </w:r>
      <w:r w:rsidRPr="00785BEE">
        <w:rPr>
          <w:rFonts w:ascii="Arial" w:hAnsi="Arial" w:cs="Arial"/>
          <w:sz w:val="20"/>
        </w:rPr>
        <w:t>) will continue with targeted activities and initiatives to further enhance its role as the WIPO Service Center in China.  Central to this will be, in particular, the promotion of WIPO’s Global IP Services to current and potential future users.  Given China’s size, a particular challenge will be reaching out to the administrative and territorial regions of the country</w:t>
      </w:r>
      <w:r>
        <w:rPr>
          <w:rFonts w:ascii="Arial" w:hAnsi="Arial" w:cs="Arial"/>
          <w:sz w:val="20"/>
        </w:rPr>
        <w:t>.</w:t>
      </w:r>
      <w:r w:rsidRPr="00785BEE">
        <w:rPr>
          <w:rFonts w:ascii="Arial" w:hAnsi="Arial" w:cs="Arial"/>
          <w:sz w:val="20"/>
        </w:rPr>
        <w:t xml:space="preserve"> </w:t>
      </w:r>
      <w:r>
        <w:rPr>
          <w:rFonts w:ascii="Arial" w:hAnsi="Arial" w:cs="Arial"/>
          <w:sz w:val="20"/>
        </w:rPr>
        <w:t>E</w:t>
      </w:r>
      <w:r w:rsidRPr="00785BEE">
        <w:rPr>
          <w:rFonts w:ascii="Arial" w:hAnsi="Arial" w:cs="Arial"/>
          <w:sz w:val="20"/>
        </w:rPr>
        <w:t xml:space="preserve">fforts will </w:t>
      </w:r>
      <w:r>
        <w:rPr>
          <w:rFonts w:ascii="Arial" w:hAnsi="Arial" w:cs="Arial"/>
          <w:sz w:val="20"/>
        </w:rPr>
        <w:t xml:space="preserve">therefore </w:t>
      </w:r>
      <w:r w:rsidRPr="00785BEE">
        <w:rPr>
          <w:rFonts w:ascii="Arial" w:hAnsi="Arial" w:cs="Arial"/>
          <w:sz w:val="20"/>
        </w:rPr>
        <w:t>be based on further strengthening the constructive cooperation with the Government of China as well as broadening outreach to</w:t>
      </w:r>
      <w:r>
        <w:rPr>
          <w:rFonts w:ascii="Arial" w:hAnsi="Arial" w:cs="Arial"/>
          <w:sz w:val="20"/>
        </w:rPr>
        <w:t>,</w:t>
      </w:r>
      <w:r w:rsidRPr="00785BEE">
        <w:rPr>
          <w:rFonts w:ascii="Arial" w:hAnsi="Arial" w:cs="Arial"/>
          <w:sz w:val="20"/>
        </w:rPr>
        <w:t xml:space="preserve"> and strengthening links with</w:t>
      </w:r>
      <w:r>
        <w:rPr>
          <w:rFonts w:ascii="Arial" w:hAnsi="Arial" w:cs="Arial"/>
          <w:sz w:val="20"/>
        </w:rPr>
        <w:t>,</w:t>
      </w:r>
      <w:r w:rsidRPr="00785BEE">
        <w:rPr>
          <w:rFonts w:ascii="Arial" w:hAnsi="Arial" w:cs="Arial"/>
          <w:sz w:val="20"/>
        </w:rPr>
        <w:t xml:space="preserve"> industry and other stakeholders.</w:t>
      </w:r>
    </w:p>
    <w:p w14:paraId="18260E5C" w14:textId="77777777" w:rsidR="00971C84" w:rsidRPr="00785BEE" w:rsidRDefault="00971C84" w:rsidP="00971C84">
      <w:pPr>
        <w:jc w:val="both"/>
        <w:rPr>
          <w:rFonts w:ascii="Arial" w:hAnsi="Arial" w:cs="Arial"/>
          <w:sz w:val="20"/>
        </w:rPr>
      </w:pPr>
    </w:p>
    <w:p w14:paraId="0701A51C" w14:textId="77777777" w:rsidR="00971C84" w:rsidRPr="00785BEE" w:rsidRDefault="00971C84" w:rsidP="00971C84">
      <w:pPr>
        <w:jc w:val="both"/>
        <w:rPr>
          <w:rFonts w:ascii="Arial" w:hAnsi="Arial" w:cs="Arial"/>
          <w:sz w:val="20"/>
          <w:u w:val="single"/>
        </w:rPr>
      </w:pPr>
      <w:r w:rsidRPr="00785BEE">
        <w:rPr>
          <w:rFonts w:ascii="Arial" w:hAnsi="Arial" w:cs="Arial"/>
          <w:sz w:val="20"/>
          <w:u w:val="single"/>
        </w:rPr>
        <w:t>WIPO Russia Office (WRO)</w:t>
      </w:r>
    </w:p>
    <w:p w14:paraId="6527D3CC" w14:textId="77777777" w:rsidR="00971C84" w:rsidRPr="00785BEE" w:rsidRDefault="00971C84" w:rsidP="00971C84">
      <w:pPr>
        <w:jc w:val="both"/>
        <w:rPr>
          <w:rFonts w:ascii="Arial" w:hAnsi="Arial" w:cs="Arial"/>
          <w:sz w:val="20"/>
        </w:rPr>
      </w:pPr>
    </w:p>
    <w:p w14:paraId="43F534E4" w14:textId="26817A1E" w:rsidR="00971C84" w:rsidRPr="00785BEE" w:rsidRDefault="00971C84" w:rsidP="00B66A4A">
      <w:pPr>
        <w:numPr>
          <w:ilvl w:val="0"/>
          <w:numId w:val="72"/>
        </w:numPr>
        <w:jc w:val="both"/>
        <w:rPr>
          <w:rFonts w:ascii="Arial" w:hAnsi="Arial" w:cs="Arial"/>
          <w:sz w:val="20"/>
        </w:rPr>
      </w:pPr>
      <w:r w:rsidRPr="00785BEE">
        <w:rPr>
          <w:rFonts w:ascii="Arial" w:hAnsi="Arial" w:cs="Arial"/>
          <w:sz w:val="20"/>
        </w:rPr>
        <w:t xml:space="preserve">The WIPO Russia Office (WRO) </w:t>
      </w:r>
      <w:r>
        <w:rPr>
          <w:rFonts w:ascii="Arial" w:hAnsi="Arial" w:cs="Arial"/>
          <w:sz w:val="20"/>
        </w:rPr>
        <w:t>was established in 2014</w:t>
      </w:r>
      <w:r w:rsidRPr="00785BEE">
        <w:rPr>
          <w:rFonts w:ascii="Arial" w:hAnsi="Arial" w:cs="Arial"/>
          <w:sz w:val="20"/>
        </w:rPr>
        <w:t xml:space="preserve"> and will therefore be active in further establishing its role as the WIPO Service Center in the Russian Federation.  The promotion of WIPO’s Global IP Services will be important in this regard.  Given the size of the Russian Federation, a particular challenge will be reaching out to the </w:t>
      </w:r>
      <w:r>
        <w:rPr>
          <w:rFonts w:ascii="Arial" w:hAnsi="Arial" w:cs="Arial"/>
          <w:sz w:val="20"/>
        </w:rPr>
        <w:t xml:space="preserve">various </w:t>
      </w:r>
      <w:r w:rsidRPr="00785BEE">
        <w:rPr>
          <w:rFonts w:ascii="Arial" w:hAnsi="Arial" w:cs="Arial"/>
          <w:sz w:val="20"/>
        </w:rPr>
        <w:t xml:space="preserve">regions </w:t>
      </w:r>
      <w:r>
        <w:rPr>
          <w:rFonts w:ascii="Arial" w:hAnsi="Arial" w:cs="Arial"/>
          <w:sz w:val="20"/>
        </w:rPr>
        <w:t>in</w:t>
      </w:r>
      <w:r w:rsidRPr="00785BEE">
        <w:rPr>
          <w:rFonts w:ascii="Arial" w:hAnsi="Arial" w:cs="Arial"/>
          <w:sz w:val="20"/>
        </w:rPr>
        <w:t xml:space="preserve"> the country</w:t>
      </w:r>
      <w:r>
        <w:rPr>
          <w:rFonts w:ascii="Arial" w:hAnsi="Arial" w:cs="Arial"/>
          <w:sz w:val="20"/>
        </w:rPr>
        <w:t>.</w:t>
      </w:r>
      <w:r w:rsidRPr="00785BEE">
        <w:rPr>
          <w:rFonts w:ascii="Arial" w:hAnsi="Arial" w:cs="Arial"/>
          <w:sz w:val="20"/>
        </w:rPr>
        <w:t xml:space="preserve"> </w:t>
      </w:r>
      <w:r>
        <w:rPr>
          <w:rFonts w:ascii="Arial" w:hAnsi="Arial" w:cs="Arial"/>
          <w:sz w:val="20"/>
        </w:rPr>
        <w:t>The</w:t>
      </w:r>
      <w:r w:rsidRPr="00785BEE">
        <w:rPr>
          <w:rFonts w:ascii="Arial" w:hAnsi="Arial" w:cs="Arial"/>
          <w:sz w:val="20"/>
        </w:rPr>
        <w:t xml:space="preserve"> further strengthening </w:t>
      </w:r>
      <w:r>
        <w:rPr>
          <w:rFonts w:ascii="Arial" w:hAnsi="Arial" w:cs="Arial"/>
          <w:sz w:val="20"/>
        </w:rPr>
        <w:t xml:space="preserve">of </w:t>
      </w:r>
      <w:r w:rsidRPr="00785BEE">
        <w:rPr>
          <w:rFonts w:ascii="Arial" w:hAnsi="Arial" w:cs="Arial"/>
          <w:sz w:val="20"/>
        </w:rPr>
        <w:t xml:space="preserve">the constructive cooperation with the Government of the Russian Federation, </w:t>
      </w:r>
      <w:r>
        <w:rPr>
          <w:rFonts w:ascii="Arial" w:hAnsi="Arial" w:cs="Arial"/>
          <w:sz w:val="20"/>
        </w:rPr>
        <w:t xml:space="preserve">and targeted outreach to </w:t>
      </w:r>
      <w:r w:rsidRPr="00785BEE">
        <w:rPr>
          <w:rFonts w:ascii="Arial" w:hAnsi="Arial" w:cs="Arial"/>
          <w:sz w:val="20"/>
        </w:rPr>
        <w:t>academia, industry and other stakeholders, will be critical</w:t>
      </w:r>
      <w:r>
        <w:rPr>
          <w:rFonts w:ascii="Arial" w:hAnsi="Arial" w:cs="Arial"/>
          <w:sz w:val="20"/>
        </w:rPr>
        <w:t xml:space="preserve"> in this process</w:t>
      </w:r>
      <w:r w:rsidRPr="00785BEE">
        <w:rPr>
          <w:rFonts w:ascii="Arial" w:hAnsi="Arial" w:cs="Arial"/>
          <w:sz w:val="20"/>
        </w:rPr>
        <w:t>.</w:t>
      </w:r>
    </w:p>
    <w:p w14:paraId="30FAEB5E" w14:textId="77777777" w:rsidR="00971C84" w:rsidRPr="00785BEE" w:rsidRDefault="00971C84" w:rsidP="00971C84">
      <w:pPr>
        <w:jc w:val="both"/>
        <w:rPr>
          <w:rFonts w:ascii="Arial" w:hAnsi="Arial" w:cs="Arial"/>
          <w:sz w:val="20"/>
        </w:rPr>
      </w:pPr>
    </w:p>
    <w:p w14:paraId="25243524" w14:textId="59303523" w:rsidR="00971C84" w:rsidRDefault="00971C84" w:rsidP="00B66A4A">
      <w:pPr>
        <w:numPr>
          <w:ilvl w:val="0"/>
          <w:numId w:val="72"/>
        </w:numPr>
        <w:jc w:val="both"/>
        <w:rPr>
          <w:rFonts w:ascii="Arial" w:hAnsi="Arial" w:cs="Arial"/>
          <w:sz w:val="20"/>
        </w:rPr>
      </w:pPr>
      <w:r w:rsidRPr="00537B91">
        <w:rPr>
          <w:rFonts w:ascii="Arial" w:hAnsi="Arial" w:cs="Arial"/>
          <w:bCs/>
          <w:sz w:val="20"/>
        </w:rPr>
        <w:t>The</w:t>
      </w:r>
      <w:r w:rsidRPr="00785BEE">
        <w:rPr>
          <w:rFonts w:ascii="Arial" w:hAnsi="Arial" w:cs="Arial"/>
          <w:sz w:val="20"/>
        </w:rPr>
        <w:t xml:space="preserve"> WRO will focus, in particular, on delivering targeted and tailored capacity building and technical assistance programs, including continuing support </w:t>
      </w:r>
      <w:r>
        <w:rPr>
          <w:rFonts w:ascii="Arial" w:hAnsi="Arial" w:cs="Arial"/>
          <w:sz w:val="20"/>
        </w:rPr>
        <w:t>to</w:t>
      </w:r>
      <w:r w:rsidRPr="00785BEE">
        <w:rPr>
          <w:rFonts w:ascii="Arial" w:hAnsi="Arial" w:cs="Arial"/>
          <w:sz w:val="20"/>
        </w:rPr>
        <w:t xml:space="preserve"> the development of a sustainable </w:t>
      </w:r>
      <w:r>
        <w:rPr>
          <w:rFonts w:ascii="Arial" w:hAnsi="Arial" w:cs="Arial"/>
          <w:sz w:val="20"/>
        </w:rPr>
        <w:t>national</w:t>
      </w:r>
      <w:r w:rsidRPr="00785BEE">
        <w:rPr>
          <w:rFonts w:ascii="Arial" w:hAnsi="Arial" w:cs="Arial"/>
          <w:sz w:val="20"/>
        </w:rPr>
        <w:t xml:space="preserve"> TISC network.    </w:t>
      </w:r>
    </w:p>
    <w:p w14:paraId="79175E32" w14:textId="77777777" w:rsidR="00971C84" w:rsidRPr="00785BEE" w:rsidRDefault="00971C84" w:rsidP="00971C84">
      <w:pPr>
        <w:jc w:val="both"/>
        <w:rPr>
          <w:rFonts w:ascii="Arial" w:hAnsi="Arial" w:cs="Arial"/>
          <w:sz w:val="20"/>
        </w:rPr>
      </w:pPr>
    </w:p>
    <w:p w14:paraId="1085A63E" w14:textId="77777777" w:rsidR="00971C84" w:rsidRDefault="00971C84" w:rsidP="00971C84">
      <w:pPr>
        <w:jc w:val="both"/>
        <w:rPr>
          <w:sz w:val="20"/>
        </w:rPr>
      </w:pPr>
    </w:p>
    <w:p w14:paraId="72475896" w14:textId="77777777" w:rsidR="00971C84" w:rsidRPr="00F74F51" w:rsidRDefault="00971C84" w:rsidP="00971C84">
      <w:pPr>
        <w:keepNext/>
        <w:keepLines/>
        <w:rPr>
          <w:rFonts w:ascii="Arial" w:hAnsi="Arial" w:cs="Arial"/>
        </w:rPr>
      </w:pPr>
      <w:r w:rsidRPr="00F74F51">
        <w:rPr>
          <w:rFonts w:ascii="Arial" w:hAnsi="Arial" w:cs="Arial"/>
        </w:rPr>
        <w:t>MAJOR RISKS AND MITIGATION S</w:t>
      </w:r>
      <w:r>
        <w:rPr>
          <w:rFonts w:ascii="Arial" w:hAnsi="Arial" w:cs="Arial"/>
        </w:rPr>
        <w:t xml:space="preserve">TRATEGIES  </w:t>
      </w:r>
    </w:p>
    <w:p w14:paraId="361E57F2" w14:textId="77777777" w:rsidR="00971C84" w:rsidRDefault="00971C84" w:rsidP="00971C84">
      <w:pPr>
        <w:jc w:val="both"/>
        <w:rPr>
          <w:sz w:val="20"/>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111"/>
        <w:gridCol w:w="5103"/>
      </w:tblGrid>
      <w:tr w:rsidR="00971C84" w:rsidRPr="000C7B40" w14:paraId="75AAB0B0" w14:textId="77777777" w:rsidTr="00971C84">
        <w:trPr>
          <w:trHeight w:val="577"/>
        </w:trPr>
        <w:tc>
          <w:tcPr>
            <w:tcW w:w="4111" w:type="dxa"/>
            <w:shd w:val="clear" w:color="auto" w:fill="B8CCE4" w:themeFill="accent1" w:themeFillTint="66"/>
            <w:vAlign w:val="center"/>
          </w:tcPr>
          <w:p w14:paraId="4520B681" w14:textId="77777777" w:rsidR="00971C84" w:rsidRPr="000C7B40" w:rsidRDefault="00971C84" w:rsidP="00971C84">
            <w:pPr>
              <w:keepNext/>
              <w:keepLines/>
              <w:jc w:val="center"/>
              <w:rPr>
                <w:rFonts w:ascii="Arial" w:hAnsi="Arial" w:cs="Arial"/>
                <w:b/>
                <w:bCs/>
                <w:sz w:val="18"/>
                <w:szCs w:val="18"/>
              </w:rPr>
            </w:pPr>
            <w:r w:rsidRPr="000C7B40">
              <w:rPr>
                <w:rFonts w:ascii="Arial" w:hAnsi="Arial" w:cs="Arial"/>
                <w:b/>
                <w:bCs/>
                <w:sz w:val="18"/>
                <w:szCs w:val="18"/>
              </w:rPr>
              <w:t>Risk</w:t>
            </w:r>
          </w:p>
        </w:tc>
        <w:tc>
          <w:tcPr>
            <w:tcW w:w="5103" w:type="dxa"/>
            <w:shd w:val="clear" w:color="auto" w:fill="B8CCE4" w:themeFill="accent1" w:themeFillTint="66"/>
            <w:vAlign w:val="center"/>
          </w:tcPr>
          <w:p w14:paraId="130659AB" w14:textId="77777777" w:rsidR="00971C84" w:rsidRPr="000C7B40" w:rsidRDefault="00971C84" w:rsidP="00971C84">
            <w:pPr>
              <w:keepNext/>
              <w:keepLines/>
              <w:jc w:val="center"/>
              <w:rPr>
                <w:rFonts w:ascii="Arial" w:hAnsi="Arial" w:cs="Arial"/>
                <w:b/>
                <w:bCs/>
                <w:sz w:val="18"/>
                <w:szCs w:val="18"/>
              </w:rPr>
            </w:pPr>
            <w:r w:rsidRPr="000C7B40">
              <w:rPr>
                <w:rFonts w:ascii="Arial" w:hAnsi="Arial" w:cs="Arial"/>
                <w:b/>
                <w:bCs/>
                <w:sz w:val="18"/>
                <w:szCs w:val="18"/>
              </w:rPr>
              <w:t>Mitigation</w:t>
            </w:r>
          </w:p>
        </w:tc>
      </w:tr>
      <w:tr w:rsidR="00971C84" w:rsidRPr="000C7B40" w14:paraId="5DF85E75" w14:textId="77777777" w:rsidTr="00971C84">
        <w:trPr>
          <w:trHeight w:val="791"/>
        </w:trPr>
        <w:tc>
          <w:tcPr>
            <w:tcW w:w="4111" w:type="dxa"/>
            <w:shd w:val="clear" w:color="auto" w:fill="auto"/>
            <w:tcMar>
              <w:top w:w="72" w:type="dxa"/>
              <w:left w:w="72" w:type="dxa"/>
              <w:bottom w:w="72" w:type="dxa"/>
              <w:right w:w="72" w:type="dxa"/>
            </w:tcMar>
          </w:tcPr>
          <w:p w14:paraId="3049394A" w14:textId="77777777" w:rsidR="00971C84" w:rsidRDefault="00971C84" w:rsidP="00971C84">
            <w:pPr>
              <w:keepNext/>
              <w:keepLines/>
              <w:rPr>
                <w:rFonts w:ascii="Arial" w:hAnsi="Arial" w:cs="Arial"/>
                <w:sz w:val="16"/>
                <w:szCs w:val="16"/>
              </w:rPr>
            </w:pPr>
            <w:r w:rsidRPr="00827B76">
              <w:rPr>
                <w:rFonts w:ascii="Arial" w:hAnsi="Arial" w:cs="Arial"/>
                <w:sz w:val="16"/>
                <w:szCs w:val="16"/>
              </w:rPr>
              <w:t>The geographical separation of External Offices from Headquarters can potentially result in fragmentation in coordination and communication.</w:t>
            </w:r>
          </w:p>
          <w:p w14:paraId="04278E33" w14:textId="77777777" w:rsidR="00971C84" w:rsidRPr="000C7B40" w:rsidRDefault="00971C84" w:rsidP="00971C84">
            <w:pPr>
              <w:keepNext/>
              <w:keepLines/>
              <w:rPr>
                <w:rFonts w:ascii="Arial" w:hAnsi="Arial" w:cs="Arial"/>
                <w:sz w:val="16"/>
                <w:szCs w:val="16"/>
              </w:rPr>
            </w:pPr>
          </w:p>
        </w:tc>
        <w:tc>
          <w:tcPr>
            <w:tcW w:w="5103" w:type="dxa"/>
            <w:shd w:val="clear" w:color="auto" w:fill="auto"/>
            <w:tcMar>
              <w:top w:w="72" w:type="dxa"/>
              <w:left w:w="72" w:type="dxa"/>
              <w:bottom w:w="72" w:type="dxa"/>
              <w:right w:w="72" w:type="dxa"/>
            </w:tcMar>
          </w:tcPr>
          <w:p w14:paraId="7C86E47C" w14:textId="77777777" w:rsidR="00971C84" w:rsidRPr="000C7B40" w:rsidRDefault="00971C84" w:rsidP="00971C84">
            <w:pPr>
              <w:keepNext/>
              <w:keepLines/>
              <w:rPr>
                <w:rFonts w:ascii="Arial" w:hAnsi="Arial" w:cs="Arial"/>
                <w:sz w:val="16"/>
                <w:szCs w:val="16"/>
              </w:rPr>
            </w:pPr>
            <w:r w:rsidRPr="00827B76">
              <w:rPr>
                <w:rFonts w:ascii="Arial" w:hAnsi="Arial" w:cs="Arial"/>
                <w:sz w:val="16"/>
                <w:szCs w:val="16"/>
              </w:rPr>
              <w:t>Continued close, constant and structured engagement to ensure that the work of the External Offices is fully integrated into a coherent and coordinated network, in line with the Results Framework, workplans and day to day functioning of the Organization</w:t>
            </w:r>
          </w:p>
        </w:tc>
      </w:tr>
    </w:tbl>
    <w:p w14:paraId="1C4CA09F" w14:textId="77777777" w:rsidR="00971C84" w:rsidRDefault="00971C84" w:rsidP="00971C84">
      <w:pPr>
        <w:jc w:val="both"/>
        <w:rPr>
          <w:sz w:val="20"/>
        </w:rPr>
      </w:pPr>
    </w:p>
    <w:p w14:paraId="46FE67F7" w14:textId="77777777" w:rsidR="004E671F" w:rsidRDefault="004E671F" w:rsidP="00971C84">
      <w:pPr>
        <w:jc w:val="both"/>
        <w:rPr>
          <w:sz w:val="20"/>
        </w:rPr>
      </w:pPr>
    </w:p>
    <w:p w14:paraId="42BABFBD" w14:textId="4631745C" w:rsidR="00971C84" w:rsidRPr="00FB68E0" w:rsidRDefault="00971C84" w:rsidP="00971C84">
      <w:pPr>
        <w:jc w:val="both"/>
        <w:rPr>
          <w:rFonts w:ascii="Arial" w:hAnsi="Arial" w:cs="Arial"/>
        </w:rPr>
      </w:pPr>
      <w:r w:rsidRPr="00FB68E0">
        <w:rPr>
          <w:rFonts w:ascii="Arial" w:hAnsi="Arial" w:cs="Arial"/>
        </w:rPr>
        <w:t xml:space="preserve">RESULTS FRAMEWORK </w:t>
      </w:r>
    </w:p>
    <w:p w14:paraId="115A968C" w14:textId="77777777" w:rsidR="00971C84" w:rsidRDefault="00971C84" w:rsidP="00971C84">
      <w:pPr>
        <w:jc w:val="both"/>
        <w:rPr>
          <w:sz w:val="20"/>
        </w:rPr>
      </w:pPr>
    </w:p>
    <w:tbl>
      <w:tblPr>
        <w:tblW w:w="9195" w:type="dxa"/>
        <w:tblInd w:w="93" w:type="dxa"/>
        <w:tblLook w:val="04A0" w:firstRow="1" w:lastRow="0" w:firstColumn="1" w:lastColumn="0" w:noHBand="0" w:noVBand="1"/>
      </w:tblPr>
      <w:tblGrid>
        <w:gridCol w:w="2380"/>
        <w:gridCol w:w="2380"/>
        <w:gridCol w:w="2380"/>
        <w:gridCol w:w="2055"/>
      </w:tblGrid>
      <w:tr w:rsidR="00971C84" w:rsidRPr="00BE1D07" w14:paraId="0E215FB7" w14:textId="77777777" w:rsidTr="004E671F">
        <w:trPr>
          <w:trHeight w:val="553"/>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5B4E2704" w14:textId="77777777" w:rsidR="00971C84" w:rsidRPr="00BE1D07" w:rsidRDefault="00971C84" w:rsidP="00971C84">
            <w:pPr>
              <w:jc w:val="center"/>
              <w:rPr>
                <w:rFonts w:ascii="Arial" w:hAnsi="Arial" w:cs="Arial"/>
                <w:b/>
                <w:bCs/>
                <w:color w:val="000000"/>
                <w:sz w:val="18"/>
                <w:szCs w:val="18"/>
              </w:rPr>
            </w:pPr>
            <w:r w:rsidRPr="00BE1D07">
              <w:rPr>
                <w:rFonts w:ascii="Arial" w:hAnsi="Arial" w:cs="Arial"/>
                <w:b/>
                <w:bCs/>
                <w:color w:val="000000"/>
                <w:sz w:val="18"/>
                <w:szCs w:val="18"/>
              </w:rPr>
              <w:t xml:space="preserve">Expected Results </w:t>
            </w:r>
          </w:p>
        </w:tc>
        <w:tc>
          <w:tcPr>
            <w:tcW w:w="238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603B9A18" w14:textId="77777777" w:rsidR="00971C84" w:rsidRPr="00BE1D07" w:rsidRDefault="00971C84" w:rsidP="00971C84">
            <w:pPr>
              <w:jc w:val="center"/>
              <w:rPr>
                <w:rFonts w:ascii="Arial" w:hAnsi="Arial" w:cs="Arial"/>
                <w:b/>
                <w:bCs/>
                <w:color w:val="000000"/>
                <w:sz w:val="18"/>
                <w:szCs w:val="18"/>
              </w:rPr>
            </w:pPr>
            <w:r w:rsidRPr="00BE1D07">
              <w:rPr>
                <w:rFonts w:ascii="Arial" w:hAnsi="Arial" w:cs="Arial"/>
                <w:b/>
                <w:bCs/>
                <w:color w:val="000000"/>
                <w:sz w:val="18"/>
                <w:szCs w:val="18"/>
              </w:rPr>
              <w:t>Performance Indicators</w:t>
            </w:r>
          </w:p>
        </w:tc>
        <w:tc>
          <w:tcPr>
            <w:tcW w:w="238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69937C28" w14:textId="77777777" w:rsidR="00971C84" w:rsidRPr="00BE1D07" w:rsidRDefault="00971C84" w:rsidP="00971C84">
            <w:pPr>
              <w:jc w:val="center"/>
              <w:rPr>
                <w:rFonts w:ascii="Arial" w:hAnsi="Arial" w:cs="Arial"/>
                <w:b/>
                <w:bCs/>
                <w:color w:val="000000"/>
                <w:sz w:val="18"/>
                <w:szCs w:val="18"/>
              </w:rPr>
            </w:pPr>
            <w:r w:rsidRPr="00BE1D07">
              <w:rPr>
                <w:rFonts w:ascii="Arial" w:hAnsi="Arial" w:cs="Arial"/>
                <w:b/>
                <w:bCs/>
                <w:color w:val="000000"/>
                <w:sz w:val="18"/>
                <w:szCs w:val="18"/>
              </w:rPr>
              <w:t>Baselines</w:t>
            </w:r>
          </w:p>
        </w:tc>
        <w:tc>
          <w:tcPr>
            <w:tcW w:w="205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5A0F0AE2" w14:textId="77777777" w:rsidR="00971C84" w:rsidRPr="00BE1D07" w:rsidRDefault="00971C84" w:rsidP="00971C84">
            <w:pPr>
              <w:jc w:val="center"/>
              <w:rPr>
                <w:rFonts w:ascii="Arial" w:hAnsi="Arial" w:cs="Arial"/>
                <w:b/>
                <w:bCs/>
                <w:color w:val="000000"/>
                <w:sz w:val="18"/>
                <w:szCs w:val="18"/>
              </w:rPr>
            </w:pPr>
            <w:r w:rsidRPr="00BE1D07">
              <w:rPr>
                <w:rFonts w:ascii="Arial" w:hAnsi="Arial" w:cs="Arial"/>
                <w:b/>
                <w:bCs/>
                <w:color w:val="000000"/>
                <w:sz w:val="18"/>
                <w:szCs w:val="18"/>
              </w:rPr>
              <w:t>Targets</w:t>
            </w:r>
          </w:p>
        </w:tc>
      </w:tr>
      <w:tr w:rsidR="00BE3F1B" w:rsidRPr="00BE1D07" w14:paraId="2608B7E8" w14:textId="77777777" w:rsidTr="004E671F">
        <w:trPr>
          <w:trHeight w:val="1255"/>
        </w:trPr>
        <w:tc>
          <w:tcPr>
            <w:tcW w:w="2380" w:type="dxa"/>
            <w:tcBorders>
              <w:top w:val="single" w:sz="4" w:space="0" w:color="auto"/>
              <w:left w:val="single" w:sz="4" w:space="0" w:color="auto"/>
              <w:bottom w:val="nil"/>
              <w:right w:val="nil"/>
            </w:tcBorders>
            <w:shd w:val="clear" w:color="auto" w:fill="auto"/>
            <w:tcMar>
              <w:top w:w="85" w:type="dxa"/>
            </w:tcMar>
            <w:hideMark/>
          </w:tcPr>
          <w:p w14:paraId="31619A44" w14:textId="77777777" w:rsidR="00BE3F1B" w:rsidRDefault="00BE3F1B" w:rsidP="00971C84">
            <w:pPr>
              <w:rPr>
                <w:rFonts w:ascii="Arial" w:hAnsi="Arial" w:cs="Arial"/>
                <w:color w:val="000000"/>
                <w:sz w:val="16"/>
                <w:szCs w:val="16"/>
              </w:rPr>
            </w:pPr>
          </w:p>
          <w:p w14:paraId="0867F1AE"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xml:space="preserve">I.1 Enhanced cooperation among Member States on development of balanced international normative frameworks for IP </w:t>
            </w:r>
          </w:p>
        </w:tc>
        <w:tc>
          <w:tcPr>
            <w:tcW w:w="2380" w:type="dxa"/>
            <w:tcBorders>
              <w:top w:val="single" w:sz="4" w:space="0" w:color="auto"/>
              <w:left w:val="nil"/>
              <w:bottom w:val="nil"/>
              <w:right w:val="nil"/>
            </w:tcBorders>
            <w:shd w:val="clear" w:color="auto" w:fill="auto"/>
            <w:tcMar>
              <w:top w:w="85" w:type="dxa"/>
            </w:tcMar>
            <w:hideMark/>
          </w:tcPr>
          <w:p w14:paraId="16AF64EC" w14:textId="77777777" w:rsidR="00BE3F1B" w:rsidRDefault="00BE3F1B" w:rsidP="00971C84">
            <w:pPr>
              <w:ind w:firstLineChars="200" w:firstLine="320"/>
              <w:rPr>
                <w:rFonts w:ascii="Arial" w:hAnsi="Arial" w:cs="Arial"/>
                <w:color w:val="000000"/>
                <w:sz w:val="16"/>
                <w:szCs w:val="16"/>
              </w:rPr>
            </w:pPr>
          </w:p>
          <w:p w14:paraId="61BF7ADD"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xml:space="preserve">No. of ratifications and/or accessions to Marrakesh Treaty </w:t>
            </w:r>
            <w:r w:rsidRPr="00BE1D07">
              <w:rPr>
                <w:rFonts w:ascii="Arial" w:hAnsi="Arial" w:cs="Arial"/>
                <w:color w:val="000000"/>
                <w:sz w:val="16"/>
                <w:szCs w:val="16"/>
              </w:rPr>
              <w:br/>
            </w:r>
            <w:r w:rsidRPr="00BE1D07">
              <w:rPr>
                <w:rFonts w:ascii="Arial" w:hAnsi="Arial" w:cs="Arial"/>
                <w:color w:val="000000"/>
                <w:sz w:val="16"/>
                <w:szCs w:val="16"/>
              </w:rPr>
              <w:br/>
            </w:r>
            <w:r w:rsidRPr="00BE1D07">
              <w:rPr>
                <w:rFonts w:ascii="Arial" w:hAnsi="Arial" w:cs="Arial"/>
                <w:color w:val="000000"/>
                <w:sz w:val="16"/>
                <w:szCs w:val="16"/>
              </w:rPr>
              <w:br/>
            </w:r>
          </w:p>
        </w:tc>
        <w:tc>
          <w:tcPr>
            <w:tcW w:w="2380" w:type="dxa"/>
            <w:tcBorders>
              <w:top w:val="single" w:sz="4" w:space="0" w:color="auto"/>
              <w:left w:val="nil"/>
              <w:bottom w:val="nil"/>
              <w:right w:val="nil"/>
            </w:tcBorders>
            <w:shd w:val="clear" w:color="auto" w:fill="auto"/>
            <w:tcMar>
              <w:top w:w="85" w:type="dxa"/>
            </w:tcMar>
            <w:hideMark/>
          </w:tcPr>
          <w:p w14:paraId="0AD61F5B" w14:textId="77777777" w:rsidR="00BE3F1B" w:rsidRPr="00CA2428" w:rsidRDefault="00BE3F1B" w:rsidP="00964B92">
            <w:pPr>
              <w:rPr>
                <w:rFonts w:ascii="Arial" w:hAnsi="Arial" w:cs="Arial"/>
                <w:color w:val="000000"/>
                <w:sz w:val="16"/>
                <w:szCs w:val="16"/>
              </w:rPr>
            </w:pPr>
          </w:p>
          <w:p w14:paraId="719B6CAC" w14:textId="3BDD2893" w:rsidR="00BE3F1B" w:rsidRPr="00BE1D07" w:rsidRDefault="00BE3F1B">
            <w:pPr>
              <w:rPr>
                <w:rFonts w:ascii="Arial" w:hAnsi="Arial" w:cs="Arial"/>
                <w:color w:val="000000"/>
                <w:sz w:val="16"/>
                <w:szCs w:val="16"/>
              </w:rPr>
            </w:pPr>
            <w:r w:rsidRPr="00CA2428">
              <w:rPr>
                <w:rFonts w:ascii="Arial" w:hAnsi="Arial" w:cs="Arial"/>
                <w:color w:val="000000"/>
                <w:sz w:val="16"/>
                <w:szCs w:val="16"/>
              </w:rPr>
              <w:t>0 (WSO)</w:t>
            </w:r>
            <w:r w:rsidRPr="00CA2428">
              <w:rPr>
                <w:rFonts w:ascii="Arial" w:hAnsi="Arial" w:cs="Arial"/>
                <w:color w:val="000000"/>
                <w:sz w:val="16"/>
                <w:szCs w:val="16"/>
              </w:rPr>
              <w:br/>
              <w:t xml:space="preserve">0 (WBO)   </w:t>
            </w:r>
            <w:r w:rsidRPr="00CA2428">
              <w:rPr>
                <w:rFonts w:ascii="Arial" w:hAnsi="Arial" w:cs="Arial"/>
                <w:color w:val="000000"/>
                <w:sz w:val="16"/>
                <w:szCs w:val="16"/>
              </w:rPr>
              <w:br/>
              <w:t>0 (WJO)</w:t>
            </w:r>
            <w:r w:rsidRPr="00CA2428">
              <w:rPr>
                <w:rFonts w:ascii="Arial" w:hAnsi="Arial" w:cs="Arial"/>
                <w:color w:val="000000"/>
                <w:sz w:val="16"/>
                <w:szCs w:val="16"/>
              </w:rPr>
              <w:br/>
              <w:t xml:space="preserve">0 (WRO)  </w:t>
            </w:r>
            <w:r w:rsidRPr="00CA2428">
              <w:rPr>
                <w:rFonts w:ascii="Arial" w:hAnsi="Arial" w:cs="Arial"/>
                <w:color w:val="000000"/>
                <w:sz w:val="16"/>
                <w:szCs w:val="16"/>
              </w:rPr>
              <w:br/>
              <w:t>0 (</w:t>
            </w:r>
            <w:r w:rsidR="00FA17AB" w:rsidRPr="00CA2428">
              <w:rPr>
                <w:rFonts w:ascii="Arial" w:hAnsi="Arial" w:cs="Arial"/>
                <w:color w:val="000000"/>
                <w:sz w:val="16"/>
                <w:szCs w:val="16"/>
              </w:rPr>
              <w:t>W</w:t>
            </w:r>
            <w:r w:rsidR="00FA17AB">
              <w:rPr>
                <w:rFonts w:ascii="Arial" w:hAnsi="Arial" w:cs="Arial"/>
                <w:color w:val="000000"/>
                <w:sz w:val="16"/>
                <w:szCs w:val="16"/>
              </w:rPr>
              <w:t>OC</w:t>
            </w:r>
            <w:r w:rsidRPr="00CA2428">
              <w:rPr>
                <w:rFonts w:ascii="Arial" w:hAnsi="Arial" w:cs="Arial"/>
                <w:color w:val="000000"/>
                <w:sz w:val="16"/>
                <w:szCs w:val="16"/>
              </w:rPr>
              <w:t>)</w:t>
            </w:r>
            <w:r w:rsidRPr="00CA2428">
              <w:rPr>
                <w:rFonts w:ascii="Arial" w:hAnsi="Arial" w:cs="Arial"/>
                <w:color w:val="000000"/>
                <w:sz w:val="16"/>
                <w:szCs w:val="16"/>
              </w:rPr>
              <w:br/>
              <w:t xml:space="preserve">                                                 </w:t>
            </w:r>
          </w:p>
        </w:tc>
        <w:tc>
          <w:tcPr>
            <w:tcW w:w="2055" w:type="dxa"/>
            <w:tcBorders>
              <w:top w:val="single" w:sz="4" w:space="0" w:color="auto"/>
              <w:left w:val="nil"/>
              <w:bottom w:val="nil"/>
              <w:right w:val="single" w:sz="4" w:space="0" w:color="auto"/>
            </w:tcBorders>
            <w:shd w:val="clear" w:color="auto" w:fill="auto"/>
            <w:tcMar>
              <w:top w:w="85" w:type="dxa"/>
            </w:tcMar>
            <w:hideMark/>
          </w:tcPr>
          <w:p w14:paraId="402C85BF" w14:textId="77777777" w:rsidR="00BE3F1B" w:rsidRPr="00D655F5" w:rsidRDefault="00BE3F1B" w:rsidP="00964B92">
            <w:pPr>
              <w:ind w:firstLineChars="200" w:firstLine="320"/>
              <w:rPr>
                <w:rFonts w:ascii="Arial" w:hAnsi="Arial" w:cs="Arial"/>
                <w:sz w:val="16"/>
                <w:szCs w:val="16"/>
              </w:rPr>
            </w:pPr>
            <w:r w:rsidRPr="00D655F5">
              <w:rPr>
                <w:rFonts w:ascii="Arial" w:hAnsi="Arial" w:cs="Arial"/>
                <w:sz w:val="16"/>
                <w:szCs w:val="16"/>
              </w:rPr>
              <w:t> </w:t>
            </w:r>
          </w:p>
          <w:p w14:paraId="0713CB47" w14:textId="77777777" w:rsidR="00BE3F1B" w:rsidRPr="00D655F5" w:rsidRDefault="00BE3F1B" w:rsidP="00964B92">
            <w:pPr>
              <w:rPr>
                <w:rFonts w:ascii="Arial" w:hAnsi="Arial" w:cs="Arial"/>
                <w:sz w:val="16"/>
                <w:szCs w:val="16"/>
              </w:rPr>
            </w:pPr>
            <w:r w:rsidRPr="00D655F5">
              <w:rPr>
                <w:rFonts w:ascii="Arial" w:hAnsi="Arial" w:cs="Arial"/>
                <w:sz w:val="16"/>
                <w:szCs w:val="16"/>
              </w:rPr>
              <w:t>2(WSO)</w:t>
            </w:r>
          </w:p>
          <w:p w14:paraId="1D6A22EF" w14:textId="77777777" w:rsidR="00BE3F1B" w:rsidRPr="00D655F5" w:rsidRDefault="00BE3F1B" w:rsidP="00964B92">
            <w:pPr>
              <w:rPr>
                <w:rFonts w:ascii="Arial" w:hAnsi="Arial" w:cs="Arial"/>
                <w:sz w:val="16"/>
                <w:szCs w:val="16"/>
              </w:rPr>
            </w:pPr>
            <w:r w:rsidRPr="00D655F5">
              <w:rPr>
                <w:rFonts w:ascii="Arial" w:hAnsi="Arial" w:cs="Arial"/>
                <w:sz w:val="16"/>
                <w:szCs w:val="16"/>
              </w:rPr>
              <w:t>1(WBO)</w:t>
            </w:r>
          </w:p>
          <w:p w14:paraId="3CA1CB80" w14:textId="2E6A72D5" w:rsidR="00BE3F1B" w:rsidRPr="00FD3DD2" w:rsidRDefault="00BE3F1B" w:rsidP="00FB68E0">
            <w:pPr>
              <w:rPr>
                <w:rFonts w:ascii="Arial" w:hAnsi="Arial" w:cs="Arial"/>
                <w:sz w:val="16"/>
                <w:szCs w:val="16"/>
              </w:rPr>
            </w:pPr>
            <w:r w:rsidRPr="00D655F5">
              <w:rPr>
                <w:rFonts w:ascii="Arial" w:hAnsi="Arial" w:cs="Arial"/>
                <w:sz w:val="16"/>
                <w:szCs w:val="16"/>
              </w:rPr>
              <w:t>1(WJO)</w:t>
            </w:r>
            <w:r w:rsidRPr="00D655F5">
              <w:rPr>
                <w:rFonts w:ascii="Arial" w:hAnsi="Arial" w:cs="Arial"/>
                <w:sz w:val="16"/>
                <w:szCs w:val="16"/>
              </w:rPr>
              <w:br/>
              <w:t xml:space="preserve">1(WRO)  </w:t>
            </w:r>
            <w:r w:rsidRPr="00D655F5">
              <w:rPr>
                <w:rFonts w:ascii="Arial" w:hAnsi="Arial" w:cs="Arial"/>
                <w:sz w:val="16"/>
                <w:szCs w:val="16"/>
              </w:rPr>
              <w:br/>
            </w:r>
            <w:r>
              <w:rPr>
                <w:rFonts w:ascii="Arial" w:hAnsi="Arial" w:cs="Arial"/>
                <w:color w:val="000000"/>
                <w:sz w:val="16"/>
                <w:szCs w:val="16"/>
              </w:rPr>
              <w:t>1</w:t>
            </w:r>
            <w:r w:rsidRPr="00BE1D07">
              <w:rPr>
                <w:rFonts w:ascii="Arial" w:hAnsi="Arial" w:cs="Arial"/>
                <w:color w:val="000000"/>
                <w:sz w:val="16"/>
                <w:szCs w:val="16"/>
              </w:rPr>
              <w:t>(</w:t>
            </w:r>
            <w:r w:rsidR="00FA17AB">
              <w:rPr>
                <w:rFonts w:ascii="Arial" w:hAnsi="Arial" w:cs="Arial"/>
                <w:color w:val="000000"/>
                <w:sz w:val="16"/>
                <w:szCs w:val="16"/>
              </w:rPr>
              <w:t>WOC</w:t>
            </w:r>
            <w:r w:rsidRPr="00BE1D07">
              <w:rPr>
                <w:rFonts w:ascii="Arial" w:hAnsi="Arial" w:cs="Arial"/>
                <w:color w:val="000000"/>
                <w:sz w:val="16"/>
                <w:szCs w:val="16"/>
              </w:rPr>
              <w:t>)</w:t>
            </w:r>
            <w:r w:rsidRPr="00BE1D07">
              <w:rPr>
                <w:rFonts w:ascii="Arial" w:hAnsi="Arial" w:cs="Arial"/>
                <w:color w:val="000000"/>
                <w:sz w:val="16"/>
                <w:szCs w:val="16"/>
              </w:rPr>
              <w:br/>
            </w:r>
          </w:p>
        </w:tc>
      </w:tr>
      <w:tr w:rsidR="00BE3F1B" w:rsidRPr="00BE1D07" w14:paraId="57B88DD2" w14:textId="77777777" w:rsidTr="00BE3F1B">
        <w:trPr>
          <w:trHeight w:val="344"/>
        </w:trPr>
        <w:tc>
          <w:tcPr>
            <w:tcW w:w="2380" w:type="dxa"/>
            <w:tcBorders>
              <w:top w:val="nil"/>
              <w:left w:val="single" w:sz="4" w:space="0" w:color="auto"/>
              <w:right w:val="nil"/>
            </w:tcBorders>
            <w:shd w:val="clear" w:color="auto" w:fill="auto"/>
            <w:tcMar>
              <w:top w:w="85" w:type="dxa"/>
            </w:tcMar>
            <w:hideMark/>
          </w:tcPr>
          <w:p w14:paraId="378400EB"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right w:val="nil"/>
            </w:tcBorders>
            <w:shd w:val="clear" w:color="auto" w:fill="auto"/>
            <w:tcMar>
              <w:top w:w="85" w:type="dxa"/>
            </w:tcMar>
            <w:hideMark/>
          </w:tcPr>
          <w:p w14:paraId="5E2415B4"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xml:space="preserve">No. of ratifications and/or accessions to Beijing Treaty </w:t>
            </w:r>
          </w:p>
        </w:tc>
        <w:tc>
          <w:tcPr>
            <w:tcW w:w="2380" w:type="dxa"/>
            <w:tcBorders>
              <w:top w:val="nil"/>
              <w:left w:val="nil"/>
              <w:right w:val="nil"/>
            </w:tcBorders>
            <w:shd w:val="clear" w:color="auto" w:fill="auto"/>
            <w:tcMar>
              <w:top w:w="85" w:type="dxa"/>
            </w:tcMar>
            <w:hideMark/>
          </w:tcPr>
          <w:p w14:paraId="0118100F" w14:textId="77777777" w:rsidR="00BE3F1B" w:rsidRDefault="00BE3F1B" w:rsidP="00964B92">
            <w:pPr>
              <w:rPr>
                <w:rFonts w:ascii="Arial" w:hAnsi="Arial" w:cs="Arial"/>
                <w:color w:val="000000"/>
                <w:sz w:val="16"/>
                <w:szCs w:val="16"/>
              </w:rPr>
            </w:pPr>
            <w:r w:rsidRPr="00BE1D07">
              <w:rPr>
                <w:rFonts w:ascii="Arial" w:hAnsi="Arial" w:cs="Arial"/>
                <w:color w:val="000000"/>
                <w:sz w:val="16"/>
                <w:szCs w:val="16"/>
              </w:rPr>
              <w:t>0 (WSO)</w:t>
            </w:r>
            <w:r w:rsidRPr="00BE1D07">
              <w:rPr>
                <w:rFonts w:ascii="Arial" w:hAnsi="Arial" w:cs="Arial"/>
                <w:color w:val="000000"/>
                <w:sz w:val="16"/>
                <w:szCs w:val="16"/>
              </w:rPr>
              <w:br/>
            </w:r>
            <w:r w:rsidRPr="00C94792">
              <w:rPr>
                <w:rFonts w:ascii="Arial" w:hAnsi="Arial" w:cs="Arial"/>
                <w:color w:val="000000"/>
                <w:sz w:val="16"/>
                <w:szCs w:val="16"/>
              </w:rPr>
              <w:t>0 (WRO)</w:t>
            </w:r>
            <w:r>
              <w:rPr>
                <w:rFonts w:ascii="Arial" w:hAnsi="Arial" w:cs="Arial"/>
                <w:color w:val="000000"/>
                <w:sz w:val="16"/>
                <w:szCs w:val="16"/>
              </w:rPr>
              <w:t xml:space="preserve"> </w:t>
            </w:r>
          </w:p>
          <w:p w14:paraId="29618E88" w14:textId="6794E45B" w:rsidR="00BE3F1B" w:rsidRPr="00BE1D07" w:rsidRDefault="00BE3F1B" w:rsidP="00971C84">
            <w:pPr>
              <w:rPr>
                <w:rFonts w:ascii="Arial" w:hAnsi="Arial" w:cs="Arial"/>
                <w:color w:val="000000"/>
                <w:sz w:val="16"/>
                <w:szCs w:val="16"/>
              </w:rPr>
            </w:pPr>
            <w:r>
              <w:rPr>
                <w:rFonts w:ascii="Arial" w:hAnsi="Arial" w:cs="Arial"/>
                <w:color w:val="000000"/>
                <w:sz w:val="16"/>
                <w:szCs w:val="16"/>
              </w:rPr>
              <w:t xml:space="preserve">        </w:t>
            </w:r>
            <w:r w:rsidRPr="00BE1D07">
              <w:rPr>
                <w:rFonts w:ascii="Arial" w:hAnsi="Arial" w:cs="Arial"/>
                <w:color w:val="000000"/>
                <w:sz w:val="16"/>
                <w:szCs w:val="16"/>
              </w:rPr>
              <w:t xml:space="preserve">                  </w:t>
            </w:r>
          </w:p>
        </w:tc>
        <w:tc>
          <w:tcPr>
            <w:tcW w:w="2055" w:type="dxa"/>
            <w:tcBorders>
              <w:top w:val="nil"/>
              <w:left w:val="nil"/>
              <w:right w:val="single" w:sz="4" w:space="0" w:color="auto"/>
            </w:tcBorders>
            <w:shd w:val="clear" w:color="auto" w:fill="auto"/>
            <w:tcMar>
              <w:top w:w="85" w:type="dxa"/>
            </w:tcMar>
            <w:hideMark/>
          </w:tcPr>
          <w:p w14:paraId="1EFDAA3B" w14:textId="77777777" w:rsidR="00BE3F1B" w:rsidRDefault="00BE3F1B" w:rsidP="00964B92">
            <w:pPr>
              <w:rPr>
                <w:rFonts w:ascii="Arial" w:hAnsi="Arial" w:cs="Arial"/>
                <w:sz w:val="16"/>
                <w:szCs w:val="16"/>
              </w:rPr>
            </w:pPr>
            <w:r w:rsidRPr="00C94792">
              <w:rPr>
                <w:rFonts w:ascii="Arial" w:hAnsi="Arial" w:cs="Arial"/>
                <w:sz w:val="16"/>
                <w:szCs w:val="16"/>
              </w:rPr>
              <w:t>2(WSO)</w:t>
            </w:r>
          </w:p>
          <w:p w14:paraId="1EA5BFB7" w14:textId="56097310" w:rsidR="00BE3F1B" w:rsidRPr="00FD3DD2" w:rsidRDefault="00BE3F1B" w:rsidP="00FB68E0">
            <w:pPr>
              <w:rPr>
                <w:rFonts w:ascii="Arial" w:hAnsi="Arial" w:cs="Arial"/>
                <w:sz w:val="16"/>
                <w:szCs w:val="16"/>
              </w:rPr>
            </w:pPr>
            <w:r>
              <w:rPr>
                <w:rFonts w:ascii="Arial" w:hAnsi="Arial" w:cs="Arial"/>
                <w:color w:val="000000"/>
                <w:sz w:val="16"/>
                <w:szCs w:val="16"/>
              </w:rPr>
              <w:t>1</w:t>
            </w:r>
            <w:r w:rsidRPr="00BE1D07">
              <w:rPr>
                <w:rFonts w:ascii="Arial" w:hAnsi="Arial" w:cs="Arial"/>
                <w:color w:val="000000"/>
                <w:sz w:val="16"/>
                <w:szCs w:val="16"/>
              </w:rPr>
              <w:t xml:space="preserve">(WRO)  </w:t>
            </w:r>
            <w:r w:rsidRPr="00BE1D07">
              <w:rPr>
                <w:rFonts w:ascii="Arial" w:hAnsi="Arial" w:cs="Arial"/>
                <w:color w:val="000000"/>
                <w:sz w:val="16"/>
                <w:szCs w:val="16"/>
              </w:rPr>
              <w:br/>
            </w:r>
            <w:r w:rsidRPr="00BE1D07">
              <w:rPr>
                <w:rFonts w:ascii="Arial" w:hAnsi="Arial" w:cs="Arial"/>
                <w:color w:val="000000"/>
                <w:sz w:val="16"/>
                <w:szCs w:val="16"/>
              </w:rPr>
              <w:br/>
            </w:r>
            <w:r w:rsidRPr="00BE1D07">
              <w:rPr>
                <w:rFonts w:ascii="Arial" w:hAnsi="Arial" w:cs="Arial"/>
                <w:color w:val="FF0000"/>
                <w:sz w:val="16"/>
                <w:szCs w:val="16"/>
              </w:rPr>
              <w:t> </w:t>
            </w:r>
          </w:p>
        </w:tc>
      </w:tr>
      <w:tr w:rsidR="00BE3F1B" w:rsidRPr="00BE1D07" w14:paraId="4CCB0341" w14:textId="77777777" w:rsidTr="007644FB">
        <w:trPr>
          <w:trHeight w:val="716"/>
        </w:trPr>
        <w:tc>
          <w:tcPr>
            <w:tcW w:w="2380" w:type="dxa"/>
            <w:tcBorders>
              <w:top w:val="nil"/>
              <w:left w:val="single" w:sz="4" w:space="0" w:color="auto"/>
              <w:bottom w:val="single" w:sz="4" w:space="0" w:color="auto"/>
              <w:right w:val="nil"/>
            </w:tcBorders>
            <w:shd w:val="clear" w:color="auto" w:fill="auto"/>
            <w:tcMar>
              <w:top w:w="85" w:type="dxa"/>
            </w:tcMar>
            <w:hideMark/>
          </w:tcPr>
          <w:p w14:paraId="5E258FEC"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bottom w:val="single" w:sz="4" w:space="0" w:color="auto"/>
              <w:right w:val="nil"/>
            </w:tcBorders>
            <w:shd w:val="clear" w:color="auto" w:fill="auto"/>
            <w:tcMar>
              <w:top w:w="85" w:type="dxa"/>
            </w:tcMar>
            <w:hideMark/>
          </w:tcPr>
          <w:p w14:paraId="620F3A62"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xml:space="preserve">No. of ratifications and/or accessions to Singapore  Treaty </w:t>
            </w:r>
          </w:p>
        </w:tc>
        <w:tc>
          <w:tcPr>
            <w:tcW w:w="2380" w:type="dxa"/>
            <w:tcBorders>
              <w:top w:val="nil"/>
              <w:left w:val="nil"/>
              <w:bottom w:val="single" w:sz="4" w:space="0" w:color="auto"/>
              <w:right w:val="nil"/>
            </w:tcBorders>
            <w:shd w:val="clear" w:color="auto" w:fill="auto"/>
            <w:tcMar>
              <w:top w:w="85" w:type="dxa"/>
            </w:tcMar>
            <w:hideMark/>
          </w:tcPr>
          <w:p w14:paraId="7D3F9FC8" w14:textId="74D85CA3"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1 (WSO)</w:t>
            </w:r>
            <w:r w:rsidRPr="00BE1D07">
              <w:rPr>
                <w:rFonts w:ascii="Arial" w:hAnsi="Arial" w:cs="Arial"/>
                <w:color w:val="000000"/>
                <w:sz w:val="16"/>
                <w:szCs w:val="16"/>
              </w:rPr>
              <w:br/>
              <w:t>0 (WJO)</w:t>
            </w:r>
          </w:p>
        </w:tc>
        <w:tc>
          <w:tcPr>
            <w:tcW w:w="2055" w:type="dxa"/>
            <w:tcBorders>
              <w:top w:val="nil"/>
              <w:left w:val="nil"/>
              <w:bottom w:val="single" w:sz="4" w:space="0" w:color="auto"/>
              <w:right w:val="single" w:sz="4" w:space="0" w:color="auto"/>
            </w:tcBorders>
            <w:shd w:val="clear" w:color="auto" w:fill="auto"/>
            <w:tcMar>
              <w:top w:w="85" w:type="dxa"/>
            </w:tcMar>
            <w:hideMark/>
          </w:tcPr>
          <w:p w14:paraId="23791201" w14:textId="77777777" w:rsidR="00BE3F1B" w:rsidRDefault="00BE3F1B" w:rsidP="00BE3F1B">
            <w:pPr>
              <w:rPr>
                <w:rFonts w:ascii="Arial" w:hAnsi="Arial" w:cs="Arial"/>
                <w:color w:val="000000"/>
                <w:sz w:val="16"/>
                <w:szCs w:val="16"/>
              </w:rPr>
            </w:pPr>
            <w:r w:rsidRPr="00CA2428">
              <w:rPr>
                <w:rFonts w:ascii="Arial" w:hAnsi="Arial" w:cs="Arial"/>
                <w:sz w:val="16"/>
                <w:szCs w:val="16"/>
              </w:rPr>
              <w:t xml:space="preserve">1 </w:t>
            </w:r>
            <w:r>
              <w:rPr>
                <w:rFonts w:ascii="Arial" w:hAnsi="Arial" w:cs="Arial"/>
                <w:color w:val="000000"/>
                <w:sz w:val="16"/>
                <w:szCs w:val="16"/>
              </w:rPr>
              <w:t xml:space="preserve">additional </w:t>
            </w:r>
            <w:r w:rsidRPr="00BE1D07">
              <w:rPr>
                <w:rFonts w:ascii="Arial" w:hAnsi="Arial" w:cs="Arial"/>
                <w:color w:val="000000"/>
                <w:sz w:val="16"/>
                <w:szCs w:val="16"/>
              </w:rPr>
              <w:t>(WSO)</w:t>
            </w:r>
          </w:p>
          <w:p w14:paraId="0CE1C83A" w14:textId="76B464F6" w:rsidR="00BE3F1B" w:rsidRPr="00FD3DD2" w:rsidRDefault="00BE3F1B" w:rsidP="00BE3F1B">
            <w:pPr>
              <w:rPr>
                <w:rFonts w:ascii="Arial" w:hAnsi="Arial" w:cs="Arial"/>
                <w:sz w:val="16"/>
                <w:szCs w:val="16"/>
              </w:rPr>
            </w:pPr>
            <w:r>
              <w:rPr>
                <w:rFonts w:ascii="Arial" w:hAnsi="Arial" w:cs="Arial"/>
                <w:color w:val="000000"/>
                <w:sz w:val="16"/>
                <w:szCs w:val="16"/>
              </w:rPr>
              <w:t>1</w:t>
            </w:r>
            <w:r w:rsidRPr="00BE1D07">
              <w:rPr>
                <w:rFonts w:ascii="Arial" w:hAnsi="Arial" w:cs="Arial"/>
                <w:color w:val="000000"/>
                <w:sz w:val="16"/>
                <w:szCs w:val="16"/>
              </w:rPr>
              <w:t xml:space="preserve"> (WJO)</w:t>
            </w:r>
          </w:p>
        </w:tc>
      </w:tr>
      <w:tr w:rsidR="00BE3F1B" w:rsidRPr="00BE1D07" w14:paraId="142CFA38" w14:textId="77777777" w:rsidTr="007644FB">
        <w:trPr>
          <w:trHeight w:val="1625"/>
        </w:trPr>
        <w:tc>
          <w:tcPr>
            <w:tcW w:w="2380" w:type="dxa"/>
            <w:tcBorders>
              <w:top w:val="single" w:sz="4" w:space="0" w:color="auto"/>
              <w:left w:val="single" w:sz="4" w:space="0" w:color="auto"/>
              <w:bottom w:val="nil"/>
              <w:right w:val="nil"/>
            </w:tcBorders>
            <w:shd w:val="clear" w:color="auto" w:fill="auto"/>
            <w:tcMar>
              <w:top w:w="85" w:type="dxa"/>
            </w:tcMar>
            <w:hideMark/>
          </w:tcPr>
          <w:p w14:paraId="2348B892"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lastRenderedPageBreak/>
              <w:t> </w:t>
            </w:r>
          </w:p>
        </w:tc>
        <w:tc>
          <w:tcPr>
            <w:tcW w:w="2380" w:type="dxa"/>
            <w:tcBorders>
              <w:top w:val="single" w:sz="4" w:space="0" w:color="auto"/>
              <w:left w:val="nil"/>
              <w:bottom w:val="nil"/>
              <w:right w:val="nil"/>
            </w:tcBorders>
            <w:shd w:val="clear" w:color="auto" w:fill="auto"/>
            <w:tcMar>
              <w:top w:w="85" w:type="dxa"/>
            </w:tcMar>
            <w:hideMark/>
          </w:tcPr>
          <w:p w14:paraId="37DD785B" w14:textId="77777777"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 xml:space="preserve">No. of ratifications and/or accessions to the Internet Treaties </w:t>
            </w:r>
          </w:p>
        </w:tc>
        <w:tc>
          <w:tcPr>
            <w:tcW w:w="2380" w:type="dxa"/>
            <w:tcBorders>
              <w:top w:val="single" w:sz="4" w:space="0" w:color="auto"/>
              <w:left w:val="nil"/>
              <w:bottom w:val="nil"/>
              <w:right w:val="nil"/>
            </w:tcBorders>
            <w:shd w:val="clear" w:color="auto" w:fill="auto"/>
            <w:tcMar>
              <w:top w:w="85" w:type="dxa"/>
            </w:tcMar>
            <w:hideMark/>
          </w:tcPr>
          <w:p w14:paraId="465F0131" w14:textId="1ED418DD" w:rsidR="00BE3F1B" w:rsidRPr="00BE1D07" w:rsidRDefault="00BE3F1B" w:rsidP="00971C84">
            <w:pPr>
              <w:rPr>
                <w:rFonts w:ascii="Arial" w:hAnsi="Arial" w:cs="Arial"/>
                <w:color w:val="000000"/>
                <w:sz w:val="16"/>
                <w:szCs w:val="16"/>
              </w:rPr>
            </w:pPr>
            <w:r w:rsidRPr="00BE1D07">
              <w:rPr>
                <w:rFonts w:ascii="Arial" w:hAnsi="Arial" w:cs="Arial"/>
                <w:color w:val="000000"/>
                <w:sz w:val="16"/>
                <w:szCs w:val="16"/>
              </w:rPr>
              <w:t>WIPO Copyright Treaty:</w:t>
            </w:r>
            <w:r w:rsidRPr="00BE1D07">
              <w:rPr>
                <w:rFonts w:ascii="Arial" w:hAnsi="Arial" w:cs="Arial"/>
                <w:color w:val="000000"/>
                <w:sz w:val="16"/>
                <w:szCs w:val="16"/>
              </w:rPr>
              <w:br/>
              <w:t xml:space="preserve">4 (WSO)   </w:t>
            </w:r>
            <w:r w:rsidRPr="00BE1D07">
              <w:rPr>
                <w:rFonts w:ascii="Arial" w:hAnsi="Arial" w:cs="Arial"/>
                <w:color w:val="000000"/>
                <w:sz w:val="16"/>
                <w:szCs w:val="16"/>
              </w:rPr>
              <w:br/>
              <w:t xml:space="preserve">                                                           </w:t>
            </w:r>
            <w:r w:rsidRPr="00BE1D07">
              <w:rPr>
                <w:rFonts w:ascii="Arial" w:hAnsi="Arial" w:cs="Arial"/>
                <w:color w:val="000000"/>
                <w:sz w:val="16"/>
                <w:szCs w:val="16"/>
              </w:rPr>
              <w:br/>
              <w:t>WIPO Performances and Phonog</w:t>
            </w:r>
            <w:r>
              <w:rPr>
                <w:rFonts w:ascii="Arial" w:hAnsi="Arial" w:cs="Arial"/>
                <w:color w:val="000000"/>
                <w:sz w:val="16"/>
                <w:szCs w:val="16"/>
              </w:rPr>
              <w:t>rams Treaty:</w:t>
            </w:r>
            <w:r>
              <w:rPr>
                <w:rFonts w:ascii="Arial" w:hAnsi="Arial" w:cs="Arial"/>
                <w:color w:val="000000"/>
                <w:sz w:val="16"/>
                <w:szCs w:val="16"/>
              </w:rPr>
              <w:br/>
              <w:t xml:space="preserve">4 (WSO)   </w:t>
            </w:r>
            <w:r>
              <w:rPr>
                <w:rFonts w:ascii="Arial" w:hAnsi="Arial" w:cs="Arial"/>
                <w:color w:val="000000"/>
                <w:sz w:val="16"/>
                <w:szCs w:val="16"/>
              </w:rPr>
              <w:br/>
            </w:r>
            <w:r w:rsidRPr="00BE1D07">
              <w:rPr>
                <w:rFonts w:ascii="Arial" w:hAnsi="Arial" w:cs="Arial"/>
                <w:color w:val="000000"/>
                <w:sz w:val="16"/>
                <w:szCs w:val="16"/>
              </w:rPr>
              <w:t xml:space="preserve">                          </w:t>
            </w:r>
          </w:p>
        </w:tc>
        <w:tc>
          <w:tcPr>
            <w:tcW w:w="2055" w:type="dxa"/>
            <w:tcBorders>
              <w:top w:val="single" w:sz="4" w:space="0" w:color="auto"/>
              <w:left w:val="nil"/>
              <w:bottom w:val="nil"/>
              <w:right w:val="single" w:sz="4" w:space="0" w:color="auto"/>
            </w:tcBorders>
            <w:shd w:val="clear" w:color="auto" w:fill="auto"/>
            <w:tcMar>
              <w:top w:w="85" w:type="dxa"/>
            </w:tcMar>
            <w:hideMark/>
          </w:tcPr>
          <w:p w14:paraId="7B783F79" w14:textId="77777777" w:rsidR="00BE3F1B" w:rsidRPr="00D655F5" w:rsidRDefault="00BE3F1B" w:rsidP="00964B92">
            <w:pPr>
              <w:ind w:firstLineChars="200" w:firstLine="320"/>
              <w:rPr>
                <w:rFonts w:ascii="Arial" w:hAnsi="Arial" w:cs="Arial"/>
                <w:sz w:val="16"/>
                <w:szCs w:val="16"/>
              </w:rPr>
            </w:pPr>
            <w:r w:rsidRPr="00D655F5">
              <w:rPr>
                <w:rFonts w:ascii="Arial" w:hAnsi="Arial" w:cs="Arial"/>
                <w:sz w:val="16"/>
                <w:szCs w:val="16"/>
              </w:rPr>
              <w:t> </w:t>
            </w:r>
          </w:p>
          <w:p w14:paraId="4F27F86C" w14:textId="77777777" w:rsidR="00BE3F1B" w:rsidRDefault="00BE3F1B" w:rsidP="00964B92">
            <w:pPr>
              <w:ind w:firstLineChars="200" w:firstLine="320"/>
              <w:rPr>
                <w:rFonts w:ascii="Arial" w:hAnsi="Arial" w:cs="Arial"/>
                <w:color w:val="000000"/>
                <w:sz w:val="16"/>
                <w:szCs w:val="16"/>
              </w:rPr>
            </w:pPr>
            <w:r>
              <w:rPr>
                <w:rFonts w:ascii="Arial" w:hAnsi="Arial" w:cs="Arial"/>
                <w:color w:val="000000"/>
                <w:sz w:val="16"/>
                <w:szCs w:val="16"/>
              </w:rPr>
              <w:t>1</w:t>
            </w:r>
            <w:r w:rsidRPr="00BE1D07">
              <w:rPr>
                <w:rFonts w:ascii="Arial" w:hAnsi="Arial" w:cs="Arial"/>
                <w:color w:val="000000"/>
                <w:sz w:val="16"/>
                <w:szCs w:val="16"/>
              </w:rPr>
              <w:t xml:space="preserve"> </w:t>
            </w:r>
            <w:r>
              <w:rPr>
                <w:rFonts w:ascii="Arial" w:hAnsi="Arial" w:cs="Arial"/>
                <w:color w:val="000000"/>
                <w:sz w:val="16"/>
                <w:szCs w:val="16"/>
              </w:rPr>
              <w:t xml:space="preserve">additional </w:t>
            </w:r>
            <w:r w:rsidRPr="00BE1D07">
              <w:rPr>
                <w:rFonts w:ascii="Arial" w:hAnsi="Arial" w:cs="Arial"/>
                <w:color w:val="000000"/>
                <w:sz w:val="16"/>
                <w:szCs w:val="16"/>
              </w:rPr>
              <w:t>(WSO)</w:t>
            </w:r>
          </w:p>
          <w:p w14:paraId="4B721DA0" w14:textId="77777777" w:rsidR="00BE3F1B" w:rsidRDefault="00BE3F1B" w:rsidP="00964B92">
            <w:pPr>
              <w:ind w:firstLineChars="200" w:firstLine="320"/>
              <w:rPr>
                <w:rFonts w:ascii="Arial" w:hAnsi="Arial" w:cs="Arial"/>
                <w:color w:val="000000"/>
                <w:sz w:val="16"/>
                <w:szCs w:val="16"/>
              </w:rPr>
            </w:pPr>
          </w:p>
          <w:p w14:paraId="73E76D85" w14:textId="77777777" w:rsidR="00BE3F1B" w:rsidRDefault="00BE3F1B" w:rsidP="00964B92">
            <w:pPr>
              <w:ind w:firstLineChars="200" w:firstLine="320"/>
              <w:rPr>
                <w:rFonts w:ascii="Arial" w:hAnsi="Arial" w:cs="Arial"/>
                <w:color w:val="000000"/>
                <w:sz w:val="16"/>
                <w:szCs w:val="16"/>
              </w:rPr>
            </w:pPr>
          </w:p>
          <w:p w14:paraId="106184D3" w14:textId="77777777" w:rsidR="00BE3F1B" w:rsidRDefault="00BE3F1B" w:rsidP="00964B92">
            <w:pPr>
              <w:ind w:firstLineChars="200" w:firstLine="320"/>
              <w:rPr>
                <w:rFonts w:ascii="Arial" w:hAnsi="Arial" w:cs="Arial"/>
                <w:color w:val="000000"/>
                <w:sz w:val="16"/>
                <w:szCs w:val="16"/>
              </w:rPr>
            </w:pPr>
          </w:p>
          <w:p w14:paraId="45BD8F3D" w14:textId="08314FB9" w:rsidR="00BE3F1B" w:rsidRPr="00FD3DD2" w:rsidRDefault="00BE3F1B" w:rsidP="00971C84">
            <w:pPr>
              <w:ind w:firstLineChars="200" w:firstLine="320"/>
              <w:rPr>
                <w:rFonts w:ascii="Arial" w:hAnsi="Arial" w:cs="Arial"/>
                <w:sz w:val="16"/>
                <w:szCs w:val="16"/>
              </w:rPr>
            </w:pPr>
            <w:r>
              <w:rPr>
                <w:rFonts w:ascii="Arial" w:hAnsi="Arial" w:cs="Arial"/>
                <w:color w:val="000000"/>
                <w:sz w:val="16"/>
                <w:szCs w:val="16"/>
              </w:rPr>
              <w:t>1</w:t>
            </w:r>
            <w:r w:rsidRPr="00BE1D07">
              <w:rPr>
                <w:rFonts w:ascii="Arial" w:hAnsi="Arial" w:cs="Arial"/>
                <w:color w:val="000000"/>
                <w:sz w:val="16"/>
                <w:szCs w:val="16"/>
              </w:rPr>
              <w:t xml:space="preserve"> </w:t>
            </w:r>
            <w:r>
              <w:rPr>
                <w:rFonts w:ascii="Arial" w:hAnsi="Arial" w:cs="Arial"/>
                <w:color w:val="000000"/>
                <w:sz w:val="16"/>
                <w:szCs w:val="16"/>
              </w:rPr>
              <w:t xml:space="preserve">additional </w:t>
            </w:r>
            <w:r w:rsidRPr="00BE1D07">
              <w:rPr>
                <w:rFonts w:ascii="Arial" w:hAnsi="Arial" w:cs="Arial"/>
                <w:color w:val="000000"/>
                <w:sz w:val="16"/>
                <w:szCs w:val="16"/>
              </w:rPr>
              <w:t xml:space="preserve">(WSO)   </w:t>
            </w:r>
          </w:p>
        </w:tc>
      </w:tr>
      <w:tr w:rsidR="00971C84" w:rsidRPr="00BE1D07" w14:paraId="23153780" w14:textId="77777777" w:rsidTr="00BE3F1B">
        <w:trPr>
          <w:trHeight w:val="1118"/>
        </w:trPr>
        <w:tc>
          <w:tcPr>
            <w:tcW w:w="2380" w:type="dxa"/>
            <w:tcBorders>
              <w:top w:val="nil"/>
              <w:left w:val="single" w:sz="4" w:space="0" w:color="auto"/>
              <w:right w:val="nil"/>
            </w:tcBorders>
            <w:shd w:val="clear" w:color="auto" w:fill="auto"/>
            <w:tcMar>
              <w:top w:w="85" w:type="dxa"/>
            </w:tcMar>
            <w:hideMark/>
          </w:tcPr>
          <w:p w14:paraId="1C87EEC4"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II.1 Wider and more effective use of the PCT system for filing international patent applications</w:t>
            </w:r>
          </w:p>
        </w:tc>
        <w:tc>
          <w:tcPr>
            <w:tcW w:w="2380" w:type="dxa"/>
            <w:tcBorders>
              <w:top w:val="nil"/>
              <w:left w:val="nil"/>
              <w:right w:val="nil"/>
            </w:tcBorders>
            <w:shd w:val="clear" w:color="auto" w:fill="auto"/>
            <w:tcMar>
              <w:top w:w="85" w:type="dxa"/>
            </w:tcMar>
            <w:hideMark/>
          </w:tcPr>
          <w:p w14:paraId="25DFA66D"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No. of PCT applications</w:t>
            </w:r>
          </w:p>
        </w:tc>
        <w:tc>
          <w:tcPr>
            <w:tcW w:w="2380" w:type="dxa"/>
            <w:tcBorders>
              <w:top w:val="nil"/>
              <w:left w:val="nil"/>
              <w:right w:val="nil"/>
            </w:tcBorders>
            <w:shd w:val="clear" w:color="auto" w:fill="auto"/>
            <w:tcMar>
              <w:top w:w="85" w:type="dxa"/>
            </w:tcMar>
            <w:hideMark/>
          </w:tcPr>
          <w:p w14:paraId="1000798B" w14:textId="44C430A4" w:rsidR="00971C84" w:rsidRPr="00BE1D07" w:rsidRDefault="00971C84" w:rsidP="00BE3F1B">
            <w:pPr>
              <w:rPr>
                <w:rFonts w:ascii="Arial" w:hAnsi="Arial" w:cs="Arial"/>
                <w:color w:val="000000"/>
                <w:sz w:val="16"/>
                <w:szCs w:val="16"/>
              </w:rPr>
            </w:pPr>
            <w:r w:rsidRPr="00BE1D07">
              <w:rPr>
                <w:rFonts w:ascii="Arial" w:hAnsi="Arial" w:cs="Arial"/>
                <w:color w:val="000000"/>
                <w:sz w:val="16"/>
                <w:szCs w:val="16"/>
              </w:rPr>
              <w:t>1,</w:t>
            </w:r>
            <w:r w:rsidR="00BE3F1B">
              <w:rPr>
                <w:rFonts w:ascii="Arial" w:hAnsi="Arial" w:cs="Arial"/>
                <w:color w:val="000000"/>
                <w:sz w:val="16"/>
                <w:szCs w:val="16"/>
              </w:rPr>
              <w:t xml:space="preserve">387 </w:t>
            </w:r>
            <w:r>
              <w:rPr>
                <w:rFonts w:ascii="Arial" w:hAnsi="Arial" w:cs="Arial"/>
                <w:color w:val="000000"/>
                <w:sz w:val="16"/>
                <w:szCs w:val="16"/>
              </w:rPr>
              <w:t xml:space="preserve">(in </w:t>
            </w:r>
            <w:r w:rsidRPr="00BE1D07">
              <w:rPr>
                <w:rFonts w:ascii="Arial" w:hAnsi="Arial" w:cs="Arial"/>
                <w:color w:val="000000"/>
                <w:sz w:val="16"/>
                <w:szCs w:val="16"/>
              </w:rPr>
              <w:t>201</w:t>
            </w:r>
            <w:r w:rsidR="00BE3F1B">
              <w:rPr>
                <w:rFonts w:ascii="Arial" w:hAnsi="Arial" w:cs="Arial"/>
                <w:color w:val="000000"/>
                <w:sz w:val="16"/>
                <w:szCs w:val="16"/>
              </w:rPr>
              <w:t>4</w:t>
            </w:r>
            <w:r>
              <w:rPr>
                <w:rFonts w:ascii="Arial" w:hAnsi="Arial" w:cs="Arial"/>
                <w:color w:val="000000"/>
                <w:sz w:val="16"/>
                <w:szCs w:val="16"/>
              </w:rPr>
              <w:t>)</w:t>
            </w:r>
            <w:r w:rsidRPr="00BE1D07">
              <w:rPr>
                <w:rFonts w:ascii="Arial" w:hAnsi="Arial" w:cs="Arial"/>
                <w:color w:val="000000"/>
                <w:sz w:val="16"/>
                <w:szCs w:val="16"/>
              </w:rPr>
              <w:t xml:space="preserve"> (WSO)</w:t>
            </w:r>
            <w:r w:rsidRPr="00BE1D07">
              <w:rPr>
                <w:rFonts w:ascii="Arial" w:hAnsi="Arial" w:cs="Arial"/>
                <w:color w:val="000000"/>
                <w:sz w:val="16"/>
                <w:szCs w:val="16"/>
              </w:rPr>
              <w:br/>
            </w:r>
            <w:r w:rsidR="00BE3F1B">
              <w:rPr>
                <w:rFonts w:ascii="Arial" w:hAnsi="Arial" w:cs="Arial"/>
                <w:color w:val="000000"/>
                <w:sz w:val="16"/>
                <w:szCs w:val="16"/>
              </w:rPr>
              <w:t>581</w:t>
            </w:r>
            <w:r w:rsidRPr="00BE1D07">
              <w:rPr>
                <w:rFonts w:ascii="Arial" w:hAnsi="Arial" w:cs="Arial"/>
                <w:color w:val="000000"/>
                <w:sz w:val="16"/>
                <w:szCs w:val="16"/>
              </w:rPr>
              <w:t xml:space="preserve"> </w:t>
            </w:r>
            <w:r>
              <w:rPr>
                <w:rFonts w:ascii="Arial" w:hAnsi="Arial" w:cs="Arial"/>
                <w:color w:val="000000"/>
                <w:sz w:val="16"/>
                <w:szCs w:val="16"/>
              </w:rPr>
              <w:t>(in</w:t>
            </w:r>
            <w:r w:rsidRPr="00BE1D07">
              <w:rPr>
                <w:rFonts w:ascii="Arial" w:hAnsi="Arial" w:cs="Arial"/>
                <w:color w:val="000000"/>
                <w:sz w:val="16"/>
                <w:szCs w:val="16"/>
              </w:rPr>
              <w:t xml:space="preserve"> 201</w:t>
            </w:r>
            <w:r w:rsidR="00BE3F1B">
              <w:rPr>
                <w:rFonts w:ascii="Arial" w:hAnsi="Arial" w:cs="Arial"/>
                <w:color w:val="000000"/>
                <w:sz w:val="16"/>
                <w:szCs w:val="16"/>
              </w:rPr>
              <w:t>4</w:t>
            </w:r>
            <w:r>
              <w:rPr>
                <w:rFonts w:ascii="Arial" w:hAnsi="Arial" w:cs="Arial"/>
                <w:color w:val="000000"/>
                <w:sz w:val="16"/>
                <w:szCs w:val="16"/>
              </w:rPr>
              <w:t xml:space="preserve">) (WBO)  </w:t>
            </w:r>
            <w:r>
              <w:rPr>
                <w:rFonts w:ascii="Arial" w:hAnsi="Arial" w:cs="Arial"/>
                <w:color w:val="000000"/>
                <w:sz w:val="16"/>
                <w:szCs w:val="16"/>
              </w:rPr>
              <w:br/>
              <w:t>42,459</w:t>
            </w:r>
            <w:r w:rsidRPr="00BE1D07">
              <w:rPr>
                <w:rFonts w:ascii="Arial" w:hAnsi="Arial" w:cs="Arial"/>
                <w:color w:val="000000"/>
                <w:sz w:val="16"/>
                <w:szCs w:val="16"/>
              </w:rPr>
              <w:t xml:space="preserve"> </w:t>
            </w:r>
            <w:r>
              <w:rPr>
                <w:rFonts w:ascii="Arial" w:hAnsi="Arial" w:cs="Arial"/>
                <w:color w:val="000000"/>
                <w:sz w:val="16"/>
                <w:szCs w:val="16"/>
              </w:rPr>
              <w:t>(</w:t>
            </w:r>
            <w:r w:rsidR="00BE3F1B">
              <w:rPr>
                <w:rFonts w:ascii="Arial" w:hAnsi="Arial" w:cs="Arial"/>
                <w:color w:val="000000"/>
                <w:sz w:val="16"/>
                <w:szCs w:val="16"/>
              </w:rPr>
              <w:t xml:space="preserve">in </w:t>
            </w:r>
            <w:r>
              <w:rPr>
                <w:rFonts w:ascii="Arial" w:hAnsi="Arial" w:cs="Arial"/>
                <w:color w:val="000000"/>
                <w:sz w:val="16"/>
                <w:szCs w:val="16"/>
              </w:rPr>
              <w:t>2014)</w:t>
            </w:r>
            <w:r w:rsidRPr="00BE1D07">
              <w:rPr>
                <w:rFonts w:ascii="Arial" w:hAnsi="Arial" w:cs="Arial"/>
                <w:color w:val="000000"/>
                <w:sz w:val="16"/>
                <w:szCs w:val="16"/>
              </w:rPr>
              <w:t xml:space="preserve"> (WJO)</w:t>
            </w:r>
            <w:r w:rsidRPr="00BE1D07">
              <w:rPr>
                <w:rFonts w:ascii="Arial" w:hAnsi="Arial" w:cs="Arial"/>
                <w:i/>
                <w:iCs/>
                <w:color w:val="000000"/>
                <w:sz w:val="16"/>
                <w:szCs w:val="16"/>
              </w:rPr>
              <w:br/>
            </w:r>
            <w:r w:rsidR="00BE3F1B" w:rsidRPr="00BE3F1B">
              <w:rPr>
                <w:rFonts w:ascii="Arial" w:hAnsi="Arial" w:cs="Arial"/>
                <w:color w:val="000000"/>
                <w:sz w:val="16"/>
                <w:szCs w:val="16"/>
              </w:rPr>
              <w:t>890</w:t>
            </w:r>
            <w:r w:rsidR="00BE3F1B">
              <w:rPr>
                <w:rFonts w:ascii="Arial" w:hAnsi="Arial" w:cs="Arial"/>
                <w:color w:val="000000"/>
                <w:sz w:val="16"/>
                <w:szCs w:val="16"/>
              </w:rPr>
              <w:t xml:space="preserve"> </w:t>
            </w:r>
            <w:r w:rsidR="00BE3F1B" w:rsidRPr="00BE3F1B">
              <w:rPr>
                <w:rFonts w:ascii="Arial" w:hAnsi="Arial" w:cs="Arial"/>
                <w:color w:val="000000"/>
                <w:sz w:val="16"/>
                <w:szCs w:val="16"/>
              </w:rPr>
              <w:t xml:space="preserve">(in 2014) </w:t>
            </w:r>
            <w:r w:rsidRPr="00BE3F1B">
              <w:rPr>
                <w:rFonts w:ascii="Arial" w:hAnsi="Arial" w:cs="Arial"/>
                <w:color w:val="000000"/>
                <w:sz w:val="16"/>
                <w:szCs w:val="16"/>
              </w:rPr>
              <w:t>(WRO)</w:t>
            </w:r>
            <w:r w:rsidRPr="00BE1D07">
              <w:rPr>
                <w:rFonts w:ascii="Arial" w:hAnsi="Arial" w:cs="Arial"/>
                <w:i/>
                <w:iCs/>
                <w:color w:val="000000"/>
                <w:sz w:val="16"/>
                <w:szCs w:val="16"/>
              </w:rPr>
              <w:br/>
            </w:r>
            <w:r w:rsidRPr="00BE1D07">
              <w:rPr>
                <w:rFonts w:ascii="Arial" w:hAnsi="Arial" w:cs="Arial"/>
                <w:color w:val="000000"/>
                <w:sz w:val="16"/>
                <w:szCs w:val="16"/>
              </w:rPr>
              <w:t>2</w:t>
            </w:r>
            <w:r w:rsidR="00BE3F1B">
              <w:rPr>
                <w:rFonts w:ascii="Arial" w:hAnsi="Arial" w:cs="Arial"/>
                <w:color w:val="000000"/>
                <w:sz w:val="16"/>
                <w:szCs w:val="16"/>
              </w:rPr>
              <w:t>5</w:t>
            </w:r>
            <w:r w:rsidRPr="00BE1D07">
              <w:rPr>
                <w:rFonts w:ascii="Arial" w:hAnsi="Arial" w:cs="Arial"/>
                <w:color w:val="000000"/>
                <w:sz w:val="16"/>
                <w:szCs w:val="16"/>
              </w:rPr>
              <w:t>,5</w:t>
            </w:r>
            <w:r w:rsidR="00BE3F1B">
              <w:rPr>
                <w:rFonts w:ascii="Arial" w:hAnsi="Arial" w:cs="Arial"/>
                <w:color w:val="000000"/>
                <w:sz w:val="16"/>
                <w:szCs w:val="16"/>
              </w:rPr>
              <w:t>39</w:t>
            </w:r>
            <w:r w:rsidRPr="00BE1D07">
              <w:rPr>
                <w:rFonts w:ascii="Arial" w:hAnsi="Arial" w:cs="Arial"/>
                <w:color w:val="000000"/>
                <w:sz w:val="16"/>
                <w:szCs w:val="16"/>
              </w:rPr>
              <w:t xml:space="preserve"> </w:t>
            </w:r>
            <w:r>
              <w:rPr>
                <w:rFonts w:ascii="Arial" w:hAnsi="Arial" w:cs="Arial"/>
                <w:color w:val="000000"/>
                <w:sz w:val="16"/>
                <w:szCs w:val="16"/>
              </w:rPr>
              <w:t>(in</w:t>
            </w:r>
            <w:r w:rsidRPr="00BE1D07">
              <w:rPr>
                <w:rFonts w:ascii="Arial" w:hAnsi="Arial" w:cs="Arial"/>
                <w:color w:val="000000"/>
                <w:sz w:val="16"/>
                <w:szCs w:val="16"/>
              </w:rPr>
              <w:t xml:space="preserve"> 201</w:t>
            </w:r>
            <w:r w:rsidR="00BE3F1B">
              <w:rPr>
                <w:rFonts w:ascii="Arial" w:hAnsi="Arial" w:cs="Arial"/>
                <w:color w:val="000000"/>
                <w:sz w:val="16"/>
                <w:szCs w:val="16"/>
              </w:rPr>
              <w:t>4</w:t>
            </w:r>
            <w:r>
              <w:rPr>
                <w:rFonts w:ascii="Arial" w:hAnsi="Arial" w:cs="Arial"/>
                <w:color w:val="000000"/>
                <w:sz w:val="16"/>
                <w:szCs w:val="16"/>
              </w:rPr>
              <w:t>)</w:t>
            </w:r>
            <w:r w:rsidRPr="00BE1D07">
              <w:rPr>
                <w:rFonts w:ascii="Arial" w:hAnsi="Arial" w:cs="Arial"/>
                <w:color w:val="000000"/>
                <w:sz w:val="16"/>
                <w:szCs w:val="16"/>
              </w:rPr>
              <w:t xml:space="preserve">  (</w:t>
            </w:r>
            <w:r w:rsidR="00FA17AB">
              <w:rPr>
                <w:rFonts w:ascii="Arial" w:hAnsi="Arial" w:cs="Arial"/>
                <w:color w:val="000000"/>
                <w:sz w:val="16"/>
                <w:szCs w:val="16"/>
              </w:rPr>
              <w:t>WOC</w:t>
            </w:r>
            <w:r w:rsidRPr="00BE1D07">
              <w:rPr>
                <w:rFonts w:ascii="Arial" w:hAnsi="Arial" w:cs="Arial"/>
                <w:color w:val="000000"/>
                <w:sz w:val="16"/>
                <w:szCs w:val="16"/>
              </w:rPr>
              <w:t xml:space="preserve">) </w:t>
            </w:r>
            <w:r w:rsidRPr="00BE1D07">
              <w:rPr>
                <w:rFonts w:ascii="Arial" w:hAnsi="Arial" w:cs="Arial"/>
                <w:color w:val="000000"/>
                <w:sz w:val="16"/>
                <w:szCs w:val="16"/>
              </w:rPr>
              <w:br/>
            </w:r>
          </w:p>
        </w:tc>
        <w:tc>
          <w:tcPr>
            <w:tcW w:w="2055" w:type="dxa"/>
            <w:tcBorders>
              <w:top w:val="nil"/>
              <w:left w:val="nil"/>
              <w:right w:val="single" w:sz="4" w:space="0" w:color="auto"/>
            </w:tcBorders>
            <w:shd w:val="clear" w:color="auto" w:fill="auto"/>
            <w:tcMar>
              <w:top w:w="85" w:type="dxa"/>
            </w:tcMar>
            <w:hideMark/>
          </w:tcPr>
          <w:p w14:paraId="7D438A15" w14:textId="77777777" w:rsidR="00971C84" w:rsidRPr="00FD3DD2" w:rsidRDefault="00971C84" w:rsidP="00971C84">
            <w:pPr>
              <w:rPr>
                <w:rFonts w:ascii="Arial" w:hAnsi="Arial" w:cs="Arial"/>
                <w:sz w:val="16"/>
                <w:szCs w:val="16"/>
              </w:rPr>
            </w:pPr>
            <w:r w:rsidRPr="00FD3DD2">
              <w:rPr>
                <w:rFonts w:ascii="Arial" w:hAnsi="Arial" w:cs="Arial"/>
                <w:sz w:val="16"/>
                <w:szCs w:val="16"/>
              </w:rPr>
              <w:t>Annual increase of 2% (all Offices)</w:t>
            </w:r>
          </w:p>
        </w:tc>
      </w:tr>
      <w:tr w:rsidR="00971C84" w:rsidRPr="00BE1D07" w14:paraId="54A805E4" w14:textId="77777777" w:rsidTr="007644FB">
        <w:trPr>
          <w:trHeight w:val="1305"/>
        </w:trPr>
        <w:tc>
          <w:tcPr>
            <w:tcW w:w="2380" w:type="dxa"/>
            <w:tcBorders>
              <w:top w:val="nil"/>
              <w:left w:val="single" w:sz="4" w:space="0" w:color="auto"/>
              <w:right w:val="nil"/>
            </w:tcBorders>
            <w:shd w:val="clear" w:color="auto" w:fill="auto"/>
            <w:tcMar>
              <w:top w:w="85" w:type="dxa"/>
            </w:tcMar>
            <w:hideMark/>
          </w:tcPr>
          <w:p w14:paraId="7FFEE451"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right w:val="nil"/>
            </w:tcBorders>
            <w:shd w:val="clear" w:color="auto" w:fill="auto"/>
            <w:tcMar>
              <w:top w:w="85" w:type="dxa"/>
            </w:tcMar>
            <w:hideMark/>
          </w:tcPr>
          <w:p w14:paraId="7089E7D1"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of policy makers, government officials, and IP practitioners and participants in targeted workshops with enhanced understanding of PCT and related topics</w:t>
            </w:r>
          </w:p>
        </w:tc>
        <w:tc>
          <w:tcPr>
            <w:tcW w:w="2380" w:type="dxa"/>
            <w:tcBorders>
              <w:top w:val="nil"/>
              <w:left w:val="nil"/>
              <w:right w:val="nil"/>
            </w:tcBorders>
            <w:shd w:val="clear" w:color="auto" w:fill="auto"/>
            <w:tcMar>
              <w:top w:w="85" w:type="dxa"/>
            </w:tcMar>
            <w:hideMark/>
          </w:tcPr>
          <w:p w14:paraId="758F2872" w14:textId="77777777" w:rsidR="00971C84" w:rsidRDefault="00971C84" w:rsidP="00971C84">
            <w:pPr>
              <w:rPr>
                <w:rFonts w:ascii="Arial" w:hAnsi="Arial" w:cs="Arial"/>
                <w:color w:val="000000"/>
                <w:sz w:val="16"/>
                <w:szCs w:val="16"/>
              </w:rPr>
            </w:pPr>
            <w:r>
              <w:rPr>
                <w:rFonts w:ascii="Arial" w:hAnsi="Arial" w:cs="Arial"/>
                <w:color w:val="000000"/>
                <w:sz w:val="16"/>
                <w:szCs w:val="16"/>
              </w:rPr>
              <w:t xml:space="preserve">93% (WSO) </w:t>
            </w:r>
          </w:p>
          <w:p w14:paraId="100F906F" w14:textId="77777777" w:rsidR="00971C84" w:rsidRDefault="00971C84" w:rsidP="00971C84">
            <w:pPr>
              <w:rPr>
                <w:rFonts w:ascii="Arial" w:hAnsi="Arial" w:cs="Arial"/>
                <w:color w:val="000000"/>
                <w:sz w:val="16"/>
                <w:szCs w:val="16"/>
              </w:rPr>
            </w:pPr>
            <w:r>
              <w:rPr>
                <w:rFonts w:ascii="Arial" w:hAnsi="Arial" w:cs="Arial"/>
                <w:color w:val="000000"/>
                <w:sz w:val="16"/>
                <w:szCs w:val="16"/>
              </w:rPr>
              <w:t>75% (WBO)</w:t>
            </w:r>
          </w:p>
          <w:p w14:paraId="40249EE8"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94% (WJO)</w:t>
            </w:r>
            <w:r>
              <w:rPr>
                <w:rFonts w:ascii="Arial" w:hAnsi="Arial" w:cs="Arial"/>
                <w:color w:val="000000"/>
                <w:sz w:val="16"/>
                <w:szCs w:val="16"/>
              </w:rPr>
              <w:br/>
            </w:r>
          </w:p>
        </w:tc>
        <w:tc>
          <w:tcPr>
            <w:tcW w:w="2055" w:type="dxa"/>
            <w:tcBorders>
              <w:top w:val="nil"/>
              <w:left w:val="nil"/>
              <w:right w:val="single" w:sz="4" w:space="0" w:color="auto"/>
            </w:tcBorders>
            <w:shd w:val="clear" w:color="auto" w:fill="auto"/>
            <w:tcMar>
              <w:top w:w="85" w:type="dxa"/>
            </w:tcMar>
            <w:hideMark/>
          </w:tcPr>
          <w:p w14:paraId="57F1070B" w14:textId="77777777" w:rsidR="00971C84" w:rsidRPr="00FD3DD2" w:rsidRDefault="00971C84" w:rsidP="00971C84">
            <w:pPr>
              <w:rPr>
                <w:rFonts w:ascii="Arial" w:hAnsi="Arial" w:cs="Arial"/>
                <w:sz w:val="16"/>
                <w:szCs w:val="16"/>
              </w:rPr>
            </w:pPr>
            <w:r w:rsidRPr="00FD3DD2">
              <w:rPr>
                <w:rFonts w:ascii="Arial" w:hAnsi="Arial" w:cs="Arial"/>
                <w:sz w:val="16"/>
                <w:szCs w:val="16"/>
              </w:rPr>
              <w:t>75% (all Offices)</w:t>
            </w:r>
          </w:p>
        </w:tc>
      </w:tr>
      <w:tr w:rsidR="00971C84" w:rsidRPr="00BE1D07" w14:paraId="66DE6CF3" w14:textId="77777777" w:rsidTr="007644FB">
        <w:trPr>
          <w:trHeight w:val="707"/>
        </w:trPr>
        <w:tc>
          <w:tcPr>
            <w:tcW w:w="2380" w:type="dxa"/>
            <w:tcBorders>
              <w:left w:val="single" w:sz="4" w:space="0" w:color="auto"/>
              <w:bottom w:val="nil"/>
              <w:right w:val="nil"/>
            </w:tcBorders>
            <w:shd w:val="clear" w:color="auto" w:fill="auto"/>
            <w:tcMar>
              <w:top w:w="85" w:type="dxa"/>
            </w:tcMar>
            <w:hideMark/>
          </w:tcPr>
          <w:p w14:paraId="4CF6CDF3"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II.4 Wider and better use of the Hague system, including by developing countries and LDCs</w:t>
            </w:r>
          </w:p>
        </w:tc>
        <w:tc>
          <w:tcPr>
            <w:tcW w:w="2380" w:type="dxa"/>
            <w:tcBorders>
              <w:left w:val="nil"/>
              <w:bottom w:val="nil"/>
              <w:right w:val="nil"/>
            </w:tcBorders>
            <w:shd w:val="clear" w:color="auto" w:fill="auto"/>
            <w:tcMar>
              <w:top w:w="85" w:type="dxa"/>
            </w:tcMar>
            <w:hideMark/>
          </w:tcPr>
          <w:p w14:paraId="3347C01D"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 xml:space="preserve">Membership of the Geneva (1999) Act </w:t>
            </w:r>
          </w:p>
        </w:tc>
        <w:tc>
          <w:tcPr>
            <w:tcW w:w="2380" w:type="dxa"/>
            <w:tcBorders>
              <w:left w:val="nil"/>
              <w:bottom w:val="nil"/>
              <w:right w:val="nil"/>
            </w:tcBorders>
            <w:shd w:val="clear" w:color="auto" w:fill="auto"/>
            <w:tcMar>
              <w:top w:w="85" w:type="dxa"/>
            </w:tcMar>
            <w:hideMark/>
          </w:tcPr>
          <w:p w14:paraId="62A1F465" w14:textId="10B0786D" w:rsidR="00971C84" w:rsidRPr="00BE1D07" w:rsidRDefault="00971C84" w:rsidP="00CA42D8">
            <w:pPr>
              <w:rPr>
                <w:rFonts w:ascii="Arial" w:hAnsi="Arial" w:cs="Arial"/>
                <w:color w:val="000000"/>
                <w:sz w:val="16"/>
                <w:szCs w:val="16"/>
              </w:rPr>
            </w:pPr>
            <w:r w:rsidRPr="00BE1D07">
              <w:rPr>
                <w:rFonts w:ascii="Arial" w:hAnsi="Arial" w:cs="Arial"/>
                <w:color w:val="000000"/>
                <w:sz w:val="16"/>
                <w:szCs w:val="16"/>
              </w:rPr>
              <w:t>2 (WSO)</w:t>
            </w:r>
            <w:r w:rsidRPr="00BE1D07">
              <w:rPr>
                <w:rFonts w:ascii="Arial" w:hAnsi="Arial" w:cs="Arial"/>
                <w:color w:val="000000"/>
                <w:sz w:val="16"/>
                <w:szCs w:val="16"/>
              </w:rPr>
              <w:br/>
              <w:t>0 (WRO)</w:t>
            </w:r>
          </w:p>
        </w:tc>
        <w:tc>
          <w:tcPr>
            <w:tcW w:w="2055" w:type="dxa"/>
            <w:tcBorders>
              <w:left w:val="nil"/>
              <w:bottom w:val="nil"/>
              <w:right w:val="single" w:sz="4" w:space="0" w:color="auto"/>
            </w:tcBorders>
            <w:shd w:val="clear" w:color="auto" w:fill="auto"/>
            <w:tcMar>
              <w:top w:w="85" w:type="dxa"/>
            </w:tcMar>
            <w:hideMark/>
          </w:tcPr>
          <w:p w14:paraId="7A29BB0D" w14:textId="3ECEB919" w:rsidR="00971C84" w:rsidRPr="00FD3DD2" w:rsidRDefault="00BE3F1B" w:rsidP="00971C84">
            <w:pPr>
              <w:rPr>
                <w:rFonts w:ascii="Arial" w:hAnsi="Arial" w:cs="Arial"/>
                <w:sz w:val="16"/>
                <w:szCs w:val="16"/>
              </w:rPr>
            </w:pPr>
            <w:r>
              <w:rPr>
                <w:rFonts w:ascii="Arial" w:hAnsi="Arial" w:cs="Arial"/>
                <w:sz w:val="16"/>
                <w:szCs w:val="16"/>
              </w:rPr>
              <w:t>3</w:t>
            </w:r>
            <w:r w:rsidR="00971C84" w:rsidRPr="00FD3DD2">
              <w:rPr>
                <w:rFonts w:ascii="Arial" w:hAnsi="Arial" w:cs="Arial"/>
                <w:sz w:val="16"/>
                <w:szCs w:val="16"/>
              </w:rPr>
              <w:t xml:space="preserve"> </w:t>
            </w:r>
            <w:r>
              <w:rPr>
                <w:rFonts w:ascii="Arial" w:hAnsi="Arial" w:cs="Arial"/>
                <w:sz w:val="16"/>
                <w:szCs w:val="16"/>
              </w:rPr>
              <w:t xml:space="preserve">additional </w:t>
            </w:r>
            <w:r w:rsidR="00971C84" w:rsidRPr="00FD3DD2">
              <w:rPr>
                <w:rFonts w:ascii="Arial" w:hAnsi="Arial" w:cs="Arial"/>
                <w:sz w:val="16"/>
                <w:szCs w:val="16"/>
              </w:rPr>
              <w:t>(WSO)</w:t>
            </w:r>
          </w:p>
          <w:p w14:paraId="2DF9E54C" w14:textId="358AE68F" w:rsidR="00971C84" w:rsidRPr="00FD3DD2" w:rsidRDefault="00CA42D8" w:rsidP="00971C84">
            <w:pPr>
              <w:rPr>
                <w:rFonts w:ascii="Arial" w:hAnsi="Arial" w:cs="Arial"/>
                <w:sz w:val="16"/>
                <w:szCs w:val="16"/>
              </w:rPr>
            </w:pPr>
            <w:r w:rsidRPr="008D4CE9">
              <w:rPr>
                <w:rFonts w:ascii="Arial" w:hAnsi="Arial" w:cs="Arial"/>
                <w:color w:val="000000"/>
                <w:sz w:val="16"/>
                <w:szCs w:val="16"/>
              </w:rPr>
              <w:t>1</w:t>
            </w:r>
            <w:r w:rsidRPr="00CA42D8">
              <w:rPr>
                <w:rFonts w:ascii="Arial" w:hAnsi="Arial" w:cs="Arial"/>
                <w:color w:val="000000"/>
                <w:sz w:val="16"/>
                <w:szCs w:val="16"/>
              </w:rPr>
              <w:t xml:space="preserve"> </w:t>
            </w:r>
            <w:r w:rsidR="00BE3F1B" w:rsidRPr="00CA42D8">
              <w:rPr>
                <w:rFonts w:ascii="Arial" w:hAnsi="Arial" w:cs="Arial"/>
                <w:color w:val="000000"/>
                <w:sz w:val="16"/>
                <w:szCs w:val="16"/>
              </w:rPr>
              <w:t>(WRO)</w:t>
            </w:r>
          </w:p>
        </w:tc>
      </w:tr>
      <w:tr w:rsidR="00971C84" w:rsidRPr="00BE1D07" w14:paraId="7DD7D93A" w14:textId="77777777" w:rsidTr="004E671F">
        <w:trPr>
          <w:trHeight w:val="491"/>
        </w:trPr>
        <w:tc>
          <w:tcPr>
            <w:tcW w:w="2380" w:type="dxa"/>
            <w:tcBorders>
              <w:top w:val="nil"/>
              <w:left w:val="single" w:sz="4" w:space="0" w:color="auto"/>
              <w:bottom w:val="nil"/>
              <w:right w:val="nil"/>
            </w:tcBorders>
            <w:shd w:val="clear" w:color="auto" w:fill="auto"/>
            <w:tcMar>
              <w:top w:w="85" w:type="dxa"/>
            </w:tcMar>
            <w:hideMark/>
          </w:tcPr>
          <w:p w14:paraId="7E068608"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bottom w:val="nil"/>
              <w:right w:val="nil"/>
            </w:tcBorders>
            <w:shd w:val="clear" w:color="auto" w:fill="auto"/>
            <w:tcMar>
              <w:top w:w="85" w:type="dxa"/>
            </w:tcMar>
            <w:hideMark/>
          </w:tcPr>
          <w:p w14:paraId="5B50E65A"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No. of Hague applications</w:t>
            </w:r>
          </w:p>
        </w:tc>
        <w:tc>
          <w:tcPr>
            <w:tcW w:w="2380" w:type="dxa"/>
            <w:tcBorders>
              <w:top w:val="nil"/>
              <w:left w:val="nil"/>
              <w:bottom w:val="nil"/>
              <w:right w:val="nil"/>
            </w:tcBorders>
            <w:shd w:val="clear" w:color="auto" w:fill="auto"/>
            <w:tcMar>
              <w:top w:w="85" w:type="dxa"/>
            </w:tcMar>
            <w:hideMark/>
          </w:tcPr>
          <w:p w14:paraId="49A1F7DE"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50 (WSO)</w:t>
            </w:r>
            <w:r w:rsidRPr="00BE1D07">
              <w:rPr>
                <w:rFonts w:ascii="Arial" w:hAnsi="Arial" w:cs="Arial"/>
                <w:color w:val="000000"/>
                <w:sz w:val="16"/>
                <w:szCs w:val="16"/>
              </w:rPr>
              <w:br/>
              <w:t>0 (WJO)</w:t>
            </w:r>
          </w:p>
        </w:tc>
        <w:tc>
          <w:tcPr>
            <w:tcW w:w="2055" w:type="dxa"/>
            <w:tcBorders>
              <w:top w:val="nil"/>
              <w:left w:val="nil"/>
              <w:bottom w:val="nil"/>
              <w:right w:val="single" w:sz="4" w:space="0" w:color="auto"/>
            </w:tcBorders>
            <w:shd w:val="clear" w:color="auto" w:fill="auto"/>
            <w:tcMar>
              <w:top w:w="85" w:type="dxa"/>
            </w:tcMar>
            <w:hideMark/>
          </w:tcPr>
          <w:p w14:paraId="65AECC13" w14:textId="77777777" w:rsidR="00971C84" w:rsidRPr="00FD3DD2" w:rsidRDefault="00971C84" w:rsidP="00971C84">
            <w:pPr>
              <w:rPr>
                <w:rFonts w:ascii="Arial" w:hAnsi="Arial" w:cs="Arial"/>
                <w:sz w:val="16"/>
                <w:szCs w:val="16"/>
              </w:rPr>
            </w:pPr>
            <w:r w:rsidRPr="00E358DF">
              <w:rPr>
                <w:rFonts w:ascii="Arial" w:hAnsi="Arial" w:cs="Arial"/>
                <w:sz w:val="16"/>
                <w:szCs w:val="16"/>
              </w:rPr>
              <w:t>2% annual growth</w:t>
            </w:r>
          </w:p>
        </w:tc>
      </w:tr>
      <w:tr w:rsidR="00971C84" w:rsidRPr="00BE1D07" w14:paraId="20BB2271" w14:textId="77777777" w:rsidTr="004E671F">
        <w:trPr>
          <w:trHeight w:val="1305"/>
        </w:trPr>
        <w:tc>
          <w:tcPr>
            <w:tcW w:w="2380" w:type="dxa"/>
            <w:tcBorders>
              <w:top w:val="nil"/>
              <w:left w:val="single" w:sz="4" w:space="0" w:color="auto"/>
              <w:bottom w:val="nil"/>
              <w:right w:val="nil"/>
            </w:tcBorders>
            <w:shd w:val="clear" w:color="auto" w:fill="auto"/>
            <w:tcMar>
              <w:top w:w="85" w:type="dxa"/>
            </w:tcMar>
            <w:hideMark/>
          </w:tcPr>
          <w:p w14:paraId="5CB58E97"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bottom w:val="nil"/>
              <w:right w:val="nil"/>
            </w:tcBorders>
            <w:shd w:val="clear" w:color="auto" w:fill="auto"/>
            <w:tcMar>
              <w:top w:w="85" w:type="dxa"/>
            </w:tcMar>
            <w:hideMark/>
          </w:tcPr>
          <w:p w14:paraId="3C2C0EBF"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of policy makers, government officials, and IP practitioners and participants in targeted workshops with enhanced understanding of the Hague System</w:t>
            </w:r>
          </w:p>
        </w:tc>
        <w:tc>
          <w:tcPr>
            <w:tcW w:w="2380" w:type="dxa"/>
            <w:tcBorders>
              <w:top w:val="nil"/>
              <w:left w:val="nil"/>
              <w:bottom w:val="nil"/>
              <w:right w:val="nil"/>
            </w:tcBorders>
            <w:shd w:val="clear" w:color="auto" w:fill="auto"/>
            <w:tcMar>
              <w:top w:w="85" w:type="dxa"/>
            </w:tcMar>
            <w:hideMark/>
          </w:tcPr>
          <w:p w14:paraId="013E91B4" w14:textId="77777777" w:rsidR="00971C84" w:rsidRDefault="00971C84" w:rsidP="00971C84">
            <w:pPr>
              <w:rPr>
                <w:rFonts w:ascii="Arial" w:hAnsi="Arial" w:cs="Arial"/>
                <w:color w:val="000000"/>
                <w:sz w:val="16"/>
                <w:szCs w:val="16"/>
              </w:rPr>
            </w:pPr>
            <w:r>
              <w:rPr>
                <w:rFonts w:ascii="Arial" w:hAnsi="Arial" w:cs="Arial"/>
                <w:color w:val="000000"/>
                <w:sz w:val="16"/>
                <w:szCs w:val="16"/>
              </w:rPr>
              <w:t xml:space="preserve">85% (WSO) </w:t>
            </w:r>
          </w:p>
          <w:p w14:paraId="58685179" w14:textId="77777777" w:rsidR="00971C84" w:rsidRDefault="00971C84" w:rsidP="00971C84">
            <w:pPr>
              <w:rPr>
                <w:rFonts w:ascii="Arial" w:hAnsi="Arial" w:cs="Arial"/>
                <w:color w:val="000000"/>
                <w:sz w:val="16"/>
                <w:szCs w:val="16"/>
              </w:rPr>
            </w:pPr>
            <w:r>
              <w:rPr>
                <w:rFonts w:ascii="Arial" w:hAnsi="Arial" w:cs="Arial"/>
                <w:color w:val="000000"/>
                <w:sz w:val="16"/>
                <w:szCs w:val="16"/>
              </w:rPr>
              <w:t>75% (WBO)</w:t>
            </w:r>
          </w:p>
          <w:p w14:paraId="350A79CF"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94% (WJO)</w:t>
            </w:r>
          </w:p>
        </w:tc>
        <w:tc>
          <w:tcPr>
            <w:tcW w:w="2055" w:type="dxa"/>
            <w:tcBorders>
              <w:top w:val="nil"/>
              <w:left w:val="nil"/>
              <w:bottom w:val="nil"/>
              <w:right w:val="single" w:sz="4" w:space="0" w:color="auto"/>
            </w:tcBorders>
            <w:shd w:val="clear" w:color="auto" w:fill="auto"/>
            <w:tcMar>
              <w:top w:w="85" w:type="dxa"/>
            </w:tcMar>
            <w:hideMark/>
          </w:tcPr>
          <w:p w14:paraId="6DEFB9E3" w14:textId="77777777" w:rsidR="00971C84" w:rsidRPr="00FD3DD2" w:rsidRDefault="00971C84" w:rsidP="00971C84">
            <w:pPr>
              <w:rPr>
                <w:rFonts w:ascii="Arial" w:hAnsi="Arial" w:cs="Arial"/>
                <w:sz w:val="16"/>
                <w:szCs w:val="16"/>
              </w:rPr>
            </w:pPr>
            <w:r w:rsidRPr="00FD3DD2">
              <w:rPr>
                <w:rFonts w:ascii="Arial" w:hAnsi="Arial" w:cs="Arial"/>
                <w:sz w:val="16"/>
                <w:szCs w:val="16"/>
              </w:rPr>
              <w:t>75%</w:t>
            </w:r>
          </w:p>
        </w:tc>
      </w:tr>
      <w:tr w:rsidR="00971C84" w:rsidRPr="00BE1D07" w14:paraId="35316348" w14:textId="77777777" w:rsidTr="008E6294">
        <w:trPr>
          <w:trHeight w:val="536"/>
        </w:trPr>
        <w:tc>
          <w:tcPr>
            <w:tcW w:w="2380" w:type="dxa"/>
            <w:tcBorders>
              <w:top w:val="nil"/>
              <w:left w:val="single" w:sz="4" w:space="0" w:color="auto"/>
              <w:right w:val="nil"/>
            </w:tcBorders>
            <w:shd w:val="clear" w:color="auto" w:fill="auto"/>
            <w:tcMar>
              <w:top w:w="85" w:type="dxa"/>
            </w:tcMar>
            <w:hideMark/>
          </w:tcPr>
          <w:p w14:paraId="46250EF5"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II.6 Wider and more effective use of the Madrid &amp; Lisbon systems, including by developing countries and LDCs</w:t>
            </w:r>
          </w:p>
        </w:tc>
        <w:tc>
          <w:tcPr>
            <w:tcW w:w="2380" w:type="dxa"/>
            <w:tcBorders>
              <w:top w:val="nil"/>
              <w:left w:val="nil"/>
              <w:right w:val="nil"/>
            </w:tcBorders>
            <w:shd w:val="clear" w:color="auto" w:fill="auto"/>
            <w:tcMar>
              <w:top w:w="85" w:type="dxa"/>
            </w:tcMar>
            <w:hideMark/>
          </w:tcPr>
          <w:p w14:paraId="16BBB8E7" w14:textId="77777777" w:rsidR="00971C84" w:rsidRDefault="00971C84" w:rsidP="00971C84">
            <w:pPr>
              <w:rPr>
                <w:rFonts w:ascii="Arial" w:hAnsi="Arial" w:cs="Arial"/>
                <w:color w:val="000000"/>
                <w:sz w:val="16"/>
                <w:szCs w:val="16"/>
              </w:rPr>
            </w:pPr>
            <w:r>
              <w:rPr>
                <w:rFonts w:ascii="Arial" w:hAnsi="Arial" w:cs="Arial"/>
                <w:color w:val="000000"/>
                <w:sz w:val="16"/>
                <w:szCs w:val="16"/>
              </w:rPr>
              <w:t>Total Membership of the Madrid System</w:t>
            </w:r>
            <w:r w:rsidRPr="00BE1D07">
              <w:rPr>
                <w:rFonts w:ascii="Arial" w:hAnsi="Arial" w:cs="Arial"/>
                <w:color w:val="000000"/>
                <w:sz w:val="16"/>
                <w:szCs w:val="16"/>
              </w:rPr>
              <w:t xml:space="preserve"> </w:t>
            </w:r>
          </w:p>
          <w:p w14:paraId="3AB13EF9" w14:textId="77777777" w:rsidR="00971C84" w:rsidRDefault="00971C84" w:rsidP="00971C84">
            <w:pPr>
              <w:rPr>
                <w:rFonts w:ascii="Arial" w:hAnsi="Arial" w:cs="Arial"/>
                <w:color w:val="000000"/>
                <w:sz w:val="16"/>
                <w:szCs w:val="16"/>
              </w:rPr>
            </w:pPr>
          </w:p>
          <w:p w14:paraId="3CC9B41E"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No. of Madrid applications</w:t>
            </w:r>
          </w:p>
        </w:tc>
        <w:tc>
          <w:tcPr>
            <w:tcW w:w="2380" w:type="dxa"/>
            <w:tcBorders>
              <w:top w:val="nil"/>
              <w:left w:val="nil"/>
              <w:right w:val="nil"/>
            </w:tcBorders>
            <w:shd w:val="clear" w:color="auto" w:fill="auto"/>
            <w:tcMar>
              <w:top w:w="85" w:type="dxa"/>
            </w:tcMar>
            <w:hideMark/>
          </w:tcPr>
          <w:p w14:paraId="210FBEB0" w14:textId="47DED9F4" w:rsidR="00971C84" w:rsidRDefault="00971C84" w:rsidP="00971C84">
            <w:pPr>
              <w:rPr>
                <w:rFonts w:ascii="Arial" w:hAnsi="Arial" w:cs="Arial"/>
                <w:color w:val="000000"/>
                <w:sz w:val="16"/>
                <w:szCs w:val="16"/>
              </w:rPr>
            </w:pPr>
            <w:r w:rsidRPr="00BE1D07">
              <w:rPr>
                <w:rFonts w:ascii="Arial" w:hAnsi="Arial" w:cs="Arial"/>
                <w:color w:val="000000"/>
                <w:sz w:val="16"/>
                <w:szCs w:val="16"/>
              </w:rPr>
              <w:t>4</w:t>
            </w:r>
            <w:r w:rsidR="00964B92">
              <w:rPr>
                <w:rFonts w:ascii="Arial" w:hAnsi="Arial" w:cs="Arial"/>
                <w:color w:val="000000"/>
                <w:sz w:val="16"/>
                <w:szCs w:val="16"/>
              </w:rPr>
              <w:t xml:space="preserve"> (WSO)</w:t>
            </w:r>
            <w:r w:rsidR="00964B92">
              <w:rPr>
                <w:rFonts w:ascii="Arial" w:hAnsi="Arial" w:cs="Arial"/>
                <w:color w:val="000000"/>
                <w:sz w:val="16"/>
                <w:szCs w:val="16"/>
              </w:rPr>
              <w:br/>
            </w:r>
            <w:r w:rsidRPr="00BE1D07">
              <w:rPr>
                <w:rFonts w:ascii="Arial" w:hAnsi="Arial" w:cs="Arial"/>
                <w:color w:val="000000"/>
                <w:sz w:val="16"/>
                <w:szCs w:val="16"/>
              </w:rPr>
              <w:t xml:space="preserve"> </w:t>
            </w:r>
          </w:p>
          <w:p w14:paraId="74132CF7" w14:textId="77777777" w:rsidR="00971C84" w:rsidRDefault="00971C84" w:rsidP="00971C84">
            <w:pPr>
              <w:rPr>
                <w:rFonts w:ascii="Arial" w:hAnsi="Arial" w:cs="Arial"/>
                <w:color w:val="000000"/>
                <w:sz w:val="16"/>
                <w:szCs w:val="16"/>
              </w:rPr>
            </w:pPr>
          </w:p>
          <w:p w14:paraId="1EB1076E" w14:textId="2CBBD3C4" w:rsidR="00971C84" w:rsidRPr="00BE1D07" w:rsidRDefault="00964B92" w:rsidP="00971C84">
            <w:pPr>
              <w:rPr>
                <w:rFonts w:ascii="Arial" w:hAnsi="Arial" w:cs="Arial"/>
                <w:color w:val="000000"/>
                <w:sz w:val="16"/>
                <w:szCs w:val="16"/>
              </w:rPr>
            </w:pPr>
            <w:r>
              <w:rPr>
                <w:rFonts w:ascii="Arial" w:hAnsi="Arial" w:cs="Arial"/>
                <w:color w:val="000000"/>
                <w:sz w:val="16"/>
                <w:szCs w:val="16"/>
              </w:rPr>
              <w:t>351 (WSO)</w:t>
            </w:r>
            <w:r>
              <w:rPr>
                <w:rFonts w:ascii="Arial" w:hAnsi="Arial" w:cs="Arial"/>
                <w:color w:val="000000"/>
                <w:sz w:val="16"/>
                <w:szCs w:val="16"/>
              </w:rPr>
              <w:br/>
              <w:t>0</w:t>
            </w:r>
            <w:r w:rsidR="00971C84" w:rsidRPr="00BE1D07">
              <w:rPr>
                <w:rFonts w:ascii="Arial" w:hAnsi="Arial" w:cs="Arial"/>
                <w:color w:val="000000"/>
                <w:sz w:val="16"/>
                <w:szCs w:val="16"/>
              </w:rPr>
              <w:t xml:space="preserve"> (WBO)</w:t>
            </w:r>
            <w:r w:rsidR="00971C84" w:rsidRPr="00BE1D07">
              <w:rPr>
                <w:rFonts w:ascii="Arial" w:hAnsi="Arial" w:cs="Arial"/>
                <w:color w:val="000000"/>
                <w:sz w:val="16"/>
                <w:szCs w:val="16"/>
              </w:rPr>
              <w:br/>
              <w:t>2,033 (WJO)</w:t>
            </w:r>
            <w:r w:rsidR="00971C84" w:rsidRPr="00BE1D07">
              <w:rPr>
                <w:rFonts w:ascii="Arial" w:hAnsi="Arial" w:cs="Arial"/>
                <w:color w:val="000000"/>
                <w:sz w:val="16"/>
                <w:szCs w:val="16"/>
              </w:rPr>
              <w:br/>
              <w:t xml:space="preserve">1,543 (WRO) </w:t>
            </w:r>
            <w:r w:rsidR="00971C84" w:rsidRPr="00BE1D07">
              <w:rPr>
                <w:rFonts w:ascii="Arial" w:hAnsi="Arial" w:cs="Arial"/>
                <w:color w:val="000000"/>
                <w:sz w:val="16"/>
                <w:szCs w:val="16"/>
              </w:rPr>
              <w:br/>
              <w:t>2,140 (</w:t>
            </w:r>
            <w:r w:rsidR="00FA17AB">
              <w:rPr>
                <w:rFonts w:ascii="Arial" w:hAnsi="Arial" w:cs="Arial"/>
                <w:color w:val="000000"/>
                <w:sz w:val="16"/>
                <w:szCs w:val="16"/>
              </w:rPr>
              <w:t>WOC</w:t>
            </w:r>
            <w:r w:rsidR="00971C84" w:rsidRPr="00BE1D07">
              <w:rPr>
                <w:rFonts w:ascii="Arial" w:hAnsi="Arial" w:cs="Arial"/>
                <w:color w:val="000000"/>
                <w:sz w:val="16"/>
                <w:szCs w:val="16"/>
              </w:rPr>
              <w:t>)</w:t>
            </w:r>
            <w:r w:rsidR="00971C84" w:rsidRPr="00BE1D07">
              <w:rPr>
                <w:rFonts w:ascii="Arial" w:hAnsi="Arial" w:cs="Arial"/>
                <w:color w:val="000000"/>
                <w:sz w:val="16"/>
                <w:szCs w:val="16"/>
              </w:rPr>
              <w:br/>
            </w:r>
          </w:p>
        </w:tc>
        <w:tc>
          <w:tcPr>
            <w:tcW w:w="2055" w:type="dxa"/>
            <w:tcBorders>
              <w:top w:val="nil"/>
              <w:left w:val="nil"/>
              <w:right w:val="single" w:sz="4" w:space="0" w:color="auto"/>
            </w:tcBorders>
            <w:shd w:val="clear" w:color="auto" w:fill="auto"/>
            <w:tcMar>
              <w:top w:w="85" w:type="dxa"/>
            </w:tcMar>
            <w:hideMark/>
          </w:tcPr>
          <w:p w14:paraId="0876B8A4" w14:textId="476E42F3" w:rsidR="00971C84" w:rsidRPr="00FD3DD2" w:rsidRDefault="00BE3F1B" w:rsidP="00971C84">
            <w:pPr>
              <w:rPr>
                <w:rFonts w:ascii="Arial" w:hAnsi="Arial" w:cs="Arial"/>
                <w:sz w:val="16"/>
                <w:szCs w:val="16"/>
              </w:rPr>
            </w:pPr>
            <w:r>
              <w:rPr>
                <w:rFonts w:ascii="Arial" w:hAnsi="Arial" w:cs="Arial"/>
                <w:sz w:val="16"/>
                <w:szCs w:val="16"/>
              </w:rPr>
              <w:t>5</w:t>
            </w:r>
            <w:r w:rsidR="00971C84" w:rsidRPr="00FD3DD2">
              <w:rPr>
                <w:rFonts w:ascii="Arial" w:hAnsi="Arial" w:cs="Arial"/>
                <w:sz w:val="16"/>
                <w:szCs w:val="16"/>
              </w:rPr>
              <w:t xml:space="preserve"> </w:t>
            </w:r>
            <w:r>
              <w:rPr>
                <w:rFonts w:ascii="Arial" w:hAnsi="Arial" w:cs="Arial"/>
                <w:sz w:val="16"/>
                <w:szCs w:val="16"/>
              </w:rPr>
              <w:t xml:space="preserve">additional </w:t>
            </w:r>
            <w:r w:rsidR="00971C84" w:rsidRPr="00FD3DD2">
              <w:rPr>
                <w:rFonts w:ascii="Arial" w:hAnsi="Arial" w:cs="Arial"/>
                <w:sz w:val="16"/>
                <w:szCs w:val="16"/>
              </w:rPr>
              <w:t>(WSO)</w:t>
            </w:r>
            <w:r w:rsidR="00971C84" w:rsidRPr="00FD3DD2">
              <w:rPr>
                <w:rFonts w:ascii="Arial" w:hAnsi="Arial" w:cs="Arial"/>
                <w:sz w:val="16"/>
                <w:szCs w:val="16"/>
              </w:rPr>
              <w:br/>
            </w:r>
          </w:p>
          <w:p w14:paraId="6C0B2D08" w14:textId="77777777" w:rsidR="00BE3F1B" w:rsidRDefault="00BE3F1B" w:rsidP="00971C84">
            <w:pPr>
              <w:rPr>
                <w:rFonts w:ascii="Arial" w:hAnsi="Arial" w:cs="Arial"/>
                <w:sz w:val="16"/>
                <w:szCs w:val="16"/>
              </w:rPr>
            </w:pPr>
          </w:p>
          <w:p w14:paraId="15A7B170" w14:textId="77777777" w:rsidR="00971C84" w:rsidRPr="00FD3DD2" w:rsidRDefault="00971C84" w:rsidP="00971C84">
            <w:pPr>
              <w:rPr>
                <w:rFonts w:ascii="Arial" w:hAnsi="Arial" w:cs="Arial"/>
                <w:sz w:val="16"/>
                <w:szCs w:val="16"/>
              </w:rPr>
            </w:pPr>
            <w:r w:rsidRPr="00FD3DD2">
              <w:rPr>
                <w:rFonts w:ascii="Arial" w:hAnsi="Arial" w:cs="Arial"/>
                <w:sz w:val="16"/>
                <w:szCs w:val="16"/>
              </w:rPr>
              <w:t>2% annual growth (all Offices)</w:t>
            </w:r>
          </w:p>
          <w:p w14:paraId="5D4EDAEB" w14:textId="77777777" w:rsidR="00971C84" w:rsidRPr="00FD3DD2" w:rsidRDefault="00971C84" w:rsidP="00971C84">
            <w:pPr>
              <w:rPr>
                <w:rFonts w:ascii="Arial" w:hAnsi="Arial" w:cs="Arial"/>
                <w:sz w:val="16"/>
                <w:szCs w:val="16"/>
              </w:rPr>
            </w:pPr>
          </w:p>
        </w:tc>
      </w:tr>
      <w:tr w:rsidR="00971C84" w:rsidRPr="00BE1D07" w14:paraId="38FEB1F4" w14:textId="77777777" w:rsidTr="008E6294">
        <w:trPr>
          <w:trHeight w:val="1337"/>
        </w:trPr>
        <w:tc>
          <w:tcPr>
            <w:tcW w:w="2380" w:type="dxa"/>
            <w:tcBorders>
              <w:top w:val="nil"/>
              <w:left w:val="single" w:sz="4" w:space="0" w:color="auto"/>
              <w:right w:val="nil"/>
            </w:tcBorders>
            <w:shd w:val="clear" w:color="auto" w:fill="auto"/>
            <w:tcMar>
              <w:top w:w="85" w:type="dxa"/>
            </w:tcMar>
            <w:hideMark/>
          </w:tcPr>
          <w:p w14:paraId="42BA88F0"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top w:val="nil"/>
              <w:left w:val="nil"/>
              <w:right w:val="nil"/>
            </w:tcBorders>
            <w:shd w:val="clear" w:color="auto" w:fill="auto"/>
            <w:tcMar>
              <w:top w:w="85" w:type="dxa"/>
            </w:tcMar>
            <w:hideMark/>
          </w:tcPr>
          <w:p w14:paraId="0924397B"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xml:space="preserve">% of policy makers, government official, IP practitioners and participants in targeted workshop with enhanced understanding of the Madrid System  </w:t>
            </w:r>
          </w:p>
        </w:tc>
        <w:tc>
          <w:tcPr>
            <w:tcW w:w="2380" w:type="dxa"/>
            <w:tcBorders>
              <w:top w:val="nil"/>
              <w:left w:val="nil"/>
              <w:right w:val="nil"/>
            </w:tcBorders>
            <w:shd w:val="clear" w:color="auto" w:fill="auto"/>
            <w:tcMar>
              <w:top w:w="85" w:type="dxa"/>
            </w:tcMar>
            <w:hideMark/>
          </w:tcPr>
          <w:p w14:paraId="4DBDD270"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89% based on feedback from participants (WSO)</w:t>
            </w:r>
          </w:p>
        </w:tc>
        <w:tc>
          <w:tcPr>
            <w:tcW w:w="2055" w:type="dxa"/>
            <w:tcBorders>
              <w:top w:val="nil"/>
              <w:left w:val="nil"/>
              <w:right w:val="single" w:sz="4" w:space="0" w:color="auto"/>
            </w:tcBorders>
            <w:shd w:val="clear" w:color="auto" w:fill="auto"/>
            <w:tcMar>
              <w:top w:w="85" w:type="dxa"/>
            </w:tcMar>
            <w:hideMark/>
          </w:tcPr>
          <w:p w14:paraId="063EF9B8" w14:textId="77777777" w:rsidR="00971C84" w:rsidRPr="00FD3DD2" w:rsidRDefault="00971C84" w:rsidP="00971C84">
            <w:pPr>
              <w:ind w:firstLineChars="200" w:firstLine="320"/>
              <w:rPr>
                <w:rFonts w:ascii="Arial" w:hAnsi="Arial" w:cs="Arial"/>
                <w:sz w:val="16"/>
                <w:szCs w:val="16"/>
              </w:rPr>
            </w:pPr>
            <w:r w:rsidRPr="00FD3DD2">
              <w:rPr>
                <w:rFonts w:ascii="Arial" w:hAnsi="Arial" w:cs="Arial"/>
                <w:sz w:val="16"/>
                <w:szCs w:val="16"/>
              </w:rPr>
              <w:t>75%</w:t>
            </w:r>
          </w:p>
        </w:tc>
      </w:tr>
      <w:tr w:rsidR="00971C84" w:rsidRPr="00BE1D07" w14:paraId="202CA075" w14:textId="77777777" w:rsidTr="008E6294">
        <w:trPr>
          <w:trHeight w:val="1860"/>
        </w:trPr>
        <w:tc>
          <w:tcPr>
            <w:tcW w:w="2380" w:type="dxa"/>
            <w:tcBorders>
              <w:left w:val="single" w:sz="4" w:space="0" w:color="auto"/>
              <w:bottom w:val="single" w:sz="4" w:space="0" w:color="auto"/>
              <w:right w:val="nil"/>
            </w:tcBorders>
            <w:shd w:val="clear" w:color="auto" w:fill="auto"/>
            <w:tcMar>
              <w:top w:w="85" w:type="dxa"/>
            </w:tcMar>
            <w:hideMark/>
          </w:tcPr>
          <w:p w14:paraId="455E1FF2"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III.2 Enhanced human resource capacities able to deal with the broad range of requirements for the effective use of IP for development in developing countries, LDCs and countries with economies in transition</w:t>
            </w:r>
          </w:p>
        </w:tc>
        <w:tc>
          <w:tcPr>
            <w:tcW w:w="2380" w:type="dxa"/>
            <w:tcBorders>
              <w:left w:val="nil"/>
              <w:bottom w:val="single" w:sz="4" w:space="0" w:color="auto"/>
              <w:right w:val="nil"/>
            </w:tcBorders>
            <w:shd w:val="clear" w:color="auto" w:fill="auto"/>
            <w:tcMar>
              <w:top w:w="85" w:type="dxa"/>
            </w:tcMar>
            <w:hideMark/>
          </w:tcPr>
          <w:p w14:paraId="46FC69BF"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 of policy mak</w:t>
            </w:r>
            <w:r w:rsidRPr="00BE1D07">
              <w:rPr>
                <w:rFonts w:ascii="Arial" w:hAnsi="Arial" w:cs="Arial"/>
                <w:color w:val="000000"/>
                <w:sz w:val="16"/>
                <w:szCs w:val="16"/>
              </w:rPr>
              <w:t>ers, governments officials, IP practitioners and other targeted groups, including universities, CMOs, journalists, with enhanced understanding of IP policies, and how to effectively use IP development</w:t>
            </w:r>
          </w:p>
        </w:tc>
        <w:tc>
          <w:tcPr>
            <w:tcW w:w="2380" w:type="dxa"/>
            <w:tcBorders>
              <w:left w:val="nil"/>
              <w:bottom w:val="single" w:sz="4" w:space="0" w:color="auto"/>
              <w:right w:val="nil"/>
            </w:tcBorders>
            <w:shd w:val="clear" w:color="auto" w:fill="auto"/>
            <w:tcMar>
              <w:top w:w="85" w:type="dxa"/>
            </w:tcMar>
            <w:hideMark/>
          </w:tcPr>
          <w:p w14:paraId="5C718E44" w14:textId="77777777" w:rsidR="00971C84" w:rsidRDefault="00971C84" w:rsidP="00971C84">
            <w:pPr>
              <w:rPr>
                <w:rFonts w:ascii="Arial" w:hAnsi="Arial" w:cs="Arial"/>
                <w:color w:val="000000"/>
                <w:sz w:val="16"/>
                <w:szCs w:val="16"/>
              </w:rPr>
            </w:pPr>
            <w:r>
              <w:rPr>
                <w:rFonts w:ascii="Arial" w:hAnsi="Arial" w:cs="Arial"/>
                <w:color w:val="000000"/>
                <w:sz w:val="16"/>
                <w:szCs w:val="16"/>
              </w:rPr>
              <w:t>100% of participants agreed that the skills and knowledge gained from the seminar added value to their organization (WSO)</w:t>
            </w:r>
          </w:p>
          <w:p w14:paraId="0B6BA44B" w14:textId="77777777" w:rsidR="00971C84" w:rsidRDefault="00971C84" w:rsidP="00971C84">
            <w:pPr>
              <w:rPr>
                <w:rFonts w:ascii="Arial" w:hAnsi="Arial" w:cs="Arial"/>
                <w:color w:val="000000"/>
                <w:sz w:val="16"/>
                <w:szCs w:val="16"/>
              </w:rPr>
            </w:pPr>
            <w:r>
              <w:rPr>
                <w:rFonts w:ascii="Arial" w:hAnsi="Arial" w:cs="Arial"/>
                <w:color w:val="000000"/>
                <w:sz w:val="16"/>
                <w:szCs w:val="16"/>
              </w:rPr>
              <w:t xml:space="preserve">75% (WBO) </w:t>
            </w:r>
          </w:p>
          <w:p w14:paraId="3B8A7FB4"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 xml:space="preserve">N/A (in 2014 the WJO did not organize seminars) (WJO) </w:t>
            </w:r>
          </w:p>
        </w:tc>
        <w:tc>
          <w:tcPr>
            <w:tcW w:w="2055" w:type="dxa"/>
            <w:tcBorders>
              <w:left w:val="nil"/>
              <w:bottom w:val="single" w:sz="4" w:space="0" w:color="auto"/>
              <w:right w:val="single" w:sz="4" w:space="0" w:color="auto"/>
            </w:tcBorders>
            <w:shd w:val="clear" w:color="auto" w:fill="auto"/>
            <w:tcMar>
              <w:top w:w="85" w:type="dxa"/>
            </w:tcMar>
            <w:hideMark/>
          </w:tcPr>
          <w:p w14:paraId="4B51E78B" w14:textId="77777777" w:rsidR="00971C84" w:rsidRPr="00FD3DD2" w:rsidRDefault="00971C84" w:rsidP="00971C84">
            <w:pPr>
              <w:ind w:leftChars="-1" w:hangingChars="1" w:hanging="2"/>
              <w:rPr>
                <w:rFonts w:ascii="Arial" w:hAnsi="Arial" w:cs="Arial"/>
                <w:sz w:val="16"/>
                <w:szCs w:val="16"/>
              </w:rPr>
            </w:pPr>
            <w:r w:rsidRPr="00FD3DD2">
              <w:rPr>
                <w:rFonts w:ascii="Arial" w:hAnsi="Arial" w:cs="Arial"/>
                <w:sz w:val="16"/>
                <w:szCs w:val="16"/>
              </w:rPr>
              <w:t xml:space="preserve"> 75% </w:t>
            </w:r>
          </w:p>
        </w:tc>
      </w:tr>
      <w:tr w:rsidR="00971C84" w:rsidRPr="00BE1D07" w14:paraId="73FC9F02" w14:textId="77777777" w:rsidTr="008E6294">
        <w:trPr>
          <w:trHeight w:val="3143"/>
        </w:trPr>
        <w:tc>
          <w:tcPr>
            <w:tcW w:w="2380" w:type="dxa"/>
            <w:tcBorders>
              <w:top w:val="single" w:sz="4" w:space="0" w:color="auto"/>
              <w:left w:val="single" w:sz="4" w:space="0" w:color="auto"/>
              <w:right w:val="nil"/>
            </w:tcBorders>
            <w:shd w:val="clear" w:color="auto" w:fill="auto"/>
            <w:tcMar>
              <w:top w:w="85" w:type="dxa"/>
            </w:tcMar>
            <w:hideMark/>
          </w:tcPr>
          <w:p w14:paraId="6B145DA0" w14:textId="6FC53E9F" w:rsidR="00971C84" w:rsidRPr="00BE1D07" w:rsidRDefault="00FD3DD2" w:rsidP="00971C84">
            <w:pPr>
              <w:rPr>
                <w:rFonts w:ascii="Arial" w:hAnsi="Arial" w:cs="Arial"/>
                <w:color w:val="000000"/>
                <w:sz w:val="16"/>
                <w:szCs w:val="16"/>
              </w:rPr>
            </w:pPr>
            <w:r>
              <w:rPr>
                <w:rFonts w:ascii="Arial" w:hAnsi="Arial" w:cs="Arial"/>
                <w:color w:val="000000"/>
                <w:sz w:val="16"/>
                <w:szCs w:val="16"/>
              </w:rPr>
              <w:lastRenderedPageBreak/>
              <w:br/>
            </w:r>
            <w:r w:rsidR="00971C84" w:rsidRPr="00BE1D07">
              <w:rPr>
                <w:rFonts w:ascii="Arial" w:hAnsi="Arial" w:cs="Arial"/>
                <w:color w:val="000000"/>
                <w:sz w:val="16"/>
                <w:szCs w:val="16"/>
              </w:rPr>
              <w:t>IV.2 Enhanced access to, and use of, IP information by IP institutions and the public to promote innovation and creativity</w:t>
            </w:r>
          </w:p>
        </w:tc>
        <w:tc>
          <w:tcPr>
            <w:tcW w:w="2380" w:type="dxa"/>
            <w:tcBorders>
              <w:top w:val="single" w:sz="4" w:space="0" w:color="auto"/>
              <w:left w:val="nil"/>
              <w:right w:val="nil"/>
            </w:tcBorders>
            <w:shd w:val="clear" w:color="auto" w:fill="auto"/>
            <w:tcMar>
              <w:top w:w="85" w:type="dxa"/>
            </w:tcMar>
            <w:hideMark/>
          </w:tcPr>
          <w:p w14:paraId="0758BB04" w14:textId="7D005098" w:rsidR="00971C84" w:rsidRPr="00BE1D07" w:rsidRDefault="00FD3DD2" w:rsidP="00971C84">
            <w:pPr>
              <w:rPr>
                <w:rFonts w:ascii="Arial" w:hAnsi="Arial" w:cs="Arial"/>
                <w:color w:val="000000"/>
                <w:sz w:val="16"/>
                <w:szCs w:val="16"/>
              </w:rPr>
            </w:pPr>
            <w:r>
              <w:rPr>
                <w:rFonts w:ascii="Arial" w:hAnsi="Arial" w:cs="Arial"/>
                <w:color w:val="000000"/>
                <w:sz w:val="16"/>
                <w:szCs w:val="16"/>
              </w:rPr>
              <w:br/>
            </w:r>
            <w:r w:rsidR="00971C84" w:rsidRPr="00BE1D07">
              <w:rPr>
                <w:rFonts w:ascii="Arial" w:hAnsi="Arial" w:cs="Arial"/>
                <w:color w:val="000000"/>
                <w:sz w:val="16"/>
                <w:szCs w:val="16"/>
              </w:rPr>
              <w:t>No. of users of WIPO’s Global Databases: PATENTSCOPE, Global Brand</w:t>
            </w:r>
            <w:r w:rsidR="00971C84">
              <w:rPr>
                <w:rFonts w:ascii="Arial" w:hAnsi="Arial" w:cs="Arial"/>
                <w:color w:val="000000"/>
                <w:sz w:val="16"/>
                <w:szCs w:val="16"/>
              </w:rPr>
              <w:t>s</w:t>
            </w:r>
            <w:r w:rsidR="00971C84" w:rsidRPr="00BE1D07">
              <w:rPr>
                <w:rFonts w:ascii="Arial" w:hAnsi="Arial" w:cs="Arial"/>
                <w:color w:val="000000"/>
                <w:sz w:val="16"/>
                <w:szCs w:val="16"/>
              </w:rPr>
              <w:t xml:space="preserve"> Database, Design</w:t>
            </w:r>
            <w:r w:rsidR="00971C84">
              <w:rPr>
                <w:rFonts w:ascii="Arial" w:hAnsi="Arial" w:cs="Arial"/>
                <w:color w:val="000000"/>
                <w:sz w:val="16"/>
                <w:szCs w:val="16"/>
              </w:rPr>
              <w:t>s</w:t>
            </w:r>
            <w:r w:rsidR="00971C84" w:rsidRPr="00BE1D07">
              <w:rPr>
                <w:rFonts w:ascii="Arial" w:hAnsi="Arial" w:cs="Arial"/>
                <w:color w:val="000000"/>
                <w:sz w:val="16"/>
                <w:szCs w:val="16"/>
              </w:rPr>
              <w:t xml:space="preserve"> Database</w:t>
            </w:r>
          </w:p>
        </w:tc>
        <w:tc>
          <w:tcPr>
            <w:tcW w:w="2380" w:type="dxa"/>
            <w:tcBorders>
              <w:top w:val="single" w:sz="4" w:space="0" w:color="auto"/>
              <w:left w:val="nil"/>
              <w:right w:val="nil"/>
            </w:tcBorders>
            <w:shd w:val="clear" w:color="auto" w:fill="auto"/>
            <w:tcMar>
              <w:top w:w="85" w:type="dxa"/>
            </w:tcMar>
            <w:hideMark/>
          </w:tcPr>
          <w:p w14:paraId="720B2D8A" w14:textId="746E5F6D" w:rsidR="00971C84" w:rsidRPr="00BE1D07" w:rsidRDefault="00FD3DD2" w:rsidP="00BE2490">
            <w:pPr>
              <w:rPr>
                <w:rFonts w:ascii="Arial" w:hAnsi="Arial" w:cs="Arial"/>
                <w:color w:val="000000"/>
                <w:sz w:val="16"/>
                <w:szCs w:val="16"/>
              </w:rPr>
            </w:pPr>
            <w:r>
              <w:rPr>
                <w:rFonts w:ascii="Arial" w:hAnsi="Arial" w:cs="Arial"/>
                <w:color w:val="000000"/>
                <w:sz w:val="16"/>
                <w:szCs w:val="16"/>
              </w:rPr>
              <w:br/>
            </w:r>
            <w:r w:rsidR="00971C84" w:rsidRPr="00BE1D07">
              <w:rPr>
                <w:rFonts w:ascii="Arial" w:hAnsi="Arial" w:cs="Arial"/>
                <w:color w:val="000000"/>
                <w:sz w:val="16"/>
                <w:szCs w:val="16"/>
              </w:rPr>
              <w:t xml:space="preserve">PATENTSCOPE: </w:t>
            </w:r>
            <w:r w:rsidR="00971C84" w:rsidRPr="00BE1D07">
              <w:rPr>
                <w:rFonts w:ascii="Arial" w:hAnsi="Arial" w:cs="Arial"/>
                <w:color w:val="000000"/>
                <w:sz w:val="16"/>
                <w:szCs w:val="16"/>
              </w:rPr>
              <w:br/>
              <w:t xml:space="preserve">8,054 (WSO) </w:t>
            </w:r>
            <w:r w:rsidR="00971C84" w:rsidRPr="00BE1D07">
              <w:rPr>
                <w:rFonts w:ascii="Arial" w:hAnsi="Arial" w:cs="Arial"/>
                <w:color w:val="000000"/>
                <w:sz w:val="16"/>
                <w:szCs w:val="16"/>
              </w:rPr>
              <w:br/>
            </w:r>
            <w:r w:rsidR="00BE2490">
              <w:rPr>
                <w:rFonts w:ascii="Arial" w:hAnsi="Arial" w:cs="Arial"/>
                <w:color w:val="000000"/>
                <w:sz w:val="16"/>
                <w:szCs w:val="16"/>
              </w:rPr>
              <w:t>4,688</w:t>
            </w:r>
            <w:r w:rsidR="00971C84" w:rsidRPr="00BE1D07">
              <w:rPr>
                <w:rFonts w:ascii="Arial" w:hAnsi="Arial" w:cs="Arial"/>
                <w:color w:val="000000"/>
                <w:sz w:val="16"/>
                <w:szCs w:val="16"/>
              </w:rPr>
              <w:t xml:space="preserve"> (WBO)</w:t>
            </w:r>
            <w:r w:rsidR="00971C84" w:rsidRPr="00BE1D07">
              <w:rPr>
                <w:rFonts w:ascii="Arial" w:hAnsi="Arial" w:cs="Arial"/>
                <w:color w:val="000000"/>
                <w:sz w:val="16"/>
                <w:szCs w:val="16"/>
              </w:rPr>
              <w:br/>
              <w:t>14,711 (WJO)</w:t>
            </w:r>
            <w:r w:rsidR="00971C84" w:rsidRPr="00BE1D07">
              <w:rPr>
                <w:rFonts w:ascii="Arial" w:hAnsi="Arial" w:cs="Arial"/>
                <w:color w:val="000000"/>
                <w:sz w:val="16"/>
                <w:szCs w:val="16"/>
              </w:rPr>
              <w:br/>
              <w:t>6,257 (WRO)</w:t>
            </w:r>
            <w:r w:rsidR="00971C84" w:rsidRPr="00BE1D07">
              <w:rPr>
                <w:rFonts w:ascii="Arial" w:hAnsi="Arial" w:cs="Arial"/>
                <w:color w:val="000000"/>
                <w:sz w:val="16"/>
                <w:szCs w:val="16"/>
              </w:rPr>
              <w:br/>
              <w:t>56,355 (</w:t>
            </w:r>
            <w:r w:rsidR="00FA17AB">
              <w:rPr>
                <w:rFonts w:ascii="Arial" w:hAnsi="Arial" w:cs="Arial"/>
                <w:color w:val="000000"/>
                <w:sz w:val="16"/>
                <w:szCs w:val="16"/>
              </w:rPr>
              <w:t>WOC</w:t>
            </w:r>
            <w:r w:rsidR="00971C84" w:rsidRPr="00BE1D07">
              <w:rPr>
                <w:rFonts w:ascii="Arial" w:hAnsi="Arial" w:cs="Arial"/>
                <w:color w:val="000000"/>
                <w:sz w:val="16"/>
                <w:szCs w:val="16"/>
              </w:rPr>
              <w:t>)</w:t>
            </w:r>
            <w:r w:rsidR="00971C84" w:rsidRPr="00BE1D07">
              <w:rPr>
                <w:rFonts w:ascii="Arial" w:hAnsi="Arial" w:cs="Arial"/>
                <w:color w:val="000000"/>
                <w:sz w:val="16"/>
                <w:szCs w:val="16"/>
              </w:rPr>
              <w:br/>
            </w:r>
            <w:r w:rsidR="00971C84" w:rsidRPr="00BE1D07">
              <w:rPr>
                <w:rFonts w:ascii="Arial" w:hAnsi="Arial" w:cs="Arial"/>
                <w:color w:val="000000"/>
                <w:sz w:val="16"/>
                <w:szCs w:val="16"/>
              </w:rPr>
              <w:br/>
              <w:t>Global Brand</w:t>
            </w:r>
            <w:r w:rsidR="00971C84">
              <w:rPr>
                <w:rFonts w:ascii="Arial" w:hAnsi="Arial" w:cs="Arial"/>
                <w:color w:val="000000"/>
                <w:sz w:val="16"/>
                <w:szCs w:val="16"/>
              </w:rPr>
              <w:t>s</w:t>
            </w:r>
            <w:r w:rsidR="00BE2490">
              <w:rPr>
                <w:rFonts w:ascii="Arial" w:hAnsi="Arial" w:cs="Arial"/>
                <w:color w:val="000000"/>
                <w:sz w:val="16"/>
                <w:szCs w:val="16"/>
              </w:rPr>
              <w:t xml:space="preserve"> Database:</w:t>
            </w:r>
            <w:r w:rsidR="00BE2490">
              <w:rPr>
                <w:rFonts w:ascii="Arial" w:hAnsi="Arial" w:cs="Arial"/>
                <w:color w:val="000000"/>
                <w:sz w:val="16"/>
                <w:szCs w:val="16"/>
              </w:rPr>
              <w:br/>
              <w:t xml:space="preserve">9,162 (WSO) </w:t>
            </w:r>
            <w:r w:rsidR="00BE2490">
              <w:rPr>
                <w:rFonts w:ascii="Arial" w:hAnsi="Arial" w:cs="Arial"/>
                <w:color w:val="000000"/>
                <w:sz w:val="16"/>
                <w:szCs w:val="16"/>
              </w:rPr>
              <w:br/>
              <w:t>596</w:t>
            </w:r>
            <w:r w:rsidR="00971C84" w:rsidRPr="00BE1D07">
              <w:rPr>
                <w:rFonts w:ascii="Arial" w:hAnsi="Arial" w:cs="Arial"/>
                <w:color w:val="000000"/>
                <w:sz w:val="16"/>
                <w:szCs w:val="16"/>
              </w:rPr>
              <w:t xml:space="preserve"> (WBO)</w:t>
            </w:r>
            <w:r w:rsidR="00971C84" w:rsidRPr="00BE1D07">
              <w:rPr>
                <w:rFonts w:ascii="Arial" w:hAnsi="Arial" w:cs="Arial"/>
                <w:color w:val="000000"/>
                <w:sz w:val="16"/>
                <w:szCs w:val="16"/>
              </w:rPr>
              <w:br/>
              <w:t>2,871 (WJO)</w:t>
            </w:r>
            <w:r w:rsidR="00971C84" w:rsidRPr="00BE1D07">
              <w:rPr>
                <w:rFonts w:ascii="Arial" w:hAnsi="Arial" w:cs="Arial"/>
                <w:color w:val="000000"/>
                <w:sz w:val="16"/>
                <w:szCs w:val="16"/>
              </w:rPr>
              <w:br/>
              <w:t>2,352 (WRO)</w:t>
            </w:r>
            <w:r w:rsidR="00971C84" w:rsidRPr="00BE1D07">
              <w:rPr>
                <w:rFonts w:ascii="Arial" w:hAnsi="Arial" w:cs="Arial"/>
                <w:color w:val="000000"/>
                <w:sz w:val="16"/>
                <w:szCs w:val="16"/>
              </w:rPr>
              <w:br/>
              <w:t>3,398 (</w:t>
            </w:r>
            <w:r w:rsidR="00FA17AB">
              <w:rPr>
                <w:rFonts w:ascii="Arial" w:hAnsi="Arial" w:cs="Arial"/>
                <w:color w:val="000000"/>
                <w:sz w:val="16"/>
                <w:szCs w:val="16"/>
              </w:rPr>
              <w:t>WOC</w:t>
            </w:r>
            <w:r w:rsidR="00971C84" w:rsidRPr="00BE1D07">
              <w:rPr>
                <w:rFonts w:ascii="Arial" w:hAnsi="Arial" w:cs="Arial"/>
                <w:color w:val="000000"/>
                <w:sz w:val="16"/>
                <w:szCs w:val="16"/>
              </w:rPr>
              <w:t>)</w:t>
            </w:r>
            <w:r w:rsidR="00971C84" w:rsidRPr="00BE1D07">
              <w:rPr>
                <w:rFonts w:ascii="Arial" w:hAnsi="Arial" w:cs="Arial"/>
                <w:color w:val="000000"/>
                <w:sz w:val="16"/>
                <w:szCs w:val="16"/>
              </w:rPr>
              <w:br/>
            </w:r>
            <w:r w:rsidR="00971C84" w:rsidRPr="00BE1D07">
              <w:rPr>
                <w:rFonts w:ascii="Arial" w:hAnsi="Arial" w:cs="Arial"/>
                <w:color w:val="000000"/>
                <w:sz w:val="16"/>
                <w:szCs w:val="16"/>
              </w:rPr>
              <w:br/>
              <w:t>Design</w:t>
            </w:r>
            <w:r w:rsidR="00971C84">
              <w:rPr>
                <w:rFonts w:ascii="Arial" w:hAnsi="Arial" w:cs="Arial"/>
                <w:color w:val="000000"/>
                <w:sz w:val="16"/>
                <w:szCs w:val="16"/>
              </w:rPr>
              <w:t>s</w:t>
            </w:r>
            <w:r w:rsidR="00971C84" w:rsidRPr="00BE1D07">
              <w:rPr>
                <w:rFonts w:ascii="Arial" w:hAnsi="Arial" w:cs="Arial"/>
                <w:color w:val="000000"/>
                <w:sz w:val="16"/>
                <w:szCs w:val="16"/>
              </w:rPr>
              <w:t xml:space="preserve"> Database: n/a</w:t>
            </w:r>
          </w:p>
        </w:tc>
        <w:tc>
          <w:tcPr>
            <w:tcW w:w="2055" w:type="dxa"/>
            <w:tcBorders>
              <w:top w:val="single" w:sz="4" w:space="0" w:color="auto"/>
              <w:left w:val="nil"/>
              <w:right w:val="single" w:sz="4" w:space="0" w:color="auto"/>
            </w:tcBorders>
            <w:shd w:val="clear" w:color="auto" w:fill="auto"/>
            <w:tcMar>
              <w:top w:w="85" w:type="dxa"/>
            </w:tcMar>
            <w:hideMark/>
          </w:tcPr>
          <w:p w14:paraId="31DF03F7" w14:textId="576DD68C" w:rsidR="00971C84" w:rsidRPr="00FD3DD2" w:rsidRDefault="00FD3DD2" w:rsidP="00971C84">
            <w:pPr>
              <w:rPr>
                <w:rFonts w:ascii="Arial" w:hAnsi="Arial" w:cs="Arial"/>
                <w:sz w:val="16"/>
                <w:szCs w:val="16"/>
              </w:rPr>
            </w:pPr>
            <w:r>
              <w:rPr>
                <w:rFonts w:ascii="Arial" w:hAnsi="Arial" w:cs="Arial"/>
                <w:sz w:val="16"/>
                <w:szCs w:val="16"/>
              </w:rPr>
              <w:br/>
            </w:r>
            <w:r w:rsidR="00971C84" w:rsidRPr="00FD3DD2">
              <w:rPr>
                <w:rFonts w:ascii="Arial" w:hAnsi="Arial" w:cs="Arial"/>
                <w:sz w:val="16"/>
                <w:szCs w:val="16"/>
              </w:rPr>
              <w:t>5% increase</w:t>
            </w:r>
          </w:p>
          <w:p w14:paraId="53A7E5BC" w14:textId="77777777" w:rsidR="00971C84" w:rsidRPr="00FD3DD2" w:rsidRDefault="00971C84" w:rsidP="00971C84">
            <w:pPr>
              <w:rPr>
                <w:rFonts w:ascii="Arial" w:hAnsi="Arial" w:cs="Arial"/>
                <w:sz w:val="16"/>
                <w:szCs w:val="16"/>
              </w:rPr>
            </w:pPr>
          </w:p>
          <w:p w14:paraId="6B253051" w14:textId="77777777" w:rsidR="00971C84" w:rsidRPr="00FD3DD2" w:rsidRDefault="00971C84" w:rsidP="00971C84">
            <w:pPr>
              <w:rPr>
                <w:rFonts w:ascii="Arial" w:hAnsi="Arial" w:cs="Arial"/>
                <w:sz w:val="16"/>
                <w:szCs w:val="16"/>
              </w:rPr>
            </w:pPr>
          </w:p>
          <w:p w14:paraId="0CBB7729" w14:textId="77777777" w:rsidR="00971C84" w:rsidRPr="00FD3DD2" w:rsidRDefault="00971C84" w:rsidP="00971C84">
            <w:pPr>
              <w:rPr>
                <w:rFonts w:ascii="Arial" w:hAnsi="Arial" w:cs="Arial"/>
                <w:sz w:val="16"/>
                <w:szCs w:val="16"/>
              </w:rPr>
            </w:pPr>
          </w:p>
          <w:p w14:paraId="0ED70A62" w14:textId="77777777" w:rsidR="00971C84" w:rsidRPr="00FD3DD2" w:rsidRDefault="00971C84" w:rsidP="00971C84">
            <w:pPr>
              <w:rPr>
                <w:rFonts w:ascii="Arial" w:hAnsi="Arial" w:cs="Arial"/>
                <w:sz w:val="16"/>
                <w:szCs w:val="16"/>
              </w:rPr>
            </w:pPr>
          </w:p>
          <w:p w14:paraId="6AB604B3" w14:textId="77777777" w:rsidR="00971C84" w:rsidRPr="00FD3DD2" w:rsidRDefault="00971C84" w:rsidP="00971C84">
            <w:pPr>
              <w:rPr>
                <w:rFonts w:ascii="Arial" w:hAnsi="Arial" w:cs="Arial"/>
                <w:sz w:val="16"/>
                <w:szCs w:val="16"/>
              </w:rPr>
            </w:pPr>
          </w:p>
          <w:p w14:paraId="63DF4295" w14:textId="77777777" w:rsidR="00971C84" w:rsidRPr="00FD3DD2" w:rsidRDefault="00971C84" w:rsidP="00971C84">
            <w:pPr>
              <w:rPr>
                <w:rFonts w:ascii="Arial" w:hAnsi="Arial" w:cs="Arial"/>
                <w:sz w:val="16"/>
                <w:szCs w:val="16"/>
              </w:rPr>
            </w:pPr>
          </w:p>
          <w:p w14:paraId="070A3C21" w14:textId="77777777" w:rsidR="00971C84" w:rsidRPr="00FD3DD2" w:rsidRDefault="00971C84" w:rsidP="00971C84">
            <w:pPr>
              <w:rPr>
                <w:rFonts w:ascii="Arial" w:hAnsi="Arial" w:cs="Arial"/>
                <w:sz w:val="16"/>
                <w:szCs w:val="16"/>
              </w:rPr>
            </w:pPr>
            <w:r w:rsidRPr="00FD3DD2">
              <w:rPr>
                <w:rFonts w:ascii="Arial" w:hAnsi="Arial" w:cs="Arial"/>
                <w:sz w:val="16"/>
                <w:szCs w:val="16"/>
              </w:rPr>
              <w:t>5% increase</w:t>
            </w:r>
          </w:p>
          <w:p w14:paraId="2EB163FA" w14:textId="77777777" w:rsidR="00971C84" w:rsidRPr="00FD3DD2" w:rsidRDefault="00971C84" w:rsidP="00971C84">
            <w:pPr>
              <w:rPr>
                <w:rFonts w:ascii="Arial" w:hAnsi="Arial" w:cs="Arial"/>
                <w:sz w:val="16"/>
                <w:szCs w:val="16"/>
              </w:rPr>
            </w:pPr>
          </w:p>
          <w:p w14:paraId="66554B2E" w14:textId="77777777" w:rsidR="00971C84" w:rsidRPr="00FD3DD2" w:rsidRDefault="00971C84" w:rsidP="00971C84">
            <w:pPr>
              <w:rPr>
                <w:rFonts w:ascii="Arial" w:hAnsi="Arial" w:cs="Arial"/>
                <w:sz w:val="16"/>
                <w:szCs w:val="16"/>
              </w:rPr>
            </w:pPr>
          </w:p>
          <w:p w14:paraId="713209FC" w14:textId="77777777" w:rsidR="00971C84" w:rsidRPr="00FD3DD2" w:rsidRDefault="00971C84" w:rsidP="00971C84">
            <w:pPr>
              <w:rPr>
                <w:rFonts w:ascii="Arial" w:hAnsi="Arial" w:cs="Arial"/>
                <w:sz w:val="16"/>
                <w:szCs w:val="16"/>
              </w:rPr>
            </w:pPr>
          </w:p>
          <w:p w14:paraId="27B6066E" w14:textId="77777777" w:rsidR="00971C84" w:rsidRPr="00FD3DD2" w:rsidRDefault="00971C84" w:rsidP="00971C84">
            <w:pPr>
              <w:rPr>
                <w:rFonts w:ascii="Arial" w:hAnsi="Arial" w:cs="Arial"/>
                <w:sz w:val="16"/>
                <w:szCs w:val="16"/>
              </w:rPr>
            </w:pPr>
          </w:p>
          <w:p w14:paraId="0D21636F" w14:textId="77777777" w:rsidR="00971C84" w:rsidRPr="00FD3DD2" w:rsidRDefault="00971C84" w:rsidP="00971C84">
            <w:pPr>
              <w:rPr>
                <w:rFonts w:ascii="Arial" w:hAnsi="Arial" w:cs="Arial"/>
                <w:sz w:val="16"/>
                <w:szCs w:val="16"/>
              </w:rPr>
            </w:pPr>
          </w:p>
          <w:p w14:paraId="54F05903" w14:textId="77777777" w:rsidR="00971C84" w:rsidRPr="00FD3DD2" w:rsidRDefault="00971C84" w:rsidP="00971C84">
            <w:pPr>
              <w:rPr>
                <w:rFonts w:ascii="Arial" w:hAnsi="Arial" w:cs="Arial"/>
                <w:sz w:val="16"/>
                <w:szCs w:val="16"/>
              </w:rPr>
            </w:pPr>
          </w:p>
          <w:p w14:paraId="2393B111" w14:textId="77777777" w:rsidR="00971C84" w:rsidRPr="00FD3DD2" w:rsidRDefault="00971C84" w:rsidP="00971C84">
            <w:pPr>
              <w:rPr>
                <w:rFonts w:ascii="Arial" w:hAnsi="Arial" w:cs="Arial"/>
                <w:sz w:val="16"/>
                <w:szCs w:val="16"/>
              </w:rPr>
            </w:pPr>
          </w:p>
        </w:tc>
      </w:tr>
      <w:tr w:rsidR="00971C84" w:rsidRPr="00BE1D07" w14:paraId="032127E5" w14:textId="77777777" w:rsidTr="007644FB">
        <w:trPr>
          <w:trHeight w:val="671"/>
        </w:trPr>
        <w:tc>
          <w:tcPr>
            <w:tcW w:w="2380" w:type="dxa"/>
            <w:tcBorders>
              <w:left w:val="single" w:sz="4" w:space="0" w:color="auto"/>
              <w:bottom w:val="nil"/>
              <w:right w:val="nil"/>
            </w:tcBorders>
            <w:shd w:val="clear" w:color="auto" w:fill="auto"/>
            <w:tcMar>
              <w:top w:w="85" w:type="dxa"/>
            </w:tcMar>
            <w:hideMark/>
          </w:tcPr>
          <w:p w14:paraId="3D6CF4A8"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 </w:t>
            </w:r>
          </w:p>
        </w:tc>
        <w:tc>
          <w:tcPr>
            <w:tcW w:w="2380" w:type="dxa"/>
            <w:tcBorders>
              <w:left w:val="nil"/>
              <w:bottom w:val="nil"/>
              <w:right w:val="nil"/>
            </w:tcBorders>
            <w:shd w:val="clear" w:color="auto" w:fill="auto"/>
            <w:tcMar>
              <w:top w:w="85" w:type="dxa"/>
            </w:tcMar>
            <w:hideMark/>
          </w:tcPr>
          <w:p w14:paraId="17F29E49" w14:textId="77777777" w:rsidR="00971C84" w:rsidRPr="000B6BCA" w:rsidRDefault="00971C84" w:rsidP="00971C84">
            <w:pPr>
              <w:rPr>
                <w:rFonts w:ascii="Arial" w:hAnsi="Arial" w:cs="Arial"/>
                <w:color w:val="000000"/>
                <w:sz w:val="16"/>
                <w:szCs w:val="16"/>
              </w:rPr>
            </w:pPr>
            <w:r w:rsidRPr="000B6BCA">
              <w:rPr>
                <w:rFonts w:ascii="Arial" w:hAnsi="Arial" w:cs="Arial"/>
                <w:color w:val="000000"/>
                <w:sz w:val="16"/>
                <w:szCs w:val="16"/>
              </w:rPr>
              <w:t xml:space="preserve">No. of sustainable national TISCs network(s) </w:t>
            </w:r>
          </w:p>
        </w:tc>
        <w:tc>
          <w:tcPr>
            <w:tcW w:w="2380" w:type="dxa"/>
            <w:tcBorders>
              <w:left w:val="nil"/>
              <w:bottom w:val="nil"/>
              <w:right w:val="nil"/>
            </w:tcBorders>
            <w:shd w:val="clear" w:color="auto" w:fill="auto"/>
            <w:tcMar>
              <w:top w:w="85" w:type="dxa"/>
            </w:tcMar>
            <w:hideMark/>
          </w:tcPr>
          <w:p w14:paraId="51AF1469" w14:textId="494FC312" w:rsidR="00971C84" w:rsidRPr="00BE1D07" w:rsidRDefault="00971C84" w:rsidP="00BE3F1B">
            <w:pPr>
              <w:rPr>
                <w:rFonts w:ascii="Arial" w:hAnsi="Arial" w:cs="Arial"/>
                <w:color w:val="000000"/>
                <w:sz w:val="16"/>
                <w:szCs w:val="16"/>
              </w:rPr>
            </w:pPr>
            <w:r w:rsidRPr="000B6BCA">
              <w:rPr>
                <w:rFonts w:ascii="Arial" w:hAnsi="Arial" w:cs="Arial"/>
                <w:color w:val="000000"/>
                <w:sz w:val="16"/>
                <w:szCs w:val="16"/>
              </w:rPr>
              <w:t>2 (WSO)</w:t>
            </w:r>
            <w:r w:rsidRPr="000B6BCA">
              <w:rPr>
                <w:rFonts w:ascii="Arial" w:hAnsi="Arial" w:cs="Arial"/>
                <w:color w:val="000000"/>
                <w:sz w:val="16"/>
                <w:szCs w:val="16"/>
              </w:rPr>
              <w:br/>
              <w:t>0 (</w:t>
            </w:r>
            <w:r w:rsidR="00FA17AB">
              <w:rPr>
                <w:rFonts w:ascii="Arial" w:hAnsi="Arial" w:cs="Arial"/>
                <w:color w:val="000000"/>
                <w:sz w:val="16"/>
                <w:szCs w:val="16"/>
              </w:rPr>
              <w:t>WOC</w:t>
            </w:r>
            <w:r w:rsidRPr="000B6BCA">
              <w:rPr>
                <w:rFonts w:ascii="Arial" w:hAnsi="Arial" w:cs="Arial"/>
                <w:color w:val="000000"/>
                <w:sz w:val="16"/>
                <w:szCs w:val="16"/>
              </w:rPr>
              <w:t>)</w:t>
            </w:r>
          </w:p>
        </w:tc>
        <w:tc>
          <w:tcPr>
            <w:tcW w:w="2055" w:type="dxa"/>
            <w:tcBorders>
              <w:left w:val="nil"/>
              <w:bottom w:val="nil"/>
              <w:right w:val="single" w:sz="4" w:space="0" w:color="auto"/>
            </w:tcBorders>
            <w:shd w:val="clear" w:color="auto" w:fill="auto"/>
            <w:tcMar>
              <w:top w:w="85" w:type="dxa"/>
            </w:tcMar>
            <w:hideMark/>
          </w:tcPr>
          <w:p w14:paraId="41EC8D18" w14:textId="77777777" w:rsidR="00BE3F1B" w:rsidRDefault="00BE3F1B" w:rsidP="00BE3F1B">
            <w:pPr>
              <w:rPr>
                <w:rFonts w:ascii="Arial" w:hAnsi="Arial" w:cs="Arial"/>
                <w:sz w:val="16"/>
                <w:szCs w:val="16"/>
              </w:rPr>
            </w:pPr>
            <w:r>
              <w:rPr>
                <w:rFonts w:ascii="Arial" w:hAnsi="Arial" w:cs="Arial"/>
                <w:sz w:val="16"/>
                <w:szCs w:val="16"/>
              </w:rPr>
              <w:t>2 additional (WSO)</w:t>
            </w:r>
          </w:p>
          <w:p w14:paraId="44AEDB55" w14:textId="13FB67BA" w:rsidR="00971C84" w:rsidRPr="00FD3DD2" w:rsidRDefault="00BE3F1B" w:rsidP="00BE3F1B">
            <w:pPr>
              <w:rPr>
                <w:rFonts w:ascii="Arial" w:hAnsi="Arial" w:cs="Arial"/>
                <w:sz w:val="16"/>
                <w:szCs w:val="16"/>
              </w:rPr>
            </w:pPr>
            <w:r>
              <w:rPr>
                <w:rFonts w:ascii="Arial" w:hAnsi="Arial" w:cs="Arial"/>
                <w:color w:val="000000"/>
                <w:sz w:val="16"/>
                <w:szCs w:val="16"/>
              </w:rPr>
              <w:t>1</w:t>
            </w:r>
            <w:r w:rsidRPr="000B6BCA">
              <w:rPr>
                <w:rFonts w:ascii="Arial" w:hAnsi="Arial" w:cs="Arial"/>
                <w:color w:val="000000"/>
                <w:sz w:val="16"/>
                <w:szCs w:val="16"/>
              </w:rPr>
              <w:t xml:space="preserve"> (</w:t>
            </w:r>
            <w:r w:rsidR="00FA17AB">
              <w:rPr>
                <w:rFonts w:ascii="Arial" w:hAnsi="Arial" w:cs="Arial"/>
                <w:color w:val="000000"/>
                <w:sz w:val="16"/>
                <w:szCs w:val="16"/>
              </w:rPr>
              <w:t>WOC</w:t>
            </w:r>
            <w:r w:rsidRPr="000B6BCA">
              <w:rPr>
                <w:rFonts w:ascii="Arial" w:hAnsi="Arial" w:cs="Arial"/>
                <w:color w:val="000000"/>
                <w:sz w:val="16"/>
                <w:szCs w:val="16"/>
              </w:rPr>
              <w:t>)</w:t>
            </w:r>
            <w:r w:rsidR="00971C84" w:rsidRPr="00FD3DD2">
              <w:rPr>
                <w:rFonts w:ascii="Arial" w:hAnsi="Arial" w:cs="Arial"/>
                <w:sz w:val="16"/>
                <w:szCs w:val="16"/>
              </w:rPr>
              <w:t> </w:t>
            </w:r>
          </w:p>
        </w:tc>
      </w:tr>
      <w:tr w:rsidR="00971C84" w:rsidRPr="00BE1D07" w14:paraId="072B29F2" w14:textId="77777777" w:rsidTr="007644FB">
        <w:trPr>
          <w:trHeight w:val="1616"/>
        </w:trPr>
        <w:tc>
          <w:tcPr>
            <w:tcW w:w="2380" w:type="dxa"/>
            <w:tcBorders>
              <w:top w:val="nil"/>
              <w:left w:val="single" w:sz="4" w:space="0" w:color="auto"/>
              <w:bottom w:val="nil"/>
              <w:right w:val="nil"/>
            </w:tcBorders>
            <w:shd w:val="clear" w:color="auto" w:fill="auto"/>
            <w:tcMar>
              <w:top w:w="85" w:type="dxa"/>
            </w:tcMar>
            <w:hideMark/>
          </w:tcPr>
          <w:p w14:paraId="2A0431C4"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IV.4 Enhanced technical and knowledge infrastructure for IP Offices and other IP institutions leading to better services (cheaper, faster, higher quality) to their stakeholders and better outcome of IP Administration</w:t>
            </w:r>
          </w:p>
        </w:tc>
        <w:tc>
          <w:tcPr>
            <w:tcW w:w="2380" w:type="dxa"/>
            <w:tcBorders>
              <w:top w:val="nil"/>
              <w:left w:val="nil"/>
              <w:bottom w:val="nil"/>
              <w:right w:val="nil"/>
            </w:tcBorders>
            <w:shd w:val="clear" w:color="auto" w:fill="auto"/>
            <w:tcMar>
              <w:top w:w="85" w:type="dxa"/>
            </w:tcMar>
            <w:hideMark/>
          </w:tcPr>
          <w:p w14:paraId="7DF6012C"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No. of offices using WIPO Infrastructure Platforms</w:t>
            </w:r>
          </w:p>
        </w:tc>
        <w:tc>
          <w:tcPr>
            <w:tcW w:w="2380" w:type="dxa"/>
            <w:tcBorders>
              <w:top w:val="nil"/>
              <w:left w:val="nil"/>
              <w:bottom w:val="nil"/>
              <w:right w:val="nil"/>
            </w:tcBorders>
            <w:shd w:val="clear" w:color="auto" w:fill="auto"/>
            <w:tcMar>
              <w:top w:w="85" w:type="dxa"/>
            </w:tcMar>
            <w:hideMark/>
          </w:tcPr>
          <w:p w14:paraId="6197E513" w14:textId="77777777" w:rsidR="00971C84" w:rsidRDefault="00971C84" w:rsidP="00971C84">
            <w:pPr>
              <w:rPr>
                <w:rFonts w:ascii="Arial" w:hAnsi="Arial" w:cs="Arial"/>
                <w:color w:val="000000"/>
                <w:sz w:val="16"/>
                <w:szCs w:val="16"/>
              </w:rPr>
            </w:pPr>
            <w:r w:rsidRPr="00BE1D07">
              <w:rPr>
                <w:rFonts w:ascii="Arial" w:hAnsi="Arial" w:cs="Arial"/>
                <w:color w:val="000000"/>
                <w:sz w:val="16"/>
                <w:szCs w:val="16"/>
              </w:rPr>
              <w:t>7 (WSO)</w:t>
            </w:r>
          </w:p>
          <w:p w14:paraId="1B3BFFEB" w14:textId="77777777" w:rsidR="00971C84" w:rsidRPr="00BE1D07" w:rsidRDefault="00971C84" w:rsidP="00971C84">
            <w:pPr>
              <w:rPr>
                <w:rFonts w:ascii="Arial" w:hAnsi="Arial" w:cs="Arial"/>
                <w:color w:val="000000"/>
                <w:sz w:val="16"/>
                <w:szCs w:val="16"/>
              </w:rPr>
            </w:pPr>
            <w:r>
              <w:rPr>
                <w:rFonts w:ascii="Arial" w:hAnsi="Arial" w:cs="Arial"/>
                <w:color w:val="000000"/>
                <w:sz w:val="16"/>
                <w:szCs w:val="16"/>
              </w:rPr>
              <w:t>0 (WBO)</w:t>
            </w:r>
            <w:r w:rsidRPr="00BE1D07">
              <w:rPr>
                <w:rFonts w:ascii="Arial" w:hAnsi="Arial" w:cs="Arial"/>
                <w:color w:val="000000"/>
                <w:sz w:val="16"/>
                <w:szCs w:val="16"/>
              </w:rPr>
              <w:br/>
            </w:r>
          </w:p>
        </w:tc>
        <w:tc>
          <w:tcPr>
            <w:tcW w:w="2055" w:type="dxa"/>
            <w:tcBorders>
              <w:top w:val="nil"/>
              <w:left w:val="nil"/>
              <w:bottom w:val="nil"/>
              <w:right w:val="single" w:sz="4" w:space="0" w:color="auto"/>
            </w:tcBorders>
            <w:shd w:val="clear" w:color="auto" w:fill="auto"/>
            <w:tcMar>
              <w:top w:w="85" w:type="dxa"/>
            </w:tcMar>
            <w:hideMark/>
          </w:tcPr>
          <w:p w14:paraId="268E8AA2" w14:textId="77777777" w:rsidR="00971C84" w:rsidRDefault="00BE3F1B" w:rsidP="00BE3F1B">
            <w:pPr>
              <w:rPr>
                <w:rFonts w:ascii="Arial" w:hAnsi="Arial" w:cs="Arial"/>
                <w:sz w:val="16"/>
                <w:szCs w:val="16"/>
              </w:rPr>
            </w:pPr>
            <w:r>
              <w:rPr>
                <w:rFonts w:ascii="Arial" w:hAnsi="Arial" w:cs="Arial"/>
                <w:sz w:val="16"/>
                <w:szCs w:val="16"/>
              </w:rPr>
              <w:t>Tbd (WSO)</w:t>
            </w:r>
          </w:p>
          <w:p w14:paraId="67D59111" w14:textId="6FA98F11" w:rsidR="00BE3F1B" w:rsidRPr="00FD3DD2" w:rsidRDefault="00BE3F1B" w:rsidP="00BE3F1B">
            <w:pPr>
              <w:rPr>
                <w:rFonts w:ascii="Arial" w:hAnsi="Arial" w:cs="Arial"/>
                <w:sz w:val="16"/>
                <w:szCs w:val="16"/>
              </w:rPr>
            </w:pPr>
            <w:r>
              <w:rPr>
                <w:rFonts w:ascii="Arial" w:hAnsi="Arial" w:cs="Arial"/>
                <w:sz w:val="16"/>
                <w:szCs w:val="16"/>
              </w:rPr>
              <w:t>1 (WBO)</w:t>
            </w:r>
          </w:p>
        </w:tc>
      </w:tr>
      <w:tr w:rsidR="00971C84" w:rsidRPr="00BE1D07" w14:paraId="1F085513" w14:textId="77777777" w:rsidTr="004E671F">
        <w:trPr>
          <w:trHeight w:val="1901"/>
        </w:trPr>
        <w:tc>
          <w:tcPr>
            <w:tcW w:w="2380" w:type="dxa"/>
            <w:tcBorders>
              <w:top w:val="nil"/>
              <w:left w:val="single" w:sz="4" w:space="0" w:color="auto"/>
              <w:bottom w:val="nil"/>
              <w:right w:val="nil"/>
            </w:tcBorders>
            <w:shd w:val="clear" w:color="auto" w:fill="auto"/>
            <w:tcMar>
              <w:top w:w="85" w:type="dxa"/>
            </w:tcMar>
            <w:hideMark/>
          </w:tcPr>
          <w:p w14:paraId="1DF4EA8E"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VII.2 IP-based platforms and tools for knowledge transfer, technology adaptation and diffusion from developed to developing countries, particularly least developed countries, to address global challenges</w:t>
            </w:r>
          </w:p>
        </w:tc>
        <w:tc>
          <w:tcPr>
            <w:tcW w:w="2380" w:type="dxa"/>
            <w:tcBorders>
              <w:top w:val="nil"/>
              <w:left w:val="nil"/>
              <w:bottom w:val="nil"/>
              <w:right w:val="nil"/>
            </w:tcBorders>
            <w:shd w:val="clear" w:color="auto" w:fill="auto"/>
            <w:tcMar>
              <w:top w:w="85" w:type="dxa"/>
            </w:tcMar>
            <w:hideMark/>
          </w:tcPr>
          <w:p w14:paraId="57D7018E"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Participation of stakeholders in WIPO's platforms such as WIPO GREEN and WIPO Re: Search</w:t>
            </w:r>
          </w:p>
        </w:tc>
        <w:tc>
          <w:tcPr>
            <w:tcW w:w="2380" w:type="dxa"/>
            <w:tcBorders>
              <w:top w:val="nil"/>
              <w:left w:val="nil"/>
              <w:bottom w:val="nil"/>
              <w:right w:val="nil"/>
            </w:tcBorders>
            <w:shd w:val="clear" w:color="auto" w:fill="auto"/>
            <w:tcMar>
              <w:top w:w="85" w:type="dxa"/>
            </w:tcMar>
            <w:hideMark/>
          </w:tcPr>
          <w:p w14:paraId="6E6398B9" w14:textId="2E55BF17" w:rsidR="00971C84" w:rsidRDefault="00971C84" w:rsidP="00971C84">
            <w:pPr>
              <w:rPr>
                <w:rFonts w:ascii="Arial" w:hAnsi="Arial" w:cs="Arial"/>
                <w:color w:val="000000"/>
                <w:sz w:val="16"/>
                <w:szCs w:val="16"/>
              </w:rPr>
            </w:pPr>
            <w:r w:rsidRPr="00BE1D07">
              <w:rPr>
                <w:rFonts w:ascii="Arial" w:hAnsi="Arial" w:cs="Arial"/>
                <w:color w:val="000000"/>
                <w:sz w:val="16"/>
                <w:szCs w:val="16"/>
              </w:rPr>
              <w:t>WIPO G</w:t>
            </w:r>
            <w:r w:rsidR="00E25DB8">
              <w:rPr>
                <w:rFonts w:ascii="Arial" w:hAnsi="Arial" w:cs="Arial"/>
                <w:color w:val="000000"/>
                <w:sz w:val="16"/>
                <w:szCs w:val="16"/>
              </w:rPr>
              <w:t>REEN</w:t>
            </w:r>
          </w:p>
          <w:p w14:paraId="7DE6DFDF" w14:textId="77777777" w:rsidR="00971C84" w:rsidRDefault="00971C84" w:rsidP="00971C84">
            <w:pPr>
              <w:rPr>
                <w:rFonts w:ascii="Arial" w:hAnsi="Arial" w:cs="Arial"/>
                <w:color w:val="000000"/>
                <w:sz w:val="16"/>
                <w:szCs w:val="16"/>
              </w:rPr>
            </w:pPr>
            <w:r>
              <w:rPr>
                <w:rFonts w:ascii="Arial" w:hAnsi="Arial" w:cs="Arial"/>
                <w:color w:val="000000"/>
                <w:sz w:val="16"/>
                <w:szCs w:val="16"/>
              </w:rPr>
              <w:t xml:space="preserve">21 (WSO) </w:t>
            </w:r>
          </w:p>
          <w:p w14:paraId="1D277928" w14:textId="4B5C415A" w:rsidR="00971C84" w:rsidRDefault="00971C84" w:rsidP="00971C84">
            <w:pPr>
              <w:rPr>
                <w:rFonts w:ascii="Arial" w:hAnsi="Arial" w:cs="Arial"/>
                <w:color w:val="000000"/>
                <w:sz w:val="16"/>
                <w:szCs w:val="16"/>
              </w:rPr>
            </w:pPr>
            <w:r>
              <w:rPr>
                <w:rFonts w:ascii="Arial" w:hAnsi="Arial" w:cs="Arial"/>
                <w:color w:val="000000"/>
                <w:sz w:val="16"/>
                <w:szCs w:val="16"/>
              </w:rPr>
              <w:t xml:space="preserve">48 </w:t>
            </w:r>
            <w:r w:rsidR="00F7225F">
              <w:rPr>
                <w:rFonts w:ascii="Arial" w:hAnsi="Arial" w:cs="Arial"/>
                <w:color w:val="000000"/>
                <w:sz w:val="16"/>
                <w:szCs w:val="16"/>
              </w:rPr>
              <w:t xml:space="preserve">for the LAC region </w:t>
            </w:r>
            <w:r>
              <w:rPr>
                <w:rFonts w:ascii="Arial" w:hAnsi="Arial" w:cs="Arial"/>
                <w:color w:val="000000"/>
                <w:sz w:val="16"/>
                <w:szCs w:val="16"/>
              </w:rPr>
              <w:t>(WBO)</w:t>
            </w:r>
          </w:p>
          <w:p w14:paraId="0E5FB2D9" w14:textId="77777777" w:rsidR="00971C84" w:rsidRDefault="00971C84" w:rsidP="00971C84">
            <w:pPr>
              <w:rPr>
                <w:rFonts w:ascii="Arial" w:hAnsi="Arial" w:cs="Arial"/>
                <w:color w:val="000000"/>
                <w:sz w:val="16"/>
                <w:szCs w:val="16"/>
              </w:rPr>
            </w:pPr>
            <w:r>
              <w:rPr>
                <w:rFonts w:ascii="Arial" w:hAnsi="Arial" w:cs="Arial"/>
                <w:color w:val="000000"/>
                <w:sz w:val="16"/>
                <w:szCs w:val="16"/>
              </w:rPr>
              <w:t xml:space="preserve">45 (WJO) </w:t>
            </w:r>
          </w:p>
          <w:p w14:paraId="085CF4F8" w14:textId="77777777" w:rsidR="00971C84" w:rsidRDefault="00971C84" w:rsidP="00971C84">
            <w:pPr>
              <w:rPr>
                <w:rFonts w:ascii="Arial" w:hAnsi="Arial" w:cs="Arial"/>
                <w:color w:val="000000"/>
                <w:sz w:val="16"/>
                <w:szCs w:val="16"/>
              </w:rPr>
            </w:pPr>
            <w:r>
              <w:rPr>
                <w:rFonts w:ascii="Arial" w:hAnsi="Arial" w:cs="Arial"/>
                <w:color w:val="000000"/>
                <w:sz w:val="16"/>
                <w:szCs w:val="16"/>
              </w:rPr>
              <w:t>1 (WRO)</w:t>
            </w:r>
          </w:p>
          <w:p w14:paraId="712E822B" w14:textId="2EC70A69" w:rsidR="00971C84" w:rsidRDefault="00971C84" w:rsidP="00971C84">
            <w:pPr>
              <w:rPr>
                <w:rFonts w:ascii="Arial" w:hAnsi="Arial" w:cs="Arial"/>
                <w:color w:val="000000"/>
                <w:sz w:val="16"/>
                <w:szCs w:val="16"/>
              </w:rPr>
            </w:pPr>
            <w:r>
              <w:rPr>
                <w:rFonts w:ascii="Arial" w:hAnsi="Arial" w:cs="Arial"/>
                <w:color w:val="000000"/>
                <w:sz w:val="16"/>
                <w:szCs w:val="16"/>
              </w:rPr>
              <w:t>29 (</w:t>
            </w:r>
            <w:r w:rsidR="00FA17AB">
              <w:rPr>
                <w:rFonts w:ascii="Arial" w:hAnsi="Arial" w:cs="Arial"/>
                <w:color w:val="000000"/>
                <w:sz w:val="16"/>
                <w:szCs w:val="16"/>
              </w:rPr>
              <w:t>WOC</w:t>
            </w:r>
            <w:r>
              <w:rPr>
                <w:rFonts w:ascii="Arial" w:hAnsi="Arial" w:cs="Arial"/>
                <w:color w:val="000000"/>
                <w:sz w:val="16"/>
                <w:szCs w:val="16"/>
              </w:rPr>
              <w:t>)</w:t>
            </w:r>
          </w:p>
          <w:p w14:paraId="20448EAE"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br/>
              <w:t>WIPO Re:Search</w:t>
            </w:r>
            <w:r>
              <w:rPr>
                <w:rFonts w:ascii="Arial" w:hAnsi="Arial" w:cs="Arial"/>
                <w:color w:val="000000"/>
                <w:sz w:val="16"/>
                <w:szCs w:val="16"/>
              </w:rPr>
              <w:t xml:space="preserve">: n/a </w:t>
            </w:r>
          </w:p>
        </w:tc>
        <w:tc>
          <w:tcPr>
            <w:tcW w:w="2055" w:type="dxa"/>
            <w:tcBorders>
              <w:top w:val="nil"/>
              <w:left w:val="nil"/>
              <w:bottom w:val="nil"/>
              <w:right w:val="single" w:sz="4" w:space="0" w:color="auto"/>
            </w:tcBorders>
            <w:shd w:val="clear" w:color="auto" w:fill="auto"/>
            <w:tcMar>
              <w:top w:w="85" w:type="dxa"/>
            </w:tcMar>
            <w:hideMark/>
          </w:tcPr>
          <w:p w14:paraId="08D4092C" w14:textId="2A90B0D8" w:rsidR="00BE3F1B" w:rsidRDefault="00BE3F1B" w:rsidP="00BE3F1B">
            <w:pPr>
              <w:rPr>
                <w:rFonts w:ascii="Arial" w:hAnsi="Arial" w:cs="Arial"/>
                <w:sz w:val="16"/>
                <w:szCs w:val="16"/>
              </w:rPr>
            </w:pPr>
            <w:r>
              <w:rPr>
                <w:rFonts w:ascii="Arial" w:hAnsi="Arial" w:cs="Arial"/>
                <w:sz w:val="16"/>
                <w:szCs w:val="16"/>
              </w:rPr>
              <w:t>20</w:t>
            </w:r>
            <w:r w:rsidR="00971C84" w:rsidRPr="00FD3DD2">
              <w:rPr>
                <w:rFonts w:ascii="Arial" w:hAnsi="Arial" w:cs="Arial"/>
                <w:sz w:val="16"/>
                <w:szCs w:val="16"/>
              </w:rPr>
              <w:t>% increase both</w:t>
            </w:r>
            <w:r>
              <w:rPr>
                <w:rFonts w:ascii="Arial" w:hAnsi="Arial" w:cs="Arial"/>
                <w:sz w:val="16"/>
                <w:szCs w:val="16"/>
              </w:rPr>
              <w:t xml:space="preserve"> WIPO </w:t>
            </w:r>
            <w:r w:rsidR="0037778C">
              <w:rPr>
                <w:rFonts w:ascii="Arial" w:hAnsi="Arial" w:cs="Arial"/>
                <w:sz w:val="16"/>
                <w:szCs w:val="16"/>
              </w:rPr>
              <w:t xml:space="preserve">GREEN </w:t>
            </w:r>
            <w:r>
              <w:rPr>
                <w:rFonts w:ascii="Arial" w:hAnsi="Arial" w:cs="Arial"/>
                <w:sz w:val="16"/>
                <w:szCs w:val="16"/>
              </w:rPr>
              <w:t xml:space="preserve">and Re:Search </w:t>
            </w:r>
          </w:p>
          <w:p w14:paraId="012261A3" w14:textId="4970A152" w:rsidR="00971C84" w:rsidRPr="00FD3DD2" w:rsidRDefault="00BE3F1B" w:rsidP="00BE3F1B">
            <w:pPr>
              <w:rPr>
                <w:rFonts w:ascii="Arial" w:hAnsi="Arial" w:cs="Arial"/>
                <w:sz w:val="16"/>
                <w:szCs w:val="16"/>
              </w:rPr>
            </w:pPr>
            <w:r>
              <w:rPr>
                <w:rFonts w:ascii="Arial" w:hAnsi="Arial" w:cs="Arial"/>
                <w:color w:val="000000"/>
                <w:sz w:val="16"/>
                <w:szCs w:val="16"/>
              </w:rPr>
              <w:t>(all Offices)</w:t>
            </w:r>
          </w:p>
        </w:tc>
      </w:tr>
      <w:tr w:rsidR="00971C84" w:rsidRPr="00BE1D07" w14:paraId="1088B6C1" w14:textId="77777777" w:rsidTr="004E671F">
        <w:trPr>
          <w:trHeight w:val="915"/>
        </w:trPr>
        <w:tc>
          <w:tcPr>
            <w:tcW w:w="2380" w:type="dxa"/>
            <w:tcBorders>
              <w:top w:val="nil"/>
              <w:left w:val="single" w:sz="4" w:space="0" w:color="auto"/>
              <w:bottom w:val="nil"/>
              <w:right w:val="nil"/>
            </w:tcBorders>
            <w:shd w:val="clear" w:color="auto" w:fill="auto"/>
            <w:tcMar>
              <w:top w:w="85" w:type="dxa"/>
            </w:tcMar>
            <w:hideMark/>
          </w:tcPr>
          <w:p w14:paraId="1DB48FD9"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VIII.1 More effective communication to a broad public about intellectual property and WIPO’s role</w:t>
            </w:r>
          </w:p>
        </w:tc>
        <w:tc>
          <w:tcPr>
            <w:tcW w:w="2380" w:type="dxa"/>
            <w:tcBorders>
              <w:top w:val="nil"/>
              <w:left w:val="nil"/>
              <w:bottom w:val="nil"/>
              <w:right w:val="nil"/>
            </w:tcBorders>
            <w:shd w:val="clear" w:color="auto" w:fill="auto"/>
            <w:tcMar>
              <w:top w:w="85" w:type="dxa"/>
            </w:tcMar>
            <w:hideMark/>
          </w:tcPr>
          <w:p w14:paraId="32FF43EC"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Increased traffic to the website of WIPO External Offices</w:t>
            </w:r>
            <w:r w:rsidRPr="00BE1D07">
              <w:rPr>
                <w:rFonts w:ascii="Arial" w:hAnsi="Arial" w:cs="Arial"/>
                <w:color w:val="000000"/>
                <w:sz w:val="16"/>
                <w:szCs w:val="16"/>
              </w:rPr>
              <w:br/>
            </w:r>
          </w:p>
        </w:tc>
        <w:tc>
          <w:tcPr>
            <w:tcW w:w="2380" w:type="dxa"/>
            <w:tcBorders>
              <w:top w:val="nil"/>
              <w:left w:val="nil"/>
              <w:bottom w:val="nil"/>
              <w:right w:val="nil"/>
            </w:tcBorders>
            <w:shd w:val="clear" w:color="auto" w:fill="auto"/>
            <w:tcMar>
              <w:top w:w="85" w:type="dxa"/>
            </w:tcMar>
            <w:hideMark/>
          </w:tcPr>
          <w:p w14:paraId="3A9AF11F" w14:textId="26CBB666" w:rsidR="00BE3F1B" w:rsidRDefault="00BE3F1B" w:rsidP="00BE3F1B">
            <w:pPr>
              <w:rPr>
                <w:rFonts w:ascii="Arial" w:hAnsi="Arial" w:cs="Arial"/>
                <w:color w:val="000000"/>
                <w:sz w:val="16"/>
                <w:szCs w:val="16"/>
              </w:rPr>
            </w:pPr>
            <w:r>
              <w:rPr>
                <w:rFonts w:ascii="Arial" w:hAnsi="Arial" w:cs="Arial"/>
                <w:color w:val="000000"/>
                <w:sz w:val="16"/>
                <w:szCs w:val="16"/>
              </w:rPr>
              <w:t>9,882 (WSO)</w:t>
            </w:r>
            <w:r w:rsidR="00971C84" w:rsidRPr="00BE1D07">
              <w:rPr>
                <w:rFonts w:ascii="Arial" w:hAnsi="Arial" w:cs="Arial"/>
                <w:color w:val="000000"/>
                <w:sz w:val="16"/>
                <w:szCs w:val="16"/>
              </w:rPr>
              <w:br/>
            </w:r>
            <w:r>
              <w:rPr>
                <w:rFonts w:ascii="Arial" w:hAnsi="Arial" w:cs="Arial"/>
                <w:color w:val="000000"/>
                <w:sz w:val="16"/>
                <w:szCs w:val="16"/>
              </w:rPr>
              <w:t xml:space="preserve">WBO &amp; WJO: tbd </w:t>
            </w:r>
          </w:p>
          <w:p w14:paraId="06BDB9E0" w14:textId="77777777" w:rsidR="00BE3F1B" w:rsidRDefault="00BE3F1B" w:rsidP="00BE3F1B">
            <w:pPr>
              <w:rPr>
                <w:rFonts w:ascii="Arial" w:hAnsi="Arial" w:cs="Arial"/>
                <w:color w:val="000000"/>
                <w:sz w:val="16"/>
                <w:szCs w:val="16"/>
              </w:rPr>
            </w:pPr>
            <w:r>
              <w:rPr>
                <w:rFonts w:ascii="Arial" w:hAnsi="Arial" w:cs="Arial"/>
                <w:color w:val="000000"/>
                <w:sz w:val="16"/>
                <w:szCs w:val="16"/>
              </w:rPr>
              <w:t xml:space="preserve">0 (WRO) </w:t>
            </w:r>
          </w:p>
          <w:p w14:paraId="05DD8CE4" w14:textId="24E72EB2" w:rsidR="00971C84" w:rsidRPr="00BE1D07" w:rsidRDefault="00BE3F1B" w:rsidP="00BE3F1B">
            <w:pPr>
              <w:rPr>
                <w:rFonts w:ascii="Arial" w:hAnsi="Arial" w:cs="Arial"/>
                <w:color w:val="000000"/>
                <w:sz w:val="16"/>
                <w:szCs w:val="16"/>
              </w:rPr>
            </w:pPr>
            <w:r>
              <w:rPr>
                <w:rFonts w:ascii="Arial" w:hAnsi="Arial" w:cs="Arial"/>
                <w:color w:val="000000"/>
                <w:sz w:val="16"/>
                <w:szCs w:val="16"/>
              </w:rPr>
              <w:t>0 (</w:t>
            </w:r>
            <w:r w:rsidR="00FA17AB">
              <w:rPr>
                <w:rFonts w:ascii="Arial" w:hAnsi="Arial" w:cs="Arial"/>
                <w:color w:val="000000"/>
                <w:sz w:val="16"/>
                <w:szCs w:val="16"/>
              </w:rPr>
              <w:t>WOC</w:t>
            </w:r>
            <w:r>
              <w:rPr>
                <w:rFonts w:ascii="Arial" w:hAnsi="Arial" w:cs="Arial"/>
                <w:color w:val="000000"/>
                <w:sz w:val="16"/>
                <w:szCs w:val="16"/>
              </w:rPr>
              <w:t xml:space="preserve">) </w:t>
            </w:r>
            <w:r w:rsidR="00971C84" w:rsidRPr="00BE1D07">
              <w:rPr>
                <w:rFonts w:ascii="Arial" w:hAnsi="Arial" w:cs="Arial"/>
                <w:color w:val="000000"/>
                <w:sz w:val="16"/>
                <w:szCs w:val="16"/>
              </w:rPr>
              <w:br/>
            </w:r>
            <w:r w:rsidR="00971C84" w:rsidRPr="00BE1D07">
              <w:rPr>
                <w:rFonts w:ascii="Arial" w:hAnsi="Arial" w:cs="Arial"/>
                <w:color w:val="000000"/>
                <w:sz w:val="16"/>
                <w:szCs w:val="16"/>
              </w:rPr>
              <w:br/>
            </w:r>
            <w:r w:rsidR="00971C84" w:rsidRPr="00BE1D07">
              <w:rPr>
                <w:rFonts w:ascii="Arial" w:hAnsi="Arial" w:cs="Arial"/>
                <w:color w:val="000000"/>
                <w:sz w:val="16"/>
                <w:szCs w:val="16"/>
              </w:rPr>
              <w:br/>
            </w:r>
          </w:p>
        </w:tc>
        <w:tc>
          <w:tcPr>
            <w:tcW w:w="2055" w:type="dxa"/>
            <w:tcBorders>
              <w:top w:val="nil"/>
              <w:left w:val="nil"/>
              <w:bottom w:val="nil"/>
              <w:right w:val="single" w:sz="4" w:space="0" w:color="auto"/>
            </w:tcBorders>
            <w:shd w:val="clear" w:color="auto" w:fill="auto"/>
            <w:tcMar>
              <w:top w:w="85" w:type="dxa"/>
            </w:tcMar>
            <w:hideMark/>
          </w:tcPr>
          <w:p w14:paraId="1F72C1FC" w14:textId="427DCC35" w:rsidR="00971C84" w:rsidRPr="00FD3DD2" w:rsidRDefault="00BE3F1B" w:rsidP="00BE3F1B">
            <w:pPr>
              <w:rPr>
                <w:rFonts w:ascii="Arial" w:hAnsi="Arial" w:cs="Arial"/>
                <w:sz w:val="16"/>
                <w:szCs w:val="16"/>
              </w:rPr>
            </w:pPr>
            <w:r>
              <w:rPr>
                <w:rFonts w:ascii="Arial" w:hAnsi="Arial" w:cs="Arial"/>
                <w:sz w:val="16"/>
                <w:szCs w:val="16"/>
              </w:rPr>
              <w:t>5% increase all Offices</w:t>
            </w:r>
          </w:p>
        </w:tc>
      </w:tr>
      <w:tr w:rsidR="00971C84" w:rsidRPr="00BE1D07" w14:paraId="66DEBEA3" w14:textId="77777777" w:rsidTr="00BE3F1B">
        <w:trPr>
          <w:trHeight w:val="660"/>
        </w:trPr>
        <w:tc>
          <w:tcPr>
            <w:tcW w:w="2380" w:type="dxa"/>
            <w:tcBorders>
              <w:top w:val="nil"/>
              <w:left w:val="single" w:sz="4" w:space="0" w:color="auto"/>
              <w:right w:val="nil"/>
            </w:tcBorders>
            <w:shd w:val="clear" w:color="auto" w:fill="auto"/>
            <w:tcMar>
              <w:top w:w="85" w:type="dxa"/>
            </w:tcMar>
            <w:hideMark/>
          </w:tcPr>
          <w:p w14:paraId="67D7CFE8"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VIII.2 Improved service orientation and responsiveness to inquiries</w:t>
            </w:r>
          </w:p>
        </w:tc>
        <w:tc>
          <w:tcPr>
            <w:tcW w:w="2380" w:type="dxa"/>
            <w:tcBorders>
              <w:top w:val="nil"/>
              <w:left w:val="nil"/>
              <w:right w:val="nil"/>
            </w:tcBorders>
            <w:shd w:val="clear" w:color="auto" w:fill="auto"/>
            <w:tcMar>
              <w:top w:w="85" w:type="dxa"/>
            </w:tcMar>
            <w:hideMark/>
          </w:tcPr>
          <w:p w14:paraId="5D4FEBE8"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Processing time of inquiries</w:t>
            </w:r>
          </w:p>
        </w:tc>
        <w:tc>
          <w:tcPr>
            <w:tcW w:w="2380" w:type="dxa"/>
            <w:tcBorders>
              <w:top w:val="nil"/>
              <w:left w:val="nil"/>
              <w:right w:val="nil"/>
            </w:tcBorders>
            <w:shd w:val="clear" w:color="auto" w:fill="auto"/>
            <w:tcMar>
              <w:top w:w="85" w:type="dxa"/>
            </w:tcMar>
            <w:hideMark/>
          </w:tcPr>
          <w:p w14:paraId="5E1A05BC" w14:textId="7871FA72" w:rsidR="00971C84" w:rsidRPr="00BE1D07" w:rsidRDefault="00971C84" w:rsidP="00BE3F1B">
            <w:pPr>
              <w:rPr>
                <w:rFonts w:ascii="Arial" w:hAnsi="Arial" w:cs="Arial"/>
                <w:color w:val="000000"/>
                <w:sz w:val="16"/>
                <w:szCs w:val="16"/>
              </w:rPr>
            </w:pPr>
            <w:r w:rsidRPr="00BE1D07">
              <w:rPr>
                <w:rFonts w:ascii="Arial" w:hAnsi="Arial" w:cs="Arial"/>
                <w:color w:val="000000"/>
                <w:sz w:val="16"/>
                <w:szCs w:val="16"/>
              </w:rPr>
              <w:t>48h</w:t>
            </w:r>
            <w:r w:rsidR="00BE3F1B">
              <w:rPr>
                <w:rFonts w:ascii="Arial" w:hAnsi="Arial" w:cs="Arial"/>
                <w:color w:val="000000"/>
                <w:sz w:val="16"/>
                <w:szCs w:val="16"/>
              </w:rPr>
              <w:t xml:space="preserve"> (all Offices)</w:t>
            </w:r>
          </w:p>
        </w:tc>
        <w:tc>
          <w:tcPr>
            <w:tcW w:w="2055" w:type="dxa"/>
            <w:tcBorders>
              <w:top w:val="nil"/>
              <w:left w:val="nil"/>
              <w:right w:val="single" w:sz="4" w:space="0" w:color="auto"/>
            </w:tcBorders>
            <w:shd w:val="clear" w:color="auto" w:fill="auto"/>
            <w:tcMar>
              <w:top w:w="85" w:type="dxa"/>
            </w:tcMar>
            <w:hideMark/>
          </w:tcPr>
          <w:p w14:paraId="275AF110" w14:textId="7D5ED142" w:rsidR="00971C84" w:rsidRPr="00FD3DD2" w:rsidRDefault="00971C84" w:rsidP="00BE3F1B">
            <w:pPr>
              <w:rPr>
                <w:rFonts w:ascii="Arial" w:hAnsi="Arial" w:cs="Arial"/>
                <w:sz w:val="16"/>
                <w:szCs w:val="16"/>
              </w:rPr>
            </w:pPr>
            <w:r w:rsidRPr="00FD3DD2">
              <w:rPr>
                <w:rFonts w:ascii="Arial" w:hAnsi="Arial" w:cs="Arial"/>
                <w:sz w:val="16"/>
                <w:szCs w:val="16"/>
              </w:rPr>
              <w:t>36h</w:t>
            </w:r>
            <w:r w:rsidR="00BE3F1B">
              <w:rPr>
                <w:rFonts w:ascii="Arial" w:hAnsi="Arial" w:cs="Arial"/>
                <w:sz w:val="16"/>
                <w:szCs w:val="16"/>
              </w:rPr>
              <w:t xml:space="preserve"> </w:t>
            </w:r>
            <w:r w:rsidR="00BE3F1B">
              <w:rPr>
                <w:rFonts w:ascii="Arial" w:hAnsi="Arial" w:cs="Arial"/>
                <w:color w:val="000000"/>
                <w:sz w:val="16"/>
                <w:szCs w:val="16"/>
              </w:rPr>
              <w:t>(all Offices)</w:t>
            </w:r>
          </w:p>
        </w:tc>
      </w:tr>
      <w:tr w:rsidR="00971C84" w:rsidRPr="00BE1D07" w14:paraId="2ABDCD1A" w14:textId="77777777" w:rsidTr="00BE3F1B">
        <w:trPr>
          <w:trHeight w:val="626"/>
        </w:trPr>
        <w:tc>
          <w:tcPr>
            <w:tcW w:w="2380" w:type="dxa"/>
            <w:tcBorders>
              <w:top w:val="nil"/>
              <w:left w:val="single" w:sz="4" w:space="0" w:color="auto"/>
              <w:bottom w:val="single" w:sz="4" w:space="0" w:color="auto"/>
              <w:right w:val="nil"/>
            </w:tcBorders>
            <w:shd w:val="clear" w:color="auto" w:fill="auto"/>
            <w:tcMar>
              <w:top w:w="85" w:type="dxa"/>
            </w:tcMar>
            <w:hideMark/>
          </w:tcPr>
          <w:p w14:paraId="0A446C87" w14:textId="77777777" w:rsidR="00971C84" w:rsidRDefault="00971C84" w:rsidP="00971C84">
            <w:pPr>
              <w:rPr>
                <w:rFonts w:ascii="Arial" w:hAnsi="Arial" w:cs="Arial"/>
                <w:color w:val="000000"/>
                <w:sz w:val="16"/>
                <w:szCs w:val="16"/>
              </w:rPr>
            </w:pPr>
            <w:r w:rsidRPr="00BE1D07">
              <w:rPr>
                <w:rFonts w:ascii="Arial" w:hAnsi="Arial" w:cs="Arial"/>
                <w:color w:val="000000"/>
                <w:sz w:val="16"/>
                <w:szCs w:val="16"/>
              </w:rPr>
              <w:t>VIII.5 WIPO effectively interacts and partners with UN and other IGO processes and negotiations</w:t>
            </w:r>
          </w:p>
          <w:p w14:paraId="7E042D70" w14:textId="77777777" w:rsidR="00971C84" w:rsidRPr="00BE1D07" w:rsidRDefault="00971C84" w:rsidP="00971C84">
            <w:pPr>
              <w:rPr>
                <w:rFonts w:ascii="Arial" w:hAnsi="Arial" w:cs="Arial"/>
                <w:color w:val="000000"/>
                <w:sz w:val="16"/>
                <w:szCs w:val="16"/>
              </w:rPr>
            </w:pPr>
          </w:p>
        </w:tc>
        <w:tc>
          <w:tcPr>
            <w:tcW w:w="2380" w:type="dxa"/>
            <w:tcBorders>
              <w:top w:val="nil"/>
              <w:left w:val="nil"/>
              <w:bottom w:val="single" w:sz="4" w:space="0" w:color="auto"/>
              <w:right w:val="nil"/>
            </w:tcBorders>
            <w:shd w:val="clear" w:color="auto" w:fill="auto"/>
            <w:tcMar>
              <w:top w:w="85" w:type="dxa"/>
            </w:tcMar>
            <w:hideMark/>
          </w:tcPr>
          <w:p w14:paraId="01501CF3" w14:textId="77777777" w:rsidR="00971C84" w:rsidRPr="00BE1D07" w:rsidRDefault="00971C84" w:rsidP="00971C84">
            <w:pPr>
              <w:rPr>
                <w:rFonts w:ascii="Arial" w:hAnsi="Arial" w:cs="Arial"/>
                <w:color w:val="000000"/>
                <w:sz w:val="16"/>
                <w:szCs w:val="16"/>
              </w:rPr>
            </w:pPr>
            <w:r w:rsidRPr="00BE1D07">
              <w:rPr>
                <w:rFonts w:ascii="Arial" w:hAnsi="Arial" w:cs="Arial"/>
                <w:color w:val="000000"/>
                <w:sz w:val="16"/>
                <w:szCs w:val="16"/>
              </w:rPr>
              <w:t>No. of joint activities with ASEAN Secretariat, ECAP/OHIM, Asia/Europe Foundation, AANZFTA</w:t>
            </w:r>
          </w:p>
        </w:tc>
        <w:tc>
          <w:tcPr>
            <w:tcW w:w="2380" w:type="dxa"/>
            <w:tcBorders>
              <w:top w:val="nil"/>
              <w:left w:val="nil"/>
              <w:bottom w:val="single" w:sz="4" w:space="0" w:color="auto"/>
              <w:right w:val="nil"/>
            </w:tcBorders>
            <w:shd w:val="clear" w:color="auto" w:fill="auto"/>
            <w:tcMar>
              <w:top w:w="85" w:type="dxa"/>
            </w:tcMar>
            <w:hideMark/>
          </w:tcPr>
          <w:p w14:paraId="7973421B" w14:textId="3590BB88" w:rsidR="00971C84" w:rsidRPr="00BE1D07" w:rsidRDefault="00BE3F1B" w:rsidP="00BE3F1B">
            <w:pPr>
              <w:rPr>
                <w:rFonts w:ascii="Arial" w:hAnsi="Arial" w:cs="Arial"/>
                <w:color w:val="000000"/>
                <w:sz w:val="16"/>
                <w:szCs w:val="16"/>
              </w:rPr>
            </w:pPr>
            <w:r>
              <w:rPr>
                <w:rFonts w:ascii="Arial" w:hAnsi="Arial" w:cs="Arial"/>
                <w:color w:val="000000"/>
                <w:sz w:val="16"/>
                <w:szCs w:val="16"/>
              </w:rPr>
              <w:t>11 (WSO)</w:t>
            </w:r>
          </w:p>
        </w:tc>
        <w:tc>
          <w:tcPr>
            <w:tcW w:w="2055" w:type="dxa"/>
            <w:tcBorders>
              <w:top w:val="nil"/>
              <w:left w:val="nil"/>
              <w:bottom w:val="single" w:sz="4" w:space="0" w:color="auto"/>
              <w:right w:val="single" w:sz="4" w:space="0" w:color="auto"/>
            </w:tcBorders>
            <w:shd w:val="clear" w:color="auto" w:fill="auto"/>
            <w:tcMar>
              <w:top w:w="85" w:type="dxa"/>
            </w:tcMar>
            <w:hideMark/>
          </w:tcPr>
          <w:p w14:paraId="55BC0FFA" w14:textId="0C770E90" w:rsidR="00971C84" w:rsidRPr="00FD3DD2" w:rsidRDefault="00BE3F1B" w:rsidP="00BE3F1B">
            <w:pPr>
              <w:rPr>
                <w:rFonts w:ascii="Arial" w:hAnsi="Arial" w:cs="Arial"/>
                <w:sz w:val="16"/>
                <w:szCs w:val="16"/>
              </w:rPr>
            </w:pPr>
            <w:r>
              <w:rPr>
                <w:rFonts w:ascii="Arial" w:hAnsi="Arial" w:cs="Arial"/>
                <w:sz w:val="16"/>
                <w:szCs w:val="16"/>
              </w:rPr>
              <w:t>8 additional</w:t>
            </w:r>
            <w:r w:rsidR="00971C84" w:rsidRPr="00FD3DD2">
              <w:rPr>
                <w:rFonts w:ascii="Arial" w:hAnsi="Arial" w:cs="Arial"/>
                <w:sz w:val="16"/>
                <w:szCs w:val="16"/>
              </w:rPr>
              <w:t> </w:t>
            </w:r>
          </w:p>
        </w:tc>
      </w:tr>
    </w:tbl>
    <w:p w14:paraId="131ACAC4" w14:textId="77777777" w:rsidR="004E671F" w:rsidRDefault="004E671F" w:rsidP="00971C84">
      <w:pPr>
        <w:jc w:val="both"/>
        <w:rPr>
          <w:rFonts w:ascii="Arial" w:hAnsi="Arial" w:cs="Arial"/>
          <w:lang w:eastAsia="zh-CN"/>
        </w:rPr>
      </w:pPr>
    </w:p>
    <w:p w14:paraId="05E178BB" w14:textId="77777777" w:rsidR="004E671F" w:rsidRDefault="004E671F" w:rsidP="00971C84">
      <w:pPr>
        <w:jc w:val="both"/>
        <w:rPr>
          <w:rFonts w:ascii="Arial" w:hAnsi="Arial" w:cs="Arial"/>
          <w:lang w:eastAsia="zh-CN"/>
        </w:rPr>
      </w:pPr>
    </w:p>
    <w:p w14:paraId="66F3843C" w14:textId="4FCB979B" w:rsidR="00971C84" w:rsidRDefault="00971C84" w:rsidP="004E671F">
      <w:pPr>
        <w:keepNext/>
        <w:keepLines/>
        <w:jc w:val="both"/>
        <w:rPr>
          <w:rFonts w:ascii="Arial" w:hAnsi="Arial" w:cs="Arial"/>
          <w:lang w:eastAsia="zh-CN"/>
        </w:rPr>
      </w:pPr>
      <w:r>
        <w:rPr>
          <w:rFonts w:ascii="Arial" w:hAnsi="Arial" w:cs="Arial"/>
          <w:lang w:eastAsia="zh-CN"/>
        </w:rPr>
        <w:t>RESOURCES FOR PROGRAM 20</w:t>
      </w:r>
    </w:p>
    <w:p w14:paraId="60B2FAAE" w14:textId="77777777" w:rsidR="007F22AC" w:rsidRDefault="007F22AC" w:rsidP="004E671F">
      <w:pPr>
        <w:keepNext/>
        <w:keepLines/>
        <w:jc w:val="both"/>
        <w:rPr>
          <w:rFonts w:ascii="Arial" w:hAnsi="Arial" w:cs="Arial"/>
          <w:lang w:eastAsia="zh-CN"/>
        </w:rPr>
      </w:pPr>
    </w:p>
    <w:p w14:paraId="521EF32F" w14:textId="62F28340" w:rsidR="007F22AC" w:rsidRPr="007F22AC" w:rsidRDefault="007F22AC" w:rsidP="007F22AC">
      <w:pPr>
        <w:numPr>
          <w:ilvl w:val="0"/>
          <w:numId w:val="72"/>
        </w:numPr>
        <w:jc w:val="both"/>
        <w:rPr>
          <w:rFonts w:ascii="Arial" w:hAnsi="Arial" w:cs="Arial"/>
          <w:sz w:val="20"/>
        </w:rPr>
      </w:pPr>
      <w:r w:rsidRPr="007F22AC">
        <w:rPr>
          <w:rFonts w:ascii="Arial" w:hAnsi="Arial" w:cs="Arial"/>
          <w:sz w:val="20"/>
        </w:rPr>
        <w:t>The overall reduction of resources under Program 20 by 5.7</w:t>
      </w:r>
      <w:r w:rsidR="003256B2">
        <w:rPr>
          <w:rFonts w:ascii="Arial" w:hAnsi="Arial" w:cs="Arial"/>
          <w:sz w:val="20"/>
        </w:rPr>
        <w:t xml:space="preserve"> per cent</w:t>
      </w:r>
      <w:r w:rsidRPr="007F22AC">
        <w:rPr>
          <w:rFonts w:ascii="Arial" w:hAnsi="Arial" w:cs="Arial"/>
          <w:sz w:val="20"/>
        </w:rPr>
        <w:t xml:space="preserve"> compared to the 2014/15 Budget after Transfers is primarily due to the proposal that the current operating structure for outreach and briefings to the UN diplomatic community through a physical office located in New York continue only until end 2016.</w:t>
      </w:r>
    </w:p>
    <w:p w14:paraId="0864259F" w14:textId="77777777" w:rsidR="007F22AC" w:rsidRPr="007F22AC" w:rsidRDefault="007F22AC" w:rsidP="007F22AC">
      <w:pPr>
        <w:jc w:val="both"/>
        <w:rPr>
          <w:rFonts w:ascii="Arial" w:hAnsi="Arial" w:cs="Arial"/>
          <w:sz w:val="20"/>
        </w:rPr>
      </w:pPr>
    </w:p>
    <w:p w14:paraId="05040C8C" w14:textId="77777777" w:rsidR="007F22AC" w:rsidRPr="009539C7" w:rsidRDefault="007F22AC" w:rsidP="007F22AC">
      <w:pPr>
        <w:numPr>
          <w:ilvl w:val="0"/>
          <w:numId w:val="72"/>
        </w:numPr>
        <w:jc w:val="both"/>
        <w:rPr>
          <w:rFonts w:ascii="Arial" w:hAnsi="Arial" w:cs="Arial"/>
          <w:sz w:val="20"/>
        </w:rPr>
      </w:pPr>
      <w:r w:rsidRPr="007F22AC">
        <w:rPr>
          <w:rFonts w:ascii="Arial" w:hAnsi="Arial" w:cs="Arial"/>
          <w:sz w:val="20"/>
        </w:rPr>
        <w:lastRenderedPageBreak/>
        <w:t xml:space="preserve">Variations in resources across Expected Results as compared to the 2014/15 Budget after Transfers are largely the result of more accurately aligning resources to Expected results for all WIPO External Offices for the 2016/17 Biennium. </w:t>
      </w:r>
    </w:p>
    <w:p w14:paraId="4D47D305" w14:textId="77777777" w:rsidR="007F22AC" w:rsidRPr="003F047B" w:rsidRDefault="007F22AC" w:rsidP="004E671F">
      <w:pPr>
        <w:keepNext/>
        <w:keepLines/>
        <w:jc w:val="both"/>
        <w:rPr>
          <w:rFonts w:ascii="Arial" w:hAnsi="Arial" w:cs="Arial"/>
          <w:lang w:eastAsia="zh-CN"/>
        </w:rPr>
      </w:pPr>
    </w:p>
    <w:p w14:paraId="2724DA19" w14:textId="77777777" w:rsidR="00971C84" w:rsidRDefault="00971C84" w:rsidP="004E671F">
      <w:pPr>
        <w:keepNext/>
        <w:keepLines/>
        <w:jc w:val="both"/>
        <w:rPr>
          <w:rFonts w:ascii="Arial" w:hAnsi="Arial" w:cs="Arial"/>
          <w:sz w:val="20"/>
          <w:lang w:eastAsia="zh-CN"/>
        </w:rPr>
      </w:pPr>
    </w:p>
    <w:p w14:paraId="4BCFC4ED" w14:textId="77777777" w:rsidR="00971C84" w:rsidRDefault="00971C84" w:rsidP="004E671F">
      <w:pPr>
        <w:keepNext/>
        <w:keepLines/>
        <w:tabs>
          <w:tab w:val="left" w:pos="1427"/>
        </w:tabs>
        <w:jc w:val="center"/>
        <w:rPr>
          <w:rFonts w:ascii="Arial" w:hAnsi="Arial" w:cs="Arial"/>
          <w:sz w:val="20"/>
        </w:rPr>
      </w:pPr>
      <w:r>
        <w:rPr>
          <w:rFonts w:ascii="Arial" w:hAnsi="Arial" w:cs="Arial"/>
          <w:b/>
          <w:sz w:val="20"/>
          <w:szCs w:val="24"/>
        </w:rPr>
        <w:t>Program 20:  Resources by Result</w:t>
      </w:r>
    </w:p>
    <w:p w14:paraId="7CC29BC0" w14:textId="77777777" w:rsidR="00971C84" w:rsidRDefault="00971C84" w:rsidP="004E671F">
      <w:pPr>
        <w:keepNext/>
        <w:keepLines/>
        <w:tabs>
          <w:tab w:val="left" w:pos="1427"/>
        </w:tabs>
        <w:jc w:val="center"/>
        <w:rPr>
          <w:rFonts w:ascii="Arial" w:hAnsi="Arial" w:cs="Arial"/>
          <w:i/>
          <w:sz w:val="20"/>
          <w:szCs w:val="24"/>
        </w:rPr>
      </w:pPr>
      <w:r>
        <w:rPr>
          <w:rFonts w:ascii="Arial" w:hAnsi="Arial" w:cs="Arial"/>
          <w:i/>
          <w:sz w:val="20"/>
          <w:szCs w:val="24"/>
        </w:rPr>
        <w:t>(In thousands of Swiss francs)</w:t>
      </w:r>
    </w:p>
    <w:p w14:paraId="72BEEB86" w14:textId="77777777" w:rsidR="004E671F" w:rsidRDefault="004E671F" w:rsidP="004E671F">
      <w:pPr>
        <w:keepNext/>
        <w:keepLines/>
        <w:tabs>
          <w:tab w:val="left" w:pos="1427"/>
        </w:tabs>
        <w:jc w:val="center"/>
        <w:rPr>
          <w:rFonts w:ascii="Arial" w:hAnsi="Arial" w:cs="Arial"/>
          <w:i/>
          <w:sz w:val="20"/>
          <w:szCs w:val="24"/>
        </w:rPr>
      </w:pPr>
    </w:p>
    <w:p w14:paraId="706F820F" w14:textId="4DEE05DE" w:rsidR="00971C84" w:rsidRDefault="00971C84" w:rsidP="004E671F">
      <w:pPr>
        <w:keepNext/>
        <w:keepLines/>
        <w:tabs>
          <w:tab w:val="left" w:pos="1427"/>
        </w:tabs>
        <w:jc w:val="center"/>
        <w:rPr>
          <w:rFonts w:ascii="Arial" w:hAnsi="Arial" w:cs="Arial"/>
          <w:i/>
          <w:sz w:val="20"/>
          <w:szCs w:val="24"/>
        </w:rPr>
      </w:pPr>
      <w:r w:rsidRPr="00EB434D">
        <w:rPr>
          <w:noProof/>
          <w:lang w:eastAsia="en-US"/>
        </w:rPr>
        <w:drawing>
          <wp:inline distT="0" distB="0" distL="0" distR="0" wp14:anchorId="56153C02" wp14:editId="437EC94F">
            <wp:extent cx="4773022" cy="5573864"/>
            <wp:effectExtent l="0" t="0" r="8890" b="8255"/>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780197" cy="5582243"/>
                    </a:xfrm>
                    <a:prstGeom prst="rect">
                      <a:avLst/>
                    </a:prstGeom>
                    <a:noFill/>
                    <a:ln>
                      <a:noFill/>
                    </a:ln>
                  </pic:spPr>
                </pic:pic>
              </a:graphicData>
            </a:graphic>
          </wp:inline>
        </w:drawing>
      </w:r>
    </w:p>
    <w:p w14:paraId="2A6B5594" w14:textId="77777777" w:rsidR="004E671F" w:rsidRDefault="004E671F">
      <w:pPr>
        <w:rPr>
          <w:rFonts w:ascii="Arial" w:hAnsi="Arial" w:cs="Arial"/>
          <w:b/>
          <w:sz w:val="20"/>
          <w:szCs w:val="24"/>
        </w:rPr>
      </w:pPr>
      <w:r>
        <w:rPr>
          <w:rFonts w:ascii="Arial" w:hAnsi="Arial" w:cs="Arial"/>
          <w:b/>
          <w:sz w:val="20"/>
          <w:szCs w:val="24"/>
        </w:rPr>
        <w:br w:type="page"/>
      </w:r>
    </w:p>
    <w:p w14:paraId="00DD7FBA" w14:textId="229ADF0A" w:rsidR="00971C84" w:rsidRDefault="00971C84" w:rsidP="00971C84">
      <w:pPr>
        <w:keepNext/>
        <w:keepLines/>
        <w:tabs>
          <w:tab w:val="left" w:pos="1427"/>
        </w:tabs>
        <w:jc w:val="center"/>
        <w:rPr>
          <w:rFonts w:ascii="Arial" w:hAnsi="Arial" w:cs="Arial"/>
          <w:sz w:val="20"/>
        </w:rPr>
      </w:pPr>
      <w:r>
        <w:rPr>
          <w:rFonts w:ascii="Arial" w:hAnsi="Arial" w:cs="Arial"/>
          <w:b/>
          <w:sz w:val="20"/>
          <w:szCs w:val="24"/>
        </w:rPr>
        <w:lastRenderedPageBreak/>
        <w:t>Program 20:  Resources by Object of Expenditure</w:t>
      </w:r>
    </w:p>
    <w:p w14:paraId="4C79A2DD" w14:textId="77777777" w:rsidR="00971C84" w:rsidRDefault="00971C84" w:rsidP="00971C84">
      <w:pPr>
        <w:keepNext/>
        <w:keepLines/>
        <w:tabs>
          <w:tab w:val="left" w:pos="1427"/>
        </w:tabs>
        <w:jc w:val="center"/>
        <w:rPr>
          <w:rFonts w:ascii="Arial" w:hAnsi="Arial" w:cs="Arial"/>
          <w:i/>
          <w:sz w:val="20"/>
          <w:szCs w:val="24"/>
        </w:rPr>
      </w:pPr>
      <w:r>
        <w:rPr>
          <w:rFonts w:ascii="Arial" w:hAnsi="Arial" w:cs="Arial"/>
          <w:i/>
          <w:sz w:val="20"/>
          <w:szCs w:val="24"/>
        </w:rPr>
        <w:t>(In thousands of Swiss francs)</w:t>
      </w:r>
    </w:p>
    <w:p w14:paraId="7169DD23" w14:textId="77777777" w:rsidR="00971C84" w:rsidRDefault="00971C84" w:rsidP="00971C84">
      <w:pPr>
        <w:keepNext/>
        <w:keepLines/>
        <w:tabs>
          <w:tab w:val="left" w:pos="1427"/>
        </w:tabs>
        <w:jc w:val="center"/>
        <w:rPr>
          <w:rFonts w:ascii="Arial" w:hAnsi="Arial" w:cs="Arial"/>
          <w:i/>
          <w:sz w:val="20"/>
          <w:szCs w:val="24"/>
        </w:rPr>
      </w:pPr>
    </w:p>
    <w:p w14:paraId="05557FC1" w14:textId="77777777" w:rsidR="00971C84" w:rsidRDefault="00971C84" w:rsidP="00971C84">
      <w:pPr>
        <w:jc w:val="center"/>
        <w:rPr>
          <w:rFonts w:ascii="Arial" w:hAnsi="Arial" w:cs="Arial"/>
          <w:sz w:val="20"/>
          <w:lang w:eastAsia="zh-CN"/>
        </w:rPr>
      </w:pPr>
      <w:r w:rsidRPr="00EB434D">
        <w:rPr>
          <w:noProof/>
          <w:lang w:eastAsia="en-US"/>
        </w:rPr>
        <w:drawing>
          <wp:inline distT="0" distB="0" distL="0" distR="0" wp14:anchorId="6AF5914D" wp14:editId="36429246">
            <wp:extent cx="4934443" cy="5556575"/>
            <wp:effectExtent l="0" t="0" r="0" b="635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948674" cy="5572601"/>
                    </a:xfrm>
                    <a:prstGeom prst="rect">
                      <a:avLst/>
                    </a:prstGeom>
                    <a:noFill/>
                    <a:ln>
                      <a:noFill/>
                    </a:ln>
                  </pic:spPr>
                </pic:pic>
              </a:graphicData>
            </a:graphic>
          </wp:inline>
        </w:drawing>
      </w:r>
    </w:p>
    <w:p w14:paraId="3C12C224" w14:textId="77777777" w:rsidR="00971C84" w:rsidRDefault="00971C84" w:rsidP="00971C84">
      <w:pPr>
        <w:jc w:val="center"/>
        <w:rPr>
          <w:rFonts w:ascii="Arial" w:hAnsi="Arial" w:cs="Arial"/>
          <w:sz w:val="20"/>
          <w:lang w:eastAsia="zh-CN"/>
        </w:rPr>
      </w:pPr>
    </w:p>
    <w:p w14:paraId="36AEAD4E" w14:textId="77777777" w:rsidR="00971C84" w:rsidRDefault="00971C84" w:rsidP="00971C84">
      <w:pPr>
        <w:jc w:val="center"/>
        <w:rPr>
          <w:rFonts w:ascii="Arial" w:hAnsi="Arial" w:cs="Arial"/>
          <w:sz w:val="20"/>
          <w:lang w:eastAsia="zh-CN"/>
        </w:rPr>
      </w:pPr>
    </w:p>
    <w:p w14:paraId="3C67358E" w14:textId="77777777" w:rsidR="00971C84" w:rsidRPr="00425968" w:rsidRDefault="00971C84" w:rsidP="00971C84">
      <w:pPr>
        <w:keepNext/>
        <w:keepLines/>
        <w:jc w:val="center"/>
        <w:rPr>
          <w:rFonts w:ascii="Arial" w:hAnsi="Arial" w:cs="Arial"/>
          <w:b/>
          <w:sz w:val="20"/>
        </w:rPr>
      </w:pPr>
      <w:r w:rsidRPr="00425968">
        <w:rPr>
          <w:rFonts w:ascii="Arial" w:hAnsi="Arial" w:cs="Arial"/>
          <w:b/>
          <w:sz w:val="20"/>
        </w:rPr>
        <w:t>Funds in Trust Potentially Available for Programming in 2016/17 (BY PROGRAM)</w:t>
      </w:r>
      <w:r w:rsidRPr="00425968">
        <w:rPr>
          <w:rFonts w:ascii="Arial" w:hAnsi="Arial" w:cs="Arial"/>
          <w:i/>
          <w:sz w:val="20"/>
          <w:vertAlign w:val="superscript"/>
        </w:rPr>
        <w:t xml:space="preserve"> </w:t>
      </w:r>
      <w:r w:rsidRPr="00425968">
        <w:rPr>
          <w:rFonts w:ascii="Arial" w:hAnsi="Arial" w:cs="Arial"/>
          <w:sz w:val="20"/>
          <w:vertAlign w:val="superscript"/>
        </w:rPr>
        <w:t>1</w:t>
      </w:r>
    </w:p>
    <w:p w14:paraId="5E7E59BB" w14:textId="77777777" w:rsidR="00971C84" w:rsidRPr="00425968" w:rsidRDefault="00971C84" w:rsidP="00971C84">
      <w:pPr>
        <w:keepNext/>
        <w:keepLines/>
        <w:jc w:val="center"/>
        <w:rPr>
          <w:rFonts w:ascii="Arial" w:hAnsi="Arial" w:cs="Arial"/>
          <w:i/>
          <w:sz w:val="20"/>
        </w:rPr>
      </w:pPr>
      <w:r w:rsidRPr="00425968">
        <w:rPr>
          <w:rFonts w:ascii="Arial" w:hAnsi="Arial" w:cs="Arial"/>
          <w:i/>
          <w:sz w:val="20"/>
        </w:rPr>
        <w:t>(in thousands of Swiss francs)</w:t>
      </w:r>
    </w:p>
    <w:p w14:paraId="6E255223" w14:textId="77777777" w:rsidR="00971C84" w:rsidRPr="003F047B" w:rsidRDefault="00971C84" w:rsidP="00971C84">
      <w:pPr>
        <w:keepNext/>
        <w:keepLines/>
        <w:jc w:val="center"/>
        <w:rPr>
          <w:rFonts w:ascii="Arial" w:hAnsi="Arial" w:cs="Arial"/>
          <w:sz w:val="20"/>
          <w:lang w:eastAsia="zh-CN"/>
        </w:rPr>
      </w:pPr>
    </w:p>
    <w:p w14:paraId="28CCF836" w14:textId="77777777" w:rsidR="00971C84" w:rsidRPr="00455DF0" w:rsidRDefault="00971C84" w:rsidP="00FD3DD2">
      <w:pPr>
        <w:keepNext/>
        <w:keepLines/>
        <w:jc w:val="center"/>
        <w:rPr>
          <w:rFonts w:ascii="Arial" w:hAnsi="Arial" w:cs="Arial"/>
          <w:sz w:val="20"/>
        </w:rPr>
      </w:pPr>
      <w:r w:rsidRPr="003A63C9">
        <w:rPr>
          <w:noProof/>
          <w:lang w:eastAsia="en-US"/>
        </w:rPr>
        <w:drawing>
          <wp:inline distT="0" distB="0" distL="0" distR="0" wp14:anchorId="0C2D7858" wp14:editId="2D8BFC69">
            <wp:extent cx="5438693" cy="887621"/>
            <wp:effectExtent l="0" t="0" r="0" b="8255"/>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479705" cy="894314"/>
                    </a:xfrm>
                    <a:prstGeom prst="rect">
                      <a:avLst/>
                    </a:prstGeom>
                    <a:noFill/>
                    <a:ln>
                      <a:noFill/>
                    </a:ln>
                  </pic:spPr>
                </pic:pic>
              </a:graphicData>
            </a:graphic>
          </wp:inline>
        </w:drawing>
      </w:r>
    </w:p>
    <w:p w14:paraId="5A5AEDE2" w14:textId="77777777" w:rsidR="00971C84" w:rsidRDefault="00971C84" w:rsidP="00971C84">
      <w:pPr>
        <w:keepNext/>
        <w:keepLines/>
        <w:jc w:val="both"/>
        <w:rPr>
          <w:rFonts w:ascii="Arial" w:hAnsi="Arial" w:cs="Arial"/>
          <w:bCs/>
          <w:sz w:val="20"/>
          <w:lang w:eastAsia="zh-CN"/>
        </w:rPr>
      </w:pPr>
    </w:p>
    <w:p w14:paraId="6D64CEC4" w14:textId="77777777" w:rsidR="00971C84" w:rsidRPr="00425968" w:rsidRDefault="00971C84" w:rsidP="00FB68E0">
      <w:pPr>
        <w:keepNext/>
        <w:keepLines/>
        <w:spacing w:after="60"/>
        <w:rPr>
          <w:rFonts w:ascii="Arial" w:hAnsi="Arial" w:cs="Arial"/>
          <w:i/>
          <w:sz w:val="16"/>
          <w:szCs w:val="14"/>
        </w:rPr>
      </w:pPr>
      <w:r w:rsidRPr="00425968">
        <w:rPr>
          <w:rFonts w:ascii="Arial" w:hAnsi="Arial" w:cs="Arial"/>
          <w:i/>
          <w:sz w:val="16"/>
          <w:szCs w:val="14"/>
          <w:vertAlign w:val="superscript"/>
        </w:rPr>
        <w:t>1</w:t>
      </w:r>
      <w:r w:rsidRPr="00425968">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43138858" w14:textId="77777777" w:rsidR="00971C84" w:rsidRPr="00425968" w:rsidRDefault="00971C84" w:rsidP="00971C84">
      <w:pPr>
        <w:rPr>
          <w:rFonts w:ascii="Arial" w:hAnsi="Arial" w:cs="Arial"/>
          <w:i/>
          <w:sz w:val="16"/>
          <w:szCs w:val="14"/>
        </w:rPr>
      </w:pPr>
      <w:r w:rsidRPr="00425968">
        <w:rPr>
          <w:rFonts w:ascii="Arial" w:hAnsi="Arial" w:cs="Arial"/>
          <w:i/>
          <w:sz w:val="16"/>
          <w:szCs w:val="14"/>
          <w:vertAlign w:val="superscript"/>
        </w:rPr>
        <w:t>2</w:t>
      </w:r>
      <w:r w:rsidRPr="00425968">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5F62624C" w14:textId="77777777" w:rsidR="00971C84" w:rsidRDefault="00971C84" w:rsidP="00971C84">
      <w:pPr>
        <w:jc w:val="both"/>
        <w:rPr>
          <w:rFonts w:ascii="Arial" w:hAnsi="Arial" w:cs="Arial"/>
          <w:bCs/>
          <w:sz w:val="20"/>
          <w:lang w:eastAsia="zh-CN"/>
        </w:rPr>
      </w:pPr>
    </w:p>
    <w:p w14:paraId="62EF5ECC" w14:textId="782F51E9" w:rsidR="00984F70" w:rsidRDefault="00984F70">
      <w:pPr>
        <w:rPr>
          <w:rFonts w:ascii="Arial" w:hAnsi="Arial" w:cs="Arial"/>
          <w:sz w:val="20"/>
        </w:rPr>
      </w:pPr>
      <w:r>
        <w:rPr>
          <w:rFonts w:ascii="Arial" w:hAnsi="Arial" w:cs="Arial"/>
          <w:sz w:val="20"/>
        </w:rPr>
        <w:br w:type="page"/>
      </w:r>
    </w:p>
    <w:p w14:paraId="3062A538" w14:textId="533F18F5" w:rsidR="00770C06" w:rsidRPr="00B30215" w:rsidRDefault="00770C06" w:rsidP="003D65C6">
      <w:pPr>
        <w:pStyle w:val="StyleHeading3ComplexItalic"/>
        <w:tabs>
          <w:tab w:val="clear" w:pos="1985"/>
          <w:tab w:val="left" w:pos="3119"/>
        </w:tabs>
        <w:ind w:left="3119" w:hanging="3119"/>
        <w:rPr>
          <w:rStyle w:val="StyleStyleHeading3ComplexItalicLatin12ptChar"/>
          <w:rFonts w:eastAsia="SimSun"/>
          <w:b/>
          <w:szCs w:val="24"/>
        </w:rPr>
      </w:pPr>
      <w:bookmarkStart w:id="67" w:name="_Toc367350601"/>
      <w:bookmarkStart w:id="68" w:name="_Toc427154424"/>
      <w:r w:rsidRPr="00B30215">
        <w:rPr>
          <w:rStyle w:val="StyleStyleHeading3ComplexItalicLatin12ptChar"/>
          <w:rFonts w:eastAsia="SimSun"/>
          <w:b/>
          <w:szCs w:val="24"/>
        </w:rPr>
        <w:lastRenderedPageBreak/>
        <w:t xml:space="preserve">STRATEGIC GOAL IX </w:t>
      </w:r>
      <w:r w:rsidR="003D65C6" w:rsidRPr="00B30215">
        <w:rPr>
          <w:rStyle w:val="StyleStyleHeading3ComplexItalicLatin12ptChar"/>
          <w:rFonts w:eastAsia="SimSun"/>
          <w:b/>
          <w:szCs w:val="24"/>
        </w:rPr>
        <w:tab/>
        <w:t>EFFICIENT ADMINISTRATIVE AND FINANCIAL SUPPORT</w:t>
      </w:r>
      <w:bookmarkEnd w:id="67"/>
      <w:bookmarkEnd w:id="68"/>
    </w:p>
    <w:p w14:paraId="5369291D" w14:textId="77777777" w:rsidR="00770C06" w:rsidRPr="00A522FE" w:rsidRDefault="00770C06" w:rsidP="00770C06">
      <w:pPr>
        <w:tabs>
          <w:tab w:val="left" w:pos="1701"/>
        </w:tabs>
        <w:ind w:left="1701" w:hanging="1701"/>
        <w:jc w:val="center"/>
        <w:rPr>
          <w:rFonts w:ascii="Arial" w:hAnsi="Arial" w:cs="Arial"/>
          <w:b/>
          <w:bCs/>
          <w:caps/>
          <w:szCs w:val="24"/>
        </w:rPr>
      </w:pPr>
    </w:p>
    <w:p w14:paraId="045B1A3A" w14:textId="77777777" w:rsidR="00770C06" w:rsidRPr="00A522FE" w:rsidRDefault="00770C06" w:rsidP="00770C06">
      <w:pPr>
        <w:tabs>
          <w:tab w:val="left" w:pos="1701"/>
        </w:tabs>
        <w:ind w:left="1701" w:hanging="1701"/>
        <w:jc w:val="center"/>
        <w:rPr>
          <w:rFonts w:ascii="Arial" w:hAnsi="Arial" w:cs="Arial"/>
          <w:b/>
          <w:bCs/>
          <w:caps/>
          <w:szCs w:val="24"/>
        </w:rPr>
      </w:pPr>
    </w:p>
    <w:p w14:paraId="3609CAA2" w14:textId="77777777" w:rsidR="00770C06" w:rsidRPr="00A522FE" w:rsidRDefault="00770C06" w:rsidP="00770C06">
      <w:pPr>
        <w:tabs>
          <w:tab w:val="left" w:pos="0"/>
        </w:tabs>
        <w:jc w:val="both"/>
        <w:rPr>
          <w:rFonts w:ascii="Arial" w:hAnsi="Arial" w:cs="Arial"/>
          <w:b/>
          <w:bCs/>
          <w:i/>
          <w:iCs/>
          <w:caps/>
        </w:rPr>
      </w:pPr>
      <w:r w:rsidRPr="00F3719C">
        <w:rPr>
          <w:rFonts w:ascii="Arial" w:hAnsi="Arial" w:cs="Arial"/>
          <w:sz w:val="20"/>
        </w:rPr>
        <w:t xml:space="preserve">Strategic Goal IX is the second of two enabling goals.  It reflects and responds to the needs of the Organization as a whole for an administrative, financial and management support structure focused on enabling program delivery, with efficiency and transparency as guiding principles.  This strategic goal also covers the broad institutional reform (the Strategic Realignment Program) that will </w:t>
      </w:r>
      <w:r w:rsidRPr="00F3719C">
        <w:rPr>
          <w:rFonts w:ascii="Arial" w:hAnsi="Arial" w:cs="Arial"/>
          <w:bCs/>
          <w:color w:val="000000"/>
          <w:sz w:val="20"/>
        </w:rPr>
        <w:t xml:space="preserve">enable WIPO to </w:t>
      </w:r>
      <w:r w:rsidRPr="00F3719C">
        <w:rPr>
          <w:rFonts w:ascii="Arial" w:hAnsi="Arial" w:cs="Arial"/>
          <w:sz w:val="20"/>
        </w:rPr>
        <w:t xml:space="preserve">provide better, more efficient and cost-effective support </w:t>
      </w:r>
      <w:r w:rsidRPr="00F3719C">
        <w:rPr>
          <w:rFonts w:ascii="Arial" w:hAnsi="Arial" w:cs="Arial"/>
          <w:bCs/>
          <w:color w:val="000000"/>
          <w:sz w:val="20"/>
        </w:rPr>
        <w:t>and to achieve enhanced performance</w:t>
      </w:r>
      <w:r w:rsidRPr="00F3719C">
        <w:rPr>
          <w:rFonts w:ascii="Arial" w:hAnsi="Arial" w:cs="Arial"/>
          <w:sz w:val="20"/>
        </w:rPr>
        <w:t>.</w:t>
      </w:r>
    </w:p>
    <w:p w14:paraId="30AF7F18" w14:textId="77777777" w:rsidR="00770C06" w:rsidRDefault="00770C06" w:rsidP="00770C06">
      <w:pPr>
        <w:tabs>
          <w:tab w:val="left" w:pos="1701"/>
        </w:tabs>
        <w:ind w:left="1701" w:hanging="1701"/>
        <w:jc w:val="center"/>
        <w:rPr>
          <w:rFonts w:ascii="Arial" w:hAnsi="Arial" w:cs="Arial"/>
          <w:b/>
          <w:bCs/>
          <w:caps/>
          <w:sz w:val="20"/>
        </w:rPr>
      </w:pPr>
    </w:p>
    <w:p w14:paraId="72BF047E" w14:textId="251C4CE9" w:rsidR="00770C06" w:rsidRDefault="00770C06">
      <w:pPr>
        <w:rPr>
          <w:rFonts w:ascii="Arial" w:hAnsi="Arial" w:cs="Arial"/>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292B80" w:rsidRPr="00AF5E7C" w14:paraId="73A814ED" w14:textId="77777777" w:rsidTr="007536CC">
        <w:trPr>
          <w:cantSplit/>
          <w:trHeight w:val="317"/>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14:paraId="79F527A7" w14:textId="77777777" w:rsidR="00292B80" w:rsidRPr="005967EA" w:rsidRDefault="00292B80" w:rsidP="005A1F7F">
            <w:pPr>
              <w:spacing w:after="120"/>
              <w:jc w:val="center"/>
              <w:rPr>
                <w:rFonts w:ascii="Arial" w:hAnsi="Arial" w:cs="Arial"/>
                <w:b/>
                <w:bCs/>
                <w:sz w:val="18"/>
                <w:szCs w:val="18"/>
              </w:rPr>
            </w:pPr>
            <w:r w:rsidRPr="005967EA">
              <w:rPr>
                <w:rFonts w:ascii="Arial" w:hAnsi="Arial" w:cs="Arial"/>
                <w:b/>
                <w:bCs/>
                <w:sz w:val="18"/>
                <w:szCs w:val="18"/>
              </w:rPr>
              <w:t>Expected Results</w:t>
            </w:r>
          </w:p>
        </w:tc>
        <w:tc>
          <w:tcPr>
            <w:tcW w:w="1524" w:type="pct"/>
            <w:tcBorders>
              <w:top w:val="single" w:sz="4" w:space="0" w:color="auto"/>
              <w:bottom w:val="single" w:sz="4" w:space="0" w:color="auto"/>
            </w:tcBorders>
            <w:shd w:val="clear" w:color="auto" w:fill="C6D9F1" w:themeFill="text2" w:themeFillTint="33"/>
            <w:tcMar>
              <w:top w:w="85" w:type="dxa"/>
              <w:bottom w:w="85" w:type="dxa"/>
            </w:tcMar>
            <w:vAlign w:val="center"/>
          </w:tcPr>
          <w:p w14:paraId="4CFF311F" w14:textId="77777777" w:rsidR="00292B80" w:rsidRPr="005967EA" w:rsidRDefault="00292B80" w:rsidP="005A1F7F">
            <w:pPr>
              <w:spacing w:after="120"/>
              <w:jc w:val="center"/>
              <w:rPr>
                <w:rFonts w:ascii="Arial" w:hAnsi="Arial" w:cs="Arial"/>
                <w:b/>
                <w:sz w:val="18"/>
                <w:szCs w:val="18"/>
              </w:rPr>
            </w:pPr>
            <w:r w:rsidRPr="005967EA">
              <w:rPr>
                <w:rFonts w:ascii="Arial" w:hAnsi="Arial" w:cs="Arial"/>
                <w:b/>
                <w:sz w:val="18"/>
                <w:szCs w:val="18"/>
              </w:rPr>
              <w:t>Performance Indicators</w:t>
            </w:r>
          </w:p>
        </w:tc>
        <w:tc>
          <w:tcPr>
            <w:tcW w:w="1585" w:type="pct"/>
            <w:tcBorders>
              <w:top w:val="single" w:sz="4" w:space="0" w:color="auto"/>
              <w:bottom w:val="single" w:sz="4" w:space="0" w:color="auto"/>
            </w:tcBorders>
            <w:shd w:val="clear" w:color="auto" w:fill="C6D9F1" w:themeFill="text2" w:themeFillTint="33"/>
            <w:tcMar>
              <w:top w:w="85" w:type="dxa"/>
              <w:bottom w:w="85" w:type="dxa"/>
            </w:tcMar>
            <w:vAlign w:val="center"/>
          </w:tcPr>
          <w:p w14:paraId="750C4B0D" w14:textId="77777777" w:rsidR="00292B80" w:rsidRPr="005967EA" w:rsidRDefault="00292B80" w:rsidP="005A1F7F">
            <w:pPr>
              <w:spacing w:after="120"/>
              <w:ind w:left="85"/>
              <w:rPr>
                <w:rFonts w:ascii="Arial" w:hAnsi="Arial" w:cs="Arial"/>
                <w:sz w:val="18"/>
                <w:szCs w:val="18"/>
              </w:rPr>
            </w:pPr>
            <w:r w:rsidRPr="005967EA">
              <w:rPr>
                <w:rFonts w:ascii="Arial" w:hAnsi="Arial" w:cs="Arial"/>
                <w:b/>
                <w:bCs/>
                <w:sz w:val="18"/>
                <w:szCs w:val="18"/>
              </w:rPr>
              <w:t>Responsible Program(s)</w:t>
            </w:r>
          </w:p>
        </w:tc>
      </w:tr>
      <w:tr w:rsidR="00292B80" w:rsidRPr="00AF5E7C" w14:paraId="0DFC4247" w14:textId="77777777" w:rsidTr="007536CC">
        <w:trPr>
          <w:cantSplit/>
          <w:trHeight w:val="540"/>
        </w:trPr>
        <w:tc>
          <w:tcPr>
            <w:tcW w:w="1891" w:type="pct"/>
            <w:tcBorders>
              <w:top w:val="single" w:sz="4" w:space="0" w:color="auto"/>
            </w:tcBorders>
            <w:shd w:val="clear" w:color="auto" w:fill="auto"/>
            <w:tcMar>
              <w:top w:w="85" w:type="dxa"/>
              <w:bottom w:w="85" w:type="dxa"/>
            </w:tcMar>
          </w:tcPr>
          <w:p w14:paraId="1237B4D2" w14:textId="3FC9A605" w:rsidR="00292B80" w:rsidRPr="00815648" w:rsidRDefault="00292B80">
            <w:pPr>
              <w:rPr>
                <w:rFonts w:ascii="Arial" w:hAnsi="Arial" w:cs="Arial"/>
                <w:sz w:val="16"/>
                <w:szCs w:val="16"/>
              </w:rPr>
            </w:pPr>
            <w:r w:rsidRPr="00815648">
              <w:rPr>
                <w:rFonts w:ascii="Arial" w:hAnsi="Arial" w:cs="Arial"/>
                <w:sz w:val="16"/>
                <w:szCs w:val="16"/>
              </w:rPr>
              <w:t>IX.1</w:t>
            </w:r>
            <w:r>
              <w:rPr>
                <w:rFonts w:ascii="Arial" w:hAnsi="Arial" w:cs="Arial"/>
                <w:sz w:val="16"/>
                <w:szCs w:val="16"/>
              </w:rPr>
              <w:t xml:space="preserve"> </w:t>
            </w:r>
            <w:r w:rsidRPr="00815648">
              <w:rPr>
                <w:rFonts w:ascii="Arial" w:hAnsi="Arial" w:cs="Arial"/>
                <w:sz w:val="16"/>
                <w:szCs w:val="16"/>
              </w:rPr>
              <w:t xml:space="preserve"> Effective, efficient, quality and customer-oriented support services both to internal clients and to external stakeholders</w:t>
            </w:r>
          </w:p>
        </w:tc>
        <w:tc>
          <w:tcPr>
            <w:tcW w:w="1524" w:type="pct"/>
            <w:tcBorders>
              <w:top w:val="single" w:sz="4" w:space="0" w:color="auto"/>
            </w:tcBorders>
            <w:shd w:val="clear" w:color="auto" w:fill="auto"/>
            <w:tcMar>
              <w:top w:w="85" w:type="dxa"/>
              <w:bottom w:w="85" w:type="dxa"/>
            </w:tcMar>
          </w:tcPr>
          <w:p w14:paraId="7E20A557" w14:textId="77777777" w:rsidR="00292B80" w:rsidRPr="00815648" w:rsidRDefault="00292B80" w:rsidP="005A1F7F">
            <w:pPr>
              <w:rPr>
                <w:rFonts w:ascii="Arial" w:hAnsi="Arial" w:cs="Arial"/>
                <w:sz w:val="16"/>
                <w:szCs w:val="16"/>
              </w:rPr>
            </w:pPr>
            <w:r w:rsidRPr="0077186F">
              <w:rPr>
                <w:rFonts w:ascii="Arial" w:hAnsi="Arial" w:cs="Arial"/>
                <w:color w:val="000000"/>
                <w:sz w:val="16"/>
                <w:szCs w:val="16"/>
              </w:rPr>
              <w:t>% of queries for legal advice and services which receive prompt responses from OLC</w:t>
            </w:r>
          </w:p>
        </w:tc>
        <w:tc>
          <w:tcPr>
            <w:tcW w:w="1585" w:type="pct"/>
            <w:tcBorders>
              <w:top w:val="single" w:sz="4" w:space="0" w:color="auto"/>
            </w:tcBorders>
            <w:shd w:val="clear" w:color="auto" w:fill="FFFFFF"/>
            <w:tcMar>
              <w:top w:w="85" w:type="dxa"/>
              <w:bottom w:w="85" w:type="dxa"/>
            </w:tcMar>
          </w:tcPr>
          <w:p w14:paraId="4573FEA1" w14:textId="77777777" w:rsidR="00292B80" w:rsidRPr="00AF5E7C" w:rsidRDefault="00292B80" w:rsidP="005A1F7F">
            <w:pPr>
              <w:jc w:val="center"/>
              <w:rPr>
                <w:rFonts w:ascii="Arial" w:hAnsi="Arial" w:cs="Arial"/>
                <w:sz w:val="16"/>
                <w:szCs w:val="16"/>
              </w:rPr>
            </w:pPr>
            <w:r>
              <w:rPr>
                <w:rFonts w:ascii="Arial" w:hAnsi="Arial" w:cs="Arial"/>
                <w:sz w:val="16"/>
                <w:szCs w:val="16"/>
              </w:rPr>
              <w:t>Program 21</w:t>
            </w:r>
          </w:p>
        </w:tc>
      </w:tr>
      <w:tr w:rsidR="00292B80" w:rsidRPr="00AF5E7C" w14:paraId="49FC7EDF" w14:textId="77777777" w:rsidTr="007536CC">
        <w:trPr>
          <w:cantSplit/>
        </w:trPr>
        <w:tc>
          <w:tcPr>
            <w:tcW w:w="1891" w:type="pct"/>
            <w:shd w:val="clear" w:color="auto" w:fill="auto"/>
            <w:tcMar>
              <w:top w:w="85" w:type="dxa"/>
              <w:bottom w:w="85" w:type="dxa"/>
            </w:tcMar>
          </w:tcPr>
          <w:p w14:paraId="218764D4"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6233D3FC" w14:textId="77777777" w:rsidR="00292B80" w:rsidRPr="00860634" w:rsidRDefault="00292B80" w:rsidP="005A1F7F">
            <w:pPr>
              <w:rPr>
                <w:rFonts w:ascii="Arial" w:hAnsi="Arial" w:cs="Arial"/>
                <w:color w:val="000000"/>
                <w:sz w:val="16"/>
                <w:szCs w:val="16"/>
              </w:rPr>
            </w:pPr>
            <w:r w:rsidRPr="00860634">
              <w:rPr>
                <w:rFonts w:ascii="Arial" w:hAnsi="Arial" w:cs="Arial"/>
                <w:color w:val="000000"/>
                <w:sz w:val="16"/>
                <w:szCs w:val="16"/>
              </w:rPr>
              <w:t>Provision of financial and management reports and analysis required by senior management, Program Managers and Member States in accordance with agreed deadlines</w:t>
            </w:r>
          </w:p>
        </w:tc>
        <w:tc>
          <w:tcPr>
            <w:tcW w:w="1585" w:type="pct"/>
            <w:shd w:val="clear" w:color="auto" w:fill="FFFFFF"/>
            <w:tcMar>
              <w:top w:w="85" w:type="dxa"/>
              <w:bottom w:w="85" w:type="dxa"/>
            </w:tcMar>
          </w:tcPr>
          <w:p w14:paraId="79584282" w14:textId="77777777" w:rsidR="00292B80" w:rsidRDefault="00292B80" w:rsidP="005A1F7F">
            <w:pPr>
              <w:jc w:val="center"/>
              <w:rPr>
                <w:rFonts w:ascii="Arial" w:hAnsi="Arial" w:cs="Arial"/>
                <w:sz w:val="16"/>
                <w:szCs w:val="16"/>
              </w:rPr>
            </w:pPr>
            <w:r>
              <w:rPr>
                <w:rFonts w:ascii="Arial" w:hAnsi="Arial" w:cs="Arial"/>
                <w:sz w:val="16"/>
                <w:szCs w:val="16"/>
              </w:rPr>
              <w:t>Program 22</w:t>
            </w:r>
          </w:p>
        </w:tc>
      </w:tr>
      <w:tr w:rsidR="00292B80" w:rsidRPr="00AF5E7C" w14:paraId="15E5C034" w14:textId="77777777" w:rsidTr="007536CC">
        <w:trPr>
          <w:cantSplit/>
        </w:trPr>
        <w:tc>
          <w:tcPr>
            <w:tcW w:w="1891" w:type="pct"/>
            <w:shd w:val="clear" w:color="auto" w:fill="auto"/>
            <w:tcMar>
              <w:top w:w="85" w:type="dxa"/>
              <w:bottom w:w="85" w:type="dxa"/>
            </w:tcMar>
          </w:tcPr>
          <w:p w14:paraId="769BFE69"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597BF456" w14:textId="77777777" w:rsidR="00292B80" w:rsidRPr="00815648" w:rsidRDefault="00292B80" w:rsidP="005A1F7F">
            <w:pPr>
              <w:rPr>
                <w:rFonts w:ascii="Arial" w:hAnsi="Arial" w:cs="Arial"/>
                <w:sz w:val="16"/>
                <w:szCs w:val="16"/>
              </w:rPr>
            </w:pPr>
            <w:r w:rsidRPr="00860634">
              <w:rPr>
                <w:rFonts w:ascii="Arial" w:hAnsi="Arial" w:cs="Arial"/>
                <w:color w:val="000000"/>
                <w:sz w:val="16"/>
                <w:szCs w:val="16"/>
              </w:rPr>
              <w:t>No. of PBC documents submitted on time to the Member States</w:t>
            </w:r>
          </w:p>
        </w:tc>
        <w:tc>
          <w:tcPr>
            <w:tcW w:w="1585" w:type="pct"/>
            <w:shd w:val="clear" w:color="auto" w:fill="FFFFFF"/>
            <w:tcMar>
              <w:top w:w="85" w:type="dxa"/>
              <w:bottom w:w="85" w:type="dxa"/>
            </w:tcMar>
          </w:tcPr>
          <w:p w14:paraId="03595A31" w14:textId="77777777" w:rsidR="00292B80" w:rsidRPr="00AF5E7C" w:rsidRDefault="00292B80" w:rsidP="005A1F7F">
            <w:pPr>
              <w:jc w:val="center"/>
              <w:rPr>
                <w:rFonts w:ascii="Arial" w:hAnsi="Arial" w:cs="Arial"/>
                <w:sz w:val="16"/>
                <w:szCs w:val="16"/>
                <w:lang w:bidi="th-TH"/>
              </w:rPr>
            </w:pPr>
            <w:r>
              <w:rPr>
                <w:rFonts w:ascii="Arial" w:hAnsi="Arial" w:cs="Arial"/>
                <w:sz w:val="16"/>
                <w:szCs w:val="16"/>
              </w:rPr>
              <w:t>Program 22</w:t>
            </w:r>
          </w:p>
        </w:tc>
      </w:tr>
      <w:tr w:rsidR="00292B80" w:rsidRPr="00AF5E7C" w14:paraId="66EC360D" w14:textId="77777777" w:rsidTr="007536CC">
        <w:trPr>
          <w:cantSplit/>
        </w:trPr>
        <w:tc>
          <w:tcPr>
            <w:tcW w:w="1891" w:type="pct"/>
            <w:shd w:val="clear" w:color="auto" w:fill="auto"/>
            <w:tcMar>
              <w:top w:w="85" w:type="dxa"/>
              <w:bottom w:w="85" w:type="dxa"/>
            </w:tcMar>
          </w:tcPr>
          <w:p w14:paraId="2A0B396C"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BA6B65C" w14:textId="77777777" w:rsidR="00292B80" w:rsidRPr="00860634" w:rsidRDefault="00292B80" w:rsidP="005A1F7F">
            <w:pPr>
              <w:rPr>
                <w:rFonts w:ascii="Arial" w:hAnsi="Arial" w:cs="Arial"/>
                <w:color w:val="000000"/>
                <w:sz w:val="16"/>
                <w:szCs w:val="16"/>
              </w:rPr>
            </w:pPr>
            <w:r w:rsidRPr="00860634">
              <w:rPr>
                <w:rFonts w:ascii="Arial" w:hAnsi="Arial" w:cs="Arial"/>
                <w:color w:val="000000"/>
                <w:sz w:val="16"/>
                <w:szCs w:val="16"/>
              </w:rPr>
              <w:t>WIPO’s ERP system (AIMS) is operating efficiently according to business needs and in line with best practices</w:t>
            </w:r>
          </w:p>
        </w:tc>
        <w:tc>
          <w:tcPr>
            <w:tcW w:w="1585" w:type="pct"/>
            <w:shd w:val="clear" w:color="auto" w:fill="FFFFFF"/>
            <w:tcMar>
              <w:top w:w="85" w:type="dxa"/>
              <w:bottom w:w="85" w:type="dxa"/>
            </w:tcMar>
          </w:tcPr>
          <w:p w14:paraId="15AE9DE6" w14:textId="77777777" w:rsidR="00292B80" w:rsidRDefault="00292B80" w:rsidP="005A1F7F">
            <w:pPr>
              <w:jc w:val="center"/>
              <w:rPr>
                <w:rFonts w:ascii="Arial" w:hAnsi="Arial" w:cs="Arial"/>
                <w:sz w:val="16"/>
                <w:szCs w:val="16"/>
              </w:rPr>
            </w:pPr>
            <w:r>
              <w:rPr>
                <w:rFonts w:ascii="Arial" w:hAnsi="Arial" w:cs="Arial"/>
                <w:sz w:val="16"/>
                <w:szCs w:val="16"/>
              </w:rPr>
              <w:t>Program 22</w:t>
            </w:r>
          </w:p>
        </w:tc>
      </w:tr>
      <w:tr w:rsidR="00292B80" w:rsidRPr="00AF5E7C" w14:paraId="2810B832" w14:textId="77777777" w:rsidTr="007536CC">
        <w:trPr>
          <w:cantSplit/>
        </w:trPr>
        <w:tc>
          <w:tcPr>
            <w:tcW w:w="1891" w:type="pct"/>
            <w:shd w:val="clear" w:color="auto" w:fill="auto"/>
            <w:tcMar>
              <w:top w:w="85" w:type="dxa"/>
              <w:bottom w:w="85" w:type="dxa"/>
            </w:tcMar>
          </w:tcPr>
          <w:p w14:paraId="0EE28517"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23187A34" w14:textId="77777777" w:rsidR="00292B80" w:rsidRPr="00860634" w:rsidRDefault="00292B80" w:rsidP="005A1F7F">
            <w:pPr>
              <w:rPr>
                <w:rFonts w:ascii="Arial" w:hAnsi="Arial" w:cs="Arial"/>
                <w:color w:val="000000"/>
                <w:sz w:val="16"/>
                <w:szCs w:val="16"/>
              </w:rPr>
            </w:pPr>
            <w:r w:rsidRPr="00860634">
              <w:rPr>
                <w:rFonts w:ascii="Arial" w:hAnsi="Arial" w:cs="Arial"/>
                <w:color w:val="000000"/>
                <w:sz w:val="16"/>
                <w:szCs w:val="16"/>
              </w:rPr>
              <w:t>ERP projects are delivered according to plan and within the budget of the portfolio</w:t>
            </w:r>
          </w:p>
        </w:tc>
        <w:tc>
          <w:tcPr>
            <w:tcW w:w="1585" w:type="pct"/>
            <w:shd w:val="clear" w:color="auto" w:fill="FFFFFF"/>
            <w:tcMar>
              <w:top w:w="85" w:type="dxa"/>
              <w:bottom w:w="85" w:type="dxa"/>
            </w:tcMar>
          </w:tcPr>
          <w:p w14:paraId="7D14F53A" w14:textId="77777777" w:rsidR="00292B80" w:rsidRDefault="00292B80" w:rsidP="005A1F7F">
            <w:pPr>
              <w:jc w:val="center"/>
              <w:rPr>
                <w:rFonts w:ascii="Arial" w:hAnsi="Arial" w:cs="Arial"/>
                <w:sz w:val="16"/>
                <w:szCs w:val="16"/>
              </w:rPr>
            </w:pPr>
            <w:r>
              <w:rPr>
                <w:rFonts w:ascii="Arial" w:hAnsi="Arial" w:cs="Arial"/>
                <w:sz w:val="16"/>
                <w:szCs w:val="16"/>
              </w:rPr>
              <w:t>Program 22</w:t>
            </w:r>
          </w:p>
        </w:tc>
      </w:tr>
      <w:tr w:rsidR="00292B80" w:rsidRPr="00AF5E7C" w14:paraId="15127A00" w14:textId="77777777" w:rsidTr="007536CC">
        <w:trPr>
          <w:cantSplit/>
          <w:trHeight w:val="472"/>
        </w:trPr>
        <w:tc>
          <w:tcPr>
            <w:tcW w:w="1891" w:type="pct"/>
            <w:shd w:val="clear" w:color="auto" w:fill="auto"/>
            <w:tcMar>
              <w:top w:w="85" w:type="dxa"/>
              <w:bottom w:w="85" w:type="dxa"/>
            </w:tcMar>
          </w:tcPr>
          <w:p w14:paraId="24770EE3"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682E133" w14:textId="77777777" w:rsidR="00292B80" w:rsidRPr="000963F7" w:rsidRDefault="00292B80" w:rsidP="005A1F7F">
            <w:pPr>
              <w:rPr>
                <w:rFonts w:ascii="Arial" w:hAnsi="Arial" w:cs="Arial"/>
                <w:bCs/>
                <w:sz w:val="16"/>
                <w:szCs w:val="16"/>
              </w:rPr>
            </w:pPr>
            <w:r w:rsidRPr="00E62EB2">
              <w:rPr>
                <w:rFonts w:ascii="Arial" w:hAnsi="Arial" w:cs="Arial"/>
                <w:color w:val="000000"/>
                <w:sz w:val="16"/>
                <w:szCs w:val="16"/>
              </w:rPr>
              <w:t>% of staff satisfied with human resource services</w:t>
            </w:r>
          </w:p>
        </w:tc>
        <w:tc>
          <w:tcPr>
            <w:tcW w:w="1585" w:type="pct"/>
            <w:shd w:val="clear" w:color="auto" w:fill="FFFFFF"/>
            <w:tcMar>
              <w:top w:w="85" w:type="dxa"/>
              <w:bottom w:w="85" w:type="dxa"/>
            </w:tcMar>
          </w:tcPr>
          <w:p w14:paraId="660626FC" w14:textId="77777777" w:rsidR="00292B80" w:rsidRDefault="00292B80" w:rsidP="005A1F7F">
            <w:pPr>
              <w:jc w:val="center"/>
              <w:rPr>
                <w:rFonts w:ascii="Arial" w:hAnsi="Arial" w:cs="Arial"/>
                <w:sz w:val="16"/>
                <w:szCs w:val="16"/>
              </w:rPr>
            </w:pPr>
            <w:r>
              <w:rPr>
                <w:rFonts w:ascii="Arial" w:hAnsi="Arial" w:cs="Arial"/>
                <w:sz w:val="16"/>
                <w:szCs w:val="16"/>
              </w:rPr>
              <w:t>Program 23</w:t>
            </w:r>
          </w:p>
        </w:tc>
      </w:tr>
      <w:tr w:rsidR="00292B80" w:rsidRPr="00AF5E7C" w14:paraId="2FF6E7FB" w14:textId="77777777" w:rsidTr="007536CC">
        <w:trPr>
          <w:cantSplit/>
          <w:trHeight w:val="472"/>
        </w:trPr>
        <w:tc>
          <w:tcPr>
            <w:tcW w:w="1891" w:type="pct"/>
            <w:shd w:val="clear" w:color="auto" w:fill="auto"/>
            <w:tcMar>
              <w:top w:w="85" w:type="dxa"/>
              <w:bottom w:w="85" w:type="dxa"/>
            </w:tcMar>
          </w:tcPr>
          <w:p w14:paraId="00DF0D6C"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8129D4A" w14:textId="77777777" w:rsidR="00292B80" w:rsidRPr="00336796" w:rsidRDefault="00292B80" w:rsidP="005A1F7F">
            <w:pPr>
              <w:rPr>
                <w:rFonts w:ascii="Arial" w:hAnsi="Arial" w:cs="Arial"/>
                <w:sz w:val="16"/>
                <w:szCs w:val="16"/>
              </w:rPr>
            </w:pPr>
            <w:r>
              <w:rPr>
                <w:rFonts w:ascii="Arial" w:hAnsi="Arial" w:cs="Arial"/>
                <w:color w:val="000000"/>
                <w:sz w:val="16"/>
                <w:szCs w:val="16"/>
              </w:rPr>
              <w:t xml:space="preserve">Increase in </w:t>
            </w:r>
            <w:r w:rsidRPr="00E62EB2">
              <w:rPr>
                <w:rFonts w:ascii="Arial" w:hAnsi="Arial" w:cs="Arial"/>
                <w:color w:val="000000"/>
                <w:sz w:val="16"/>
                <w:szCs w:val="16"/>
              </w:rPr>
              <w:t>automated</w:t>
            </w:r>
            <w:r>
              <w:rPr>
                <w:rFonts w:ascii="Arial" w:hAnsi="Arial" w:cs="Arial"/>
                <w:color w:val="000000"/>
                <w:sz w:val="16"/>
                <w:szCs w:val="16"/>
              </w:rPr>
              <w:t xml:space="preserve"> versus currently manually-processed </w:t>
            </w:r>
            <w:r w:rsidRPr="00E62EB2">
              <w:rPr>
                <w:rFonts w:ascii="Arial" w:hAnsi="Arial" w:cs="Arial"/>
                <w:color w:val="000000"/>
                <w:sz w:val="16"/>
                <w:szCs w:val="16"/>
              </w:rPr>
              <w:t>actions</w:t>
            </w:r>
          </w:p>
        </w:tc>
        <w:tc>
          <w:tcPr>
            <w:tcW w:w="1585" w:type="pct"/>
            <w:shd w:val="clear" w:color="auto" w:fill="FFFFFF"/>
            <w:tcMar>
              <w:top w:w="85" w:type="dxa"/>
              <w:bottom w:w="85" w:type="dxa"/>
            </w:tcMar>
          </w:tcPr>
          <w:p w14:paraId="4D28C413" w14:textId="77777777" w:rsidR="00292B80" w:rsidRDefault="00292B80" w:rsidP="005A1F7F">
            <w:pPr>
              <w:jc w:val="center"/>
              <w:rPr>
                <w:rFonts w:ascii="Arial" w:hAnsi="Arial" w:cs="Arial"/>
                <w:sz w:val="16"/>
                <w:szCs w:val="16"/>
              </w:rPr>
            </w:pPr>
            <w:r>
              <w:rPr>
                <w:rFonts w:ascii="Arial" w:hAnsi="Arial" w:cs="Arial"/>
                <w:sz w:val="16"/>
                <w:szCs w:val="16"/>
              </w:rPr>
              <w:t>Program 23</w:t>
            </w:r>
          </w:p>
        </w:tc>
      </w:tr>
      <w:tr w:rsidR="00292B80" w:rsidRPr="00AF5E7C" w14:paraId="55812B81" w14:textId="77777777" w:rsidTr="007536CC">
        <w:trPr>
          <w:cantSplit/>
          <w:trHeight w:val="472"/>
        </w:trPr>
        <w:tc>
          <w:tcPr>
            <w:tcW w:w="1891" w:type="pct"/>
            <w:shd w:val="clear" w:color="auto" w:fill="auto"/>
            <w:tcMar>
              <w:top w:w="85" w:type="dxa"/>
              <w:bottom w:w="85" w:type="dxa"/>
            </w:tcMar>
          </w:tcPr>
          <w:p w14:paraId="2E2E469A"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4057412F" w14:textId="77777777" w:rsidR="00292B80" w:rsidRDefault="00292B80" w:rsidP="005A1F7F">
            <w:pPr>
              <w:rPr>
                <w:rFonts w:ascii="Arial" w:hAnsi="Arial" w:cs="Arial"/>
                <w:color w:val="000000"/>
                <w:sz w:val="16"/>
                <w:szCs w:val="16"/>
              </w:rPr>
            </w:pPr>
            <w:r w:rsidRPr="00E62EB2">
              <w:rPr>
                <w:rFonts w:ascii="Arial" w:hAnsi="Arial" w:cs="Arial"/>
                <w:color w:val="000000"/>
                <w:sz w:val="16"/>
                <w:szCs w:val="16"/>
              </w:rPr>
              <w:t>% of queries processed within 5 working days</w:t>
            </w:r>
          </w:p>
        </w:tc>
        <w:tc>
          <w:tcPr>
            <w:tcW w:w="1585" w:type="pct"/>
            <w:shd w:val="clear" w:color="auto" w:fill="FFFFFF"/>
            <w:tcMar>
              <w:top w:w="85" w:type="dxa"/>
              <w:bottom w:w="85" w:type="dxa"/>
            </w:tcMar>
          </w:tcPr>
          <w:p w14:paraId="6E6C8D99" w14:textId="77777777" w:rsidR="00292B80" w:rsidRDefault="00292B80" w:rsidP="005A1F7F">
            <w:pPr>
              <w:jc w:val="center"/>
              <w:rPr>
                <w:rFonts w:ascii="Arial" w:hAnsi="Arial" w:cs="Arial"/>
                <w:sz w:val="16"/>
                <w:szCs w:val="16"/>
              </w:rPr>
            </w:pPr>
            <w:r>
              <w:rPr>
                <w:rFonts w:ascii="Arial" w:hAnsi="Arial" w:cs="Arial"/>
                <w:sz w:val="16"/>
                <w:szCs w:val="16"/>
              </w:rPr>
              <w:t>Program 23</w:t>
            </w:r>
          </w:p>
        </w:tc>
      </w:tr>
      <w:tr w:rsidR="00292B80" w:rsidRPr="00AF5E7C" w14:paraId="1C94D80B" w14:textId="77777777" w:rsidTr="007536CC">
        <w:trPr>
          <w:cantSplit/>
          <w:trHeight w:val="233"/>
        </w:trPr>
        <w:tc>
          <w:tcPr>
            <w:tcW w:w="1891" w:type="pct"/>
            <w:shd w:val="clear" w:color="auto" w:fill="auto"/>
            <w:tcMar>
              <w:top w:w="85" w:type="dxa"/>
              <w:bottom w:w="85" w:type="dxa"/>
            </w:tcMar>
          </w:tcPr>
          <w:p w14:paraId="576ED68B"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522974CD" w14:textId="77777777" w:rsidR="00292B80" w:rsidRPr="00E62EB2" w:rsidRDefault="00292B80" w:rsidP="005A1F7F">
            <w:pPr>
              <w:rPr>
                <w:rFonts w:ascii="Arial" w:hAnsi="Arial" w:cs="Arial"/>
                <w:color w:val="000000"/>
                <w:sz w:val="16"/>
                <w:szCs w:val="16"/>
              </w:rPr>
            </w:pPr>
            <w:r w:rsidRPr="00E62EB2">
              <w:rPr>
                <w:rFonts w:ascii="Arial" w:hAnsi="Arial" w:cs="Arial"/>
                <w:color w:val="000000"/>
                <w:sz w:val="16"/>
                <w:szCs w:val="16"/>
              </w:rPr>
              <w:t>Optimized insurance coverage</w:t>
            </w:r>
          </w:p>
        </w:tc>
        <w:tc>
          <w:tcPr>
            <w:tcW w:w="1585" w:type="pct"/>
            <w:shd w:val="clear" w:color="auto" w:fill="FFFFFF"/>
            <w:tcMar>
              <w:top w:w="85" w:type="dxa"/>
              <w:bottom w:w="85" w:type="dxa"/>
            </w:tcMar>
          </w:tcPr>
          <w:p w14:paraId="1B72C24E" w14:textId="77777777" w:rsidR="00292B80" w:rsidRDefault="00292B80" w:rsidP="005A1F7F">
            <w:pPr>
              <w:jc w:val="center"/>
              <w:rPr>
                <w:rFonts w:ascii="Arial" w:hAnsi="Arial" w:cs="Arial"/>
                <w:sz w:val="16"/>
                <w:szCs w:val="16"/>
              </w:rPr>
            </w:pPr>
            <w:r>
              <w:rPr>
                <w:rFonts w:ascii="Arial" w:hAnsi="Arial" w:cs="Arial"/>
                <w:sz w:val="16"/>
                <w:szCs w:val="16"/>
              </w:rPr>
              <w:t>Program 23</w:t>
            </w:r>
          </w:p>
        </w:tc>
      </w:tr>
      <w:tr w:rsidR="00292B80" w:rsidRPr="00AF5E7C" w14:paraId="7EBB4E18" w14:textId="77777777" w:rsidTr="007536CC">
        <w:trPr>
          <w:cantSplit/>
          <w:trHeight w:val="516"/>
        </w:trPr>
        <w:tc>
          <w:tcPr>
            <w:tcW w:w="1891" w:type="pct"/>
            <w:shd w:val="clear" w:color="auto" w:fill="auto"/>
            <w:tcMar>
              <w:top w:w="85" w:type="dxa"/>
              <w:bottom w:w="85" w:type="dxa"/>
            </w:tcMar>
          </w:tcPr>
          <w:p w14:paraId="1530F032"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117B6B9C" w14:textId="77777777" w:rsidR="00292B80" w:rsidRPr="00F7400E" w:rsidRDefault="00292B80" w:rsidP="005A1F7F">
            <w:pPr>
              <w:rPr>
                <w:rFonts w:ascii="Arial" w:hAnsi="Arial" w:cs="Arial"/>
                <w:bCs/>
                <w:sz w:val="16"/>
                <w:szCs w:val="16"/>
              </w:rPr>
            </w:pPr>
            <w:r>
              <w:rPr>
                <w:rFonts w:ascii="Arial" w:hAnsi="Arial" w:cs="Arial"/>
                <w:color w:val="000000"/>
                <w:sz w:val="16"/>
                <w:szCs w:val="16"/>
              </w:rPr>
              <w:t>Cost savings for goods and services procured by WIPO (derived from RFPs or direct negotiations)</w:t>
            </w:r>
          </w:p>
        </w:tc>
        <w:tc>
          <w:tcPr>
            <w:tcW w:w="1585" w:type="pct"/>
            <w:shd w:val="clear" w:color="auto" w:fill="FFFFFF"/>
            <w:tcMar>
              <w:top w:w="85" w:type="dxa"/>
              <w:bottom w:w="85" w:type="dxa"/>
            </w:tcMar>
          </w:tcPr>
          <w:p w14:paraId="46DBF10D" w14:textId="77777777" w:rsidR="00292B80" w:rsidRDefault="00292B80" w:rsidP="005A1F7F">
            <w:pPr>
              <w:jc w:val="center"/>
              <w:rPr>
                <w:rFonts w:ascii="Arial" w:hAnsi="Arial" w:cs="Arial"/>
                <w:sz w:val="16"/>
                <w:szCs w:val="16"/>
                <w:lang w:bidi="th-TH"/>
              </w:rPr>
            </w:pPr>
            <w:r>
              <w:rPr>
                <w:rFonts w:ascii="Arial" w:hAnsi="Arial" w:cs="Arial"/>
                <w:sz w:val="16"/>
                <w:szCs w:val="16"/>
                <w:lang w:bidi="th-TH"/>
              </w:rPr>
              <w:t>Program 24</w:t>
            </w:r>
          </w:p>
        </w:tc>
      </w:tr>
      <w:tr w:rsidR="00292B80" w:rsidRPr="00AF5E7C" w14:paraId="6A79EF90" w14:textId="77777777" w:rsidTr="007536CC">
        <w:trPr>
          <w:cantSplit/>
          <w:trHeight w:val="326"/>
        </w:trPr>
        <w:tc>
          <w:tcPr>
            <w:tcW w:w="1891" w:type="pct"/>
            <w:shd w:val="clear" w:color="auto" w:fill="auto"/>
            <w:tcMar>
              <w:top w:w="85" w:type="dxa"/>
              <w:bottom w:w="85" w:type="dxa"/>
            </w:tcMar>
          </w:tcPr>
          <w:p w14:paraId="72AFEEC5"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6267E5BD" w14:textId="77777777" w:rsidR="00292B80" w:rsidRPr="00F7400E" w:rsidRDefault="00292B80" w:rsidP="005A1F7F">
            <w:pPr>
              <w:rPr>
                <w:rFonts w:ascii="Arial" w:hAnsi="Arial" w:cs="Arial"/>
                <w:sz w:val="16"/>
                <w:szCs w:val="16"/>
              </w:rPr>
            </w:pPr>
            <w:r>
              <w:rPr>
                <w:rFonts w:ascii="Arial" w:hAnsi="Arial" w:cs="Arial"/>
                <w:color w:val="000000"/>
                <w:sz w:val="16"/>
                <w:szCs w:val="16"/>
              </w:rPr>
              <w:t>Processing time ER</w:t>
            </w:r>
          </w:p>
        </w:tc>
        <w:tc>
          <w:tcPr>
            <w:tcW w:w="1585" w:type="pct"/>
            <w:shd w:val="clear" w:color="auto" w:fill="FFFFFF"/>
            <w:tcMar>
              <w:top w:w="85" w:type="dxa"/>
              <w:bottom w:w="85" w:type="dxa"/>
            </w:tcMar>
          </w:tcPr>
          <w:p w14:paraId="46E56C56" w14:textId="77777777" w:rsidR="00292B80" w:rsidRDefault="00292B80" w:rsidP="005A1F7F">
            <w:pPr>
              <w:jc w:val="center"/>
            </w:pPr>
            <w:r w:rsidRPr="003253B4">
              <w:rPr>
                <w:rFonts w:ascii="Arial" w:hAnsi="Arial" w:cs="Arial"/>
                <w:sz w:val="16"/>
                <w:szCs w:val="16"/>
                <w:lang w:bidi="th-TH"/>
              </w:rPr>
              <w:t>Program 24</w:t>
            </w:r>
          </w:p>
        </w:tc>
      </w:tr>
      <w:tr w:rsidR="00292B80" w:rsidRPr="00AF5E7C" w14:paraId="7C7543FA" w14:textId="77777777" w:rsidTr="007536CC">
        <w:trPr>
          <w:cantSplit/>
          <w:trHeight w:val="376"/>
        </w:trPr>
        <w:tc>
          <w:tcPr>
            <w:tcW w:w="1891" w:type="pct"/>
            <w:shd w:val="clear" w:color="auto" w:fill="auto"/>
            <w:tcMar>
              <w:top w:w="85" w:type="dxa"/>
              <w:bottom w:w="85" w:type="dxa"/>
            </w:tcMar>
          </w:tcPr>
          <w:p w14:paraId="62E85CB9"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073A1740" w14:textId="77777777" w:rsidR="00292B80" w:rsidRPr="00F7400E" w:rsidRDefault="00292B80" w:rsidP="005A1F7F">
            <w:pPr>
              <w:rPr>
                <w:rFonts w:ascii="Arial" w:hAnsi="Arial" w:cs="Arial"/>
                <w:sz w:val="16"/>
                <w:szCs w:val="16"/>
              </w:rPr>
            </w:pPr>
            <w:r>
              <w:rPr>
                <w:rFonts w:ascii="Arial" w:hAnsi="Arial" w:cs="Arial"/>
                <w:color w:val="000000"/>
                <w:sz w:val="16"/>
                <w:szCs w:val="16"/>
              </w:rPr>
              <w:t>Processing time ETA</w:t>
            </w:r>
          </w:p>
        </w:tc>
        <w:tc>
          <w:tcPr>
            <w:tcW w:w="1585" w:type="pct"/>
            <w:shd w:val="clear" w:color="auto" w:fill="FFFFFF"/>
            <w:tcMar>
              <w:top w:w="85" w:type="dxa"/>
              <w:bottom w:w="85" w:type="dxa"/>
            </w:tcMar>
          </w:tcPr>
          <w:p w14:paraId="5A9AB742" w14:textId="77777777" w:rsidR="00292B80" w:rsidRDefault="00292B80" w:rsidP="005A1F7F">
            <w:pPr>
              <w:jc w:val="center"/>
            </w:pPr>
            <w:r w:rsidRPr="003253B4">
              <w:rPr>
                <w:rFonts w:ascii="Arial" w:hAnsi="Arial" w:cs="Arial"/>
                <w:sz w:val="16"/>
                <w:szCs w:val="16"/>
                <w:lang w:bidi="th-TH"/>
              </w:rPr>
              <w:t>Program 24</w:t>
            </w:r>
          </w:p>
        </w:tc>
      </w:tr>
      <w:tr w:rsidR="00292B80" w:rsidRPr="00AF5E7C" w14:paraId="4A678C33" w14:textId="77777777" w:rsidTr="007536CC">
        <w:trPr>
          <w:cantSplit/>
          <w:trHeight w:val="214"/>
        </w:trPr>
        <w:tc>
          <w:tcPr>
            <w:tcW w:w="1891" w:type="pct"/>
            <w:shd w:val="clear" w:color="auto" w:fill="auto"/>
            <w:tcMar>
              <w:top w:w="85" w:type="dxa"/>
              <w:bottom w:w="85" w:type="dxa"/>
            </w:tcMar>
          </w:tcPr>
          <w:p w14:paraId="39BDC854"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40BB17C1" w14:textId="77777777" w:rsidR="00292B80" w:rsidRPr="00F7400E" w:rsidRDefault="00292B80" w:rsidP="005A1F7F">
            <w:pPr>
              <w:rPr>
                <w:rFonts w:ascii="Arial" w:hAnsi="Arial"/>
                <w:color w:val="000000"/>
                <w:sz w:val="16"/>
                <w:szCs w:val="16"/>
              </w:rPr>
            </w:pPr>
            <w:r>
              <w:rPr>
                <w:rFonts w:ascii="Arial" w:hAnsi="Arial" w:cs="Arial"/>
                <w:color w:val="000000"/>
                <w:sz w:val="16"/>
                <w:szCs w:val="16"/>
              </w:rPr>
              <w:t>Processing time Visa</w:t>
            </w:r>
          </w:p>
        </w:tc>
        <w:tc>
          <w:tcPr>
            <w:tcW w:w="1585" w:type="pct"/>
            <w:shd w:val="clear" w:color="auto" w:fill="FFFFFF"/>
            <w:tcMar>
              <w:top w:w="85" w:type="dxa"/>
              <w:bottom w:w="85" w:type="dxa"/>
            </w:tcMar>
          </w:tcPr>
          <w:p w14:paraId="648B2DC3" w14:textId="77777777" w:rsidR="00292B80" w:rsidRDefault="00292B80" w:rsidP="005A1F7F">
            <w:pPr>
              <w:jc w:val="center"/>
            </w:pPr>
            <w:r w:rsidRPr="003253B4">
              <w:rPr>
                <w:rFonts w:ascii="Arial" w:hAnsi="Arial" w:cs="Arial"/>
                <w:sz w:val="16"/>
                <w:szCs w:val="16"/>
                <w:lang w:bidi="th-TH"/>
              </w:rPr>
              <w:t>Program 24</w:t>
            </w:r>
          </w:p>
        </w:tc>
      </w:tr>
      <w:tr w:rsidR="00292B80" w:rsidRPr="00AF5E7C" w14:paraId="5483635C" w14:textId="77777777" w:rsidTr="007536CC">
        <w:trPr>
          <w:cantSplit/>
          <w:trHeight w:val="516"/>
        </w:trPr>
        <w:tc>
          <w:tcPr>
            <w:tcW w:w="1891" w:type="pct"/>
            <w:shd w:val="clear" w:color="auto" w:fill="auto"/>
            <w:tcMar>
              <w:top w:w="85" w:type="dxa"/>
              <w:bottom w:w="85" w:type="dxa"/>
            </w:tcMar>
          </w:tcPr>
          <w:p w14:paraId="017A4BC2"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4BB9130A" w14:textId="77777777" w:rsidR="00292B80" w:rsidRPr="00366144" w:rsidRDefault="00292B80" w:rsidP="005A1F7F">
            <w:pPr>
              <w:rPr>
                <w:rFonts w:ascii="Arial" w:hAnsi="Arial"/>
                <w:color w:val="000000"/>
                <w:sz w:val="16"/>
                <w:szCs w:val="16"/>
              </w:rPr>
            </w:pPr>
            <w:r>
              <w:rPr>
                <w:rFonts w:ascii="Arial" w:hAnsi="Arial" w:cs="Arial"/>
                <w:color w:val="000000"/>
                <w:sz w:val="16"/>
                <w:szCs w:val="16"/>
              </w:rPr>
              <w:t>TMC average ticket fare</w:t>
            </w:r>
          </w:p>
        </w:tc>
        <w:tc>
          <w:tcPr>
            <w:tcW w:w="1585" w:type="pct"/>
            <w:shd w:val="clear" w:color="auto" w:fill="FFFFFF"/>
            <w:tcMar>
              <w:top w:w="85" w:type="dxa"/>
              <w:bottom w:w="85" w:type="dxa"/>
            </w:tcMar>
          </w:tcPr>
          <w:p w14:paraId="161C3E01" w14:textId="77777777" w:rsidR="00292B80" w:rsidRDefault="00292B80" w:rsidP="005A1F7F">
            <w:pPr>
              <w:jc w:val="center"/>
            </w:pPr>
            <w:r w:rsidRPr="003253B4">
              <w:rPr>
                <w:rFonts w:ascii="Arial" w:hAnsi="Arial" w:cs="Arial"/>
                <w:sz w:val="16"/>
                <w:szCs w:val="16"/>
                <w:lang w:bidi="th-TH"/>
              </w:rPr>
              <w:t>Program 24</w:t>
            </w:r>
          </w:p>
        </w:tc>
      </w:tr>
      <w:tr w:rsidR="00292B80" w:rsidRPr="00AF5E7C" w14:paraId="410C9891" w14:textId="77777777" w:rsidTr="007536CC">
        <w:trPr>
          <w:cantSplit/>
          <w:trHeight w:val="348"/>
        </w:trPr>
        <w:tc>
          <w:tcPr>
            <w:tcW w:w="1891" w:type="pct"/>
            <w:shd w:val="clear" w:color="auto" w:fill="auto"/>
            <w:tcMar>
              <w:top w:w="85" w:type="dxa"/>
              <w:bottom w:w="85" w:type="dxa"/>
            </w:tcMar>
          </w:tcPr>
          <w:p w14:paraId="4F87A6B3"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2212F88C" w14:textId="77777777" w:rsidR="00292B80" w:rsidRPr="00366144" w:rsidRDefault="00292B80" w:rsidP="005A1F7F">
            <w:pPr>
              <w:rPr>
                <w:rFonts w:ascii="Arial" w:hAnsi="Arial"/>
                <w:color w:val="000000"/>
                <w:sz w:val="16"/>
                <w:szCs w:val="16"/>
              </w:rPr>
            </w:pPr>
            <w:r>
              <w:rPr>
                <w:rFonts w:ascii="Arial" w:hAnsi="Arial" w:cs="Arial"/>
                <w:color w:val="000000"/>
                <w:sz w:val="16"/>
                <w:szCs w:val="16"/>
              </w:rPr>
              <w:t>Global average ticket fare</w:t>
            </w:r>
            <w:r>
              <w:rPr>
                <w:rFonts w:ascii="Arial" w:hAnsi="Arial" w:cs="Arial"/>
                <w:color w:val="000000"/>
                <w:sz w:val="16"/>
                <w:szCs w:val="16"/>
              </w:rPr>
              <w:br/>
            </w:r>
          </w:p>
        </w:tc>
        <w:tc>
          <w:tcPr>
            <w:tcW w:w="1585" w:type="pct"/>
            <w:shd w:val="clear" w:color="auto" w:fill="FFFFFF"/>
            <w:tcMar>
              <w:top w:w="85" w:type="dxa"/>
              <w:bottom w:w="85" w:type="dxa"/>
            </w:tcMar>
          </w:tcPr>
          <w:p w14:paraId="4CD5CC54" w14:textId="77777777" w:rsidR="00292B80" w:rsidRDefault="00292B80" w:rsidP="005A1F7F">
            <w:pPr>
              <w:jc w:val="center"/>
            </w:pPr>
            <w:r w:rsidRPr="003253B4">
              <w:rPr>
                <w:rFonts w:ascii="Arial" w:hAnsi="Arial" w:cs="Arial"/>
                <w:sz w:val="16"/>
                <w:szCs w:val="16"/>
                <w:lang w:bidi="th-TH"/>
              </w:rPr>
              <w:t>Program 24</w:t>
            </w:r>
          </w:p>
        </w:tc>
      </w:tr>
      <w:tr w:rsidR="00292B80" w:rsidRPr="00AF5E7C" w14:paraId="4154A323" w14:textId="77777777" w:rsidTr="007536CC">
        <w:trPr>
          <w:cantSplit/>
          <w:trHeight w:val="206"/>
        </w:trPr>
        <w:tc>
          <w:tcPr>
            <w:tcW w:w="1891" w:type="pct"/>
            <w:shd w:val="clear" w:color="auto" w:fill="auto"/>
            <w:tcMar>
              <w:top w:w="85" w:type="dxa"/>
              <w:bottom w:w="85" w:type="dxa"/>
            </w:tcMar>
          </w:tcPr>
          <w:p w14:paraId="1B45DBA7"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62085B80" w14:textId="77777777" w:rsidR="00292B80" w:rsidRPr="00366144" w:rsidRDefault="00292B80" w:rsidP="005A1F7F">
            <w:pPr>
              <w:rPr>
                <w:rFonts w:ascii="Arial" w:hAnsi="Arial"/>
                <w:color w:val="000000"/>
                <w:sz w:val="16"/>
                <w:szCs w:val="16"/>
              </w:rPr>
            </w:pPr>
            <w:r>
              <w:rPr>
                <w:rFonts w:ascii="Arial" w:hAnsi="Arial" w:cs="Arial"/>
                <w:color w:val="000000"/>
                <w:sz w:val="16"/>
                <w:szCs w:val="16"/>
              </w:rPr>
              <w:t>Average service fee</w:t>
            </w:r>
          </w:p>
        </w:tc>
        <w:tc>
          <w:tcPr>
            <w:tcW w:w="1585" w:type="pct"/>
            <w:shd w:val="clear" w:color="auto" w:fill="FFFFFF"/>
            <w:tcMar>
              <w:top w:w="85" w:type="dxa"/>
              <w:bottom w:w="85" w:type="dxa"/>
            </w:tcMar>
          </w:tcPr>
          <w:p w14:paraId="75AB226D" w14:textId="77777777" w:rsidR="00292B80" w:rsidRDefault="00292B80" w:rsidP="005A1F7F">
            <w:pPr>
              <w:ind w:left="821"/>
              <w:rPr>
                <w:rFonts w:ascii="Arial" w:hAnsi="Arial" w:cs="Arial"/>
                <w:sz w:val="16"/>
                <w:szCs w:val="16"/>
                <w:lang w:bidi="th-TH"/>
              </w:rPr>
            </w:pPr>
            <w:r>
              <w:rPr>
                <w:rFonts w:ascii="Arial" w:hAnsi="Arial" w:cs="Arial"/>
                <w:sz w:val="16"/>
                <w:szCs w:val="16"/>
                <w:lang w:bidi="th-TH"/>
              </w:rPr>
              <w:t xml:space="preserve">  </w:t>
            </w:r>
            <w:r w:rsidRPr="003253B4">
              <w:rPr>
                <w:rFonts w:ascii="Arial" w:hAnsi="Arial" w:cs="Arial"/>
                <w:sz w:val="16"/>
                <w:szCs w:val="16"/>
                <w:lang w:bidi="th-TH"/>
              </w:rPr>
              <w:t>Program 24</w:t>
            </w:r>
          </w:p>
        </w:tc>
      </w:tr>
      <w:tr w:rsidR="00292B80" w:rsidRPr="00AF5E7C" w14:paraId="412522B3" w14:textId="77777777" w:rsidTr="007536CC">
        <w:trPr>
          <w:cantSplit/>
          <w:trHeight w:val="368"/>
        </w:trPr>
        <w:tc>
          <w:tcPr>
            <w:tcW w:w="1891" w:type="pct"/>
            <w:shd w:val="clear" w:color="auto" w:fill="auto"/>
            <w:tcMar>
              <w:top w:w="85" w:type="dxa"/>
              <w:bottom w:w="85" w:type="dxa"/>
            </w:tcMar>
          </w:tcPr>
          <w:p w14:paraId="67035300"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05940650" w14:textId="77777777" w:rsidR="00292B80" w:rsidRDefault="00292B80" w:rsidP="005A1F7F">
            <w:pPr>
              <w:rPr>
                <w:rFonts w:ascii="Arial" w:hAnsi="Arial" w:cs="Arial"/>
                <w:color w:val="000000"/>
                <w:sz w:val="16"/>
                <w:szCs w:val="16"/>
              </w:rPr>
            </w:pPr>
            <w:r w:rsidRPr="006335CA">
              <w:rPr>
                <w:rFonts w:ascii="Arial" w:hAnsi="Arial" w:cs="Arial"/>
                <w:color w:val="000000"/>
                <w:sz w:val="16"/>
                <w:szCs w:val="16"/>
              </w:rPr>
              <w:t>WIPO premises and installations remain fit for purpose</w:t>
            </w:r>
          </w:p>
        </w:tc>
        <w:tc>
          <w:tcPr>
            <w:tcW w:w="1585" w:type="pct"/>
            <w:shd w:val="clear" w:color="auto" w:fill="FFFFFF"/>
            <w:tcMar>
              <w:top w:w="85" w:type="dxa"/>
              <w:bottom w:w="85" w:type="dxa"/>
            </w:tcMar>
          </w:tcPr>
          <w:p w14:paraId="1AC2E057" w14:textId="77777777" w:rsidR="00292B80" w:rsidRPr="003253B4" w:rsidRDefault="00292B80" w:rsidP="005A1F7F">
            <w:pPr>
              <w:ind w:left="821"/>
              <w:rPr>
                <w:rFonts w:ascii="Arial" w:hAnsi="Arial" w:cs="Arial"/>
                <w:sz w:val="16"/>
                <w:szCs w:val="16"/>
                <w:lang w:bidi="th-TH"/>
              </w:rPr>
            </w:pPr>
            <w:r>
              <w:rPr>
                <w:rFonts w:ascii="Arial" w:hAnsi="Arial" w:cs="Arial"/>
                <w:sz w:val="16"/>
                <w:szCs w:val="16"/>
                <w:lang w:bidi="th-TH"/>
              </w:rPr>
              <w:t xml:space="preserve">  Program 24</w:t>
            </w:r>
          </w:p>
        </w:tc>
      </w:tr>
      <w:tr w:rsidR="00292B80" w:rsidRPr="00AF5E7C" w14:paraId="54939884" w14:textId="77777777" w:rsidTr="007536CC">
        <w:trPr>
          <w:cantSplit/>
          <w:trHeight w:val="516"/>
        </w:trPr>
        <w:tc>
          <w:tcPr>
            <w:tcW w:w="1891" w:type="pct"/>
            <w:shd w:val="clear" w:color="auto" w:fill="auto"/>
            <w:tcMar>
              <w:top w:w="85" w:type="dxa"/>
              <w:bottom w:w="85" w:type="dxa"/>
            </w:tcMar>
          </w:tcPr>
          <w:p w14:paraId="48B1169A"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4CBCE929" w14:textId="77777777" w:rsidR="00292B80" w:rsidRDefault="00292B80" w:rsidP="005A1F7F">
            <w:pPr>
              <w:rPr>
                <w:rFonts w:ascii="Arial" w:hAnsi="Arial" w:cs="Arial"/>
                <w:color w:val="000000"/>
                <w:sz w:val="16"/>
                <w:szCs w:val="16"/>
                <w:highlight w:val="yellow"/>
              </w:rPr>
            </w:pPr>
            <w:r>
              <w:rPr>
                <w:rFonts w:ascii="Arial" w:hAnsi="Arial" w:cs="Arial"/>
                <w:color w:val="000000"/>
                <w:sz w:val="16"/>
                <w:szCs w:val="16"/>
              </w:rPr>
              <w:t>Optimum use and occupation of WIPO premises and all types of space</w:t>
            </w:r>
          </w:p>
        </w:tc>
        <w:tc>
          <w:tcPr>
            <w:tcW w:w="1585" w:type="pct"/>
            <w:shd w:val="clear" w:color="auto" w:fill="FFFFFF"/>
            <w:tcMar>
              <w:top w:w="85" w:type="dxa"/>
              <w:bottom w:w="85" w:type="dxa"/>
            </w:tcMar>
          </w:tcPr>
          <w:p w14:paraId="0649B439" w14:textId="77777777" w:rsidR="00292B80" w:rsidRPr="003253B4" w:rsidRDefault="00292B80" w:rsidP="005A1F7F">
            <w:pPr>
              <w:ind w:left="821"/>
              <w:rPr>
                <w:rFonts w:ascii="Arial" w:hAnsi="Arial" w:cs="Arial"/>
                <w:sz w:val="16"/>
                <w:szCs w:val="16"/>
                <w:lang w:bidi="th-TH"/>
              </w:rPr>
            </w:pPr>
            <w:r>
              <w:rPr>
                <w:rFonts w:ascii="Arial" w:hAnsi="Arial" w:cs="Arial"/>
                <w:sz w:val="16"/>
                <w:szCs w:val="16"/>
                <w:lang w:bidi="th-TH"/>
              </w:rPr>
              <w:t xml:space="preserve">  Program 24</w:t>
            </w:r>
          </w:p>
        </w:tc>
      </w:tr>
      <w:tr w:rsidR="00E85E73" w:rsidRPr="00AF5E7C" w14:paraId="3050F143" w14:textId="77777777" w:rsidTr="00C84440">
        <w:trPr>
          <w:cantSplit/>
          <w:trHeight w:val="378"/>
        </w:trPr>
        <w:tc>
          <w:tcPr>
            <w:tcW w:w="1891" w:type="pct"/>
            <w:shd w:val="clear" w:color="auto" w:fill="auto"/>
            <w:tcMar>
              <w:top w:w="85" w:type="dxa"/>
              <w:bottom w:w="85" w:type="dxa"/>
            </w:tcMar>
          </w:tcPr>
          <w:p w14:paraId="71A341BA" w14:textId="77777777" w:rsidR="00E85E73" w:rsidRPr="00D81234" w:rsidRDefault="00E85E73" w:rsidP="005A1F7F">
            <w:pPr>
              <w:rPr>
                <w:rFonts w:ascii="Arial" w:hAnsi="Arial" w:cs="Arial"/>
                <w:sz w:val="16"/>
                <w:szCs w:val="16"/>
              </w:rPr>
            </w:pPr>
          </w:p>
        </w:tc>
        <w:tc>
          <w:tcPr>
            <w:tcW w:w="1524" w:type="pct"/>
            <w:shd w:val="clear" w:color="auto" w:fill="auto"/>
            <w:tcMar>
              <w:top w:w="85" w:type="dxa"/>
              <w:bottom w:w="85" w:type="dxa"/>
            </w:tcMar>
          </w:tcPr>
          <w:p w14:paraId="1F1D5E48" w14:textId="53F72041" w:rsidR="00E85E73" w:rsidRDefault="004457DB">
            <w:pPr>
              <w:rPr>
                <w:rFonts w:ascii="Arial" w:hAnsi="Arial" w:cs="Arial"/>
                <w:color w:val="000000"/>
                <w:sz w:val="16"/>
                <w:szCs w:val="16"/>
              </w:rPr>
            </w:pPr>
            <w:r>
              <w:rPr>
                <w:rFonts w:ascii="Arial" w:eastAsia="Times New Roman" w:hAnsi="Arial" w:cs="Arial"/>
                <w:color w:val="000000"/>
                <w:sz w:val="16"/>
                <w:szCs w:val="16"/>
              </w:rPr>
              <w:t xml:space="preserve">% of high value items (e.g &gt;5,000 </w:t>
            </w:r>
            <w:r w:rsidR="003736E0">
              <w:rPr>
                <w:rFonts w:ascii="Arial" w:eastAsia="Times New Roman" w:hAnsi="Arial" w:cs="Arial"/>
                <w:color w:val="000000"/>
                <w:sz w:val="16"/>
                <w:szCs w:val="16"/>
              </w:rPr>
              <w:t>Swiss francs</w:t>
            </w:r>
            <w:r>
              <w:rPr>
                <w:rFonts w:ascii="Arial" w:eastAsia="Times New Roman" w:hAnsi="Arial" w:cs="Arial"/>
                <w:color w:val="000000"/>
                <w:sz w:val="16"/>
                <w:szCs w:val="16"/>
              </w:rPr>
              <w:t>) inventoried</w:t>
            </w:r>
          </w:p>
        </w:tc>
        <w:tc>
          <w:tcPr>
            <w:tcW w:w="1585" w:type="pct"/>
            <w:shd w:val="clear" w:color="auto" w:fill="FFFFFF"/>
            <w:tcMar>
              <w:top w:w="85" w:type="dxa"/>
              <w:bottom w:w="85" w:type="dxa"/>
            </w:tcMar>
          </w:tcPr>
          <w:p w14:paraId="44B6B52A" w14:textId="4DAA5720" w:rsidR="00E85E73" w:rsidRDefault="004457DB" w:rsidP="005A1F7F">
            <w:pPr>
              <w:ind w:left="821"/>
              <w:rPr>
                <w:rFonts w:ascii="Arial" w:hAnsi="Arial" w:cs="Arial"/>
                <w:sz w:val="16"/>
                <w:szCs w:val="16"/>
                <w:lang w:bidi="th-TH"/>
              </w:rPr>
            </w:pPr>
            <w:r>
              <w:rPr>
                <w:rFonts w:ascii="Arial" w:hAnsi="Arial" w:cs="Arial"/>
                <w:sz w:val="16"/>
                <w:szCs w:val="16"/>
                <w:lang w:bidi="th-TH"/>
              </w:rPr>
              <w:t xml:space="preserve">  Program 24</w:t>
            </w:r>
          </w:p>
        </w:tc>
      </w:tr>
      <w:tr w:rsidR="00E85E73" w:rsidRPr="00AF5E7C" w14:paraId="54A99C53" w14:textId="77777777" w:rsidTr="00C84440">
        <w:trPr>
          <w:cantSplit/>
          <w:trHeight w:val="279"/>
        </w:trPr>
        <w:tc>
          <w:tcPr>
            <w:tcW w:w="1891" w:type="pct"/>
            <w:shd w:val="clear" w:color="auto" w:fill="auto"/>
            <w:tcMar>
              <w:top w:w="85" w:type="dxa"/>
              <w:bottom w:w="85" w:type="dxa"/>
            </w:tcMar>
          </w:tcPr>
          <w:p w14:paraId="4C29D361" w14:textId="77777777" w:rsidR="00E85E73" w:rsidRPr="00D81234" w:rsidRDefault="00E85E73" w:rsidP="005A1F7F">
            <w:pPr>
              <w:rPr>
                <w:rFonts w:ascii="Arial" w:hAnsi="Arial" w:cs="Arial"/>
                <w:sz w:val="16"/>
                <w:szCs w:val="16"/>
              </w:rPr>
            </w:pPr>
          </w:p>
        </w:tc>
        <w:tc>
          <w:tcPr>
            <w:tcW w:w="1524" w:type="pct"/>
            <w:shd w:val="clear" w:color="auto" w:fill="auto"/>
            <w:tcMar>
              <w:top w:w="85" w:type="dxa"/>
              <w:bottom w:w="85" w:type="dxa"/>
            </w:tcMar>
          </w:tcPr>
          <w:p w14:paraId="7B9F08E0" w14:textId="4A9D434A" w:rsidR="00E85E73" w:rsidRDefault="004457DB">
            <w:pPr>
              <w:rPr>
                <w:rFonts w:ascii="Arial" w:hAnsi="Arial" w:cs="Arial"/>
                <w:color w:val="000000"/>
                <w:sz w:val="16"/>
                <w:szCs w:val="16"/>
              </w:rPr>
            </w:pPr>
            <w:r>
              <w:rPr>
                <w:rFonts w:ascii="Arial" w:eastAsia="Times New Roman" w:hAnsi="Arial" w:cs="Arial"/>
                <w:color w:val="000000"/>
                <w:sz w:val="16"/>
                <w:szCs w:val="16"/>
              </w:rPr>
              <w:t xml:space="preserve">% of value items 1,000-5,000 </w:t>
            </w:r>
            <w:r w:rsidR="003736E0">
              <w:rPr>
                <w:rFonts w:ascii="Arial" w:eastAsia="Times New Roman" w:hAnsi="Arial" w:cs="Arial"/>
                <w:color w:val="000000"/>
                <w:sz w:val="16"/>
                <w:szCs w:val="16"/>
              </w:rPr>
              <w:t>Swiss francs</w:t>
            </w:r>
            <w:r>
              <w:rPr>
                <w:rFonts w:ascii="Arial" w:eastAsia="Times New Roman" w:hAnsi="Arial" w:cs="Arial"/>
                <w:color w:val="000000"/>
                <w:sz w:val="16"/>
                <w:szCs w:val="16"/>
              </w:rPr>
              <w:t>, works of arts and attractive items</w:t>
            </w:r>
          </w:p>
        </w:tc>
        <w:tc>
          <w:tcPr>
            <w:tcW w:w="1585" w:type="pct"/>
            <w:shd w:val="clear" w:color="auto" w:fill="FFFFFF"/>
            <w:tcMar>
              <w:top w:w="85" w:type="dxa"/>
              <w:bottom w:w="85" w:type="dxa"/>
            </w:tcMar>
          </w:tcPr>
          <w:p w14:paraId="1F247502" w14:textId="1ADD3261" w:rsidR="00E85E73" w:rsidRDefault="004457DB" w:rsidP="005A1F7F">
            <w:pPr>
              <w:ind w:left="821"/>
              <w:rPr>
                <w:rFonts w:ascii="Arial" w:hAnsi="Arial" w:cs="Arial"/>
                <w:sz w:val="16"/>
                <w:szCs w:val="16"/>
                <w:lang w:bidi="th-TH"/>
              </w:rPr>
            </w:pPr>
            <w:r>
              <w:rPr>
                <w:rFonts w:ascii="Arial" w:hAnsi="Arial" w:cs="Arial"/>
                <w:sz w:val="16"/>
                <w:szCs w:val="16"/>
                <w:lang w:bidi="th-TH"/>
              </w:rPr>
              <w:t xml:space="preserve">  Program 24</w:t>
            </w:r>
          </w:p>
        </w:tc>
      </w:tr>
      <w:tr w:rsidR="00292B80" w:rsidRPr="00AF5E7C" w14:paraId="01701979" w14:textId="77777777" w:rsidTr="007536CC">
        <w:trPr>
          <w:cantSplit/>
          <w:trHeight w:val="516"/>
        </w:trPr>
        <w:tc>
          <w:tcPr>
            <w:tcW w:w="1891" w:type="pct"/>
            <w:shd w:val="clear" w:color="auto" w:fill="auto"/>
            <w:tcMar>
              <w:top w:w="85" w:type="dxa"/>
              <w:bottom w:w="85" w:type="dxa"/>
            </w:tcMar>
          </w:tcPr>
          <w:p w14:paraId="3D4EE76E"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17113AE2" w14:textId="77777777" w:rsidR="00292B80" w:rsidRPr="0070048B" w:rsidRDefault="00292B80" w:rsidP="005A1F7F">
            <w:pPr>
              <w:rPr>
                <w:rFonts w:ascii="Arial" w:hAnsi="Arial" w:cs="Arial"/>
                <w:bCs/>
                <w:sz w:val="16"/>
                <w:szCs w:val="16"/>
              </w:rPr>
            </w:pPr>
            <w:r>
              <w:rPr>
                <w:rFonts w:ascii="Arial" w:hAnsi="Arial" w:cs="Arial"/>
                <w:color w:val="000000"/>
                <w:sz w:val="16"/>
                <w:szCs w:val="16"/>
              </w:rPr>
              <w:t>ICT Platforms are cost-effectively hosted and managed in line with business demands</w:t>
            </w:r>
            <w:r w:rsidRPr="0070048B">
              <w:rPr>
                <w:rFonts w:ascii="Arial" w:hAnsi="Arial" w:cs="Arial"/>
                <w:bCs/>
                <w:sz w:val="16"/>
                <w:szCs w:val="16"/>
              </w:rPr>
              <w:t xml:space="preserve"> </w:t>
            </w:r>
          </w:p>
        </w:tc>
        <w:tc>
          <w:tcPr>
            <w:tcW w:w="1585" w:type="pct"/>
            <w:shd w:val="clear" w:color="auto" w:fill="FFFFFF"/>
            <w:tcMar>
              <w:top w:w="85" w:type="dxa"/>
              <w:bottom w:w="85" w:type="dxa"/>
            </w:tcMar>
          </w:tcPr>
          <w:p w14:paraId="0B0CB45D" w14:textId="77777777" w:rsidR="00292B80" w:rsidRDefault="00292B80" w:rsidP="005A1F7F">
            <w:pPr>
              <w:ind w:left="821"/>
              <w:rPr>
                <w:rFonts w:ascii="Arial" w:hAnsi="Arial" w:cs="Arial"/>
                <w:sz w:val="16"/>
                <w:szCs w:val="16"/>
                <w:lang w:bidi="th-TH"/>
              </w:rPr>
            </w:pPr>
            <w:r>
              <w:rPr>
                <w:rFonts w:ascii="Arial" w:hAnsi="Arial" w:cs="Arial"/>
                <w:sz w:val="16"/>
                <w:szCs w:val="16"/>
                <w:lang w:bidi="th-TH"/>
              </w:rPr>
              <w:t xml:space="preserve">  Program 25</w:t>
            </w:r>
          </w:p>
        </w:tc>
      </w:tr>
      <w:tr w:rsidR="00292B80" w:rsidRPr="00AF5E7C" w14:paraId="7DFA6C46" w14:textId="77777777" w:rsidTr="007536CC">
        <w:trPr>
          <w:cantSplit/>
          <w:trHeight w:val="516"/>
        </w:trPr>
        <w:tc>
          <w:tcPr>
            <w:tcW w:w="1891" w:type="pct"/>
            <w:shd w:val="clear" w:color="auto" w:fill="auto"/>
            <w:tcMar>
              <w:top w:w="85" w:type="dxa"/>
              <w:bottom w:w="85" w:type="dxa"/>
            </w:tcMar>
          </w:tcPr>
          <w:p w14:paraId="448DE796"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12FA3AEA" w14:textId="77777777" w:rsidR="00292B80" w:rsidRPr="0070048B" w:rsidRDefault="00292B80" w:rsidP="005A1F7F">
            <w:pPr>
              <w:rPr>
                <w:rFonts w:ascii="Arial" w:hAnsi="Arial" w:cs="Arial"/>
                <w:sz w:val="16"/>
                <w:szCs w:val="16"/>
              </w:rPr>
            </w:pPr>
            <w:r>
              <w:rPr>
                <w:rFonts w:ascii="Arial" w:hAnsi="Arial" w:cs="Arial"/>
                <w:color w:val="000000"/>
                <w:sz w:val="16"/>
                <w:szCs w:val="16"/>
              </w:rPr>
              <w:t>Application development activities adhere to the WIPO reference and master data standards</w:t>
            </w:r>
          </w:p>
        </w:tc>
        <w:tc>
          <w:tcPr>
            <w:tcW w:w="1585" w:type="pct"/>
            <w:shd w:val="clear" w:color="auto" w:fill="FFFFFF"/>
            <w:tcMar>
              <w:top w:w="85" w:type="dxa"/>
              <w:bottom w:w="85" w:type="dxa"/>
            </w:tcMar>
          </w:tcPr>
          <w:p w14:paraId="24B2E4A6" w14:textId="77777777" w:rsidR="00292B80" w:rsidRDefault="00292B80" w:rsidP="005A1F7F">
            <w:pPr>
              <w:ind w:left="821"/>
            </w:pPr>
            <w:r>
              <w:rPr>
                <w:rFonts w:ascii="Arial" w:hAnsi="Arial" w:cs="Arial"/>
                <w:sz w:val="16"/>
                <w:szCs w:val="16"/>
                <w:lang w:bidi="th-TH"/>
              </w:rPr>
              <w:t xml:space="preserve">  </w:t>
            </w:r>
            <w:r w:rsidRPr="00294C60">
              <w:rPr>
                <w:rFonts w:ascii="Arial" w:hAnsi="Arial" w:cs="Arial"/>
                <w:sz w:val="16"/>
                <w:szCs w:val="16"/>
                <w:lang w:bidi="th-TH"/>
              </w:rPr>
              <w:t>Program 25</w:t>
            </w:r>
          </w:p>
        </w:tc>
      </w:tr>
      <w:tr w:rsidR="00292B80" w:rsidRPr="00AF5E7C" w14:paraId="6436FB1E" w14:textId="77777777" w:rsidTr="007536CC">
        <w:trPr>
          <w:cantSplit/>
          <w:trHeight w:val="516"/>
        </w:trPr>
        <w:tc>
          <w:tcPr>
            <w:tcW w:w="1891" w:type="pct"/>
            <w:shd w:val="clear" w:color="auto" w:fill="auto"/>
            <w:tcMar>
              <w:top w:w="85" w:type="dxa"/>
              <w:bottom w:w="85" w:type="dxa"/>
            </w:tcMar>
          </w:tcPr>
          <w:p w14:paraId="0B18AD92"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4CC78258" w14:textId="77777777" w:rsidR="00292B80" w:rsidRPr="0070048B" w:rsidRDefault="00292B80" w:rsidP="005A1F7F">
            <w:pPr>
              <w:rPr>
                <w:rFonts w:ascii="Arial" w:hAnsi="Arial" w:cs="Arial"/>
                <w:sz w:val="16"/>
                <w:szCs w:val="16"/>
              </w:rPr>
            </w:pPr>
            <w:r>
              <w:rPr>
                <w:rFonts w:ascii="Arial" w:hAnsi="Arial" w:cs="Arial"/>
                <w:color w:val="000000"/>
                <w:sz w:val="16"/>
                <w:szCs w:val="16"/>
              </w:rPr>
              <w:t>ICT Projects are managed as per WIPO Project Management guidelines</w:t>
            </w:r>
          </w:p>
        </w:tc>
        <w:tc>
          <w:tcPr>
            <w:tcW w:w="1585" w:type="pct"/>
            <w:shd w:val="clear" w:color="auto" w:fill="FFFFFF"/>
            <w:tcMar>
              <w:top w:w="85" w:type="dxa"/>
              <w:bottom w:w="85" w:type="dxa"/>
            </w:tcMar>
          </w:tcPr>
          <w:p w14:paraId="1CE04EAD" w14:textId="77777777" w:rsidR="00292B80" w:rsidRDefault="00292B80" w:rsidP="005A1F7F">
            <w:pPr>
              <w:ind w:left="821"/>
            </w:pPr>
            <w:r>
              <w:rPr>
                <w:rFonts w:ascii="Arial" w:hAnsi="Arial" w:cs="Arial"/>
                <w:sz w:val="16"/>
                <w:szCs w:val="16"/>
                <w:lang w:bidi="th-TH"/>
              </w:rPr>
              <w:t xml:space="preserve">  </w:t>
            </w:r>
            <w:r w:rsidRPr="00294C60">
              <w:rPr>
                <w:rFonts w:ascii="Arial" w:hAnsi="Arial" w:cs="Arial"/>
                <w:sz w:val="16"/>
                <w:szCs w:val="16"/>
                <w:lang w:bidi="th-TH"/>
              </w:rPr>
              <w:t>Program 25</w:t>
            </w:r>
          </w:p>
        </w:tc>
      </w:tr>
      <w:tr w:rsidR="00292B80" w:rsidRPr="00AF5E7C" w14:paraId="7264A513" w14:textId="77777777" w:rsidTr="007536CC">
        <w:trPr>
          <w:cantSplit/>
          <w:trHeight w:val="348"/>
        </w:trPr>
        <w:tc>
          <w:tcPr>
            <w:tcW w:w="1891" w:type="pct"/>
            <w:shd w:val="clear" w:color="auto" w:fill="auto"/>
            <w:tcMar>
              <w:top w:w="85" w:type="dxa"/>
              <w:bottom w:w="85" w:type="dxa"/>
            </w:tcMar>
          </w:tcPr>
          <w:p w14:paraId="2C4C978D"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115EB40C" w14:textId="77777777" w:rsidR="00292B80" w:rsidRPr="0070048B" w:rsidRDefault="00292B80" w:rsidP="005A1F7F">
            <w:pPr>
              <w:rPr>
                <w:rFonts w:ascii="Arial" w:hAnsi="Arial" w:cs="Arial"/>
                <w:sz w:val="16"/>
                <w:szCs w:val="16"/>
              </w:rPr>
            </w:pPr>
            <w:r>
              <w:rPr>
                <w:rFonts w:ascii="Arial" w:hAnsi="Arial" w:cs="Arial"/>
                <w:color w:val="000000"/>
                <w:sz w:val="16"/>
                <w:szCs w:val="16"/>
              </w:rPr>
              <w:t>% of customers that are satisfied with the Service Desk services</w:t>
            </w:r>
          </w:p>
        </w:tc>
        <w:tc>
          <w:tcPr>
            <w:tcW w:w="1585" w:type="pct"/>
            <w:shd w:val="clear" w:color="auto" w:fill="FFFFFF"/>
            <w:tcMar>
              <w:top w:w="85" w:type="dxa"/>
              <w:bottom w:w="85" w:type="dxa"/>
            </w:tcMar>
          </w:tcPr>
          <w:p w14:paraId="792DF032" w14:textId="77777777" w:rsidR="00292B80" w:rsidRDefault="00292B80" w:rsidP="005A1F7F">
            <w:pPr>
              <w:ind w:left="821"/>
            </w:pPr>
            <w:r>
              <w:rPr>
                <w:rFonts w:ascii="Arial" w:hAnsi="Arial" w:cs="Arial"/>
                <w:sz w:val="16"/>
                <w:szCs w:val="16"/>
                <w:lang w:bidi="th-TH"/>
              </w:rPr>
              <w:t xml:space="preserve">  </w:t>
            </w:r>
            <w:r w:rsidRPr="00294C60">
              <w:rPr>
                <w:rFonts w:ascii="Arial" w:hAnsi="Arial" w:cs="Arial"/>
                <w:sz w:val="16"/>
                <w:szCs w:val="16"/>
                <w:lang w:bidi="th-TH"/>
              </w:rPr>
              <w:t>Program 25</w:t>
            </w:r>
          </w:p>
        </w:tc>
      </w:tr>
      <w:tr w:rsidR="00292B80" w:rsidRPr="00AF5E7C" w14:paraId="0D18E3C8" w14:textId="77777777" w:rsidTr="007536CC">
        <w:trPr>
          <w:cantSplit/>
          <w:trHeight w:val="516"/>
        </w:trPr>
        <w:tc>
          <w:tcPr>
            <w:tcW w:w="1891" w:type="pct"/>
            <w:shd w:val="clear" w:color="auto" w:fill="auto"/>
            <w:tcMar>
              <w:top w:w="85" w:type="dxa"/>
              <w:bottom w:w="85" w:type="dxa"/>
            </w:tcMar>
          </w:tcPr>
          <w:p w14:paraId="1A1DADEF"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7FA6702E" w14:textId="77777777" w:rsidR="00292B80" w:rsidRPr="0070048B" w:rsidRDefault="00292B80" w:rsidP="005A1F7F">
            <w:pPr>
              <w:rPr>
                <w:rFonts w:ascii="Arial" w:hAnsi="Arial"/>
                <w:color w:val="000000"/>
                <w:sz w:val="16"/>
                <w:szCs w:val="16"/>
              </w:rPr>
            </w:pPr>
            <w:r>
              <w:rPr>
                <w:rFonts w:ascii="Arial" w:hAnsi="Arial" w:cs="Arial"/>
                <w:color w:val="000000"/>
                <w:sz w:val="16"/>
                <w:szCs w:val="16"/>
              </w:rPr>
              <w:t>ICT Projects in WIPO are managed in accordance with the WIPO project management and service transition guidelines</w:t>
            </w:r>
          </w:p>
        </w:tc>
        <w:tc>
          <w:tcPr>
            <w:tcW w:w="1585" w:type="pct"/>
            <w:shd w:val="clear" w:color="auto" w:fill="FFFFFF"/>
            <w:tcMar>
              <w:top w:w="85" w:type="dxa"/>
              <w:bottom w:w="85" w:type="dxa"/>
            </w:tcMar>
          </w:tcPr>
          <w:p w14:paraId="2F2A840E" w14:textId="77777777" w:rsidR="00292B80" w:rsidRDefault="00292B80" w:rsidP="005A1F7F">
            <w:pPr>
              <w:ind w:left="821"/>
            </w:pPr>
            <w:r>
              <w:rPr>
                <w:rFonts w:ascii="Arial" w:hAnsi="Arial" w:cs="Arial"/>
                <w:sz w:val="16"/>
                <w:szCs w:val="16"/>
                <w:lang w:bidi="th-TH"/>
              </w:rPr>
              <w:t xml:space="preserve">  </w:t>
            </w:r>
            <w:r w:rsidRPr="00294C60">
              <w:rPr>
                <w:rFonts w:ascii="Arial" w:hAnsi="Arial" w:cs="Arial"/>
                <w:sz w:val="16"/>
                <w:szCs w:val="16"/>
                <w:lang w:bidi="th-TH"/>
              </w:rPr>
              <w:t>Program 25</w:t>
            </w:r>
          </w:p>
        </w:tc>
      </w:tr>
      <w:tr w:rsidR="00292B80" w:rsidRPr="00AF5E7C" w14:paraId="4C4EDBB0" w14:textId="77777777" w:rsidTr="007536CC">
        <w:trPr>
          <w:cantSplit/>
          <w:trHeight w:val="516"/>
        </w:trPr>
        <w:tc>
          <w:tcPr>
            <w:tcW w:w="1891" w:type="pct"/>
            <w:shd w:val="clear" w:color="auto" w:fill="auto"/>
            <w:tcMar>
              <w:top w:w="85" w:type="dxa"/>
              <w:bottom w:w="85" w:type="dxa"/>
            </w:tcMar>
          </w:tcPr>
          <w:p w14:paraId="0EE72934"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5524768C" w14:textId="77777777" w:rsidR="00292B80" w:rsidRPr="00014FF2" w:rsidRDefault="00292B80" w:rsidP="005A1F7F">
            <w:pPr>
              <w:rPr>
                <w:rFonts w:ascii="Arial" w:hAnsi="Arial" w:cs="Arial"/>
                <w:bCs/>
                <w:sz w:val="16"/>
                <w:szCs w:val="16"/>
              </w:rPr>
            </w:pPr>
            <w:r w:rsidRPr="00014FF2">
              <w:rPr>
                <w:rFonts w:ascii="Arial" w:hAnsi="Arial" w:cs="Arial"/>
                <w:color w:val="000000"/>
                <w:sz w:val="16"/>
                <w:szCs w:val="16"/>
              </w:rPr>
              <w:t>% of internal and external participants satisfied with WIPO Conference Services</w:t>
            </w:r>
          </w:p>
        </w:tc>
        <w:tc>
          <w:tcPr>
            <w:tcW w:w="1585" w:type="pct"/>
            <w:shd w:val="clear" w:color="auto" w:fill="FFFFFF"/>
            <w:tcMar>
              <w:top w:w="85" w:type="dxa"/>
              <w:bottom w:w="85" w:type="dxa"/>
            </w:tcMar>
          </w:tcPr>
          <w:p w14:paraId="72E4BDB6" w14:textId="77777777" w:rsidR="00292B80" w:rsidRDefault="00292B80" w:rsidP="005A1F7F">
            <w:pPr>
              <w:ind w:left="821"/>
              <w:rPr>
                <w:rFonts w:ascii="Arial" w:hAnsi="Arial" w:cs="Arial"/>
                <w:sz w:val="16"/>
                <w:szCs w:val="16"/>
                <w:lang w:bidi="th-TH"/>
              </w:rPr>
            </w:pPr>
            <w:r>
              <w:rPr>
                <w:rFonts w:ascii="Arial" w:hAnsi="Arial" w:cs="Arial"/>
                <w:sz w:val="16"/>
                <w:szCs w:val="16"/>
                <w:lang w:bidi="th-TH"/>
              </w:rPr>
              <w:t xml:space="preserve">  Program 27</w:t>
            </w:r>
          </w:p>
        </w:tc>
      </w:tr>
      <w:tr w:rsidR="00292B80" w:rsidRPr="00AF5E7C" w14:paraId="2CFF942C" w14:textId="77777777" w:rsidTr="007536CC">
        <w:trPr>
          <w:cantSplit/>
          <w:trHeight w:val="508"/>
        </w:trPr>
        <w:tc>
          <w:tcPr>
            <w:tcW w:w="1891" w:type="pct"/>
            <w:shd w:val="clear" w:color="auto" w:fill="auto"/>
            <w:tcMar>
              <w:top w:w="85" w:type="dxa"/>
              <w:bottom w:w="85" w:type="dxa"/>
            </w:tcMar>
          </w:tcPr>
          <w:p w14:paraId="084ED06C"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529E7EC6" w14:textId="77777777" w:rsidR="00292B80" w:rsidRPr="00014FF2" w:rsidRDefault="00292B80" w:rsidP="005A1F7F">
            <w:pPr>
              <w:rPr>
                <w:rFonts w:ascii="Arial" w:hAnsi="Arial" w:cs="Arial"/>
                <w:sz w:val="16"/>
                <w:szCs w:val="16"/>
              </w:rPr>
            </w:pPr>
            <w:r w:rsidRPr="00014FF2">
              <w:rPr>
                <w:rFonts w:ascii="Arial" w:hAnsi="Arial" w:cs="Arial"/>
                <w:color w:val="000000"/>
                <w:sz w:val="16"/>
                <w:szCs w:val="16"/>
              </w:rPr>
              <w:t>Effective implementation of WIPO Language Policy</w:t>
            </w:r>
          </w:p>
        </w:tc>
        <w:tc>
          <w:tcPr>
            <w:tcW w:w="1585" w:type="pct"/>
            <w:shd w:val="clear" w:color="auto" w:fill="FFFFFF"/>
            <w:tcMar>
              <w:top w:w="85" w:type="dxa"/>
              <w:bottom w:w="85" w:type="dxa"/>
            </w:tcMar>
          </w:tcPr>
          <w:p w14:paraId="25724CF8" w14:textId="77777777" w:rsidR="00292B80" w:rsidRDefault="00292B80" w:rsidP="005A1F7F">
            <w:pPr>
              <w:ind w:left="821"/>
            </w:pPr>
            <w:r>
              <w:rPr>
                <w:rFonts w:ascii="Arial" w:hAnsi="Arial" w:cs="Arial"/>
                <w:sz w:val="16"/>
                <w:szCs w:val="16"/>
                <w:lang w:bidi="th-TH"/>
              </w:rPr>
              <w:t xml:space="preserve">  </w:t>
            </w:r>
            <w:r w:rsidRPr="00F90173">
              <w:rPr>
                <w:rFonts w:ascii="Arial" w:hAnsi="Arial" w:cs="Arial"/>
                <w:sz w:val="16"/>
                <w:szCs w:val="16"/>
                <w:lang w:bidi="th-TH"/>
              </w:rPr>
              <w:t>Program 27</w:t>
            </w:r>
          </w:p>
        </w:tc>
      </w:tr>
      <w:tr w:rsidR="00292B80" w:rsidRPr="00AF5E7C" w14:paraId="031AF4E4" w14:textId="77777777" w:rsidTr="007536CC">
        <w:trPr>
          <w:cantSplit/>
          <w:trHeight w:val="362"/>
        </w:trPr>
        <w:tc>
          <w:tcPr>
            <w:tcW w:w="1891" w:type="pct"/>
            <w:shd w:val="clear" w:color="auto" w:fill="auto"/>
            <w:tcMar>
              <w:top w:w="85" w:type="dxa"/>
              <w:bottom w:w="85" w:type="dxa"/>
            </w:tcMar>
          </w:tcPr>
          <w:p w14:paraId="63E419CC"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40BEA1B1" w14:textId="77777777" w:rsidR="00292B80" w:rsidRPr="00014FF2" w:rsidRDefault="00292B80" w:rsidP="005A1F7F">
            <w:pPr>
              <w:rPr>
                <w:rFonts w:ascii="Arial" w:hAnsi="Arial" w:cs="Arial"/>
                <w:sz w:val="16"/>
                <w:szCs w:val="16"/>
              </w:rPr>
            </w:pPr>
            <w:r w:rsidRPr="00014FF2">
              <w:rPr>
                <w:rFonts w:ascii="Arial" w:hAnsi="Arial" w:cs="Arial"/>
                <w:color w:val="000000"/>
                <w:sz w:val="16"/>
                <w:szCs w:val="16"/>
              </w:rPr>
              <w:t>Reduction in printing costs (per page)</w:t>
            </w:r>
          </w:p>
        </w:tc>
        <w:tc>
          <w:tcPr>
            <w:tcW w:w="1585" w:type="pct"/>
            <w:shd w:val="clear" w:color="auto" w:fill="FFFFFF"/>
            <w:tcMar>
              <w:top w:w="85" w:type="dxa"/>
              <w:bottom w:w="85" w:type="dxa"/>
            </w:tcMar>
          </w:tcPr>
          <w:p w14:paraId="6C4DE36E" w14:textId="77777777" w:rsidR="00292B80" w:rsidRDefault="00292B80" w:rsidP="005A1F7F">
            <w:pPr>
              <w:ind w:left="821"/>
            </w:pPr>
            <w:r>
              <w:rPr>
                <w:rFonts w:ascii="Arial" w:hAnsi="Arial" w:cs="Arial"/>
                <w:sz w:val="16"/>
                <w:szCs w:val="16"/>
                <w:lang w:bidi="th-TH"/>
              </w:rPr>
              <w:t xml:space="preserve">  </w:t>
            </w:r>
            <w:r w:rsidRPr="00F90173">
              <w:rPr>
                <w:rFonts w:ascii="Arial" w:hAnsi="Arial" w:cs="Arial"/>
                <w:sz w:val="16"/>
                <w:szCs w:val="16"/>
                <w:lang w:bidi="th-TH"/>
              </w:rPr>
              <w:t>Program 27</w:t>
            </w:r>
          </w:p>
        </w:tc>
      </w:tr>
      <w:tr w:rsidR="00292B80" w:rsidRPr="00AF5E7C" w14:paraId="07508BC6" w14:textId="77777777" w:rsidTr="007536CC">
        <w:trPr>
          <w:cantSplit/>
          <w:trHeight w:val="516"/>
        </w:trPr>
        <w:tc>
          <w:tcPr>
            <w:tcW w:w="1891" w:type="pct"/>
            <w:shd w:val="clear" w:color="auto" w:fill="auto"/>
            <w:tcMar>
              <w:top w:w="85" w:type="dxa"/>
              <w:bottom w:w="85" w:type="dxa"/>
            </w:tcMar>
          </w:tcPr>
          <w:p w14:paraId="3C3180F5"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522CFE56" w14:textId="77777777" w:rsidR="00292B80" w:rsidRPr="00014FF2" w:rsidRDefault="00292B80" w:rsidP="005A1F7F">
            <w:pPr>
              <w:rPr>
                <w:rFonts w:ascii="Arial" w:hAnsi="Arial" w:cs="Arial"/>
                <w:sz w:val="16"/>
                <w:szCs w:val="16"/>
              </w:rPr>
            </w:pPr>
            <w:r w:rsidRPr="00014FF2">
              <w:rPr>
                <w:rFonts w:ascii="Arial" w:hAnsi="Arial" w:cs="Arial"/>
                <w:color w:val="000000"/>
                <w:sz w:val="16"/>
                <w:szCs w:val="16"/>
              </w:rPr>
              <w:t>Timely publication of documents for Committees and Working Groups</w:t>
            </w:r>
          </w:p>
        </w:tc>
        <w:tc>
          <w:tcPr>
            <w:tcW w:w="1585" w:type="pct"/>
            <w:shd w:val="clear" w:color="auto" w:fill="FFFFFF"/>
            <w:tcMar>
              <w:top w:w="85" w:type="dxa"/>
              <w:bottom w:w="85" w:type="dxa"/>
            </w:tcMar>
          </w:tcPr>
          <w:p w14:paraId="23261717" w14:textId="77777777" w:rsidR="00292B80" w:rsidRDefault="00292B80" w:rsidP="005A1F7F">
            <w:pPr>
              <w:ind w:left="821"/>
            </w:pPr>
            <w:r>
              <w:rPr>
                <w:rFonts w:ascii="Arial" w:hAnsi="Arial" w:cs="Arial"/>
                <w:sz w:val="16"/>
                <w:szCs w:val="16"/>
                <w:lang w:bidi="th-TH"/>
              </w:rPr>
              <w:t xml:space="preserve">  </w:t>
            </w:r>
            <w:r w:rsidRPr="00F90173">
              <w:rPr>
                <w:rFonts w:ascii="Arial" w:hAnsi="Arial" w:cs="Arial"/>
                <w:sz w:val="16"/>
                <w:szCs w:val="16"/>
                <w:lang w:bidi="th-TH"/>
              </w:rPr>
              <w:t>Program 27</w:t>
            </w:r>
          </w:p>
        </w:tc>
      </w:tr>
      <w:tr w:rsidR="00292B80" w:rsidRPr="00AF5E7C" w14:paraId="41BE0377" w14:textId="77777777" w:rsidTr="007536CC">
        <w:trPr>
          <w:cantSplit/>
          <w:trHeight w:val="366"/>
        </w:trPr>
        <w:tc>
          <w:tcPr>
            <w:tcW w:w="1891" w:type="pct"/>
            <w:shd w:val="clear" w:color="auto" w:fill="auto"/>
            <w:tcMar>
              <w:top w:w="85" w:type="dxa"/>
              <w:bottom w:w="85" w:type="dxa"/>
            </w:tcMar>
          </w:tcPr>
          <w:p w14:paraId="380EEA2C"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2F3A5926" w14:textId="77777777" w:rsidR="00292B80" w:rsidRPr="00014FF2" w:rsidRDefault="00292B80" w:rsidP="005A1F7F">
            <w:pPr>
              <w:rPr>
                <w:rFonts w:ascii="Arial" w:hAnsi="Arial" w:cs="Arial"/>
                <w:color w:val="000000"/>
                <w:sz w:val="16"/>
                <w:szCs w:val="16"/>
              </w:rPr>
            </w:pPr>
            <w:r w:rsidRPr="00014FF2">
              <w:rPr>
                <w:rFonts w:ascii="Arial" w:hAnsi="Arial" w:cs="Arial"/>
                <w:color w:val="000000"/>
                <w:sz w:val="16"/>
                <w:szCs w:val="16"/>
              </w:rPr>
              <w:t>Cost per word of translation</w:t>
            </w:r>
          </w:p>
        </w:tc>
        <w:tc>
          <w:tcPr>
            <w:tcW w:w="1585" w:type="pct"/>
            <w:shd w:val="clear" w:color="auto" w:fill="FFFFFF"/>
            <w:tcMar>
              <w:top w:w="85" w:type="dxa"/>
              <w:bottom w:w="85" w:type="dxa"/>
            </w:tcMar>
          </w:tcPr>
          <w:p w14:paraId="6C7AE55D" w14:textId="77777777" w:rsidR="00292B80" w:rsidRDefault="00292B80" w:rsidP="005A1F7F">
            <w:pPr>
              <w:ind w:left="821"/>
            </w:pPr>
            <w:r>
              <w:rPr>
                <w:rFonts w:ascii="Arial" w:hAnsi="Arial" w:cs="Arial"/>
                <w:sz w:val="16"/>
                <w:szCs w:val="16"/>
                <w:lang w:bidi="th-TH"/>
              </w:rPr>
              <w:t xml:space="preserve">  </w:t>
            </w:r>
            <w:r w:rsidRPr="00F90173">
              <w:rPr>
                <w:rFonts w:ascii="Arial" w:hAnsi="Arial" w:cs="Arial"/>
                <w:sz w:val="16"/>
                <w:szCs w:val="16"/>
                <w:lang w:bidi="th-TH"/>
              </w:rPr>
              <w:t>Program 27</w:t>
            </w:r>
          </w:p>
        </w:tc>
      </w:tr>
      <w:tr w:rsidR="00292B80" w:rsidRPr="00AF5E7C" w14:paraId="71B3E110" w14:textId="77777777" w:rsidTr="007536CC">
        <w:trPr>
          <w:cantSplit/>
          <w:trHeight w:val="504"/>
        </w:trPr>
        <w:tc>
          <w:tcPr>
            <w:tcW w:w="1891" w:type="pct"/>
            <w:shd w:val="clear" w:color="auto" w:fill="auto"/>
            <w:tcMar>
              <w:top w:w="85" w:type="dxa"/>
              <w:bottom w:w="85" w:type="dxa"/>
            </w:tcMar>
          </w:tcPr>
          <w:p w14:paraId="3197CE9D"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27DE2378" w14:textId="77777777" w:rsidR="00292B80" w:rsidRPr="00A61B81" w:rsidRDefault="00292B80" w:rsidP="005A1F7F">
            <w:pPr>
              <w:rPr>
                <w:rFonts w:ascii="Arial" w:hAnsi="Arial" w:cs="Arial"/>
                <w:color w:val="000000"/>
                <w:sz w:val="16"/>
                <w:szCs w:val="16"/>
              </w:rPr>
            </w:pPr>
            <w:r w:rsidRPr="00A61B81">
              <w:rPr>
                <w:rFonts w:ascii="Arial" w:hAnsi="Arial" w:cs="Arial"/>
                <w:color w:val="000000"/>
                <w:sz w:val="16"/>
                <w:szCs w:val="16"/>
              </w:rPr>
              <w:t>IA governance defined and enforced</w:t>
            </w:r>
          </w:p>
        </w:tc>
        <w:tc>
          <w:tcPr>
            <w:tcW w:w="1585" w:type="pct"/>
            <w:shd w:val="clear" w:color="auto" w:fill="FFFFFF"/>
            <w:tcMar>
              <w:top w:w="85" w:type="dxa"/>
              <w:bottom w:w="85" w:type="dxa"/>
            </w:tcMar>
          </w:tcPr>
          <w:p w14:paraId="1003828C" w14:textId="77777777" w:rsidR="00292B80" w:rsidRDefault="00292B80" w:rsidP="005A1F7F">
            <w:pPr>
              <w:ind w:left="821"/>
              <w:rPr>
                <w:rFonts w:ascii="Arial" w:hAnsi="Arial" w:cs="Arial"/>
                <w:sz w:val="16"/>
                <w:szCs w:val="16"/>
                <w:lang w:bidi="th-TH"/>
              </w:rPr>
            </w:pPr>
            <w:r>
              <w:rPr>
                <w:rFonts w:ascii="Arial" w:hAnsi="Arial" w:cs="Arial"/>
                <w:sz w:val="16"/>
                <w:szCs w:val="16"/>
                <w:lang w:bidi="th-TH"/>
              </w:rPr>
              <w:t xml:space="preserve">  Program 28 </w:t>
            </w:r>
          </w:p>
        </w:tc>
      </w:tr>
      <w:tr w:rsidR="00292B80" w:rsidRPr="00AF5E7C" w14:paraId="07C46603" w14:textId="77777777" w:rsidTr="007536CC">
        <w:trPr>
          <w:cantSplit/>
          <w:trHeight w:val="516"/>
        </w:trPr>
        <w:tc>
          <w:tcPr>
            <w:tcW w:w="1891" w:type="pct"/>
            <w:shd w:val="clear" w:color="auto" w:fill="auto"/>
            <w:tcMar>
              <w:top w:w="85" w:type="dxa"/>
              <w:bottom w:w="85" w:type="dxa"/>
            </w:tcMar>
          </w:tcPr>
          <w:p w14:paraId="1CCE2976" w14:textId="77777777" w:rsidR="00292B80" w:rsidRPr="00D81234" w:rsidRDefault="00292B80" w:rsidP="005A1F7F">
            <w:pPr>
              <w:rPr>
                <w:rFonts w:ascii="Arial" w:hAnsi="Arial" w:cs="Arial"/>
                <w:sz w:val="16"/>
                <w:szCs w:val="16"/>
              </w:rPr>
            </w:pPr>
          </w:p>
        </w:tc>
        <w:tc>
          <w:tcPr>
            <w:tcW w:w="1524" w:type="pct"/>
            <w:shd w:val="clear" w:color="auto" w:fill="auto"/>
            <w:tcMar>
              <w:top w:w="85" w:type="dxa"/>
              <w:bottom w:w="85" w:type="dxa"/>
            </w:tcMar>
          </w:tcPr>
          <w:p w14:paraId="2C195714" w14:textId="77777777" w:rsidR="00292B80" w:rsidRPr="008B0886" w:rsidRDefault="00292B80" w:rsidP="005A1F7F">
            <w:pPr>
              <w:rPr>
                <w:rFonts w:ascii="Arial" w:hAnsi="Arial" w:cs="Arial"/>
                <w:color w:val="000000"/>
                <w:sz w:val="16"/>
                <w:szCs w:val="16"/>
              </w:rPr>
            </w:pPr>
            <w:r w:rsidRPr="008B0886">
              <w:rPr>
                <w:rFonts w:ascii="Arial" w:hAnsi="Arial" w:cs="Arial"/>
                <w:color w:val="000000"/>
                <w:sz w:val="16"/>
                <w:szCs w:val="16"/>
              </w:rPr>
              <w:t>No. of staff aware of their information security responsibilities, security policies and best practices</w:t>
            </w:r>
          </w:p>
        </w:tc>
        <w:tc>
          <w:tcPr>
            <w:tcW w:w="1585" w:type="pct"/>
            <w:shd w:val="clear" w:color="auto" w:fill="FFFFFF"/>
            <w:tcMar>
              <w:top w:w="85" w:type="dxa"/>
              <w:bottom w:w="85" w:type="dxa"/>
            </w:tcMar>
          </w:tcPr>
          <w:p w14:paraId="632E717B" w14:textId="77777777" w:rsidR="00292B80" w:rsidRDefault="00292B80" w:rsidP="005A1F7F">
            <w:pPr>
              <w:ind w:left="821"/>
              <w:rPr>
                <w:rFonts w:ascii="Arial" w:hAnsi="Arial" w:cs="Arial"/>
                <w:sz w:val="16"/>
                <w:szCs w:val="16"/>
                <w:lang w:bidi="th-TH"/>
              </w:rPr>
            </w:pPr>
            <w:r>
              <w:rPr>
                <w:rFonts w:ascii="Arial" w:hAnsi="Arial" w:cs="Arial"/>
                <w:sz w:val="16"/>
                <w:szCs w:val="16"/>
                <w:lang w:bidi="th-TH"/>
              </w:rPr>
              <w:t xml:space="preserve">  Program 28</w:t>
            </w:r>
          </w:p>
        </w:tc>
      </w:tr>
      <w:tr w:rsidR="00292B80" w:rsidRPr="00AF5E7C" w14:paraId="2C002047" w14:textId="77777777" w:rsidTr="007536CC">
        <w:trPr>
          <w:cantSplit/>
          <w:trHeight w:val="516"/>
        </w:trPr>
        <w:tc>
          <w:tcPr>
            <w:tcW w:w="1891" w:type="pct"/>
            <w:shd w:val="clear" w:color="auto" w:fill="auto"/>
            <w:tcMar>
              <w:top w:w="85" w:type="dxa"/>
              <w:bottom w:w="85" w:type="dxa"/>
            </w:tcMar>
          </w:tcPr>
          <w:p w14:paraId="148A2AE7" w14:textId="2EF094B7" w:rsidR="00292B80" w:rsidRPr="00D81234" w:rsidRDefault="00292B80" w:rsidP="005A1F7F">
            <w:pPr>
              <w:rPr>
                <w:rFonts w:ascii="Arial" w:hAnsi="Arial" w:cs="Arial"/>
                <w:sz w:val="16"/>
                <w:szCs w:val="16"/>
              </w:rPr>
            </w:pPr>
            <w:r w:rsidRPr="00D81234">
              <w:rPr>
                <w:rFonts w:ascii="Arial" w:hAnsi="Arial" w:cs="Arial"/>
                <w:sz w:val="16"/>
                <w:szCs w:val="16"/>
              </w:rPr>
              <w:t xml:space="preserve">IX.2 </w:t>
            </w:r>
            <w:r>
              <w:rPr>
                <w:rFonts w:ascii="Arial" w:hAnsi="Arial" w:cs="Arial"/>
                <w:sz w:val="16"/>
                <w:szCs w:val="16"/>
              </w:rPr>
              <w:t xml:space="preserve"> </w:t>
            </w:r>
            <w:r w:rsidRPr="00D81234">
              <w:rPr>
                <w:rFonts w:ascii="Arial" w:hAnsi="Arial" w:cs="Arial"/>
                <w:sz w:val="16"/>
                <w:szCs w:val="16"/>
              </w:rPr>
              <w:t>A</w:t>
            </w:r>
            <w:r w:rsidR="00971715">
              <w:rPr>
                <w:rFonts w:ascii="Arial" w:hAnsi="Arial" w:cs="Arial"/>
                <w:sz w:val="16"/>
                <w:szCs w:val="16"/>
              </w:rPr>
              <w:t xml:space="preserve">n agile and </w:t>
            </w:r>
            <w:r w:rsidRPr="00D81234">
              <w:rPr>
                <w:rFonts w:ascii="Arial" w:hAnsi="Arial" w:cs="Arial"/>
                <w:sz w:val="16"/>
                <w:szCs w:val="16"/>
              </w:rPr>
              <w:t>smooth functioning Secretariat with a well</w:t>
            </w:r>
            <w:r w:rsidR="00971715">
              <w:rPr>
                <w:rFonts w:ascii="Arial" w:hAnsi="Arial" w:cs="Arial"/>
                <w:sz w:val="16"/>
                <w:szCs w:val="16"/>
              </w:rPr>
              <w:t>-</w:t>
            </w:r>
            <w:r w:rsidRPr="00D81234">
              <w:rPr>
                <w:rFonts w:ascii="Arial" w:hAnsi="Arial" w:cs="Arial"/>
                <w:sz w:val="16"/>
                <w:szCs w:val="16"/>
              </w:rPr>
              <w:t>managed and appropriately skilled workforce which is effectively delivering results</w:t>
            </w:r>
          </w:p>
        </w:tc>
        <w:tc>
          <w:tcPr>
            <w:tcW w:w="1524" w:type="pct"/>
            <w:shd w:val="clear" w:color="auto" w:fill="auto"/>
            <w:tcMar>
              <w:top w:w="85" w:type="dxa"/>
              <w:bottom w:w="85" w:type="dxa"/>
            </w:tcMar>
          </w:tcPr>
          <w:p w14:paraId="139CA109" w14:textId="77777777" w:rsidR="00292B80" w:rsidRPr="00D81234" w:rsidRDefault="00292B80" w:rsidP="005A1F7F">
            <w:pPr>
              <w:rPr>
                <w:rFonts w:ascii="Arial" w:hAnsi="Arial" w:cs="Arial"/>
                <w:sz w:val="16"/>
                <w:szCs w:val="16"/>
              </w:rPr>
            </w:pPr>
            <w:r w:rsidRPr="0077186F">
              <w:rPr>
                <w:rFonts w:ascii="Arial" w:hAnsi="Arial" w:cs="Arial"/>
                <w:color w:val="000000"/>
                <w:sz w:val="16"/>
                <w:szCs w:val="16"/>
              </w:rPr>
              <w:t>Establishment of a new Organizational Resilience and Business Continuity  framework and associated documentation</w:t>
            </w:r>
          </w:p>
        </w:tc>
        <w:tc>
          <w:tcPr>
            <w:tcW w:w="1585" w:type="pct"/>
            <w:shd w:val="clear" w:color="auto" w:fill="FFFFFF"/>
            <w:tcMar>
              <w:top w:w="85" w:type="dxa"/>
              <w:bottom w:w="85" w:type="dxa"/>
            </w:tcMar>
          </w:tcPr>
          <w:p w14:paraId="7ADA83D3" w14:textId="77777777" w:rsidR="00292B80" w:rsidRPr="00AF5E7C" w:rsidRDefault="00292B80" w:rsidP="005A1F7F">
            <w:pPr>
              <w:ind w:left="821"/>
              <w:rPr>
                <w:rFonts w:ascii="Arial" w:hAnsi="Arial" w:cs="Arial"/>
                <w:sz w:val="16"/>
                <w:szCs w:val="16"/>
                <w:lang w:bidi="th-TH"/>
              </w:rPr>
            </w:pPr>
            <w:r>
              <w:rPr>
                <w:rFonts w:ascii="Arial" w:hAnsi="Arial" w:cs="Arial"/>
                <w:sz w:val="16"/>
                <w:szCs w:val="16"/>
                <w:lang w:bidi="th-TH"/>
              </w:rPr>
              <w:t xml:space="preserve">  Program 21</w:t>
            </w:r>
          </w:p>
        </w:tc>
      </w:tr>
      <w:tr w:rsidR="00292B80" w:rsidRPr="00AF5E7C" w14:paraId="6165697F" w14:textId="77777777" w:rsidTr="007536CC">
        <w:trPr>
          <w:cantSplit/>
          <w:trHeight w:val="335"/>
        </w:trPr>
        <w:tc>
          <w:tcPr>
            <w:tcW w:w="1891" w:type="pct"/>
            <w:shd w:val="clear" w:color="auto" w:fill="auto"/>
            <w:tcMar>
              <w:top w:w="85" w:type="dxa"/>
              <w:bottom w:w="85" w:type="dxa"/>
            </w:tcMar>
          </w:tcPr>
          <w:p w14:paraId="1BE3098E" w14:textId="77777777" w:rsidR="00292B80" w:rsidRPr="00815648" w:rsidRDefault="00292B80" w:rsidP="005A1F7F">
            <w:pPr>
              <w:rPr>
                <w:rFonts w:ascii="Arial" w:hAnsi="Arial" w:cs="Arial"/>
                <w:sz w:val="16"/>
                <w:szCs w:val="16"/>
              </w:rPr>
            </w:pPr>
          </w:p>
        </w:tc>
        <w:tc>
          <w:tcPr>
            <w:tcW w:w="1524" w:type="pct"/>
            <w:shd w:val="clear" w:color="auto" w:fill="auto"/>
            <w:tcMar>
              <w:top w:w="85" w:type="dxa"/>
              <w:bottom w:w="85" w:type="dxa"/>
            </w:tcMar>
          </w:tcPr>
          <w:p w14:paraId="6FF2442E" w14:textId="77777777" w:rsidR="00292B80" w:rsidRPr="00815648" w:rsidRDefault="00292B80" w:rsidP="005A1F7F">
            <w:pPr>
              <w:rPr>
                <w:rFonts w:ascii="Arial" w:hAnsi="Arial" w:cs="Arial"/>
                <w:sz w:val="16"/>
                <w:szCs w:val="16"/>
              </w:rPr>
            </w:pPr>
            <w:r w:rsidRPr="00860634">
              <w:rPr>
                <w:rFonts w:ascii="Arial" w:hAnsi="Arial" w:cs="Arial"/>
                <w:color w:val="000000"/>
                <w:sz w:val="16"/>
                <w:szCs w:val="16"/>
              </w:rPr>
              <w:t>Satisfactory financial report from the External Auditors confirms the conformity of financial operations to the provisions of the applicable WIPO conventions and treaties, the WIPO Financial Regulations and Rules and IPSAS</w:t>
            </w:r>
          </w:p>
        </w:tc>
        <w:tc>
          <w:tcPr>
            <w:tcW w:w="1585" w:type="pct"/>
            <w:shd w:val="clear" w:color="auto" w:fill="FFFFFF"/>
            <w:tcMar>
              <w:top w:w="85" w:type="dxa"/>
              <w:bottom w:w="85" w:type="dxa"/>
            </w:tcMar>
          </w:tcPr>
          <w:p w14:paraId="3C2E905F"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6EEE69AB" w14:textId="77777777" w:rsidTr="007536CC">
        <w:trPr>
          <w:cantSplit/>
          <w:trHeight w:val="335"/>
        </w:trPr>
        <w:tc>
          <w:tcPr>
            <w:tcW w:w="1891" w:type="pct"/>
            <w:shd w:val="clear" w:color="auto" w:fill="auto"/>
            <w:tcMar>
              <w:top w:w="85" w:type="dxa"/>
              <w:bottom w:w="85" w:type="dxa"/>
            </w:tcMar>
          </w:tcPr>
          <w:p w14:paraId="0A8D16F0" w14:textId="77777777" w:rsidR="00292B80" w:rsidRPr="00815648" w:rsidRDefault="00292B80" w:rsidP="005A1F7F">
            <w:pPr>
              <w:rPr>
                <w:rFonts w:ascii="Arial" w:hAnsi="Arial" w:cs="Arial"/>
                <w:sz w:val="16"/>
                <w:szCs w:val="16"/>
              </w:rPr>
            </w:pPr>
          </w:p>
        </w:tc>
        <w:tc>
          <w:tcPr>
            <w:tcW w:w="1524" w:type="pct"/>
            <w:shd w:val="clear" w:color="auto" w:fill="auto"/>
            <w:tcMar>
              <w:top w:w="85" w:type="dxa"/>
              <w:bottom w:w="85" w:type="dxa"/>
            </w:tcMar>
          </w:tcPr>
          <w:p w14:paraId="61B5BAF2" w14:textId="77777777" w:rsidR="00292B80" w:rsidRPr="00815648" w:rsidRDefault="00292B80" w:rsidP="005A1F7F">
            <w:pPr>
              <w:rPr>
                <w:rFonts w:ascii="Arial" w:hAnsi="Arial" w:cs="Arial"/>
                <w:sz w:val="16"/>
                <w:szCs w:val="16"/>
              </w:rPr>
            </w:pPr>
            <w:r w:rsidRPr="00860634">
              <w:rPr>
                <w:rFonts w:ascii="Arial" w:hAnsi="Arial" w:cs="Arial"/>
                <w:color w:val="000000"/>
                <w:sz w:val="16"/>
                <w:szCs w:val="16"/>
              </w:rPr>
              <w:t>Enhanced maturity of managing for results (RBM)</w:t>
            </w:r>
          </w:p>
        </w:tc>
        <w:tc>
          <w:tcPr>
            <w:tcW w:w="1585" w:type="pct"/>
            <w:shd w:val="clear" w:color="auto" w:fill="FFFFFF"/>
            <w:tcMar>
              <w:top w:w="85" w:type="dxa"/>
              <w:bottom w:w="85" w:type="dxa"/>
            </w:tcMar>
          </w:tcPr>
          <w:p w14:paraId="13D1B3E1"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37B3C689" w14:textId="77777777" w:rsidTr="007536CC">
        <w:trPr>
          <w:cantSplit/>
          <w:trHeight w:val="335"/>
        </w:trPr>
        <w:tc>
          <w:tcPr>
            <w:tcW w:w="1891" w:type="pct"/>
            <w:shd w:val="clear" w:color="auto" w:fill="auto"/>
            <w:tcMar>
              <w:top w:w="85" w:type="dxa"/>
              <w:bottom w:w="85" w:type="dxa"/>
            </w:tcMar>
          </w:tcPr>
          <w:p w14:paraId="4B58C865" w14:textId="77777777" w:rsidR="00292B80" w:rsidRPr="00815648" w:rsidRDefault="00292B80" w:rsidP="005A1F7F">
            <w:pPr>
              <w:rPr>
                <w:rFonts w:ascii="Arial" w:hAnsi="Arial" w:cs="Arial"/>
                <w:sz w:val="16"/>
                <w:szCs w:val="16"/>
              </w:rPr>
            </w:pPr>
          </w:p>
        </w:tc>
        <w:tc>
          <w:tcPr>
            <w:tcW w:w="1524" w:type="pct"/>
            <w:shd w:val="clear" w:color="auto" w:fill="auto"/>
            <w:tcMar>
              <w:top w:w="85" w:type="dxa"/>
              <w:bottom w:w="85" w:type="dxa"/>
            </w:tcMar>
          </w:tcPr>
          <w:p w14:paraId="280CAD86" w14:textId="77777777" w:rsidR="00292B80" w:rsidRPr="00815648" w:rsidRDefault="00292B80" w:rsidP="005A1F7F">
            <w:pPr>
              <w:rPr>
                <w:rFonts w:ascii="Arial" w:hAnsi="Arial" w:cs="Arial"/>
                <w:sz w:val="16"/>
                <w:szCs w:val="16"/>
              </w:rPr>
            </w:pPr>
            <w:r w:rsidRPr="00860634">
              <w:rPr>
                <w:rFonts w:ascii="Arial" w:hAnsi="Arial" w:cs="Arial"/>
                <w:color w:val="000000"/>
                <w:sz w:val="16"/>
                <w:szCs w:val="16"/>
              </w:rPr>
              <w:t>Return on invested funds in line with benchmarks established by the Investment Advisory Committee (IAC)</w:t>
            </w:r>
          </w:p>
        </w:tc>
        <w:tc>
          <w:tcPr>
            <w:tcW w:w="1585" w:type="pct"/>
            <w:shd w:val="clear" w:color="auto" w:fill="FFFFFF"/>
            <w:tcMar>
              <w:top w:w="85" w:type="dxa"/>
              <w:bottom w:w="85" w:type="dxa"/>
            </w:tcMar>
          </w:tcPr>
          <w:p w14:paraId="0969B790"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671FAC0F" w14:textId="77777777" w:rsidTr="007536CC">
        <w:trPr>
          <w:cantSplit/>
          <w:trHeight w:val="335"/>
        </w:trPr>
        <w:tc>
          <w:tcPr>
            <w:tcW w:w="1891" w:type="pct"/>
            <w:shd w:val="clear" w:color="auto" w:fill="auto"/>
            <w:tcMar>
              <w:top w:w="85" w:type="dxa"/>
              <w:bottom w:w="85" w:type="dxa"/>
            </w:tcMar>
          </w:tcPr>
          <w:p w14:paraId="06D44A98" w14:textId="77777777" w:rsidR="00292B80" w:rsidRPr="00815648" w:rsidRDefault="00292B80" w:rsidP="005A1F7F">
            <w:pPr>
              <w:rPr>
                <w:rFonts w:ascii="Arial" w:hAnsi="Arial" w:cs="Arial"/>
                <w:sz w:val="16"/>
                <w:szCs w:val="16"/>
              </w:rPr>
            </w:pPr>
          </w:p>
        </w:tc>
        <w:tc>
          <w:tcPr>
            <w:tcW w:w="1524" w:type="pct"/>
            <w:shd w:val="clear" w:color="auto" w:fill="auto"/>
            <w:tcMar>
              <w:top w:w="85" w:type="dxa"/>
              <w:bottom w:w="85" w:type="dxa"/>
            </w:tcMar>
          </w:tcPr>
          <w:p w14:paraId="193E4E03" w14:textId="77777777" w:rsidR="00292B80" w:rsidRPr="00603C51" w:rsidRDefault="00292B80" w:rsidP="005A1F7F">
            <w:pPr>
              <w:rPr>
                <w:rFonts w:ascii="Arial" w:hAnsi="Arial" w:cs="Arial"/>
                <w:sz w:val="16"/>
                <w:szCs w:val="16"/>
              </w:rPr>
            </w:pPr>
            <w:r w:rsidRPr="00860634">
              <w:rPr>
                <w:rFonts w:ascii="Arial" w:hAnsi="Arial" w:cs="Arial"/>
                <w:color w:val="000000"/>
                <w:sz w:val="16"/>
                <w:szCs w:val="16"/>
              </w:rPr>
              <w:t>Effectiv</w:t>
            </w:r>
            <w:r>
              <w:rPr>
                <w:rFonts w:ascii="Arial" w:hAnsi="Arial" w:cs="Arial"/>
                <w:color w:val="000000"/>
                <w:sz w:val="16"/>
                <w:szCs w:val="16"/>
              </w:rPr>
              <w:t>e management of expenditure and</w:t>
            </w:r>
            <w:r w:rsidRPr="00860634">
              <w:rPr>
                <w:rFonts w:ascii="Arial" w:hAnsi="Arial" w:cs="Arial"/>
                <w:color w:val="000000"/>
                <w:sz w:val="16"/>
                <w:szCs w:val="16"/>
              </w:rPr>
              <w:t xml:space="preserve"> reserves</w:t>
            </w:r>
          </w:p>
        </w:tc>
        <w:tc>
          <w:tcPr>
            <w:tcW w:w="1585" w:type="pct"/>
            <w:shd w:val="clear" w:color="auto" w:fill="FFFFFF"/>
            <w:tcMar>
              <w:top w:w="85" w:type="dxa"/>
              <w:bottom w:w="85" w:type="dxa"/>
            </w:tcMar>
          </w:tcPr>
          <w:p w14:paraId="064383B0"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12D1975C" w14:textId="77777777" w:rsidTr="007536CC">
        <w:trPr>
          <w:cantSplit/>
          <w:trHeight w:val="335"/>
        </w:trPr>
        <w:tc>
          <w:tcPr>
            <w:tcW w:w="1891" w:type="pct"/>
            <w:shd w:val="clear" w:color="auto" w:fill="auto"/>
            <w:tcMar>
              <w:top w:w="85" w:type="dxa"/>
              <w:bottom w:w="85" w:type="dxa"/>
            </w:tcMar>
          </w:tcPr>
          <w:p w14:paraId="4518B356" w14:textId="77777777" w:rsidR="00292B80" w:rsidRPr="00815648" w:rsidRDefault="00292B80" w:rsidP="005A1F7F">
            <w:pPr>
              <w:rPr>
                <w:rFonts w:ascii="Arial" w:hAnsi="Arial" w:cs="Arial"/>
                <w:sz w:val="16"/>
                <w:szCs w:val="16"/>
              </w:rPr>
            </w:pPr>
          </w:p>
        </w:tc>
        <w:tc>
          <w:tcPr>
            <w:tcW w:w="1524" w:type="pct"/>
            <w:shd w:val="clear" w:color="auto" w:fill="auto"/>
            <w:tcMar>
              <w:top w:w="85" w:type="dxa"/>
              <w:bottom w:w="85" w:type="dxa"/>
            </w:tcMar>
          </w:tcPr>
          <w:p w14:paraId="5FA4B5B2" w14:textId="77777777" w:rsidR="00292B80" w:rsidRPr="00513D62" w:rsidRDefault="00292B80" w:rsidP="005A1F7F">
            <w:pPr>
              <w:rPr>
                <w:rFonts w:ascii="Arial" w:hAnsi="Arial" w:cs="Arial"/>
                <w:sz w:val="16"/>
                <w:szCs w:val="16"/>
              </w:rPr>
            </w:pPr>
            <w:r w:rsidRPr="00860634">
              <w:rPr>
                <w:rFonts w:ascii="Arial" w:hAnsi="Arial" w:cs="Arial"/>
                <w:color w:val="000000"/>
                <w:sz w:val="16"/>
                <w:szCs w:val="16"/>
              </w:rPr>
              <w:t>Payments (including Madrid and Hague fees) made on time</w:t>
            </w:r>
          </w:p>
        </w:tc>
        <w:tc>
          <w:tcPr>
            <w:tcW w:w="1585" w:type="pct"/>
            <w:shd w:val="clear" w:color="auto" w:fill="FFFFFF"/>
            <w:tcMar>
              <w:top w:w="85" w:type="dxa"/>
              <w:bottom w:w="85" w:type="dxa"/>
            </w:tcMar>
          </w:tcPr>
          <w:p w14:paraId="4CDB4421"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26B50CE5" w14:textId="77777777" w:rsidTr="007536CC">
        <w:trPr>
          <w:cantSplit/>
          <w:trHeight w:val="335"/>
        </w:trPr>
        <w:tc>
          <w:tcPr>
            <w:tcW w:w="1891" w:type="pct"/>
            <w:shd w:val="clear" w:color="auto" w:fill="auto"/>
            <w:tcMar>
              <w:top w:w="85" w:type="dxa"/>
              <w:bottom w:w="85" w:type="dxa"/>
            </w:tcMar>
          </w:tcPr>
          <w:p w14:paraId="0DA85115"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0D3B5000" w14:textId="77777777" w:rsidR="00292B80" w:rsidRPr="00D86A6F" w:rsidRDefault="00292B80" w:rsidP="005A1F7F">
            <w:pPr>
              <w:rPr>
                <w:rFonts w:ascii="Arial" w:hAnsi="Arial" w:cs="Arial"/>
                <w:color w:val="000000"/>
                <w:sz w:val="16"/>
                <w:szCs w:val="16"/>
              </w:rPr>
            </w:pPr>
            <w:r w:rsidRPr="00D86A6F">
              <w:rPr>
                <w:rFonts w:ascii="Arial" w:hAnsi="Arial" w:cs="Arial"/>
                <w:color w:val="000000"/>
                <w:sz w:val="16"/>
                <w:szCs w:val="16"/>
              </w:rPr>
              <w:t xml:space="preserve">% of women in professional and higher positions </w:t>
            </w:r>
          </w:p>
          <w:p w14:paraId="3778BA69" w14:textId="77777777" w:rsidR="00292B80" w:rsidRPr="00336796" w:rsidRDefault="00292B80" w:rsidP="005A1F7F">
            <w:pPr>
              <w:rPr>
                <w:rFonts w:ascii="Arial" w:hAnsi="Arial" w:cs="Arial"/>
                <w:sz w:val="16"/>
                <w:szCs w:val="16"/>
              </w:rPr>
            </w:pPr>
          </w:p>
        </w:tc>
        <w:tc>
          <w:tcPr>
            <w:tcW w:w="1585" w:type="pct"/>
            <w:shd w:val="clear" w:color="auto" w:fill="FFFFFF"/>
            <w:tcMar>
              <w:top w:w="85" w:type="dxa"/>
              <w:bottom w:w="85" w:type="dxa"/>
            </w:tcMar>
          </w:tcPr>
          <w:p w14:paraId="2D9420A4" w14:textId="77777777" w:rsidR="00292B80" w:rsidRDefault="00292B80" w:rsidP="005A1F7F">
            <w:pPr>
              <w:ind w:left="821"/>
              <w:rPr>
                <w:rFonts w:ascii="Arial" w:hAnsi="Arial" w:cs="Arial"/>
                <w:sz w:val="16"/>
                <w:szCs w:val="16"/>
                <w:lang w:bidi="th-TH"/>
              </w:rPr>
            </w:pPr>
            <w:r>
              <w:rPr>
                <w:rFonts w:ascii="Arial" w:hAnsi="Arial" w:cs="Arial"/>
                <w:sz w:val="16"/>
                <w:szCs w:val="16"/>
              </w:rPr>
              <w:t xml:space="preserve">  Program 23</w:t>
            </w:r>
          </w:p>
        </w:tc>
      </w:tr>
      <w:tr w:rsidR="00292B80" w:rsidRPr="00AF5E7C" w14:paraId="4F046C8B" w14:textId="77777777" w:rsidTr="007536CC">
        <w:trPr>
          <w:cantSplit/>
          <w:trHeight w:val="335"/>
        </w:trPr>
        <w:tc>
          <w:tcPr>
            <w:tcW w:w="1891" w:type="pct"/>
            <w:shd w:val="clear" w:color="auto" w:fill="auto"/>
            <w:tcMar>
              <w:top w:w="85" w:type="dxa"/>
              <w:bottom w:w="85" w:type="dxa"/>
            </w:tcMar>
          </w:tcPr>
          <w:p w14:paraId="0ABC7474"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7ACC2FA6" w14:textId="77777777" w:rsidR="00292B80" w:rsidRPr="00336796" w:rsidRDefault="00292B80" w:rsidP="005A1F7F">
            <w:pPr>
              <w:rPr>
                <w:rFonts w:ascii="Arial" w:hAnsi="Arial" w:cs="Arial"/>
                <w:sz w:val="16"/>
                <w:szCs w:val="16"/>
              </w:rPr>
            </w:pPr>
            <w:r w:rsidRPr="00E62EB2">
              <w:rPr>
                <w:rFonts w:ascii="Arial" w:hAnsi="Arial" w:cs="Arial"/>
                <w:color w:val="000000"/>
                <w:sz w:val="16"/>
                <w:szCs w:val="16"/>
              </w:rPr>
              <w:t>Recruitment lead time</w:t>
            </w:r>
          </w:p>
        </w:tc>
        <w:tc>
          <w:tcPr>
            <w:tcW w:w="1585" w:type="pct"/>
            <w:shd w:val="clear" w:color="auto" w:fill="FFFFFF"/>
            <w:tcMar>
              <w:top w:w="85" w:type="dxa"/>
              <w:bottom w:w="85" w:type="dxa"/>
            </w:tcMar>
          </w:tcPr>
          <w:p w14:paraId="064CE546" w14:textId="77777777" w:rsidR="00292B80" w:rsidRDefault="00292B80" w:rsidP="005A1F7F">
            <w:pPr>
              <w:ind w:left="821"/>
            </w:pPr>
            <w:r>
              <w:rPr>
                <w:rFonts w:ascii="Arial" w:hAnsi="Arial" w:cs="Arial"/>
                <w:sz w:val="16"/>
                <w:szCs w:val="16"/>
              </w:rPr>
              <w:t xml:space="preserve">  </w:t>
            </w:r>
            <w:r w:rsidRPr="00856E91">
              <w:rPr>
                <w:rFonts w:ascii="Arial" w:hAnsi="Arial" w:cs="Arial"/>
                <w:sz w:val="16"/>
                <w:szCs w:val="16"/>
              </w:rPr>
              <w:t>Program 23</w:t>
            </w:r>
          </w:p>
        </w:tc>
      </w:tr>
      <w:tr w:rsidR="00292B80" w:rsidRPr="00AF5E7C" w14:paraId="0486EB60" w14:textId="77777777" w:rsidTr="007536CC">
        <w:trPr>
          <w:cantSplit/>
          <w:trHeight w:val="335"/>
        </w:trPr>
        <w:tc>
          <w:tcPr>
            <w:tcW w:w="1891" w:type="pct"/>
            <w:shd w:val="clear" w:color="auto" w:fill="auto"/>
            <w:tcMar>
              <w:top w:w="85" w:type="dxa"/>
              <w:bottom w:w="85" w:type="dxa"/>
            </w:tcMar>
          </w:tcPr>
          <w:p w14:paraId="77C50096"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5BB47081" w14:textId="77777777" w:rsidR="00292B80" w:rsidRPr="00336796" w:rsidRDefault="00292B80" w:rsidP="005A1F7F">
            <w:pPr>
              <w:rPr>
                <w:rFonts w:ascii="Arial" w:hAnsi="Arial" w:cs="Arial"/>
                <w:sz w:val="16"/>
                <w:szCs w:val="16"/>
              </w:rPr>
            </w:pPr>
            <w:r>
              <w:rPr>
                <w:rFonts w:ascii="Arial" w:hAnsi="Arial" w:cs="Arial"/>
                <w:color w:val="000000"/>
                <w:sz w:val="16"/>
                <w:szCs w:val="16"/>
              </w:rPr>
              <w:t xml:space="preserve">% of staff </w:t>
            </w:r>
            <w:r w:rsidRPr="00E62EB2">
              <w:rPr>
                <w:rFonts w:ascii="Arial" w:hAnsi="Arial" w:cs="Arial"/>
                <w:color w:val="000000"/>
                <w:sz w:val="16"/>
                <w:szCs w:val="16"/>
              </w:rPr>
              <w:t xml:space="preserve"> whose performance is evaluated against their individual objectives and competencies</w:t>
            </w:r>
          </w:p>
        </w:tc>
        <w:tc>
          <w:tcPr>
            <w:tcW w:w="1585" w:type="pct"/>
            <w:shd w:val="clear" w:color="auto" w:fill="FFFFFF"/>
            <w:tcMar>
              <w:top w:w="85" w:type="dxa"/>
              <w:bottom w:w="85" w:type="dxa"/>
            </w:tcMar>
          </w:tcPr>
          <w:p w14:paraId="344CE200" w14:textId="77777777" w:rsidR="00292B80" w:rsidRDefault="00292B80" w:rsidP="005A1F7F">
            <w:pPr>
              <w:ind w:left="821"/>
            </w:pPr>
            <w:r>
              <w:rPr>
                <w:rFonts w:ascii="Arial" w:hAnsi="Arial" w:cs="Arial"/>
                <w:sz w:val="16"/>
                <w:szCs w:val="16"/>
              </w:rPr>
              <w:t xml:space="preserve">  </w:t>
            </w:r>
            <w:r w:rsidRPr="00856E91">
              <w:rPr>
                <w:rFonts w:ascii="Arial" w:hAnsi="Arial" w:cs="Arial"/>
                <w:sz w:val="16"/>
                <w:szCs w:val="16"/>
              </w:rPr>
              <w:t>Program 23</w:t>
            </w:r>
          </w:p>
        </w:tc>
      </w:tr>
      <w:tr w:rsidR="00292B80" w:rsidRPr="00AF5E7C" w14:paraId="3FFDD19B" w14:textId="77777777" w:rsidTr="007536CC">
        <w:trPr>
          <w:cantSplit/>
          <w:trHeight w:val="335"/>
        </w:trPr>
        <w:tc>
          <w:tcPr>
            <w:tcW w:w="1891" w:type="pct"/>
            <w:shd w:val="clear" w:color="auto" w:fill="auto"/>
            <w:tcMar>
              <w:top w:w="85" w:type="dxa"/>
              <w:bottom w:w="85" w:type="dxa"/>
            </w:tcMar>
          </w:tcPr>
          <w:p w14:paraId="47007F64"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7923FE09" w14:textId="5E85EE4B" w:rsidR="00292B80" w:rsidRPr="00336796" w:rsidRDefault="00292B80">
            <w:pPr>
              <w:rPr>
                <w:rFonts w:ascii="Arial" w:hAnsi="Arial" w:cs="Arial"/>
                <w:sz w:val="16"/>
                <w:szCs w:val="16"/>
              </w:rPr>
            </w:pPr>
            <w:r>
              <w:rPr>
                <w:rFonts w:ascii="Arial" w:hAnsi="Arial" w:cs="Arial"/>
                <w:color w:val="000000"/>
                <w:sz w:val="16"/>
                <w:szCs w:val="16"/>
              </w:rPr>
              <w:t>No.</w:t>
            </w:r>
            <w:r w:rsidRPr="00E62EB2">
              <w:rPr>
                <w:rFonts w:ascii="Arial" w:hAnsi="Arial" w:cs="Arial"/>
                <w:color w:val="000000"/>
                <w:sz w:val="16"/>
                <w:szCs w:val="16"/>
              </w:rPr>
              <w:t xml:space="preserve"> of days to:</w:t>
            </w:r>
            <w:r w:rsidR="00E516AC">
              <w:rPr>
                <w:rFonts w:ascii="Arial" w:hAnsi="Arial" w:cs="Arial"/>
                <w:color w:val="000000"/>
                <w:sz w:val="16"/>
                <w:szCs w:val="16"/>
              </w:rPr>
              <w:t xml:space="preserve"> </w:t>
            </w:r>
            <w:r w:rsidRPr="00E62EB2">
              <w:rPr>
                <w:rFonts w:ascii="Arial" w:hAnsi="Arial" w:cs="Arial"/>
                <w:color w:val="000000"/>
                <w:sz w:val="16"/>
                <w:szCs w:val="16"/>
              </w:rPr>
              <w:t xml:space="preserve"> </w:t>
            </w:r>
            <w:r w:rsidR="00E516AC">
              <w:rPr>
                <w:rFonts w:ascii="Arial" w:hAnsi="Arial" w:cs="Arial"/>
                <w:color w:val="000000"/>
                <w:sz w:val="16"/>
                <w:szCs w:val="16"/>
              </w:rPr>
              <w:t>(</w:t>
            </w:r>
            <w:r w:rsidRPr="00E62EB2">
              <w:rPr>
                <w:rFonts w:ascii="Arial" w:hAnsi="Arial" w:cs="Arial"/>
                <w:color w:val="000000"/>
                <w:sz w:val="16"/>
                <w:szCs w:val="16"/>
              </w:rPr>
              <w:t>i) notify staff of decisions on RfR/grievances,</w:t>
            </w:r>
            <w:r w:rsidR="00E516AC">
              <w:rPr>
                <w:rFonts w:ascii="Arial" w:hAnsi="Arial" w:cs="Arial"/>
                <w:color w:val="000000"/>
                <w:sz w:val="16"/>
                <w:szCs w:val="16"/>
              </w:rPr>
              <w:t>(</w:t>
            </w:r>
            <w:r w:rsidRPr="00E62EB2">
              <w:rPr>
                <w:rFonts w:ascii="Arial" w:hAnsi="Arial" w:cs="Arial"/>
                <w:color w:val="000000"/>
                <w:sz w:val="16"/>
                <w:szCs w:val="16"/>
              </w:rPr>
              <w:t xml:space="preserve"> ii)</w:t>
            </w:r>
            <w:r w:rsidR="00E516AC">
              <w:rPr>
                <w:rFonts w:ascii="Arial" w:hAnsi="Arial" w:cs="Arial"/>
                <w:color w:val="000000"/>
                <w:sz w:val="16"/>
                <w:szCs w:val="16"/>
              </w:rPr>
              <w:t> </w:t>
            </w:r>
            <w:r w:rsidRPr="00E62EB2">
              <w:rPr>
                <w:rFonts w:ascii="Arial" w:hAnsi="Arial" w:cs="Arial"/>
                <w:color w:val="000000"/>
                <w:sz w:val="16"/>
                <w:szCs w:val="16"/>
              </w:rPr>
              <w:t xml:space="preserve">notify staff of decisions on rebuttals/disciplinary cases and </w:t>
            </w:r>
            <w:r w:rsidR="00E516AC">
              <w:rPr>
                <w:rFonts w:ascii="Arial" w:hAnsi="Arial" w:cs="Arial"/>
                <w:color w:val="000000"/>
                <w:sz w:val="16"/>
                <w:szCs w:val="16"/>
              </w:rPr>
              <w:t>(</w:t>
            </w:r>
            <w:r w:rsidRPr="00E62EB2">
              <w:rPr>
                <w:rFonts w:ascii="Arial" w:hAnsi="Arial" w:cs="Arial"/>
                <w:color w:val="000000"/>
                <w:sz w:val="16"/>
                <w:szCs w:val="16"/>
              </w:rPr>
              <w:t>iii) provide responses to requests for advice</w:t>
            </w:r>
          </w:p>
        </w:tc>
        <w:tc>
          <w:tcPr>
            <w:tcW w:w="1585" w:type="pct"/>
            <w:shd w:val="clear" w:color="auto" w:fill="FFFFFF"/>
            <w:tcMar>
              <w:top w:w="85" w:type="dxa"/>
              <w:bottom w:w="85" w:type="dxa"/>
            </w:tcMar>
          </w:tcPr>
          <w:p w14:paraId="74D58FE2" w14:textId="77777777" w:rsidR="00292B80" w:rsidRDefault="00292B80" w:rsidP="005A1F7F">
            <w:pPr>
              <w:ind w:left="821"/>
            </w:pPr>
            <w:r>
              <w:rPr>
                <w:rFonts w:ascii="Arial" w:hAnsi="Arial" w:cs="Arial"/>
                <w:sz w:val="16"/>
                <w:szCs w:val="16"/>
              </w:rPr>
              <w:t xml:space="preserve">  </w:t>
            </w:r>
            <w:r w:rsidRPr="00856E91">
              <w:rPr>
                <w:rFonts w:ascii="Arial" w:hAnsi="Arial" w:cs="Arial"/>
                <w:sz w:val="16"/>
                <w:szCs w:val="16"/>
              </w:rPr>
              <w:t>Program 23</w:t>
            </w:r>
          </w:p>
        </w:tc>
      </w:tr>
      <w:tr w:rsidR="00292B80" w:rsidRPr="00AF5E7C" w14:paraId="3C523F0F" w14:textId="77777777" w:rsidTr="007536CC">
        <w:trPr>
          <w:cantSplit/>
          <w:trHeight w:val="335"/>
        </w:trPr>
        <w:tc>
          <w:tcPr>
            <w:tcW w:w="1891" w:type="pct"/>
            <w:shd w:val="clear" w:color="auto" w:fill="auto"/>
            <w:tcMar>
              <w:top w:w="85" w:type="dxa"/>
              <w:bottom w:w="85" w:type="dxa"/>
            </w:tcMar>
          </w:tcPr>
          <w:p w14:paraId="075EEE92"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5FF3008C" w14:textId="77777777" w:rsidR="00292B80" w:rsidRPr="00336796" w:rsidRDefault="00292B80" w:rsidP="005A1F7F">
            <w:pPr>
              <w:rPr>
                <w:rFonts w:ascii="Arial" w:hAnsi="Arial"/>
                <w:color w:val="000000"/>
                <w:sz w:val="16"/>
                <w:szCs w:val="16"/>
              </w:rPr>
            </w:pPr>
            <w:r w:rsidRPr="00E62EB2">
              <w:rPr>
                <w:rFonts w:ascii="Arial" w:hAnsi="Arial" w:cs="Arial"/>
                <w:color w:val="000000"/>
                <w:sz w:val="16"/>
                <w:szCs w:val="16"/>
              </w:rPr>
              <w:t>Geographical diversity:% of Staff per region</w:t>
            </w:r>
          </w:p>
        </w:tc>
        <w:tc>
          <w:tcPr>
            <w:tcW w:w="1585" w:type="pct"/>
            <w:shd w:val="clear" w:color="auto" w:fill="FFFFFF"/>
            <w:tcMar>
              <w:top w:w="85" w:type="dxa"/>
              <w:bottom w:w="85" w:type="dxa"/>
            </w:tcMar>
          </w:tcPr>
          <w:p w14:paraId="0868ECD4" w14:textId="77777777" w:rsidR="00292B80" w:rsidRDefault="00292B80" w:rsidP="005A1F7F">
            <w:pPr>
              <w:ind w:left="821"/>
              <w:rPr>
                <w:rFonts w:ascii="Arial" w:hAnsi="Arial" w:cs="Arial"/>
                <w:sz w:val="16"/>
                <w:szCs w:val="16"/>
                <w:lang w:bidi="th-TH"/>
              </w:rPr>
            </w:pPr>
            <w:r>
              <w:rPr>
                <w:rFonts w:ascii="Arial" w:hAnsi="Arial" w:cs="Arial"/>
                <w:sz w:val="16"/>
                <w:szCs w:val="16"/>
              </w:rPr>
              <w:t xml:space="preserve">  Program 23</w:t>
            </w:r>
          </w:p>
        </w:tc>
      </w:tr>
      <w:tr w:rsidR="00292B80" w:rsidRPr="00AF5E7C" w14:paraId="37E67A98" w14:textId="77777777" w:rsidTr="007536CC">
        <w:trPr>
          <w:cantSplit/>
          <w:trHeight w:val="335"/>
        </w:trPr>
        <w:tc>
          <w:tcPr>
            <w:tcW w:w="1891" w:type="pct"/>
            <w:shd w:val="clear" w:color="auto" w:fill="auto"/>
            <w:tcMar>
              <w:top w:w="85" w:type="dxa"/>
              <w:bottom w:w="85" w:type="dxa"/>
            </w:tcMar>
          </w:tcPr>
          <w:p w14:paraId="3A49E536"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3FEB1C63" w14:textId="77777777" w:rsidR="00292B80" w:rsidRPr="00336796" w:rsidRDefault="00292B80" w:rsidP="005A1F7F">
            <w:pPr>
              <w:rPr>
                <w:rFonts w:ascii="Arial" w:hAnsi="Arial"/>
                <w:color w:val="000000"/>
                <w:sz w:val="16"/>
                <w:szCs w:val="16"/>
              </w:rPr>
            </w:pPr>
            <w:r w:rsidRPr="00E62EB2">
              <w:rPr>
                <w:rFonts w:ascii="Arial" w:hAnsi="Arial" w:cs="Arial"/>
                <w:color w:val="000000"/>
                <w:sz w:val="16"/>
                <w:szCs w:val="16"/>
              </w:rPr>
              <w:t>No. of applications received from unrepresented Member States as a % of total</w:t>
            </w:r>
          </w:p>
        </w:tc>
        <w:tc>
          <w:tcPr>
            <w:tcW w:w="1585" w:type="pct"/>
            <w:shd w:val="clear" w:color="auto" w:fill="FFFFFF"/>
            <w:tcMar>
              <w:top w:w="85" w:type="dxa"/>
              <w:bottom w:w="85" w:type="dxa"/>
            </w:tcMar>
          </w:tcPr>
          <w:p w14:paraId="39ACDEA7" w14:textId="77777777" w:rsidR="00292B80" w:rsidRDefault="00292B80" w:rsidP="005A1F7F">
            <w:pPr>
              <w:ind w:left="821"/>
              <w:rPr>
                <w:rFonts w:ascii="Arial" w:hAnsi="Arial" w:cs="Arial"/>
                <w:sz w:val="16"/>
                <w:szCs w:val="16"/>
              </w:rPr>
            </w:pPr>
            <w:r>
              <w:rPr>
                <w:rFonts w:ascii="Arial" w:hAnsi="Arial" w:cs="Arial"/>
                <w:sz w:val="16"/>
                <w:szCs w:val="16"/>
              </w:rPr>
              <w:t xml:space="preserve">  Program 23</w:t>
            </w:r>
          </w:p>
        </w:tc>
      </w:tr>
      <w:tr w:rsidR="00292B80" w:rsidRPr="00AF5E7C" w14:paraId="2700A92A" w14:textId="77777777" w:rsidTr="007536CC">
        <w:trPr>
          <w:cantSplit/>
          <w:trHeight w:val="335"/>
        </w:trPr>
        <w:tc>
          <w:tcPr>
            <w:tcW w:w="1891" w:type="pct"/>
            <w:shd w:val="clear" w:color="auto" w:fill="auto"/>
            <w:tcMar>
              <w:top w:w="85" w:type="dxa"/>
              <w:bottom w:w="85" w:type="dxa"/>
            </w:tcMar>
          </w:tcPr>
          <w:p w14:paraId="1FF9EF77"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52645E54" w14:textId="77777777" w:rsidR="00292B80" w:rsidRPr="00336796" w:rsidRDefault="00292B80" w:rsidP="005A1F7F">
            <w:pPr>
              <w:rPr>
                <w:rFonts w:ascii="Arial" w:hAnsi="Arial"/>
                <w:color w:val="000000"/>
                <w:sz w:val="16"/>
                <w:szCs w:val="16"/>
              </w:rPr>
            </w:pPr>
            <w:r w:rsidRPr="00E62EB2">
              <w:rPr>
                <w:rFonts w:ascii="Arial" w:hAnsi="Arial" w:cs="Arial"/>
                <w:color w:val="000000"/>
                <w:sz w:val="16"/>
                <w:szCs w:val="16"/>
              </w:rPr>
              <w:t>Enhanced maturity of HR Planning</w:t>
            </w:r>
          </w:p>
        </w:tc>
        <w:tc>
          <w:tcPr>
            <w:tcW w:w="1585" w:type="pct"/>
            <w:shd w:val="clear" w:color="auto" w:fill="FFFFFF"/>
            <w:tcMar>
              <w:top w:w="85" w:type="dxa"/>
              <w:bottom w:w="85" w:type="dxa"/>
            </w:tcMar>
          </w:tcPr>
          <w:p w14:paraId="6F839BE6" w14:textId="77777777" w:rsidR="00292B80" w:rsidRDefault="00292B80" w:rsidP="005A1F7F">
            <w:pPr>
              <w:ind w:left="963" w:hanging="142"/>
              <w:rPr>
                <w:rFonts w:ascii="Arial" w:hAnsi="Arial" w:cs="Arial"/>
                <w:sz w:val="16"/>
                <w:szCs w:val="16"/>
              </w:rPr>
            </w:pPr>
            <w:r>
              <w:rPr>
                <w:rFonts w:ascii="Arial" w:hAnsi="Arial" w:cs="Arial"/>
                <w:sz w:val="16"/>
                <w:szCs w:val="16"/>
              </w:rPr>
              <w:t xml:space="preserve">  Program 23</w:t>
            </w:r>
          </w:p>
        </w:tc>
      </w:tr>
      <w:tr w:rsidR="00292B80" w:rsidRPr="00AF5E7C" w14:paraId="77025266" w14:textId="77777777" w:rsidTr="007536CC">
        <w:trPr>
          <w:cantSplit/>
          <w:trHeight w:val="335"/>
        </w:trPr>
        <w:tc>
          <w:tcPr>
            <w:tcW w:w="1891" w:type="pct"/>
            <w:shd w:val="clear" w:color="auto" w:fill="auto"/>
            <w:tcMar>
              <w:top w:w="85" w:type="dxa"/>
              <w:bottom w:w="85" w:type="dxa"/>
            </w:tcMar>
          </w:tcPr>
          <w:p w14:paraId="5F66653B" w14:textId="77777777" w:rsidR="00292B80" w:rsidRPr="001316A4" w:rsidRDefault="00292B80" w:rsidP="005A1F7F">
            <w:pPr>
              <w:rPr>
                <w:rFonts w:ascii="Arial" w:hAnsi="Arial" w:cs="Arial"/>
                <w:sz w:val="16"/>
                <w:szCs w:val="16"/>
              </w:rPr>
            </w:pPr>
          </w:p>
        </w:tc>
        <w:tc>
          <w:tcPr>
            <w:tcW w:w="1524" w:type="pct"/>
            <w:shd w:val="clear" w:color="auto" w:fill="auto"/>
            <w:tcMar>
              <w:top w:w="85" w:type="dxa"/>
              <w:bottom w:w="85" w:type="dxa"/>
            </w:tcMar>
          </w:tcPr>
          <w:p w14:paraId="76467261" w14:textId="77777777" w:rsidR="00292B80" w:rsidRPr="00336796" w:rsidRDefault="00292B80" w:rsidP="005A1F7F">
            <w:pPr>
              <w:rPr>
                <w:rFonts w:ascii="Arial" w:hAnsi="Arial"/>
                <w:color w:val="000000"/>
                <w:sz w:val="16"/>
                <w:szCs w:val="16"/>
              </w:rPr>
            </w:pPr>
            <w:r w:rsidRPr="00E62EB2">
              <w:rPr>
                <w:rFonts w:ascii="Arial" w:hAnsi="Arial" w:cs="Arial"/>
                <w:color w:val="000000"/>
                <w:sz w:val="16"/>
                <w:szCs w:val="16"/>
              </w:rPr>
              <w:t>% of trainings needs fulfilled of which: (i) critical collective training needs and (ii) individual training needs</w:t>
            </w:r>
            <w:r w:rsidRPr="00336796">
              <w:rPr>
                <w:rFonts w:ascii="Arial" w:hAnsi="Arial"/>
                <w:color w:val="000000"/>
                <w:sz w:val="16"/>
                <w:szCs w:val="16"/>
              </w:rPr>
              <w:t xml:space="preserve"> </w:t>
            </w:r>
          </w:p>
        </w:tc>
        <w:tc>
          <w:tcPr>
            <w:tcW w:w="1585" w:type="pct"/>
            <w:shd w:val="clear" w:color="auto" w:fill="FFFFFF"/>
            <w:tcMar>
              <w:top w:w="85" w:type="dxa"/>
              <w:bottom w:w="85" w:type="dxa"/>
            </w:tcMar>
          </w:tcPr>
          <w:p w14:paraId="079EED4D" w14:textId="77777777" w:rsidR="00292B80" w:rsidRDefault="00292B80" w:rsidP="005A1F7F">
            <w:pPr>
              <w:ind w:left="821"/>
              <w:rPr>
                <w:rFonts w:ascii="Arial" w:hAnsi="Arial" w:cs="Arial"/>
                <w:sz w:val="16"/>
                <w:szCs w:val="16"/>
              </w:rPr>
            </w:pPr>
            <w:r>
              <w:rPr>
                <w:rFonts w:ascii="Arial" w:hAnsi="Arial" w:cs="Arial"/>
                <w:sz w:val="16"/>
                <w:szCs w:val="16"/>
              </w:rPr>
              <w:t xml:space="preserve">  Program 23</w:t>
            </w:r>
          </w:p>
        </w:tc>
      </w:tr>
      <w:tr w:rsidR="00292B80" w:rsidRPr="00AF5E7C" w14:paraId="23F7B9A9" w14:textId="77777777" w:rsidTr="007536CC">
        <w:trPr>
          <w:cantSplit/>
          <w:trHeight w:val="335"/>
        </w:trPr>
        <w:tc>
          <w:tcPr>
            <w:tcW w:w="1891" w:type="pct"/>
            <w:shd w:val="clear" w:color="auto" w:fill="auto"/>
            <w:tcMar>
              <w:top w:w="85" w:type="dxa"/>
              <w:bottom w:w="85" w:type="dxa"/>
            </w:tcMar>
          </w:tcPr>
          <w:p w14:paraId="2F20126F" w14:textId="77777777" w:rsidR="00292B80" w:rsidRPr="001316A4" w:rsidRDefault="00292B80" w:rsidP="005A1F7F">
            <w:pPr>
              <w:rPr>
                <w:rFonts w:ascii="Arial" w:hAnsi="Arial" w:cs="Arial"/>
                <w:sz w:val="16"/>
                <w:szCs w:val="16"/>
              </w:rPr>
            </w:pPr>
            <w:r w:rsidRPr="001316A4">
              <w:rPr>
                <w:rFonts w:ascii="Arial" w:hAnsi="Arial" w:cs="Arial"/>
                <w:sz w:val="16"/>
                <w:szCs w:val="16"/>
              </w:rPr>
              <w:t xml:space="preserve">IX.3 </w:t>
            </w:r>
            <w:r>
              <w:rPr>
                <w:rFonts w:ascii="Arial" w:hAnsi="Arial" w:cs="Arial"/>
                <w:sz w:val="16"/>
                <w:szCs w:val="16"/>
              </w:rPr>
              <w:t xml:space="preserve"> </w:t>
            </w:r>
            <w:r w:rsidRPr="001316A4">
              <w:rPr>
                <w:rFonts w:ascii="Arial" w:hAnsi="Arial" w:cs="Arial"/>
                <w:sz w:val="16"/>
                <w:szCs w:val="16"/>
              </w:rPr>
              <w:t>An enabling working environment supported by an effective regulatory framework and appropriate channels to address staff concerns</w:t>
            </w:r>
          </w:p>
        </w:tc>
        <w:tc>
          <w:tcPr>
            <w:tcW w:w="1524" w:type="pct"/>
            <w:shd w:val="clear" w:color="auto" w:fill="auto"/>
            <w:tcMar>
              <w:top w:w="85" w:type="dxa"/>
              <w:bottom w:w="85" w:type="dxa"/>
            </w:tcMar>
          </w:tcPr>
          <w:p w14:paraId="7C6FFE11" w14:textId="77777777" w:rsidR="00292B80" w:rsidRPr="001316A4" w:rsidRDefault="00292B80" w:rsidP="005A1F7F">
            <w:pPr>
              <w:rPr>
                <w:rFonts w:ascii="Arial" w:hAnsi="Arial" w:cs="Arial"/>
                <w:sz w:val="16"/>
                <w:szCs w:val="16"/>
              </w:rPr>
            </w:pPr>
            <w:r w:rsidRPr="0077186F">
              <w:rPr>
                <w:rFonts w:ascii="Arial" w:hAnsi="Arial" w:cs="Arial"/>
                <w:color w:val="000000"/>
                <w:sz w:val="16"/>
                <w:szCs w:val="16"/>
              </w:rPr>
              <w:t>% of WIPO staff aware of services available from Ombuds-Office and informal conflict resolution mechanism</w:t>
            </w:r>
          </w:p>
        </w:tc>
        <w:tc>
          <w:tcPr>
            <w:tcW w:w="1585" w:type="pct"/>
            <w:shd w:val="clear" w:color="auto" w:fill="FFFFFF"/>
            <w:tcMar>
              <w:top w:w="85" w:type="dxa"/>
              <w:bottom w:w="85" w:type="dxa"/>
            </w:tcMar>
          </w:tcPr>
          <w:p w14:paraId="6F72D8E5" w14:textId="77777777" w:rsidR="00292B80" w:rsidRPr="00AF5E7C" w:rsidRDefault="00292B80" w:rsidP="005A1F7F">
            <w:pPr>
              <w:ind w:left="821"/>
              <w:rPr>
                <w:rFonts w:ascii="Arial" w:hAnsi="Arial" w:cs="Arial"/>
                <w:sz w:val="16"/>
                <w:szCs w:val="16"/>
                <w:lang w:bidi="th-TH"/>
              </w:rPr>
            </w:pPr>
            <w:r>
              <w:rPr>
                <w:rFonts w:ascii="Arial" w:hAnsi="Arial" w:cs="Arial"/>
                <w:sz w:val="16"/>
                <w:szCs w:val="16"/>
                <w:lang w:bidi="th-TH"/>
              </w:rPr>
              <w:t xml:space="preserve">  Program 21</w:t>
            </w:r>
          </w:p>
        </w:tc>
      </w:tr>
      <w:tr w:rsidR="00292B80" w:rsidRPr="00AF5E7C" w14:paraId="1A2301DF" w14:textId="77777777" w:rsidTr="007536CC">
        <w:trPr>
          <w:cantSplit/>
          <w:trHeight w:val="335"/>
        </w:trPr>
        <w:tc>
          <w:tcPr>
            <w:tcW w:w="1891" w:type="pct"/>
            <w:shd w:val="clear" w:color="auto" w:fill="auto"/>
            <w:tcMar>
              <w:top w:w="85" w:type="dxa"/>
              <w:bottom w:w="85" w:type="dxa"/>
            </w:tcMar>
          </w:tcPr>
          <w:p w14:paraId="719A5498"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48AC4101" w14:textId="77777777" w:rsidR="00292B80" w:rsidRPr="00D738DB" w:rsidRDefault="00292B80" w:rsidP="005A1F7F">
            <w:pPr>
              <w:rPr>
                <w:rFonts w:ascii="Arial" w:hAnsi="Arial" w:cs="Arial"/>
                <w:sz w:val="16"/>
                <w:szCs w:val="16"/>
              </w:rPr>
            </w:pPr>
            <w:r>
              <w:rPr>
                <w:rFonts w:ascii="Arial" w:hAnsi="Arial" w:cs="Arial"/>
                <w:color w:val="000000"/>
                <w:sz w:val="16"/>
                <w:szCs w:val="16"/>
              </w:rPr>
              <w:t xml:space="preserve">% of WIPO staff being aware </w:t>
            </w:r>
            <w:r w:rsidRPr="0077186F">
              <w:rPr>
                <w:rFonts w:ascii="Arial" w:hAnsi="Arial" w:cs="Arial"/>
                <w:color w:val="000000"/>
                <w:sz w:val="16"/>
                <w:szCs w:val="16"/>
              </w:rPr>
              <w:t>of WIPO ethics principles and policies</w:t>
            </w:r>
          </w:p>
        </w:tc>
        <w:tc>
          <w:tcPr>
            <w:tcW w:w="1585" w:type="pct"/>
            <w:shd w:val="clear" w:color="auto" w:fill="FFFFFF"/>
            <w:tcMar>
              <w:top w:w="85" w:type="dxa"/>
              <w:bottom w:w="85" w:type="dxa"/>
            </w:tcMar>
          </w:tcPr>
          <w:p w14:paraId="1346B1E3" w14:textId="77777777" w:rsidR="00292B80" w:rsidRPr="00AF5E7C" w:rsidRDefault="00292B80" w:rsidP="005A1F7F">
            <w:pPr>
              <w:ind w:left="821"/>
              <w:rPr>
                <w:rFonts w:ascii="Arial" w:hAnsi="Arial" w:cs="Arial"/>
                <w:sz w:val="16"/>
                <w:szCs w:val="16"/>
                <w:lang w:bidi="th-TH"/>
              </w:rPr>
            </w:pPr>
            <w:r>
              <w:rPr>
                <w:rFonts w:ascii="Arial" w:hAnsi="Arial" w:cs="Arial"/>
                <w:sz w:val="16"/>
                <w:szCs w:val="16"/>
                <w:lang w:bidi="th-TH"/>
              </w:rPr>
              <w:t xml:space="preserve">  Program 21</w:t>
            </w:r>
          </w:p>
        </w:tc>
      </w:tr>
      <w:tr w:rsidR="00292B80" w:rsidRPr="00AF5E7C" w14:paraId="2CC5D066" w14:textId="77777777" w:rsidTr="007536CC">
        <w:trPr>
          <w:cantSplit/>
          <w:trHeight w:val="335"/>
        </w:trPr>
        <w:tc>
          <w:tcPr>
            <w:tcW w:w="1891" w:type="pct"/>
            <w:shd w:val="clear" w:color="auto" w:fill="auto"/>
            <w:tcMar>
              <w:top w:w="85" w:type="dxa"/>
              <w:bottom w:w="85" w:type="dxa"/>
            </w:tcMar>
          </w:tcPr>
          <w:p w14:paraId="4C0B8886" w14:textId="77777777" w:rsidR="00292B80" w:rsidRPr="00603C51" w:rsidRDefault="00292B80" w:rsidP="005A1F7F">
            <w:pPr>
              <w:rPr>
                <w:rFonts w:ascii="Arial" w:hAnsi="Arial" w:cs="Arial"/>
                <w:sz w:val="16"/>
                <w:szCs w:val="16"/>
              </w:rPr>
            </w:pPr>
          </w:p>
        </w:tc>
        <w:tc>
          <w:tcPr>
            <w:tcW w:w="1524" w:type="pct"/>
            <w:shd w:val="clear" w:color="auto" w:fill="auto"/>
            <w:tcMar>
              <w:top w:w="85" w:type="dxa"/>
              <w:bottom w:w="85" w:type="dxa"/>
            </w:tcMar>
          </w:tcPr>
          <w:p w14:paraId="71816594" w14:textId="77777777" w:rsidR="00292B80" w:rsidRPr="00603C51" w:rsidRDefault="00292B80" w:rsidP="005A1F7F">
            <w:pPr>
              <w:rPr>
                <w:rFonts w:ascii="Arial" w:hAnsi="Arial" w:cs="Arial"/>
                <w:sz w:val="16"/>
                <w:szCs w:val="16"/>
              </w:rPr>
            </w:pPr>
            <w:r w:rsidRPr="00860634">
              <w:rPr>
                <w:rFonts w:ascii="Arial" w:hAnsi="Arial" w:cs="Arial"/>
                <w:color w:val="000000"/>
                <w:sz w:val="16"/>
                <w:szCs w:val="16"/>
              </w:rPr>
              <w:t>Financial Regulations and Rules and relevant Office Instructions (OIs) up to date</w:t>
            </w:r>
          </w:p>
        </w:tc>
        <w:tc>
          <w:tcPr>
            <w:tcW w:w="1585" w:type="pct"/>
            <w:shd w:val="clear" w:color="auto" w:fill="FFFFFF"/>
            <w:tcMar>
              <w:top w:w="85" w:type="dxa"/>
              <w:bottom w:w="85" w:type="dxa"/>
            </w:tcMar>
          </w:tcPr>
          <w:p w14:paraId="0C22C3FF"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 xml:space="preserve">  Program 22</w:t>
            </w:r>
          </w:p>
        </w:tc>
      </w:tr>
      <w:tr w:rsidR="00292B80" w:rsidRPr="00AF5E7C" w14:paraId="70C541A6" w14:textId="77777777" w:rsidTr="007536CC">
        <w:trPr>
          <w:cantSplit/>
          <w:trHeight w:val="335"/>
        </w:trPr>
        <w:tc>
          <w:tcPr>
            <w:tcW w:w="1891" w:type="pct"/>
            <w:shd w:val="clear" w:color="auto" w:fill="auto"/>
            <w:tcMar>
              <w:top w:w="85" w:type="dxa"/>
              <w:bottom w:w="85" w:type="dxa"/>
            </w:tcMar>
          </w:tcPr>
          <w:p w14:paraId="3BD8ACD3" w14:textId="77777777" w:rsidR="00292B80" w:rsidRPr="00603C51" w:rsidRDefault="00292B80" w:rsidP="005A1F7F">
            <w:pPr>
              <w:rPr>
                <w:rFonts w:ascii="Arial" w:hAnsi="Arial" w:cs="Arial"/>
                <w:sz w:val="16"/>
                <w:szCs w:val="16"/>
              </w:rPr>
            </w:pPr>
          </w:p>
        </w:tc>
        <w:tc>
          <w:tcPr>
            <w:tcW w:w="1524" w:type="pct"/>
            <w:shd w:val="clear" w:color="auto" w:fill="auto"/>
            <w:tcMar>
              <w:top w:w="85" w:type="dxa"/>
              <w:bottom w:w="85" w:type="dxa"/>
            </w:tcMar>
          </w:tcPr>
          <w:p w14:paraId="026AF758" w14:textId="77777777" w:rsidR="00292B80" w:rsidRPr="00860634" w:rsidRDefault="00292B80" w:rsidP="005A1F7F">
            <w:pPr>
              <w:rPr>
                <w:rFonts w:ascii="Arial" w:hAnsi="Arial" w:cs="Arial"/>
                <w:color w:val="000000"/>
                <w:sz w:val="16"/>
                <w:szCs w:val="16"/>
              </w:rPr>
            </w:pPr>
            <w:r w:rsidRPr="00860634">
              <w:rPr>
                <w:rFonts w:ascii="Arial" w:hAnsi="Arial" w:cs="Arial"/>
                <w:color w:val="000000"/>
                <w:sz w:val="16"/>
                <w:szCs w:val="16"/>
              </w:rPr>
              <w:t>Increase in maturity of Risk Management and Internal controls, in accordance with the Roadmap</w:t>
            </w:r>
          </w:p>
        </w:tc>
        <w:tc>
          <w:tcPr>
            <w:tcW w:w="1585" w:type="pct"/>
            <w:shd w:val="clear" w:color="auto" w:fill="FFFFFF"/>
            <w:tcMar>
              <w:top w:w="85" w:type="dxa"/>
              <w:bottom w:w="85" w:type="dxa"/>
            </w:tcMar>
          </w:tcPr>
          <w:p w14:paraId="5C9F9288" w14:textId="77777777" w:rsidR="00292B80" w:rsidRDefault="00292B80" w:rsidP="005A1F7F">
            <w:pPr>
              <w:ind w:left="821"/>
              <w:rPr>
                <w:rFonts w:ascii="Arial" w:hAnsi="Arial" w:cs="Arial"/>
                <w:sz w:val="16"/>
                <w:szCs w:val="16"/>
              </w:rPr>
            </w:pPr>
            <w:r>
              <w:rPr>
                <w:rFonts w:ascii="Arial" w:hAnsi="Arial" w:cs="Arial"/>
                <w:sz w:val="16"/>
                <w:szCs w:val="16"/>
              </w:rPr>
              <w:t xml:space="preserve">  Program 22</w:t>
            </w:r>
          </w:p>
        </w:tc>
      </w:tr>
      <w:tr w:rsidR="00292B80" w:rsidRPr="00AF5E7C" w14:paraId="6440668F" w14:textId="77777777" w:rsidTr="007536CC">
        <w:trPr>
          <w:cantSplit/>
          <w:trHeight w:val="335"/>
        </w:trPr>
        <w:tc>
          <w:tcPr>
            <w:tcW w:w="1891" w:type="pct"/>
            <w:shd w:val="clear" w:color="auto" w:fill="auto"/>
            <w:tcMar>
              <w:top w:w="85" w:type="dxa"/>
              <w:bottom w:w="85" w:type="dxa"/>
            </w:tcMar>
          </w:tcPr>
          <w:p w14:paraId="5A7470C5" w14:textId="77777777" w:rsidR="00292B80" w:rsidRPr="00603C51" w:rsidRDefault="00292B80" w:rsidP="005A1F7F">
            <w:pPr>
              <w:rPr>
                <w:rFonts w:ascii="Arial" w:hAnsi="Arial" w:cs="Arial"/>
                <w:sz w:val="16"/>
                <w:szCs w:val="16"/>
              </w:rPr>
            </w:pPr>
          </w:p>
        </w:tc>
        <w:tc>
          <w:tcPr>
            <w:tcW w:w="1524" w:type="pct"/>
            <w:shd w:val="clear" w:color="auto" w:fill="auto"/>
            <w:tcMar>
              <w:top w:w="85" w:type="dxa"/>
              <w:bottom w:w="85" w:type="dxa"/>
            </w:tcMar>
          </w:tcPr>
          <w:p w14:paraId="40170BF6" w14:textId="77777777" w:rsidR="00292B80" w:rsidRPr="00860634" w:rsidRDefault="00292B80" w:rsidP="005A1F7F">
            <w:pPr>
              <w:rPr>
                <w:rFonts w:ascii="Arial" w:hAnsi="Arial" w:cs="Arial"/>
                <w:color w:val="000000"/>
                <w:sz w:val="16"/>
                <w:szCs w:val="16"/>
              </w:rPr>
            </w:pPr>
            <w:r>
              <w:rPr>
                <w:rFonts w:ascii="Arial" w:hAnsi="Arial" w:cs="Arial"/>
                <w:color w:val="000000"/>
                <w:sz w:val="16"/>
                <w:szCs w:val="16"/>
              </w:rPr>
              <w:t>Effective follow-up of oversight recommendations</w:t>
            </w:r>
          </w:p>
        </w:tc>
        <w:tc>
          <w:tcPr>
            <w:tcW w:w="1585" w:type="pct"/>
            <w:shd w:val="clear" w:color="auto" w:fill="FFFFFF"/>
            <w:tcMar>
              <w:top w:w="85" w:type="dxa"/>
              <w:bottom w:w="85" w:type="dxa"/>
            </w:tcMar>
          </w:tcPr>
          <w:p w14:paraId="4F32A067" w14:textId="77777777" w:rsidR="00292B80" w:rsidRDefault="00292B80" w:rsidP="005A1F7F">
            <w:pPr>
              <w:ind w:left="821"/>
              <w:rPr>
                <w:rFonts w:ascii="Arial" w:hAnsi="Arial" w:cs="Arial"/>
                <w:sz w:val="16"/>
                <w:szCs w:val="16"/>
              </w:rPr>
            </w:pPr>
            <w:r>
              <w:rPr>
                <w:rFonts w:ascii="Arial" w:hAnsi="Arial" w:cs="Arial"/>
                <w:sz w:val="16"/>
                <w:szCs w:val="16"/>
              </w:rPr>
              <w:t xml:space="preserve">  Program 22</w:t>
            </w:r>
          </w:p>
        </w:tc>
      </w:tr>
      <w:tr w:rsidR="00292B80" w:rsidRPr="00AF5E7C" w14:paraId="6DE5824B" w14:textId="77777777" w:rsidTr="007536CC">
        <w:trPr>
          <w:cantSplit/>
          <w:trHeight w:val="692"/>
        </w:trPr>
        <w:tc>
          <w:tcPr>
            <w:tcW w:w="1891" w:type="pct"/>
            <w:shd w:val="clear" w:color="auto" w:fill="auto"/>
            <w:tcMar>
              <w:top w:w="85" w:type="dxa"/>
              <w:bottom w:w="85" w:type="dxa"/>
            </w:tcMar>
          </w:tcPr>
          <w:p w14:paraId="15AB5F4F" w14:textId="77777777" w:rsidR="00292B80" w:rsidRPr="00592A10" w:rsidRDefault="00292B80" w:rsidP="005A1F7F">
            <w:pPr>
              <w:rPr>
                <w:rFonts w:ascii="Arial" w:hAnsi="Arial" w:cs="Arial"/>
                <w:sz w:val="16"/>
                <w:szCs w:val="16"/>
              </w:rPr>
            </w:pPr>
            <w:r w:rsidRPr="00592A10">
              <w:rPr>
                <w:rFonts w:ascii="Arial" w:hAnsi="Arial" w:cs="Arial"/>
                <w:sz w:val="16"/>
                <w:szCs w:val="16"/>
              </w:rPr>
              <w:t xml:space="preserve">IX.4 </w:t>
            </w:r>
            <w:r>
              <w:rPr>
                <w:rFonts w:ascii="Arial" w:hAnsi="Arial" w:cs="Arial"/>
                <w:sz w:val="16"/>
                <w:szCs w:val="16"/>
              </w:rPr>
              <w:t xml:space="preserve"> </w:t>
            </w:r>
            <w:r w:rsidRPr="00592A10">
              <w:rPr>
                <w:rFonts w:ascii="Arial" w:hAnsi="Arial" w:cs="Arial"/>
                <w:sz w:val="16"/>
                <w:szCs w:val="16"/>
              </w:rPr>
              <w:t>An environmentally and socially responsible Organization in which WIPO staff, delegates, visitors and information and physical assets are safe and secure</w:t>
            </w:r>
          </w:p>
        </w:tc>
        <w:tc>
          <w:tcPr>
            <w:tcW w:w="1524" w:type="pct"/>
            <w:shd w:val="clear" w:color="auto" w:fill="auto"/>
            <w:tcMar>
              <w:top w:w="85" w:type="dxa"/>
              <w:bottom w:w="85" w:type="dxa"/>
            </w:tcMar>
          </w:tcPr>
          <w:p w14:paraId="6A7407A1" w14:textId="77777777" w:rsidR="00292B80" w:rsidRPr="006A3FC3" w:rsidRDefault="00292B80" w:rsidP="005A1F7F">
            <w:pPr>
              <w:rPr>
                <w:rFonts w:ascii="Arial" w:hAnsi="Arial"/>
                <w:color w:val="000000"/>
                <w:sz w:val="16"/>
                <w:szCs w:val="16"/>
              </w:rPr>
            </w:pPr>
            <w:r>
              <w:rPr>
                <w:rFonts w:ascii="Arial" w:hAnsi="Arial" w:cs="Arial"/>
                <w:color w:val="000000"/>
                <w:sz w:val="16"/>
                <w:szCs w:val="16"/>
              </w:rPr>
              <w:t>Reduced impact of WIPO activities on the environment</w:t>
            </w:r>
          </w:p>
        </w:tc>
        <w:tc>
          <w:tcPr>
            <w:tcW w:w="1585" w:type="pct"/>
            <w:shd w:val="clear" w:color="auto" w:fill="FFFFFF"/>
            <w:tcMar>
              <w:top w:w="85" w:type="dxa"/>
              <w:bottom w:w="85" w:type="dxa"/>
            </w:tcMar>
          </w:tcPr>
          <w:p w14:paraId="00559298" w14:textId="77777777" w:rsidR="00292B80" w:rsidRPr="00AF5E7C" w:rsidRDefault="00292B80" w:rsidP="005A1F7F">
            <w:pPr>
              <w:ind w:left="821"/>
              <w:rPr>
                <w:rFonts w:ascii="Arial" w:hAnsi="Arial" w:cs="Arial"/>
                <w:sz w:val="16"/>
                <w:szCs w:val="16"/>
                <w:lang w:bidi="th-TH"/>
              </w:rPr>
            </w:pPr>
            <w:r>
              <w:rPr>
                <w:rFonts w:ascii="Arial" w:hAnsi="Arial" w:cs="Arial"/>
                <w:sz w:val="16"/>
                <w:szCs w:val="16"/>
                <w:lang w:bidi="th-TH"/>
              </w:rPr>
              <w:t>Program 24</w:t>
            </w:r>
          </w:p>
        </w:tc>
      </w:tr>
      <w:tr w:rsidR="00292B80" w:rsidRPr="00AF5E7C" w14:paraId="310DC138" w14:textId="77777777" w:rsidTr="007536CC">
        <w:trPr>
          <w:cantSplit/>
          <w:trHeight w:val="335"/>
        </w:trPr>
        <w:tc>
          <w:tcPr>
            <w:tcW w:w="1891" w:type="pct"/>
            <w:shd w:val="clear" w:color="auto" w:fill="auto"/>
            <w:tcMar>
              <w:top w:w="85" w:type="dxa"/>
              <w:bottom w:w="85" w:type="dxa"/>
            </w:tcMar>
          </w:tcPr>
          <w:p w14:paraId="18C4767A"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4401F884" w14:textId="77777777" w:rsidR="00292B80" w:rsidRPr="006A3FC3" w:rsidRDefault="00292B80" w:rsidP="005A1F7F">
            <w:pPr>
              <w:rPr>
                <w:rFonts w:ascii="Arial" w:hAnsi="Arial"/>
                <w:color w:val="000000"/>
                <w:sz w:val="16"/>
                <w:szCs w:val="16"/>
              </w:rPr>
            </w:pPr>
            <w:r>
              <w:rPr>
                <w:rFonts w:ascii="Arial" w:hAnsi="Arial" w:cs="Arial"/>
                <w:color w:val="000000"/>
                <w:sz w:val="16"/>
                <w:szCs w:val="16"/>
              </w:rPr>
              <w:t>Improved physical access to the WIPO campus</w:t>
            </w:r>
          </w:p>
        </w:tc>
        <w:tc>
          <w:tcPr>
            <w:tcW w:w="1585" w:type="pct"/>
            <w:shd w:val="clear" w:color="auto" w:fill="FFFFFF"/>
            <w:tcMar>
              <w:top w:w="85" w:type="dxa"/>
              <w:bottom w:w="85" w:type="dxa"/>
            </w:tcMar>
          </w:tcPr>
          <w:p w14:paraId="1AA7C3C3" w14:textId="77777777" w:rsidR="00292B80" w:rsidRDefault="00292B80" w:rsidP="005A1F7F">
            <w:pPr>
              <w:ind w:left="821"/>
              <w:rPr>
                <w:rFonts w:ascii="Arial" w:hAnsi="Arial" w:cs="Arial"/>
                <w:sz w:val="16"/>
                <w:szCs w:val="16"/>
              </w:rPr>
            </w:pPr>
            <w:r>
              <w:rPr>
                <w:rFonts w:ascii="Arial" w:hAnsi="Arial" w:cs="Arial"/>
                <w:sz w:val="16"/>
                <w:szCs w:val="16"/>
              </w:rPr>
              <w:t>Program 24</w:t>
            </w:r>
          </w:p>
        </w:tc>
      </w:tr>
      <w:tr w:rsidR="00292B80" w:rsidRPr="00AF5E7C" w14:paraId="2731AC5E" w14:textId="77777777" w:rsidTr="007536CC">
        <w:trPr>
          <w:cantSplit/>
          <w:trHeight w:val="335"/>
        </w:trPr>
        <w:tc>
          <w:tcPr>
            <w:tcW w:w="1891" w:type="pct"/>
            <w:shd w:val="clear" w:color="auto" w:fill="auto"/>
            <w:tcMar>
              <w:top w:w="85" w:type="dxa"/>
              <w:bottom w:w="85" w:type="dxa"/>
            </w:tcMar>
          </w:tcPr>
          <w:p w14:paraId="77BA4FB7"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41911F88" w14:textId="5313ADD4" w:rsidR="00292B80" w:rsidRPr="00A12622" w:rsidRDefault="00062517" w:rsidP="005A1F7F">
            <w:pPr>
              <w:rPr>
                <w:rFonts w:ascii="Arial" w:hAnsi="Arial"/>
                <w:color w:val="000000"/>
                <w:sz w:val="16"/>
                <w:szCs w:val="16"/>
              </w:rPr>
            </w:pPr>
            <w:r>
              <w:rPr>
                <w:rFonts w:ascii="Arial" w:eastAsia="Times New Roman" w:hAnsi="Arial" w:cs="Arial"/>
                <w:color w:val="000000"/>
                <w:sz w:val="16"/>
                <w:szCs w:val="16"/>
                <w:lang w:eastAsia="en-US"/>
              </w:rPr>
              <w:t>ICT service continuity of critical systems</w:t>
            </w:r>
          </w:p>
        </w:tc>
        <w:tc>
          <w:tcPr>
            <w:tcW w:w="1585" w:type="pct"/>
            <w:shd w:val="clear" w:color="auto" w:fill="FFFFFF"/>
            <w:tcMar>
              <w:top w:w="85" w:type="dxa"/>
              <w:bottom w:w="85" w:type="dxa"/>
            </w:tcMar>
          </w:tcPr>
          <w:p w14:paraId="77738E94" w14:textId="77777777" w:rsidR="00292B80" w:rsidRDefault="00292B80" w:rsidP="005A1F7F">
            <w:pPr>
              <w:ind w:left="821"/>
            </w:pPr>
            <w:r w:rsidRPr="00375290">
              <w:rPr>
                <w:rFonts w:ascii="Arial" w:hAnsi="Arial" w:cs="Arial"/>
                <w:sz w:val="16"/>
                <w:szCs w:val="16"/>
              </w:rPr>
              <w:t>Program 2</w:t>
            </w:r>
            <w:r>
              <w:rPr>
                <w:rFonts w:ascii="Arial" w:hAnsi="Arial" w:cs="Arial"/>
                <w:sz w:val="16"/>
                <w:szCs w:val="16"/>
              </w:rPr>
              <w:t>5</w:t>
            </w:r>
          </w:p>
        </w:tc>
      </w:tr>
      <w:tr w:rsidR="00292B80" w:rsidRPr="00AF5E7C" w14:paraId="33165B7E" w14:textId="77777777" w:rsidTr="007536CC">
        <w:trPr>
          <w:cantSplit/>
          <w:trHeight w:val="335"/>
        </w:trPr>
        <w:tc>
          <w:tcPr>
            <w:tcW w:w="1891" w:type="pct"/>
            <w:shd w:val="clear" w:color="auto" w:fill="auto"/>
            <w:tcMar>
              <w:top w:w="85" w:type="dxa"/>
              <w:bottom w:w="85" w:type="dxa"/>
            </w:tcMar>
          </w:tcPr>
          <w:p w14:paraId="5BFC8AE2"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268F884" w14:textId="77777777" w:rsidR="00292B80" w:rsidRPr="008B0886" w:rsidRDefault="00292B80" w:rsidP="005A1F7F">
            <w:pPr>
              <w:rPr>
                <w:rFonts w:ascii="Arial" w:hAnsi="Arial" w:cs="Arial"/>
                <w:sz w:val="16"/>
                <w:szCs w:val="16"/>
              </w:rPr>
            </w:pPr>
            <w:r w:rsidRPr="008B0886">
              <w:rPr>
                <w:rFonts w:ascii="Arial" w:hAnsi="Arial" w:cs="Arial"/>
                <w:color w:val="000000"/>
                <w:sz w:val="16"/>
                <w:szCs w:val="16"/>
              </w:rPr>
              <w:t>% of information risks, including third party risks, reported and managed consistently within WIPO's risk tolerances</w:t>
            </w:r>
          </w:p>
        </w:tc>
        <w:tc>
          <w:tcPr>
            <w:tcW w:w="1585" w:type="pct"/>
            <w:shd w:val="clear" w:color="auto" w:fill="FFFFFF"/>
            <w:tcMar>
              <w:top w:w="85" w:type="dxa"/>
              <w:bottom w:w="85" w:type="dxa"/>
            </w:tcMar>
          </w:tcPr>
          <w:p w14:paraId="10128F76"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28</w:t>
            </w:r>
          </w:p>
        </w:tc>
      </w:tr>
      <w:tr w:rsidR="00292B80" w:rsidRPr="00AF5E7C" w14:paraId="7CEF8E0C" w14:textId="77777777" w:rsidTr="007536CC">
        <w:trPr>
          <w:cantSplit/>
          <w:trHeight w:val="335"/>
        </w:trPr>
        <w:tc>
          <w:tcPr>
            <w:tcW w:w="1891" w:type="pct"/>
            <w:shd w:val="clear" w:color="auto" w:fill="auto"/>
            <w:tcMar>
              <w:top w:w="85" w:type="dxa"/>
              <w:bottom w:w="85" w:type="dxa"/>
            </w:tcMar>
          </w:tcPr>
          <w:p w14:paraId="7BC0AF09"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2A07EA4D" w14:textId="77777777" w:rsidR="00292B80" w:rsidRPr="00037D2E" w:rsidRDefault="00292B80" w:rsidP="005A1F7F">
            <w:pPr>
              <w:rPr>
                <w:rFonts w:ascii="Arial" w:hAnsi="Arial" w:cs="Arial"/>
                <w:sz w:val="16"/>
                <w:szCs w:val="16"/>
              </w:rPr>
            </w:pPr>
            <w:r w:rsidRPr="00037D2E">
              <w:rPr>
                <w:rFonts w:ascii="Arial" w:hAnsi="Arial" w:cs="Arial"/>
                <w:color w:val="000000"/>
                <w:sz w:val="16"/>
                <w:szCs w:val="16"/>
              </w:rPr>
              <w:t>Proactive identification and timely remediation of vulnerabilities within agreed service levels</w:t>
            </w:r>
          </w:p>
        </w:tc>
        <w:tc>
          <w:tcPr>
            <w:tcW w:w="1585" w:type="pct"/>
            <w:shd w:val="clear" w:color="auto" w:fill="FFFFFF"/>
            <w:tcMar>
              <w:top w:w="85" w:type="dxa"/>
              <w:bottom w:w="85" w:type="dxa"/>
            </w:tcMar>
          </w:tcPr>
          <w:p w14:paraId="0CB45362"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28</w:t>
            </w:r>
          </w:p>
        </w:tc>
      </w:tr>
      <w:tr w:rsidR="00292B80" w:rsidRPr="00AF5E7C" w14:paraId="7A851578" w14:textId="77777777" w:rsidTr="007536CC">
        <w:trPr>
          <w:cantSplit/>
          <w:trHeight w:val="335"/>
        </w:trPr>
        <w:tc>
          <w:tcPr>
            <w:tcW w:w="1891" w:type="pct"/>
            <w:shd w:val="clear" w:color="auto" w:fill="auto"/>
            <w:tcMar>
              <w:top w:w="85" w:type="dxa"/>
              <w:bottom w:w="85" w:type="dxa"/>
            </w:tcMar>
          </w:tcPr>
          <w:p w14:paraId="0D294C16"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458A6DC"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Increased compliance to IA policies and standards</w:t>
            </w:r>
          </w:p>
        </w:tc>
        <w:tc>
          <w:tcPr>
            <w:tcW w:w="1585" w:type="pct"/>
            <w:shd w:val="clear" w:color="auto" w:fill="FFFFFF"/>
            <w:tcMar>
              <w:top w:w="85" w:type="dxa"/>
              <w:bottom w:w="85" w:type="dxa"/>
            </w:tcMar>
          </w:tcPr>
          <w:p w14:paraId="5806089B"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1075CE72" w14:textId="77777777" w:rsidTr="007536CC">
        <w:trPr>
          <w:cantSplit/>
          <w:trHeight w:val="335"/>
        </w:trPr>
        <w:tc>
          <w:tcPr>
            <w:tcW w:w="1891" w:type="pct"/>
            <w:shd w:val="clear" w:color="auto" w:fill="auto"/>
            <w:tcMar>
              <w:top w:w="85" w:type="dxa"/>
              <w:bottom w:w="85" w:type="dxa"/>
            </w:tcMar>
          </w:tcPr>
          <w:p w14:paraId="5E95A3C3"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2DB863C1"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Widely adopted information classification and handling policy to ensure confidentiality of information</w:t>
            </w:r>
          </w:p>
        </w:tc>
        <w:tc>
          <w:tcPr>
            <w:tcW w:w="1585" w:type="pct"/>
            <w:shd w:val="clear" w:color="auto" w:fill="FFFFFF"/>
            <w:tcMar>
              <w:top w:w="85" w:type="dxa"/>
              <w:bottom w:w="85" w:type="dxa"/>
            </w:tcMar>
          </w:tcPr>
          <w:p w14:paraId="15D7BCE1"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1E4ACFFE" w14:textId="77777777" w:rsidTr="007536CC">
        <w:trPr>
          <w:cantSplit/>
          <w:trHeight w:val="335"/>
        </w:trPr>
        <w:tc>
          <w:tcPr>
            <w:tcW w:w="1891" w:type="pct"/>
            <w:shd w:val="clear" w:color="auto" w:fill="auto"/>
            <w:tcMar>
              <w:top w:w="85" w:type="dxa"/>
              <w:bottom w:w="85" w:type="dxa"/>
            </w:tcMar>
          </w:tcPr>
          <w:p w14:paraId="127DA290"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78D23C29"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Reduced duplication of information security technical capabilities through reusable security architecture patterns</w:t>
            </w:r>
          </w:p>
        </w:tc>
        <w:tc>
          <w:tcPr>
            <w:tcW w:w="1585" w:type="pct"/>
            <w:shd w:val="clear" w:color="auto" w:fill="FFFFFF"/>
            <w:tcMar>
              <w:top w:w="85" w:type="dxa"/>
              <w:bottom w:w="85" w:type="dxa"/>
            </w:tcMar>
          </w:tcPr>
          <w:p w14:paraId="345AE688"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7646AB57" w14:textId="77777777" w:rsidTr="007536CC">
        <w:trPr>
          <w:cantSplit/>
          <w:trHeight w:val="335"/>
        </w:trPr>
        <w:tc>
          <w:tcPr>
            <w:tcW w:w="1891" w:type="pct"/>
            <w:shd w:val="clear" w:color="auto" w:fill="auto"/>
            <w:tcMar>
              <w:top w:w="85" w:type="dxa"/>
              <w:bottom w:w="85" w:type="dxa"/>
            </w:tcMar>
          </w:tcPr>
          <w:p w14:paraId="3719FBEC"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7AE24C7F"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Enhanced capability to detect and respond to information security threats much faster ensuring minimal business disruption</w:t>
            </w:r>
          </w:p>
        </w:tc>
        <w:tc>
          <w:tcPr>
            <w:tcW w:w="1585" w:type="pct"/>
            <w:shd w:val="clear" w:color="auto" w:fill="FFFFFF"/>
            <w:tcMar>
              <w:top w:w="85" w:type="dxa"/>
              <w:bottom w:w="85" w:type="dxa"/>
            </w:tcMar>
          </w:tcPr>
          <w:p w14:paraId="569D9414"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3D7046DA" w14:textId="77777777" w:rsidTr="007536CC">
        <w:trPr>
          <w:cantSplit/>
          <w:trHeight w:val="335"/>
        </w:trPr>
        <w:tc>
          <w:tcPr>
            <w:tcW w:w="1891" w:type="pct"/>
            <w:shd w:val="clear" w:color="auto" w:fill="auto"/>
            <w:tcMar>
              <w:top w:w="85" w:type="dxa"/>
              <w:bottom w:w="85" w:type="dxa"/>
            </w:tcMar>
          </w:tcPr>
          <w:p w14:paraId="10280DE9"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6BAA6D4C"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 of WIPO staff, delegates and visitors reporting a work related injury or incident</w:t>
            </w:r>
          </w:p>
        </w:tc>
        <w:tc>
          <w:tcPr>
            <w:tcW w:w="1585" w:type="pct"/>
            <w:shd w:val="clear" w:color="auto" w:fill="FFFFFF"/>
            <w:tcMar>
              <w:top w:w="85" w:type="dxa"/>
              <w:bottom w:w="85" w:type="dxa"/>
            </w:tcMar>
          </w:tcPr>
          <w:p w14:paraId="042FEBA8"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5D57E7FE" w14:textId="77777777" w:rsidTr="007536CC">
        <w:trPr>
          <w:cantSplit/>
          <w:trHeight w:val="335"/>
        </w:trPr>
        <w:tc>
          <w:tcPr>
            <w:tcW w:w="1891" w:type="pct"/>
            <w:shd w:val="clear" w:color="auto" w:fill="auto"/>
            <w:tcMar>
              <w:top w:w="85" w:type="dxa"/>
              <w:bottom w:w="85" w:type="dxa"/>
            </w:tcMar>
          </w:tcPr>
          <w:p w14:paraId="175AE33A"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14CBED3B" w14:textId="77777777" w:rsidR="00292B80" w:rsidRPr="00387491" w:rsidRDefault="00292B80" w:rsidP="005A1F7F">
            <w:pPr>
              <w:rPr>
                <w:rFonts w:ascii="Arial" w:hAnsi="Arial" w:cs="Arial"/>
                <w:color w:val="000000"/>
                <w:sz w:val="16"/>
                <w:szCs w:val="16"/>
              </w:rPr>
            </w:pPr>
            <w:r w:rsidRPr="00387491">
              <w:rPr>
                <w:rFonts w:ascii="Arial" w:hAnsi="Arial" w:cs="Arial"/>
                <w:color w:val="000000"/>
                <w:sz w:val="16"/>
                <w:szCs w:val="16"/>
              </w:rPr>
              <w:t>% of timely requests for safety &amp; security assistance at conferences or events held in or outside of Geneva</w:t>
            </w:r>
          </w:p>
        </w:tc>
        <w:tc>
          <w:tcPr>
            <w:tcW w:w="1585" w:type="pct"/>
            <w:shd w:val="clear" w:color="auto" w:fill="FFFFFF"/>
            <w:tcMar>
              <w:top w:w="85" w:type="dxa"/>
              <w:bottom w:w="85" w:type="dxa"/>
            </w:tcMar>
          </w:tcPr>
          <w:p w14:paraId="6E58BD02" w14:textId="77777777" w:rsidR="00292B80" w:rsidRDefault="00292B80" w:rsidP="005A1F7F">
            <w:pPr>
              <w:ind w:left="821"/>
              <w:rPr>
                <w:rFonts w:ascii="Arial" w:hAnsi="Arial" w:cs="Arial"/>
                <w:sz w:val="16"/>
                <w:szCs w:val="16"/>
              </w:rPr>
            </w:pPr>
            <w:r>
              <w:rPr>
                <w:rFonts w:ascii="Arial" w:hAnsi="Arial" w:cs="Arial"/>
                <w:sz w:val="16"/>
                <w:szCs w:val="16"/>
              </w:rPr>
              <w:t>Program 28</w:t>
            </w:r>
          </w:p>
        </w:tc>
      </w:tr>
      <w:tr w:rsidR="00292B80" w:rsidRPr="00AF5E7C" w14:paraId="31725F86" w14:textId="77777777" w:rsidTr="007536CC">
        <w:trPr>
          <w:cantSplit/>
          <w:trHeight w:val="335"/>
        </w:trPr>
        <w:tc>
          <w:tcPr>
            <w:tcW w:w="1891" w:type="pct"/>
            <w:shd w:val="clear" w:color="auto" w:fill="auto"/>
            <w:tcMar>
              <w:top w:w="85" w:type="dxa"/>
              <w:bottom w:w="85" w:type="dxa"/>
            </w:tcMar>
          </w:tcPr>
          <w:p w14:paraId="627DA51C" w14:textId="77777777" w:rsidR="00292B80" w:rsidRPr="00604261" w:rsidRDefault="00292B80" w:rsidP="005A1F7F">
            <w:pPr>
              <w:rPr>
                <w:rFonts w:ascii="Arial" w:hAnsi="Arial" w:cs="Arial"/>
                <w:sz w:val="16"/>
                <w:szCs w:val="16"/>
              </w:rPr>
            </w:pPr>
            <w:r w:rsidRPr="00604261">
              <w:rPr>
                <w:rFonts w:ascii="Arial" w:hAnsi="Arial" w:cs="Arial"/>
                <w:sz w:val="16"/>
                <w:szCs w:val="16"/>
              </w:rPr>
              <w:t>IX.8</w:t>
            </w:r>
            <w:r>
              <w:rPr>
                <w:rFonts w:ascii="Arial" w:hAnsi="Arial" w:cs="Arial"/>
                <w:sz w:val="16"/>
                <w:szCs w:val="16"/>
              </w:rPr>
              <w:t xml:space="preserve">  </w:t>
            </w:r>
            <w:r w:rsidRPr="00604261">
              <w:rPr>
                <w:rFonts w:ascii="Arial" w:hAnsi="Arial" w:cs="Arial"/>
                <w:sz w:val="16"/>
                <w:szCs w:val="16"/>
              </w:rPr>
              <w:t>Improved accountability, organizational learning, value for money, stewardship, internal control and corporate governance through assistance from effective and independent oversight</w:t>
            </w:r>
          </w:p>
        </w:tc>
        <w:tc>
          <w:tcPr>
            <w:tcW w:w="1524" w:type="pct"/>
            <w:shd w:val="clear" w:color="auto" w:fill="auto"/>
            <w:tcMar>
              <w:top w:w="85" w:type="dxa"/>
              <w:bottom w:w="85" w:type="dxa"/>
            </w:tcMar>
          </w:tcPr>
          <w:p w14:paraId="093412BE" w14:textId="77777777" w:rsidR="00292B80" w:rsidRPr="00604261" w:rsidRDefault="00292B80" w:rsidP="005A1F7F">
            <w:pPr>
              <w:rPr>
                <w:rFonts w:ascii="Arial" w:hAnsi="Arial" w:cs="Arial"/>
                <w:b/>
                <w:sz w:val="16"/>
                <w:szCs w:val="16"/>
              </w:rPr>
            </w:pPr>
            <w:r>
              <w:rPr>
                <w:rFonts w:ascii="Arial" w:hAnsi="Arial" w:cs="Arial"/>
                <w:color w:val="000000"/>
                <w:sz w:val="16"/>
                <w:szCs w:val="16"/>
              </w:rPr>
              <w:t>INDEPENDENCE - No interference and perceived independence by key stakeholders</w:t>
            </w:r>
          </w:p>
        </w:tc>
        <w:tc>
          <w:tcPr>
            <w:tcW w:w="1585" w:type="pct"/>
            <w:shd w:val="clear" w:color="auto" w:fill="FFFFFF"/>
            <w:tcMar>
              <w:top w:w="85" w:type="dxa"/>
              <w:bottom w:w="85" w:type="dxa"/>
            </w:tcMar>
          </w:tcPr>
          <w:p w14:paraId="2DBFC842"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26</w:t>
            </w:r>
          </w:p>
        </w:tc>
      </w:tr>
      <w:tr w:rsidR="00292B80" w:rsidRPr="00AF5E7C" w14:paraId="1389DA56" w14:textId="77777777" w:rsidTr="007536CC">
        <w:trPr>
          <w:cantSplit/>
          <w:trHeight w:val="335"/>
        </w:trPr>
        <w:tc>
          <w:tcPr>
            <w:tcW w:w="1891" w:type="pct"/>
            <w:shd w:val="clear" w:color="auto" w:fill="auto"/>
            <w:tcMar>
              <w:top w:w="85" w:type="dxa"/>
              <w:bottom w:w="85" w:type="dxa"/>
            </w:tcMar>
          </w:tcPr>
          <w:p w14:paraId="0BC75F77"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7AA60C27" w14:textId="77777777" w:rsidR="00292B80" w:rsidRPr="00604261" w:rsidRDefault="00292B80" w:rsidP="005A1F7F">
            <w:pPr>
              <w:rPr>
                <w:rFonts w:ascii="Arial" w:hAnsi="Arial" w:cs="Arial"/>
                <w:sz w:val="16"/>
                <w:szCs w:val="16"/>
              </w:rPr>
            </w:pPr>
            <w:r w:rsidRPr="00604261">
              <w:rPr>
                <w:rFonts w:ascii="Arial" w:hAnsi="Arial" w:cs="Arial"/>
                <w:sz w:val="16"/>
                <w:szCs w:val="16"/>
              </w:rPr>
              <w:t>EFFECTIVENESS</w:t>
            </w:r>
            <w:r>
              <w:rPr>
                <w:rFonts w:ascii="Arial" w:hAnsi="Arial" w:cs="Arial"/>
                <w:sz w:val="16"/>
                <w:szCs w:val="16"/>
              </w:rPr>
              <w:t xml:space="preserve"> - % of work that covers high risk, relevant areas aligned with the Organization’s Strategy</w:t>
            </w:r>
            <w:r w:rsidRPr="00604261">
              <w:rPr>
                <w:rFonts w:ascii="Arial" w:hAnsi="Arial" w:cs="Arial"/>
                <w:sz w:val="16"/>
                <w:szCs w:val="16"/>
              </w:rPr>
              <w:t xml:space="preserve"> </w:t>
            </w:r>
          </w:p>
        </w:tc>
        <w:tc>
          <w:tcPr>
            <w:tcW w:w="1585" w:type="pct"/>
            <w:shd w:val="clear" w:color="auto" w:fill="FFFFFF"/>
            <w:tcMar>
              <w:top w:w="85" w:type="dxa"/>
              <w:bottom w:w="85" w:type="dxa"/>
            </w:tcMar>
          </w:tcPr>
          <w:p w14:paraId="4F2D2FA6"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26</w:t>
            </w:r>
          </w:p>
        </w:tc>
      </w:tr>
      <w:tr w:rsidR="00292B80" w:rsidRPr="00AF5E7C" w14:paraId="4312BDD9" w14:textId="77777777" w:rsidTr="007536CC">
        <w:trPr>
          <w:cantSplit/>
          <w:trHeight w:val="335"/>
        </w:trPr>
        <w:tc>
          <w:tcPr>
            <w:tcW w:w="1891" w:type="pct"/>
            <w:shd w:val="clear" w:color="auto" w:fill="auto"/>
            <w:tcMar>
              <w:top w:w="85" w:type="dxa"/>
              <w:bottom w:w="85" w:type="dxa"/>
            </w:tcMar>
          </w:tcPr>
          <w:p w14:paraId="2A89BF5B"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017EBCAF" w14:textId="77777777" w:rsidR="00292B80" w:rsidRPr="00604261" w:rsidRDefault="00292B80" w:rsidP="005A1F7F">
            <w:pPr>
              <w:rPr>
                <w:rFonts w:ascii="Arial" w:hAnsi="Arial" w:cs="Arial"/>
                <w:sz w:val="16"/>
                <w:szCs w:val="16"/>
              </w:rPr>
            </w:pPr>
            <w:r w:rsidRPr="00D0315E">
              <w:rPr>
                <w:rFonts w:ascii="Arial" w:hAnsi="Arial" w:cs="Arial"/>
                <w:color w:val="000000"/>
                <w:sz w:val="16"/>
                <w:szCs w:val="16"/>
              </w:rPr>
              <w:t>EFFICIENCY - IOD's reports are issued timely with SMART recommendations</w:t>
            </w:r>
          </w:p>
        </w:tc>
        <w:tc>
          <w:tcPr>
            <w:tcW w:w="1585" w:type="pct"/>
            <w:shd w:val="clear" w:color="auto" w:fill="FFFFFF"/>
            <w:tcMar>
              <w:top w:w="85" w:type="dxa"/>
              <w:bottom w:w="85" w:type="dxa"/>
            </w:tcMar>
          </w:tcPr>
          <w:p w14:paraId="76194902"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26</w:t>
            </w:r>
          </w:p>
        </w:tc>
      </w:tr>
      <w:tr w:rsidR="00292B80" w:rsidRPr="00AF5E7C" w14:paraId="0222EC24" w14:textId="77777777" w:rsidTr="007536CC">
        <w:trPr>
          <w:cantSplit/>
          <w:trHeight w:val="335"/>
        </w:trPr>
        <w:tc>
          <w:tcPr>
            <w:tcW w:w="1891" w:type="pct"/>
            <w:shd w:val="clear" w:color="auto" w:fill="auto"/>
            <w:tcMar>
              <w:top w:w="85" w:type="dxa"/>
              <w:bottom w:w="85" w:type="dxa"/>
            </w:tcMar>
          </w:tcPr>
          <w:p w14:paraId="410A1742"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3B2B0842" w14:textId="77777777" w:rsidR="00292B80" w:rsidRPr="00604261" w:rsidRDefault="00292B80" w:rsidP="005A1F7F">
            <w:pPr>
              <w:rPr>
                <w:rFonts w:ascii="Arial" w:hAnsi="Arial" w:cs="Arial"/>
                <w:sz w:val="16"/>
                <w:szCs w:val="16"/>
              </w:rPr>
            </w:pPr>
            <w:r w:rsidRPr="00D0315E">
              <w:rPr>
                <w:rFonts w:ascii="Arial" w:hAnsi="Arial" w:cs="Arial"/>
                <w:color w:val="000000"/>
                <w:sz w:val="16"/>
                <w:szCs w:val="16"/>
              </w:rPr>
              <w:t>RELEVANCE, ADDED VALUE &amp; STEWARDSHIP- Tangible cost savings or improvements made in business processes and systems</w:t>
            </w:r>
          </w:p>
        </w:tc>
        <w:tc>
          <w:tcPr>
            <w:tcW w:w="1585" w:type="pct"/>
            <w:shd w:val="clear" w:color="auto" w:fill="FFFFFF"/>
            <w:tcMar>
              <w:top w:w="85" w:type="dxa"/>
              <w:bottom w:w="85" w:type="dxa"/>
            </w:tcMar>
          </w:tcPr>
          <w:p w14:paraId="7CE8982D"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26</w:t>
            </w:r>
          </w:p>
        </w:tc>
      </w:tr>
      <w:tr w:rsidR="00292B80" w:rsidRPr="00AF5E7C" w14:paraId="2A4FDAD2" w14:textId="77777777" w:rsidTr="007536CC">
        <w:trPr>
          <w:cantSplit/>
          <w:trHeight w:val="335"/>
        </w:trPr>
        <w:tc>
          <w:tcPr>
            <w:tcW w:w="1891" w:type="pct"/>
            <w:shd w:val="clear" w:color="auto" w:fill="auto"/>
            <w:tcMar>
              <w:top w:w="85" w:type="dxa"/>
              <w:bottom w:w="85" w:type="dxa"/>
            </w:tcMar>
          </w:tcPr>
          <w:p w14:paraId="10C9C2E0" w14:textId="77777777" w:rsidR="00292B80" w:rsidRPr="00AF5E7C" w:rsidRDefault="00292B80" w:rsidP="005A1F7F">
            <w:pPr>
              <w:rPr>
                <w:rFonts w:ascii="Arial" w:hAnsi="Arial" w:cs="Arial"/>
                <w:sz w:val="16"/>
                <w:szCs w:val="16"/>
              </w:rPr>
            </w:pPr>
          </w:p>
        </w:tc>
        <w:tc>
          <w:tcPr>
            <w:tcW w:w="1524" w:type="pct"/>
            <w:shd w:val="clear" w:color="auto" w:fill="auto"/>
            <w:tcMar>
              <w:top w:w="85" w:type="dxa"/>
              <w:bottom w:w="85" w:type="dxa"/>
            </w:tcMar>
          </w:tcPr>
          <w:p w14:paraId="2745BBC8" w14:textId="77777777" w:rsidR="00292B80" w:rsidRPr="00604261" w:rsidRDefault="00292B80" w:rsidP="005A1F7F">
            <w:pPr>
              <w:rPr>
                <w:rFonts w:ascii="Arial" w:hAnsi="Arial" w:cs="Arial"/>
                <w:sz w:val="16"/>
                <w:szCs w:val="16"/>
              </w:rPr>
            </w:pPr>
            <w:r w:rsidRPr="00D0315E">
              <w:rPr>
                <w:rFonts w:ascii="Arial" w:hAnsi="Arial" w:cs="Arial"/>
                <w:color w:val="000000"/>
                <w:sz w:val="16"/>
                <w:szCs w:val="16"/>
              </w:rPr>
              <w:t>ORGANIZATIONAL LEARNING-Uptake of Lessons and Recommendations from Oversight Processes</w:t>
            </w:r>
          </w:p>
        </w:tc>
        <w:tc>
          <w:tcPr>
            <w:tcW w:w="1585" w:type="pct"/>
            <w:shd w:val="clear" w:color="auto" w:fill="FFFFFF"/>
            <w:tcMar>
              <w:top w:w="85" w:type="dxa"/>
              <w:bottom w:w="85" w:type="dxa"/>
            </w:tcMar>
          </w:tcPr>
          <w:p w14:paraId="3941BF2C" w14:textId="77777777" w:rsidR="00292B80" w:rsidRPr="00AF5E7C" w:rsidRDefault="00292B80" w:rsidP="005A1F7F">
            <w:pPr>
              <w:ind w:left="821"/>
              <w:rPr>
                <w:rFonts w:ascii="Arial" w:hAnsi="Arial" w:cs="Arial"/>
                <w:sz w:val="16"/>
                <w:szCs w:val="16"/>
                <w:lang w:bidi="th-TH"/>
              </w:rPr>
            </w:pPr>
            <w:r>
              <w:rPr>
                <w:rFonts w:ascii="Arial" w:hAnsi="Arial" w:cs="Arial"/>
                <w:sz w:val="16"/>
                <w:szCs w:val="16"/>
              </w:rPr>
              <w:t>Program 26</w:t>
            </w:r>
          </w:p>
        </w:tc>
      </w:tr>
    </w:tbl>
    <w:p w14:paraId="7D3F2180" w14:textId="77777777" w:rsidR="00292B80" w:rsidRDefault="00292B80">
      <w:pPr>
        <w:rPr>
          <w:rFonts w:ascii="Arial" w:hAnsi="Arial" w:cs="Arial"/>
          <w:sz w:val="20"/>
        </w:rPr>
      </w:pPr>
    </w:p>
    <w:p w14:paraId="4A66450A" w14:textId="507371F7" w:rsidR="00984F70" w:rsidRDefault="00984F70">
      <w:pPr>
        <w:rPr>
          <w:rFonts w:ascii="Arial" w:hAnsi="Arial" w:cs="Arial"/>
          <w:sz w:val="20"/>
        </w:rPr>
      </w:pPr>
      <w:r>
        <w:rPr>
          <w:rFonts w:ascii="Arial" w:hAnsi="Arial" w:cs="Arial"/>
          <w:sz w:val="20"/>
        </w:rPr>
        <w:br w:type="page"/>
      </w:r>
    </w:p>
    <w:p w14:paraId="171571C6" w14:textId="43013EBE" w:rsidR="00984F70" w:rsidRPr="008E77FC" w:rsidRDefault="00502473" w:rsidP="00984F70">
      <w:pPr>
        <w:pStyle w:val="StyleHeading3ComplexItalic"/>
        <w:ind w:left="1985" w:hanging="1985"/>
        <w:rPr>
          <w:bCs/>
          <w:iCs w:val="0"/>
          <w:sz w:val="20"/>
        </w:rPr>
      </w:pPr>
      <w:bookmarkStart w:id="69" w:name="_Toc367350602"/>
      <w:bookmarkStart w:id="70" w:name="_Toc427154425"/>
      <w:r w:rsidRPr="008E77FC">
        <w:rPr>
          <w:bCs/>
          <w:iCs w:val="0"/>
          <w:caps w:val="0"/>
        </w:rPr>
        <w:lastRenderedPageBreak/>
        <w:t>PROGRAM 21</w:t>
      </w:r>
      <w:r w:rsidRPr="008E77FC">
        <w:rPr>
          <w:bCs/>
          <w:iCs w:val="0"/>
          <w:caps w:val="0"/>
        </w:rPr>
        <w:tab/>
        <w:t>EXECUTIVE MANAGEMENT</w:t>
      </w:r>
      <w:bookmarkEnd w:id="69"/>
      <w:bookmarkEnd w:id="70"/>
    </w:p>
    <w:p w14:paraId="2CBA89A1" w14:textId="77777777" w:rsidR="00984F70" w:rsidRPr="005F226D" w:rsidRDefault="00984F70" w:rsidP="00984F70">
      <w:pPr>
        <w:tabs>
          <w:tab w:val="left" w:pos="2268"/>
        </w:tabs>
        <w:ind w:left="2268" w:hanging="2268"/>
        <w:rPr>
          <w:rFonts w:ascii="Arial" w:hAnsi="Arial" w:cs="Arial"/>
          <w:b/>
          <w:sz w:val="20"/>
        </w:rPr>
      </w:pPr>
    </w:p>
    <w:p w14:paraId="0B3EB105" w14:textId="77777777" w:rsidR="00984F70" w:rsidRDefault="00984F70" w:rsidP="00984F70">
      <w:pPr>
        <w:pStyle w:val="BodyTextIndent"/>
        <w:ind w:left="1985" w:hanging="1985"/>
        <w:jc w:val="both"/>
        <w:rPr>
          <w:rFonts w:ascii="Arial" w:hAnsi="Arial" w:cs="Arial"/>
          <w:sz w:val="22"/>
          <w:szCs w:val="22"/>
        </w:rPr>
      </w:pPr>
    </w:p>
    <w:p w14:paraId="7F19C3E3" w14:textId="77777777" w:rsidR="00984F70" w:rsidRPr="005F226D" w:rsidRDefault="00984F70" w:rsidP="00984F70">
      <w:pPr>
        <w:pStyle w:val="BodyTextIndent"/>
        <w:ind w:left="1985" w:hanging="1985"/>
        <w:jc w:val="both"/>
        <w:rPr>
          <w:rFonts w:ascii="Arial" w:hAnsi="Arial" w:cs="Arial"/>
          <w:sz w:val="22"/>
          <w:szCs w:val="22"/>
        </w:rPr>
      </w:pPr>
      <w:r w:rsidRPr="005F226D">
        <w:rPr>
          <w:rFonts w:ascii="Arial" w:hAnsi="Arial" w:cs="Arial"/>
          <w:sz w:val="22"/>
          <w:szCs w:val="22"/>
        </w:rPr>
        <w:t>PLANNING CONTEXT</w:t>
      </w:r>
    </w:p>
    <w:p w14:paraId="1A7CC8B7" w14:textId="77777777" w:rsidR="00984F70" w:rsidRPr="005F226D" w:rsidRDefault="00984F70" w:rsidP="00984F70">
      <w:pPr>
        <w:rPr>
          <w:rFonts w:ascii="Arial" w:hAnsi="Arial" w:cs="Arial"/>
          <w:sz w:val="20"/>
        </w:rPr>
      </w:pPr>
    </w:p>
    <w:p w14:paraId="402CC183" w14:textId="77777777" w:rsidR="00984F70" w:rsidRPr="005F226D" w:rsidRDefault="00984F70" w:rsidP="00B66A4A">
      <w:pPr>
        <w:numPr>
          <w:ilvl w:val="0"/>
          <w:numId w:val="21"/>
        </w:numPr>
        <w:jc w:val="both"/>
        <w:rPr>
          <w:rFonts w:ascii="Arial" w:hAnsi="Arial" w:cs="Arial"/>
          <w:sz w:val="20"/>
        </w:rPr>
      </w:pPr>
      <w:r w:rsidRPr="005F226D">
        <w:rPr>
          <w:rFonts w:ascii="Arial" w:hAnsi="Arial" w:cs="Arial"/>
          <w:sz w:val="20"/>
        </w:rPr>
        <w:t>WIPO’s Executive Management Program provides the strategic direction for the Organization, enabling it to progress towards realizing its Strategic Goals.  The Program is also responsible for leading the change required to ensure that WIPO efficiently and effectively delivers its mandate in a rapidly changing external environment.</w:t>
      </w:r>
    </w:p>
    <w:p w14:paraId="10089ECD" w14:textId="77777777" w:rsidR="00984F70" w:rsidRPr="005F226D" w:rsidRDefault="00984F70" w:rsidP="00984F70">
      <w:pPr>
        <w:jc w:val="both"/>
        <w:rPr>
          <w:rFonts w:ascii="Arial" w:hAnsi="Arial" w:cs="Arial"/>
          <w:sz w:val="20"/>
        </w:rPr>
      </w:pPr>
    </w:p>
    <w:p w14:paraId="35C0DAA4" w14:textId="77777777" w:rsidR="00984F70" w:rsidRPr="005F226D" w:rsidRDefault="00984F70" w:rsidP="00B66A4A">
      <w:pPr>
        <w:numPr>
          <w:ilvl w:val="0"/>
          <w:numId w:val="21"/>
        </w:numPr>
        <w:jc w:val="both"/>
        <w:rPr>
          <w:rFonts w:ascii="Arial" w:hAnsi="Arial" w:cs="Arial"/>
          <w:sz w:val="20"/>
        </w:rPr>
      </w:pPr>
      <w:r w:rsidRPr="005F226D">
        <w:rPr>
          <w:rFonts w:ascii="Arial" w:hAnsi="Arial" w:cs="Arial"/>
          <w:sz w:val="20"/>
        </w:rPr>
        <w:t xml:space="preserve">The external environment in which WIPO operates continues to be demanding and pose challenges for the achievement of organizational objectives.  Global economic recovery has been uneven and shocks such as recent currency volatility underline the external risks which the Organization continues to face.  Against this backdrop, IP and innovation remain at the center of intense economic competition, underlining the importance which they continue to play for economic success and national development.  This continues to be reflected in the strong demand from Member States for WIPO’s support and assistance.  At the same time, the pace of the development of new norms around IP stands in contrast to the rapid pace of technological and social change.  Looking ahead, the Organization faces multiple challenges of providing equitable and effective responses to requests for assistance, ensuring that the income-generating services of the Organization are adequately resourced, reformed and remain competitive, and providing an enabling space in which Member States can coalesce and seek consensus around the normative framework.  </w:t>
      </w:r>
    </w:p>
    <w:p w14:paraId="429099F3" w14:textId="77777777" w:rsidR="00984F70" w:rsidRPr="005F226D" w:rsidRDefault="00984F70" w:rsidP="00984F70">
      <w:pPr>
        <w:tabs>
          <w:tab w:val="num" w:pos="709"/>
        </w:tabs>
        <w:ind w:left="1140" w:hanging="1140"/>
        <w:rPr>
          <w:rFonts w:ascii="Arial" w:hAnsi="Arial" w:cs="Arial"/>
          <w:bCs/>
          <w:sz w:val="20"/>
        </w:rPr>
      </w:pPr>
    </w:p>
    <w:p w14:paraId="406EC6FC" w14:textId="77777777" w:rsidR="00984F70" w:rsidRPr="005F226D" w:rsidRDefault="00984F70" w:rsidP="00984F70">
      <w:pPr>
        <w:tabs>
          <w:tab w:val="num" w:pos="709"/>
        </w:tabs>
        <w:ind w:left="1140" w:hanging="1140"/>
        <w:rPr>
          <w:rFonts w:ascii="Arial" w:hAnsi="Arial" w:cs="Arial"/>
          <w:bCs/>
          <w:sz w:val="20"/>
        </w:rPr>
      </w:pPr>
    </w:p>
    <w:p w14:paraId="74D484DD" w14:textId="77777777" w:rsidR="00984F70" w:rsidRPr="005F226D" w:rsidRDefault="00984F70" w:rsidP="00984F70">
      <w:pPr>
        <w:jc w:val="both"/>
        <w:rPr>
          <w:rFonts w:ascii="Arial" w:hAnsi="Arial" w:cs="Arial"/>
          <w:iCs/>
          <w:sz w:val="20"/>
        </w:rPr>
      </w:pPr>
      <w:r w:rsidRPr="005F226D">
        <w:rPr>
          <w:rFonts w:ascii="Arial" w:hAnsi="Arial" w:cs="Arial"/>
          <w:iCs/>
        </w:rPr>
        <w:t xml:space="preserve">IMPLEMENTATION STRATEGIES   </w:t>
      </w:r>
    </w:p>
    <w:p w14:paraId="17FA11E4" w14:textId="77777777" w:rsidR="00984F70" w:rsidRPr="005F226D" w:rsidRDefault="00984F70" w:rsidP="00984F70">
      <w:pPr>
        <w:tabs>
          <w:tab w:val="num" w:pos="709"/>
        </w:tabs>
        <w:jc w:val="both"/>
        <w:rPr>
          <w:rFonts w:ascii="Arial" w:hAnsi="Arial" w:cs="Arial"/>
          <w:bCs/>
          <w:sz w:val="20"/>
        </w:rPr>
      </w:pPr>
    </w:p>
    <w:p w14:paraId="6F8D1830" w14:textId="69561E98" w:rsidR="00984F70" w:rsidRPr="005F226D" w:rsidRDefault="00984F70" w:rsidP="00B66A4A">
      <w:pPr>
        <w:numPr>
          <w:ilvl w:val="0"/>
          <w:numId w:val="21"/>
        </w:numPr>
        <w:jc w:val="both"/>
        <w:rPr>
          <w:rFonts w:ascii="Arial" w:hAnsi="Arial" w:cs="Arial"/>
          <w:sz w:val="20"/>
        </w:rPr>
      </w:pPr>
      <w:r w:rsidRPr="005F226D">
        <w:rPr>
          <w:rFonts w:ascii="Arial" w:hAnsi="Arial" w:cs="Arial"/>
          <w:sz w:val="20"/>
        </w:rPr>
        <w:t xml:space="preserve">The enduring focus on IP and the balancing of interests in the current context will require the Program to place considerable emphasis on leading efforts to strengthen trusted and transparent communication with Member States and stakeholders, so as to assist </w:t>
      </w:r>
      <w:r w:rsidR="00ED6FE3">
        <w:rPr>
          <w:rFonts w:ascii="Arial" w:hAnsi="Arial" w:cs="Arial"/>
          <w:sz w:val="20"/>
        </w:rPr>
        <w:t xml:space="preserve">in </w:t>
      </w:r>
      <w:r w:rsidRPr="005F226D">
        <w:rPr>
          <w:rFonts w:ascii="Arial" w:hAnsi="Arial" w:cs="Arial"/>
          <w:sz w:val="20"/>
        </w:rPr>
        <w:t>the achievement of consensus around progressing the Strategic Goals.</w:t>
      </w:r>
    </w:p>
    <w:p w14:paraId="12E5EAC4" w14:textId="77777777" w:rsidR="00984F70" w:rsidRPr="005F226D" w:rsidRDefault="00984F70" w:rsidP="00984F70">
      <w:pPr>
        <w:jc w:val="both"/>
        <w:rPr>
          <w:rFonts w:ascii="Arial" w:hAnsi="Arial" w:cs="Arial"/>
          <w:sz w:val="20"/>
        </w:rPr>
      </w:pPr>
    </w:p>
    <w:p w14:paraId="196C2850" w14:textId="77777777" w:rsidR="00984F70" w:rsidRPr="005F226D" w:rsidRDefault="00984F70" w:rsidP="00B66A4A">
      <w:pPr>
        <w:numPr>
          <w:ilvl w:val="0"/>
          <w:numId w:val="21"/>
        </w:numPr>
        <w:jc w:val="both"/>
        <w:rPr>
          <w:rFonts w:ascii="Arial" w:hAnsi="Arial" w:cs="Arial"/>
          <w:sz w:val="20"/>
        </w:rPr>
      </w:pPr>
      <w:r w:rsidRPr="005F226D">
        <w:rPr>
          <w:rFonts w:ascii="Arial" w:hAnsi="Arial" w:cs="Arial"/>
          <w:sz w:val="20"/>
        </w:rPr>
        <w:t>The Program will champion and support the implementation of strategies and initiatives that enhance decisive, integrated and accountable management focused on the delivery of results while fostering ethical conduct and governance responsibility. In this context, the Program will devote particular energy to ensuring that External Offices are effective and fully integrated into Organizational efforts to achieve the Strategic Goals.  There will be a focus on building organizational resilience to a broad range of risks and safeguarding crucial operational processes.  Work within the Program will also aim to achieve a productive work environment, which reflects organizational values, and is supported by a fair and equitable rules framework, respectful workplace policies and effective channels to address staff concerns.</w:t>
      </w:r>
    </w:p>
    <w:p w14:paraId="655346FF" w14:textId="77777777" w:rsidR="00984F70" w:rsidRPr="005F226D" w:rsidRDefault="00984F70" w:rsidP="00984F70">
      <w:pPr>
        <w:jc w:val="both"/>
        <w:rPr>
          <w:rFonts w:ascii="Arial" w:hAnsi="Arial" w:cs="Arial"/>
          <w:sz w:val="20"/>
        </w:rPr>
      </w:pPr>
    </w:p>
    <w:p w14:paraId="46D79ED8" w14:textId="77777777" w:rsidR="00984F70" w:rsidRPr="005F226D" w:rsidRDefault="00984F70" w:rsidP="00B66A4A">
      <w:pPr>
        <w:numPr>
          <w:ilvl w:val="0"/>
          <w:numId w:val="21"/>
        </w:numPr>
        <w:jc w:val="both"/>
        <w:rPr>
          <w:rFonts w:ascii="Arial" w:hAnsi="Arial" w:cs="Arial"/>
          <w:sz w:val="20"/>
        </w:rPr>
      </w:pPr>
      <w:r w:rsidRPr="005F226D">
        <w:rPr>
          <w:rFonts w:ascii="Arial" w:hAnsi="Arial" w:cs="Arial"/>
          <w:sz w:val="20"/>
        </w:rPr>
        <w:t xml:space="preserve">The following strategies will be pursued in 2016/17: </w:t>
      </w:r>
    </w:p>
    <w:p w14:paraId="58F5A81F" w14:textId="77777777" w:rsidR="00984F70" w:rsidRPr="005F226D" w:rsidRDefault="00984F70" w:rsidP="00984F70">
      <w:pPr>
        <w:tabs>
          <w:tab w:val="left" w:pos="1134"/>
        </w:tabs>
        <w:ind w:left="567"/>
        <w:jc w:val="both"/>
        <w:rPr>
          <w:rFonts w:ascii="Arial" w:hAnsi="Arial" w:cs="Arial"/>
          <w:sz w:val="20"/>
        </w:rPr>
      </w:pPr>
    </w:p>
    <w:p w14:paraId="633F9D6D"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Strengthening communication with Member States</w:t>
      </w:r>
      <w:r w:rsidRPr="005F226D">
        <w:rPr>
          <w:rFonts w:ascii="Arial" w:hAnsi="Arial" w:cs="Arial"/>
          <w:sz w:val="20"/>
        </w:rPr>
        <w:t>: Continued regular and quality communication, consultation and dialogue with Member States will ensure the dissemination of information at all levels, and further enhance transparency with respect to program activities.</w:t>
      </w:r>
    </w:p>
    <w:p w14:paraId="1A875B95" w14:textId="77777777" w:rsidR="00984F70" w:rsidRPr="005F226D" w:rsidRDefault="00984F70" w:rsidP="00984F70">
      <w:pPr>
        <w:tabs>
          <w:tab w:val="num" w:pos="360"/>
          <w:tab w:val="left" w:pos="1134"/>
        </w:tabs>
        <w:ind w:left="567"/>
        <w:jc w:val="both"/>
        <w:rPr>
          <w:rFonts w:ascii="Arial" w:hAnsi="Arial" w:cs="Arial"/>
          <w:sz w:val="20"/>
        </w:rPr>
      </w:pPr>
    </w:p>
    <w:p w14:paraId="55D115B4"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Improving internal coherence and efficiency</w:t>
      </w:r>
      <w:r w:rsidRPr="005F226D">
        <w:rPr>
          <w:rFonts w:ascii="Arial" w:hAnsi="Arial" w:cs="Arial"/>
          <w:sz w:val="20"/>
        </w:rPr>
        <w:t>: This will continue to be strengthened through Senior Management Team (SMT)-level coordination and management reporting processes.  The institution of well-defined coordination mechanisms will ensure the integration of External Offices into management processes and enhance their functioning.</w:t>
      </w:r>
    </w:p>
    <w:p w14:paraId="513A8B88" w14:textId="77777777" w:rsidR="00984F70" w:rsidRPr="005F226D" w:rsidRDefault="00984F70" w:rsidP="00984F70">
      <w:pPr>
        <w:tabs>
          <w:tab w:val="num" w:pos="360"/>
          <w:tab w:val="left" w:pos="1134"/>
        </w:tabs>
        <w:ind w:left="567"/>
        <w:jc w:val="both"/>
        <w:rPr>
          <w:rFonts w:ascii="Arial" w:hAnsi="Arial" w:cs="Arial"/>
          <w:sz w:val="20"/>
        </w:rPr>
      </w:pPr>
    </w:p>
    <w:p w14:paraId="4E07C4E2"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iCs/>
          <w:sz w:val="20"/>
        </w:rPr>
        <w:t xml:space="preserve"> Providing prompt legal advice and services</w:t>
      </w:r>
      <w:r w:rsidRPr="005F226D">
        <w:rPr>
          <w:rFonts w:ascii="Arial" w:hAnsi="Arial" w:cs="Arial"/>
          <w:sz w:val="20"/>
        </w:rPr>
        <w:t xml:space="preserve"> in harmony with statutory requirements and applicable law will facilitate the orderly conduct of business by the Secretariat and the constituent organs of the Organization.  Continued development and maintenance of the WIPO Lex database will continue to serve as a universal resource of IP laws and treaties in line with current technological innovation.</w:t>
      </w:r>
    </w:p>
    <w:p w14:paraId="1B190232" w14:textId="77777777" w:rsidR="00984F70" w:rsidRPr="005F226D" w:rsidRDefault="00984F70" w:rsidP="00984F70">
      <w:pPr>
        <w:tabs>
          <w:tab w:val="num" w:pos="360"/>
          <w:tab w:val="left" w:pos="1134"/>
        </w:tabs>
        <w:ind w:left="567"/>
        <w:jc w:val="both"/>
        <w:rPr>
          <w:rFonts w:ascii="Arial" w:hAnsi="Arial" w:cs="Arial"/>
          <w:sz w:val="20"/>
        </w:rPr>
      </w:pPr>
    </w:p>
    <w:p w14:paraId="297607D1"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Establishing an Organizational Resilience Framework</w:t>
      </w:r>
      <w:r w:rsidRPr="005F226D">
        <w:rPr>
          <w:rFonts w:ascii="Arial" w:hAnsi="Arial" w:cs="Arial"/>
          <w:sz w:val="20"/>
        </w:rPr>
        <w:t xml:space="preserve">: Through the development of policy, strategy and plans, WIPO’s contingency planning capabilities will be enhanced with a view to </w:t>
      </w:r>
      <w:r w:rsidRPr="005F226D">
        <w:rPr>
          <w:rFonts w:ascii="Arial" w:hAnsi="Arial" w:cs="Arial"/>
          <w:sz w:val="20"/>
        </w:rPr>
        <w:lastRenderedPageBreak/>
        <w:t xml:space="preserve">mitigating or minimizing, to the extent possible, the impact of disruptions to the Organization’s critical operations.  </w:t>
      </w:r>
    </w:p>
    <w:p w14:paraId="301693A0" w14:textId="77777777" w:rsidR="00984F70" w:rsidRPr="005F226D" w:rsidRDefault="00984F70" w:rsidP="00984F70">
      <w:pPr>
        <w:tabs>
          <w:tab w:val="num" w:pos="360"/>
          <w:tab w:val="left" w:pos="1134"/>
        </w:tabs>
        <w:ind w:left="567"/>
        <w:rPr>
          <w:rFonts w:ascii="Arial" w:hAnsi="Arial" w:cs="Arial"/>
        </w:rPr>
      </w:pPr>
    </w:p>
    <w:p w14:paraId="6D2A2B87"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Building WIPO’s contribution to the Chief Executives Board (CEB)</w:t>
      </w:r>
      <w:r w:rsidRPr="005F226D">
        <w:rPr>
          <w:rFonts w:ascii="Arial" w:hAnsi="Arial" w:cs="Arial"/>
          <w:sz w:val="20"/>
        </w:rPr>
        <w:t>:  WIPO will continue to enhance its participation as an active player within the UN system, including through its contributions at the CEB.  Through its active participation in these bodies, WIPO will continue to strengthen UN-wide initiatives that have relevance for the promotion of innovation and creativity and highlight its good management practices.</w:t>
      </w:r>
    </w:p>
    <w:p w14:paraId="05D4C20C" w14:textId="77777777" w:rsidR="00984F70" w:rsidRPr="005F226D" w:rsidRDefault="00984F70" w:rsidP="00984F70">
      <w:pPr>
        <w:tabs>
          <w:tab w:val="num" w:pos="360"/>
          <w:tab w:val="left" w:pos="1134"/>
        </w:tabs>
        <w:ind w:left="567"/>
        <w:jc w:val="both"/>
        <w:rPr>
          <w:rFonts w:ascii="Arial" w:hAnsi="Arial" w:cs="Arial"/>
          <w:sz w:val="20"/>
        </w:rPr>
      </w:pPr>
    </w:p>
    <w:p w14:paraId="4E24FE55"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Deepening WIPO’s comprehensive ethics and integrity system</w:t>
      </w:r>
      <w:r w:rsidRPr="005F226D">
        <w:rPr>
          <w:rFonts w:ascii="Arial" w:hAnsi="Arial" w:cs="Arial"/>
          <w:sz w:val="20"/>
        </w:rPr>
        <w:t>: Following the establishment of a comprehensive ethics and integrity system at WIPO, the Ethics Office will build on previous work (including the Code of Ethics, anti-retaliation policy and staff training) by continuing to mainstream the system at WIPO through norm-setting, provision of clear and authoritative advice to management and staff of all levels, and awareness-raising and promotional activities.  In particular, following the establishment of WIPO’s Declaration of Interest Policy, a new Policy for Financial Disclosure will be developed.</w:t>
      </w:r>
    </w:p>
    <w:p w14:paraId="7C3DD0A7" w14:textId="77777777" w:rsidR="00984F70" w:rsidRPr="005F226D" w:rsidRDefault="00984F70" w:rsidP="00984F70">
      <w:pPr>
        <w:tabs>
          <w:tab w:val="num" w:pos="360"/>
          <w:tab w:val="left" w:pos="1134"/>
        </w:tabs>
        <w:ind w:left="567"/>
        <w:rPr>
          <w:rFonts w:ascii="Arial" w:hAnsi="Arial" w:cs="Arial"/>
        </w:rPr>
      </w:pPr>
    </w:p>
    <w:p w14:paraId="6A7A8556"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Enhancing the organization of the WIPO Assemblies</w:t>
      </w:r>
      <w:r w:rsidRPr="005F226D">
        <w:rPr>
          <w:rFonts w:ascii="Arial" w:hAnsi="Arial" w:cs="Arial"/>
          <w:sz w:val="20"/>
        </w:rPr>
        <w:t>: Efficient internal coordination and planning will contribute to the thorough and timely preparation of the Assemblies and thereby facilitate the work of Member States in WIPO’s most important governing bodies.</w:t>
      </w:r>
    </w:p>
    <w:p w14:paraId="795A1904" w14:textId="77777777" w:rsidR="00984F70" w:rsidRPr="005F226D" w:rsidRDefault="00984F70" w:rsidP="00984F70">
      <w:pPr>
        <w:tabs>
          <w:tab w:val="num" w:pos="360"/>
          <w:tab w:val="left" w:pos="1134"/>
        </w:tabs>
        <w:ind w:left="567"/>
        <w:jc w:val="both"/>
        <w:rPr>
          <w:rFonts w:ascii="Arial" w:hAnsi="Arial" w:cs="Arial"/>
          <w:sz w:val="20"/>
        </w:rPr>
      </w:pPr>
    </w:p>
    <w:p w14:paraId="107EBA6C"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sz w:val="20"/>
        </w:rPr>
      </w:pPr>
      <w:r w:rsidRPr="005F226D">
        <w:rPr>
          <w:rFonts w:ascii="Arial" w:hAnsi="Arial" w:cs="Arial"/>
          <w:i/>
          <w:sz w:val="20"/>
        </w:rPr>
        <w:t>Strengthening the event-related services offered to Member States and other stakeholders</w:t>
      </w:r>
      <w:r w:rsidRPr="005F226D">
        <w:rPr>
          <w:rFonts w:ascii="Arial" w:hAnsi="Arial" w:cs="Arial"/>
          <w:sz w:val="20"/>
        </w:rPr>
        <w:t>: Continued and enhanced support to Member States and other stakeholders in organizing high-level events will increase the visibility and raise awareness of the role of IP in fostering economic, social and cultural advancement and development.</w:t>
      </w:r>
    </w:p>
    <w:p w14:paraId="68C28066" w14:textId="77777777" w:rsidR="00984F70" w:rsidRPr="005F226D" w:rsidRDefault="00984F70" w:rsidP="00984F70">
      <w:pPr>
        <w:tabs>
          <w:tab w:val="num" w:pos="360"/>
          <w:tab w:val="left" w:pos="1134"/>
        </w:tabs>
        <w:ind w:left="567"/>
        <w:jc w:val="both"/>
        <w:rPr>
          <w:rFonts w:ascii="Arial" w:hAnsi="Arial" w:cs="Arial"/>
          <w:sz w:val="20"/>
        </w:rPr>
      </w:pPr>
    </w:p>
    <w:p w14:paraId="08C4A79E" w14:textId="77777777" w:rsidR="00984F70" w:rsidRPr="005F226D" w:rsidRDefault="00984F70" w:rsidP="00B66A4A">
      <w:pPr>
        <w:numPr>
          <w:ilvl w:val="1"/>
          <w:numId w:val="21"/>
        </w:numPr>
        <w:tabs>
          <w:tab w:val="clear" w:pos="1250"/>
          <w:tab w:val="num" w:pos="360"/>
          <w:tab w:val="left" w:pos="1134"/>
        </w:tabs>
        <w:ind w:left="567"/>
        <w:jc w:val="both"/>
        <w:rPr>
          <w:rFonts w:ascii="Arial" w:hAnsi="Arial" w:cs="Arial"/>
          <w:bCs/>
          <w:sz w:val="20"/>
        </w:rPr>
      </w:pPr>
      <w:r w:rsidRPr="005F226D">
        <w:rPr>
          <w:rFonts w:ascii="Arial" w:hAnsi="Arial" w:cs="Arial"/>
          <w:i/>
          <w:sz w:val="20"/>
        </w:rPr>
        <w:t>Improving the handling of grievances and conflict</w:t>
      </w:r>
      <w:r w:rsidRPr="005F226D">
        <w:rPr>
          <w:rFonts w:ascii="Arial" w:hAnsi="Arial" w:cs="Arial"/>
          <w:sz w:val="20"/>
        </w:rPr>
        <w:t>: The Organization will continue to encourage recourse to informal mechanisms, whenever possible, to prevent conflict escalation and to work towards positive outcomes.  To this end, the Organization will continue to further develop and strengthen its workplace policies, mechanisms and procedures thereby providing staff with a variety of entry points for formal and informal conflict resolution.</w:t>
      </w:r>
    </w:p>
    <w:p w14:paraId="7B5F14B6" w14:textId="77777777" w:rsidR="00984F70" w:rsidRPr="005F226D" w:rsidRDefault="00984F70" w:rsidP="00984F70">
      <w:pPr>
        <w:tabs>
          <w:tab w:val="num" w:pos="709"/>
        </w:tabs>
        <w:rPr>
          <w:rFonts w:ascii="Arial" w:hAnsi="Arial" w:cs="Arial"/>
          <w:i/>
          <w:sz w:val="20"/>
        </w:rPr>
      </w:pPr>
    </w:p>
    <w:p w14:paraId="09AA92CA" w14:textId="77777777" w:rsidR="00984F70" w:rsidRPr="008B6DC1" w:rsidRDefault="00984F70" w:rsidP="00984F70">
      <w:pPr>
        <w:jc w:val="both"/>
        <w:rPr>
          <w:rFonts w:ascii="Arial" w:hAnsi="Arial" w:cs="Arial"/>
          <w:sz w:val="20"/>
        </w:rPr>
      </w:pPr>
    </w:p>
    <w:p w14:paraId="6FCE0ED8" w14:textId="77777777" w:rsidR="00984F70" w:rsidRPr="005F226D" w:rsidRDefault="00984F70" w:rsidP="00984F70">
      <w:pPr>
        <w:pStyle w:val="BodyText"/>
        <w:spacing w:after="0"/>
        <w:rPr>
          <w:rFonts w:eastAsia="SimSun"/>
        </w:rPr>
      </w:pPr>
      <w:r w:rsidRPr="005F226D">
        <w:rPr>
          <w:rFonts w:eastAsia="SimSun"/>
        </w:rPr>
        <w:t>MAJOR RISKS AND MITIGATION STRATEGIES</w:t>
      </w:r>
    </w:p>
    <w:p w14:paraId="4F1C6EE7" w14:textId="77777777" w:rsidR="00984F70" w:rsidRPr="005F226D" w:rsidRDefault="00984F70" w:rsidP="00984F70">
      <w:pPr>
        <w:pStyle w:val="BodyText"/>
        <w:spacing w:after="0"/>
        <w:rPr>
          <w:szCs w:val="22"/>
        </w:rPr>
      </w:pPr>
    </w:p>
    <w:tbl>
      <w:tblPr>
        <w:tblW w:w="9423"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76"/>
        <w:gridCol w:w="5147"/>
      </w:tblGrid>
      <w:tr w:rsidR="00984F70" w:rsidRPr="005F226D" w14:paraId="58B1C358" w14:textId="77777777" w:rsidTr="00323604">
        <w:trPr>
          <w:trHeight w:val="574"/>
        </w:trPr>
        <w:tc>
          <w:tcPr>
            <w:tcW w:w="4276" w:type="dxa"/>
            <w:tcBorders>
              <w:top w:val="single" w:sz="4" w:space="0" w:color="auto"/>
              <w:bottom w:val="single" w:sz="4" w:space="0" w:color="auto"/>
            </w:tcBorders>
            <w:shd w:val="clear" w:color="auto" w:fill="C6D9F1" w:themeFill="text2" w:themeFillTint="33"/>
            <w:vAlign w:val="center"/>
          </w:tcPr>
          <w:p w14:paraId="10D7661E" w14:textId="77777777" w:rsidR="00984F70" w:rsidRPr="005F226D" w:rsidRDefault="00984F70" w:rsidP="00984F70">
            <w:pPr>
              <w:jc w:val="center"/>
              <w:rPr>
                <w:rFonts w:ascii="Arial" w:hAnsi="Arial" w:cs="Arial"/>
                <w:b/>
                <w:bCs/>
                <w:sz w:val="18"/>
                <w:szCs w:val="18"/>
              </w:rPr>
            </w:pPr>
            <w:r w:rsidRPr="005F226D">
              <w:rPr>
                <w:rFonts w:ascii="Arial" w:hAnsi="Arial" w:cs="Arial"/>
                <w:b/>
                <w:bCs/>
                <w:sz w:val="18"/>
                <w:szCs w:val="18"/>
              </w:rPr>
              <w:t>Risk</w:t>
            </w:r>
          </w:p>
        </w:tc>
        <w:tc>
          <w:tcPr>
            <w:tcW w:w="5147" w:type="dxa"/>
            <w:tcBorders>
              <w:top w:val="single" w:sz="4" w:space="0" w:color="auto"/>
              <w:bottom w:val="single" w:sz="4" w:space="0" w:color="auto"/>
            </w:tcBorders>
            <w:shd w:val="clear" w:color="auto" w:fill="C6D9F1" w:themeFill="text2" w:themeFillTint="33"/>
            <w:vAlign w:val="center"/>
          </w:tcPr>
          <w:p w14:paraId="32754A57" w14:textId="77777777" w:rsidR="00984F70" w:rsidRPr="005F226D" w:rsidRDefault="00984F70" w:rsidP="00984F70">
            <w:pPr>
              <w:jc w:val="center"/>
              <w:rPr>
                <w:rFonts w:ascii="Arial" w:hAnsi="Arial" w:cs="Arial"/>
                <w:b/>
                <w:bCs/>
                <w:sz w:val="18"/>
                <w:szCs w:val="18"/>
              </w:rPr>
            </w:pPr>
            <w:r w:rsidRPr="005F226D">
              <w:rPr>
                <w:rFonts w:ascii="Arial" w:hAnsi="Arial" w:cs="Arial"/>
                <w:b/>
                <w:bCs/>
                <w:sz w:val="18"/>
                <w:szCs w:val="18"/>
              </w:rPr>
              <w:t>Mitigation</w:t>
            </w:r>
          </w:p>
        </w:tc>
      </w:tr>
      <w:tr w:rsidR="00984F70" w:rsidRPr="005F226D" w14:paraId="2C846127" w14:textId="77777777" w:rsidTr="00323604">
        <w:trPr>
          <w:trHeight w:val="223"/>
        </w:trPr>
        <w:tc>
          <w:tcPr>
            <w:tcW w:w="4276"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369FFBB5" w14:textId="77777777" w:rsidR="00984F70" w:rsidRPr="005F226D" w:rsidRDefault="00984F70" w:rsidP="00984F70">
            <w:pPr>
              <w:rPr>
                <w:rFonts w:ascii="Arial" w:hAnsi="Arial" w:cs="Arial"/>
                <w:sz w:val="16"/>
                <w:szCs w:val="16"/>
              </w:rPr>
            </w:pPr>
            <w:r w:rsidRPr="005F226D">
              <w:rPr>
                <w:rFonts w:ascii="Arial" w:hAnsi="Arial" w:cs="Arial"/>
                <w:color w:val="000000"/>
                <w:sz w:val="16"/>
              </w:rPr>
              <w:t>WIPO's effective engagement with Member States is of paramount importance to achieve timely results.  At risk is reduced progress in WIPO’s inter-governmental processes, including in normative discussions and increased cost or extended schedules for implementing approved Programs.  As the international rule-making body for IP, such a situation would negatively impact WIPO’s credibility.</w:t>
            </w:r>
          </w:p>
        </w:tc>
        <w:tc>
          <w:tcPr>
            <w:tcW w:w="5147"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32882872" w14:textId="77777777" w:rsidR="00984F70" w:rsidRPr="005F226D" w:rsidRDefault="00984F70" w:rsidP="00984F70">
            <w:pPr>
              <w:rPr>
                <w:rFonts w:ascii="Arial" w:hAnsi="Arial" w:cs="Arial"/>
                <w:sz w:val="16"/>
                <w:szCs w:val="16"/>
              </w:rPr>
            </w:pPr>
            <w:r w:rsidRPr="005F226D">
              <w:rPr>
                <w:rFonts w:ascii="Arial" w:hAnsi="Arial" w:cs="Arial"/>
                <w:color w:val="000000"/>
                <w:sz w:val="16"/>
              </w:rPr>
              <w:t>Continued close, trusted and transparent coordination between the Secretariat and Member States.</w:t>
            </w:r>
          </w:p>
        </w:tc>
      </w:tr>
    </w:tbl>
    <w:p w14:paraId="6D8FD06F" w14:textId="77777777" w:rsidR="00984F70" w:rsidRPr="005F226D" w:rsidRDefault="00984F70" w:rsidP="00984F70">
      <w:pPr>
        <w:rPr>
          <w:rFonts w:ascii="Arial" w:hAnsi="Arial" w:cs="Arial"/>
          <w:sz w:val="20"/>
        </w:rPr>
      </w:pPr>
    </w:p>
    <w:p w14:paraId="413C262A" w14:textId="77777777" w:rsidR="00984F70" w:rsidRPr="005F226D" w:rsidRDefault="00984F70" w:rsidP="00984F70">
      <w:pPr>
        <w:rPr>
          <w:rFonts w:ascii="Arial" w:hAnsi="Arial" w:cs="Arial"/>
          <w:sz w:val="20"/>
        </w:rPr>
      </w:pPr>
    </w:p>
    <w:p w14:paraId="3B90EC0E" w14:textId="77777777" w:rsidR="00984F70" w:rsidRPr="005F226D" w:rsidRDefault="00984F70" w:rsidP="00984F70">
      <w:pPr>
        <w:keepNext/>
        <w:keepLines/>
        <w:rPr>
          <w:rFonts w:ascii="Arial" w:hAnsi="Arial" w:cs="Arial"/>
        </w:rPr>
      </w:pPr>
      <w:r w:rsidRPr="005F226D">
        <w:rPr>
          <w:rFonts w:ascii="Arial" w:hAnsi="Arial" w:cs="Arial"/>
        </w:rPr>
        <w:lastRenderedPageBreak/>
        <w:t xml:space="preserve">RESULTS FRAMEWORK </w:t>
      </w:r>
    </w:p>
    <w:p w14:paraId="41BCA3E9" w14:textId="77777777" w:rsidR="00984F70" w:rsidRPr="005F226D" w:rsidRDefault="00984F70" w:rsidP="00984F70">
      <w:pPr>
        <w:keepNext/>
        <w:keepLines/>
        <w:rPr>
          <w:rFonts w:ascii="Arial" w:hAnsi="Arial" w:cs="Arial"/>
        </w:rPr>
      </w:pPr>
    </w:p>
    <w:tbl>
      <w:tblPr>
        <w:tblW w:w="9513" w:type="dxa"/>
        <w:tblInd w:w="93" w:type="dxa"/>
        <w:tblLook w:val="04A0" w:firstRow="1" w:lastRow="0" w:firstColumn="1" w:lastColumn="0" w:noHBand="0" w:noVBand="1"/>
      </w:tblPr>
      <w:tblGrid>
        <w:gridCol w:w="2560"/>
        <w:gridCol w:w="2560"/>
        <w:gridCol w:w="2080"/>
        <w:gridCol w:w="2313"/>
      </w:tblGrid>
      <w:tr w:rsidR="00984F70" w:rsidRPr="005F226D" w14:paraId="48DD872B" w14:textId="77777777" w:rsidTr="00984F70">
        <w:trPr>
          <w:trHeight w:val="617"/>
        </w:trPr>
        <w:tc>
          <w:tcPr>
            <w:tcW w:w="2560" w:type="dxa"/>
            <w:tcBorders>
              <w:top w:val="single" w:sz="4" w:space="0" w:color="auto"/>
              <w:left w:val="single" w:sz="4" w:space="0" w:color="auto"/>
              <w:bottom w:val="single" w:sz="4" w:space="0" w:color="auto"/>
              <w:right w:val="nil"/>
            </w:tcBorders>
            <w:shd w:val="clear" w:color="000000" w:fill="C6D9F1" w:themeFill="text2" w:themeFillTint="33"/>
            <w:vAlign w:val="center"/>
            <w:hideMark/>
          </w:tcPr>
          <w:p w14:paraId="7CE8FEC7" w14:textId="77777777" w:rsidR="00984F70" w:rsidRPr="005F226D" w:rsidRDefault="00984F70" w:rsidP="00984F70">
            <w:pPr>
              <w:keepNext/>
              <w:keepLines/>
              <w:jc w:val="center"/>
              <w:rPr>
                <w:rFonts w:ascii="Arial" w:hAnsi="Arial" w:cs="Arial"/>
                <w:b/>
                <w:bCs/>
                <w:color w:val="000000"/>
                <w:sz w:val="18"/>
                <w:szCs w:val="18"/>
              </w:rPr>
            </w:pPr>
            <w:r w:rsidRPr="005F226D">
              <w:rPr>
                <w:rFonts w:ascii="Arial" w:hAnsi="Arial" w:cs="Arial"/>
                <w:b/>
                <w:bCs/>
                <w:color w:val="000000"/>
                <w:sz w:val="18"/>
                <w:szCs w:val="18"/>
              </w:rPr>
              <w:t>Expected Results</w:t>
            </w:r>
          </w:p>
        </w:tc>
        <w:tc>
          <w:tcPr>
            <w:tcW w:w="2560" w:type="dxa"/>
            <w:tcBorders>
              <w:top w:val="single" w:sz="4" w:space="0" w:color="auto"/>
              <w:left w:val="nil"/>
              <w:bottom w:val="single" w:sz="4" w:space="0" w:color="auto"/>
              <w:right w:val="nil"/>
            </w:tcBorders>
            <w:shd w:val="clear" w:color="000000" w:fill="C6D9F1" w:themeFill="text2" w:themeFillTint="33"/>
            <w:vAlign w:val="center"/>
            <w:hideMark/>
          </w:tcPr>
          <w:p w14:paraId="11831008" w14:textId="77777777" w:rsidR="00984F70" w:rsidRPr="005F226D" w:rsidRDefault="00984F70" w:rsidP="00984F70">
            <w:pPr>
              <w:keepNext/>
              <w:keepLines/>
              <w:jc w:val="center"/>
              <w:rPr>
                <w:rFonts w:ascii="Arial" w:hAnsi="Arial" w:cs="Arial"/>
                <w:b/>
                <w:bCs/>
                <w:color w:val="000000"/>
                <w:sz w:val="18"/>
                <w:szCs w:val="18"/>
              </w:rPr>
            </w:pPr>
            <w:r w:rsidRPr="005F226D">
              <w:rPr>
                <w:rFonts w:ascii="Arial" w:hAnsi="Arial" w:cs="Arial"/>
                <w:b/>
                <w:bCs/>
                <w:color w:val="000000"/>
                <w:sz w:val="18"/>
                <w:szCs w:val="18"/>
              </w:rPr>
              <w:t>Performance Indicators</w:t>
            </w:r>
          </w:p>
        </w:tc>
        <w:tc>
          <w:tcPr>
            <w:tcW w:w="2080" w:type="dxa"/>
            <w:tcBorders>
              <w:top w:val="single" w:sz="4" w:space="0" w:color="auto"/>
              <w:left w:val="nil"/>
              <w:bottom w:val="single" w:sz="4" w:space="0" w:color="auto"/>
              <w:right w:val="nil"/>
            </w:tcBorders>
            <w:shd w:val="clear" w:color="000000" w:fill="C6D9F1" w:themeFill="text2" w:themeFillTint="33"/>
            <w:vAlign w:val="center"/>
            <w:hideMark/>
          </w:tcPr>
          <w:p w14:paraId="6C0AC06C" w14:textId="77777777" w:rsidR="00984F70" w:rsidRPr="005F226D" w:rsidRDefault="00984F70" w:rsidP="00984F70">
            <w:pPr>
              <w:keepNext/>
              <w:keepLines/>
              <w:jc w:val="center"/>
              <w:rPr>
                <w:rFonts w:ascii="Arial" w:hAnsi="Arial" w:cs="Arial"/>
                <w:b/>
                <w:bCs/>
                <w:color w:val="000000"/>
                <w:sz w:val="18"/>
                <w:szCs w:val="18"/>
              </w:rPr>
            </w:pPr>
            <w:r w:rsidRPr="005F226D">
              <w:rPr>
                <w:rFonts w:ascii="Arial" w:hAnsi="Arial" w:cs="Arial"/>
                <w:b/>
                <w:bCs/>
                <w:color w:val="000000"/>
                <w:sz w:val="18"/>
                <w:szCs w:val="18"/>
              </w:rPr>
              <w:t>Baselines</w:t>
            </w:r>
          </w:p>
        </w:tc>
        <w:tc>
          <w:tcPr>
            <w:tcW w:w="2313" w:type="dxa"/>
            <w:tcBorders>
              <w:top w:val="single" w:sz="4" w:space="0" w:color="auto"/>
              <w:left w:val="nil"/>
              <w:bottom w:val="single" w:sz="4" w:space="0" w:color="auto"/>
              <w:right w:val="single" w:sz="4" w:space="0" w:color="auto"/>
            </w:tcBorders>
            <w:shd w:val="clear" w:color="000000" w:fill="C6D9F1" w:themeFill="text2" w:themeFillTint="33"/>
            <w:vAlign w:val="center"/>
            <w:hideMark/>
          </w:tcPr>
          <w:p w14:paraId="7384CDF1" w14:textId="77777777" w:rsidR="00984F70" w:rsidRPr="005F226D" w:rsidRDefault="00984F70" w:rsidP="00984F70">
            <w:pPr>
              <w:keepNext/>
              <w:keepLines/>
              <w:jc w:val="center"/>
              <w:rPr>
                <w:rFonts w:ascii="Arial" w:hAnsi="Arial" w:cs="Arial"/>
                <w:b/>
                <w:bCs/>
                <w:color w:val="000000"/>
                <w:sz w:val="18"/>
                <w:szCs w:val="18"/>
              </w:rPr>
            </w:pPr>
            <w:r w:rsidRPr="005F226D">
              <w:rPr>
                <w:rFonts w:ascii="Arial" w:hAnsi="Arial" w:cs="Arial"/>
                <w:b/>
                <w:bCs/>
                <w:color w:val="000000"/>
                <w:sz w:val="18"/>
                <w:szCs w:val="18"/>
              </w:rPr>
              <w:t>Targets</w:t>
            </w:r>
          </w:p>
        </w:tc>
      </w:tr>
      <w:tr w:rsidR="00984F70" w:rsidRPr="005F226D" w14:paraId="39C2B3E0" w14:textId="77777777" w:rsidTr="00984F70">
        <w:trPr>
          <w:trHeight w:val="1228"/>
        </w:trPr>
        <w:tc>
          <w:tcPr>
            <w:tcW w:w="2560" w:type="dxa"/>
            <w:tcBorders>
              <w:top w:val="nil"/>
              <w:left w:val="single" w:sz="4" w:space="0" w:color="auto"/>
              <w:bottom w:val="nil"/>
              <w:right w:val="nil"/>
            </w:tcBorders>
            <w:shd w:val="clear" w:color="000000" w:fill="FFFFFF"/>
            <w:hideMark/>
          </w:tcPr>
          <w:p w14:paraId="759756C2" w14:textId="77777777" w:rsidR="00984F70" w:rsidRPr="005F226D" w:rsidRDefault="00984F70" w:rsidP="00984F70">
            <w:pPr>
              <w:keepNext/>
              <w:keepLines/>
              <w:rPr>
                <w:rFonts w:ascii="Arial" w:hAnsi="Arial" w:cs="Arial"/>
                <w:color w:val="000000"/>
                <w:sz w:val="16"/>
                <w:szCs w:val="16"/>
              </w:rPr>
            </w:pPr>
            <w:r w:rsidRPr="005F226D">
              <w:rPr>
                <w:rFonts w:ascii="Arial" w:hAnsi="Arial" w:cs="Arial"/>
                <w:color w:val="000000"/>
                <w:sz w:val="16"/>
                <w:szCs w:val="16"/>
              </w:rPr>
              <w:br/>
              <w:t>IV.2 Enhanced access to, and use of, IP information by IP institutions and the public to promote innovation and creativity</w:t>
            </w:r>
          </w:p>
        </w:tc>
        <w:tc>
          <w:tcPr>
            <w:tcW w:w="2560" w:type="dxa"/>
            <w:tcBorders>
              <w:top w:val="nil"/>
              <w:left w:val="nil"/>
              <w:bottom w:val="nil"/>
              <w:right w:val="nil"/>
            </w:tcBorders>
            <w:shd w:val="clear" w:color="000000" w:fill="FFFFFF"/>
            <w:hideMark/>
          </w:tcPr>
          <w:p w14:paraId="49E83E05"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br/>
              <w:t>Increase in the no. of WIPO Lex users</w:t>
            </w:r>
          </w:p>
        </w:tc>
        <w:tc>
          <w:tcPr>
            <w:tcW w:w="2080" w:type="dxa"/>
            <w:tcBorders>
              <w:top w:val="nil"/>
              <w:left w:val="nil"/>
              <w:bottom w:val="nil"/>
              <w:right w:val="nil"/>
            </w:tcBorders>
            <w:shd w:val="clear" w:color="000000" w:fill="FFFFFF"/>
            <w:hideMark/>
          </w:tcPr>
          <w:p w14:paraId="6DA03515"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br/>
              <w:t>2,236,486 (2012/13)</w:t>
            </w:r>
          </w:p>
          <w:p w14:paraId="36215CB8" w14:textId="77777777" w:rsidR="00984F70" w:rsidRPr="005F226D" w:rsidRDefault="00984F70" w:rsidP="00984F70">
            <w:pPr>
              <w:keepNext/>
              <w:keepLines/>
              <w:ind w:left="316" w:firstLineChars="2" w:firstLine="3"/>
              <w:rPr>
                <w:rFonts w:ascii="Arial" w:hAnsi="Arial" w:cs="Arial"/>
                <w:color w:val="000000"/>
                <w:sz w:val="16"/>
                <w:szCs w:val="16"/>
              </w:rPr>
            </w:pPr>
            <w:r w:rsidRPr="005F226D">
              <w:rPr>
                <w:rFonts w:ascii="Arial" w:hAnsi="Arial" w:cs="Arial"/>
                <w:color w:val="000000"/>
                <w:sz w:val="16"/>
                <w:szCs w:val="16"/>
              </w:rPr>
              <w:t>1,506,508 (2014)</w:t>
            </w:r>
          </w:p>
        </w:tc>
        <w:tc>
          <w:tcPr>
            <w:tcW w:w="2313" w:type="dxa"/>
            <w:tcBorders>
              <w:top w:val="nil"/>
              <w:left w:val="nil"/>
              <w:bottom w:val="nil"/>
              <w:right w:val="single" w:sz="4" w:space="0" w:color="auto"/>
            </w:tcBorders>
            <w:shd w:val="clear" w:color="000000" w:fill="FFFFFF"/>
            <w:hideMark/>
          </w:tcPr>
          <w:p w14:paraId="38EEBC83" w14:textId="77777777" w:rsidR="00984F70" w:rsidRPr="005F226D" w:rsidRDefault="00984F70" w:rsidP="00984F70">
            <w:pPr>
              <w:keepNext/>
              <w:keepLines/>
              <w:ind w:left="220" w:firstLineChars="62" w:firstLine="99"/>
              <w:rPr>
                <w:rFonts w:ascii="Arial" w:hAnsi="Arial" w:cs="Arial"/>
                <w:color w:val="000000"/>
                <w:sz w:val="16"/>
                <w:szCs w:val="16"/>
              </w:rPr>
            </w:pPr>
            <w:r w:rsidRPr="005F226D">
              <w:rPr>
                <w:rFonts w:ascii="Arial" w:hAnsi="Arial" w:cs="Arial"/>
                <w:color w:val="000000"/>
                <w:sz w:val="16"/>
                <w:szCs w:val="16"/>
              </w:rPr>
              <w:br/>
              <w:t>20%  increase</w:t>
            </w:r>
          </w:p>
        </w:tc>
      </w:tr>
      <w:tr w:rsidR="00984F70" w:rsidRPr="005F226D" w14:paraId="0BA535A6" w14:textId="77777777" w:rsidTr="00984F70">
        <w:trPr>
          <w:trHeight w:val="905"/>
        </w:trPr>
        <w:tc>
          <w:tcPr>
            <w:tcW w:w="2560" w:type="dxa"/>
            <w:vMerge w:val="restart"/>
            <w:tcBorders>
              <w:top w:val="nil"/>
              <w:left w:val="single" w:sz="4" w:space="0" w:color="auto"/>
              <w:bottom w:val="nil"/>
              <w:right w:val="nil"/>
            </w:tcBorders>
            <w:shd w:val="clear" w:color="000000" w:fill="FFFFFF"/>
            <w:hideMark/>
          </w:tcPr>
          <w:p w14:paraId="7D7B5A62" w14:textId="77777777" w:rsidR="00984F70" w:rsidRPr="005F226D" w:rsidRDefault="00984F70" w:rsidP="00984F70">
            <w:pPr>
              <w:keepNext/>
              <w:keepLines/>
              <w:rPr>
                <w:rFonts w:ascii="Arial" w:hAnsi="Arial" w:cs="Arial"/>
                <w:color w:val="000000"/>
                <w:sz w:val="16"/>
                <w:szCs w:val="16"/>
              </w:rPr>
            </w:pPr>
            <w:r w:rsidRPr="005F226D">
              <w:rPr>
                <w:rFonts w:ascii="Arial" w:hAnsi="Arial" w:cs="Arial"/>
                <w:color w:val="000000"/>
                <w:sz w:val="16"/>
                <w:szCs w:val="16"/>
              </w:rPr>
              <w:t>VIII.3 Effective engagement with Member States</w:t>
            </w:r>
          </w:p>
        </w:tc>
        <w:tc>
          <w:tcPr>
            <w:tcW w:w="2560" w:type="dxa"/>
            <w:tcBorders>
              <w:top w:val="nil"/>
              <w:left w:val="nil"/>
              <w:bottom w:val="nil"/>
              <w:right w:val="nil"/>
            </w:tcBorders>
            <w:shd w:val="clear" w:color="000000" w:fill="FFFFFF"/>
            <w:hideMark/>
          </w:tcPr>
          <w:p w14:paraId="004762C8"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 of Committee meetings for which pre-Committee information meetings for Member States are held</w:t>
            </w:r>
          </w:p>
        </w:tc>
        <w:tc>
          <w:tcPr>
            <w:tcW w:w="2080" w:type="dxa"/>
            <w:tcBorders>
              <w:top w:val="nil"/>
              <w:left w:val="nil"/>
              <w:bottom w:val="nil"/>
              <w:right w:val="nil"/>
            </w:tcBorders>
            <w:shd w:val="clear" w:color="000000" w:fill="FFFFFF"/>
            <w:hideMark/>
          </w:tcPr>
          <w:p w14:paraId="4DA54BD3"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93% (end 2014)</w:t>
            </w:r>
          </w:p>
        </w:tc>
        <w:tc>
          <w:tcPr>
            <w:tcW w:w="2313" w:type="dxa"/>
            <w:tcBorders>
              <w:top w:val="nil"/>
              <w:left w:val="nil"/>
              <w:bottom w:val="nil"/>
              <w:right w:val="single" w:sz="4" w:space="0" w:color="auto"/>
            </w:tcBorders>
            <w:shd w:val="clear" w:color="000000" w:fill="FFFFFF"/>
            <w:hideMark/>
          </w:tcPr>
          <w:p w14:paraId="595ACE32" w14:textId="77777777" w:rsidR="00984F70" w:rsidRPr="005F226D" w:rsidRDefault="00984F70" w:rsidP="00984F70">
            <w:pPr>
              <w:keepNext/>
              <w:keepLines/>
              <w:rPr>
                <w:rFonts w:ascii="Arial" w:hAnsi="Arial" w:cs="Arial"/>
                <w:color w:val="000000"/>
                <w:sz w:val="16"/>
                <w:szCs w:val="16"/>
              </w:rPr>
            </w:pPr>
            <w:r w:rsidRPr="005F226D">
              <w:rPr>
                <w:rFonts w:ascii="Arial" w:hAnsi="Arial" w:cs="Arial"/>
                <w:color w:val="000000"/>
                <w:sz w:val="16"/>
                <w:szCs w:val="16"/>
              </w:rPr>
              <w:t xml:space="preserve">     90%</w:t>
            </w:r>
          </w:p>
        </w:tc>
      </w:tr>
      <w:tr w:rsidR="00984F70" w:rsidRPr="005F226D" w14:paraId="517CF063" w14:textId="77777777" w:rsidTr="00984F70">
        <w:trPr>
          <w:trHeight w:val="887"/>
        </w:trPr>
        <w:tc>
          <w:tcPr>
            <w:tcW w:w="2560" w:type="dxa"/>
            <w:vMerge/>
            <w:tcBorders>
              <w:top w:val="nil"/>
              <w:left w:val="single" w:sz="4" w:space="0" w:color="auto"/>
              <w:bottom w:val="nil"/>
              <w:right w:val="nil"/>
            </w:tcBorders>
            <w:vAlign w:val="center"/>
            <w:hideMark/>
          </w:tcPr>
          <w:p w14:paraId="5C07E0D8" w14:textId="77777777" w:rsidR="00984F70" w:rsidRPr="005F226D" w:rsidRDefault="00984F70" w:rsidP="00984F70">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35499982"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 of adherence and other WIPO Treaty-related actions by Member States processed in a timely manner</w:t>
            </w:r>
          </w:p>
        </w:tc>
        <w:tc>
          <w:tcPr>
            <w:tcW w:w="2080" w:type="dxa"/>
            <w:tcBorders>
              <w:top w:val="nil"/>
              <w:left w:val="nil"/>
              <w:bottom w:val="nil"/>
              <w:right w:val="nil"/>
            </w:tcBorders>
            <w:shd w:val="clear" w:color="000000" w:fill="FFFFFF"/>
            <w:hideMark/>
          </w:tcPr>
          <w:p w14:paraId="6392DE4D"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95% processed within three days (end 2014)</w:t>
            </w:r>
          </w:p>
        </w:tc>
        <w:tc>
          <w:tcPr>
            <w:tcW w:w="2313" w:type="dxa"/>
            <w:tcBorders>
              <w:top w:val="nil"/>
              <w:left w:val="nil"/>
              <w:bottom w:val="nil"/>
              <w:right w:val="single" w:sz="4" w:space="0" w:color="auto"/>
            </w:tcBorders>
            <w:shd w:val="clear" w:color="000000" w:fill="FFFFFF"/>
            <w:hideMark/>
          </w:tcPr>
          <w:p w14:paraId="14671428" w14:textId="77777777" w:rsidR="00984F70" w:rsidRPr="005F226D" w:rsidRDefault="00984F70" w:rsidP="00984F70">
            <w:pPr>
              <w:ind w:left="220"/>
              <w:rPr>
                <w:rFonts w:ascii="Arial" w:hAnsi="Arial" w:cs="Arial"/>
                <w:color w:val="000000"/>
                <w:sz w:val="16"/>
                <w:szCs w:val="16"/>
              </w:rPr>
            </w:pPr>
            <w:r w:rsidRPr="005F226D">
              <w:rPr>
                <w:rFonts w:ascii="Arial" w:hAnsi="Arial" w:cs="Arial"/>
                <w:color w:val="000000"/>
                <w:sz w:val="16"/>
                <w:szCs w:val="16"/>
              </w:rPr>
              <w:t>95% processed within three days</w:t>
            </w:r>
          </w:p>
        </w:tc>
      </w:tr>
      <w:tr w:rsidR="00984F70" w:rsidRPr="005F226D" w14:paraId="141B92E0" w14:textId="77777777" w:rsidTr="00984F70">
        <w:trPr>
          <w:trHeight w:val="914"/>
        </w:trPr>
        <w:tc>
          <w:tcPr>
            <w:tcW w:w="2560" w:type="dxa"/>
            <w:vMerge/>
            <w:tcBorders>
              <w:top w:val="nil"/>
              <w:left w:val="single" w:sz="4" w:space="0" w:color="auto"/>
              <w:bottom w:val="nil"/>
              <w:right w:val="nil"/>
            </w:tcBorders>
            <w:vAlign w:val="center"/>
            <w:hideMark/>
          </w:tcPr>
          <w:p w14:paraId="411EE619" w14:textId="77777777" w:rsidR="00984F70" w:rsidRPr="005F226D" w:rsidRDefault="00984F70" w:rsidP="00984F70">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596E28A5"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Timeliness of publication of Assemblies documents</w:t>
            </w:r>
          </w:p>
        </w:tc>
        <w:tc>
          <w:tcPr>
            <w:tcW w:w="2080" w:type="dxa"/>
            <w:tcBorders>
              <w:top w:val="nil"/>
              <w:left w:val="nil"/>
              <w:bottom w:val="nil"/>
              <w:right w:val="nil"/>
            </w:tcBorders>
            <w:shd w:val="clear" w:color="000000" w:fill="FFFFFF"/>
            <w:hideMark/>
          </w:tcPr>
          <w:p w14:paraId="721A1A6E"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96% relevant documents published two months before the 2014 Assemblies</w:t>
            </w:r>
          </w:p>
        </w:tc>
        <w:tc>
          <w:tcPr>
            <w:tcW w:w="2313" w:type="dxa"/>
            <w:tcBorders>
              <w:top w:val="nil"/>
              <w:left w:val="nil"/>
              <w:bottom w:val="nil"/>
              <w:right w:val="single" w:sz="4" w:space="0" w:color="auto"/>
            </w:tcBorders>
            <w:shd w:val="clear" w:color="000000" w:fill="FFFFFF"/>
            <w:hideMark/>
          </w:tcPr>
          <w:p w14:paraId="6E74DBA7" w14:textId="77777777" w:rsidR="00984F70" w:rsidRPr="005F226D" w:rsidRDefault="00984F70" w:rsidP="00984F70">
            <w:pPr>
              <w:ind w:left="220"/>
              <w:rPr>
                <w:rFonts w:ascii="Arial" w:hAnsi="Arial" w:cs="Arial"/>
                <w:color w:val="000000"/>
                <w:sz w:val="16"/>
                <w:szCs w:val="16"/>
              </w:rPr>
            </w:pPr>
            <w:r w:rsidRPr="005F226D">
              <w:rPr>
                <w:rFonts w:ascii="Arial" w:hAnsi="Arial" w:cs="Arial"/>
                <w:color w:val="000000"/>
                <w:sz w:val="16"/>
                <w:szCs w:val="16"/>
              </w:rPr>
              <w:t>95% relevant documents published two months before the Assemblies</w:t>
            </w:r>
          </w:p>
        </w:tc>
      </w:tr>
      <w:tr w:rsidR="00984F70" w:rsidRPr="005F226D" w14:paraId="71E5A7C7" w14:textId="77777777" w:rsidTr="00984F70">
        <w:trPr>
          <w:trHeight w:val="716"/>
        </w:trPr>
        <w:tc>
          <w:tcPr>
            <w:tcW w:w="2560" w:type="dxa"/>
            <w:vMerge/>
            <w:tcBorders>
              <w:top w:val="nil"/>
              <w:left w:val="single" w:sz="4" w:space="0" w:color="auto"/>
              <w:bottom w:val="nil"/>
              <w:right w:val="nil"/>
            </w:tcBorders>
            <w:vAlign w:val="center"/>
            <w:hideMark/>
          </w:tcPr>
          <w:p w14:paraId="00DE62F0" w14:textId="77777777" w:rsidR="00984F70" w:rsidRPr="005F226D" w:rsidRDefault="00984F70" w:rsidP="00984F70">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6E863035" w14:textId="77777777" w:rsidR="00984F70" w:rsidRPr="005F226D" w:rsidRDefault="00984F70" w:rsidP="008D4CE9">
            <w:pPr>
              <w:keepNext/>
              <w:keepLines/>
              <w:ind w:left="41"/>
              <w:rPr>
                <w:rFonts w:ascii="Arial" w:hAnsi="Arial" w:cs="Arial"/>
                <w:color w:val="000000"/>
                <w:sz w:val="16"/>
                <w:szCs w:val="16"/>
              </w:rPr>
            </w:pPr>
            <w:r w:rsidRPr="005F226D">
              <w:rPr>
                <w:rFonts w:ascii="Arial" w:hAnsi="Arial" w:cs="Arial"/>
                <w:color w:val="000000"/>
                <w:sz w:val="16"/>
                <w:szCs w:val="16"/>
              </w:rPr>
              <w:t>Satisfaction rate of Member States and stakeholders with the organization of events</w:t>
            </w:r>
          </w:p>
        </w:tc>
        <w:tc>
          <w:tcPr>
            <w:tcW w:w="2080" w:type="dxa"/>
            <w:tcBorders>
              <w:top w:val="nil"/>
              <w:left w:val="nil"/>
              <w:bottom w:val="nil"/>
              <w:right w:val="nil"/>
            </w:tcBorders>
            <w:shd w:val="clear" w:color="000000" w:fill="FFFFFF"/>
            <w:hideMark/>
          </w:tcPr>
          <w:p w14:paraId="2CF442BD"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2014 survey results: 82%</w:t>
            </w:r>
          </w:p>
        </w:tc>
        <w:tc>
          <w:tcPr>
            <w:tcW w:w="2313" w:type="dxa"/>
            <w:tcBorders>
              <w:top w:val="nil"/>
              <w:left w:val="nil"/>
              <w:bottom w:val="nil"/>
              <w:right w:val="single" w:sz="4" w:space="0" w:color="auto"/>
            </w:tcBorders>
            <w:shd w:val="clear" w:color="000000" w:fill="FFFFFF"/>
            <w:hideMark/>
          </w:tcPr>
          <w:p w14:paraId="31B117AA" w14:textId="77777777" w:rsidR="00984F70" w:rsidRPr="005F226D" w:rsidRDefault="00984F70" w:rsidP="00984F70">
            <w:pPr>
              <w:tabs>
                <w:tab w:val="left" w:pos="222"/>
              </w:tabs>
              <w:rPr>
                <w:rFonts w:ascii="Arial" w:hAnsi="Arial" w:cs="Arial"/>
                <w:color w:val="000000"/>
                <w:sz w:val="16"/>
                <w:szCs w:val="16"/>
              </w:rPr>
            </w:pPr>
            <w:r w:rsidRPr="005F226D">
              <w:rPr>
                <w:rFonts w:ascii="Arial" w:hAnsi="Arial" w:cs="Arial"/>
                <w:color w:val="000000"/>
                <w:sz w:val="16"/>
                <w:szCs w:val="16"/>
              </w:rPr>
              <w:t xml:space="preserve">     85%</w:t>
            </w:r>
          </w:p>
        </w:tc>
      </w:tr>
      <w:tr w:rsidR="00984F70" w:rsidRPr="005F226D" w14:paraId="47277C5E" w14:textId="77777777" w:rsidTr="00984F70">
        <w:trPr>
          <w:trHeight w:val="887"/>
        </w:trPr>
        <w:tc>
          <w:tcPr>
            <w:tcW w:w="2560" w:type="dxa"/>
            <w:vMerge/>
            <w:tcBorders>
              <w:top w:val="nil"/>
              <w:left w:val="single" w:sz="4" w:space="0" w:color="auto"/>
              <w:bottom w:val="nil"/>
              <w:right w:val="nil"/>
            </w:tcBorders>
            <w:vAlign w:val="center"/>
            <w:hideMark/>
          </w:tcPr>
          <w:p w14:paraId="12626107" w14:textId="77777777" w:rsidR="00984F70" w:rsidRPr="005F226D" w:rsidRDefault="00984F70" w:rsidP="00984F70">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6330F407" w14:textId="77777777" w:rsidR="00984F70" w:rsidRPr="005F226D" w:rsidRDefault="00984F70" w:rsidP="008D4CE9">
            <w:pPr>
              <w:keepNext/>
              <w:keepLines/>
              <w:ind w:left="41"/>
              <w:rPr>
                <w:rFonts w:ascii="Arial" w:hAnsi="Arial" w:cs="Arial"/>
                <w:color w:val="000000"/>
                <w:sz w:val="16"/>
                <w:szCs w:val="16"/>
              </w:rPr>
            </w:pPr>
            <w:r w:rsidRPr="005F226D">
              <w:rPr>
                <w:rFonts w:ascii="Arial" w:hAnsi="Arial" w:cs="Arial"/>
                <w:color w:val="000000"/>
                <w:sz w:val="16"/>
                <w:szCs w:val="16"/>
              </w:rPr>
              <w:t>Delegates’ satisfaction levels with the organization of the Assemblies</w:t>
            </w:r>
          </w:p>
        </w:tc>
        <w:tc>
          <w:tcPr>
            <w:tcW w:w="2080" w:type="dxa"/>
            <w:tcBorders>
              <w:top w:val="nil"/>
              <w:left w:val="nil"/>
              <w:bottom w:val="nil"/>
              <w:right w:val="nil"/>
            </w:tcBorders>
            <w:shd w:val="clear" w:color="000000" w:fill="FFFFFF"/>
            <w:hideMark/>
          </w:tcPr>
          <w:p w14:paraId="680E8A01"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87% satisfied with arrangements (2014 WIPO Assemblies Survey)</w:t>
            </w:r>
          </w:p>
        </w:tc>
        <w:tc>
          <w:tcPr>
            <w:tcW w:w="2313" w:type="dxa"/>
            <w:tcBorders>
              <w:top w:val="nil"/>
              <w:left w:val="nil"/>
              <w:bottom w:val="nil"/>
              <w:right w:val="single" w:sz="4" w:space="0" w:color="auto"/>
            </w:tcBorders>
            <w:shd w:val="clear" w:color="000000" w:fill="FFFFFF"/>
            <w:hideMark/>
          </w:tcPr>
          <w:p w14:paraId="10D143EC" w14:textId="77777777" w:rsidR="00984F70" w:rsidRPr="005F226D" w:rsidRDefault="00984F70" w:rsidP="00984F70">
            <w:pPr>
              <w:ind w:left="220"/>
              <w:rPr>
                <w:rFonts w:ascii="Arial" w:hAnsi="Arial" w:cs="Arial"/>
                <w:color w:val="000000"/>
                <w:sz w:val="16"/>
                <w:szCs w:val="16"/>
              </w:rPr>
            </w:pPr>
            <w:r w:rsidRPr="005F226D">
              <w:rPr>
                <w:rFonts w:ascii="Arial" w:hAnsi="Arial" w:cs="Arial"/>
                <w:color w:val="000000"/>
                <w:sz w:val="16"/>
                <w:szCs w:val="16"/>
              </w:rPr>
              <w:t>80% satisfied with arrangements</w:t>
            </w:r>
          </w:p>
        </w:tc>
      </w:tr>
      <w:tr w:rsidR="009F13A9" w:rsidRPr="005F226D" w14:paraId="48D9C7FB" w14:textId="77777777" w:rsidTr="00984F70">
        <w:trPr>
          <w:trHeight w:val="797"/>
        </w:trPr>
        <w:tc>
          <w:tcPr>
            <w:tcW w:w="2560" w:type="dxa"/>
            <w:tcBorders>
              <w:top w:val="nil"/>
              <w:left w:val="single" w:sz="4" w:space="0" w:color="auto"/>
              <w:bottom w:val="nil"/>
              <w:right w:val="nil"/>
            </w:tcBorders>
            <w:shd w:val="clear" w:color="000000" w:fill="FFFFFF"/>
          </w:tcPr>
          <w:p w14:paraId="0F3F69E7" w14:textId="77777777" w:rsidR="009F13A9" w:rsidRDefault="009F13A9" w:rsidP="009F13A9">
            <w:pPr>
              <w:rPr>
                <w:rFonts w:ascii="Arial" w:hAnsi="Arial" w:cs="Arial"/>
                <w:color w:val="000000"/>
                <w:sz w:val="16"/>
                <w:szCs w:val="16"/>
              </w:rPr>
            </w:pPr>
            <w:r w:rsidRPr="00BE1D07">
              <w:rPr>
                <w:rFonts w:ascii="Arial" w:hAnsi="Arial" w:cs="Arial"/>
                <w:color w:val="000000"/>
                <w:sz w:val="16"/>
                <w:szCs w:val="16"/>
              </w:rPr>
              <w:t>VIII.4 Open, transparent and responsive interaction with non-governmental stakeholders</w:t>
            </w:r>
            <w:r w:rsidRPr="00870F2F">
              <w:rPr>
                <w:rFonts w:ascii="Arial" w:hAnsi="Arial" w:cs="Arial"/>
                <w:color w:val="000000"/>
                <w:sz w:val="16"/>
                <w:szCs w:val="16"/>
              </w:rPr>
              <w:t xml:space="preserve"> </w:t>
            </w:r>
          </w:p>
          <w:p w14:paraId="2D61A7AA" w14:textId="77777777" w:rsidR="009F13A9" w:rsidRPr="005F226D" w:rsidRDefault="009F13A9" w:rsidP="00984F70">
            <w:pPr>
              <w:rPr>
                <w:rFonts w:ascii="Arial" w:hAnsi="Arial" w:cs="Arial"/>
                <w:color w:val="000000"/>
                <w:sz w:val="16"/>
                <w:szCs w:val="16"/>
              </w:rPr>
            </w:pPr>
          </w:p>
        </w:tc>
        <w:tc>
          <w:tcPr>
            <w:tcW w:w="2560" w:type="dxa"/>
            <w:tcBorders>
              <w:top w:val="nil"/>
              <w:left w:val="nil"/>
              <w:bottom w:val="nil"/>
              <w:right w:val="nil"/>
            </w:tcBorders>
            <w:shd w:val="clear" w:color="000000" w:fill="FFFFFF"/>
          </w:tcPr>
          <w:p w14:paraId="745F7EB9" w14:textId="77777777" w:rsidR="009F13A9" w:rsidRDefault="009F13A9" w:rsidP="008D4CE9">
            <w:pPr>
              <w:keepNext/>
              <w:keepLines/>
              <w:ind w:left="41" w:hanging="41"/>
              <w:rPr>
                <w:rFonts w:ascii="Arial" w:hAnsi="Arial" w:cs="Arial"/>
                <w:color w:val="000000"/>
                <w:sz w:val="16"/>
                <w:szCs w:val="16"/>
              </w:rPr>
            </w:pPr>
            <w:r w:rsidRPr="00BE1D07">
              <w:rPr>
                <w:rFonts w:ascii="Arial" w:hAnsi="Arial" w:cs="Arial"/>
                <w:color w:val="000000"/>
                <w:sz w:val="16"/>
                <w:szCs w:val="16"/>
              </w:rPr>
              <w:t>No. of permanent observer NGOs engaging in WIPO's work and vice versa</w:t>
            </w:r>
            <w:r>
              <w:rPr>
                <w:rFonts w:ascii="Arial" w:hAnsi="Arial" w:cs="Arial"/>
                <w:color w:val="000000"/>
                <w:sz w:val="16"/>
                <w:szCs w:val="16"/>
              </w:rPr>
              <w:t xml:space="preserve"> </w:t>
            </w:r>
          </w:p>
          <w:p w14:paraId="1669F6F5" w14:textId="77777777" w:rsidR="009F13A9" w:rsidRPr="005F226D" w:rsidRDefault="009F13A9" w:rsidP="00984F70">
            <w:pPr>
              <w:ind w:left="182"/>
              <w:rPr>
                <w:rFonts w:ascii="Arial" w:hAnsi="Arial" w:cs="Arial"/>
                <w:color w:val="000000"/>
                <w:sz w:val="16"/>
                <w:szCs w:val="16"/>
              </w:rPr>
            </w:pPr>
          </w:p>
        </w:tc>
        <w:tc>
          <w:tcPr>
            <w:tcW w:w="2080" w:type="dxa"/>
            <w:tcBorders>
              <w:top w:val="nil"/>
              <w:left w:val="nil"/>
              <w:bottom w:val="nil"/>
              <w:right w:val="nil"/>
            </w:tcBorders>
            <w:shd w:val="clear" w:color="000000" w:fill="FFFFFF"/>
          </w:tcPr>
          <w:p w14:paraId="62A61030" w14:textId="28FD4B54" w:rsidR="009F13A9" w:rsidRDefault="009F13A9" w:rsidP="008D4CE9">
            <w:pPr>
              <w:keepNext/>
              <w:keepLines/>
              <w:ind w:left="41" w:hanging="41"/>
              <w:rPr>
                <w:rFonts w:ascii="Arial" w:hAnsi="Arial" w:cs="Arial"/>
                <w:color w:val="000000"/>
                <w:sz w:val="16"/>
                <w:szCs w:val="16"/>
              </w:rPr>
            </w:pPr>
            <w:r>
              <w:rPr>
                <w:rFonts w:ascii="Arial" w:hAnsi="Arial" w:cs="Arial"/>
                <w:color w:val="000000"/>
                <w:sz w:val="16"/>
                <w:szCs w:val="16"/>
              </w:rPr>
              <w:t xml:space="preserve">     tbd</w:t>
            </w:r>
          </w:p>
          <w:p w14:paraId="7A33D271" w14:textId="77777777" w:rsidR="009F13A9" w:rsidRPr="005F226D" w:rsidRDefault="009F13A9" w:rsidP="00984F70">
            <w:pPr>
              <w:ind w:firstLineChars="200" w:firstLine="320"/>
              <w:rPr>
                <w:rFonts w:ascii="Arial" w:hAnsi="Arial" w:cs="Arial"/>
                <w:color w:val="000000"/>
                <w:sz w:val="16"/>
                <w:szCs w:val="16"/>
              </w:rPr>
            </w:pPr>
          </w:p>
        </w:tc>
        <w:tc>
          <w:tcPr>
            <w:tcW w:w="2313" w:type="dxa"/>
            <w:tcBorders>
              <w:top w:val="nil"/>
              <w:left w:val="nil"/>
              <w:bottom w:val="nil"/>
              <w:right w:val="single" w:sz="4" w:space="0" w:color="auto"/>
            </w:tcBorders>
            <w:shd w:val="clear" w:color="000000" w:fill="FFFFFF"/>
          </w:tcPr>
          <w:p w14:paraId="49F52D8E" w14:textId="2DFD1AF4" w:rsidR="009F13A9" w:rsidRPr="007536CC" w:rsidRDefault="009F13A9" w:rsidP="007536CC">
            <w:pPr>
              <w:ind w:left="220"/>
              <w:rPr>
                <w:rFonts w:ascii="Arial" w:hAnsi="Arial" w:cs="Arial"/>
                <w:b/>
                <w:sz w:val="16"/>
                <w:szCs w:val="16"/>
              </w:rPr>
            </w:pPr>
            <w:r w:rsidRPr="007536CC">
              <w:rPr>
                <w:rFonts w:ascii="Arial" w:hAnsi="Arial" w:cs="Arial"/>
                <w:sz w:val="16"/>
                <w:szCs w:val="16"/>
              </w:rPr>
              <w:t>Maintain or increase engagement</w:t>
            </w:r>
          </w:p>
          <w:p w14:paraId="311D3728" w14:textId="77777777" w:rsidR="009F13A9" w:rsidRPr="005F226D" w:rsidRDefault="009F13A9" w:rsidP="00984F70">
            <w:pPr>
              <w:tabs>
                <w:tab w:val="left" w:pos="220"/>
              </w:tabs>
              <w:rPr>
                <w:rFonts w:ascii="Arial" w:hAnsi="Arial" w:cs="Arial"/>
                <w:color w:val="000000"/>
                <w:sz w:val="16"/>
                <w:szCs w:val="16"/>
              </w:rPr>
            </w:pPr>
          </w:p>
        </w:tc>
      </w:tr>
      <w:tr w:rsidR="00984F70" w:rsidRPr="005F226D" w14:paraId="4B8A44B3" w14:textId="77777777" w:rsidTr="00984F70">
        <w:trPr>
          <w:trHeight w:val="797"/>
        </w:trPr>
        <w:tc>
          <w:tcPr>
            <w:tcW w:w="2560" w:type="dxa"/>
            <w:tcBorders>
              <w:top w:val="nil"/>
              <w:left w:val="single" w:sz="4" w:space="0" w:color="auto"/>
              <w:bottom w:val="nil"/>
              <w:right w:val="nil"/>
            </w:tcBorders>
            <w:shd w:val="clear" w:color="000000" w:fill="FFFFFF"/>
            <w:hideMark/>
          </w:tcPr>
          <w:p w14:paraId="50DAEE80" w14:textId="77777777" w:rsidR="00984F70" w:rsidRPr="005F226D" w:rsidRDefault="00984F70" w:rsidP="00984F70">
            <w:pPr>
              <w:rPr>
                <w:rFonts w:ascii="Arial" w:hAnsi="Arial" w:cs="Arial"/>
                <w:color w:val="000000"/>
                <w:sz w:val="16"/>
                <w:szCs w:val="16"/>
              </w:rPr>
            </w:pPr>
            <w:r w:rsidRPr="005F226D">
              <w:rPr>
                <w:rFonts w:ascii="Arial" w:hAnsi="Arial" w:cs="Arial"/>
                <w:color w:val="000000"/>
                <w:sz w:val="16"/>
                <w:szCs w:val="16"/>
              </w:rPr>
              <w:t>VIII.5 WIPO effectively interacts and partners with UN and other IGO processes and negotiations</w:t>
            </w:r>
          </w:p>
        </w:tc>
        <w:tc>
          <w:tcPr>
            <w:tcW w:w="2560" w:type="dxa"/>
            <w:tcBorders>
              <w:top w:val="nil"/>
              <w:left w:val="nil"/>
              <w:bottom w:val="nil"/>
              <w:right w:val="nil"/>
            </w:tcBorders>
            <w:shd w:val="clear" w:color="000000" w:fill="FFFFFF"/>
            <w:hideMark/>
          </w:tcPr>
          <w:p w14:paraId="79FC81DC" w14:textId="77777777" w:rsidR="00984F70" w:rsidRPr="005F226D" w:rsidRDefault="00984F70" w:rsidP="008D4CE9">
            <w:pPr>
              <w:keepNext/>
              <w:keepLines/>
              <w:ind w:left="41"/>
              <w:rPr>
                <w:rFonts w:ascii="Arial" w:hAnsi="Arial" w:cs="Arial"/>
                <w:color w:val="000000"/>
                <w:sz w:val="16"/>
                <w:szCs w:val="16"/>
              </w:rPr>
            </w:pPr>
            <w:r w:rsidRPr="005F226D">
              <w:rPr>
                <w:rFonts w:ascii="Arial" w:hAnsi="Arial" w:cs="Arial"/>
                <w:color w:val="000000"/>
                <w:sz w:val="16"/>
                <w:szCs w:val="16"/>
              </w:rPr>
              <w:t>New joint initiatives with other UN agencies/IGOs</w:t>
            </w:r>
          </w:p>
        </w:tc>
        <w:tc>
          <w:tcPr>
            <w:tcW w:w="2080" w:type="dxa"/>
            <w:tcBorders>
              <w:top w:val="nil"/>
              <w:left w:val="nil"/>
              <w:bottom w:val="nil"/>
              <w:right w:val="nil"/>
            </w:tcBorders>
            <w:shd w:val="clear" w:color="000000" w:fill="FFFFFF"/>
            <w:hideMark/>
          </w:tcPr>
          <w:p w14:paraId="670EBB32"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One (2014)</w:t>
            </w:r>
          </w:p>
        </w:tc>
        <w:tc>
          <w:tcPr>
            <w:tcW w:w="2313" w:type="dxa"/>
            <w:tcBorders>
              <w:top w:val="nil"/>
              <w:left w:val="nil"/>
              <w:bottom w:val="nil"/>
              <w:right w:val="single" w:sz="4" w:space="0" w:color="auto"/>
            </w:tcBorders>
            <w:shd w:val="clear" w:color="000000" w:fill="FFFFFF"/>
            <w:hideMark/>
          </w:tcPr>
          <w:p w14:paraId="3B306B1E" w14:textId="77777777" w:rsidR="00984F70" w:rsidRPr="005F226D" w:rsidRDefault="00984F70" w:rsidP="00984F70">
            <w:pPr>
              <w:tabs>
                <w:tab w:val="left" w:pos="220"/>
              </w:tabs>
              <w:rPr>
                <w:rFonts w:ascii="Arial" w:hAnsi="Arial" w:cs="Arial"/>
                <w:color w:val="000000"/>
                <w:sz w:val="16"/>
                <w:szCs w:val="16"/>
              </w:rPr>
            </w:pPr>
            <w:r w:rsidRPr="005F226D">
              <w:rPr>
                <w:rFonts w:ascii="Arial" w:hAnsi="Arial" w:cs="Arial"/>
                <w:color w:val="000000"/>
                <w:sz w:val="16"/>
                <w:szCs w:val="16"/>
              </w:rPr>
              <w:t xml:space="preserve">     Two</w:t>
            </w:r>
          </w:p>
        </w:tc>
      </w:tr>
      <w:tr w:rsidR="00984F70" w:rsidRPr="005F226D" w14:paraId="19D471AA" w14:textId="77777777" w:rsidTr="00984F70">
        <w:trPr>
          <w:trHeight w:val="986"/>
        </w:trPr>
        <w:tc>
          <w:tcPr>
            <w:tcW w:w="2560" w:type="dxa"/>
            <w:tcBorders>
              <w:top w:val="nil"/>
              <w:left w:val="single" w:sz="4" w:space="0" w:color="auto"/>
              <w:bottom w:val="nil"/>
              <w:right w:val="nil"/>
            </w:tcBorders>
            <w:shd w:val="clear" w:color="000000" w:fill="FFFFFF"/>
            <w:hideMark/>
          </w:tcPr>
          <w:p w14:paraId="127A68F6" w14:textId="77777777" w:rsidR="00984F70" w:rsidRPr="005F226D" w:rsidRDefault="00984F70" w:rsidP="00984F70">
            <w:pPr>
              <w:rPr>
                <w:rFonts w:ascii="Arial" w:hAnsi="Arial" w:cs="Arial"/>
                <w:color w:val="000000"/>
                <w:sz w:val="16"/>
                <w:szCs w:val="16"/>
              </w:rPr>
            </w:pPr>
            <w:r w:rsidRPr="005F226D">
              <w:rPr>
                <w:rFonts w:ascii="Arial" w:hAnsi="Arial" w:cs="Arial"/>
                <w:color w:val="000000"/>
                <w:sz w:val="16"/>
                <w:szCs w:val="16"/>
              </w:rPr>
              <w:t>IX.1 Effective, efficient, quality and customer-oriented support services both to internal clients and to external stakeholders</w:t>
            </w:r>
          </w:p>
        </w:tc>
        <w:tc>
          <w:tcPr>
            <w:tcW w:w="2560" w:type="dxa"/>
            <w:tcBorders>
              <w:top w:val="nil"/>
              <w:left w:val="nil"/>
              <w:bottom w:val="nil"/>
              <w:right w:val="nil"/>
            </w:tcBorders>
            <w:shd w:val="clear" w:color="000000" w:fill="FFFFFF"/>
            <w:hideMark/>
          </w:tcPr>
          <w:p w14:paraId="7D19685A"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 of queries for legal advice and services which receive prompt responses from OLC</w:t>
            </w:r>
          </w:p>
        </w:tc>
        <w:tc>
          <w:tcPr>
            <w:tcW w:w="2080" w:type="dxa"/>
            <w:tcBorders>
              <w:top w:val="nil"/>
              <w:left w:val="nil"/>
              <w:bottom w:val="nil"/>
              <w:right w:val="nil"/>
            </w:tcBorders>
            <w:shd w:val="clear" w:color="000000" w:fill="FFFFFF"/>
            <w:hideMark/>
          </w:tcPr>
          <w:p w14:paraId="52C52D5F"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95%</w:t>
            </w:r>
          </w:p>
        </w:tc>
        <w:tc>
          <w:tcPr>
            <w:tcW w:w="2313" w:type="dxa"/>
            <w:tcBorders>
              <w:top w:val="nil"/>
              <w:left w:val="nil"/>
              <w:bottom w:val="nil"/>
              <w:right w:val="single" w:sz="4" w:space="0" w:color="auto"/>
            </w:tcBorders>
            <w:shd w:val="clear" w:color="000000" w:fill="FFFFFF"/>
            <w:hideMark/>
          </w:tcPr>
          <w:p w14:paraId="716A65E8" w14:textId="77777777" w:rsidR="00984F70" w:rsidRPr="005F226D" w:rsidRDefault="00984F70" w:rsidP="00984F70">
            <w:pPr>
              <w:tabs>
                <w:tab w:val="left" w:pos="267"/>
              </w:tabs>
              <w:ind w:firstLine="220"/>
              <w:rPr>
                <w:rFonts w:ascii="Arial" w:hAnsi="Arial" w:cs="Arial"/>
                <w:color w:val="000000"/>
                <w:sz w:val="16"/>
                <w:szCs w:val="16"/>
              </w:rPr>
            </w:pPr>
            <w:r w:rsidRPr="005F226D">
              <w:rPr>
                <w:rFonts w:ascii="Arial" w:hAnsi="Arial" w:cs="Arial"/>
                <w:color w:val="000000"/>
                <w:sz w:val="16"/>
                <w:szCs w:val="16"/>
              </w:rPr>
              <w:t xml:space="preserve"> 95%</w:t>
            </w:r>
          </w:p>
        </w:tc>
      </w:tr>
      <w:tr w:rsidR="00984F70" w:rsidRPr="005F226D" w14:paraId="373C7493" w14:textId="77777777" w:rsidTr="00984F70">
        <w:trPr>
          <w:trHeight w:val="1139"/>
        </w:trPr>
        <w:tc>
          <w:tcPr>
            <w:tcW w:w="2560" w:type="dxa"/>
            <w:tcBorders>
              <w:top w:val="nil"/>
              <w:left w:val="single" w:sz="4" w:space="0" w:color="auto"/>
              <w:bottom w:val="nil"/>
              <w:right w:val="nil"/>
            </w:tcBorders>
            <w:shd w:val="clear" w:color="000000" w:fill="FFFFFF"/>
            <w:hideMark/>
          </w:tcPr>
          <w:p w14:paraId="06194E51" w14:textId="77777777" w:rsidR="00984F70" w:rsidRPr="005F226D" w:rsidRDefault="00984F70" w:rsidP="00984F70">
            <w:pPr>
              <w:rPr>
                <w:rFonts w:ascii="Arial" w:hAnsi="Arial" w:cs="Arial"/>
                <w:color w:val="000000"/>
                <w:sz w:val="16"/>
                <w:szCs w:val="16"/>
              </w:rPr>
            </w:pPr>
            <w:r w:rsidRPr="005F226D">
              <w:rPr>
                <w:rFonts w:ascii="Arial" w:hAnsi="Arial" w:cs="Arial"/>
                <w:color w:val="000000"/>
                <w:sz w:val="16"/>
                <w:szCs w:val="16"/>
              </w:rPr>
              <w:t>IX.2 An agile and smooth functioning Secretariat with a well managed and appropriately skilled workforce which is effectively delivering results</w:t>
            </w:r>
          </w:p>
        </w:tc>
        <w:tc>
          <w:tcPr>
            <w:tcW w:w="2560" w:type="dxa"/>
            <w:tcBorders>
              <w:top w:val="nil"/>
              <w:left w:val="nil"/>
              <w:bottom w:val="nil"/>
              <w:right w:val="nil"/>
            </w:tcBorders>
            <w:shd w:val="clear" w:color="000000" w:fill="FFFFFF"/>
            <w:hideMark/>
          </w:tcPr>
          <w:p w14:paraId="13DE3ED0" w14:textId="77777777" w:rsidR="00984F70" w:rsidRPr="005F226D" w:rsidRDefault="00984F70" w:rsidP="008D4CE9">
            <w:pPr>
              <w:keepNext/>
              <w:keepLines/>
              <w:ind w:left="41"/>
              <w:rPr>
                <w:rFonts w:ascii="Arial" w:hAnsi="Arial" w:cs="Arial"/>
                <w:color w:val="000000"/>
                <w:sz w:val="16"/>
                <w:szCs w:val="16"/>
              </w:rPr>
            </w:pPr>
            <w:r w:rsidRPr="005F226D">
              <w:rPr>
                <w:rFonts w:ascii="Arial" w:hAnsi="Arial" w:cs="Arial"/>
                <w:color w:val="000000"/>
                <w:sz w:val="16"/>
                <w:szCs w:val="16"/>
              </w:rPr>
              <w:t>Establishment of a new Organizational Resilience and Business Continuity  framework and associated documentation</w:t>
            </w:r>
          </w:p>
        </w:tc>
        <w:tc>
          <w:tcPr>
            <w:tcW w:w="2080" w:type="dxa"/>
            <w:tcBorders>
              <w:top w:val="nil"/>
              <w:left w:val="nil"/>
              <w:bottom w:val="nil"/>
              <w:right w:val="nil"/>
            </w:tcBorders>
            <w:shd w:val="clear" w:color="000000" w:fill="FFFFFF"/>
            <w:hideMark/>
          </w:tcPr>
          <w:p w14:paraId="501C6CAE"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Current framework is not comprehensive and needs to be replaced</w:t>
            </w:r>
          </w:p>
        </w:tc>
        <w:tc>
          <w:tcPr>
            <w:tcW w:w="2313" w:type="dxa"/>
            <w:tcBorders>
              <w:top w:val="nil"/>
              <w:left w:val="nil"/>
              <w:bottom w:val="nil"/>
              <w:right w:val="single" w:sz="4" w:space="0" w:color="auto"/>
            </w:tcBorders>
            <w:shd w:val="clear" w:color="000000" w:fill="FFFFFF"/>
            <w:hideMark/>
          </w:tcPr>
          <w:p w14:paraId="6D82351C" w14:textId="77777777" w:rsidR="00984F70" w:rsidRPr="005F226D" w:rsidRDefault="00984F70" w:rsidP="00984F70">
            <w:pPr>
              <w:ind w:left="220"/>
              <w:rPr>
                <w:rFonts w:ascii="Arial" w:hAnsi="Arial" w:cs="Arial"/>
                <w:color w:val="000000"/>
                <w:sz w:val="16"/>
                <w:szCs w:val="16"/>
              </w:rPr>
            </w:pPr>
            <w:r w:rsidRPr="005F226D">
              <w:rPr>
                <w:rFonts w:ascii="Arial" w:hAnsi="Arial" w:cs="Arial"/>
                <w:color w:val="000000"/>
                <w:sz w:val="16"/>
                <w:szCs w:val="16"/>
              </w:rPr>
              <w:t xml:space="preserve">Organizational Resilience and Business Continuity strategies and plans drawn up for the core areas of the Organization </w:t>
            </w:r>
          </w:p>
        </w:tc>
      </w:tr>
      <w:tr w:rsidR="00984F70" w:rsidRPr="005F226D" w14:paraId="3D524AC1" w14:textId="77777777" w:rsidTr="00984F70">
        <w:trPr>
          <w:trHeight w:val="1076"/>
        </w:trPr>
        <w:tc>
          <w:tcPr>
            <w:tcW w:w="2560" w:type="dxa"/>
            <w:vMerge w:val="restart"/>
            <w:tcBorders>
              <w:top w:val="nil"/>
              <w:left w:val="single" w:sz="4" w:space="0" w:color="auto"/>
              <w:bottom w:val="single" w:sz="4" w:space="0" w:color="000000"/>
              <w:right w:val="nil"/>
            </w:tcBorders>
            <w:shd w:val="clear" w:color="000000" w:fill="FFFFFF"/>
            <w:hideMark/>
          </w:tcPr>
          <w:p w14:paraId="2550F98E" w14:textId="77777777" w:rsidR="00984F70" w:rsidRPr="005F226D" w:rsidRDefault="00984F70" w:rsidP="00984F70">
            <w:pPr>
              <w:rPr>
                <w:rFonts w:ascii="Arial" w:hAnsi="Arial" w:cs="Arial"/>
                <w:color w:val="000000"/>
                <w:sz w:val="16"/>
                <w:szCs w:val="16"/>
              </w:rPr>
            </w:pPr>
            <w:r w:rsidRPr="005F226D">
              <w:rPr>
                <w:rFonts w:ascii="Arial" w:hAnsi="Arial" w:cs="Arial"/>
                <w:color w:val="000000"/>
                <w:sz w:val="16"/>
                <w:szCs w:val="16"/>
              </w:rPr>
              <w:t>IX.3 An enabling working environment supported by an effective regulatory framework and appropriate channels to address staff concerns</w:t>
            </w:r>
          </w:p>
        </w:tc>
        <w:tc>
          <w:tcPr>
            <w:tcW w:w="2560" w:type="dxa"/>
            <w:tcBorders>
              <w:top w:val="nil"/>
              <w:left w:val="nil"/>
              <w:bottom w:val="nil"/>
              <w:right w:val="nil"/>
            </w:tcBorders>
            <w:shd w:val="clear" w:color="000000" w:fill="FFFFFF"/>
            <w:hideMark/>
          </w:tcPr>
          <w:p w14:paraId="2E82815F"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 of WIPO staff aware of services available from Ombuds-Office and informal conflict resolution mechanism</w:t>
            </w:r>
          </w:p>
        </w:tc>
        <w:tc>
          <w:tcPr>
            <w:tcW w:w="2080" w:type="dxa"/>
            <w:tcBorders>
              <w:top w:val="nil"/>
              <w:left w:val="nil"/>
              <w:bottom w:val="nil"/>
              <w:right w:val="nil"/>
            </w:tcBorders>
            <w:shd w:val="clear" w:color="000000" w:fill="FFFFFF"/>
            <w:hideMark/>
          </w:tcPr>
          <w:p w14:paraId="5FA9E99C"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2013 Survey: 63% fully aware.  Another survey is planned in 2015.</w:t>
            </w:r>
          </w:p>
        </w:tc>
        <w:tc>
          <w:tcPr>
            <w:tcW w:w="2313" w:type="dxa"/>
            <w:tcBorders>
              <w:top w:val="nil"/>
              <w:left w:val="nil"/>
              <w:bottom w:val="nil"/>
              <w:right w:val="single" w:sz="4" w:space="0" w:color="auto"/>
            </w:tcBorders>
            <w:shd w:val="clear" w:color="000000" w:fill="FFFFFF"/>
            <w:hideMark/>
          </w:tcPr>
          <w:p w14:paraId="1473E62F" w14:textId="77777777" w:rsidR="00984F70" w:rsidRPr="005F226D" w:rsidRDefault="00984F70" w:rsidP="00984F70">
            <w:pPr>
              <w:tabs>
                <w:tab w:val="left" w:pos="220"/>
              </w:tabs>
              <w:rPr>
                <w:rFonts w:ascii="Arial" w:hAnsi="Arial" w:cs="Arial"/>
                <w:color w:val="000000"/>
                <w:sz w:val="16"/>
                <w:szCs w:val="16"/>
              </w:rPr>
            </w:pPr>
            <w:r w:rsidRPr="005F226D">
              <w:rPr>
                <w:rFonts w:ascii="Arial" w:hAnsi="Arial" w:cs="Arial"/>
                <w:color w:val="000000"/>
                <w:sz w:val="16"/>
                <w:szCs w:val="16"/>
              </w:rPr>
              <w:t xml:space="preserve">     70%</w:t>
            </w:r>
          </w:p>
        </w:tc>
      </w:tr>
      <w:tr w:rsidR="00984F70" w:rsidRPr="005F226D" w14:paraId="1E0419CA" w14:textId="77777777" w:rsidTr="00984F70">
        <w:trPr>
          <w:trHeight w:val="1081"/>
        </w:trPr>
        <w:tc>
          <w:tcPr>
            <w:tcW w:w="2560" w:type="dxa"/>
            <w:vMerge/>
            <w:tcBorders>
              <w:top w:val="nil"/>
              <w:left w:val="single" w:sz="4" w:space="0" w:color="auto"/>
              <w:bottom w:val="single" w:sz="4" w:space="0" w:color="000000"/>
              <w:right w:val="nil"/>
            </w:tcBorders>
            <w:vAlign w:val="center"/>
            <w:hideMark/>
          </w:tcPr>
          <w:p w14:paraId="190A9200" w14:textId="77777777" w:rsidR="00984F70" w:rsidRPr="005F226D" w:rsidRDefault="00984F70" w:rsidP="00984F70">
            <w:pPr>
              <w:rPr>
                <w:rFonts w:ascii="Arial" w:hAnsi="Arial" w:cs="Arial"/>
                <w:color w:val="000000"/>
                <w:sz w:val="16"/>
                <w:szCs w:val="16"/>
              </w:rPr>
            </w:pPr>
          </w:p>
        </w:tc>
        <w:tc>
          <w:tcPr>
            <w:tcW w:w="2560" w:type="dxa"/>
            <w:tcBorders>
              <w:top w:val="nil"/>
              <w:left w:val="nil"/>
              <w:bottom w:val="single" w:sz="4" w:space="0" w:color="auto"/>
              <w:right w:val="nil"/>
            </w:tcBorders>
            <w:shd w:val="clear" w:color="000000" w:fill="FFFFFF"/>
            <w:hideMark/>
          </w:tcPr>
          <w:p w14:paraId="458FD334" w14:textId="77777777" w:rsidR="00984F70" w:rsidRPr="005F226D" w:rsidRDefault="00984F70" w:rsidP="008D4CE9">
            <w:pPr>
              <w:keepNext/>
              <w:keepLines/>
              <w:ind w:left="41" w:hanging="41"/>
              <w:rPr>
                <w:rFonts w:ascii="Arial" w:hAnsi="Arial" w:cs="Arial"/>
                <w:color w:val="000000"/>
                <w:sz w:val="16"/>
                <w:szCs w:val="16"/>
              </w:rPr>
            </w:pPr>
            <w:r w:rsidRPr="005F226D">
              <w:rPr>
                <w:rFonts w:ascii="Arial" w:hAnsi="Arial" w:cs="Arial"/>
                <w:color w:val="000000"/>
                <w:sz w:val="16"/>
                <w:szCs w:val="16"/>
              </w:rPr>
              <w:t>% of WIPO staff being aware of WIPO ethics principles and policies</w:t>
            </w:r>
          </w:p>
        </w:tc>
        <w:tc>
          <w:tcPr>
            <w:tcW w:w="2080" w:type="dxa"/>
            <w:tcBorders>
              <w:top w:val="nil"/>
              <w:left w:val="nil"/>
              <w:bottom w:val="single" w:sz="4" w:space="0" w:color="auto"/>
              <w:right w:val="nil"/>
            </w:tcBorders>
            <w:shd w:val="clear" w:color="000000" w:fill="FFFFFF"/>
            <w:hideMark/>
          </w:tcPr>
          <w:p w14:paraId="39A65D7D" w14:textId="77777777" w:rsidR="00984F70" w:rsidRPr="005F226D" w:rsidRDefault="00984F70" w:rsidP="008D4CE9">
            <w:pPr>
              <w:keepNext/>
              <w:keepLines/>
              <w:ind w:left="41" w:hanging="9"/>
              <w:rPr>
                <w:rFonts w:ascii="Arial" w:hAnsi="Arial" w:cs="Arial"/>
                <w:color w:val="000000"/>
                <w:sz w:val="16"/>
                <w:szCs w:val="16"/>
              </w:rPr>
            </w:pPr>
            <w:r w:rsidRPr="005F226D">
              <w:rPr>
                <w:rFonts w:ascii="Arial" w:hAnsi="Arial" w:cs="Arial"/>
                <w:color w:val="000000"/>
                <w:sz w:val="16"/>
                <w:szCs w:val="16"/>
              </w:rPr>
              <w:t>98% from the SRP Core Values Survey (conducted in 2013).  Another survey is planned in 2015.</w:t>
            </w:r>
          </w:p>
        </w:tc>
        <w:tc>
          <w:tcPr>
            <w:tcW w:w="2313" w:type="dxa"/>
            <w:tcBorders>
              <w:top w:val="nil"/>
              <w:left w:val="nil"/>
              <w:bottom w:val="single" w:sz="4" w:space="0" w:color="auto"/>
              <w:right w:val="single" w:sz="4" w:space="0" w:color="auto"/>
            </w:tcBorders>
            <w:shd w:val="clear" w:color="000000" w:fill="FFFFFF"/>
            <w:hideMark/>
          </w:tcPr>
          <w:p w14:paraId="3E5D57F5" w14:textId="77777777" w:rsidR="00984F70" w:rsidRPr="005F226D" w:rsidRDefault="00984F70" w:rsidP="00984F70">
            <w:pPr>
              <w:tabs>
                <w:tab w:val="left" w:pos="220"/>
              </w:tabs>
              <w:rPr>
                <w:rFonts w:ascii="Arial" w:hAnsi="Arial" w:cs="Arial"/>
                <w:color w:val="000000"/>
                <w:sz w:val="16"/>
                <w:szCs w:val="16"/>
              </w:rPr>
            </w:pPr>
            <w:r w:rsidRPr="005F226D">
              <w:rPr>
                <w:rFonts w:ascii="Arial" w:hAnsi="Arial" w:cs="Arial"/>
                <w:color w:val="000000"/>
                <w:sz w:val="16"/>
                <w:szCs w:val="16"/>
              </w:rPr>
              <w:t xml:space="preserve">     95% of staff awareness</w:t>
            </w:r>
          </w:p>
        </w:tc>
      </w:tr>
    </w:tbl>
    <w:p w14:paraId="1E5E0E4F" w14:textId="77777777" w:rsidR="00984F70" w:rsidRPr="008B6DC1" w:rsidRDefault="00984F70" w:rsidP="00984F70">
      <w:pPr>
        <w:rPr>
          <w:rFonts w:ascii="Arial" w:hAnsi="Arial" w:cs="Arial"/>
          <w:sz w:val="20"/>
        </w:rPr>
      </w:pPr>
    </w:p>
    <w:p w14:paraId="16809638" w14:textId="77777777" w:rsidR="008107B9" w:rsidRDefault="008107B9">
      <w:pPr>
        <w:rPr>
          <w:rFonts w:ascii="Arial" w:hAnsi="Arial" w:cs="Arial"/>
        </w:rPr>
      </w:pPr>
      <w:r>
        <w:rPr>
          <w:rFonts w:ascii="Arial" w:hAnsi="Arial" w:cs="Arial"/>
        </w:rPr>
        <w:br w:type="page"/>
      </w:r>
    </w:p>
    <w:p w14:paraId="56B355F3" w14:textId="6C80711F" w:rsidR="00984F70" w:rsidRDefault="00984F70" w:rsidP="00984F70">
      <w:pPr>
        <w:keepNext/>
        <w:keepLines/>
        <w:rPr>
          <w:rFonts w:ascii="Arial" w:hAnsi="Arial" w:cs="Arial"/>
        </w:rPr>
      </w:pPr>
      <w:r>
        <w:rPr>
          <w:rFonts w:ascii="Arial" w:hAnsi="Arial" w:cs="Arial"/>
        </w:rPr>
        <w:lastRenderedPageBreak/>
        <w:t>RESOURCES FOR PROGRAM 21</w:t>
      </w:r>
    </w:p>
    <w:p w14:paraId="38F5421D" w14:textId="77777777" w:rsidR="00984F70" w:rsidRPr="00984F70" w:rsidRDefault="00984F70" w:rsidP="00984F70">
      <w:pPr>
        <w:keepNext/>
        <w:keepLines/>
        <w:rPr>
          <w:rFonts w:ascii="Arial" w:hAnsi="Arial" w:cs="Arial"/>
          <w:sz w:val="20"/>
        </w:rPr>
      </w:pPr>
    </w:p>
    <w:p w14:paraId="33F62F86" w14:textId="77777777" w:rsidR="00984F70" w:rsidRPr="00984F70" w:rsidRDefault="00984F70" w:rsidP="00B66A4A">
      <w:pPr>
        <w:numPr>
          <w:ilvl w:val="0"/>
          <w:numId w:val="21"/>
        </w:numPr>
        <w:jc w:val="both"/>
        <w:rPr>
          <w:rFonts w:ascii="Arial" w:hAnsi="Arial" w:cs="Arial"/>
          <w:sz w:val="20"/>
        </w:rPr>
      </w:pPr>
      <w:r w:rsidRPr="00984F70">
        <w:rPr>
          <w:rFonts w:ascii="Arial" w:hAnsi="Arial" w:cs="Arial"/>
          <w:sz w:val="20"/>
        </w:rPr>
        <w:t xml:space="preserve">A slight increase can be observed in the overall resources for the Program in 2016/17 compared to the 2014/15 Budget after Transfers. The increase is due to a slightly higher provision for the organization of the WIPO Assemblies, based on expenditure patterns in 2014/15, the continued development of the WIPO Lex database and External Offices coordination activities.  </w:t>
      </w:r>
    </w:p>
    <w:p w14:paraId="0689EB1E" w14:textId="77777777" w:rsidR="00984F70" w:rsidRPr="00984F70" w:rsidRDefault="00984F70" w:rsidP="00984F70">
      <w:pPr>
        <w:jc w:val="both"/>
        <w:rPr>
          <w:rFonts w:ascii="Arial" w:hAnsi="Arial" w:cs="Arial"/>
          <w:sz w:val="20"/>
        </w:rPr>
      </w:pPr>
    </w:p>
    <w:p w14:paraId="740DA3A7" w14:textId="77777777" w:rsidR="00984F70" w:rsidRDefault="00984F70" w:rsidP="00B66A4A">
      <w:pPr>
        <w:numPr>
          <w:ilvl w:val="0"/>
          <w:numId w:val="21"/>
        </w:numPr>
        <w:jc w:val="both"/>
        <w:rPr>
          <w:rFonts w:ascii="Arial" w:hAnsi="Arial" w:cs="Arial"/>
          <w:sz w:val="20"/>
        </w:rPr>
      </w:pPr>
      <w:r w:rsidRPr="00984F70">
        <w:rPr>
          <w:rFonts w:ascii="Arial" w:hAnsi="Arial" w:cs="Arial"/>
          <w:sz w:val="20"/>
        </w:rPr>
        <w:t xml:space="preserve">Regarding variances in the resources for the Expected Results, it is considered more appropriate to link the resources related to legal services and advice related activities to Expected Result IX.1 instead of Expected Result IX.2 being the case in 2014/15.  </w:t>
      </w:r>
    </w:p>
    <w:p w14:paraId="0C0A6AFC" w14:textId="77777777" w:rsidR="00516D2C" w:rsidRDefault="00516D2C" w:rsidP="00FB68E0">
      <w:pPr>
        <w:pStyle w:val="ListParagraph"/>
        <w:rPr>
          <w:rFonts w:ascii="Arial" w:hAnsi="Arial" w:cs="Arial"/>
          <w:sz w:val="20"/>
        </w:rPr>
      </w:pPr>
    </w:p>
    <w:p w14:paraId="28DDCD98" w14:textId="41DF09B7" w:rsidR="00516D2C" w:rsidRPr="00FB68E0" w:rsidRDefault="00516D2C" w:rsidP="00516D2C">
      <w:pPr>
        <w:jc w:val="both"/>
        <w:rPr>
          <w:rFonts w:ascii="Arial" w:hAnsi="Arial" w:cs="Arial"/>
          <w:sz w:val="20"/>
        </w:rPr>
      </w:pPr>
      <w:r>
        <w:rPr>
          <w:rFonts w:ascii="Arial" w:hAnsi="Arial" w:cs="Arial"/>
          <w:sz w:val="20"/>
        </w:rPr>
        <w:t xml:space="preserve">21.8 The resources under Expected result VIII.4 in 2016/17 reflect the work related to granting </w:t>
      </w:r>
      <w:r w:rsidRPr="00FB68E0">
        <w:rPr>
          <w:rFonts w:ascii="Arial" w:hAnsi="Arial" w:cs="Arial"/>
          <w:sz w:val="20"/>
        </w:rPr>
        <w:t xml:space="preserve">permanent observer status to NGOs. </w:t>
      </w:r>
    </w:p>
    <w:p w14:paraId="03707378" w14:textId="2C5E89F3" w:rsidR="00516D2C" w:rsidRPr="00984F70" w:rsidRDefault="00516D2C" w:rsidP="00FB68E0">
      <w:pPr>
        <w:jc w:val="both"/>
        <w:rPr>
          <w:rFonts w:ascii="Arial" w:hAnsi="Arial" w:cs="Arial"/>
          <w:sz w:val="20"/>
        </w:rPr>
      </w:pPr>
    </w:p>
    <w:p w14:paraId="4A4C41FE" w14:textId="77777777" w:rsidR="00984F70" w:rsidRDefault="00984F70" w:rsidP="00984F70">
      <w:pPr>
        <w:rPr>
          <w:rFonts w:ascii="Arial" w:hAnsi="Arial" w:cs="Arial"/>
        </w:rPr>
      </w:pPr>
    </w:p>
    <w:p w14:paraId="2AE083F4" w14:textId="77777777" w:rsidR="00984F70" w:rsidRPr="0024754A" w:rsidRDefault="00984F70" w:rsidP="00984F70">
      <w:pPr>
        <w:pStyle w:val="ListParagraph"/>
        <w:keepNext/>
        <w:keepLines/>
        <w:spacing w:after="240"/>
        <w:jc w:val="center"/>
        <w:rPr>
          <w:rFonts w:ascii="Arial" w:hAnsi="Arial" w:cs="Arial"/>
          <w:b/>
          <w:sz w:val="20"/>
        </w:rPr>
      </w:pPr>
      <w:r>
        <w:rPr>
          <w:rFonts w:ascii="Arial" w:hAnsi="Arial" w:cs="Arial"/>
          <w:b/>
          <w:sz w:val="20"/>
        </w:rPr>
        <w:t>Program 21</w:t>
      </w:r>
      <w:r w:rsidRPr="0024754A">
        <w:rPr>
          <w:rFonts w:ascii="Arial" w:hAnsi="Arial" w:cs="Arial"/>
          <w:b/>
          <w:sz w:val="20"/>
        </w:rPr>
        <w:t xml:space="preserve">: Resources by Result </w:t>
      </w:r>
    </w:p>
    <w:p w14:paraId="0232E41D" w14:textId="77777777" w:rsidR="00984F70" w:rsidRDefault="00984F70" w:rsidP="00984F70">
      <w:pPr>
        <w:pStyle w:val="ListParagraph"/>
        <w:keepNext/>
        <w:keepLines/>
        <w:tabs>
          <w:tab w:val="left" w:pos="9072"/>
        </w:tabs>
        <w:spacing w:after="240"/>
        <w:jc w:val="center"/>
        <w:rPr>
          <w:rFonts w:ascii="Arial" w:hAnsi="Arial" w:cs="Arial"/>
          <w:i/>
          <w:sz w:val="20"/>
        </w:rPr>
      </w:pPr>
      <w:r w:rsidRPr="0024754A">
        <w:rPr>
          <w:rFonts w:ascii="Arial" w:hAnsi="Arial" w:cs="Arial"/>
          <w:i/>
          <w:sz w:val="20"/>
        </w:rPr>
        <w:t>(in thousands of Swiss francs)</w:t>
      </w:r>
    </w:p>
    <w:p w14:paraId="7565D00C" w14:textId="77777777" w:rsidR="00984F70" w:rsidRDefault="00984F70" w:rsidP="00984F70">
      <w:pPr>
        <w:pStyle w:val="ListParagraph"/>
        <w:keepNext/>
        <w:keepLines/>
        <w:tabs>
          <w:tab w:val="left" w:pos="9072"/>
        </w:tabs>
        <w:spacing w:after="240"/>
        <w:jc w:val="center"/>
        <w:rPr>
          <w:rFonts w:ascii="Arial" w:hAnsi="Arial" w:cs="Arial"/>
          <w:i/>
          <w:sz w:val="20"/>
        </w:rPr>
      </w:pPr>
    </w:p>
    <w:p w14:paraId="5DEB604F" w14:textId="77777777" w:rsidR="00984F70" w:rsidRDefault="00984F70" w:rsidP="00984F70">
      <w:pPr>
        <w:pStyle w:val="ListParagraph"/>
        <w:keepNext/>
        <w:keepLines/>
        <w:tabs>
          <w:tab w:val="left" w:pos="9072"/>
        </w:tabs>
        <w:spacing w:after="240"/>
        <w:ind w:hanging="720"/>
        <w:jc w:val="center"/>
        <w:rPr>
          <w:rFonts w:ascii="Arial" w:hAnsi="Arial" w:cs="Arial"/>
          <w:i/>
          <w:sz w:val="20"/>
        </w:rPr>
      </w:pPr>
      <w:r w:rsidRPr="001179FB">
        <w:rPr>
          <w:noProof/>
          <w:lang w:eastAsia="en-US"/>
        </w:rPr>
        <w:drawing>
          <wp:inline distT="0" distB="0" distL="0" distR="0" wp14:anchorId="307D081C" wp14:editId="0C1CA4E9">
            <wp:extent cx="4937760" cy="3328423"/>
            <wp:effectExtent l="0" t="0" r="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4944096" cy="3332694"/>
                    </a:xfrm>
                    <a:prstGeom prst="rect">
                      <a:avLst/>
                    </a:prstGeom>
                    <a:noFill/>
                    <a:ln>
                      <a:noFill/>
                    </a:ln>
                  </pic:spPr>
                </pic:pic>
              </a:graphicData>
            </a:graphic>
          </wp:inline>
        </w:drawing>
      </w:r>
    </w:p>
    <w:p w14:paraId="29DAA286" w14:textId="77777777" w:rsidR="00984F70" w:rsidRDefault="00984F70" w:rsidP="00984F70">
      <w:pPr>
        <w:pStyle w:val="ListParagraph"/>
        <w:tabs>
          <w:tab w:val="left" w:pos="9072"/>
        </w:tabs>
        <w:spacing w:after="240"/>
        <w:rPr>
          <w:rFonts w:ascii="Arial" w:hAnsi="Arial" w:cs="Arial"/>
          <w:i/>
          <w:sz w:val="20"/>
        </w:rPr>
      </w:pPr>
    </w:p>
    <w:p w14:paraId="4399B0C4" w14:textId="77777777" w:rsidR="00984F70" w:rsidRDefault="00984F70" w:rsidP="00984F70">
      <w:pPr>
        <w:pStyle w:val="ListParagraph"/>
        <w:tabs>
          <w:tab w:val="left" w:pos="9072"/>
        </w:tabs>
        <w:spacing w:after="240"/>
        <w:rPr>
          <w:rFonts w:ascii="Arial" w:hAnsi="Arial" w:cs="Arial"/>
          <w:i/>
          <w:sz w:val="20"/>
        </w:rPr>
      </w:pPr>
    </w:p>
    <w:p w14:paraId="7A1F30FB" w14:textId="77777777" w:rsidR="00984F70" w:rsidRDefault="00984F70">
      <w:pPr>
        <w:rPr>
          <w:rFonts w:ascii="Arial" w:eastAsiaTheme="minorHAnsi" w:hAnsi="Arial" w:cs="Arial"/>
          <w:b/>
          <w:sz w:val="20"/>
        </w:rPr>
      </w:pPr>
      <w:r>
        <w:rPr>
          <w:rFonts w:ascii="Arial" w:hAnsi="Arial" w:cs="Arial"/>
          <w:b/>
          <w:sz w:val="20"/>
        </w:rPr>
        <w:br w:type="page"/>
      </w:r>
    </w:p>
    <w:p w14:paraId="19A70EF6" w14:textId="77777777" w:rsidR="00984F70" w:rsidRPr="0024754A" w:rsidRDefault="00984F70" w:rsidP="00984F70">
      <w:pPr>
        <w:pStyle w:val="ListParagraph"/>
        <w:spacing w:after="240"/>
        <w:jc w:val="center"/>
        <w:rPr>
          <w:rFonts w:ascii="Arial" w:hAnsi="Arial" w:cs="Arial"/>
          <w:b/>
          <w:sz w:val="20"/>
        </w:rPr>
      </w:pPr>
      <w:r>
        <w:rPr>
          <w:rFonts w:ascii="Arial" w:hAnsi="Arial" w:cs="Arial"/>
          <w:b/>
          <w:sz w:val="20"/>
        </w:rPr>
        <w:lastRenderedPageBreak/>
        <w:t>Program 21</w:t>
      </w:r>
      <w:r w:rsidRPr="0024754A">
        <w:rPr>
          <w:rFonts w:ascii="Arial" w:hAnsi="Arial" w:cs="Arial"/>
          <w:b/>
          <w:sz w:val="20"/>
        </w:rPr>
        <w:t xml:space="preserve">: Resources by </w:t>
      </w:r>
      <w:r>
        <w:rPr>
          <w:rFonts w:ascii="Arial" w:hAnsi="Arial" w:cs="Arial"/>
          <w:b/>
          <w:sz w:val="20"/>
        </w:rPr>
        <w:t>Object of Expenditure</w:t>
      </w:r>
    </w:p>
    <w:p w14:paraId="38F5BDEC" w14:textId="77777777" w:rsidR="00984F70" w:rsidRDefault="00984F70" w:rsidP="00984F70">
      <w:pPr>
        <w:pStyle w:val="ListParagraph"/>
        <w:tabs>
          <w:tab w:val="left" w:pos="9072"/>
        </w:tabs>
        <w:spacing w:after="240"/>
        <w:jc w:val="center"/>
        <w:rPr>
          <w:rFonts w:ascii="Arial" w:hAnsi="Arial" w:cs="Arial"/>
          <w:i/>
          <w:sz w:val="20"/>
        </w:rPr>
      </w:pPr>
      <w:r w:rsidRPr="0024754A">
        <w:rPr>
          <w:rFonts w:ascii="Arial" w:hAnsi="Arial" w:cs="Arial"/>
          <w:i/>
          <w:sz w:val="20"/>
        </w:rPr>
        <w:t>(in thousands of Swiss francs)</w:t>
      </w:r>
    </w:p>
    <w:p w14:paraId="4683D64F" w14:textId="77777777" w:rsidR="00984F70" w:rsidRDefault="00984F70" w:rsidP="007536CC">
      <w:pPr>
        <w:pStyle w:val="ListParagraph"/>
        <w:tabs>
          <w:tab w:val="left" w:pos="9072"/>
        </w:tabs>
        <w:jc w:val="center"/>
        <w:rPr>
          <w:rFonts w:ascii="Arial" w:hAnsi="Arial" w:cs="Arial"/>
          <w:i/>
          <w:sz w:val="20"/>
        </w:rPr>
      </w:pPr>
    </w:p>
    <w:p w14:paraId="4AC16ACB" w14:textId="77777777" w:rsidR="00984F70" w:rsidRPr="007536CC" w:rsidRDefault="00984F70" w:rsidP="00BC77A3">
      <w:pPr>
        <w:jc w:val="center"/>
        <w:rPr>
          <w:rFonts w:ascii="Arial" w:hAnsi="Arial" w:cs="Arial"/>
          <w:sz w:val="18"/>
        </w:rPr>
      </w:pPr>
      <w:r w:rsidRPr="005C1FAC">
        <w:rPr>
          <w:rFonts w:eastAsiaTheme="minorHAnsi"/>
          <w:noProof/>
          <w:lang w:eastAsia="en-US"/>
        </w:rPr>
        <w:drawing>
          <wp:inline distT="0" distB="0" distL="0" distR="0" wp14:anchorId="51CF009D" wp14:editId="128D67FA">
            <wp:extent cx="5113628" cy="5754449"/>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118277" cy="5759681"/>
                    </a:xfrm>
                    <a:prstGeom prst="rect">
                      <a:avLst/>
                    </a:prstGeom>
                    <a:noFill/>
                    <a:ln>
                      <a:noFill/>
                    </a:ln>
                  </pic:spPr>
                </pic:pic>
              </a:graphicData>
            </a:graphic>
          </wp:inline>
        </w:drawing>
      </w:r>
    </w:p>
    <w:p w14:paraId="792ABC45" w14:textId="77777777" w:rsidR="00984F70" w:rsidRPr="007536CC" w:rsidRDefault="00984F70" w:rsidP="00984F70">
      <w:pPr>
        <w:rPr>
          <w:rFonts w:ascii="Arial" w:hAnsi="Arial" w:cs="Arial"/>
          <w:sz w:val="18"/>
        </w:rPr>
      </w:pPr>
    </w:p>
    <w:p w14:paraId="77858AB0" w14:textId="77777777" w:rsidR="00984F70" w:rsidRDefault="00984F70" w:rsidP="00984F70">
      <w:pPr>
        <w:rPr>
          <w:rFonts w:ascii="Arial" w:hAnsi="Arial" w:cs="Arial"/>
          <w:sz w:val="20"/>
        </w:rPr>
      </w:pPr>
    </w:p>
    <w:p w14:paraId="59268A3B" w14:textId="77777777" w:rsidR="00984F70" w:rsidRPr="009104D3" w:rsidRDefault="00984F70" w:rsidP="00984F70">
      <w:pPr>
        <w:keepNext/>
        <w:keepLines/>
        <w:jc w:val="center"/>
        <w:rPr>
          <w:rFonts w:ascii="Arial" w:hAnsi="Arial" w:cs="Arial"/>
          <w:b/>
          <w:sz w:val="20"/>
        </w:rPr>
      </w:pPr>
      <w:r w:rsidRPr="009104D3">
        <w:rPr>
          <w:rFonts w:ascii="Arial" w:hAnsi="Arial" w:cs="Arial"/>
          <w:b/>
          <w:sz w:val="20"/>
        </w:rPr>
        <w:t>Funds in Trust Potentially Available for Programming in 2016/17 (BY PROGRAM)</w:t>
      </w:r>
      <w:r w:rsidRPr="009104D3">
        <w:rPr>
          <w:rFonts w:ascii="Arial" w:hAnsi="Arial" w:cs="Arial"/>
          <w:i/>
          <w:sz w:val="20"/>
          <w:vertAlign w:val="superscript"/>
        </w:rPr>
        <w:t xml:space="preserve"> </w:t>
      </w:r>
      <w:r w:rsidRPr="009104D3">
        <w:rPr>
          <w:rFonts w:ascii="Arial" w:hAnsi="Arial" w:cs="Arial"/>
          <w:sz w:val="20"/>
          <w:vertAlign w:val="superscript"/>
        </w:rPr>
        <w:t>1</w:t>
      </w:r>
    </w:p>
    <w:p w14:paraId="3691E2DC" w14:textId="77777777" w:rsidR="00984F70" w:rsidRDefault="00984F70" w:rsidP="00984F70">
      <w:pPr>
        <w:keepNext/>
        <w:keepLines/>
        <w:jc w:val="center"/>
        <w:rPr>
          <w:i/>
          <w:sz w:val="20"/>
        </w:rPr>
      </w:pPr>
      <w:r w:rsidRPr="009104D3">
        <w:rPr>
          <w:rFonts w:ascii="Arial" w:hAnsi="Arial" w:cs="Arial"/>
          <w:i/>
          <w:sz w:val="20"/>
        </w:rPr>
        <w:t>(in thousands of Swiss francs)</w:t>
      </w:r>
    </w:p>
    <w:p w14:paraId="15B8DB34" w14:textId="77777777" w:rsidR="00984F70" w:rsidRPr="007536CC" w:rsidRDefault="00984F70" w:rsidP="00984F70">
      <w:pPr>
        <w:keepNext/>
        <w:keepLines/>
        <w:rPr>
          <w:rFonts w:ascii="Arial" w:hAnsi="Arial" w:cs="Arial"/>
          <w:sz w:val="18"/>
        </w:rPr>
      </w:pPr>
    </w:p>
    <w:p w14:paraId="6FBE2617" w14:textId="77777777" w:rsidR="00984F70" w:rsidRDefault="00984F70" w:rsidP="00FB68E0">
      <w:pPr>
        <w:keepNext/>
        <w:keepLines/>
        <w:jc w:val="center"/>
        <w:rPr>
          <w:rFonts w:ascii="Arial" w:hAnsi="Arial" w:cs="Arial"/>
          <w:sz w:val="20"/>
        </w:rPr>
      </w:pPr>
      <w:r w:rsidRPr="00477C3D">
        <w:rPr>
          <w:noProof/>
          <w:lang w:eastAsia="en-US"/>
        </w:rPr>
        <w:drawing>
          <wp:inline distT="0" distB="0" distL="0" distR="0" wp14:anchorId="6D71146E" wp14:editId="6C691138">
            <wp:extent cx="5454595" cy="874979"/>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481713" cy="879329"/>
                    </a:xfrm>
                    <a:prstGeom prst="rect">
                      <a:avLst/>
                    </a:prstGeom>
                    <a:noFill/>
                    <a:ln>
                      <a:noFill/>
                    </a:ln>
                  </pic:spPr>
                </pic:pic>
              </a:graphicData>
            </a:graphic>
          </wp:inline>
        </w:drawing>
      </w:r>
    </w:p>
    <w:p w14:paraId="6CC83624" w14:textId="77777777" w:rsidR="00984F70" w:rsidRPr="007536CC" w:rsidRDefault="00984F70" w:rsidP="00984F70">
      <w:pPr>
        <w:keepNext/>
        <w:keepLines/>
        <w:rPr>
          <w:rFonts w:ascii="Arial" w:hAnsi="Arial" w:cs="Arial"/>
          <w:sz w:val="16"/>
        </w:rPr>
      </w:pPr>
    </w:p>
    <w:p w14:paraId="57D1F199" w14:textId="77777777" w:rsidR="00984F70" w:rsidRPr="00843855" w:rsidRDefault="00984F70" w:rsidP="007536CC">
      <w:pPr>
        <w:keepNext/>
        <w:keepLines/>
        <w:spacing w:after="60"/>
        <w:rPr>
          <w:rFonts w:ascii="Arial" w:hAnsi="Arial" w:cs="Arial"/>
          <w:i/>
          <w:sz w:val="16"/>
          <w:szCs w:val="14"/>
        </w:rPr>
      </w:pPr>
      <w:r w:rsidRPr="00843855">
        <w:rPr>
          <w:rFonts w:ascii="Arial" w:hAnsi="Arial" w:cs="Arial"/>
          <w:i/>
          <w:sz w:val="16"/>
          <w:szCs w:val="14"/>
          <w:vertAlign w:val="superscript"/>
        </w:rPr>
        <w:t>1</w:t>
      </w:r>
      <w:r w:rsidRPr="00843855">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116CBADE" w14:textId="77777777" w:rsidR="007536CC" w:rsidRDefault="00984F70">
      <w:pPr>
        <w:rPr>
          <w:rFonts w:ascii="Arial" w:hAnsi="Arial" w:cs="Arial"/>
          <w:i/>
          <w:sz w:val="16"/>
          <w:szCs w:val="14"/>
        </w:rPr>
      </w:pPr>
      <w:r w:rsidRPr="00843855">
        <w:rPr>
          <w:rFonts w:ascii="Arial" w:hAnsi="Arial" w:cs="Arial"/>
          <w:i/>
          <w:sz w:val="16"/>
          <w:szCs w:val="14"/>
          <w:vertAlign w:val="superscript"/>
        </w:rPr>
        <w:t>2</w:t>
      </w:r>
      <w:r w:rsidRPr="00843855">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72B4B8E8" w14:textId="13499BCF" w:rsidR="00DF5D9A" w:rsidRDefault="00DF5D9A">
      <w:pPr>
        <w:rPr>
          <w:rFonts w:ascii="Arial" w:hAnsi="Arial" w:cs="Arial"/>
          <w:sz w:val="20"/>
        </w:rPr>
      </w:pPr>
      <w:r>
        <w:rPr>
          <w:rFonts w:ascii="Arial" w:hAnsi="Arial" w:cs="Arial"/>
          <w:sz w:val="20"/>
        </w:rPr>
        <w:br w:type="page"/>
      </w:r>
    </w:p>
    <w:p w14:paraId="05BA611D" w14:textId="731B548F" w:rsidR="00DF5D9A" w:rsidRPr="00DF5D9A" w:rsidRDefault="00DF5D9A" w:rsidP="00DF5D9A">
      <w:pPr>
        <w:pStyle w:val="StyleHeading3ComplexItalic"/>
        <w:rPr>
          <w:rFonts w:eastAsia="SimSun"/>
          <w:iCs w:val="0"/>
          <w:caps w:val="0"/>
          <w:szCs w:val="24"/>
        </w:rPr>
      </w:pPr>
      <w:bookmarkStart w:id="71" w:name="_Toc367350603"/>
      <w:bookmarkStart w:id="72" w:name="_Toc427154426"/>
      <w:r w:rsidRPr="00DF5D9A">
        <w:rPr>
          <w:rStyle w:val="StyleStyleHeading3ComplexItalicLatin12ptChar"/>
          <w:rFonts w:eastAsia="SimSun"/>
          <w:b/>
          <w:szCs w:val="24"/>
        </w:rPr>
        <w:lastRenderedPageBreak/>
        <w:t>PROGRAM 22</w:t>
      </w:r>
      <w:r w:rsidRPr="00DF5D9A">
        <w:rPr>
          <w:rStyle w:val="StyleStyleHeading3ComplexItalicLatin12ptChar"/>
          <w:rFonts w:eastAsia="SimSun"/>
          <w:b/>
          <w:szCs w:val="24"/>
        </w:rPr>
        <w:tab/>
        <w:t>PROGRAM AND RESOURCE MANAGEMENT</w:t>
      </w:r>
      <w:bookmarkEnd w:id="71"/>
      <w:bookmarkEnd w:id="72"/>
      <w:r>
        <w:rPr>
          <w:rStyle w:val="StyleStyleHeading3ComplexItalicLatin12ptChar"/>
          <w:rFonts w:eastAsia="SimSun"/>
          <w:b/>
          <w:szCs w:val="24"/>
        </w:rPr>
        <w:t xml:space="preserve"> </w:t>
      </w:r>
    </w:p>
    <w:p w14:paraId="5A2C55BF" w14:textId="77777777" w:rsidR="00DF5D9A" w:rsidRDefault="00DF5D9A" w:rsidP="00E641D8">
      <w:pPr>
        <w:pStyle w:val="BodyTextIndent"/>
        <w:ind w:left="1985" w:hanging="1985"/>
        <w:jc w:val="both"/>
        <w:rPr>
          <w:rFonts w:ascii="Arial" w:hAnsi="Arial" w:cs="Arial"/>
          <w:sz w:val="22"/>
          <w:szCs w:val="22"/>
        </w:rPr>
      </w:pPr>
    </w:p>
    <w:p w14:paraId="7EDD5082" w14:textId="77777777" w:rsidR="00DF5D9A" w:rsidRDefault="00DF5D9A" w:rsidP="00E641D8">
      <w:pPr>
        <w:pStyle w:val="BodyTextIndent"/>
        <w:ind w:left="1985" w:hanging="1985"/>
        <w:jc w:val="both"/>
        <w:rPr>
          <w:rFonts w:ascii="Arial" w:hAnsi="Arial" w:cs="Arial"/>
          <w:sz w:val="22"/>
          <w:szCs w:val="22"/>
        </w:rPr>
      </w:pPr>
    </w:p>
    <w:p w14:paraId="71E273C6" w14:textId="77777777" w:rsidR="00DF5D9A" w:rsidRPr="00A522FE" w:rsidRDefault="00DF5D9A" w:rsidP="00E641D8">
      <w:pPr>
        <w:pStyle w:val="BodyTextIndent"/>
        <w:ind w:left="1985" w:hanging="1985"/>
        <w:jc w:val="both"/>
        <w:rPr>
          <w:rFonts w:ascii="Arial" w:hAnsi="Arial" w:cs="Arial"/>
          <w:sz w:val="22"/>
          <w:szCs w:val="22"/>
        </w:rPr>
      </w:pPr>
      <w:r w:rsidRPr="00A522FE">
        <w:rPr>
          <w:rFonts w:ascii="Arial" w:hAnsi="Arial" w:cs="Arial"/>
          <w:sz w:val="22"/>
          <w:szCs w:val="22"/>
        </w:rPr>
        <w:t>PLANNING CONTEXT</w:t>
      </w:r>
    </w:p>
    <w:p w14:paraId="178068A5" w14:textId="77777777" w:rsidR="00DF5D9A" w:rsidRDefault="00DF5D9A" w:rsidP="00E641D8">
      <w:pPr>
        <w:ind w:left="6"/>
        <w:jc w:val="both"/>
        <w:rPr>
          <w:rFonts w:ascii="Arial" w:hAnsi="Arial" w:cs="Arial"/>
          <w:sz w:val="20"/>
        </w:rPr>
      </w:pPr>
    </w:p>
    <w:p w14:paraId="343B4334" w14:textId="77777777" w:rsidR="00DF5D9A" w:rsidRPr="00940909" w:rsidRDefault="00DF5D9A" w:rsidP="00B66A4A">
      <w:pPr>
        <w:numPr>
          <w:ilvl w:val="0"/>
          <w:numId w:val="25"/>
        </w:numPr>
        <w:jc w:val="both"/>
        <w:rPr>
          <w:rFonts w:ascii="Arial" w:hAnsi="Arial" w:cs="Arial"/>
          <w:sz w:val="20"/>
          <w:lang w:val="en-GB"/>
        </w:rPr>
      </w:pPr>
      <w:r w:rsidRPr="002C5E96">
        <w:rPr>
          <w:rFonts w:ascii="Arial" w:hAnsi="Arial" w:cs="Arial"/>
          <w:sz w:val="20"/>
          <w:lang w:val="en-GB"/>
        </w:rPr>
        <w:t xml:space="preserve">The </w:t>
      </w:r>
      <w:r>
        <w:rPr>
          <w:rFonts w:ascii="Arial" w:hAnsi="Arial" w:cs="Arial"/>
          <w:sz w:val="20"/>
          <w:lang w:val="en-GB"/>
        </w:rPr>
        <w:t>uncertainties of the</w:t>
      </w:r>
      <w:r w:rsidRPr="002C5E96">
        <w:rPr>
          <w:rFonts w:ascii="Arial" w:hAnsi="Arial" w:cs="Arial"/>
          <w:sz w:val="20"/>
          <w:lang w:val="en-GB"/>
        </w:rPr>
        <w:t xml:space="preserve"> global economy,</w:t>
      </w:r>
      <w:r>
        <w:rPr>
          <w:rFonts w:ascii="Arial" w:hAnsi="Arial" w:cs="Arial"/>
          <w:sz w:val="20"/>
          <w:lang w:val="en-GB"/>
        </w:rPr>
        <w:t xml:space="preserve"> the volatility in the currency markets,</w:t>
      </w:r>
      <w:r w:rsidRPr="002C5E96">
        <w:rPr>
          <w:rFonts w:ascii="Arial" w:hAnsi="Arial" w:cs="Arial"/>
          <w:sz w:val="20"/>
          <w:lang w:val="en-GB"/>
        </w:rPr>
        <w:t xml:space="preserve"> </w:t>
      </w:r>
      <w:r>
        <w:rPr>
          <w:rFonts w:ascii="Arial" w:hAnsi="Arial" w:cs="Arial"/>
          <w:sz w:val="20"/>
          <w:lang w:val="en-GB"/>
        </w:rPr>
        <w:t xml:space="preserve">changes in the banking environment, </w:t>
      </w:r>
      <w:r w:rsidRPr="002C5E96">
        <w:rPr>
          <w:rFonts w:ascii="Arial" w:hAnsi="Arial" w:cs="Arial"/>
          <w:sz w:val="20"/>
          <w:lang w:val="en-GB"/>
        </w:rPr>
        <w:t>the modest increase in income growth, the increase in staff costs and the increasing</w:t>
      </w:r>
      <w:r>
        <w:rPr>
          <w:rFonts w:ascii="Arial" w:hAnsi="Arial" w:cs="Arial"/>
          <w:sz w:val="20"/>
          <w:lang w:val="en-GB"/>
        </w:rPr>
        <w:t xml:space="preserve"> overall</w:t>
      </w:r>
      <w:r w:rsidRPr="002C5E96">
        <w:rPr>
          <w:rFonts w:ascii="Arial" w:hAnsi="Arial" w:cs="Arial"/>
          <w:sz w:val="20"/>
          <w:lang w:val="en-GB"/>
        </w:rPr>
        <w:t xml:space="preserve"> demand for WIPO’s services continue to set </w:t>
      </w:r>
      <w:r>
        <w:rPr>
          <w:rFonts w:ascii="Arial" w:hAnsi="Arial" w:cs="Arial"/>
          <w:sz w:val="20"/>
          <w:lang w:val="en-GB"/>
        </w:rPr>
        <w:t>a challenging</w:t>
      </w:r>
      <w:r w:rsidRPr="002C5E96">
        <w:rPr>
          <w:rFonts w:ascii="Arial" w:hAnsi="Arial" w:cs="Arial"/>
          <w:sz w:val="20"/>
          <w:lang w:val="en-GB"/>
        </w:rPr>
        <w:t xml:space="preserve"> context for this Program in the </w:t>
      </w:r>
      <w:r>
        <w:rPr>
          <w:rFonts w:ascii="Arial" w:hAnsi="Arial" w:cs="Arial"/>
          <w:sz w:val="20"/>
          <w:lang w:val="en-GB"/>
        </w:rPr>
        <w:t>2016/17</w:t>
      </w:r>
      <w:r w:rsidRPr="002C5E96">
        <w:rPr>
          <w:rFonts w:ascii="Arial" w:hAnsi="Arial" w:cs="Arial"/>
          <w:sz w:val="20"/>
          <w:lang w:val="en-GB"/>
        </w:rPr>
        <w:t xml:space="preserve"> biennium.  The current biennium </w:t>
      </w:r>
      <w:r>
        <w:rPr>
          <w:rFonts w:ascii="Arial" w:hAnsi="Arial" w:cs="Arial"/>
          <w:sz w:val="20"/>
          <w:lang w:val="en-GB"/>
        </w:rPr>
        <w:t>has seen the positive impact of a fully embedded results based management approach, a more mature risk management process and a sharper focus on strengthened financial management and internal controls.</w:t>
      </w:r>
      <w:r w:rsidRPr="00940909">
        <w:rPr>
          <w:rFonts w:ascii="Arial" w:hAnsi="Arial" w:cs="Arial"/>
          <w:sz w:val="20"/>
          <w:lang w:val="en-GB"/>
        </w:rPr>
        <w:t xml:space="preserve"> </w:t>
      </w:r>
      <w:r>
        <w:rPr>
          <w:rFonts w:ascii="Arial" w:hAnsi="Arial" w:cs="Arial"/>
          <w:sz w:val="20"/>
          <w:lang w:val="en-GB"/>
        </w:rPr>
        <w:t xml:space="preserve"> </w:t>
      </w:r>
      <w:r w:rsidRPr="00940909">
        <w:rPr>
          <w:rFonts w:ascii="Arial" w:hAnsi="Arial" w:cs="Arial"/>
          <w:sz w:val="20"/>
          <w:lang w:val="en-GB"/>
        </w:rPr>
        <w:t xml:space="preserve">As a consequence of </w:t>
      </w:r>
      <w:r>
        <w:rPr>
          <w:rFonts w:ascii="Arial" w:hAnsi="Arial" w:cs="Arial"/>
          <w:sz w:val="20"/>
          <w:lang w:val="en-GB"/>
        </w:rPr>
        <w:t>better</w:t>
      </w:r>
      <w:r w:rsidRPr="00940909">
        <w:rPr>
          <w:rFonts w:ascii="Arial" w:hAnsi="Arial" w:cs="Arial"/>
          <w:sz w:val="20"/>
          <w:lang w:val="en-GB"/>
        </w:rPr>
        <w:t xml:space="preserve"> </w:t>
      </w:r>
      <w:r>
        <w:rPr>
          <w:rFonts w:ascii="Arial" w:hAnsi="Arial" w:cs="Arial"/>
          <w:sz w:val="20"/>
          <w:lang w:val="en-GB"/>
        </w:rPr>
        <w:t>integration of program performance, budget and financial management and risk management processes and systems,</w:t>
      </w:r>
      <w:r w:rsidRPr="00940909">
        <w:rPr>
          <w:rFonts w:ascii="Arial" w:hAnsi="Arial" w:cs="Arial"/>
          <w:sz w:val="20"/>
          <w:lang w:val="en-GB"/>
        </w:rPr>
        <w:t xml:space="preserve"> this Program is now </w:t>
      </w:r>
      <w:r>
        <w:rPr>
          <w:rFonts w:ascii="Arial" w:hAnsi="Arial" w:cs="Arial"/>
          <w:sz w:val="20"/>
          <w:lang w:val="en-GB"/>
        </w:rPr>
        <w:t>well</w:t>
      </w:r>
      <w:r w:rsidRPr="00940909">
        <w:rPr>
          <w:rFonts w:ascii="Arial" w:hAnsi="Arial" w:cs="Arial"/>
          <w:sz w:val="20"/>
          <w:lang w:val="en-GB"/>
        </w:rPr>
        <w:t xml:space="preserve"> placed to take a more comprehensive Organizational performance management approach that encompasses business, operational and financial management principles</w:t>
      </w:r>
      <w:r>
        <w:rPr>
          <w:rFonts w:ascii="Arial" w:hAnsi="Arial" w:cs="Arial"/>
          <w:sz w:val="20"/>
          <w:lang w:val="en-GB"/>
        </w:rPr>
        <w:t>.</w:t>
      </w:r>
      <w:r w:rsidRPr="00940909">
        <w:rPr>
          <w:rFonts w:ascii="Arial" w:hAnsi="Arial" w:cs="Arial"/>
          <w:sz w:val="20"/>
          <w:lang w:val="en-GB"/>
        </w:rPr>
        <w:t xml:space="preserve"> </w:t>
      </w:r>
    </w:p>
    <w:p w14:paraId="608E03BF" w14:textId="77777777" w:rsidR="00DF5D9A" w:rsidRPr="00F62675" w:rsidRDefault="00DF5D9A" w:rsidP="00E641D8">
      <w:pPr>
        <w:rPr>
          <w:rFonts w:ascii="Arial" w:hAnsi="Arial"/>
          <w:sz w:val="20"/>
          <w:lang w:val="en-GB"/>
        </w:rPr>
      </w:pPr>
    </w:p>
    <w:p w14:paraId="433298C5" w14:textId="77777777" w:rsidR="00DF5D9A" w:rsidRPr="00A522FE" w:rsidRDefault="00DF5D9A" w:rsidP="00E641D8">
      <w:pPr>
        <w:rPr>
          <w:rFonts w:ascii="Arial" w:hAnsi="Arial"/>
          <w:sz w:val="20"/>
        </w:rPr>
      </w:pPr>
    </w:p>
    <w:p w14:paraId="071B8401" w14:textId="77777777" w:rsidR="00DF5D9A" w:rsidRPr="00F62675" w:rsidRDefault="00DF5D9A" w:rsidP="00E641D8">
      <w:pPr>
        <w:tabs>
          <w:tab w:val="left" w:pos="567"/>
          <w:tab w:val="left" w:pos="1985"/>
        </w:tabs>
        <w:jc w:val="both"/>
        <w:rPr>
          <w:rFonts w:ascii="Arial" w:hAnsi="Arial" w:cs="Arial"/>
          <w:bCs/>
        </w:rPr>
      </w:pPr>
      <w:r w:rsidRPr="00F62675">
        <w:rPr>
          <w:rFonts w:ascii="Arial" w:hAnsi="Arial" w:cs="Arial"/>
          <w:bCs/>
        </w:rPr>
        <w:t>IMPLEMENTATION STRATEGIES</w:t>
      </w:r>
    </w:p>
    <w:p w14:paraId="45A3C3F3" w14:textId="77777777" w:rsidR="00DF5D9A" w:rsidRDefault="00DF5D9A" w:rsidP="00E641D8">
      <w:pPr>
        <w:tabs>
          <w:tab w:val="left" w:pos="567"/>
          <w:tab w:val="left" w:pos="1985"/>
        </w:tabs>
        <w:jc w:val="both"/>
        <w:rPr>
          <w:rFonts w:ascii="Arial" w:hAnsi="Arial" w:cs="Arial"/>
          <w:bCs/>
          <w:sz w:val="20"/>
        </w:rPr>
      </w:pPr>
    </w:p>
    <w:p w14:paraId="36A113D9" w14:textId="77777777" w:rsidR="00DF5D9A" w:rsidRPr="002C5E96" w:rsidRDefault="00DF5D9A" w:rsidP="00B66A4A">
      <w:pPr>
        <w:numPr>
          <w:ilvl w:val="0"/>
          <w:numId w:val="25"/>
        </w:numPr>
        <w:jc w:val="both"/>
        <w:rPr>
          <w:rFonts w:ascii="Arial" w:hAnsi="Arial" w:cs="Arial"/>
          <w:sz w:val="20"/>
        </w:rPr>
      </w:pPr>
      <w:r w:rsidRPr="002C5E96">
        <w:rPr>
          <w:rFonts w:ascii="Arial" w:hAnsi="Arial" w:cs="Arial"/>
          <w:sz w:val="20"/>
          <w:lang w:val="en-GB"/>
        </w:rPr>
        <w:t xml:space="preserve">One of the main areas of focus during the </w:t>
      </w:r>
      <w:r>
        <w:rPr>
          <w:rFonts w:ascii="Arial" w:hAnsi="Arial" w:cs="Arial"/>
          <w:sz w:val="20"/>
          <w:lang w:val="en-GB"/>
        </w:rPr>
        <w:t>2016/17</w:t>
      </w:r>
      <w:r w:rsidRPr="002C5E96">
        <w:rPr>
          <w:rFonts w:ascii="Arial" w:hAnsi="Arial" w:cs="Arial"/>
          <w:sz w:val="20"/>
          <w:lang w:val="en-GB"/>
        </w:rPr>
        <w:t xml:space="preserve"> biennium will be to ensure that </w:t>
      </w:r>
      <w:r>
        <w:rPr>
          <w:rFonts w:ascii="Arial" w:hAnsi="Arial" w:cs="Arial"/>
          <w:sz w:val="20"/>
          <w:lang w:val="en-GB"/>
        </w:rPr>
        <w:t>the full suite of processes from planning through to monitoring, assessment and reporting are of consistent quality</w:t>
      </w:r>
      <w:r w:rsidRPr="002C5E96">
        <w:rPr>
          <w:rFonts w:ascii="Arial" w:hAnsi="Arial" w:cs="Arial"/>
          <w:sz w:val="20"/>
          <w:lang w:val="en-GB"/>
        </w:rPr>
        <w:t xml:space="preserve">  </w:t>
      </w:r>
      <w:r>
        <w:rPr>
          <w:rFonts w:ascii="Arial" w:hAnsi="Arial" w:cs="Arial"/>
          <w:sz w:val="20"/>
          <w:lang w:val="en-GB"/>
        </w:rPr>
        <w:t xml:space="preserve">across the Organization, thus enabling this </w:t>
      </w:r>
      <w:r w:rsidRPr="002C5E96">
        <w:rPr>
          <w:rFonts w:ascii="Arial" w:hAnsi="Arial" w:cs="Arial"/>
          <w:sz w:val="20"/>
          <w:lang w:val="en-GB"/>
        </w:rPr>
        <w:t xml:space="preserve">Program to </w:t>
      </w:r>
      <w:r>
        <w:rPr>
          <w:rFonts w:ascii="Arial" w:hAnsi="Arial" w:cs="Arial"/>
          <w:sz w:val="20"/>
          <w:lang w:val="en-GB"/>
        </w:rPr>
        <w:t>better support the Director General and engage with</w:t>
      </w:r>
      <w:r w:rsidRPr="002C5E96">
        <w:rPr>
          <w:rFonts w:ascii="Arial" w:hAnsi="Arial" w:cs="Arial"/>
          <w:sz w:val="20"/>
          <w:lang w:val="en-GB"/>
        </w:rPr>
        <w:t xml:space="preserve"> Program Managers to </w:t>
      </w:r>
      <w:r>
        <w:rPr>
          <w:rFonts w:ascii="Arial" w:hAnsi="Arial" w:cs="Arial"/>
          <w:sz w:val="20"/>
          <w:lang w:val="en-GB"/>
        </w:rPr>
        <w:t>further enhance program delivery</w:t>
      </w:r>
      <w:r w:rsidRPr="002C5E96">
        <w:rPr>
          <w:rFonts w:ascii="Arial" w:hAnsi="Arial" w:cs="Arial"/>
          <w:sz w:val="20"/>
          <w:lang w:val="en-GB"/>
        </w:rPr>
        <w:t xml:space="preserve">.  </w:t>
      </w:r>
      <w:r>
        <w:rPr>
          <w:rFonts w:ascii="Arial" w:hAnsi="Arial" w:cs="Arial"/>
          <w:sz w:val="20"/>
          <w:lang w:val="en-GB"/>
        </w:rPr>
        <w:t xml:space="preserve">Program delivery will be further enabled through newly deployed business intelligence capabilities that will work on integrated data from our ERP systems which now integrate financial, procurement, program performance, budget, human resources and risk related data. </w:t>
      </w:r>
      <w:r w:rsidRPr="00EC1F49">
        <w:rPr>
          <w:rFonts w:ascii="Arial" w:hAnsi="Arial" w:cs="Arial"/>
          <w:sz w:val="20"/>
        </w:rPr>
        <w:t xml:space="preserve"> </w:t>
      </w:r>
      <w:r w:rsidRPr="002C5E96">
        <w:rPr>
          <w:rFonts w:ascii="Arial" w:hAnsi="Arial" w:cs="Arial"/>
          <w:sz w:val="20"/>
        </w:rPr>
        <w:t>The Program will</w:t>
      </w:r>
      <w:r>
        <w:rPr>
          <w:rFonts w:ascii="Arial" w:hAnsi="Arial" w:cs="Arial"/>
          <w:sz w:val="20"/>
        </w:rPr>
        <w:t xml:space="preserve"> continue</w:t>
      </w:r>
      <w:r w:rsidRPr="002C5E96">
        <w:rPr>
          <w:rFonts w:ascii="Arial" w:hAnsi="Arial" w:cs="Arial"/>
          <w:sz w:val="20"/>
        </w:rPr>
        <w:t>,</w:t>
      </w:r>
      <w:r>
        <w:rPr>
          <w:rFonts w:ascii="Arial" w:hAnsi="Arial" w:cs="Arial"/>
          <w:sz w:val="20"/>
        </w:rPr>
        <w:t xml:space="preserve"> in the next biennium, to</w:t>
      </w:r>
      <w:r w:rsidRPr="002C5E96">
        <w:rPr>
          <w:rFonts w:ascii="Arial" w:hAnsi="Arial" w:cs="Arial"/>
          <w:sz w:val="20"/>
        </w:rPr>
        <w:t xml:space="preserve"> actively support Program </w:t>
      </w:r>
      <w:r>
        <w:rPr>
          <w:rFonts w:ascii="Arial" w:hAnsi="Arial" w:cs="Arial"/>
          <w:sz w:val="20"/>
        </w:rPr>
        <w:t>M</w:t>
      </w:r>
      <w:r w:rsidRPr="002C5E96">
        <w:rPr>
          <w:rFonts w:ascii="Arial" w:hAnsi="Arial" w:cs="Arial"/>
          <w:sz w:val="20"/>
        </w:rPr>
        <w:t>anagers in analyzing their business operations and delivery models to identify opportunities to continuously improve performance and cost-effectiveness.</w:t>
      </w:r>
      <w:r>
        <w:rPr>
          <w:rFonts w:ascii="Arial" w:hAnsi="Arial" w:cs="Arial"/>
          <w:sz w:val="20"/>
        </w:rPr>
        <w:t xml:space="preserve">  This will include strengthened financial management of projects. </w:t>
      </w:r>
      <w:r>
        <w:rPr>
          <w:rFonts w:ascii="Arial" w:hAnsi="Arial" w:cs="Arial"/>
          <w:sz w:val="20"/>
          <w:lang w:val="en-GB"/>
        </w:rPr>
        <w:t>These initiatives will result in a further strengthening of the Organization’s RBM maturity.</w:t>
      </w:r>
    </w:p>
    <w:p w14:paraId="5C834C1D" w14:textId="77777777" w:rsidR="00DF5D9A" w:rsidRPr="002C5E96" w:rsidRDefault="00DF5D9A" w:rsidP="00E641D8">
      <w:pPr>
        <w:ind w:left="6"/>
        <w:jc w:val="both"/>
        <w:rPr>
          <w:rFonts w:ascii="Arial" w:hAnsi="Arial" w:cs="Arial"/>
          <w:sz w:val="20"/>
        </w:rPr>
      </w:pPr>
    </w:p>
    <w:p w14:paraId="340BDE09" w14:textId="4596CF35" w:rsidR="00DF5D9A" w:rsidRPr="002C5E96" w:rsidRDefault="00DF5D9A" w:rsidP="00B66A4A">
      <w:pPr>
        <w:numPr>
          <w:ilvl w:val="0"/>
          <w:numId w:val="25"/>
        </w:numPr>
        <w:jc w:val="both"/>
        <w:rPr>
          <w:rFonts w:ascii="Arial" w:hAnsi="Arial" w:cs="Arial"/>
          <w:sz w:val="20"/>
          <w:lang w:val="en-GB"/>
        </w:rPr>
      </w:pPr>
      <w:r>
        <w:rPr>
          <w:rFonts w:ascii="Arial" w:hAnsi="Arial" w:cs="Arial"/>
          <w:sz w:val="20"/>
        </w:rPr>
        <w:t>The Program’s</w:t>
      </w:r>
      <w:r w:rsidRPr="002C5E96">
        <w:rPr>
          <w:rFonts w:ascii="Arial" w:hAnsi="Arial" w:cs="Arial"/>
          <w:sz w:val="20"/>
        </w:rPr>
        <w:t xml:space="preserve"> priorities will include </w:t>
      </w:r>
      <w:r>
        <w:rPr>
          <w:rFonts w:ascii="Arial" w:hAnsi="Arial" w:cs="Arial"/>
          <w:sz w:val="20"/>
        </w:rPr>
        <w:t>further</w:t>
      </w:r>
      <w:r w:rsidRPr="002C5E96">
        <w:rPr>
          <w:rFonts w:ascii="Arial" w:hAnsi="Arial" w:cs="Arial"/>
          <w:sz w:val="20"/>
        </w:rPr>
        <w:t xml:space="preserve"> improvement of both the processes which forecast and manage WIPO’s income as well as those which track expenditure</w:t>
      </w:r>
      <w:r>
        <w:rPr>
          <w:rFonts w:ascii="Arial" w:hAnsi="Arial" w:cs="Arial"/>
          <w:sz w:val="20"/>
        </w:rPr>
        <w:t>.</w:t>
      </w:r>
      <w:r w:rsidRPr="002C5E96">
        <w:rPr>
          <w:rFonts w:ascii="Arial" w:hAnsi="Arial" w:cs="Arial"/>
          <w:sz w:val="20"/>
        </w:rPr>
        <w:t xml:space="preserve"> </w:t>
      </w:r>
      <w:r>
        <w:rPr>
          <w:rFonts w:ascii="Arial" w:hAnsi="Arial" w:cs="Arial"/>
          <w:sz w:val="20"/>
        </w:rPr>
        <w:t xml:space="preserve"> This will imply collaborating further with the revenue generating Programs to develop further insights into payment patterns in respect of PCT fees received from Receiving Offices and to improve processes and customer-service levels in respect of Madrid fees.</w:t>
      </w:r>
      <w:r w:rsidRPr="002C5E96">
        <w:rPr>
          <w:rFonts w:ascii="Arial" w:hAnsi="Arial" w:cs="Arial"/>
          <w:sz w:val="20"/>
        </w:rPr>
        <w:t xml:space="preserve"> </w:t>
      </w:r>
      <w:r>
        <w:rPr>
          <w:rFonts w:ascii="Arial" w:hAnsi="Arial" w:cs="Arial"/>
          <w:sz w:val="20"/>
        </w:rPr>
        <w:t xml:space="preserve"> The </w:t>
      </w:r>
      <w:r w:rsidR="00511015">
        <w:rPr>
          <w:rFonts w:ascii="Arial" w:hAnsi="Arial" w:cs="Arial"/>
          <w:sz w:val="20"/>
        </w:rPr>
        <w:t>P</w:t>
      </w:r>
      <w:r>
        <w:rPr>
          <w:rFonts w:ascii="Arial" w:hAnsi="Arial" w:cs="Arial"/>
          <w:sz w:val="20"/>
        </w:rPr>
        <w:t xml:space="preserve">rogram will also, in collaboration with Program 5, follow up on the Member State decisions in respect of hedging against exchange rate losses </w:t>
      </w:r>
      <w:r w:rsidR="00511015">
        <w:rPr>
          <w:rFonts w:ascii="Arial" w:hAnsi="Arial" w:cs="Arial"/>
          <w:sz w:val="20"/>
        </w:rPr>
        <w:t>associated with</w:t>
      </w:r>
      <w:r>
        <w:rPr>
          <w:rFonts w:ascii="Arial" w:hAnsi="Arial" w:cs="Arial"/>
          <w:sz w:val="20"/>
        </w:rPr>
        <w:t xml:space="preserve"> PCT fees. </w:t>
      </w:r>
      <w:r w:rsidRPr="002C5E96">
        <w:rPr>
          <w:rFonts w:ascii="Arial" w:hAnsi="Arial" w:cs="Arial"/>
          <w:sz w:val="20"/>
        </w:rPr>
        <w:t>Th</w:t>
      </w:r>
      <w:r>
        <w:rPr>
          <w:rFonts w:ascii="Arial" w:hAnsi="Arial" w:cs="Arial"/>
          <w:sz w:val="20"/>
        </w:rPr>
        <w:t>ese</w:t>
      </w:r>
      <w:r w:rsidRPr="002C5E96">
        <w:rPr>
          <w:rFonts w:ascii="Arial" w:hAnsi="Arial" w:cs="Arial"/>
          <w:sz w:val="20"/>
        </w:rPr>
        <w:t xml:space="preserve"> </w:t>
      </w:r>
      <w:r>
        <w:rPr>
          <w:rFonts w:ascii="Arial" w:hAnsi="Arial" w:cs="Arial"/>
          <w:sz w:val="20"/>
        </w:rPr>
        <w:t>initiatives are</w:t>
      </w:r>
      <w:r w:rsidRPr="002C5E96">
        <w:rPr>
          <w:rFonts w:ascii="Arial" w:hAnsi="Arial" w:cs="Arial"/>
          <w:sz w:val="20"/>
        </w:rPr>
        <w:t xml:space="preserve"> expected to further strengthen </w:t>
      </w:r>
      <w:r>
        <w:rPr>
          <w:rFonts w:ascii="Arial" w:hAnsi="Arial" w:cs="Arial"/>
          <w:sz w:val="20"/>
        </w:rPr>
        <w:t xml:space="preserve">financial risk management. </w:t>
      </w:r>
      <w:r w:rsidRPr="002C5E96">
        <w:rPr>
          <w:rFonts w:ascii="Arial" w:hAnsi="Arial" w:cs="Arial"/>
          <w:sz w:val="20"/>
        </w:rPr>
        <w:t xml:space="preserve"> </w:t>
      </w:r>
      <w:r>
        <w:rPr>
          <w:rFonts w:ascii="Arial" w:hAnsi="Arial" w:cs="Arial"/>
          <w:sz w:val="20"/>
          <w:lang w:val="en-GB"/>
        </w:rPr>
        <w:t>The next biennium will be characterized by several changes in the banking and investment domain on account of the current advantageous banking facility provided to WIPO by the Swiss Federal Department of Finance coming to an end in December 2015 and the introduction of negative interest rates on Swiss franc deposits.  This Program will therefore need to ensure a more active and yet prudent investment planning and</w:t>
      </w:r>
      <w:r w:rsidRPr="002C5E96">
        <w:rPr>
          <w:rFonts w:ascii="Arial" w:hAnsi="Arial" w:cs="Arial"/>
          <w:sz w:val="20"/>
          <w:lang w:val="en-GB"/>
        </w:rPr>
        <w:t xml:space="preserve"> management approach </w:t>
      </w:r>
      <w:r>
        <w:rPr>
          <w:rFonts w:ascii="Arial" w:hAnsi="Arial" w:cs="Arial"/>
          <w:sz w:val="20"/>
          <w:lang w:val="en-GB"/>
        </w:rPr>
        <w:t>guided by a revised investment policy approved by Member States.  The Program will furthermore ensure, in collaboration with Program 23 (Human Resources Management and Development), a very tight monitoring of personnel costs to ensure that these are contained in accordance with the plan.</w:t>
      </w:r>
    </w:p>
    <w:p w14:paraId="4651CF85" w14:textId="77777777" w:rsidR="00DF5D9A" w:rsidRDefault="00DF5D9A">
      <w:pPr>
        <w:tabs>
          <w:tab w:val="left" w:pos="567"/>
          <w:tab w:val="left" w:pos="1985"/>
        </w:tabs>
        <w:jc w:val="both"/>
        <w:rPr>
          <w:rFonts w:ascii="Arial" w:hAnsi="Arial" w:cs="Arial"/>
          <w:bCs/>
          <w:sz w:val="20"/>
          <w:lang w:val="en-GB"/>
        </w:rPr>
      </w:pPr>
    </w:p>
    <w:p w14:paraId="4B92E966" w14:textId="77777777" w:rsidR="00DF5D9A" w:rsidRDefault="00DF5D9A" w:rsidP="00B66A4A">
      <w:pPr>
        <w:numPr>
          <w:ilvl w:val="0"/>
          <w:numId w:val="25"/>
        </w:numPr>
        <w:jc w:val="both"/>
        <w:rPr>
          <w:rFonts w:ascii="Arial" w:hAnsi="Arial" w:cs="Arial"/>
          <w:sz w:val="20"/>
        </w:rPr>
      </w:pPr>
      <w:r>
        <w:rPr>
          <w:rFonts w:ascii="Arial" w:hAnsi="Arial" w:cs="Arial"/>
          <w:sz w:val="20"/>
        </w:rPr>
        <w:t xml:space="preserve">The Program will continue to absorb into operations the deployment of the new modules and capabilities of the ERP system resulting in the need to support and sustain a complex and fully integrated ERP system in a cost-effective and service–orientated manner.  Outsourcing of support, maintenance and technical development under a robust management and quality assurance framework will remain a key strategy.  </w:t>
      </w:r>
      <w:r w:rsidRPr="002C5E96">
        <w:rPr>
          <w:rFonts w:ascii="Arial" w:hAnsi="Arial" w:cs="Arial"/>
          <w:sz w:val="20"/>
        </w:rPr>
        <w:t xml:space="preserve">The implementation of the ERP and enhanced reporting capabilities present a major opportunity to </w:t>
      </w:r>
      <w:r>
        <w:rPr>
          <w:rFonts w:ascii="Arial" w:hAnsi="Arial" w:cs="Arial"/>
          <w:sz w:val="20"/>
        </w:rPr>
        <w:t xml:space="preserve">systematize the </w:t>
      </w:r>
      <w:r w:rsidRPr="002C5E96">
        <w:rPr>
          <w:rFonts w:ascii="Arial" w:hAnsi="Arial" w:cs="Arial"/>
          <w:sz w:val="20"/>
        </w:rPr>
        <w:t>use</w:t>
      </w:r>
      <w:r>
        <w:rPr>
          <w:rFonts w:ascii="Arial" w:hAnsi="Arial" w:cs="Arial"/>
          <w:sz w:val="20"/>
        </w:rPr>
        <w:t xml:space="preserve"> of</w:t>
      </w:r>
      <w:r w:rsidRPr="002C5E96">
        <w:rPr>
          <w:rFonts w:ascii="Arial" w:hAnsi="Arial" w:cs="Arial"/>
          <w:sz w:val="20"/>
        </w:rPr>
        <w:t xml:space="preserve"> analytics and business intelligence to inform Program and resource management decisions.</w:t>
      </w:r>
      <w:r>
        <w:rPr>
          <w:rFonts w:ascii="Arial" w:hAnsi="Arial" w:cs="Arial"/>
          <w:sz w:val="20"/>
        </w:rPr>
        <w:t xml:space="preserve"> </w:t>
      </w:r>
      <w:r w:rsidRPr="002C5E96">
        <w:rPr>
          <w:rFonts w:ascii="Arial" w:hAnsi="Arial" w:cs="Arial"/>
          <w:sz w:val="20"/>
        </w:rPr>
        <w:t xml:space="preserve"> Enhanced reporting will also enable the Program to assess and further strengthen controls where necessary</w:t>
      </w:r>
      <w:r>
        <w:rPr>
          <w:rFonts w:ascii="Arial" w:hAnsi="Arial" w:cs="Arial"/>
          <w:sz w:val="20"/>
        </w:rPr>
        <w:t>.  The effective completion of the ERP Portfolio of projects, transition of the systems deployed to operational status and an increased focus on benefits tracking and assessment will ensure that the value delivered by the Portfolio of projects is sustained.</w:t>
      </w:r>
    </w:p>
    <w:p w14:paraId="5E10BDDA" w14:textId="77777777" w:rsidR="00DF5D9A" w:rsidRDefault="00DF5D9A">
      <w:pPr>
        <w:pStyle w:val="ListParagraph"/>
        <w:rPr>
          <w:rFonts w:ascii="Arial" w:hAnsi="Arial" w:cs="Arial"/>
          <w:sz w:val="20"/>
        </w:rPr>
      </w:pPr>
    </w:p>
    <w:p w14:paraId="43503F31" w14:textId="77777777" w:rsidR="00DF5D9A" w:rsidRPr="00BA5135" w:rsidRDefault="00DF5D9A" w:rsidP="00B66A4A">
      <w:pPr>
        <w:numPr>
          <w:ilvl w:val="0"/>
          <w:numId w:val="25"/>
        </w:numPr>
        <w:jc w:val="both"/>
        <w:rPr>
          <w:rFonts w:ascii="Arial" w:hAnsi="Arial" w:cs="Arial"/>
          <w:sz w:val="20"/>
        </w:rPr>
      </w:pPr>
      <w:r w:rsidRPr="00BA5135">
        <w:rPr>
          <w:rFonts w:ascii="Arial" w:hAnsi="Arial" w:cs="Arial"/>
          <w:sz w:val="20"/>
        </w:rPr>
        <w:t xml:space="preserve">The current biennium has seen a significant increase in maturity of our risk management process and culture. </w:t>
      </w:r>
      <w:r>
        <w:rPr>
          <w:rFonts w:ascii="Arial" w:hAnsi="Arial" w:cs="Arial"/>
          <w:sz w:val="20"/>
        </w:rPr>
        <w:t xml:space="preserve"> </w:t>
      </w:r>
      <w:r w:rsidRPr="00BA5135">
        <w:rPr>
          <w:rFonts w:ascii="Arial" w:hAnsi="Arial" w:cs="Arial"/>
          <w:sz w:val="20"/>
        </w:rPr>
        <w:t xml:space="preserve">Building on this, the </w:t>
      </w:r>
      <w:r>
        <w:rPr>
          <w:rFonts w:ascii="Arial" w:hAnsi="Arial" w:cs="Arial"/>
          <w:sz w:val="20"/>
        </w:rPr>
        <w:t>P</w:t>
      </w:r>
      <w:r w:rsidRPr="00BA5135">
        <w:rPr>
          <w:rFonts w:ascii="Arial" w:hAnsi="Arial" w:cs="Arial"/>
          <w:sz w:val="20"/>
        </w:rPr>
        <w:t xml:space="preserve">rogram will continue to facilitate the work of the Risk Management Group through the review and monitoring of critical and </w:t>
      </w:r>
      <w:r>
        <w:rPr>
          <w:rFonts w:ascii="Arial" w:hAnsi="Arial" w:cs="Arial"/>
          <w:sz w:val="20"/>
        </w:rPr>
        <w:t>o</w:t>
      </w:r>
      <w:r w:rsidRPr="00BA5135">
        <w:rPr>
          <w:rFonts w:ascii="Arial" w:hAnsi="Arial" w:cs="Arial"/>
          <w:sz w:val="20"/>
        </w:rPr>
        <w:t>rganization</w:t>
      </w:r>
      <w:r>
        <w:rPr>
          <w:rFonts w:ascii="Arial" w:hAnsi="Arial" w:cs="Arial"/>
          <w:sz w:val="20"/>
        </w:rPr>
        <w:t>al</w:t>
      </w:r>
      <w:r w:rsidRPr="00BA5135">
        <w:rPr>
          <w:rFonts w:ascii="Arial" w:hAnsi="Arial" w:cs="Arial"/>
          <w:sz w:val="20"/>
        </w:rPr>
        <w:t xml:space="preserve"> risks as well as </w:t>
      </w:r>
      <w:r w:rsidRPr="00BA5135">
        <w:rPr>
          <w:rFonts w:ascii="Arial" w:hAnsi="Arial" w:cs="Arial"/>
          <w:sz w:val="20"/>
        </w:rPr>
        <w:lastRenderedPageBreak/>
        <w:t xml:space="preserve">systematic reporting on risk and support </w:t>
      </w:r>
      <w:r>
        <w:rPr>
          <w:rFonts w:ascii="Arial" w:hAnsi="Arial" w:cs="Arial"/>
          <w:sz w:val="20"/>
        </w:rPr>
        <w:t xml:space="preserve">of </w:t>
      </w:r>
      <w:r w:rsidRPr="00BA5135">
        <w:rPr>
          <w:rFonts w:ascii="Arial" w:hAnsi="Arial" w:cs="Arial"/>
          <w:sz w:val="20"/>
        </w:rPr>
        <w:t xml:space="preserve">the risk management process across the Organization. </w:t>
      </w:r>
      <w:r>
        <w:rPr>
          <w:rFonts w:ascii="Arial" w:hAnsi="Arial" w:cs="Arial"/>
          <w:sz w:val="20"/>
        </w:rPr>
        <w:t xml:space="preserve"> </w:t>
      </w:r>
      <w:r w:rsidRPr="00BA5135">
        <w:rPr>
          <w:rFonts w:ascii="Arial" w:hAnsi="Arial" w:cs="Arial"/>
          <w:sz w:val="20"/>
        </w:rPr>
        <w:t xml:space="preserve">The Program’s focus on visibly increasing the maturity of the Organization’s internal control system will be high.  In this context, efforts will continue to ensure that key process controls are documented, that greater and wider awareness of the control environment and key controls is achieved, that the control system is better supported by information and analytics from the ERP systems and that the effectiveness of key controls are then assessed on an on-going basis. </w:t>
      </w:r>
      <w:r>
        <w:rPr>
          <w:rFonts w:ascii="Arial" w:hAnsi="Arial" w:cs="Arial"/>
          <w:sz w:val="20"/>
        </w:rPr>
        <w:t xml:space="preserve"> </w:t>
      </w:r>
      <w:r w:rsidRPr="00BA5135">
        <w:rPr>
          <w:rFonts w:ascii="Arial" w:hAnsi="Arial" w:cs="Arial"/>
          <w:sz w:val="20"/>
        </w:rPr>
        <w:t xml:space="preserve">The </w:t>
      </w:r>
      <w:r>
        <w:rPr>
          <w:rFonts w:ascii="Arial" w:hAnsi="Arial" w:cs="Arial"/>
          <w:sz w:val="20"/>
        </w:rPr>
        <w:t>P</w:t>
      </w:r>
      <w:r w:rsidRPr="00BA5135">
        <w:rPr>
          <w:rFonts w:ascii="Arial" w:hAnsi="Arial" w:cs="Arial"/>
          <w:sz w:val="20"/>
        </w:rPr>
        <w:t>rogram will accord high priority to the continuous dialog established with the Audit and Oversight bodies and a systematic follow-up on all outstanding recommendations</w:t>
      </w:r>
      <w:r>
        <w:rPr>
          <w:rFonts w:ascii="Arial" w:hAnsi="Arial" w:cs="Arial"/>
          <w:sz w:val="20"/>
        </w:rPr>
        <w:t>.</w:t>
      </w:r>
    </w:p>
    <w:p w14:paraId="78952353" w14:textId="77777777" w:rsidR="00DF5D9A" w:rsidRDefault="00DF5D9A">
      <w:pPr>
        <w:ind w:left="6"/>
        <w:jc w:val="both"/>
        <w:rPr>
          <w:rFonts w:ascii="Arial" w:hAnsi="Arial" w:cs="Arial"/>
          <w:sz w:val="20"/>
        </w:rPr>
      </w:pPr>
    </w:p>
    <w:p w14:paraId="0C790FE8" w14:textId="77777777" w:rsidR="00DF5D9A" w:rsidRPr="002C5E96" w:rsidRDefault="00DF5D9A">
      <w:pPr>
        <w:ind w:left="6"/>
        <w:jc w:val="both"/>
        <w:rPr>
          <w:rFonts w:ascii="Arial" w:hAnsi="Arial" w:cs="Arial"/>
          <w:sz w:val="20"/>
        </w:rPr>
      </w:pPr>
    </w:p>
    <w:p w14:paraId="1B63E836" w14:textId="77777777" w:rsidR="00DF5D9A" w:rsidRPr="00B508E4" w:rsidRDefault="00DF5D9A">
      <w:pPr>
        <w:jc w:val="both"/>
        <w:rPr>
          <w:rFonts w:ascii="Arial" w:hAnsi="Arial" w:cs="Arial"/>
          <w:sz w:val="28"/>
          <w:szCs w:val="28"/>
        </w:rPr>
      </w:pPr>
      <w:r w:rsidRPr="00B508E4">
        <w:rPr>
          <w:rFonts w:ascii="Arial" w:hAnsi="Arial" w:cs="Arial"/>
          <w:iCs/>
        </w:rPr>
        <w:t>MAJOR RISKS AND MITIGATION STRATEGIES</w:t>
      </w:r>
      <w:r w:rsidRPr="00B508E4">
        <w:rPr>
          <w:rFonts w:ascii="Arial" w:hAnsi="Arial" w:cs="Arial"/>
        </w:rPr>
        <w:t xml:space="preserve"> </w:t>
      </w:r>
    </w:p>
    <w:p w14:paraId="62D02A8B" w14:textId="77777777" w:rsidR="00DF5D9A" w:rsidRDefault="00DF5D9A">
      <w:pPr>
        <w:rPr>
          <w:rFonts w:ascii="Arial" w:hAnsi="Arial" w:cs="Arial"/>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DF5D9A" w14:paraId="383E6A89" w14:textId="77777777" w:rsidTr="00FB68E0">
        <w:trPr>
          <w:trHeight w:val="493"/>
        </w:trPr>
        <w:tc>
          <w:tcPr>
            <w:tcW w:w="4111" w:type="dxa"/>
            <w:tcBorders>
              <w:top w:val="single" w:sz="4" w:space="0" w:color="auto"/>
              <w:bottom w:val="single" w:sz="4" w:space="0" w:color="auto"/>
            </w:tcBorders>
            <w:shd w:val="clear" w:color="auto" w:fill="C6D9F1" w:themeFill="text2" w:themeFillTint="33"/>
            <w:vAlign w:val="center"/>
          </w:tcPr>
          <w:p w14:paraId="66FD08E9" w14:textId="77777777" w:rsidR="00DF5D9A" w:rsidRPr="003C527B" w:rsidRDefault="00DF5D9A">
            <w:pPr>
              <w:jc w:val="center"/>
              <w:rPr>
                <w:rFonts w:ascii="Arial" w:hAnsi="Arial" w:cs="Arial"/>
                <w:b/>
                <w:bCs/>
                <w:sz w:val="18"/>
                <w:szCs w:val="18"/>
              </w:rPr>
            </w:pPr>
            <w:r>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144BBA80" w14:textId="77777777" w:rsidR="00DF5D9A" w:rsidRPr="003C527B" w:rsidRDefault="00DF5D9A">
            <w:pPr>
              <w:jc w:val="center"/>
              <w:rPr>
                <w:rFonts w:ascii="Arial" w:hAnsi="Arial" w:cs="Arial"/>
                <w:b/>
                <w:bCs/>
                <w:sz w:val="18"/>
                <w:szCs w:val="18"/>
              </w:rPr>
            </w:pPr>
            <w:r>
              <w:rPr>
                <w:rFonts w:ascii="Arial" w:hAnsi="Arial" w:cs="Arial"/>
                <w:b/>
                <w:bCs/>
                <w:sz w:val="18"/>
                <w:szCs w:val="18"/>
              </w:rPr>
              <w:t>Mitigation</w:t>
            </w:r>
          </w:p>
        </w:tc>
      </w:tr>
      <w:tr w:rsidR="00DF5D9A" w14:paraId="77EFFD3C" w14:textId="77777777" w:rsidTr="00FB68E0">
        <w:trPr>
          <w:trHeight w:val="1101"/>
        </w:trPr>
        <w:tc>
          <w:tcPr>
            <w:tcW w:w="4111" w:type="dxa"/>
            <w:tcBorders>
              <w:top w:val="single" w:sz="4" w:space="0" w:color="auto"/>
            </w:tcBorders>
            <w:shd w:val="clear" w:color="auto" w:fill="auto"/>
            <w:tcMar>
              <w:top w:w="113" w:type="dxa"/>
              <w:bottom w:w="113" w:type="dxa"/>
            </w:tcMar>
          </w:tcPr>
          <w:p w14:paraId="4D89DFC9" w14:textId="77777777" w:rsidR="00DF5D9A" w:rsidRPr="00A37478" w:rsidRDefault="00DF5D9A">
            <w:pPr>
              <w:rPr>
                <w:sz w:val="16"/>
                <w:szCs w:val="16"/>
              </w:rPr>
            </w:pPr>
            <w:r w:rsidRPr="00A37478">
              <w:rPr>
                <w:rFonts w:ascii="Arial" w:hAnsi="Arial" w:cs="Arial"/>
                <w:color w:val="000000"/>
                <w:sz w:val="16"/>
                <w:szCs w:val="16"/>
              </w:rPr>
              <w:t xml:space="preserve">Income levels </w:t>
            </w:r>
            <w:r>
              <w:rPr>
                <w:rFonts w:ascii="Arial" w:hAnsi="Arial" w:cs="Arial"/>
                <w:color w:val="000000"/>
                <w:sz w:val="16"/>
                <w:szCs w:val="16"/>
              </w:rPr>
              <w:t>decrease</w:t>
            </w:r>
            <w:r w:rsidRPr="00A37478">
              <w:rPr>
                <w:rFonts w:ascii="Arial" w:hAnsi="Arial" w:cs="Arial"/>
                <w:color w:val="000000"/>
                <w:sz w:val="16"/>
                <w:szCs w:val="16"/>
              </w:rPr>
              <w:t xml:space="preserve"> significantly below planned.  This combined with an inability to react promptly in order to reduce expenditure to an appropriate level would potentially create a deficit and have detrimental impact on Program delivery.</w:t>
            </w:r>
          </w:p>
        </w:tc>
        <w:tc>
          <w:tcPr>
            <w:tcW w:w="5103" w:type="dxa"/>
            <w:tcBorders>
              <w:top w:val="single" w:sz="4" w:space="0" w:color="auto"/>
            </w:tcBorders>
            <w:shd w:val="clear" w:color="auto" w:fill="auto"/>
            <w:tcMar>
              <w:top w:w="113" w:type="dxa"/>
              <w:bottom w:w="113" w:type="dxa"/>
            </w:tcMar>
          </w:tcPr>
          <w:p w14:paraId="3D5B0FF1" w14:textId="77777777" w:rsidR="00DF5D9A" w:rsidRPr="00A37478" w:rsidRDefault="00DF5D9A">
            <w:pPr>
              <w:rPr>
                <w:rFonts w:ascii="Arial" w:hAnsi="Arial" w:cs="Arial"/>
                <w:color w:val="000000"/>
                <w:sz w:val="16"/>
                <w:szCs w:val="16"/>
              </w:rPr>
            </w:pPr>
            <w:r w:rsidRPr="00A37478">
              <w:rPr>
                <w:rFonts w:ascii="Arial" w:hAnsi="Arial" w:cs="Arial"/>
                <w:color w:val="000000"/>
                <w:sz w:val="16"/>
                <w:szCs w:val="16"/>
              </w:rPr>
              <w:t>The Organization</w:t>
            </w:r>
            <w:r>
              <w:rPr>
                <w:rFonts w:ascii="Arial" w:hAnsi="Arial" w:cs="Arial"/>
                <w:color w:val="000000"/>
                <w:sz w:val="16"/>
                <w:szCs w:val="16"/>
              </w:rPr>
              <w:t xml:space="preserve"> currently</w:t>
            </w:r>
            <w:r w:rsidRPr="00A37478">
              <w:rPr>
                <w:rFonts w:ascii="Arial" w:hAnsi="Arial" w:cs="Arial"/>
                <w:color w:val="000000"/>
                <w:sz w:val="16"/>
                <w:szCs w:val="16"/>
              </w:rPr>
              <w:t xml:space="preserve"> maintains the amount of reserves at the appropriate level (around 18</w:t>
            </w:r>
            <w:r>
              <w:rPr>
                <w:rFonts w:ascii="Arial" w:hAnsi="Arial" w:cs="Arial"/>
                <w:color w:val="000000"/>
                <w:sz w:val="16"/>
                <w:szCs w:val="16"/>
              </w:rPr>
              <w:t xml:space="preserve"> per cent</w:t>
            </w:r>
            <w:r w:rsidRPr="00A37478">
              <w:rPr>
                <w:rFonts w:ascii="Arial" w:hAnsi="Arial" w:cs="Arial"/>
                <w:color w:val="000000"/>
                <w:sz w:val="16"/>
                <w:szCs w:val="16"/>
              </w:rPr>
              <w:t xml:space="preserve"> of the biennial budget) to be in a position to face a potential decrease in income.</w:t>
            </w:r>
            <w:r>
              <w:rPr>
                <w:rFonts w:ascii="Arial" w:hAnsi="Arial" w:cs="Arial"/>
                <w:color w:val="000000"/>
                <w:sz w:val="16"/>
                <w:szCs w:val="16"/>
              </w:rPr>
              <w:t xml:space="preserve"> An increase in the targeted reserves would further mitigate this risk.</w:t>
            </w:r>
          </w:p>
          <w:p w14:paraId="697F55EF" w14:textId="77777777" w:rsidR="00DF5D9A" w:rsidRPr="00A37478" w:rsidRDefault="00DF5D9A">
            <w:pPr>
              <w:rPr>
                <w:sz w:val="16"/>
                <w:szCs w:val="16"/>
              </w:rPr>
            </w:pPr>
          </w:p>
          <w:p w14:paraId="5510934E" w14:textId="77777777" w:rsidR="00DF5D9A" w:rsidRPr="00A37478" w:rsidRDefault="00DF5D9A">
            <w:pPr>
              <w:rPr>
                <w:sz w:val="16"/>
                <w:szCs w:val="16"/>
              </w:rPr>
            </w:pPr>
            <w:r w:rsidRPr="00A37478">
              <w:rPr>
                <w:rFonts w:ascii="Arial" w:hAnsi="Arial" w:cs="Arial"/>
                <w:color w:val="000000"/>
                <w:sz w:val="16"/>
                <w:szCs w:val="16"/>
              </w:rPr>
              <w:t>The Secretariat updates income forecasts on a quarterly basis and monitors both income and expenditures closely.</w:t>
            </w:r>
          </w:p>
        </w:tc>
      </w:tr>
      <w:tr w:rsidR="00DF5D9A" w14:paraId="196069FF" w14:textId="77777777" w:rsidTr="00FB68E0">
        <w:trPr>
          <w:trHeight w:val="1188"/>
        </w:trPr>
        <w:tc>
          <w:tcPr>
            <w:tcW w:w="4111" w:type="dxa"/>
            <w:shd w:val="clear" w:color="auto" w:fill="auto"/>
            <w:tcMar>
              <w:top w:w="113" w:type="dxa"/>
              <w:bottom w:w="113" w:type="dxa"/>
            </w:tcMar>
          </w:tcPr>
          <w:p w14:paraId="4CD2E833" w14:textId="77777777" w:rsidR="00DF5D9A" w:rsidRPr="00A37478" w:rsidRDefault="00DF5D9A">
            <w:pPr>
              <w:rPr>
                <w:rFonts w:ascii="Arial" w:hAnsi="Arial" w:cs="Arial"/>
                <w:color w:val="000000"/>
                <w:sz w:val="16"/>
                <w:szCs w:val="16"/>
              </w:rPr>
            </w:pPr>
            <w:r w:rsidRPr="00A37478">
              <w:rPr>
                <w:rFonts w:ascii="Arial" w:hAnsi="Arial" w:cs="Arial"/>
                <w:color w:val="000000"/>
                <w:sz w:val="16"/>
                <w:szCs w:val="16"/>
              </w:rPr>
              <w:t xml:space="preserve">In the context of a risk averse Organization and a change in the Swiss National Bank’s policy regarding the managing of accounts for international organizations, the risk of increased expenditure as well as a reduction in net assets (reserves) may occur owing to:  (i) negative interest rates, (ii) additional charges for multiple placements, and (iii) lack of full capital guarantee to cover the liquid assets which will </w:t>
            </w:r>
            <w:r w:rsidRPr="00CC7F0F">
              <w:rPr>
                <w:rFonts w:ascii="Arial" w:hAnsi="Arial" w:cs="Arial"/>
                <w:color w:val="000000"/>
                <w:sz w:val="16"/>
                <w:szCs w:val="16"/>
              </w:rPr>
              <w:t>need to be placed with multiple lower rated commercial banks</w:t>
            </w:r>
            <w:r>
              <w:rPr>
                <w:rFonts w:ascii="Arial" w:hAnsi="Arial" w:cs="Arial"/>
                <w:color w:val="000000"/>
                <w:sz w:val="16"/>
                <w:szCs w:val="16"/>
              </w:rPr>
              <w:t>.</w:t>
            </w:r>
          </w:p>
        </w:tc>
        <w:tc>
          <w:tcPr>
            <w:tcW w:w="5103" w:type="dxa"/>
            <w:shd w:val="clear" w:color="auto" w:fill="auto"/>
            <w:tcMar>
              <w:top w:w="113" w:type="dxa"/>
              <w:bottom w:w="113" w:type="dxa"/>
            </w:tcMar>
          </w:tcPr>
          <w:p w14:paraId="5222BAAD" w14:textId="444655F9" w:rsidR="00DF5D9A" w:rsidRPr="00A37478" w:rsidRDefault="00DF5D9A" w:rsidP="00494C79">
            <w:pPr>
              <w:rPr>
                <w:rFonts w:ascii="Arial" w:hAnsi="Arial" w:cs="Arial"/>
                <w:color w:val="000000"/>
                <w:sz w:val="16"/>
                <w:szCs w:val="16"/>
              </w:rPr>
            </w:pPr>
            <w:r w:rsidRPr="00A37478">
              <w:rPr>
                <w:rFonts w:ascii="Arial" w:hAnsi="Arial" w:cs="Arial"/>
                <w:color w:val="000000"/>
                <w:sz w:val="16"/>
                <w:szCs w:val="16"/>
              </w:rPr>
              <w:t>The approval of a new investment policy by Member States would (i) enable the Organization to place its liquid assets with financial institutions that have ratings below that of the Swiss National Bank, (ii) allow the liquid assets of the Organization to be invested with some return if the possibility of some limited loss is accepted</w:t>
            </w:r>
            <w:r>
              <w:rPr>
                <w:rFonts w:ascii="Arial" w:hAnsi="Arial" w:cs="Arial"/>
                <w:color w:val="000000"/>
                <w:sz w:val="16"/>
                <w:szCs w:val="16"/>
              </w:rPr>
              <w:t xml:space="preserve"> and iii) allow the Organization’s ASHI funds to be invested </w:t>
            </w:r>
            <w:r w:rsidR="00494C79">
              <w:rPr>
                <w:rFonts w:ascii="Arial" w:hAnsi="Arial" w:cs="Arial"/>
                <w:color w:val="000000"/>
                <w:sz w:val="16"/>
                <w:szCs w:val="16"/>
              </w:rPr>
              <w:t xml:space="preserve">in a manner that would </w:t>
            </w:r>
            <w:r>
              <w:rPr>
                <w:rFonts w:ascii="Arial" w:hAnsi="Arial" w:cs="Arial"/>
                <w:color w:val="000000"/>
                <w:sz w:val="16"/>
                <w:szCs w:val="16"/>
              </w:rPr>
              <w:t>earn a positive rate of return over the longer term.</w:t>
            </w:r>
          </w:p>
        </w:tc>
      </w:tr>
    </w:tbl>
    <w:p w14:paraId="22CF2BBD" w14:textId="77777777" w:rsidR="00DF5D9A" w:rsidRDefault="00DF5D9A">
      <w:pPr>
        <w:tabs>
          <w:tab w:val="left" w:pos="567"/>
          <w:tab w:val="left" w:pos="1985"/>
        </w:tabs>
        <w:jc w:val="both"/>
        <w:rPr>
          <w:rFonts w:ascii="Arial" w:hAnsi="Arial" w:cs="Arial"/>
          <w:bCs/>
          <w:sz w:val="20"/>
        </w:rPr>
      </w:pPr>
    </w:p>
    <w:p w14:paraId="00CDABCF" w14:textId="77777777" w:rsidR="00DF5D9A" w:rsidRDefault="00DF5D9A">
      <w:pPr>
        <w:tabs>
          <w:tab w:val="left" w:pos="567"/>
          <w:tab w:val="left" w:pos="1985"/>
        </w:tabs>
        <w:jc w:val="both"/>
        <w:rPr>
          <w:rFonts w:ascii="Arial" w:hAnsi="Arial" w:cs="Arial"/>
          <w:bCs/>
          <w:sz w:val="20"/>
        </w:rPr>
      </w:pPr>
    </w:p>
    <w:p w14:paraId="6D44D5E0" w14:textId="77777777" w:rsidR="00DF5D9A" w:rsidRPr="00860634" w:rsidRDefault="00DF5D9A">
      <w:pPr>
        <w:tabs>
          <w:tab w:val="left" w:pos="567"/>
          <w:tab w:val="left" w:pos="1985"/>
        </w:tabs>
        <w:jc w:val="both"/>
        <w:rPr>
          <w:rFonts w:ascii="Arial" w:hAnsi="Arial" w:cs="Arial"/>
          <w:bCs/>
        </w:rPr>
      </w:pPr>
      <w:r>
        <w:rPr>
          <w:rFonts w:ascii="Arial" w:hAnsi="Arial" w:cs="Arial"/>
          <w:bCs/>
        </w:rPr>
        <w:t>RESULTS FRAMEWORK</w:t>
      </w:r>
    </w:p>
    <w:p w14:paraId="04CDDCA1" w14:textId="77777777" w:rsidR="00DF5D9A" w:rsidRDefault="00DF5D9A">
      <w:pPr>
        <w:tabs>
          <w:tab w:val="left" w:pos="567"/>
          <w:tab w:val="left" w:pos="1985"/>
        </w:tabs>
        <w:jc w:val="both"/>
        <w:rPr>
          <w:rFonts w:ascii="Arial" w:hAnsi="Arial" w:cs="Arial"/>
          <w:bCs/>
        </w:rPr>
      </w:pPr>
    </w:p>
    <w:tbl>
      <w:tblPr>
        <w:tblW w:w="9229" w:type="dxa"/>
        <w:tblInd w:w="93" w:type="dxa"/>
        <w:tblLook w:val="04A0" w:firstRow="1" w:lastRow="0" w:firstColumn="1" w:lastColumn="0" w:noHBand="0" w:noVBand="1"/>
      </w:tblPr>
      <w:tblGrid>
        <w:gridCol w:w="2142"/>
        <w:gridCol w:w="2498"/>
        <w:gridCol w:w="2420"/>
        <w:gridCol w:w="2169"/>
      </w:tblGrid>
      <w:tr w:rsidR="00DF5D9A" w:rsidRPr="00860634" w14:paraId="22793343" w14:textId="77777777" w:rsidTr="00FB68E0">
        <w:trPr>
          <w:trHeight w:val="465"/>
          <w:tblHeader/>
        </w:trPr>
        <w:tc>
          <w:tcPr>
            <w:tcW w:w="2142"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6895BADE" w14:textId="77777777" w:rsidR="00DF5D9A" w:rsidRPr="00860634" w:rsidRDefault="00DF5D9A">
            <w:pPr>
              <w:jc w:val="center"/>
              <w:rPr>
                <w:rFonts w:ascii="Arial" w:hAnsi="Arial" w:cs="Arial"/>
                <w:b/>
                <w:bCs/>
                <w:color w:val="000000"/>
                <w:sz w:val="18"/>
                <w:szCs w:val="18"/>
              </w:rPr>
            </w:pPr>
            <w:r w:rsidRPr="00860634">
              <w:rPr>
                <w:rFonts w:ascii="Arial" w:hAnsi="Arial" w:cs="Arial"/>
                <w:b/>
                <w:bCs/>
                <w:color w:val="000000"/>
                <w:sz w:val="18"/>
                <w:szCs w:val="18"/>
              </w:rPr>
              <w:t>Expected Results</w:t>
            </w:r>
          </w:p>
        </w:tc>
        <w:tc>
          <w:tcPr>
            <w:tcW w:w="2498"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32EC132" w14:textId="77777777" w:rsidR="00DF5D9A" w:rsidRPr="00860634" w:rsidRDefault="00DF5D9A">
            <w:pPr>
              <w:jc w:val="center"/>
              <w:rPr>
                <w:rFonts w:ascii="Arial" w:hAnsi="Arial" w:cs="Arial"/>
                <w:b/>
                <w:bCs/>
                <w:color w:val="000000"/>
                <w:sz w:val="18"/>
                <w:szCs w:val="18"/>
              </w:rPr>
            </w:pPr>
            <w:r w:rsidRPr="00860634">
              <w:rPr>
                <w:rFonts w:ascii="Arial" w:hAnsi="Arial" w:cs="Arial"/>
                <w:b/>
                <w:bCs/>
                <w:color w:val="000000"/>
                <w:sz w:val="18"/>
                <w:szCs w:val="18"/>
              </w:rPr>
              <w:t>Performance Indicators</w:t>
            </w:r>
          </w:p>
        </w:tc>
        <w:tc>
          <w:tcPr>
            <w:tcW w:w="242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43B6803E" w14:textId="77777777" w:rsidR="00DF5D9A" w:rsidRPr="00860634" w:rsidRDefault="00DF5D9A">
            <w:pPr>
              <w:jc w:val="center"/>
              <w:rPr>
                <w:rFonts w:ascii="Arial" w:hAnsi="Arial" w:cs="Arial"/>
                <w:b/>
                <w:bCs/>
                <w:color w:val="000000"/>
                <w:sz w:val="18"/>
                <w:szCs w:val="18"/>
              </w:rPr>
            </w:pPr>
            <w:r w:rsidRPr="00860634">
              <w:rPr>
                <w:rFonts w:ascii="Arial" w:hAnsi="Arial" w:cs="Arial"/>
                <w:b/>
                <w:bCs/>
                <w:color w:val="000000"/>
                <w:sz w:val="18"/>
                <w:szCs w:val="18"/>
              </w:rPr>
              <w:t>Baselines</w:t>
            </w:r>
          </w:p>
        </w:tc>
        <w:tc>
          <w:tcPr>
            <w:tcW w:w="216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4B62A5A3" w14:textId="77777777" w:rsidR="00DF5D9A" w:rsidRPr="00860634" w:rsidRDefault="00DF5D9A">
            <w:pPr>
              <w:jc w:val="center"/>
              <w:rPr>
                <w:rFonts w:ascii="Arial" w:hAnsi="Arial" w:cs="Arial"/>
                <w:b/>
                <w:bCs/>
                <w:color w:val="000000"/>
                <w:sz w:val="18"/>
                <w:szCs w:val="18"/>
              </w:rPr>
            </w:pPr>
            <w:r w:rsidRPr="00860634">
              <w:rPr>
                <w:rFonts w:ascii="Arial" w:hAnsi="Arial" w:cs="Arial"/>
                <w:b/>
                <w:bCs/>
                <w:color w:val="000000"/>
                <w:sz w:val="18"/>
                <w:szCs w:val="18"/>
              </w:rPr>
              <w:t>Targets</w:t>
            </w:r>
          </w:p>
        </w:tc>
      </w:tr>
      <w:tr w:rsidR="00DF5D9A" w:rsidRPr="00860634" w14:paraId="5AB267F4" w14:textId="77777777" w:rsidTr="008D4CE9">
        <w:trPr>
          <w:trHeight w:val="1399"/>
        </w:trPr>
        <w:tc>
          <w:tcPr>
            <w:tcW w:w="2142" w:type="dxa"/>
            <w:tcBorders>
              <w:top w:val="single" w:sz="4" w:space="0" w:color="auto"/>
              <w:left w:val="single" w:sz="4" w:space="0" w:color="auto"/>
              <w:right w:val="nil"/>
            </w:tcBorders>
            <w:shd w:val="clear" w:color="000000" w:fill="FFFFFF"/>
            <w:tcMar>
              <w:top w:w="85" w:type="dxa"/>
            </w:tcMar>
            <w:hideMark/>
          </w:tcPr>
          <w:p w14:paraId="1EB04B09"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IX.1 Effective, efficient, quality and customer-oriented support services both to internal clients and to external stakeholders</w:t>
            </w:r>
          </w:p>
        </w:tc>
        <w:tc>
          <w:tcPr>
            <w:tcW w:w="2498" w:type="dxa"/>
            <w:tcBorders>
              <w:top w:val="single" w:sz="4" w:space="0" w:color="auto"/>
              <w:left w:val="nil"/>
              <w:right w:val="nil"/>
            </w:tcBorders>
            <w:shd w:val="clear" w:color="000000" w:fill="FFFFFF"/>
            <w:tcMar>
              <w:top w:w="85" w:type="dxa"/>
            </w:tcMar>
            <w:hideMark/>
          </w:tcPr>
          <w:p w14:paraId="6C3B6CDC"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Provision of financial and management reports and analysis required by senior management, Program Managers and Member States in accordance with agreed deadlines</w:t>
            </w:r>
          </w:p>
        </w:tc>
        <w:tc>
          <w:tcPr>
            <w:tcW w:w="2420" w:type="dxa"/>
            <w:tcBorders>
              <w:top w:val="single" w:sz="4" w:space="0" w:color="auto"/>
              <w:left w:val="nil"/>
              <w:right w:val="nil"/>
            </w:tcBorders>
            <w:shd w:val="clear" w:color="000000" w:fill="FFFFFF"/>
            <w:tcMar>
              <w:top w:w="85" w:type="dxa"/>
            </w:tcMar>
            <w:hideMark/>
          </w:tcPr>
          <w:p w14:paraId="3ECC36E6"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Monthly closure to be completed 10 working days after month end (except January where monthly close is determined by progress of annual close)</w:t>
            </w:r>
          </w:p>
        </w:tc>
        <w:tc>
          <w:tcPr>
            <w:tcW w:w="2169" w:type="dxa"/>
            <w:tcBorders>
              <w:top w:val="single" w:sz="4" w:space="0" w:color="auto"/>
              <w:left w:val="nil"/>
              <w:right w:val="single" w:sz="4" w:space="0" w:color="auto"/>
            </w:tcBorders>
            <w:shd w:val="clear" w:color="000000" w:fill="FFFFFF"/>
            <w:tcMar>
              <w:top w:w="85" w:type="dxa"/>
            </w:tcMar>
            <w:hideMark/>
          </w:tcPr>
          <w:p w14:paraId="3B62DC83" w14:textId="77777777"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Same as baseline</w:t>
            </w:r>
          </w:p>
        </w:tc>
      </w:tr>
      <w:tr w:rsidR="00DF5D9A" w:rsidRPr="00860634" w14:paraId="0E0A5230" w14:textId="77777777" w:rsidTr="00FB68E0">
        <w:trPr>
          <w:trHeight w:val="635"/>
        </w:trPr>
        <w:tc>
          <w:tcPr>
            <w:tcW w:w="2142" w:type="dxa"/>
            <w:tcBorders>
              <w:top w:val="nil"/>
              <w:left w:val="single" w:sz="4" w:space="0" w:color="auto"/>
              <w:bottom w:val="single" w:sz="4" w:space="0" w:color="auto"/>
              <w:right w:val="nil"/>
            </w:tcBorders>
            <w:shd w:val="clear" w:color="000000" w:fill="FFFFFF"/>
            <w:tcMar>
              <w:top w:w="85" w:type="dxa"/>
            </w:tcMar>
            <w:hideMark/>
          </w:tcPr>
          <w:p w14:paraId="094AD7BB"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top w:val="nil"/>
              <w:left w:val="nil"/>
              <w:bottom w:val="single" w:sz="4" w:space="0" w:color="auto"/>
              <w:right w:val="nil"/>
            </w:tcBorders>
            <w:shd w:val="clear" w:color="000000" w:fill="FFFFFF"/>
            <w:tcMar>
              <w:top w:w="85" w:type="dxa"/>
            </w:tcMar>
            <w:hideMark/>
          </w:tcPr>
          <w:p w14:paraId="1742DD7A"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No. of PBC documents submitted on time to the Member States</w:t>
            </w:r>
          </w:p>
        </w:tc>
        <w:tc>
          <w:tcPr>
            <w:tcW w:w="2420" w:type="dxa"/>
            <w:tcBorders>
              <w:top w:val="nil"/>
              <w:left w:val="nil"/>
              <w:bottom w:val="single" w:sz="4" w:space="0" w:color="auto"/>
              <w:right w:val="nil"/>
            </w:tcBorders>
            <w:shd w:val="clear" w:color="000000" w:fill="FFFFFF"/>
            <w:tcMar>
              <w:top w:w="85" w:type="dxa"/>
            </w:tcMar>
            <w:hideMark/>
          </w:tcPr>
          <w:p w14:paraId="7B37622A" w14:textId="62226D4C" w:rsidR="00DF5D9A" w:rsidRPr="00923BAF" w:rsidRDefault="00DF5D9A" w:rsidP="008D4CE9">
            <w:pPr>
              <w:ind w:left="33"/>
              <w:rPr>
                <w:rFonts w:ascii="Arial" w:hAnsi="Arial" w:cs="Arial"/>
                <w:color w:val="000000"/>
                <w:sz w:val="16"/>
                <w:szCs w:val="16"/>
              </w:rPr>
            </w:pPr>
            <w:r w:rsidRPr="00FB68E0">
              <w:rPr>
                <w:rFonts w:ascii="Arial" w:hAnsi="Arial" w:cs="Arial"/>
                <w:color w:val="000000"/>
                <w:sz w:val="16"/>
                <w:szCs w:val="16"/>
              </w:rPr>
              <w:t>12</w:t>
            </w:r>
            <w:r w:rsidRPr="00923BAF">
              <w:rPr>
                <w:rFonts w:ascii="Arial" w:hAnsi="Arial" w:cs="Arial"/>
                <w:color w:val="000000"/>
                <w:sz w:val="16"/>
                <w:szCs w:val="16"/>
              </w:rPr>
              <w:t xml:space="preserve">% (2014 on the basis of </w:t>
            </w:r>
            <w:r w:rsidRPr="00FB68E0">
              <w:rPr>
                <w:rFonts w:ascii="Arial" w:hAnsi="Arial" w:cs="Arial"/>
                <w:color w:val="000000"/>
                <w:sz w:val="16"/>
                <w:szCs w:val="16"/>
              </w:rPr>
              <w:t>8</w:t>
            </w:r>
            <w:r w:rsidRPr="00923BAF">
              <w:rPr>
                <w:rFonts w:ascii="Arial" w:hAnsi="Arial" w:cs="Arial"/>
                <w:color w:val="000000"/>
                <w:sz w:val="16"/>
                <w:szCs w:val="16"/>
              </w:rPr>
              <w:t xml:space="preserve"> week deadline)</w:t>
            </w:r>
          </w:p>
        </w:tc>
        <w:tc>
          <w:tcPr>
            <w:tcW w:w="2169" w:type="dxa"/>
            <w:tcBorders>
              <w:top w:val="nil"/>
              <w:left w:val="nil"/>
              <w:bottom w:val="single" w:sz="4" w:space="0" w:color="auto"/>
              <w:right w:val="single" w:sz="4" w:space="0" w:color="auto"/>
            </w:tcBorders>
            <w:shd w:val="clear" w:color="000000" w:fill="FFFFFF"/>
            <w:tcMar>
              <w:top w:w="85" w:type="dxa"/>
            </w:tcMar>
            <w:hideMark/>
          </w:tcPr>
          <w:p w14:paraId="16BDE517" w14:textId="0E2B5A62" w:rsidR="00DF5D9A" w:rsidRPr="00923BAF" w:rsidRDefault="00DF5D9A" w:rsidP="008D4CE9">
            <w:pPr>
              <w:ind w:left="33"/>
              <w:rPr>
                <w:rFonts w:ascii="Arial" w:hAnsi="Arial" w:cs="Arial"/>
                <w:color w:val="000000"/>
                <w:sz w:val="16"/>
                <w:szCs w:val="16"/>
              </w:rPr>
            </w:pPr>
            <w:r w:rsidRPr="00FB68E0">
              <w:rPr>
                <w:rFonts w:ascii="Arial" w:hAnsi="Arial" w:cs="Arial"/>
                <w:color w:val="000000"/>
                <w:sz w:val="16"/>
                <w:szCs w:val="16"/>
              </w:rPr>
              <w:t>15</w:t>
            </w:r>
            <w:r w:rsidRPr="00923BAF">
              <w:rPr>
                <w:rFonts w:ascii="Arial" w:hAnsi="Arial" w:cs="Arial"/>
                <w:color w:val="000000"/>
                <w:sz w:val="16"/>
                <w:szCs w:val="16"/>
              </w:rPr>
              <w:t>% (on the basis of 8</w:t>
            </w:r>
            <w:r w:rsidR="00A226D5">
              <w:rPr>
                <w:rFonts w:ascii="Arial" w:hAnsi="Arial" w:cs="Arial"/>
                <w:color w:val="000000"/>
                <w:sz w:val="16"/>
                <w:szCs w:val="16"/>
              </w:rPr>
              <w:t> </w:t>
            </w:r>
            <w:r w:rsidRPr="00923BAF">
              <w:rPr>
                <w:rFonts w:ascii="Arial" w:hAnsi="Arial" w:cs="Arial"/>
                <w:color w:val="000000"/>
                <w:sz w:val="16"/>
                <w:szCs w:val="16"/>
              </w:rPr>
              <w:t>week deadline)</w:t>
            </w:r>
          </w:p>
        </w:tc>
      </w:tr>
      <w:tr w:rsidR="00DF5D9A" w:rsidRPr="00860634" w14:paraId="05B49013" w14:textId="77777777" w:rsidTr="00FB68E0">
        <w:trPr>
          <w:trHeight w:val="1483"/>
        </w:trPr>
        <w:tc>
          <w:tcPr>
            <w:tcW w:w="2142" w:type="dxa"/>
            <w:tcBorders>
              <w:top w:val="single" w:sz="4" w:space="0" w:color="auto"/>
              <w:left w:val="single" w:sz="4" w:space="0" w:color="auto"/>
              <w:right w:val="nil"/>
            </w:tcBorders>
            <w:shd w:val="clear" w:color="000000" w:fill="FFFFFF"/>
            <w:tcMar>
              <w:top w:w="85" w:type="dxa"/>
            </w:tcMar>
            <w:hideMark/>
          </w:tcPr>
          <w:p w14:paraId="3CFFC312" w14:textId="77777777" w:rsidR="00DF5D9A" w:rsidRPr="00860634" w:rsidRDefault="00DF5D9A" w:rsidP="00FB68E0">
            <w:pPr>
              <w:keepNext/>
              <w:keepLines/>
              <w:rPr>
                <w:rFonts w:ascii="Arial" w:hAnsi="Arial" w:cs="Arial"/>
                <w:color w:val="000000"/>
                <w:sz w:val="16"/>
                <w:szCs w:val="16"/>
              </w:rPr>
            </w:pPr>
            <w:r w:rsidRPr="00860634">
              <w:rPr>
                <w:rFonts w:ascii="Arial" w:hAnsi="Arial" w:cs="Arial"/>
                <w:color w:val="000000"/>
                <w:sz w:val="16"/>
                <w:szCs w:val="16"/>
              </w:rPr>
              <w:lastRenderedPageBreak/>
              <w:t> </w:t>
            </w:r>
          </w:p>
        </w:tc>
        <w:tc>
          <w:tcPr>
            <w:tcW w:w="2498" w:type="dxa"/>
            <w:tcBorders>
              <w:top w:val="single" w:sz="4" w:space="0" w:color="auto"/>
              <w:left w:val="nil"/>
              <w:right w:val="nil"/>
            </w:tcBorders>
            <w:shd w:val="clear" w:color="000000" w:fill="FFFFFF"/>
            <w:tcMar>
              <w:top w:w="85" w:type="dxa"/>
            </w:tcMar>
            <w:hideMark/>
          </w:tcPr>
          <w:p w14:paraId="3AEB55E4"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WIPO’s ERP system (AIMS) is operating efficiently according to business needs and in line with best practices</w:t>
            </w:r>
          </w:p>
        </w:tc>
        <w:tc>
          <w:tcPr>
            <w:tcW w:w="2420" w:type="dxa"/>
            <w:tcBorders>
              <w:top w:val="single" w:sz="4" w:space="0" w:color="auto"/>
              <w:left w:val="nil"/>
              <w:right w:val="nil"/>
            </w:tcBorders>
            <w:shd w:val="clear" w:color="000000" w:fill="FFFFFF"/>
            <w:tcMar>
              <w:top w:w="85" w:type="dxa"/>
            </w:tcMar>
            <w:hideMark/>
          </w:tcPr>
          <w:p w14:paraId="714AE930"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 xml:space="preserve">In 2014, uptime of AIMS was 99.80%. The highest number of high priority Incidents open at any one time was 25. </w:t>
            </w:r>
          </w:p>
        </w:tc>
        <w:tc>
          <w:tcPr>
            <w:tcW w:w="2169" w:type="dxa"/>
            <w:tcBorders>
              <w:top w:val="single" w:sz="4" w:space="0" w:color="auto"/>
              <w:left w:val="nil"/>
              <w:right w:val="single" w:sz="4" w:space="0" w:color="auto"/>
            </w:tcBorders>
            <w:shd w:val="clear" w:color="000000" w:fill="FFFFFF"/>
            <w:tcMar>
              <w:top w:w="85" w:type="dxa"/>
            </w:tcMar>
            <w:hideMark/>
          </w:tcPr>
          <w:p w14:paraId="61E0BCB6"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Uptime of AIMS is greater than 99.90%</w:t>
            </w:r>
            <w:r w:rsidRPr="00860634">
              <w:rPr>
                <w:rFonts w:ascii="Arial" w:hAnsi="Arial" w:cs="Arial"/>
                <w:color w:val="000000"/>
                <w:sz w:val="16"/>
                <w:szCs w:val="16"/>
              </w:rPr>
              <w:br/>
              <w:t>No more</w:t>
            </w:r>
            <w:r>
              <w:rPr>
                <w:rFonts w:ascii="Arial" w:hAnsi="Arial" w:cs="Arial"/>
                <w:color w:val="000000"/>
                <w:sz w:val="16"/>
                <w:szCs w:val="16"/>
              </w:rPr>
              <w:t xml:space="preserve"> than 20 high priority i</w:t>
            </w:r>
            <w:r w:rsidRPr="00860634">
              <w:rPr>
                <w:rFonts w:ascii="Arial" w:hAnsi="Arial" w:cs="Arial"/>
                <w:color w:val="000000"/>
                <w:sz w:val="16"/>
                <w:szCs w:val="16"/>
              </w:rPr>
              <w:t>ncidents are open at any one time. High priority Incidents are not open longer than 8 days.</w:t>
            </w:r>
          </w:p>
        </w:tc>
      </w:tr>
      <w:tr w:rsidR="00DF5D9A" w:rsidRPr="00860634" w14:paraId="7905157C" w14:textId="77777777" w:rsidTr="00FB68E0">
        <w:trPr>
          <w:trHeight w:val="764"/>
        </w:trPr>
        <w:tc>
          <w:tcPr>
            <w:tcW w:w="2142" w:type="dxa"/>
            <w:tcBorders>
              <w:left w:val="single" w:sz="4" w:space="0" w:color="auto"/>
              <w:right w:val="nil"/>
            </w:tcBorders>
            <w:shd w:val="clear" w:color="000000" w:fill="FFFFFF"/>
            <w:tcMar>
              <w:top w:w="85" w:type="dxa"/>
            </w:tcMar>
            <w:hideMark/>
          </w:tcPr>
          <w:p w14:paraId="7B07E956" w14:textId="77777777" w:rsidR="00DF5D9A" w:rsidRPr="00860634" w:rsidRDefault="00DF5D9A" w:rsidP="00FB68E0">
            <w:pPr>
              <w:keepNext/>
              <w:keepLines/>
              <w:rPr>
                <w:rFonts w:ascii="Arial" w:hAnsi="Arial" w:cs="Arial"/>
                <w:color w:val="000000"/>
                <w:sz w:val="16"/>
                <w:szCs w:val="16"/>
              </w:rPr>
            </w:pPr>
            <w:r w:rsidRPr="00860634">
              <w:rPr>
                <w:rFonts w:ascii="Arial" w:hAnsi="Arial" w:cs="Arial"/>
                <w:color w:val="000000"/>
                <w:sz w:val="16"/>
                <w:szCs w:val="16"/>
              </w:rPr>
              <w:t> </w:t>
            </w:r>
          </w:p>
        </w:tc>
        <w:tc>
          <w:tcPr>
            <w:tcW w:w="2498" w:type="dxa"/>
            <w:tcBorders>
              <w:left w:val="nil"/>
              <w:right w:val="nil"/>
            </w:tcBorders>
            <w:shd w:val="clear" w:color="000000" w:fill="FFFFFF"/>
            <w:tcMar>
              <w:top w:w="85" w:type="dxa"/>
            </w:tcMar>
            <w:hideMark/>
          </w:tcPr>
          <w:p w14:paraId="798F9089"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ERP projects are delivered according to plan and within the budget of the portfolio</w:t>
            </w:r>
          </w:p>
        </w:tc>
        <w:tc>
          <w:tcPr>
            <w:tcW w:w="2420" w:type="dxa"/>
            <w:tcBorders>
              <w:left w:val="nil"/>
              <w:right w:val="nil"/>
            </w:tcBorders>
            <w:shd w:val="clear" w:color="000000" w:fill="FFFFFF"/>
            <w:tcMar>
              <w:top w:w="85" w:type="dxa"/>
            </w:tcMar>
            <w:hideMark/>
          </w:tcPr>
          <w:p w14:paraId="13A8C132" w14:textId="578EBF08"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 xml:space="preserve">Updated </w:t>
            </w:r>
            <w:r w:rsidRPr="00860634">
              <w:rPr>
                <w:rFonts w:ascii="Arial" w:hAnsi="Arial" w:cs="Arial"/>
                <w:color w:val="000000"/>
                <w:sz w:val="16"/>
                <w:szCs w:val="16"/>
              </w:rPr>
              <w:t xml:space="preserve">Plan as </w:t>
            </w:r>
            <w:r>
              <w:rPr>
                <w:rFonts w:ascii="Arial" w:hAnsi="Arial" w:cs="Arial"/>
                <w:color w:val="000000"/>
                <w:sz w:val="16"/>
                <w:szCs w:val="16"/>
              </w:rPr>
              <w:t xml:space="preserve">communicated </w:t>
            </w:r>
            <w:r w:rsidRPr="00860634">
              <w:rPr>
                <w:rFonts w:ascii="Arial" w:hAnsi="Arial" w:cs="Arial"/>
                <w:color w:val="000000"/>
                <w:sz w:val="16"/>
                <w:szCs w:val="16"/>
              </w:rPr>
              <w:t>to Member States in 2015.  Budget as approved by Member States in 2010.</w:t>
            </w:r>
          </w:p>
        </w:tc>
        <w:tc>
          <w:tcPr>
            <w:tcW w:w="2169" w:type="dxa"/>
            <w:tcBorders>
              <w:left w:val="nil"/>
              <w:right w:val="single" w:sz="4" w:space="0" w:color="auto"/>
            </w:tcBorders>
            <w:shd w:val="clear" w:color="000000" w:fill="FFFFFF"/>
            <w:tcMar>
              <w:top w:w="85" w:type="dxa"/>
            </w:tcMar>
            <w:hideMark/>
          </w:tcPr>
          <w:p w14:paraId="4C086485" w14:textId="77777777"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I</w:t>
            </w:r>
            <w:r w:rsidRPr="00860634">
              <w:rPr>
                <w:rFonts w:ascii="Arial" w:hAnsi="Arial" w:cs="Arial"/>
                <w:color w:val="000000"/>
                <w:sz w:val="16"/>
                <w:szCs w:val="16"/>
              </w:rPr>
              <w:t>n accordance with plan</w:t>
            </w:r>
          </w:p>
        </w:tc>
      </w:tr>
      <w:tr w:rsidR="00DF5D9A" w:rsidRPr="00860634" w14:paraId="4AB37391" w14:textId="77777777" w:rsidTr="008D4CE9">
        <w:trPr>
          <w:trHeight w:val="1731"/>
        </w:trPr>
        <w:tc>
          <w:tcPr>
            <w:tcW w:w="2142" w:type="dxa"/>
            <w:tcBorders>
              <w:left w:val="single" w:sz="4" w:space="0" w:color="auto"/>
              <w:bottom w:val="nil"/>
              <w:right w:val="nil"/>
            </w:tcBorders>
            <w:shd w:val="clear" w:color="000000" w:fill="FFFFFF"/>
            <w:tcMar>
              <w:top w:w="85" w:type="dxa"/>
            </w:tcMar>
            <w:hideMark/>
          </w:tcPr>
          <w:p w14:paraId="531627B6" w14:textId="1A4389AC" w:rsidR="00DF5D9A" w:rsidRPr="00860634" w:rsidRDefault="00DF5D9A">
            <w:pPr>
              <w:rPr>
                <w:rFonts w:ascii="Arial" w:hAnsi="Arial" w:cs="Arial"/>
                <w:color w:val="000000"/>
                <w:sz w:val="16"/>
                <w:szCs w:val="16"/>
              </w:rPr>
            </w:pPr>
            <w:r w:rsidRPr="00860634">
              <w:rPr>
                <w:rFonts w:ascii="Arial" w:hAnsi="Arial" w:cs="Arial"/>
                <w:color w:val="000000"/>
                <w:sz w:val="16"/>
                <w:szCs w:val="16"/>
              </w:rPr>
              <w:t>IX.2 An agile and smooth functioning Secretariat with a well</w:t>
            </w:r>
            <w:r w:rsidR="007979F6">
              <w:rPr>
                <w:rFonts w:ascii="Arial" w:hAnsi="Arial" w:cs="Arial"/>
                <w:color w:val="000000"/>
                <w:sz w:val="16"/>
                <w:szCs w:val="16"/>
              </w:rPr>
              <w:t>-</w:t>
            </w:r>
            <w:r w:rsidRPr="00860634">
              <w:rPr>
                <w:rFonts w:ascii="Arial" w:hAnsi="Arial" w:cs="Arial"/>
                <w:color w:val="000000"/>
                <w:sz w:val="16"/>
                <w:szCs w:val="16"/>
              </w:rPr>
              <w:t>managed and appropriately skilled workforce which is effectively delivering results</w:t>
            </w:r>
          </w:p>
        </w:tc>
        <w:tc>
          <w:tcPr>
            <w:tcW w:w="2498" w:type="dxa"/>
            <w:tcBorders>
              <w:left w:val="nil"/>
              <w:bottom w:val="nil"/>
              <w:right w:val="nil"/>
            </w:tcBorders>
            <w:shd w:val="clear" w:color="000000" w:fill="FFFFFF"/>
            <w:tcMar>
              <w:top w:w="85" w:type="dxa"/>
            </w:tcMar>
            <w:hideMark/>
          </w:tcPr>
          <w:p w14:paraId="13FE601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Satisfactory financial report from the External Auditors confirms the conformity of financial operations to the provisions of the applicable WIPO conventions and treaties, the WIPO Financial Regulations and Rules and IPSAS</w:t>
            </w:r>
          </w:p>
        </w:tc>
        <w:tc>
          <w:tcPr>
            <w:tcW w:w="2420" w:type="dxa"/>
            <w:tcBorders>
              <w:left w:val="nil"/>
              <w:bottom w:val="nil"/>
              <w:right w:val="nil"/>
            </w:tcBorders>
            <w:shd w:val="clear" w:color="000000" w:fill="FFFFFF"/>
            <w:tcMar>
              <w:top w:w="85" w:type="dxa"/>
            </w:tcMar>
            <w:hideMark/>
          </w:tcPr>
          <w:p w14:paraId="20B90635"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Clean audit report received for 2014 and 2015 and answers provided to all audit recommendations</w:t>
            </w:r>
          </w:p>
        </w:tc>
        <w:tc>
          <w:tcPr>
            <w:tcW w:w="2169" w:type="dxa"/>
            <w:tcBorders>
              <w:left w:val="nil"/>
              <w:bottom w:val="nil"/>
              <w:right w:val="single" w:sz="4" w:space="0" w:color="auto"/>
            </w:tcBorders>
            <w:shd w:val="clear" w:color="000000" w:fill="FFFFFF"/>
            <w:tcMar>
              <w:top w:w="85" w:type="dxa"/>
            </w:tcMar>
            <w:hideMark/>
          </w:tcPr>
          <w:p w14:paraId="752FED6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Clean audit report for both years of the biennium</w:t>
            </w:r>
          </w:p>
        </w:tc>
      </w:tr>
      <w:tr w:rsidR="00DF5D9A" w:rsidRPr="00860634" w14:paraId="20B8C37F" w14:textId="77777777" w:rsidTr="008D4CE9">
        <w:trPr>
          <w:trHeight w:val="481"/>
        </w:trPr>
        <w:tc>
          <w:tcPr>
            <w:tcW w:w="2142" w:type="dxa"/>
            <w:tcBorders>
              <w:top w:val="nil"/>
              <w:left w:val="single" w:sz="4" w:space="0" w:color="auto"/>
              <w:bottom w:val="nil"/>
              <w:right w:val="nil"/>
            </w:tcBorders>
            <w:shd w:val="clear" w:color="000000" w:fill="FFFFFF"/>
            <w:tcMar>
              <w:top w:w="85" w:type="dxa"/>
            </w:tcMar>
            <w:hideMark/>
          </w:tcPr>
          <w:p w14:paraId="616551C6"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top w:val="nil"/>
              <w:left w:val="nil"/>
              <w:bottom w:val="nil"/>
              <w:right w:val="nil"/>
            </w:tcBorders>
            <w:shd w:val="clear" w:color="000000" w:fill="FFFFFF"/>
            <w:tcMar>
              <w:top w:w="85" w:type="dxa"/>
            </w:tcMar>
            <w:hideMark/>
          </w:tcPr>
          <w:p w14:paraId="06FEF971"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Enhanced maturity of managing for results (RBM)</w:t>
            </w:r>
          </w:p>
        </w:tc>
        <w:tc>
          <w:tcPr>
            <w:tcW w:w="2420" w:type="dxa"/>
            <w:tcBorders>
              <w:top w:val="nil"/>
              <w:left w:val="nil"/>
              <w:bottom w:val="nil"/>
              <w:right w:val="nil"/>
            </w:tcBorders>
            <w:shd w:val="clear" w:color="000000" w:fill="FFFFFF"/>
            <w:tcMar>
              <w:top w:w="85" w:type="dxa"/>
            </w:tcMar>
            <w:hideMark/>
          </w:tcPr>
          <w:p w14:paraId="7EB415BA" w14:textId="77777777" w:rsidR="00DF5D9A" w:rsidRPr="00F470C2" w:rsidRDefault="00DF5D9A" w:rsidP="008D4CE9">
            <w:pPr>
              <w:ind w:left="33"/>
              <w:rPr>
                <w:rFonts w:ascii="Arial" w:hAnsi="Arial" w:cs="Arial"/>
                <w:color w:val="000000"/>
                <w:sz w:val="16"/>
                <w:szCs w:val="16"/>
              </w:rPr>
            </w:pPr>
            <w:r w:rsidRPr="00232927">
              <w:rPr>
                <w:rFonts w:ascii="Arial" w:hAnsi="Arial" w:cs="Arial"/>
                <w:color w:val="000000"/>
                <w:sz w:val="16"/>
                <w:szCs w:val="16"/>
              </w:rPr>
              <w:t>Maturity level 2</w:t>
            </w:r>
          </w:p>
        </w:tc>
        <w:tc>
          <w:tcPr>
            <w:tcW w:w="2169" w:type="dxa"/>
            <w:tcBorders>
              <w:top w:val="nil"/>
              <w:left w:val="nil"/>
              <w:bottom w:val="nil"/>
              <w:right w:val="single" w:sz="4" w:space="0" w:color="auto"/>
            </w:tcBorders>
            <w:shd w:val="clear" w:color="000000" w:fill="FFFFFF"/>
            <w:tcMar>
              <w:top w:w="85" w:type="dxa"/>
            </w:tcMar>
            <w:hideMark/>
          </w:tcPr>
          <w:p w14:paraId="5DB26AD1" w14:textId="77777777" w:rsidR="00DF5D9A" w:rsidRPr="00B43C5E" w:rsidRDefault="00DF5D9A" w:rsidP="008D4CE9">
            <w:pPr>
              <w:ind w:left="33"/>
              <w:rPr>
                <w:rFonts w:ascii="Arial" w:hAnsi="Arial" w:cs="Arial"/>
                <w:color w:val="000000"/>
                <w:sz w:val="16"/>
                <w:szCs w:val="16"/>
              </w:rPr>
            </w:pPr>
            <w:r w:rsidRPr="00B43C5E">
              <w:rPr>
                <w:rFonts w:ascii="Arial" w:hAnsi="Arial" w:cs="Arial"/>
                <w:color w:val="000000"/>
                <w:sz w:val="16"/>
                <w:szCs w:val="16"/>
              </w:rPr>
              <w:t>Maturity level 3</w:t>
            </w:r>
          </w:p>
        </w:tc>
      </w:tr>
      <w:tr w:rsidR="00DF5D9A" w:rsidRPr="00860634" w14:paraId="52AD3D61" w14:textId="77777777" w:rsidTr="008D4CE9">
        <w:trPr>
          <w:trHeight w:val="900"/>
        </w:trPr>
        <w:tc>
          <w:tcPr>
            <w:tcW w:w="2142" w:type="dxa"/>
            <w:tcBorders>
              <w:top w:val="nil"/>
              <w:left w:val="single" w:sz="4" w:space="0" w:color="auto"/>
              <w:bottom w:val="nil"/>
              <w:right w:val="nil"/>
            </w:tcBorders>
            <w:shd w:val="clear" w:color="000000" w:fill="FFFFFF"/>
            <w:tcMar>
              <w:top w:w="85" w:type="dxa"/>
            </w:tcMar>
            <w:hideMark/>
          </w:tcPr>
          <w:p w14:paraId="6B30A45E"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top w:val="nil"/>
              <w:left w:val="nil"/>
              <w:bottom w:val="nil"/>
              <w:right w:val="nil"/>
            </w:tcBorders>
            <w:shd w:val="clear" w:color="000000" w:fill="FFFFFF"/>
            <w:tcMar>
              <w:top w:w="85" w:type="dxa"/>
            </w:tcMar>
            <w:hideMark/>
          </w:tcPr>
          <w:p w14:paraId="441EA40F"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Return on invested funds in line with benchmarks established by the Investment Advisory Committee (IAC)</w:t>
            </w:r>
          </w:p>
        </w:tc>
        <w:tc>
          <w:tcPr>
            <w:tcW w:w="2420" w:type="dxa"/>
            <w:tcBorders>
              <w:top w:val="nil"/>
              <w:left w:val="nil"/>
              <w:bottom w:val="nil"/>
              <w:right w:val="nil"/>
            </w:tcBorders>
            <w:shd w:val="clear" w:color="000000" w:fill="FFFFFF"/>
            <w:tcMar>
              <w:top w:w="85" w:type="dxa"/>
            </w:tcMar>
            <w:hideMark/>
          </w:tcPr>
          <w:p w14:paraId="66889B4E" w14:textId="77777777" w:rsidR="00DF5D9A" w:rsidRPr="00CA3219" w:rsidRDefault="00DF5D9A" w:rsidP="008D4CE9">
            <w:pPr>
              <w:ind w:left="33"/>
              <w:rPr>
                <w:rFonts w:ascii="Arial" w:hAnsi="Arial" w:cs="Arial"/>
                <w:color w:val="000000"/>
                <w:sz w:val="16"/>
                <w:szCs w:val="16"/>
              </w:rPr>
            </w:pPr>
            <w:r w:rsidRPr="00CA3219">
              <w:rPr>
                <w:rFonts w:ascii="Arial" w:hAnsi="Arial" w:cs="Arial"/>
                <w:color w:val="000000"/>
                <w:sz w:val="16"/>
                <w:szCs w:val="16"/>
              </w:rPr>
              <w:t>Investments continue to be with Swiss authorities, in line with the  benchmark established by IAC in 2014/15</w:t>
            </w:r>
          </w:p>
          <w:p w14:paraId="21BAE098" w14:textId="77777777" w:rsidR="00DF5D9A" w:rsidRPr="00860634" w:rsidRDefault="00DF5D9A">
            <w:pPr>
              <w:ind w:left="229"/>
              <w:rPr>
                <w:rFonts w:ascii="Arial" w:hAnsi="Arial" w:cs="Arial"/>
                <w:color w:val="000000"/>
                <w:sz w:val="16"/>
                <w:szCs w:val="16"/>
              </w:rPr>
            </w:pPr>
          </w:p>
        </w:tc>
        <w:tc>
          <w:tcPr>
            <w:tcW w:w="2169" w:type="dxa"/>
            <w:tcBorders>
              <w:top w:val="nil"/>
              <w:left w:val="nil"/>
              <w:bottom w:val="nil"/>
              <w:right w:val="single" w:sz="4" w:space="0" w:color="auto"/>
            </w:tcBorders>
            <w:shd w:val="clear" w:color="000000" w:fill="FFFFFF"/>
            <w:tcMar>
              <w:top w:w="85" w:type="dxa"/>
            </w:tcMar>
            <w:hideMark/>
          </w:tcPr>
          <w:p w14:paraId="1946F838"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Return on invested funds in line with the benchmark established by the IAC in 2016/17</w:t>
            </w:r>
          </w:p>
        </w:tc>
      </w:tr>
      <w:tr w:rsidR="00DF5D9A" w:rsidRPr="00860634" w14:paraId="19D8C07D" w14:textId="77777777" w:rsidTr="00FB68E0">
        <w:trPr>
          <w:trHeight w:val="1002"/>
        </w:trPr>
        <w:tc>
          <w:tcPr>
            <w:tcW w:w="2142" w:type="dxa"/>
            <w:tcBorders>
              <w:top w:val="nil"/>
              <w:left w:val="single" w:sz="4" w:space="0" w:color="auto"/>
              <w:bottom w:val="nil"/>
              <w:right w:val="nil"/>
            </w:tcBorders>
            <w:shd w:val="clear" w:color="000000" w:fill="FFFFFF"/>
            <w:tcMar>
              <w:top w:w="85" w:type="dxa"/>
            </w:tcMar>
            <w:hideMark/>
          </w:tcPr>
          <w:p w14:paraId="5B18A58D"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top w:val="nil"/>
              <w:left w:val="nil"/>
              <w:bottom w:val="nil"/>
              <w:right w:val="nil"/>
            </w:tcBorders>
            <w:shd w:val="clear" w:color="000000" w:fill="FFFFFF"/>
            <w:tcMar>
              <w:top w:w="85" w:type="dxa"/>
            </w:tcMar>
            <w:hideMark/>
          </w:tcPr>
          <w:p w14:paraId="5B9400F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Effectiv</w:t>
            </w:r>
            <w:r>
              <w:rPr>
                <w:rFonts w:ascii="Arial" w:hAnsi="Arial" w:cs="Arial"/>
                <w:color w:val="000000"/>
                <w:sz w:val="16"/>
                <w:szCs w:val="16"/>
              </w:rPr>
              <w:t>e management of expenditure and</w:t>
            </w:r>
            <w:r w:rsidRPr="00860634">
              <w:rPr>
                <w:rFonts w:ascii="Arial" w:hAnsi="Arial" w:cs="Arial"/>
                <w:color w:val="000000"/>
                <w:sz w:val="16"/>
                <w:szCs w:val="16"/>
              </w:rPr>
              <w:t xml:space="preserve"> reserves</w:t>
            </w:r>
          </w:p>
        </w:tc>
        <w:tc>
          <w:tcPr>
            <w:tcW w:w="2420" w:type="dxa"/>
            <w:tcBorders>
              <w:top w:val="nil"/>
              <w:left w:val="nil"/>
              <w:bottom w:val="nil"/>
              <w:right w:val="nil"/>
            </w:tcBorders>
            <w:shd w:val="clear" w:color="000000" w:fill="FFFFFF"/>
            <w:tcMar>
              <w:top w:w="85" w:type="dxa"/>
            </w:tcMar>
            <w:hideMark/>
          </w:tcPr>
          <w:p w14:paraId="57F5EF67" w14:textId="2C055750"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Expenditure outlook 2014/15 (budgetary before IPSAS adjustments) : 659.9 million Swiss francs (as at April 2015).</w:t>
            </w:r>
          </w:p>
        </w:tc>
        <w:tc>
          <w:tcPr>
            <w:tcW w:w="2169" w:type="dxa"/>
            <w:tcBorders>
              <w:top w:val="nil"/>
              <w:left w:val="nil"/>
              <w:bottom w:val="nil"/>
              <w:right w:val="single" w:sz="4" w:space="0" w:color="auto"/>
            </w:tcBorders>
            <w:shd w:val="clear" w:color="000000" w:fill="FFFFFF"/>
            <w:tcMar>
              <w:top w:w="85" w:type="dxa"/>
            </w:tcMar>
            <w:hideMark/>
          </w:tcPr>
          <w:p w14:paraId="10EE1CEF" w14:textId="63F36B02"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Expenditure managed within the overall budgetary envelope but Expenditure not to exceed income ( should income be exceptionally foreseen to drop below planned expenditure levels.)</w:t>
            </w:r>
          </w:p>
        </w:tc>
      </w:tr>
      <w:tr w:rsidR="00DF5D9A" w:rsidRPr="00860634" w14:paraId="640E2C14" w14:textId="77777777" w:rsidTr="008D4CE9">
        <w:trPr>
          <w:trHeight w:val="1192"/>
        </w:trPr>
        <w:tc>
          <w:tcPr>
            <w:tcW w:w="2142" w:type="dxa"/>
            <w:tcBorders>
              <w:top w:val="nil"/>
              <w:left w:val="single" w:sz="4" w:space="0" w:color="auto"/>
              <w:right w:val="nil"/>
            </w:tcBorders>
            <w:shd w:val="clear" w:color="000000" w:fill="FFFFFF"/>
            <w:tcMar>
              <w:top w:w="85" w:type="dxa"/>
            </w:tcMar>
            <w:hideMark/>
          </w:tcPr>
          <w:p w14:paraId="2B5D2FB6"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top w:val="nil"/>
              <w:left w:val="nil"/>
              <w:right w:val="nil"/>
            </w:tcBorders>
            <w:shd w:val="clear" w:color="000000" w:fill="FFFFFF"/>
            <w:tcMar>
              <w:top w:w="85" w:type="dxa"/>
            </w:tcMar>
            <w:hideMark/>
          </w:tcPr>
          <w:p w14:paraId="30FC2AB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Payments (including Madrid and Hague fees) made on time</w:t>
            </w:r>
          </w:p>
        </w:tc>
        <w:tc>
          <w:tcPr>
            <w:tcW w:w="2420" w:type="dxa"/>
            <w:tcBorders>
              <w:top w:val="nil"/>
              <w:left w:val="nil"/>
              <w:right w:val="nil"/>
            </w:tcBorders>
            <w:shd w:val="clear" w:color="000000" w:fill="FFFFFF"/>
            <w:tcMar>
              <w:top w:w="85" w:type="dxa"/>
            </w:tcMar>
            <w:hideMark/>
          </w:tcPr>
          <w:p w14:paraId="54FF80E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90% of payments made within seven days of payment terms or receipt date (in case of late receipting) for those without other workflow issues (e.g. PO not dispatched, etc.)</w:t>
            </w:r>
          </w:p>
        </w:tc>
        <w:tc>
          <w:tcPr>
            <w:tcW w:w="2169" w:type="dxa"/>
            <w:tcBorders>
              <w:top w:val="nil"/>
              <w:left w:val="nil"/>
              <w:right w:val="single" w:sz="4" w:space="0" w:color="auto"/>
            </w:tcBorders>
            <w:shd w:val="clear" w:color="000000" w:fill="FFFFFF"/>
            <w:tcMar>
              <w:top w:w="85" w:type="dxa"/>
            </w:tcMar>
            <w:hideMark/>
          </w:tcPr>
          <w:p w14:paraId="6900F043"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90% of payments to be made within two three days of receipt of invoice</w:t>
            </w:r>
          </w:p>
        </w:tc>
      </w:tr>
      <w:tr w:rsidR="00DF5D9A" w:rsidRPr="00860634" w14:paraId="71E7CABE" w14:textId="77777777" w:rsidTr="008D4CE9">
        <w:trPr>
          <w:trHeight w:val="1052"/>
        </w:trPr>
        <w:tc>
          <w:tcPr>
            <w:tcW w:w="2142" w:type="dxa"/>
            <w:tcBorders>
              <w:top w:val="nil"/>
              <w:left w:val="single" w:sz="4" w:space="0" w:color="auto"/>
              <w:right w:val="nil"/>
            </w:tcBorders>
            <w:shd w:val="clear" w:color="000000" w:fill="FFFFFF"/>
            <w:tcMar>
              <w:top w:w="85" w:type="dxa"/>
            </w:tcMar>
            <w:hideMark/>
          </w:tcPr>
          <w:p w14:paraId="0EBDF122"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IX.3 An enabling working environment supported by an effective regulatory framework and appropriate channels to address staff concerns</w:t>
            </w:r>
          </w:p>
        </w:tc>
        <w:tc>
          <w:tcPr>
            <w:tcW w:w="2498" w:type="dxa"/>
            <w:tcBorders>
              <w:top w:val="nil"/>
              <w:left w:val="nil"/>
              <w:right w:val="nil"/>
            </w:tcBorders>
            <w:shd w:val="clear" w:color="000000" w:fill="FFFFFF"/>
            <w:tcMar>
              <w:top w:w="85" w:type="dxa"/>
            </w:tcMar>
            <w:hideMark/>
          </w:tcPr>
          <w:p w14:paraId="27D84E1D"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Financial Regulations and Rules and relevant Office Instructions (OIs) up to date</w:t>
            </w:r>
          </w:p>
        </w:tc>
        <w:tc>
          <w:tcPr>
            <w:tcW w:w="2420" w:type="dxa"/>
            <w:tcBorders>
              <w:top w:val="nil"/>
              <w:left w:val="nil"/>
              <w:right w:val="nil"/>
            </w:tcBorders>
            <w:shd w:val="clear" w:color="000000" w:fill="FFFFFF"/>
            <w:tcMar>
              <w:top w:w="85" w:type="dxa"/>
            </w:tcMar>
            <w:hideMark/>
          </w:tcPr>
          <w:p w14:paraId="3039812F"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 xml:space="preserve">OIs issued in 2014 and 2015. FRR amended in 2014 as deemed necessary </w:t>
            </w:r>
          </w:p>
        </w:tc>
        <w:tc>
          <w:tcPr>
            <w:tcW w:w="2169" w:type="dxa"/>
            <w:tcBorders>
              <w:top w:val="nil"/>
              <w:left w:val="nil"/>
              <w:right w:val="single" w:sz="4" w:space="0" w:color="auto"/>
            </w:tcBorders>
            <w:shd w:val="clear" w:color="000000" w:fill="FFFFFF"/>
            <w:tcMar>
              <w:top w:w="85" w:type="dxa"/>
            </w:tcMar>
            <w:hideMark/>
          </w:tcPr>
          <w:p w14:paraId="291DA8F7"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Review and revision of regulatory framework if/as appropriate</w:t>
            </w:r>
          </w:p>
        </w:tc>
      </w:tr>
      <w:tr w:rsidR="00DF5D9A" w:rsidRPr="00860634" w14:paraId="79DD24A9" w14:textId="77777777" w:rsidTr="008D4CE9">
        <w:trPr>
          <w:trHeight w:val="999"/>
        </w:trPr>
        <w:tc>
          <w:tcPr>
            <w:tcW w:w="2142" w:type="dxa"/>
            <w:tcBorders>
              <w:left w:val="single" w:sz="4" w:space="0" w:color="auto"/>
              <w:right w:val="nil"/>
            </w:tcBorders>
            <w:shd w:val="clear" w:color="000000" w:fill="FFFFFF"/>
            <w:tcMar>
              <w:top w:w="85" w:type="dxa"/>
            </w:tcMar>
            <w:hideMark/>
          </w:tcPr>
          <w:p w14:paraId="6459D202"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left w:val="nil"/>
              <w:right w:val="nil"/>
            </w:tcBorders>
            <w:shd w:val="clear" w:color="000000" w:fill="FFFFFF"/>
            <w:tcMar>
              <w:top w:w="85" w:type="dxa"/>
            </w:tcMar>
            <w:hideMark/>
          </w:tcPr>
          <w:p w14:paraId="64DA81A6"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Increase in maturity of Risk Management and Internal controls, in accordance with the Roadmap</w:t>
            </w:r>
          </w:p>
        </w:tc>
        <w:tc>
          <w:tcPr>
            <w:tcW w:w="2420" w:type="dxa"/>
            <w:tcBorders>
              <w:left w:val="nil"/>
              <w:right w:val="nil"/>
            </w:tcBorders>
            <w:shd w:val="clear" w:color="000000" w:fill="FFFFFF"/>
            <w:tcMar>
              <w:top w:w="85" w:type="dxa"/>
            </w:tcMar>
            <w:hideMark/>
          </w:tcPr>
          <w:p w14:paraId="2DAC9EDD"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75% progress on Roadmap for Risk Management; 25% progress on Roadmap for Internal Controls</w:t>
            </w:r>
          </w:p>
        </w:tc>
        <w:tc>
          <w:tcPr>
            <w:tcW w:w="2169" w:type="dxa"/>
            <w:tcBorders>
              <w:left w:val="nil"/>
              <w:right w:val="single" w:sz="4" w:space="0" w:color="auto"/>
            </w:tcBorders>
            <w:shd w:val="clear" w:color="000000" w:fill="FFFFFF"/>
            <w:tcMar>
              <w:top w:w="85" w:type="dxa"/>
            </w:tcMar>
            <w:hideMark/>
          </w:tcPr>
          <w:p w14:paraId="52574ACB"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100% progress on Roadmap for Risk Management; 80% progress on Roadmap for Internal Controls</w:t>
            </w:r>
          </w:p>
        </w:tc>
      </w:tr>
      <w:tr w:rsidR="00DF5D9A" w:rsidRPr="00860634" w14:paraId="11D7E1BA" w14:textId="77777777" w:rsidTr="008D4CE9">
        <w:trPr>
          <w:trHeight w:val="2026"/>
        </w:trPr>
        <w:tc>
          <w:tcPr>
            <w:tcW w:w="2142" w:type="dxa"/>
            <w:tcBorders>
              <w:left w:val="single" w:sz="4" w:space="0" w:color="auto"/>
              <w:bottom w:val="single" w:sz="4" w:space="0" w:color="auto"/>
              <w:right w:val="nil"/>
            </w:tcBorders>
            <w:shd w:val="clear" w:color="000000" w:fill="FFFFFF"/>
            <w:tcMar>
              <w:top w:w="85" w:type="dxa"/>
            </w:tcMar>
            <w:hideMark/>
          </w:tcPr>
          <w:p w14:paraId="33D45C35" w14:textId="77777777" w:rsidR="00DF5D9A" w:rsidRPr="00860634" w:rsidRDefault="00DF5D9A">
            <w:pPr>
              <w:rPr>
                <w:rFonts w:ascii="Arial" w:hAnsi="Arial" w:cs="Arial"/>
                <w:color w:val="000000"/>
                <w:sz w:val="16"/>
                <w:szCs w:val="16"/>
              </w:rPr>
            </w:pPr>
            <w:r w:rsidRPr="00860634">
              <w:rPr>
                <w:rFonts w:ascii="Arial" w:hAnsi="Arial" w:cs="Arial"/>
                <w:color w:val="000000"/>
                <w:sz w:val="16"/>
                <w:szCs w:val="16"/>
              </w:rPr>
              <w:t> </w:t>
            </w:r>
          </w:p>
        </w:tc>
        <w:tc>
          <w:tcPr>
            <w:tcW w:w="2498" w:type="dxa"/>
            <w:tcBorders>
              <w:left w:val="nil"/>
              <w:bottom w:val="single" w:sz="4" w:space="0" w:color="auto"/>
              <w:right w:val="nil"/>
            </w:tcBorders>
            <w:shd w:val="clear" w:color="000000" w:fill="FFFFFF"/>
            <w:tcMar>
              <w:top w:w="85" w:type="dxa"/>
            </w:tcMar>
            <w:hideMark/>
          </w:tcPr>
          <w:p w14:paraId="74E23DFC" w14:textId="77777777" w:rsidR="00DF5D9A" w:rsidRPr="00860634" w:rsidRDefault="00DF5D9A" w:rsidP="008D4CE9">
            <w:pPr>
              <w:ind w:left="33"/>
              <w:rPr>
                <w:rFonts w:ascii="Arial" w:hAnsi="Arial" w:cs="Arial"/>
                <w:color w:val="000000"/>
                <w:sz w:val="16"/>
                <w:szCs w:val="16"/>
              </w:rPr>
            </w:pPr>
            <w:r>
              <w:rPr>
                <w:rFonts w:ascii="Arial" w:hAnsi="Arial" w:cs="Arial"/>
                <w:color w:val="000000"/>
                <w:sz w:val="16"/>
                <w:szCs w:val="16"/>
              </w:rPr>
              <w:t xml:space="preserve">Effective follow-up of oversight recommendations </w:t>
            </w:r>
          </w:p>
        </w:tc>
        <w:tc>
          <w:tcPr>
            <w:tcW w:w="2420" w:type="dxa"/>
            <w:tcBorders>
              <w:left w:val="nil"/>
              <w:bottom w:val="single" w:sz="4" w:space="0" w:color="auto"/>
              <w:right w:val="nil"/>
            </w:tcBorders>
            <w:shd w:val="clear" w:color="000000" w:fill="FFFFFF"/>
            <w:tcMar>
              <w:top w:w="85" w:type="dxa"/>
            </w:tcMar>
            <w:hideMark/>
          </w:tcPr>
          <w:p w14:paraId="2670D97F"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EA = 47% rec's closed in 2014 of those outstanding at end 2013 (whole organization)</w:t>
            </w:r>
            <w:r w:rsidRPr="00860634">
              <w:rPr>
                <w:rFonts w:ascii="Arial" w:hAnsi="Arial" w:cs="Arial"/>
                <w:color w:val="000000"/>
                <w:sz w:val="16"/>
                <w:szCs w:val="16"/>
              </w:rPr>
              <w:br/>
              <w:t>IOD = 64 % rec’s closed in 2014 of those outstanding at end 2013 (program 22)</w:t>
            </w:r>
            <w:r w:rsidRPr="00860634">
              <w:rPr>
                <w:rFonts w:ascii="Arial" w:hAnsi="Arial" w:cs="Arial"/>
                <w:color w:val="000000"/>
                <w:sz w:val="16"/>
                <w:szCs w:val="16"/>
              </w:rPr>
              <w:br/>
              <w:t>JIU = 61% rec's closed in 2014 of those outstanding at end 2013 (starting with 2010)</w:t>
            </w:r>
          </w:p>
        </w:tc>
        <w:tc>
          <w:tcPr>
            <w:tcW w:w="2169" w:type="dxa"/>
            <w:tcBorders>
              <w:left w:val="nil"/>
              <w:bottom w:val="single" w:sz="4" w:space="0" w:color="auto"/>
              <w:right w:val="single" w:sz="4" w:space="0" w:color="auto"/>
            </w:tcBorders>
            <w:shd w:val="clear" w:color="000000" w:fill="FFFFFF"/>
            <w:tcMar>
              <w:top w:w="85" w:type="dxa"/>
            </w:tcMar>
            <w:hideMark/>
          </w:tcPr>
          <w:p w14:paraId="525494A8" w14:textId="77777777" w:rsidR="00DF5D9A" w:rsidRPr="00860634" w:rsidRDefault="00DF5D9A" w:rsidP="008D4CE9">
            <w:pPr>
              <w:ind w:left="33"/>
              <w:rPr>
                <w:rFonts w:ascii="Arial" w:hAnsi="Arial" w:cs="Arial"/>
                <w:color w:val="000000"/>
                <w:sz w:val="16"/>
                <w:szCs w:val="16"/>
              </w:rPr>
            </w:pPr>
            <w:r w:rsidRPr="00860634">
              <w:rPr>
                <w:rFonts w:ascii="Arial" w:hAnsi="Arial" w:cs="Arial"/>
                <w:color w:val="000000"/>
                <w:sz w:val="16"/>
                <w:szCs w:val="16"/>
              </w:rPr>
              <w:t>EA = 55% for rec's closed in 2016/17 out of those outstanding at end 2015</w:t>
            </w:r>
            <w:r w:rsidRPr="00860634">
              <w:rPr>
                <w:rFonts w:ascii="Arial" w:hAnsi="Arial" w:cs="Arial"/>
                <w:color w:val="000000"/>
                <w:sz w:val="16"/>
                <w:szCs w:val="16"/>
              </w:rPr>
              <w:br/>
              <w:t>IOD = 70% for rec's closed in 2016/17 out of those outstanding at end 2015</w:t>
            </w:r>
            <w:r w:rsidRPr="00860634">
              <w:rPr>
                <w:rFonts w:ascii="Arial" w:hAnsi="Arial" w:cs="Arial"/>
                <w:color w:val="000000"/>
                <w:sz w:val="16"/>
                <w:szCs w:val="16"/>
              </w:rPr>
              <w:br/>
              <w:t>JIU = 70% for rec's closed in 2016/17 out of those outstanding at end 2015 (starting with 2010)</w:t>
            </w:r>
          </w:p>
        </w:tc>
      </w:tr>
    </w:tbl>
    <w:p w14:paraId="21FB573E" w14:textId="77777777" w:rsidR="00DF5D9A" w:rsidRDefault="00DF5D9A">
      <w:pPr>
        <w:rPr>
          <w:rFonts w:ascii="Arial" w:hAnsi="Arial" w:cs="Arial"/>
          <w:sz w:val="20"/>
        </w:rPr>
      </w:pPr>
    </w:p>
    <w:p w14:paraId="424EA19E" w14:textId="77777777" w:rsidR="00DF5D9A" w:rsidRDefault="00DF5D9A" w:rsidP="00FB68E0">
      <w:pPr>
        <w:rPr>
          <w:rFonts w:ascii="Arial" w:hAnsi="Arial" w:cs="Arial"/>
          <w:sz w:val="20"/>
        </w:rPr>
      </w:pPr>
    </w:p>
    <w:p w14:paraId="5D9AF7CC" w14:textId="77777777" w:rsidR="00DF5D9A" w:rsidRDefault="00DF5D9A" w:rsidP="00FB68E0">
      <w:pPr>
        <w:rPr>
          <w:rFonts w:ascii="Arial" w:hAnsi="Arial" w:cs="Arial"/>
        </w:rPr>
      </w:pPr>
      <w:r>
        <w:rPr>
          <w:rFonts w:ascii="Arial" w:hAnsi="Arial" w:cs="Arial"/>
        </w:rPr>
        <w:lastRenderedPageBreak/>
        <w:t>RESOURCES FOR PROGRAM 22</w:t>
      </w:r>
    </w:p>
    <w:p w14:paraId="1D213F4D" w14:textId="77777777" w:rsidR="00DF5D9A" w:rsidRDefault="00DF5D9A" w:rsidP="00FB68E0">
      <w:pPr>
        <w:rPr>
          <w:rFonts w:ascii="Arial" w:hAnsi="Arial" w:cs="Arial"/>
        </w:rPr>
      </w:pPr>
    </w:p>
    <w:p w14:paraId="1F863FEC" w14:textId="0BDD1FFF" w:rsidR="00DF5D9A" w:rsidRDefault="00DF5D9A" w:rsidP="00B66A4A">
      <w:pPr>
        <w:numPr>
          <w:ilvl w:val="0"/>
          <w:numId w:val="25"/>
        </w:numPr>
        <w:jc w:val="both"/>
        <w:rPr>
          <w:rFonts w:ascii="Arial" w:eastAsia="Times New Roman" w:hAnsi="Arial" w:cs="Arial"/>
          <w:sz w:val="20"/>
          <w:szCs w:val="20"/>
        </w:rPr>
      </w:pPr>
      <w:r w:rsidRPr="0076176F">
        <w:rPr>
          <w:rFonts w:ascii="Arial" w:hAnsi="Arial" w:cs="Arial"/>
          <w:sz w:val="20"/>
        </w:rPr>
        <w:t xml:space="preserve">An overall increase </w:t>
      </w:r>
      <w:r w:rsidRPr="00FB68E0">
        <w:rPr>
          <w:rFonts w:ascii="Arial" w:eastAsia="Times New Roman" w:hAnsi="Arial" w:cs="Arial"/>
          <w:sz w:val="20"/>
          <w:szCs w:val="20"/>
        </w:rPr>
        <w:t xml:space="preserve">of 5 million Swiss francs </w:t>
      </w:r>
      <w:r w:rsidRPr="0076176F">
        <w:rPr>
          <w:rFonts w:ascii="Arial" w:hAnsi="Arial" w:cs="Arial"/>
          <w:sz w:val="20"/>
        </w:rPr>
        <w:t xml:space="preserve">in 2016/17 can be observed </w:t>
      </w:r>
      <w:r w:rsidRPr="00FB68E0">
        <w:rPr>
          <w:rFonts w:ascii="Arial" w:eastAsia="Times New Roman" w:hAnsi="Arial" w:cs="Arial"/>
          <w:sz w:val="20"/>
          <w:szCs w:val="20"/>
        </w:rPr>
        <w:t xml:space="preserve">compared to the 2014/15 Budget after </w:t>
      </w:r>
      <w:r w:rsidRPr="0076176F">
        <w:rPr>
          <w:rFonts w:ascii="Arial" w:hAnsi="Arial" w:cs="Arial"/>
          <w:sz w:val="20"/>
        </w:rPr>
        <w:t>T</w:t>
      </w:r>
      <w:r w:rsidRPr="00FB68E0">
        <w:rPr>
          <w:rFonts w:ascii="Arial" w:eastAsia="Times New Roman" w:hAnsi="Arial" w:cs="Arial"/>
          <w:sz w:val="20"/>
          <w:szCs w:val="20"/>
        </w:rPr>
        <w:t>ransfer</w:t>
      </w:r>
      <w:r w:rsidRPr="0076176F">
        <w:rPr>
          <w:rFonts w:ascii="Arial" w:hAnsi="Arial" w:cs="Arial"/>
          <w:sz w:val="20"/>
        </w:rPr>
        <w:t>s</w:t>
      </w:r>
      <w:r w:rsidRPr="00FB68E0">
        <w:rPr>
          <w:rFonts w:ascii="Arial" w:eastAsia="Times New Roman" w:hAnsi="Arial" w:cs="Arial"/>
          <w:sz w:val="20"/>
          <w:szCs w:val="20"/>
        </w:rPr>
        <w:t xml:space="preserve">. The net increase under Expected Result IX.1 is mainly due to </w:t>
      </w:r>
      <w:r w:rsidRPr="0076176F">
        <w:rPr>
          <w:rFonts w:ascii="Arial" w:hAnsi="Arial" w:cs="Arial"/>
          <w:sz w:val="20"/>
        </w:rPr>
        <w:t>an</w:t>
      </w:r>
      <w:r w:rsidRPr="00FB68E0">
        <w:rPr>
          <w:rFonts w:ascii="Arial" w:eastAsia="Times New Roman" w:hAnsi="Arial" w:cs="Arial"/>
          <w:sz w:val="20"/>
          <w:szCs w:val="20"/>
        </w:rPr>
        <w:t xml:space="preserve"> additional 1.6 million Swiss francs </w:t>
      </w:r>
      <w:r w:rsidRPr="0076176F">
        <w:rPr>
          <w:rFonts w:ascii="Arial" w:hAnsi="Arial" w:cs="Arial"/>
          <w:sz w:val="20"/>
        </w:rPr>
        <w:t xml:space="preserve">in non-personnel resources for the absorption into operations of the new modules and capabilities of the </w:t>
      </w:r>
      <w:r w:rsidRPr="00FB68E0">
        <w:rPr>
          <w:rFonts w:ascii="Arial" w:eastAsia="Times New Roman" w:hAnsi="Arial" w:cs="Arial"/>
          <w:sz w:val="20"/>
          <w:szCs w:val="20"/>
        </w:rPr>
        <w:t xml:space="preserve">ERP </w:t>
      </w:r>
      <w:r w:rsidRPr="0076176F">
        <w:rPr>
          <w:rFonts w:ascii="Arial" w:hAnsi="Arial" w:cs="Arial"/>
          <w:sz w:val="20"/>
        </w:rPr>
        <w:t>system as well as an</w:t>
      </w:r>
      <w:r w:rsidRPr="00FB68E0">
        <w:rPr>
          <w:rFonts w:ascii="Arial" w:eastAsia="Times New Roman" w:hAnsi="Arial" w:cs="Arial"/>
          <w:sz w:val="20"/>
          <w:szCs w:val="20"/>
        </w:rPr>
        <w:t xml:space="preserve"> additional 4.3 million increase under ER IX.</w:t>
      </w:r>
      <w:r w:rsidR="005C0B8F">
        <w:rPr>
          <w:rFonts w:ascii="Arial" w:hAnsi="Arial" w:cs="Arial"/>
          <w:sz w:val="20"/>
        </w:rPr>
        <w:t>2</w:t>
      </w:r>
      <w:r w:rsidRPr="00FB68E0">
        <w:rPr>
          <w:rFonts w:ascii="Arial" w:eastAsia="Times New Roman" w:hAnsi="Arial" w:cs="Arial"/>
          <w:sz w:val="20"/>
          <w:szCs w:val="20"/>
        </w:rPr>
        <w:t xml:space="preserve"> related to </w:t>
      </w:r>
      <w:r w:rsidRPr="0076176F">
        <w:rPr>
          <w:rFonts w:ascii="Arial" w:hAnsi="Arial" w:cs="Arial"/>
          <w:sz w:val="20"/>
        </w:rPr>
        <w:t xml:space="preserve">the </w:t>
      </w:r>
      <w:r w:rsidRPr="00FB68E0">
        <w:rPr>
          <w:rFonts w:ascii="Arial" w:eastAsia="Times New Roman" w:hAnsi="Arial" w:cs="Arial"/>
          <w:sz w:val="20"/>
          <w:szCs w:val="20"/>
        </w:rPr>
        <w:t xml:space="preserve">provision </w:t>
      </w:r>
      <w:r w:rsidRPr="0076176F">
        <w:rPr>
          <w:rFonts w:ascii="Arial" w:hAnsi="Arial" w:cs="Arial"/>
          <w:sz w:val="20"/>
        </w:rPr>
        <w:t>for</w:t>
      </w:r>
      <w:r w:rsidRPr="00FB68E0">
        <w:rPr>
          <w:rFonts w:ascii="Arial" w:eastAsia="Times New Roman" w:hAnsi="Arial" w:cs="Arial"/>
          <w:sz w:val="20"/>
          <w:szCs w:val="20"/>
        </w:rPr>
        <w:t xml:space="preserve"> negative </w:t>
      </w:r>
      <w:r w:rsidRPr="0076176F">
        <w:rPr>
          <w:rFonts w:ascii="Arial" w:hAnsi="Arial" w:cs="Arial"/>
          <w:sz w:val="20"/>
        </w:rPr>
        <w:t xml:space="preserve">interest rates on Swiss franc deposits </w:t>
      </w:r>
      <w:r w:rsidRPr="00FB68E0">
        <w:rPr>
          <w:rFonts w:ascii="Arial" w:eastAsia="Times New Roman" w:hAnsi="Arial" w:cs="Arial"/>
          <w:sz w:val="20"/>
          <w:szCs w:val="20"/>
        </w:rPr>
        <w:t xml:space="preserve">(2.4 million Swiss francs) and statutory increases under personnel. The marginal increase under ER IX.3 takes into account resources planned for ERM, </w:t>
      </w:r>
      <w:r w:rsidRPr="0076176F">
        <w:rPr>
          <w:rFonts w:ascii="Arial" w:hAnsi="Arial" w:cs="Arial"/>
          <w:sz w:val="20"/>
        </w:rPr>
        <w:t xml:space="preserve">strengthening of </w:t>
      </w:r>
      <w:r w:rsidRPr="00FB68E0">
        <w:rPr>
          <w:rFonts w:ascii="Arial" w:eastAsia="Times New Roman" w:hAnsi="Arial" w:cs="Arial"/>
          <w:sz w:val="20"/>
          <w:szCs w:val="20"/>
        </w:rPr>
        <w:t xml:space="preserve">internal controls as well as the transfer </w:t>
      </w:r>
      <w:r w:rsidRPr="0076176F">
        <w:rPr>
          <w:rFonts w:ascii="Arial" w:hAnsi="Arial" w:cs="Arial"/>
          <w:sz w:val="20"/>
        </w:rPr>
        <w:t xml:space="preserve">of responsibilities for </w:t>
      </w:r>
      <w:r w:rsidR="008B075D">
        <w:rPr>
          <w:rFonts w:ascii="Arial" w:hAnsi="Arial" w:cs="Arial"/>
          <w:sz w:val="20"/>
        </w:rPr>
        <w:t xml:space="preserve">JIU coordination </w:t>
      </w:r>
      <w:r w:rsidR="008B075D">
        <w:rPr>
          <w:rFonts w:ascii="Arial" w:eastAsia="Times New Roman" w:hAnsi="Arial" w:cs="Arial"/>
          <w:sz w:val="20"/>
          <w:szCs w:val="20"/>
        </w:rPr>
        <w:t xml:space="preserve">and related costs </w:t>
      </w:r>
      <w:r w:rsidRPr="00FB68E0">
        <w:rPr>
          <w:rFonts w:ascii="Arial" w:eastAsia="Times New Roman" w:hAnsi="Arial" w:cs="Arial"/>
          <w:sz w:val="20"/>
          <w:szCs w:val="20"/>
        </w:rPr>
        <w:t xml:space="preserve">from Program 24 </w:t>
      </w:r>
      <w:r w:rsidRPr="0076176F">
        <w:rPr>
          <w:rFonts w:ascii="Arial" w:hAnsi="Arial" w:cs="Arial"/>
          <w:sz w:val="20"/>
        </w:rPr>
        <w:t xml:space="preserve">(General Support Services) </w:t>
      </w:r>
      <w:r w:rsidRPr="00FB68E0">
        <w:rPr>
          <w:rFonts w:ascii="Arial" w:eastAsia="Times New Roman" w:hAnsi="Arial" w:cs="Arial"/>
          <w:sz w:val="20"/>
          <w:szCs w:val="20"/>
        </w:rPr>
        <w:t xml:space="preserve">into the </w:t>
      </w:r>
      <w:r w:rsidRPr="0076176F">
        <w:rPr>
          <w:rFonts w:ascii="Arial" w:hAnsi="Arial" w:cs="Arial"/>
          <w:sz w:val="20"/>
        </w:rPr>
        <w:t>Pr</w:t>
      </w:r>
      <w:r w:rsidRPr="00FB68E0">
        <w:rPr>
          <w:rFonts w:ascii="Arial" w:eastAsia="Times New Roman" w:hAnsi="Arial" w:cs="Arial"/>
          <w:sz w:val="20"/>
          <w:szCs w:val="20"/>
        </w:rPr>
        <w:t xml:space="preserve">ogram. </w:t>
      </w:r>
    </w:p>
    <w:p w14:paraId="738797F6" w14:textId="77777777" w:rsidR="0023213C" w:rsidRDefault="0023213C" w:rsidP="00FB68E0">
      <w:pPr>
        <w:ind w:left="6"/>
        <w:jc w:val="both"/>
        <w:rPr>
          <w:rFonts w:ascii="Arial" w:eastAsia="Times New Roman" w:hAnsi="Arial" w:cs="Arial"/>
          <w:sz w:val="20"/>
          <w:szCs w:val="20"/>
        </w:rPr>
      </w:pPr>
    </w:p>
    <w:p w14:paraId="39A7C043" w14:textId="3D211EBA" w:rsidR="0023213C" w:rsidRPr="00FB68E0" w:rsidRDefault="0023213C" w:rsidP="00B66A4A">
      <w:pPr>
        <w:numPr>
          <w:ilvl w:val="0"/>
          <w:numId w:val="25"/>
        </w:numPr>
        <w:jc w:val="both"/>
        <w:rPr>
          <w:rFonts w:ascii="Arial" w:eastAsia="Times New Roman" w:hAnsi="Arial" w:cs="Arial"/>
          <w:sz w:val="20"/>
          <w:szCs w:val="20"/>
        </w:rPr>
      </w:pPr>
      <w:r>
        <w:rPr>
          <w:rFonts w:ascii="Arial" w:eastAsia="Times New Roman" w:hAnsi="Arial" w:cs="Arial"/>
          <w:sz w:val="20"/>
          <w:szCs w:val="20"/>
        </w:rPr>
        <w:t>The resources associated with Expected Result IX.8 reflect the budgetary provision for External Audit</w:t>
      </w:r>
      <w:r w:rsidR="00B345FA">
        <w:rPr>
          <w:rFonts w:ascii="Arial" w:eastAsia="Times New Roman" w:hAnsi="Arial" w:cs="Arial"/>
          <w:sz w:val="20"/>
          <w:szCs w:val="20"/>
        </w:rPr>
        <w:t xml:space="preserve">ors and the Independent Advisory Oversight Committee (IAOC). The provision of non-personnel resources for the IAOC </w:t>
      </w:r>
      <w:r w:rsidR="00D50719">
        <w:rPr>
          <w:rFonts w:ascii="Arial" w:eastAsia="Times New Roman" w:hAnsi="Arial" w:cs="Arial"/>
          <w:sz w:val="20"/>
          <w:szCs w:val="20"/>
        </w:rPr>
        <w:t xml:space="preserve">amounts to 446,600 Swiss francs, an increase of </w:t>
      </w:r>
      <w:r>
        <w:rPr>
          <w:rFonts w:ascii="Arial" w:eastAsia="Times New Roman" w:hAnsi="Arial" w:cs="Arial"/>
          <w:sz w:val="20"/>
          <w:szCs w:val="20"/>
        </w:rPr>
        <w:t>.</w:t>
      </w:r>
      <w:r w:rsidR="00D50719">
        <w:rPr>
          <w:rFonts w:ascii="Arial" w:eastAsia="Times New Roman" w:hAnsi="Arial" w:cs="Arial"/>
          <w:sz w:val="20"/>
          <w:szCs w:val="20"/>
        </w:rPr>
        <w:t xml:space="preserve">14 percent compared to the 2014/15 Approved Budget. </w:t>
      </w:r>
    </w:p>
    <w:p w14:paraId="7C4EF721" w14:textId="77777777" w:rsidR="00DF5D9A" w:rsidRDefault="00DF5D9A" w:rsidP="00E641D8">
      <w:pPr>
        <w:pStyle w:val="NormalWeb"/>
        <w:shd w:val="clear" w:color="auto" w:fill="FFFFFF"/>
        <w:rPr>
          <w:rFonts w:ascii="Calibri" w:hAnsi="Calibri"/>
          <w:color w:val="000000"/>
        </w:rPr>
      </w:pPr>
    </w:p>
    <w:p w14:paraId="7C6BA83E" w14:textId="77777777" w:rsidR="00DF5D9A" w:rsidRDefault="00DF5D9A" w:rsidP="00E641D8">
      <w:pPr>
        <w:rPr>
          <w:rFonts w:ascii="Arial" w:hAnsi="Arial" w:cs="Arial"/>
        </w:rPr>
      </w:pPr>
    </w:p>
    <w:p w14:paraId="49224B15" w14:textId="77777777" w:rsidR="00DF5D9A" w:rsidRDefault="00DF5D9A">
      <w:pPr>
        <w:tabs>
          <w:tab w:val="left" w:pos="1427"/>
        </w:tabs>
        <w:jc w:val="center"/>
        <w:rPr>
          <w:rFonts w:ascii="Arial" w:hAnsi="Arial" w:cs="Arial"/>
          <w:sz w:val="20"/>
        </w:rPr>
      </w:pPr>
      <w:r>
        <w:rPr>
          <w:rFonts w:ascii="Arial" w:hAnsi="Arial" w:cs="Arial"/>
          <w:b/>
          <w:sz w:val="20"/>
          <w:szCs w:val="24"/>
        </w:rPr>
        <w:t>Program 22:  Resources by Result</w:t>
      </w:r>
    </w:p>
    <w:p w14:paraId="43A74882" w14:textId="77777777" w:rsidR="00DF5D9A" w:rsidRDefault="00DF5D9A">
      <w:pPr>
        <w:tabs>
          <w:tab w:val="left" w:pos="1427"/>
        </w:tabs>
        <w:jc w:val="center"/>
        <w:rPr>
          <w:rFonts w:ascii="Arial" w:hAnsi="Arial" w:cs="Arial"/>
          <w:i/>
          <w:sz w:val="20"/>
          <w:szCs w:val="24"/>
        </w:rPr>
      </w:pPr>
      <w:r>
        <w:rPr>
          <w:rFonts w:ascii="Arial" w:hAnsi="Arial" w:cs="Arial"/>
          <w:i/>
          <w:sz w:val="20"/>
          <w:szCs w:val="24"/>
        </w:rPr>
        <w:t>(In thousands of Swiss francs)</w:t>
      </w:r>
    </w:p>
    <w:p w14:paraId="039581F1" w14:textId="77777777" w:rsidR="00DF5D9A" w:rsidRDefault="00DF5D9A">
      <w:pPr>
        <w:tabs>
          <w:tab w:val="left" w:pos="1427"/>
        </w:tabs>
        <w:jc w:val="center"/>
        <w:rPr>
          <w:rFonts w:ascii="Arial" w:hAnsi="Arial" w:cs="Arial"/>
          <w:i/>
          <w:sz w:val="20"/>
          <w:szCs w:val="24"/>
        </w:rPr>
      </w:pPr>
    </w:p>
    <w:p w14:paraId="19A69E72" w14:textId="77777777" w:rsidR="00DF5D9A" w:rsidRDefault="00DF5D9A">
      <w:pPr>
        <w:tabs>
          <w:tab w:val="left" w:pos="1427"/>
        </w:tabs>
        <w:jc w:val="center"/>
        <w:rPr>
          <w:rFonts w:ascii="Arial" w:hAnsi="Arial" w:cs="Arial"/>
          <w:i/>
          <w:sz w:val="20"/>
          <w:szCs w:val="24"/>
        </w:rPr>
      </w:pPr>
      <w:r w:rsidRPr="0076176F">
        <w:rPr>
          <w:noProof/>
          <w:lang w:eastAsia="en-US"/>
        </w:rPr>
        <w:drawing>
          <wp:inline distT="0" distB="0" distL="0" distR="0" wp14:anchorId="17CC5336" wp14:editId="305B18FB">
            <wp:extent cx="5128591" cy="2620301"/>
            <wp:effectExtent l="0" t="0" r="0" b="889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145122" cy="2628747"/>
                    </a:xfrm>
                    <a:prstGeom prst="rect">
                      <a:avLst/>
                    </a:prstGeom>
                    <a:noFill/>
                    <a:ln>
                      <a:noFill/>
                    </a:ln>
                  </pic:spPr>
                </pic:pic>
              </a:graphicData>
            </a:graphic>
          </wp:inline>
        </w:drawing>
      </w:r>
    </w:p>
    <w:p w14:paraId="28192F1E" w14:textId="77777777" w:rsidR="00DF5D9A" w:rsidRDefault="00DF5D9A" w:rsidP="00E641D8">
      <w:pPr>
        <w:tabs>
          <w:tab w:val="left" w:pos="1427"/>
        </w:tabs>
        <w:rPr>
          <w:rFonts w:ascii="Arial" w:hAnsi="Arial" w:cs="Arial"/>
          <w:i/>
          <w:sz w:val="20"/>
          <w:szCs w:val="24"/>
        </w:rPr>
      </w:pPr>
    </w:p>
    <w:p w14:paraId="6931521C" w14:textId="77777777" w:rsidR="00DF5D9A" w:rsidRDefault="00DF5D9A" w:rsidP="00E641D8">
      <w:pPr>
        <w:tabs>
          <w:tab w:val="left" w:pos="1427"/>
        </w:tabs>
        <w:rPr>
          <w:rFonts w:ascii="Arial" w:hAnsi="Arial" w:cs="Arial"/>
          <w:i/>
          <w:sz w:val="20"/>
          <w:szCs w:val="24"/>
        </w:rPr>
      </w:pPr>
    </w:p>
    <w:p w14:paraId="2427EF90" w14:textId="77777777" w:rsidR="00DF5D9A" w:rsidRDefault="00DF5D9A" w:rsidP="00E641D8">
      <w:pPr>
        <w:rPr>
          <w:rFonts w:ascii="Arial" w:hAnsi="Arial" w:cs="Arial"/>
          <w:b/>
          <w:sz w:val="20"/>
          <w:szCs w:val="24"/>
        </w:rPr>
      </w:pPr>
      <w:r>
        <w:rPr>
          <w:rFonts w:ascii="Arial" w:hAnsi="Arial" w:cs="Arial"/>
          <w:b/>
          <w:sz w:val="20"/>
          <w:szCs w:val="24"/>
        </w:rPr>
        <w:br w:type="page"/>
      </w:r>
    </w:p>
    <w:p w14:paraId="2B1E36AA" w14:textId="77777777" w:rsidR="00DF5D9A" w:rsidRDefault="00DF5D9A">
      <w:pPr>
        <w:tabs>
          <w:tab w:val="left" w:pos="1427"/>
        </w:tabs>
        <w:jc w:val="center"/>
        <w:rPr>
          <w:rFonts w:ascii="Arial" w:hAnsi="Arial" w:cs="Arial"/>
          <w:sz w:val="20"/>
        </w:rPr>
      </w:pPr>
      <w:r>
        <w:rPr>
          <w:rFonts w:ascii="Arial" w:hAnsi="Arial" w:cs="Arial"/>
          <w:b/>
          <w:sz w:val="20"/>
          <w:szCs w:val="24"/>
        </w:rPr>
        <w:lastRenderedPageBreak/>
        <w:t>Program 22:  Resources by Object of Expenditure</w:t>
      </w:r>
    </w:p>
    <w:p w14:paraId="4123D8F2" w14:textId="77777777" w:rsidR="00DF5D9A" w:rsidRDefault="00DF5D9A">
      <w:pPr>
        <w:tabs>
          <w:tab w:val="left" w:pos="1427"/>
        </w:tabs>
        <w:jc w:val="center"/>
        <w:rPr>
          <w:rFonts w:ascii="Arial" w:hAnsi="Arial" w:cs="Arial"/>
          <w:i/>
          <w:sz w:val="20"/>
          <w:szCs w:val="24"/>
        </w:rPr>
      </w:pPr>
      <w:r>
        <w:rPr>
          <w:rFonts w:ascii="Arial" w:hAnsi="Arial" w:cs="Arial"/>
          <w:i/>
          <w:sz w:val="20"/>
          <w:szCs w:val="24"/>
        </w:rPr>
        <w:t>(In thousands of Swiss francs)</w:t>
      </w:r>
    </w:p>
    <w:p w14:paraId="174696CE" w14:textId="77777777" w:rsidR="00DF5D9A" w:rsidRDefault="00DF5D9A">
      <w:pPr>
        <w:tabs>
          <w:tab w:val="left" w:pos="1427"/>
        </w:tabs>
        <w:jc w:val="center"/>
        <w:rPr>
          <w:rFonts w:ascii="Arial" w:hAnsi="Arial" w:cs="Arial"/>
          <w:i/>
          <w:sz w:val="20"/>
          <w:szCs w:val="24"/>
        </w:rPr>
      </w:pPr>
    </w:p>
    <w:p w14:paraId="0A141CFA" w14:textId="77777777" w:rsidR="00DF5D9A" w:rsidRDefault="00DF5D9A" w:rsidP="00BC77A3">
      <w:pPr>
        <w:jc w:val="center"/>
        <w:rPr>
          <w:rFonts w:ascii="Arial" w:hAnsi="Arial" w:cs="Arial"/>
          <w:sz w:val="20"/>
        </w:rPr>
      </w:pPr>
      <w:r w:rsidRPr="003D232B">
        <w:rPr>
          <w:noProof/>
          <w:lang w:eastAsia="en-US"/>
        </w:rPr>
        <w:drawing>
          <wp:inline distT="0" distB="0" distL="0" distR="0" wp14:anchorId="7F73FD5E" wp14:editId="7411381A">
            <wp:extent cx="5218116" cy="5876014"/>
            <wp:effectExtent l="0" t="0" r="190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228132" cy="5887292"/>
                    </a:xfrm>
                    <a:prstGeom prst="rect">
                      <a:avLst/>
                    </a:prstGeom>
                    <a:noFill/>
                    <a:ln>
                      <a:noFill/>
                    </a:ln>
                  </pic:spPr>
                </pic:pic>
              </a:graphicData>
            </a:graphic>
          </wp:inline>
        </w:drawing>
      </w:r>
    </w:p>
    <w:p w14:paraId="40A868E1" w14:textId="77777777" w:rsidR="00DF5D9A" w:rsidRPr="0082048C" w:rsidRDefault="00DF5D9A" w:rsidP="00E641D8">
      <w:pPr>
        <w:rPr>
          <w:rFonts w:ascii="Arial" w:hAnsi="Arial" w:cs="Arial"/>
          <w:sz w:val="20"/>
        </w:rPr>
      </w:pPr>
    </w:p>
    <w:p w14:paraId="5528DFFC" w14:textId="77777777" w:rsidR="00DF5D9A" w:rsidRDefault="00DF5D9A">
      <w:pPr>
        <w:rPr>
          <w:rFonts w:ascii="Arial" w:hAnsi="Arial" w:cs="Arial"/>
          <w:sz w:val="20"/>
        </w:rPr>
      </w:pPr>
    </w:p>
    <w:p w14:paraId="181C060C" w14:textId="77777777" w:rsidR="00984F70" w:rsidRDefault="00984F70">
      <w:pPr>
        <w:rPr>
          <w:rFonts w:ascii="Arial" w:hAnsi="Arial" w:cs="Arial"/>
          <w:sz w:val="20"/>
        </w:rPr>
      </w:pPr>
      <w:r>
        <w:rPr>
          <w:rFonts w:ascii="Arial" w:hAnsi="Arial" w:cs="Arial"/>
          <w:sz w:val="20"/>
        </w:rPr>
        <w:br w:type="page"/>
      </w:r>
    </w:p>
    <w:p w14:paraId="36CE09EF" w14:textId="65708544" w:rsidR="00992C5E" w:rsidRPr="007A45E0" w:rsidRDefault="00992C5E" w:rsidP="00992C5E">
      <w:pPr>
        <w:pStyle w:val="StyleHeading3ComplexItalic"/>
        <w:rPr>
          <w:rStyle w:val="StyleStyleHeading3ComplexItalicLatin12ptChar"/>
          <w:rFonts w:eastAsia="SimSun"/>
          <w:b/>
          <w:szCs w:val="24"/>
        </w:rPr>
      </w:pPr>
      <w:bookmarkStart w:id="73" w:name="_Toc427154427"/>
      <w:r w:rsidRPr="00992C5E">
        <w:rPr>
          <w:rStyle w:val="StyleStyleHeading3ComplexItalicLatin12ptChar"/>
          <w:rFonts w:eastAsia="SimSun"/>
          <w:b/>
          <w:szCs w:val="24"/>
        </w:rPr>
        <w:lastRenderedPageBreak/>
        <w:t xml:space="preserve">PROGRAM 23 </w:t>
      </w:r>
      <w:r w:rsidRPr="00992C5E">
        <w:rPr>
          <w:rStyle w:val="StyleStyleHeading3ComplexItalicLatin12ptChar"/>
          <w:rFonts w:eastAsia="SimSun"/>
          <w:b/>
          <w:szCs w:val="24"/>
        </w:rPr>
        <w:tab/>
        <w:t>HUMAN RESOURCES MANAGEMENT AND DEVELOPMENT</w:t>
      </w:r>
      <w:bookmarkEnd w:id="73"/>
    </w:p>
    <w:p w14:paraId="195FD897" w14:textId="77777777" w:rsidR="00992C5E" w:rsidRDefault="00992C5E" w:rsidP="00E641D8">
      <w:pPr>
        <w:rPr>
          <w:rFonts w:ascii="Arial" w:hAnsi="Arial" w:cs="Arial"/>
          <w:sz w:val="20"/>
          <w:szCs w:val="20"/>
        </w:rPr>
      </w:pPr>
    </w:p>
    <w:p w14:paraId="28B5808F" w14:textId="77777777" w:rsidR="007A45E0" w:rsidRDefault="007A45E0" w:rsidP="00E641D8">
      <w:pPr>
        <w:rPr>
          <w:rFonts w:ascii="Arial" w:hAnsi="Arial" w:cs="Arial"/>
          <w:szCs w:val="20"/>
        </w:rPr>
      </w:pPr>
    </w:p>
    <w:p w14:paraId="0D04C644" w14:textId="77777777" w:rsidR="00992C5E" w:rsidRPr="00E55523" w:rsidRDefault="00992C5E" w:rsidP="00E641D8">
      <w:pPr>
        <w:rPr>
          <w:rFonts w:ascii="Arial" w:hAnsi="Arial" w:cs="Arial"/>
          <w:szCs w:val="20"/>
        </w:rPr>
      </w:pPr>
      <w:r w:rsidRPr="00E55523">
        <w:rPr>
          <w:rFonts w:ascii="Arial" w:hAnsi="Arial" w:cs="Arial"/>
          <w:szCs w:val="20"/>
        </w:rPr>
        <w:t>PLANNING CONTEXT</w:t>
      </w:r>
    </w:p>
    <w:p w14:paraId="0B36D508" w14:textId="77777777" w:rsidR="00992C5E" w:rsidRDefault="00992C5E" w:rsidP="00E641D8">
      <w:pPr>
        <w:rPr>
          <w:rFonts w:ascii="Arial" w:hAnsi="Arial" w:cs="Arial"/>
          <w:sz w:val="20"/>
          <w:szCs w:val="20"/>
        </w:rPr>
      </w:pPr>
    </w:p>
    <w:p w14:paraId="51973B78" w14:textId="3AA40078" w:rsidR="00992C5E" w:rsidRPr="00A250F9" w:rsidRDefault="00992C5E" w:rsidP="00B66A4A">
      <w:pPr>
        <w:pStyle w:val="ListParagraph"/>
        <w:numPr>
          <w:ilvl w:val="0"/>
          <w:numId w:val="23"/>
        </w:numPr>
        <w:tabs>
          <w:tab w:val="left" w:pos="709"/>
        </w:tabs>
        <w:ind w:left="0" w:firstLine="0"/>
        <w:jc w:val="both"/>
        <w:rPr>
          <w:rFonts w:ascii="Arial" w:hAnsi="Arial" w:cs="Arial"/>
          <w:sz w:val="20"/>
          <w:szCs w:val="20"/>
        </w:rPr>
      </w:pPr>
      <w:r w:rsidRPr="00A250F9">
        <w:rPr>
          <w:rFonts w:ascii="Arial" w:hAnsi="Arial" w:cs="Arial"/>
          <w:sz w:val="20"/>
          <w:szCs w:val="20"/>
        </w:rPr>
        <w:t xml:space="preserve">In order to achieve its substantive goals, WIPO must have an efficient Secretariat with a well-managed and appropriately-skilled workforce coupled with clear policies, efficient procedures and modern systems.  Many of the challenges faced by the Organization in this context have been addressed through the implementation of the Human Resources Strategy. Some challenges however still remain to be addressed, in particular, </w:t>
      </w:r>
      <w:r w:rsidR="00997275">
        <w:rPr>
          <w:rFonts w:ascii="Arial" w:hAnsi="Arial" w:cs="Arial"/>
          <w:sz w:val="20"/>
          <w:szCs w:val="20"/>
        </w:rPr>
        <w:t xml:space="preserve">ensuring that staff </w:t>
      </w:r>
      <w:r w:rsidRPr="00A250F9">
        <w:rPr>
          <w:rFonts w:ascii="Arial" w:hAnsi="Arial" w:cs="Arial"/>
          <w:sz w:val="20"/>
          <w:szCs w:val="20"/>
        </w:rPr>
        <w:t xml:space="preserve">skills and competencies </w:t>
      </w:r>
      <w:r w:rsidR="00997275">
        <w:rPr>
          <w:rFonts w:ascii="Arial" w:hAnsi="Arial" w:cs="Arial"/>
          <w:sz w:val="20"/>
          <w:szCs w:val="20"/>
        </w:rPr>
        <w:t xml:space="preserve">are adequate </w:t>
      </w:r>
      <w:r w:rsidRPr="00A250F9">
        <w:rPr>
          <w:rFonts w:ascii="Arial" w:hAnsi="Arial" w:cs="Arial"/>
          <w:sz w:val="20"/>
          <w:szCs w:val="20"/>
        </w:rPr>
        <w:t xml:space="preserve">to meet the Organization’s </w:t>
      </w:r>
      <w:r w:rsidR="009B57F9">
        <w:rPr>
          <w:rFonts w:ascii="Arial" w:hAnsi="Arial" w:cs="Arial"/>
          <w:sz w:val="20"/>
          <w:szCs w:val="20"/>
        </w:rPr>
        <w:t>evolving</w:t>
      </w:r>
      <w:r w:rsidR="009B57F9" w:rsidRPr="00A250F9">
        <w:rPr>
          <w:rFonts w:ascii="Arial" w:hAnsi="Arial" w:cs="Arial"/>
          <w:sz w:val="20"/>
          <w:szCs w:val="20"/>
        </w:rPr>
        <w:t xml:space="preserve"> </w:t>
      </w:r>
      <w:r w:rsidRPr="00A250F9">
        <w:rPr>
          <w:rFonts w:ascii="Arial" w:hAnsi="Arial" w:cs="Arial"/>
          <w:sz w:val="20"/>
          <w:szCs w:val="20"/>
        </w:rPr>
        <w:t xml:space="preserve">needs, as well as </w:t>
      </w:r>
      <w:r w:rsidR="00BC57C8">
        <w:rPr>
          <w:rFonts w:ascii="Arial" w:hAnsi="Arial" w:cs="Arial"/>
          <w:sz w:val="20"/>
          <w:szCs w:val="20"/>
        </w:rPr>
        <w:t>enhancing</w:t>
      </w:r>
      <w:r w:rsidR="00997275">
        <w:rPr>
          <w:rFonts w:ascii="Arial" w:hAnsi="Arial" w:cs="Arial"/>
          <w:sz w:val="20"/>
          <w:szCs w:val="20"/>
        </w:rPr>
        <w:t xml:space="preserve"> </w:t>
      </w:r>
      <w:r w:rsidRPr="00A250F9">
        <w:rPr>
          <w:rFonts w:ascii="Arial" w:hAnsi="Arial" w:cs="Arial"/>
          <w:sz w:val="20"/>
          <w:szCs w:val="20"/>
        </w:rPr>
        <w:t xml:space="preserve">gender balance and geographical diversity. </w:t>
      </w:r>
    </w:p>
    <w:p w14:paraId="31D140D6" w14:textId="77777777" w:rsidR="00992C5E" w:rsidRPr="00A250F9" w:rsidRDefault="00992C5E" w:rsidP="00E641D8">
      <w:pPr>
        <w:pStyle w:val="ListParagraph"/>
        <w:ind w:left="0"/>
        <w:jc w:val="both"/>
        <w:rPr>
          <w:rFonts w:ascii="Arial" w:hAnsi="Arial" w:cs="Arial"/>
          <w:sz w:val="20"/>
          <w:szCs w:val="20"/>
        </w:rPr>
      </w:pPr>
    </w:p>
    <w:p w14:paraId="43B12E34" w14:textId="40B2D519"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 xml:space="preserve">The implementation of the ERP in this biennium will permit further integration of human resources processes and systems within HRMD and also with the rest of the Organization.  </w:t>
      </w:r>
    </w:p>
    <w:p w14:paraId="7F466045" w14:textId="77777777" w:rsidR="00992C5E" w:rsidRDefault="00992C5E" w:rsidP="00E641D8">
      <w:pPr>
        <w:rPr>
          <w:rFonts w:ascii="Arial" w:hAnsi="Arial" w:cs="Arial"/>
          <w:sz w:val="20"/>
          <w:szCs w:val="20"/>
        </w:rPr>
      </w:pPr>
    </w:p>
    <w:p w14:paraId="49E84009" w14:textId="77777777" w:rsidR="00992C5E" w:rsidRPr="00A250F9" w:rsidRDefault="00992C5E" w:rsidP="00E641D8">
      <w:pPr>
        <w:rPr>
          <w:rFonts w:ascii="Arial" w:hAnsi="Arial" w:cs="Arial"/>
          <w:sz w:val="20"/>
          <w:szCs w:val="20"/>
        </w:rPr>
      </w:pPr>
    </w:p>
    <w:p w14:paraId="6DED749B" w14:textId="77777777" w:rsidR="00992C5E" w:rsidRPr="00E55523" w:rsidRDefault="00992C5E" w:rsidP="00E641D8">
      <w:pPr>
        <w:rPr>
          <w:rFonts w:ascii="Arial" w:hAnsi="Arial" w:cs="Arial"/>
          <w:szCs w:val="20"/>
        </w:rPr>
      </w:pPr>
      <w:r w:rsidRPr="00E55523">
        <w:rPr>
          <w:rFonts w:ascii="Arial" w:hAnsi="Arial" w:cs="Arial"/>
          <w:szCs w:val="20"/>
        </w:rPr>
        <w:t>IMPLEMENTATION STRATEGIES</w:t>
      </w:r>
    </w:p>
    <w:p w14:paraId="499F4842" w14:textId="77777777" w:rsidR="00992C5E" w:rsidRPr="00A250F9" w:rsidRDefault="00992C5E" w:rsidP="00E641D8">
      <w:pPr>
        <w:rPr>
          <w:rFonts w:ascii="Arial" w:hAnsi="Arial" w:cs="Arial"/>
          <w:sz w:val="20"/>
          <w:szCs w:val="20"/>
        </w:rPr>
      </w:pPr>
    </w:p>
    <w:p w14:paraId="7EA3DFAB"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 xml:space="preserve">Gender balance and geographical diversity will receive particular attention in the biennium.  Further efforts will be made to develop managerial and leadership skills of women in the Organization, with a view to enabling them to take up positions at higher levels, while continuing the outreach to potential women candidates.  In line with the Policy on Gender Equality, WIPO will build staff capacities, especially that of Gender Focal Points and managers, and engage with Member States with a view to mainstreaming gender in the Programs of the Organization.  </w:t>
      </w:r>
    </w:p>
    <w:p w14:paraId="6FC89F33" w14:textId="77777777" w:rsidR="00992C5E" w:rsidRPr="00A250F9" w:rsidRDefault="00992C5E" w:rsidP="00E641D8">
      <w:pPr>
        <w:pStyle w:val="ListParagraph"/>
        <w:ind w:left="0"/>
        <w:jc w:val="both"/>
        <w:rPr>
          <w:rFonts w:ascii="Arial" w:hAnsi="Arial" w:cs="Arial"/>
          <w:sz w:val="20"/>
          <w:szCs w:val="20"/>
        </w:rPr>
      </w:pPr>
    </w:p>
    <w:p w14:paraId="7E905FEF"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As regards geographical diversity, proactive and increased efforts will be made, with support from Member States, to reach out to potential candidates from countries that are not well represented among staff in the professional and higher categories. These efforts will be underpinned by lessons learned from outreach initiatives piloted with selected Member States in 2015.  New functionalities provided by the recruitment tool TALEO will also be used to further develop WIPO’s capacity for targeted recruitment, including proactive outreach and direct sourcing through focal points at the national level.</w:t>
      </w:r>
    </w:p>
    <w:p w14:paraId="03BD5022" w14:textId="77777777" w:rsidR="00992C5E" w:rsidRPr="00A250F9" w:rsidRDefault="00992C5E" w:rsidP="00E641D8">
      <w:pPr>
        <w:pStyle w:val="ListParagraph"/>
        <w:ind w:left="0"/>
        <w:jc w:val="both"/>
        <w:rPr>
          <w:rFonts w:ascii="Arial" w:hAnsi="Arial" w:cs="Arial"/>
          <w:sz w:val="20"/>
          <w:szCs w:val="20"/>
        </w:rPr>
      </w:pPr>
    </w:p>
    <w:p w14:paraId="10B7E905"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The mainstreaming of workforce planning, fully integrated with biennial and annual work planning,</w:t>
      </w:r>
      <w:r w:rsidRPr="00A250F9" w:rsidDel="005375D8">
        <w:rPr>
          <w:rFonts w:ascii="Arial" w:hAnsi="Arial" w:cs="Arial"/>
          <w:sz w:val="20"/>
          <w:szCs w:val="20"/>
        </w:rPr>
        <w:t xml:space="preserve"> </w:t>
      </w:r>
      <w:r w:rsidRPr="00A250F9">
        <w:rPr>
          <w:rFonts w:ascii="Arial" w:hAnsi="Arial" w:cs="Arial"/>
          <w:sz w:val="20"/>
          <w:szCs w:val="20"/>
        </w:rPr>
        <w:t xml:space="preserve">will gradually allow the Organization to close the gap between present and future workforce needs, by systematically reviewing workforce issues and facilitating medium and long-term decision-making. </w:t>
      </w:r>
      <w:r>
        <w:rPr>
          <w:rFonts w:ascii="Arial" w:hAnsi="Arial" w:cs="Arial"/>
          <w:sz w:val="20"/>
          <w:szCs w:val="20"/>
        </w:rPr>
        <w:t xml:space="preserve"> </w:t>
      </w:r>
      <w:r w:rsidRPr="00A250F9">
        <w:rPr>
          <w:rFonts w:ascii="Arial" w:hAnsi="Arial" w:cs="Arial"/>
          <w:sz w:val="20"/>
          <w:szCs w:val="20"/>
        </w:rPr>
        <w:t xml:space="preserve">This will include further imbedding workforce planning concepts and best practice facilitated through system enhancements. </w:t>
      </w:r>
      <w:r>
        <w:rPr>
          <w:rFonts w:ascii="Arial" w:hAnsi="Arial" w:cs="Arial"/>
          <w:sz w:val="20"/>
          <w:szCs w:val="20"/>
        </w:rPr>
        <w:t xml:space="preserve"> </w:t>
      </w:r>
      <w:r w:rsidRPr="00A250F9">
        <w:rPr>
          <w:rFonts w:ascii="Arial" w:hAnsi="Arial" w:cs="Arial"/>
          <w:sz w:val="20"/>
          <w:szCs w:val="20"/>
        </w:rPr>
        <w:t>In addition, WIPO managers will be in a better position to forecast and manage their workforce through improved management reporting tools (Business Intelligence).</w:t>
      </w:r>
    </w:p>
    <w:p w14:paraId="7A730EEC" w14:textId="77777777" w:rsidR="00992C5E" w:rsidRPr="00A250F9" w:rsidRDefault="00992C5E" w:rsidP="00E641D8">
      <w:pPr>
        <w:pStyle w:val="ListParagraph"/>
        <w:ind w:left="0"/>
        <w:rPr>
          <w:rFonts w:ascii="Arial" w:hAnsi="Arial" w:cs="Arial"/>
          <w:sz w:val="20"/>
          <w:szCs w:val="20"/>
        </w:rPr>
      </w:pPr>
    </w:p>
    <w:p w14:paraId="2B107716" w14:textId="314D635A" w:rsidR="00992C5E" w:rsidRPr="00A250F9" w:rsidRDefault="00992C5E" w:rsidP="00B66A4A">
      <w:pPr>
        <w:pStyle w:val="ListParagraph"/>
        <w:numPr>
          <w:ilvl w:val="0"/>
          <w:numId w:val="23"/>
        </w:numPr>
        <w:ind w:left="0" w:firstLine="0"/>
        <w:jc w:val="both"/>
        <w:rPr>
          <w:rFonts w:ascii="Arial" w:hAnsi="Arial" w:cs="Arial"/>
          <w:color w:val="000000"/>
          <w:sz w:val="20"/>
          <w:szCs w:val="20"/>
        </w:rPr>
      </w:pPr>
      <w:r w:rsidRPr="00A250F9">
        <w:rPr>
          <w:rFonts w:ascii="Arial" w:hAnsi="Arial" w:cs="Arial"/>
          <w:color w:val="000000"/>
          <w:sz w:val="20"/>
          <w:szCs w:val="20"/>
          <w:lang w:val="en-GB"/>
        </w:rPr>
        <w:t xml:space="preserve">Following the implementation of the revised Staff Regulations and Rules (SRR), approved by the Coordination Committee in 2012 and 2013, including the strengthening of the internal justice system, the next biennium will see further adjustments and enhancements to the SRR and related human resources policies to ensure a clear, modern and up-to-date staff regulatory framework that meets the evolving needs of the Organization and is in line with best practices in the United Nations system.  An important focus area will be conflict prevention and mitigation and the effective management of cases through the internal justice system.  The Organization will also continue to engage with the </w:t>
      </w:r>
      <w:r w:rsidR="009B57F9">
        <w:rPr>
          <w:rFonts w:ascii="Arial" w:hAnsi="Arial" w:cs="Arial"/>
          <w:color w:val="000000"/>
          <w:sz w:val="20"/>
          <w:szCs w:val="20"/>
          <w:lang w:val="en-GB"/>
        </w:rPr>
        <w:t>I</w:t>
      </w:r>
      <w:r w:rsidR="008F082B">
        <w:rPr>
          <w:rFonts w:ascii="Arial" w:hAnsi="Arial" w:cs="Arial"/>
          <w:color w:val="000000"/>
          <w:sz w:val="20"/>
          <w:szCs w:val="20"/>
          <w:lang w:val="en-GB"/>
        </w:rPr>
        <w:t xml:space="preserve">nternational </w:t>
      </w:r>
      <w:r w:rsidR="009B57F9">
        <w:rPr>
          <w:rFonts w:ascii="Arial" w:hAnsi="Arial" w:cs="Arial"/>
          <w:color w:val="000000"/>
          <w:sz w:val="20"/>
          <w:szCs w:val="20"/>
          <w:lang w:val="en-GB"/>
        </w:rPr>
        <w:t>C</w:t>
      </w:r>
      <w:r w:rsidR="008F082B">
        <w:rPr>
          <w:rFonts w:ascii="Arial" w:hAnsi="Arial" w:cs="Arial"/>
          <w:color w:val="000000"/>
          <w:sz w:val="20"/>
          <w:szCs w:val="20"/>
          <w:lang w:val="en-GB"/>
        </w:rPr>
        <w:t xml:space="preserve">ivil </w:t>
      </w:r>
      <w:r w:rsidR="009B57F9">
        <w:rPr>
          <w:rFonts w:ascii="Arial" w:hAnsi="Arial" w:cs="Arial"/>
          <w:color w:val="000000"/>
          <w:sz w:val="20"/>
          <w:szCs w:val="20"/>
          <w:lang w:val="en-GB"/>
        </w:rPr>
        <w:t>S</w:t>
      </w:r>
      <w:r w:rsidR="008F082B">
        <w:rPr>
          <w:rFonts w:ascii="Arial" w:hAnsi="Arial" w:cs="Arial"/>
          <w:color w:val="000000"/>
          <w:sz w:val="20"/>
          <w:szCs w:val="20"/>
          <w:lang w:val="en-GB"/>
        </w:rPr>
        <w:t xml:space="preserve">ervice </w:t>
      </w:r>
      <w:r w:rsidR="009B57F9">
        <w:rPr>
          <w:rFonts w:ascii="Arial" w:hAnsi="Arial" w:cs="Arial"/>
          <w:color w:val="000000"/>
          <w:sz w:val="20"/>
          <w:szCs w:val="20"/>
          <w:lang w:val="en-GB"/>
        </w:rPr>
        <w:t>C</w:t>
      </w:r>
      <w:r w:rsidR="008F082B">
        <w:rPr>
          <w:rFonts w:ascii="Arial" w:hAnsi="Arial" w:cs="Arial"/>
          <w:color w:val="000000"/>
          <w:sz w:val="20"/>
          <w:szCs w:val="20"/>
          <w:lang w:val="en-GB"/>
        </w:rPr>
        <w:t>ommission (ICSC)</w:t>
      </w:r>
      <w:r w:rsidR="009B57F9">
        <w:rPr>
          <w:rFonts w:ascii="Arial" w:hAnsi="Arial" w:cs="Arial"/>
          <w:color w:val="000000"/>
          <w:sz w:val="20"/>
          <w:szCs w:val="20"/>
          <w:lang w:val="en-GB"/>
        </w:rPr>
        <w:t xml:space="preserve"> and other UN agencies on the </w:t>
      </w:r>
      <w:r w:rsidRPr="00A250F9">
        <w:rPr>
          <w:rFonts w:ascii="Arial" w:hAnsi="Arial" w:cs="Arial"/>
          <w:color w:val="000000"/>
          <w:sz w:val="20"/>
          <w:szCs w:val="20"/>
        </w:rPr>
        <w:t>Review of the UN common system compensation package</w:t>
      </w:r>
      <w:r w:rsidRPr="00A250F9">
        <w:rPr>
          <w:rFonts w:ascii="Arial" w:hAnsi="Arial" w:cs="Arial"/>
          <w:color w:val="000000"/>
          <w:sz w:val="20"/>
          <w:szCs w:val="20"/>
          <w:lang w:val="en-GB"/>
        </w:rPr>
        <w:t xml:space="preserve">.  </w:t>
      </w:r>
    </w:p>
    <w:p w14:paraId="31B54A81" w14:textId="77777777" w:rsidR="00992C5E" w:rsidRPr="00A250F9" w:rsidRDefault="00992C5E" w:rsidP="00E641D8">
      <w:pPr>
        <w:pStyle w:val="ListParagraph"/>
        <w:ind w:left="0"/>
        <w:jc w:val="both"/>
        <w:rPr>
          <w:rFonts w:ascii="Arial" w:hAnsi="Arial" w:cs="Arial"/>
          <w:color w:val="000000"/>
          <w:sz w:val="20"/>
          <w:szCs w:val="20"/>
        </w:rPr>
      </w:pPr>
    </w:p>
    <w:p w14:paraId="12F80398"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The integration of the Performance Management and Staff Development System (PMSDS) and Training database will be complemented by new ERP functionalities, such as inventory of skills and better tracking of training data, to improve the user-friendliness of the system and facilitate access and exchange of data between different areas of the Organization.</w:t>
      </w:r>
    </w:p>
    <w:p w14:paraId="4FAE91B2" w14:textId="77777777" w:rsidR="00992C5E" w:rsidRPr="00A250F9" w:rsidRDefault="00992C5E" w:rsidP="00E641D8">
      <w:pPr>
        <w:pStyle w:val="ListParagraph"/>
        <w:ind w:left="0"/>
        <w:jc w:val="both"/>
        <w:rPr>
          <w:rFonts w:ascii="Arial" w:hAnsi="Arial" w:cs="Arial"/>
          <w:sz w:val="20"/>
          <w:szCs w:val="20"/>
        </w:rPr>
      </w:pPr>
    </w:p>
    <w:p w14:paraId="77182B55" w14:textId="1BB4D0D9" w:rsidR="00992C5E" w:rsidRPr="00A250F9" w:rsidRDefault="00992C5E" w:rsidP="00B66A4A">
      <w:pPr>
        <w:pStyle w:val="ListParagraph"/>
        <w:keepNext/>
        <w:keepLines/>
        <w:numPr>
          <w:ilvl w:val="0"/>
          <w:numId w:val="23"/>
        </w:numPr>
        <w:ind w:left="0" w:firstLine="0"/>
        <w:jc w:val="both"/>
        <w:rPr>
          <w:rFonts w:ascii="Arial" w:hAnsi="Arial" w:cs="Arial"/>
          <w:sz w:val="20"/>
          <w:szCs w:val="20"/>
        </w:rPr>
      </w:pPr>
      <w:r w:rsidRPr="00A250F9">
        <w:rPr>
          <w:rFonts w:ascii="Arial" w:hAnsi="Arial" w:cs="Arial"/>
          <w:sz w:val="20"/>
          <w:szCs w:val="20"/>
        </w:rPr>
        <w:t xml:space="preserve">With a view to </w:t>
      </w:r>
      <w:r w:rsidR="008B075D" w:rsidRPr="00A250F9">
        <w:rPr>
          <w:rFonts w:ascii="Arial" w:hAnsi="Arial" w:cs="Arial"/>
          <w:sz w:val="20"/>
          <w:szCs w:val="20"/>
        </w:rPr>
        <w:t>enhanc</w:t>
      </w:r>
      <w:r w:rsidR="008B075D">
        <w:rPr>
          <w:rFonts w:ascii="Arial" w:hAnsi="Arial" w:cs="Arial"/>
          <w:sz w:val="20"/>
          <w:szCs w:val="20"/>
        </w:rPr>
        <w:t>ing</w:t>
      </w:r>
      <w:r w:rsidR="008B075D" w:rsidRPr="00A250F9">
        <w:rPr>
          <w:rFonts w:ascii="Arial" w:hAnsi="Arial" w:cs="Arial"/>
          <w:sz w:val="20"/>
          <w:szCs w:val="20"/>
        </w:rPr>
        <w:t xml:space="preserve"> </w:t>
      </w:r>
      <w:r w:rsidRPr="00A250F9">
        <w:rPr>
          <w:rFonts w:ascii="Arial" w:hAnsi="Arial" w:cs="Arial"/>
          <w:sz w:val="20"/>
          <w:szCs w:val="20"/>
        </w:rPr>
        <w:t xml:space="preserve">the managerial capacity in the Organization, managers will be provided with </w:t>
      </w:r>
      <w:r w:rsidR="008B075D">
        <w:rPr>
          <w:rFonts w:ascii="Arial" w:hAnsi="Arial" w:cs="Arial"/>
          <w:sz w:val="20"/>
          <w:szCs w:val="20"/>
        </w:rPr>
        <w:t>m</w:t>
      </w:r>
      <w:r w:rsidRPr="00A250F9">
        <w:rPr>
          <w:rFonts w:ascii="Arial" w:hAnsi="Arial" w:cs="Arial"/>
          <w:sz w:val="20"/>
          <w:szCs w:val="20"/>
        </w:rPr>
        <w:t xml:space="preserve">andatory training </w:t>
      </w:r>
      <w:r w:rsidR="005D613B">
        <w:rPr>
          <w:rFonts w:ascii="Arial" w:hAnsi="Arial" w:cs="Arial"/>
          <w:sz w:val="20"/>
          <w:szCs w:val="20"/>
        </w:rPr>
        <w:t>i</w:t>
      </w:r>
      <w:r w:rsidR="008B075D">
        <w:rPr>
          <w:rFonts w:ascii="Arial" w:hAnsi="Arial" w:cs="Arial"/>
          <w:sz w:val="20"/>
          <w:szCs w:val="20"/>
        </w:rPr>
        <w:t>n particular on</w:t>
      </w:r>
      <w:r w:rsidR="005D613B">
        <w:rPr>
          <w:rFonts w:ascii="Arial" w:hAnsi="Arial" w:cs="Arial"/>
          <w:sz w:val="20"/>
          <w:szCs w:val="20"/>
        </w:rPr>
        <w:t xml:space="preserve"> program, people and time management</w:t>
      </w:r>
      <w:r w:rsidR="008B075D">
        <w:rPr>
          <w:rFonts w:ascii="Arial" w:hAnsi="Arial" w:cs="Arial"/>
          <w:sz w:val="20"/>
          <w:szCs w:val="20"/>
        </w:rPr>
        <w:t>.</w:t>
      </w:r>
    </w:p>
    <w:p w14:paraId="75435BA1" w14:textId="77777777" w:rsidR="00992C5E" w:rsidRPr="00A250F9" w:rsidRDefault="00992C5E" w:rsidP="00E641D8">
      <w:pPr>
        <w:pStyle w:val="ListParagraph"/>
        <w:ind w:left="0"/>
        <w:jc w:val="both"/>
        <w:rPr>
          <w:rFonts w:ascii="Arial" w:hAnsi="Arial" w:cs="Arial"/>
          <w:sz w:val="20"/>
          <w:szCs w:val="20"/>
        </w:rPr>
      </w:pPr>
    </w:p>
    <w:p w14:paraId="341F2427" w14:textId="1F15739B"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Work processes and practices</w:t>
      </w:r>
      <w:r w:rsidRPr="00A250F9" w:rsidDel="008804BC">
        <w:rPr>
          <w:rFonts w:ascii="Arial" w:hAnsi="Arial" w:cs="Arial"/>
          <w:sz w:val="20"/>
          <w:szCs w:val="20"/>
        </w:rPr>
        <w:t xml:space="preserve"> </w:t>
      </w:r>
      <w:r w:rsidRPr="00A250F9">
        <w:rPr>
          <w:rFonts w:ascii="Arial" w:hAnsi="Arial" w:cs="Arial"/>
          <w:sz w:val="20"/>
          <w:szCs w:val="20"/>
        </w:rPr>
        <w:t xml:space="preserve">related to the processing of benefits and entitlements will be reviewed and updated and, where feasible, aligned with more automated solutions.  Also, systems </w:t>
      </w:r>
      <w:r w:rsidRPr="00A250F9">
        <w:rPr>
          <w:rFonts w:ascii="Arial" w:hAnsi="Arial" w:cs="Arial"/>
          <w:sz w:val="20"/>
          <w:szCs w:val="20"/>
        </w:rPr>
        <w:lastRenderedPageBreak/>
        <w:t xml:space="preserve">and procedures related to time management will be adjusted following recommendations of the time management work </w:t>
      </w:r>
      <w:r w:rsidR="009B57F9">
        <w:rPr>
          <w:rFonts w:ascii="Arial" w:hAnsi="Arial" w:cs="Arial"/>
          <w:sz w:val="20"/>
          <w:szCs w:val="20"/>
        </w:rPr>
        <w:t>group</w:t>
      </w:r>
      <w:r w:rsidRPr="00A250F9">
        <w:rPr>
          <w:rFonts w:ascii="Arial" w:hAnsi="Arial" w:cs="Arial"/>
          <w:sz w:val="20"/>
          <w:szCs w:val="20"/>
        </w:rPr>
        <w:t xml:space="preserve">. Through the ERP phase II, HR self-service Intranet tools will be made available to staff at large </w:t>
      </w:r>
      <w:r w:rsidR="009B57F9">
        <w:rPr>
          <w:rFonts w:ascii="Arial" w:hAnsi="Arial" w:cs="Arial"/>
          <w:sz w:val="20"/>
          <w:szCs w:val="20"/>
        </w:rPr>
        <w:t xml:space="preserve">to deal with routine requests in an automated manner, </w:t>
      </w:r>
      <w:r w:rsidRPr="00A250F9">
        <w:rPr>
          <w:rFonts w:ascii="Arial" w:hAnsi="Arial" w:cs="Arial"/>
          <w:sz w:val="20"/>
          <w:szCs w:val="20"/>
        </w:rPr>
        <w:t xml:space="preserve">enabling the HR Department </w:t>
      </w:r>
      <w:r w:rsidR="009B57F9">
        <w:rPr>
          <w:rFonts w:ascii="Arial" w:hAnsi="Arial" w:cs="Arial"/>
          <w:sz w:val="20"/>
          <w:szCs w:val="20"/>
        </w:rPr>
        <w:t xml:space="preserve">staff </w:t>
      </w:r>
      <w:r w:rsidRPr="00A250F9">
        <w:rPr>
          <w:rFonts w:ascii="Arial" w:hAnsi="Arial" w:cs="Arial"/>
          <w:sz w:val="20"/>
          <w:szCs w:val="20"/>
        </w:rPr>
        <w:t xml:space="preserve">to concentrate on more </w:t>
      </w:r>
      <w:r w:rsidR="009B57F9">
        <w:rPr>
          <w:rFonts w:ascii="Arial" w:hAnsi="Arial" w:cs="Arial"/>
          <w:sz w:val="20"/>
          <w:szCs w:val="20"/>
        </w:rPr>
        <w:t>complex</w:t>
      </w:r>
      <w:r w:rsidR="009B57F9" w:rsidRPr="00A250F9">
        <w:rPr>
          <w:rFonts w:ascii="Arial" w:hAnsi="Arial" w:cs="Arial"/>
          <w:sz w:val="20"/>
          <w:szCs w:val="20"/>
        </w:rPr>
        <w:t xml:space="preserve"> </w:t>
      </w:r>
      <w:r w:rsidRPr="00A250F9">
        <w:rPr>
          <w:rFonts w:ascii="Arial" w:hAnsi="Arial" w:cs="Arial"/>
          <w:sz w:val="20"/>
          <w:szCs w:val="20"/>
        </w:rPr>
        <w:t>requests thus offering a full range of quality customer-oriented service.  Related work is also planned to update services and information made available to staff on the intranet.</w:t>
      </w:r>
    </w:p>
    <w:p w14:paraId="29BABEF7" w14:textId="77777777" w:rsidR="00992C5E" w:rsidRPr="00A250F9" w:rsidRDefault="00992C5E" w:rsidP="00E641D8">
      <w:pPr>
        <w:pStyle w:val="ListParagraph"/>
        <w:ind w:left="0"/>
        <w:rPr>
          <w:rFonts w:ascii="Arial" w:hAnsi="Arial" w:cs="Arial"/>
          <w:sz w:val="20"/>
          <w:szCs w:val="20"/>
        </w:rPr>
      </w:pPr>
    </w:p>
    <w:p w14:paraId="7C3CD88D"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Improvement of the medical services at WIPO will also continue with a focus on occupational health and enhanced follow up on long term absences.</w:t>
      </w:r>
    </w:p>
    <w:p w14:paraId="454C9CB9" w14:textId="77777777" w:rsidR="00992C5E" w:rsidRDefault="00992C5E" w:rsidP="00E641D8">
      <w:pPr>
        <w:pStyle w:val="ListParagraph"/>
        <w:ind w:left="0"/>
        <w:jc w:val="both"/>
        <w:rPr>
          <w:rFonts w:ascii="Arial" w:hAnsi="Arial" w:cs="Arial"/>
          <w:sz w:val="20"/>
          <w:szCs w:val="20"/>
        </w:rPr>
      </w:pPr>
    </w:p>
    <w:p w14:paraId="272536A8" w14:textId="77777777" w:rsidR="00992C5E" w:rsidRPr="00A250F9" w:rsidRDefault="00992C5E" w:rsidP="00E641D8">
      <w:pPr>
        <w:pStyle w:val="ListParagraph"/>
        <w:ind w:left="0"/>
        <w:jc w:val="both"/>
        <w:rPr>
          <w:rFonts w:ascii="Arial" w:hAnsi="Arial" w:cs="Arial"/>
          <w:sz w:val="20"/>
          <w:szCs w:val="20"/>
        </w:rPr>
      </w:pPr>
    </w:p>
    <w:p w14:paraId="59AE8F84" w14:textId="77777777" w:rsidR="00992C5E" w:rsidRPr="00E55523" w:rsidRDefault="00992C5E" w:rsidP="00E641D8">
      <w:pPr>
        <w:rPr>
          <w:rFonts w:ascii="Arial" w:hAnsi="Arial" w:cs="Arial"/>
        </w:rPr>
      </w:pPr>
      <w:r w:rsidRPr="00E55523">
        <w:rPr>
          <w:rFonts w:ascii="Arial" w:hAnsi="Arial" w:cs="Arial"/>
        </w:rPr>
        <w:t>MAJOR RISKS AND MITIGATION STRATEGIES</w:t>
      </w:r>
    </w:p>
    <w:p w14:paraId="18C4958B" w14:textId="77777777" w:rsidR="00992C5E" w:rsidRPr="00A250F9" w:rsidRDefault="00992C5E" w:rsidP="00E641D8">
      <w:pPr>
        <w:rPr>
          <w:rFonts w:ascii="Arial" w:eastAsia="Times New Roman" w:hAnsi="Arial" w:cs="Arial"/>
          <w:sz w:val="20"/>
          <w:szCs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992C5E" w:rsidRPr="00A250F9" w14:paraId="2E8EDD98" w14:textId="77777777" w:rsidTr="00FB68E0">
        <w:trPr>
          <w:trHeight w:val="577"/>
        </w:trPr>
        <w:tc>
          <w:tcPr>
            <w:tcW w:w="4253" w:type="dxa"/>
            <w:tcBorders>
              <w:top w:val="single" w:sz="4" w:space="0" w:color="auto"/>
              <w:bottom w:val="single" w:sz="4" w:space="0" w:color="auto"/>
            </w:tcBorders>
            <w:shd w:val="clear" w:color="auto" w:fill="C6D9F1" w:themeFill="text2" w:themeFillTint="33"/>
            <w:vAlign w:val="center"/>
          </w:tcPr>
          <w:p w14:paraId="48A9C020" w14:textId="77777777" w:rsidR="00992C5E" w:rsidRPr="00A250F9" w:rsidRDefault="00992C5E" w:rsidP="00E641D8">
            <w:pPr>
              <w:jc w:val="center"/>
              <w:rPr>
                <w:rFonts w:ascii="Arial" w:eastAsia="Times New Roman" w:hAnsi="Arial" w:cs="Arial"/>
                <w:b/>
                <w:bCs/>
                <w:sz w:val="18"/>
                <w:szCs w:val="20"/>
              </w:rPr>
            </w:pPr>
            <w:r w:rsidRPr="00A250F9">
              <w:rPr>
                <w:rFonts w:ascii="Arial" w:eastAsia="Times New Roman" w:hAnsi="Arial" w:cs="Arial"/>
                <w:b/>
                <w:bCs/>
                <w:sz w:val="18"/>
                <w:szCs w:val="20"/>
              </w:rPr>
              <w:t>Risk</w:t>
            </w:r>
          </w:p>
        </w:tc>
        <w:tc>
          <w:tcPr>
            <w:tcW w:w="4961" w:type="dxa"/>
            <w:tcBorders>
              <w:top w:val="single" w:sz="4" w:space="0" w:color="auto"/>
              <w:bottom w:val="single" w:sz="4" w:space="0" w:color="auto"/>
            </w:tcBorders>
            <w:shd w:val="clear" w:color="auto" w:fill="C6D9F1" w:themeFill="text2" w:themeFillTint="33"/>
            <w:vAlign w:val="center"/>
          </w:tcPr>
          <w:p w14:paraId="333C622B" w14:textId="77777777" w:rsidR="00992C5E" w:rsidRPr="00A250F9" w:rsidRDefault="00992C5E" w:rsidP="00E641D8">
            <w:pPr>
              <w:jc w:val="center"/>
              <w:rPr>
                <w:rFonts w:ascii="Arial" w:eastAsia="Times New Roman" w:hAnsi="Arial" w:cs="Arial"/>
                <w:b/>
                <w:bCs/>
                <w:sz w:val="18"/>
                <w:szCs w:val="20"/>
              </w:rPr>
            </w:pPr>
            <w:r w:rsidRPr="00A250F9">
              <w:rPr>
                <w:rFonts w:ascii="Arial" w:eastAsia="Times New Roman" w:hAnsi="Arial" w:cs="Arial"/>
                <w:b/>
                <w:bCs/>
                <w:sz w:val="18"/>
                <w:szCs w:val="20"/>
              </w:rPr>
              <w:t>Mitigation</w:t>
            </w:r>
          </w:p>
        </w:tc>
      </w:tr>
      <w:tr w:rsidR="00992C5E" w:rsidRPr="00A250F9" w14:paraId="3031019E" w14:textId="77777777" w:rsidTr="00FB68E0">
        <w:trPr>
          <w:trHeight w:val="1188"/>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14:paraId="39D7DF1E" w14:textId="77777777" w:rsidR="00992C5E" w:rsidRPr="00A250F9" w:rsidRDefault="00992C5E" w:rsidP="00E641D8">
            <w:pPr>
              <w:rPr>
                <w:rFonts w:ascii="Arial" w:eastAsia="Times New Roman" w:hAnsi="Arial" w:cs="Arial"/>
                <w:sz w:val="16"/>
                <w:szCs w:val="20"/>
              </w:rPr>
            </w:pPr>
            <w:r w:rsidRPr="00A250F9">
              <w:rPr>
                <w:rFonts w:ascii="Arial" w:eastAsia="Times New Roman" w:hAnsi="Arial" w:cs="Arial"/>
                <w:sz w:val="16"/>
                <w:szCs w:val="20"/>
              </w:rPr>
              <w:t>Rapidly evolving external business environment requiring new processes, skills and IT solutions, may lead to misalignment of workforce in critical WIPO business areas.  This could lead to high costs for additional short term staff, process inefficiencies, backlogs in critical business areas, and a diminished WIPO reputation.</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14:paraId="29976601" w14:textId="77777777" w:rsidR="00992C5E" w:rsidRPr="00A250F9" w:rsidRDefault="00992C5E" w:rsidP="00E641D8">
            <w:pPr>
              <w:rPr>
                <w:rFonts w:ascii="Arial" w:eastAsia="Times New Roman" w:hAnsi="Arial" w:cs="Arial"/>
                <w:sz w:val="16"/>
                <w:szCs w:val="20"/>
              </w:rPr>
            </w:pPr>
            <w:r w:rsidRPr="00A250F9">
              <w:rPr>
                <w:rFonts w:ascii="Arial" w:eastAsia="Times New Roman" w:hAnsi="Arial" w:cs="Arial"/>
                <w:color w:val="000000"/>
                <w:sz w:val="16"/>
                <w:szCs w:val="20"/>
              </w:rPr>
              <w:t>Gradual development of a more responsive and flexible workforce with a structure able to respond to fluctuations in demand and new pragmatic objectives; Detailed analysis and needs assessment in terms of skills and workforce strength, followed by implementation plans including reallocation of staff, adequate staff training, recruitment of critical skills and outsourcing and using a broader mix of contractual tools to source talent.</w:t>
            </w:r>
          </w:p>
        </w:tc>
      </w:tr>
    </w:tbl>
    <w:p w14:paraId="6317C84A" w14:textId="77777777" w:rsidR="00992C5E" w:rsidRPr="00A250F9" w:rsidRDefault="00992C5E" w:rsidP="00E641D8">
      <w:pPr>
        <w:rPr>
          <w:rFonts w:ascii="Arial" w:eastAsia="Times New Roman" w:hAnsi="Arial" w:cs="Arial"/>
          <w:sz w:val="20"/>
          <w:szCs w:val="20"/>
        </w:rPr>
      </w:pPr>
    </w:p>
    <w:p w14:paraId="226B9A13" w14:textId="77777777" w:rsidR="00992C5E" w:rsidRPr="00A250F9" w:rsidRDefault="00992C5E" w:rsidP="00E641D8">
      <w:pPr>
        <w:rPr>
          <w:rFonts w:ascii="Arial" w:eastAsia="Times New Roman" w:hAnsi="Arial" w:cs="Arial"/>
          <w:sz w:val="20"/>
          <w:szCs w:val="20"/>
        </w:rPr>
      </w:pPr>
    </w:p>
    <w:p w14:paraId="1502808E" w14:textId="77777777" w:rsidR="00992C5E" w:rsidRPr="00A250F9" w:rsidRDefault="00992C5E" w:rsidP="00E641D8">
      <w:pPr>
        <w:rPr>
          <w:rFonts w:ascii="Arial" w:eastAsia="Times New Roman" w:hAnsi="Arial" w:cs="Arial"/>
          <w:sz w:val="20"/>
          <w:szCs w:val="20"/>
        </w:rPr>
      </w:pPr>
      <w:r w:rsidRPr="00A250F9">
        <w:rPr>
          <w:rFonts w:ascii="Arial" w:eastAsia="Times New Roman" w:hAnsi="Arial" w:cs="Arial"/>
          <w:sz w:val="20"/>
          <w:szCs w:val="20"/>
        </w:rPr>
        <w:t>RESULTS FRAMEWORK</w:t>
      </w:r>
    </w:p>
    <w:p w14:paraId="1C0A7D2A" w14:textId="77777777" w:rsidR="00992C5E" w:rsidRPr="00A250F9" w:rsidRDefault="00992C5E" w:rsidP="00E641D8">
      <w:pPr>
        <w:rPr>
          <w:rFonts w:ascii="Arial" w:eastAsia="Times New Roman" w:hAnsi="Arial" w:cs="Arial"/>
          <w:sz w:val="20"/>
          <w:szCs w:val="20"/>
        </w:rPr>
      </w:pPr>
    </w:p>
    <w:tbl>
      <w:tblPr>
        <w:tblW w:w="9229" w:type="dxa"/>
        <w:tblInd w:w="93" w:type="dxa"/>
        <w:tblLook w:val="04A0" w:firstRow="1" w:lastRow="0" w:firstColumn="1" w:lastColumn="0" w:noHBand="0" w:noVBand="1"/>
      </w:tblPr>
      <w:tblGrid>
        <w:gridCol w:w="2283"/>
        <w:gridCol w:w="2597"/>
        <w:gridCol w:w="2440"/>
        <w:gridCol w:w="1909"/>
      </w:tblGrid>
      <w:tr w:rsidR="00992C5E" w:rsidRPr="00A250F9" w14:paraId="257EF433" w14:textId="77777777" w:rsidTr="00FB68E0">
        <w:trPr>
          <w:trHeight w:val="674"/>
          <w:tblHeader/>
        </w:trPr>
        <w:tc>
          <w:tcPr>
            <w:tcW w:w="2283"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97062DD" w14:textId="77777777" w:rsidR="00992C5E" w:rsidRPr="00A250F9" w:rsidRDefault="00992C5E" w:rsidP="00E641D8">
            <w:pPr>
              <w:jc w:val="center"/>
              <w:rPr>
                <w:rFonts w:ascii="Arial" w:eastAsia="Times New Roman" w:hAnsi="Arial" w:cs="Arial"/>
                <w:b/>
                <w:bCs/>
                <w:color w:val="000000"/>
                <w:sz w:val="18"/>
                <w:szCs w:val="16"/>
              </w:rPr>
            </w:pPr>
            <w:r w:rsidRPr="00A250F9">
              <w:rPr>
                <w:rFonts w:ascii="Arial" w:eastAsia="Times New Roman" w:hAnsi="Arial" w:cs="Arial"/>
                <w:b/>
                <w:bCs/>
                <w:color w:val="000000"/>
                <w:sz w:val="18"/>
                <w:szCs w:val="16"/>
              </w:rPr>
              <w:t xml:space="preserve">Expected Results </w:t>
            </w:r>
          </w:p>
        </w:tc>
        <w:tc>
          <w:tcPr>
            <w:tcW w:w="2597" w:type="dxa"/>
            <w:tcBorders>
              <w:top w:val="single" w:sz="4" w:space="0" w:color="auto"/>
              <w:left w:val="nil"/>
              <w:bottom w:val="single" w:sz="4" w:space="0" w:color="auto"/>
              <w:right w:val="nil"/>
            </w:tcBorders>
            <w:shd w:val="clear" w:color="auto" w:fill="C6D9F1" w:themeFill="text2" w:themeFillTint="33"/>
            <w:vAlign w:val="center"/>
            <w:hideMark/>
          </w:tcPr>
          <w:p w14:paraId="478D9160" w14:textId="77777777" w:rsidR="00992C5E" w:rsidRPr="00A250F9" w:rsidRDefault="00992C5E" w:rsidP="00E641D8">
            <w:pPr>
              <w:jc w:val="center"/>
              <w:rPr>
                <w:rFonts w:ascii="Arial" w:eastAsia="Times New Roman" w:hAnsi="Arial" w:cs="Arial"/>
                <w:b/>
                <w:bCs/>
                <w:color w:val="000000"/>
                <w:sz w:val="18"/>
                <w:szCs w:val="16"/>
              </w:rPr>
            </w:pPr>
            <w:r w:rsidRPr="00A250F9">
              <w:rPr>
                <w:rFonts w:ascii="Arial" w:eastAsia="Times New Roman" w:hAnsi="Arial" w:cs="Arial"/>
                <w:b/>
                <w:bCs/>
                <w:color w:val="000000"/>
                <w:sz w:val="18"/>
                <w:szCs w:val="16"/>
              </w:rPr>
              <w:t>Performance Indicators</w:t>
            </w:r>
          </w:p>
        </w:tc>
        <w:tc>
          <w:tcPr>
            <w:tcW w:w="2440" w:type="dxa"/>
            <w:tcBorders>
              <w:top w:val="single" w:sz="4" w:space="0" w:color="auto"/>
              <w:left w:val="nil"/>
              <w:bottom w:val="single" w:sz="4" w:space="0" w:color="auto"/>
              <w:right w:val="nil"/>
            </w:tcBorders>
            <w:shd w:val="clear" w:color="auto" w:fill="C6D9F1" w:themeFill="text2" w:themeFillTint="33"/>
            <w:vAlign w:val="center"/>
            <w:hideMark/>
          </w:tcPr>
          <w:p w14:paraId="1D0EE898" w14:textId="77777777" w:rsidR="00992C5E" w:rsidRPr="00A250F9" w:rsidRDefault="00992C5E" w:rsidP="00E641D8">
            <w:pPr>
              <w:jc w:val="center"/>
              <w:rPr>
                <w:rFonts w:ascii="Arial" w:eastAsia="Times New Roman" w:hAnsi="Arial" w:cs="Arial"/>
                <w:b/>
                <w:bCs/>
                <w:color w:val="000000"/>
                <w:sz w:val="18"/>
                <w:szCs w:val="16"/>
              </w:rPr>
            </w:pPr>
            <w:r w:rsidRPr="00A250F9">
              <w:rPr>
                <w:rFonts w:ascii="Arial" w:eastAsia="Times New Roman" w:hAnsi="Arial" w:cs="Arial"/>
                <w:b/>
                <w:bCs/>
                <w:color w:val="000000"/>
                <w:sz w:val="18"/>
                <w:szCs w:val="16"/>
              </w:rPr>
              <w:t>Baselines</w:t>
            </w:r>
          </w:p>
        </w:tc>
        <w:tc>
          <w:tcPr>
            <w:tcW w:w="1909"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FFDC517" w14:textId="77777777" w:rsidR="00992C5E" w:rsidRPr="00A250F9" w:rsidRDefault="00992C5E" w:rsidP="00E641D8">
            <w:pPr>
              <w:jc w:val="center"/>
              <w:rPr>
                <w:rFonts w:ascii="Arial" w:eastAsia="Times New Roman" w:hAnsi="Arial" w:cs="Arial"/>
                <w:b/>
                <w:bCs/>
                <w:color w:val="000000"/>
                <w:sz w:val="18"/>
                <w:szCs w:val="16"/>
              </w:rPr>
            </w:pPr>
            <w:r w:rsidRPr="00A250F9">
              <w:rPr>
                <w:rFonts w:ascii="Arial" w:eastAsia="Times New Roman" w:hAnsi="Arial" w:cs="Arial"/>
                <w:b/>
                <w:bCs/>
                <w:color w:val="000000"/>
                <w:sz w:val="18"/>
                <w:szCs w:val="16"/>
              </w:rPr>
              <w:t>Targets</w:t>
            </w:r>
          </w:p>
        </w:tc>
      </w:tr>
      <w:tr w:rsidR="00992C5E" w:rsidRPr="00A250F9" w14:paraId="59A23C0A" w14:textId="77777777" w:rsidTr="00FB68E0">
        <w:trPr>
          <w:trHeight w:val="1106"/>
        </w:trPr>
        <w:tc>
          <w:tcPr>
            <w:tcW w:w="2283" w:type="dxa"/>
            <w:tcBorders>
              <w:top w:val="nil"/>
              <w:left w:val="single" w:sz="4" w:space="0" w:color="auto"/>
              <w:bottom w:val="nil"/>
              <w:right w:val="nil"/>
            </w:tcBorders>
            <w:shd w:val="clear" w:color="000000" w:fill="FFFFFF"/>
            <w:hideMark/>
          </w:tcPr>
          <w:p w14:paraId="126B1123" w14:textId="77777777" w:rsidR="00992C5E" w:rsidRPr="00A250F9" w:rsidRDefault="00992C5E" w:rsidP="00E641D8">
            <w:pPr>
              <w:rPr>
                <w:rFonts w:ascii="Arial" w:eastAsia="Times New Roman" w:hAnsi="Arial" w:cs="Arial"/>
                <w:color w:val="000000"/>
                <w:sz w:val="16"/>
                <w:szCs w:val="16"/>
              </w:rPr>
            </w:pPr>
          </w:p>
          <w:p w14:paraId="307D1F91"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IX.1 Effective, efficient, quality and customer-oriented support services both to internal clients and to external stakeholders</w:t>
            </w:r>
          </w:p>
        </w:tc>
        <w:tc>
          <w:tcPr>
            <w:tcW w:w="2597" w:type="dxa"/>
            <w:tcBorders>
              <w:top w:val="nil"/>
              <w:left w:val="nil"/>
              <w:bottom w:val="nil"/>
              <w:right w:val="nil"/>
            </w:tcBorders>
            <w:shd w:val="clear" w:color="000000" w:fill="FFFFFF"/>
            <w:hideMark/>
          </w:tcPr>
          <w:p w14:paraId="4B30CBD3"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p w14:paraId="2A0848CD"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of staff satisfied with human resource services</w:t>
            </w:r>
          </w:p>
        </w:tc>
        <w:tc>
          <w:tcPr>
            <w:tcW w:w="2440" w:type="dxa"/>
            <w:tcBorders>
              <w:top w:val="nil"/>
              <w:left w:val="nil"/>
              <w:bottom w:val="nil"/>
              <w:right w:val="nil"/>
            </w:tcBorders>
            <w:shd w:val="clear" w:color="000000" w:fill="FFFFFF"/>
            <w:hideMark/>
          </w:tcPr>
          <w:p w14:paraId="1ADDB093" w14:textId="77777777" w:rsidR="00992C5E" w:rsidRPr="00A250F9" w:rsidRDefault="00992C5E" w:rsidP="00E641D8">
            <w:pPr>
              <w:rPr>
                <w:rFonts w:ascii="Arial" w:eastAsia="Times New Roman" w:hAnsi="Arial" w:cs="Arial"/>
                <w:color w:val="000000"/>
                <w:sz w:val="16"/>
                <w:szCs w:val="16"/>
              </w:rPr>
            </w:pPr>
          </w:p>
          <w:p w14:paraId="45CBB18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Highly satisfied:  30,8%</w:t>
            </w:r>
            <w:r w:rsidRPr="00A250F9">
              <w:rPr>
                <w:rFonts w:ascii="Arial" w:eastAsia="Times New Roman" w:hAnsi="Arial" w:cs="Arial"/>
                <w:color w:val="000000"/>
                <w:sz w:val="16"/>
                <w:szCs w:val="16"/>
              </w:rPr>
              <w:br/>
              <w:t>Satisfied: 49,1%</w:t>
            </w:r>
            <w:r w:rsidRPr="00A250F9">
              <w:rPr>
                <w:rFonts w:ascii="Arial" w:eastAsia="Times New Roman" w:hAnsi="Arial" w:cs="Arial"/>
                <w:color w:val="000000"/>
                <w:sz w:val="16"/>
                <w:szCs w:val="16"/>
              </w:rPr>
              <w:br/>
              <w:t>Dissatisfied: 17,6%</w:t>
            </w:r>
            <w:r w:rsidRPr="00A250F9">
              <w:rPr>
                <w:rFonts w:ascii="Arial" w:eastAsia="Times New Roman" w:hAnsi="Arial" w:cs="Arial"/>
                <w:color w:val="000000"/>
                <w:sz w:val="16"/>
                <w:szCs w:val="16"/>
              </w:rPr>
              <w:br/>
              <w:t>Highly dissatisfied:  2,5%</w:t>
            </w:r>
          </w:p>
        </w:tc>
        <w:tc>
          <w:tcPr>
            <w:tcW w:w="1909" w:type="dxa"/>
            <w:tcBorders>
              <w:top w:val="nil"/>
              <w:left w:val="nil"/>
              <w:bottom w:val="nil"/>
              <w:right w:val="single" w:sz="4" w:space="0" w:color="auto"/>
            </w:tcBorders>
            <w:shd w:val="clear" w:color="000000" w:fill="FFFFFF"/>
            <w:hideMark/>
          </w:tcPr>
          <w:p w14:paraId="32671FE7"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p w14:paraId="393FA4CE"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85 % highly satisfied or satisfied</w:t>
            </w:r>
          </w:p>
        </w:tc>
      </w:tr>
      <w:tr w:rsidR="00992C5E" w:rsidRPr="00A250F9" w14:paraId="4AD3F7EF" w14:textId="77777777" w:rsidTr="00FB68E0">
        <w:trPr>
          <w:trHeight w:val="549"/>
        </w:trPr>
        <w:tc>
          <w:tcPr>
            <w:tcW w:w="2283" w:type="dxa"/>
            <w:tcBorders>
              <w:top w:val="nil"/>
              <w:left w:val="single" w:sz="4" w:space="0" w:color="auto"/>
              <w:bottom w:val="nil"/>
              <w:right w:val="nil"/>
            </w:tcBorders>
            <w:shd w:val="clear" w:color="000000" w:fill="FFFFFF"/>
            <w:hideMark/>
          </w:tcPr>
          <w:p w14:paraId="3FE6373B"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top w:val="nil"/>
              <w:left w:val="nil"/>
              <w:bottom w:val="nil"/>
              <w:right w:val="nil"/>
            </w:tcBorders>
            <w:shd w:val="clear" w:color="000000" w:fill="FFFFFF"/>
            <w:hideMark/>
          </w:tcPr>
          <w:p w14:paraId="7DE1A5FA"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Increase in automated versus currently manually-processed actions</w:t>
            </w:r>
          </w:p>
        </w:tc>
        <w:tc>
          <w:tcPr>
            <w:tcW w:w="2440" w:type="dxa"/>
            <w:tcBorders>
              <w:top w:val="nil"/>
              <w:left w:val="nil"/>
              <w:bottom w:val="nil"/>
              <w:right w:val="nil"/>
            </w:tcBorders>
            <w:shd w:val="clear" w:color="000000" w:fill="FFFFFF"/>
            <w:hideMark/>
          </w:tcPr>
          <w:p w14:paraId="54A955F7"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0%</w:t>
            </w:r>
          </w:p>
        </w:tc>
        <w:tc>
          <w:tcPr>
            <w:tcW w:w="1909" w:type="dxa"/>
            <w:tcBorders>
              <w:top w:val="nil"/>
              <w:left w:val="nil"/>
              <w:bottom w:val="nil"/>
              <w:right w:val="single" w:sz="4" w:space="0" w:color="auto"/>
            </w:tcBorders>
            <w:shd w:val="clear" w:color="000000" w:fill="FFFFFF"/>
            <w:hideMark/>
          </w:tcPr>
          <w:p w14:paraId="7F53BF04"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67%</w:t>
            </w:r>
          </w:p>
        </w:tc>
      </w:tr>
      <w:tr w:rsidR="00992C5E" w:rsidRPr="00A250F9" w14:paraId="622DC56E" w14:textId="77777777" w:rsidTr="00FB68E0">
        <w:trPr>
          <w:trHeight w:val="522"/>
        </w:trPr>
        <w:tc>
          <w:tcPr>
            <w:tcW w:w="2283" w:type="dxa"/>
            <w:tcBorders>
              <w:top w:val="nil"/>
              <w:left w:val="single" w:sz="4" w:space="0" w:color="auto"/>
              <w:bottom w:val="nil"/>
              <w:right w:val="nil"/>
            </w:tcBorders>
            <w:shd w:val="clear" w:color="000000" w:fill="FFFFFF"/>
            <w:hideMark/>
          </w:tcPr>
          <w:p w14:paraId="40DB72DA"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top w:val="nil"/>
              <w:left w:val="nil"/>
              <w:bottom w:val="nil"/>
              <w:right w:val="nil"/>
            </w:tcBorders>
            <w:shd w:val="clear" w:color="000000" w:fill="FFFFFF"/>
            <w:hideMark/>
          </w:tcPr>
          <w:p w14:paraId="67B6C3F3" w14:textId="77777777" w:rsidR="00E516AC" w:rsidRDefault="00E516AC" w:rsidP="00E641D8">
            <w:pPr>
              <w:rPr>
                <w:rFonts w:ascii="Arial" w:eastAsia="Times New Roman" w:hAnsi="Arial" w:cs="Arial"/>
                <w:color w:val="000000"/>
                <w:sz w:val="16"/>
                <w:szCs w:val="16"/>
              </w:rPr>
            </w:pPr>
          </w:p>
          <w:p w14:paraId="089B71C0" w14:textId="77777777" w:rsidR="00992C5E"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of queries processed within 5 working days</w:t>
            </w:r>
          </w:p>
          <w:p w14:paraId="3DD1E5AB" w14:textId="77777777" w:rsidR="00E516AC" w:rsidRPr="00A250F9" w:rsidRDefault="00E516AC" w:rsidP="00E641D8">
            <w:pPr>
              <w:rPr>
                <w:rFonts w:ascii="Arial" w:eastAsia="Times New Roman" w:hAnsi="Arial" w:cs="Arial"/>
                <w:color w:val="000000"/>
                <w:sz w:val="16"/>
                <w:szCs w:val="16"/>
              </w:rPr>
            </w:pPr>
          </w:p>
        </w:tc>
        <w:tc>
          <w:tcPr>
            <w:tcW w:w="2440" w:type="dxa"/>
            <w:tcBorders>
              <w:top w:val="nil"/>
              <w:left w:val="nil"/>
              <w:bottom w:val="nil"/>
              <w:right w:val="nil"/>
            </w:tcBorders>
            <w:shd w:val="clear" w:color="000000" w:fill="FFFFFF"/>
            <w:hideMark/>
          </w:tcPr>
          <w:p w14:paraId="6988289A" w14:textId="77777777" w:rsidR="00E516AC" w:rsidRDefault="00E516AC" w:rsidP="00E641D8">
            <w:pPr>
              <w:rPr>
                <w:rFonts w:ascii="Arial" w:eastAsia="Times New Roman" w:hAnsi="Arial" w:cs="Arial"/>
                <w:color w:val="000000"/>
                <w:sz w:val="16"/>
                <w:szCs w:val="16"/>
              </w:rPr>
            </w:pPr>
          </w:p>
          <w:p w14:paraId="3864AE1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 end 2015</w:t>
            </w:r>
          </w:p>
        </w:tc>
        <w:tc>
          <w:tcPr>
            <w:tcW w:w="1909" w:type="dxa"/>
            <w:tcBorders>
              <w:top w:val="nil"/>
              <w:left w:val="nil"/>
              <w:bottom w:val="nil"/>
              <w:right w:val="single" w:sz="4" w:space="0" w:color="auto"/>
            </w:tcBorders>
            <w:shd w:val="clear" w:color="000000" w:fill="FFFFFF"/>
            <w:hideMark/>
          </w:tcPr>
          <w:p w14:paraId="278A884B" w14:textId="77777777" w:rsidR="00E516AC" w:rsidRDefault="00E516AC" w:rsidP="00E641D8">
            <w:pPr>
              <w:rPr>
                <w:rFonts w:ascii="Arial" w:eastAsia="Times New Roman" w:hAnsi="Arial" w:cs="Arial"/>
                <w:color w:val="000000"/>
                <w:sz w:val="16"/>
                <w:szCs w:val="16"/>
              </w:rPr>
            </w:pPr>
          </w:p>
          <w:p w14:paraId="09782B9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90%</w:t>
            </w:r>
          </w:p>
        </w:tc>
      </w:tr>
      <w:tr w:rsidR="00992C5E" w:rsidRPr="00A250F9" w14:paraId="3C867C5B" w14:textId="77777777" w:rsidTr="00FB68E0">
        <w:trPr>
          <w:trHeight w:val="660"/>
        </w:trPr>
        <w:tc>
          <w:tcPr>
            <w:tcW w:w="2283" w:type="dxa"/>
            <w:tcBorders>
              <w:top w:val="nil"/>
              <w:left w:val="single" w:sz="4" w:space="0" w:color="auto"/>
              <w:right w:val="nil"/>
            </w:tcBorders>
            <w:shd w:val="clear" w:color="000000" w:fill="FFFFFF"/>
            <w:hideMark/>
          </w:tcPr>
          <w:p w14:paraId="10FBEAED"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top w:val="nil"/>
              <w:left w:val="nil"/>
              <w:right w:val="nil"/>
            </w:tcBorders>
            <w:shd w:val="clear" w:color="000000" w:fill="FFFFFF"/>
            <w:hideMark/>
          </w:tcPr>
          <w:p w14:paraId="2B703108"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Optimized insurance coverage </w:t>
            </w:r>
          </w:p>
        </w:tc>
        <w:tc>
          <w:tcPr>
            <w:tcW w:w="2440" w:type="dxa"/>
            <w:tcBorders>
              <w:top w:val="nil"/>
              <w:left w:val="nil"/>
              <w:right w:val="nil"/>
            </w:tcBorders>
            <w:shd w:val="clear" w:color="000000" w:fill="FFFFFF"/>
            <w:hideMark/>
          </w:tcPr>
          <w:p w14:paraId="0A15DCD2"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 end 2015</w:t>
            </w:r>
          </w:p>
        </w:tc>
        <w:tc>
          <w:tcPr>
            <w:tcW w:w="1909" w:type="dxa"/>
            <w:tcBorders>
              <w:top w:val="nil"/>
              <w:left w:val="nil"/>
              <w:right w:val="single" w:sz="4" w:space="0" w:color="auto"/>
            </w:tcBorders>
            <w:shd w:val="clear" w:color="000000" w:fill="FFFFFF"/>
            <w:hideMark/>
          </w:tcPr>
          <w:p w14:paraId="03C520C3"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tbd end 2015</w:t>
            </w:r>
          </w:p>
        </w:tc>
      </w:tr>
      <w:tr w:rsidR="00992C5E" w:rsidRPr="00A250F9" w14:paraId="2CF06863" w14:textId="77777777" w:rsidTr="00FB68E0">
        <w:trPr>
          <w:trHeight w:val="1200"/>
        </w:trPr>
        <w:tc>
          <w:tcPr>
            <w:tcW w:w="2283" w:type="dxa"/>
            <w:tcBorders>
              <w:top w:val="nil"/>
              <w:left w:val="single" w:sz="4" w:space="0" w:color="auto"/>
              <w:right w:val="nil"/>
            </w:tcBorders>
            <w:shd w:val="clear" w:color="000000" w:fill="FFFFFF"/>
            <w:hideMark/>
          </w:tcPr>
          <w:p w14:paraId="0E5D8CA6" w14:textId="1500CEA4"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IX.2 An agile and smooth functioning Secretariat with a well</w:t>
            </w:r>
            <w:r w:rsidR="00E516AC">
              <w:rPr>
                <w:rFonts w:ascii="Arial" w:eastAsia="Times New Roman" w:hAnsi="Arial" w:cs="Arial"/>
                <w:color w:val="000000"/>
                <w:sz w:val="16"/>
                <w:szCs w:val="16"/>
              </w:rPr>
              <w:t>-</w:t>
            </w:r>
            <w:r w:rsidRPr="00A250F9">
              <w:rPr>
                <w:rFonts w:ascii="Arial" w:eastAsia="Times New Roman" w:hAnsi="Arial" w:cs="Arial"/>
                <w:color w:val="000000"/>
                <w:sz w:val="16"/>
                <w:szCs w:val="16"/>
              </w:rPr>
              <w:t>managed and appropriately skilled workforce which is effectively delivering results</w:t>
            </w:r>
          </w:p>
        </w:tc>
        <w:tc>
          <w:tcPr>
            <w:tcW w:w="2597" w:type="dxa"/>
            <w:tcBorders>
              <w:top w:val="nil"/>
              <w:left w:val="nil"/>
              <w:right w:val="nil"/>
            </w:tcBorders>
            <w:shd w:val="clear" w:color="000000" w:fill="FFFFFF"/>
            <w:hideMark/>
          </w:tcPr>
          <w:p w14:paraId="35E96AC3"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 of women in professional and higher positions </w:t>
            </w:r>
          </w:p>
          <w:p w14:paraId="56B185FE" w14:textId="77777777" w:rsidR="00992C5E" w:rsidRPr="00A250F9" w:rsidRDefault="00992C5E" w:rsidP="00E641D8">
            <w:pPr>
              <w:rPr>
                <w:rFonts w:ascii="Arial" w:eastAsia="Times New Roman" w:hAnsi="Arial" w:cs="Arial"/>
                <w:color w:val="000000"/>
                <w:sz w:val="16"/>
                <w:szCs w:val="16"/>
              </w:rPr>
            </w:pPr>
          </w:p>
          <w:p w14:paraId="736E423A"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Recruitment lead time</w:t>
            </w:r>
          </w:p>
        </w:tc>
        <w:tc>
          <w:tcPr>
            <w:tcW w:w="2440" w:type="dxa"/>
            <w:tcBorders>
              <w:top w:val="nil"/>
              <w:left w:val="nil"/>
              <w:right w:val="nil"/>
            </w:tcBorders>
            <w:shd w:val="clear" w:color="000000" w:fill="FFFFFF"/>
            <w:hideMark/>
          </w:tcPr>
          <w:p w14:paraId="67EFACEB"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P4 – 44.4% P5 – 34.4% D1 – 26.7% D2 – 22.2% (Dec 2014) </w:t>
            </w:r>
          </w:p>
          <w:p w14:paraId="70C9AB54" w14:textId="77777777" w:rsidR="00992C5E" w:rsidRPr="00A250F9" w:rsidRDefault="00992C5E" w:rsidP="00E641D8">
            <w:pPr>
              <w:rPr>
                <w:rFonts w:ascii="Arial" w:eastAsia="Times New Roman" w:hAnsi="Arial" w:cs="Arial"/>
                <w:color w:val="000000"/>
                <w:sz w:val="16"/>
                <w:szCs w:val="16"/>
              </w:rPr>
            </w:pPr>
          </w:p>
          <w:p w14:paraId="03BEAE4E"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14.7 weeks (with LSTE)</w:t>
            </w:r>
            <w:r w:rsidRPr="00A250F9">
              <w:rPr>
                <w:rFonts w:ascii="Arial" w:eastAsia="Times New Roman" w:hAnsi="Arial" w:cs="Arial"/>
                <w:color w:val="000000"/>
                <w:sz w:val="16"/>
                <w:szCs w:val="16"/>
              </w:rPr>
              <w:br/>
              <w:t>19.07 weeks (without LSTE)</w:t>
            </w:r>
          </w:p>
        </w:tc>
        <w:tc>
          <w:tcPr>
            <w:tcW w:w="1909" w:type="dxa"/>
            <w:tcBorders>
              <w:top w:val="nil"/>
              <w:left w:val="nil"/>
              <w:right w:val="single" w:sz="4" w:space="0" w:color="auto"/>
            </w:tcBorders>
            <w:shd w:val="clear" w:color="000000" w:fill="FFFFFF"/>
            <w:hideMark/>
          </w:tcPr>
          <w:p w14:paraId="45319252"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 P4 – 46% P5 – 35% D1 – 30% D2 – 30% </w:t>
            </w:r>
          </w:p>
          <w:p w14:paraId="19C71F2B" w14:textId="77777777" w:rsidR="00992C5E" w:rsidRPr="00A250F9" w:rsidRDefault="00992C5E" w:rsidP="00E641D8">
            <w:pPr>
              <w:rPr>
                <w:rFonts w:ascii="Arial" w:eastAsia="Times New Roman" w:hAnsi="Arial" w:cs="Arial"/>
                <w:color w:val="000000"/>
                <w:sz w:val="16"/>
                <w:szCs w:val="16"/>
              </w:rPr>
            </w:pPr>
          </w:p>
          <w:p w14:paraId="07038420"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19 weeks</w:t>
            </w:r>
          </w:p>
        </w:tc>
      </w:tr>
      <w:tr w:rsidR="00992C5E" w:rsidRPr="00A250F9" w14:paraId="272A71EE" w14:textId="77777777" w:rsidTr="00FB68E0">
        <w:trPr>
          <w:trHeight w:val="882"/>
        </w:trPr>
        <w:tc>
          <w:tcPr>
            <w:tcW w:w="2283" w:type="dxa"/>
            <w:tcBorders>
              <w:left w:val="single" w:sz="4" w:space="0" w:color="auto"/>
              <w:right w:val="nil"/>
            </w:tcBorders>
            <w:shd w:val="clear" w:color="000000" w:fill="FFFFFF"/>
            <w:hideMark/>
          </w:tcPr>
          <w:p w14:paraId="1DE1709D"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left w:val="nil"/>
              <w:right w:val="nil"/>
            </w:tcBorders>
            <w:shd w:val="clear" w:color="000000" w:fill="FFFFFF"/>
            <w:hideMark/>
          </w:tcPr>
          <w:p w14:paraId="6CA9F7EC" w14:textId="77777777" w:rsidR="00992C5E" w:rsidRDefault="00992C5E" w:rsidP="00992C5E">
            <w:pPr>
              <w:keepNext/>
              <w:keepLines/>
              <w:rPr>
                <w:rFonts w:ascii="Arial" w:eastAsia="Times New Roman" w:hAnsi="Arial" w:cs="Arial"/>
                <w:color w:val="000000"/>
                <w:sz w:val="16"/>
                <w:szCs w:val="16"/>
              </w:rPr>
            </w:pPr>
          </w:p>
          <w:p w14:paraId="4F98FE1D" w14:textId="77777777" w:rsidR="00992C5E" w:rsidRPr="00A250F9" w:rsidRDefault="00992C5E" w:rsidP="00992C5E">
            <w:pPr>
              <w:keepNext/>
              <w:keepLines/>
              <w:rPr>
                <w:rFonts w:ascii="Arial" w:eastAsia="Times New Roman" w:hAnsi="Arial" w:cs="Arial"/>
                <w:color w:val="000000"/>
                <w:sz w:val="16"/>
                <w:szCs w:val="16"/>
              </w:rPr>
            </w:pPr>
            <w:r w:rsidRPr="00A250F9">
              <w:rPr>
                <w:rFonts w:ascii="Arial" w:eastAsia="Times New Roman" w:hAnsi="Arial" w:cs="Arial"/>
                <w:color w:val="000000"/>
                <w:sz w:val="16"/>
                <w:szCs w:val="16"/>
              </w:rPr>
              <w:t>% of staff whose performance is evaluated against their individual objectives and competencies</w:t>
            </w:r>
          </w:p>
        </w:tc>
        <w:tc>
          <w:tcPr>
            <w:tcW w:w="2440" w:type="dxa"/>
            <w:tcBorders>
              <w:left w:val="nil"/>
              <w:right w:val="nil"/>
            </w:tcBorders>
            <w:shd w:val="clear" w:color="000000" w:fill="FFFFFF"/>
            <w:hideMark/>
          </w:tcPr>
          <w:p w14:paraId="3B596F3C" w14:textId="77777777" w:rsidR="00992C5E" w:rsidRDefault="00992C5E" w:rsidP="00992C5E">
            <w:pPr>
              <w:keepNext/>
              <w:keepLines/>
              <w:rPr>
                <w:rFonts w:ascii="Arial" w:eastAsia="Times New Roman" w:hAnsi="Arial" w:cs="Arial"/>
                <w:color w:val="000000"/>
                <w:sz w:val="16"/>
                <w:szCs w:val="16"/>
              </w:rPr>
            </w:pPr>
          </w:p>
          <w:p w14:paraId="710D1C52" w14:textId="303715AE" w:rsidR="00992C5E" w:rsidRPr="00A250F9" w:rsidRDefault="00992C5E" w:rsidP="00992C5E">
            <w:pPr>
              <w:keepNext/>
              <w:keepLines/>
              <w:rPr>
                <w:rFonts w:ascii="Arial" w:eastAsia="Times New Roman" w:hAnsi="Arial" w:cs="Arial"/>
                <w:color w:val="000000"/>
                <w:sz w:val="16"/>
                <w:szCs w:val="16"/>
              </w:rPr>
            </w:pPr>
            <w:r w:rsidRPr="00A250F9">
              <w:rPr>
                <w:rFonts w:ascii="Arial" w:eastAsia="Times New Roman" w:hAnsi="Arial" w:cs="Arial"/>
                <w:color w:val="000000"/>
                <w:sz w:val="16"/>
                <w:szCs w:val="16"/>
              </w:rPr>
              <w:t>82</w:t>
            </w:r>
            <w:r w:rsidR="004D3E01">
              <w:rPr>
                <w:rFonts w:ascii="Arial" w:eastAsia="Times New Roman" w:hAnsi="Arial" w:cs="Arial"/>
                <w:color w:val="000000"/>
                <w:sz w:val="16"/>
                <w:szCs w:val="16"/>
              </w:rPr>
              <w:t>.</w:t>
            </w:r>
            <w:r w:rsidRPr="00A250F9">
              <w:rPr>
                <w:rFonts w:ascii="Arial" w:eastAsia="Times New Roman" w:hAnsi="Arial" w:cs="Arial"/>
                <w:color w:val="000000"/>
                <w:sz w:val="16"/>
                <w:szCs w:val="16"/>
              </w:rPr>
              <w:t>9% (2014)</w:t>
            </w:r>
          </w:p>
        </w:tc>
        <w:tc>
          <w:tcPr>
            <w:tcW w:w="1909" w:type="dxa"/>
            <w:tcBorders>
              <w:left w:val="nil"/>
              <w:right w:val="single" w:sz="4" w:space="0" w:color="auto"/>
            </w:tcBorders>
            <w:shd w:val="clear" w:color="000000" w:fill="FFFFFF"/>
            <w:hideMark/>
          </w:tcPr>
          <w:p w14:paraId="1F047997" w14:textId="77777777" w:rsidR="00992C5E" w:rsidRDefault="00992C5E" w:rsidP="00992C5E">
            <w:pPr>
              <w:keepNext/>
              <w:keepLines/>
              <w:rPr>
                <w:rFonts w:ascii="Arial" w:eastAsia="Times New Roman" w:hAnsi="Arial" w:cs="Arial"/>
                <w:color w:val="000000"/>
                <w:sz w:val="16"/>
                <w:szCs w:val="16"/>
              </w:rPr>
            </w:pPr>
          </w:p>
          <w:p w14:paraId="09B95CD1" w14:textId="77777777" w:rsidR="00992C5E" w:rsidRPr="00A250F9" w:rsidRDefault="00992C5E" w:rsidP="00992C5E">
            <w:pPr>
              <w:keepNext/>
              <w:keepLines/>
              <w:rPr>
                <w:rFonts w:ascii="Arial" w:eastAsia="Times New Roman" w:hAnsi="Arial" w:cs="Arial"/>
                <w:color w:val="000000"/>
                <w:sz w:val="16"/>
                <w:szCs w:val="16"/>
              </w:rPr>
            </w:pPr>
            <w:r w:rsidRPr="00A250F9">
              <w:rPr>
                <w:rFonts w:ascii="Arial" w:eastAsia="Times New Roman" w:hAnsi="Arial" w:cs="Arial"/>
                <w:color w:val="000000"/>
                <w:sz w:val="16"/>
                <w:szCs w:val="16"/>
              </w:rPr>
              <w:t>90%</w:t>
            </w:r>
          </w:p>
        </w:tc>
      </w:tr>
      <w:tr w:rsidR="00992C5E" w:rsidRPr="00A250F9" w14:paraId="59943F82" w14:textId="77777777" w:rsidTr="00FB68E0">
        <w:trPr>
          <w:trHeight w:val="1431"/>
        </w:trPr>
        <w:tc>
          <w:tcPr>
            <w:tcW w:w="2283" w:type="dxa"/>
            <w:tcBorders>
              <w:left w:val="single" w:sz="4" w:space="0" w:color="auto"/>
              <w:bottom w:val="single" w:sz="4" w:space="0" w:color="auto"/>
              <w:right w:val="nil"/>
            </w:tcBorders>
            <w:shd w:val="clear" w:color="000000" w:fill="FFFFFF"/>
            <w:hideMark/>
          </w:tcPr>
          <w:p w14:paraId="22616D30"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left w:val="nil"/>
              <w:bottom w:val="single" w:sz="4" w:space="0" w:color="auto"/>
              <w:right w:val="nil"/>
            </w:tcBorders>
            <w:shd w:val="clear" w:color="000000" w:fill="FFFFFF"/>
            <w:hideMark/>
          </w:tcPr>
          <w:p w14:paraId="0EA686FC" w14:textId="77777777" w:rsidR="00992C5E" w:rsidRDefault="00992C5E" w:rsidP="00992C5E">
            <w:pPr>
              <w:keepNext/>
              <w:keepLines/>
              <w:rPr>
                <w:rFonts w:ascii="Arial" w:eastAsia="Times New Roman" w:hAnsi="Arial" w:cs="Arial"/>
                <w:color w:val="000000"/>
                <w:sz w:val="16"/>
                <w:szCs w:val="16"/>
              </w:rPr>
            </w:pPr>
          </w:p>
          <w:p w14:paraId="25951C08" w14:textId="5B041F13" w:rsidR="00992C5E" w:rsidRPr="00A250F9" w:rsidRDefault="00992C5E">
            <w:pPr>
              <w:keepNext/>
              <w:keepLines/>
              <w:rPr>
                <w:rFonts w:ascii="Arial" w:eastAsia="Times New Roman" w:hAnsi="Arial" w:cs="Arial"/>
                <w:color w:val="000000"/>
                <w:sz w:val="16"/>
                <w:szCs w:val="16"/>
              </w:rPr>
            </w:pPr>
            <w:r w:rsidRPr="00A250F9">
              <w:rPr>
                <w:rFonts w:ascii="Arial" w:eastAsia="Times New Roman" w:hAnsi="Arial" w:cs="Arial"/>
                <w:color w:val="000000"/>
                <w:sz w:val="16"/>
                <w:szCs w:val="16"/>
              </w:rPr>
              <w:t>No. of days to:</w:t>
            </w:r>
            <w:r w:rsidR="00E516AC">
              <w:rPr>
                <w:rFonts w:ascii="Arial" w:eastAsia="Times New Roman" w:hAnsi="Arial" w:cs="Arial"/>
                <w:color w:val="000000"/>
                <w:sz w:val="16"/>
                <w:szCs w:val="16"/>
              </w:rPr>
              <w:t xml:space="preserve"> (</w:t>
            </w:r>
            <w:r w:rsidRPr="00A250F9">
              <w:rPr>
                <w:rFonts w:ascii="Arial" w:eastAsia="Times New Roman" w:hAnsi="Arial" w:cs="Arial"/>
                <w:color w:val="000000"/>
                <w:sz w:val="16"/>
                <w:szCs w:val="16"/>
              </w:rPr>
              <w:t xml:space="preserve">i) notify staff of decisions on RfR/grievances, </w:t>
            </w:r>
            <w:r w:rsidR="00E516AC">
              <w:rPr>
                <w:rFonts w:ascii="Arial" w:eastAsia="Times New Roman" w:hAnsi="Arial" w:cs="Arial"/>
                <w:color w:val="000000"/>
                <w:sz w:val="16"/>
                <w:szCs w:val="16"/>
              </w:rPr>
              <w:t>(</w:t>
            </w:r>
            <w:r w:rsidRPr="00A250F9">
              <w:rPr>
                <w:rFonts w:ascii="Arial" w:eastAsia="Times New Roman" w:hAnsi="Arial" w:cs="Arial"/>
                <w:color w:val="000000"/>
                <w:sz w:val="16"/>
                <w:szCs w:val="16"/>
              </w:rPr>
              <w:t xml:space="preserve">ii) notify staff of decisions on rebuttals/disciplinary cases and </w:t>
            </w:r>
            <w:r w:rsidR="00E516AC">
              <w:rPr>
                <w:rFonts w:ascii="Arial" w:eastAsia="Times New Roman" w:hAnsi="Arial" w:cs="Arial"/>
                <w:color w:val="000000"/>
                <w:sz w:val="16"/>
                <w:szCs w:val="16"/>
              </w:rPr>
              <w:t>(</w:t>
            </w:r>
            <w:r w:rsidRPr="00A250F9">
              <w:rPr>
                <w:rFonts w:ascii="Arial" w:eastAsia="Times New Roman" w:hAnsi="Arial" w:cs="Arial"/>
                <w:color w:val="000000"/>
                <w:sz w:val="16"/>
                <w:szCs w:val="16"/>
              </w:rPr>
              <w:t>iii) provide responses to requests for advice</w:t>
            </w:r>
          </w:p>
        </w:tc>
        <w:tc>
          <w:tcPr>
            <w:tcW w:w="2440" w:type="dxa"/>
            <w:tcBorders>
              <w:left w:val="nil"/>
              <w:bottom w:val="single" w:sz="4" w:space="0" w:color="auto"/>
              <w:right w:val="nil"/>
            </w:tcBorders>
            <w:shd w:val="clear" w:color="000000" w:fill="FFFFFF"/>
            <w:hideMark/>
          </w:tcPr>
          <w:p w14:paraId="6461385E" w14:textId="77777777" w:rsidR="00992C5E" w:rsidRDefault="00992C5E" w:rsidP="00992C5E">
            <w:pPr>
              <w:keepNext/>
              <w:keepLines/>
              <w:rPr>
                <w:rFonts w:ascii="Arial" w:eastAsia="Times New Roman" w:hAnsi="Arial" w:cs="Arial"/>
                <w:color w:val="000000"/>
                <w:sz w:val="16"/>
                <w:szCs w:val="16"/>
              </w:rPr>
            </w:pPr>
          </w:p>
          <w:p w14:paraId="00BC69B6" w14:textId="77777777" w:rsidR="00992C5E" w:rsidRPr="00A250F9" w:rsidRDefault="00992C5E" w:rsidP="00992C5E">
            <w:pPr>
              <w:keepNext/>
              <w:keepLines/>
              <w:rPr>
                <w:rFonts w:ascii="Arial" w:eastAsia="Times New Roman" w:hAnsi="Arial" w:cs="Arial"/>
                <w:color w:val="000000"/>
                <w:sz w:val="16"/>
                <w:szCs w:val="16"/>
              </w:rPr>
            </w:pPr>
            <w:r w:rsidRPr="00A250F9">
              <w:rPr>
                <w:rFonts w:ascii="Arial" w:eastAsia="Times New Roman" w:hAnsi="Arial" w:cs="Arial"/>
                <w:color w:val="000000"/>
                <w:sz w:val="16"/>
                <w:szCs w:val="16"/>
              </w:rPr>
              <w:t>n/a</w:t>
            </w:r>
          </w:p>
        </w:tc>
        <w:tc>
          <w:tcPr>
            <w:tcW w:w="1909" w:type="dxa"/>
            <w:tcBorders>
              <w:left w:val="nil"/>
              <w:bottom w:val="single" w:sz="4" w:space="0" w:color="auto"/>
              <w:right w:val="single" w:sz="4" w:space="0" w:color="auto"/>
            </w:tcBorders>
            <w:shd w:val="clear" w:color="000000" w:fill="FFFFFF"/>
            <w:hideMark/>
          </w:tcPr>
          <w:p w14:paraId="57300C62" w14:textId="77777777" w:rsidR="00992C5E" w:rsidRDefault="00992C5E" w:rsidP="00992C5E">
            <w:pPr>
              <w:keepNext/>
              <w:keepLines/>
              <w:rPr>
                <w:rFonts w:ascii="Arial" w:eastAsia="Times New Roman" w:hAnsi="Arial" w:cs="Arial"/>
                <w:color w:val="000000"/>
                <w:sz w:val="16"/>
                <w:szCs w:val="16"/>
              </w:rPr>
            </w:pPr>
          </w:p>
          <w:p w14:paraId="6957FE51" w14:textId="195329FB" w:rsidR="00992C5E" w:rsidRDefault="00E516AC" w:rsidP="00992C5E">
            <w:pPr>
              <w:keepNext/>
              <w:keepLines/>
              <w:rPr>
                <w:rFonts w:ascii="Arial" w:eastAsia="Times New Roman" w:hAnsi="Arial" w:cs="Arial"/>
                <w:color w:val="000000"/>
                <w:sz w:val="16"/>
                <w:szCs w:val="16"/>
              </w:rPr>
            </w:pPr>
            <w:r>
              <w:rPr>
                <w:rFonts w:ascii="Arial" w:eastAsia="Times New Roman" w:hAnsi="Arial" w:cs="Arial"/>
                <w:color w:val="000000"/>
                <w:sz w:val="16"/>
                <w:szCs w:val="16"/>
              </w:rPr>
              <w:t>(</w:t>
            </w:r>
            <w:r w:rsidR="00992C5E" w:rsidRPr="00A250F9">
              <w:rPr>
                <w:rFonts w:ascii="Arial" w:eastAsia="Times New Roman" w:hAnsi="Arial" w:cs="Arial"/>
                <w:color w:val="000000"/>
                <w:sz w:val="16"/>
                <w:szCs w:val="16"/>
              </w:rPr>
              <w:t xml:space="preserve">i) 60 days from receipt of RfR/response to grievance </w:t>
            </w:r>
            <w:r w:rsidR="00992C5E" w:rsidRPr="00A250F9">
              <w:rPr>
                <w:rFonts w:ascii="Arial" w:eastAsia="Times New Roman" w:hAnsi="Arial" w:cs="Arial"/>
                <w:color w:val="000000"/>
                <w:sz w:val="16"/>
                <w:szCs w:val="16"/>
              </w:rPr>
              <w:br/>
            </w:r>
            <w:r>
              <w:rPr>
                <w:rFonts w:ascii="Arial" w:eastAsia="Times New Roman" w:hAnsi="Arial" w:cs="Arial"/>
                <w:color w:val="000000"/>
                <w:sz w:val="16"/>
                <w:szCs w:val="16"/>
              </w:rPr>
              <w:t>(</w:t>
            </w:r>
            <w:r w:rsidR="00992C5E" w:rsidRPr="00A250F9">
              <w:rPr>
                <w:rFonts w:ascii="Arial" w:eastAsia="Times New Roman" w:hAnsi="Arial" w:cs="Arial"/>
                <w:color w:val="000000"/>
                <w:sz w:val="16"/>
                <w:szCs w:val="16"/>
              </w:rPr>
              <w:t xml:space="preserve">ii) 30 days from receipt of rebuttal/response to charge letter and </w:t>
            </w:r>
            <w:r>
              <w:rPr>
                <w:rFonts w:ascii="Arial" w:eastAsia="Times New Roman" w:hAnsi="Arial" w:cs="Arial"/>
                <w:color w:val="000000"/>
                <w:sz w:val="16"/>
                <w:szCs w:val="16"/>
              </w:rPr>
              <w:t>(</w:t>
            </w:r>
            <w:r w:rsidR="00992C5E" w:rsidRPr="00A250F9">
              <w:rPr>
                <w:rFonts w:ascii="Arial" w:eastAsia="Times New Roman" w:hAnsi="Arial" w:cs="Arial"/>
                <w:color w:val="000000"/>
                <w:sz w:val="16"/>
                <w:szCs w:val="16"/>
              </w:rPr>
              <w:t>iii) 10 working days from receipt of request</w:t>
            </w:r>
          </w:p>
          <w:p w14:paraId="6FC4523F" w14:textId="77777777" w:rsidR="00992C5E" w:rsidRPr="00A250F9" w:rsidRDefault="00992C5E" w:rsidP="00992C5E">
            <w:pPr>
              <w:keepNext/>
              <w:keepLines/>
              <w:rPr>
                <w:rFonts w:ascii="Arial" w:eastAsia="Times New Roman" w:hAnsi="Arial" w:cs="Arial"/>
                <w:color w:val="000000"/>
                <w:sz w:val="16"/>
                <w:szCs w:val="16"/>
              </w:rPr>
            </w:pPr>
          </w:p>
        </w:tc>
      </w:tr>
      <w:tr w:rsidR="00992C5E" w:rsidRPr="00A250F9" w14:paraId="572EF8C7" w14:textId="77777777" w:rsidTr="00FB68E0">
        <w:trPr>
          <w:trHeight w:val="2160"/>
        </w:trPr>
        <w:tc>
          <w:tcPr>
            <w:tcW w:w="2283" w:type="dxa"/>
            <w:tcBorders>
              <w:top w:val="single" w:sz="4" w:space="0" w:color="auto"/>
              <w:left w:val="single" w:sz="4" w:space="0" w:color="auto"/>
              <w:bottom w:val="nil"/>
              <w:right w:val="nil"/>
            </w:tcBorders>
            <w:shd w:val="clear" w:color="000000" w:fill="FFFFFF"/>
            <w:hideMark/>
          </w:tcPr>
          <w:p w14:paraId="27554B66"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lastRenderedPageBreak/>
              <w:t> </w:t>
            </w:r>
          </w:p>
        </w:tc>
        <w:tc>
          <w:tcPr>
            <w:tcW w:w="2597" w:type="dxa"/>
            <w:tcBorders>
              <w:top w:val="single" w:sz="4" w:space="0" w:color="auto"/>
              <w:left w:val="nil"/>
              <w:bottom w:val="nil"/>
              <w:right w:val="nil"/>
            </w:tcBorders>
            <w:shd w:val="clear" w:color="000000" w:fill="FFFFFF"/>
            <w:hideMark/>
          </w:tcPr>
          <w:p w14:paraId="252BC5BC" w14:textId="77777777" w:rsidR="007979F6" w:rsidRDefault="007979F6" w:rsidP="00E641D8">
            <w:pPr>
              <w:rPr>
                <w:rFonts w:ascii="Arial" w:eastAsia="Times New Roman" w:hAnsi="Arial" w:cs="Arial"/>
                <w:color w:val="000000"/>
                <w:sz w:val="16"/>
                <w:szCs w:val="16"/>
              </w:rPr>
            </w:pPr>
          </w:p>
          <w:p w14:paraId="0E3A547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Geographical diversity:% of Staff per region</w:t>
            </w:r>
          </w:p>
        </w:tc>
        <w:tc>
          <w:tcPr>
            <w:tcW w:w="2440" w:type="dxa"/>
            <w:tcBorders>
              <w:top w:val="single" w:sz="4" w:space="0" w:color="auto"/>
              <w:left w:val="nil"/>
              <w:bottom w:val="nil"/>
              <w:right w:val="nil"/>
            </w:tcBorders>
            <w:shd w:val="clear" w:color="000000" w:fill="FFFFFF"/>
            <w:hideMark/>
          </w:tcPr>
          <w:p w14:paraId="1B4D8B13" w14:textId="77777777" w:rsidR="007979F6" w:rsidRDefault="007979F6" w:rsidP="00E641D8">
            <w:pPr>
              <w:rPr>
                <w:rFonts w:ascii="Arial" w:eastAsia="Times New Roman" w:hAnsi="Arial" w:cs="Arial"/>
                <w:color w:val="000000"/>
                <w:sz w:val="16"/>
                <w:szCs w:val="16"/>
              </w:rPr>
            </w:pPr>
          </w:p>
          <w:p w14:paraId="6EC7D703" w14:textId="4C4770E7" w:rsidR="00992C5E" w:rsidRPr="00A250F9" w:rsidRDefault="00992C5E">
            <w:pPr>
              <w:rPr>
                <w:rFonts w:ascii="Arial" w:eastAsia="Times New Roman" w:hAnsi="Arial" w:cs="Arial"/>
                <w:color w:val="000000"/>
                <w:sz w:val="16"/>
                <w:szCs w:val="16"/>
              </w:rPr>
            </w:pPr>
            <w:r w:rsidRPr="00A250F9">
              <w:rPr>
                <w:rFonts w:ascii="Arial" w:eastAsia="Times New Roman" w:hAnsi="Arial" w:cs="Arial"/>
                <w:color w:val="000000"/>
                <w:sz w:val="16"/>
                <w:szCs w:val="16"/>
              </w:rPr>
              <w:t>Africa - 10.8%</w:t>
            </w:r>
            <w:r w:rsidRPr="00A250F9">
              <w:rPr>
                <w:rFonts w:ascii="Arial" w:eastAsia="Times New Roman" w:hAnsi="Arial" w:cs="Arial"/>
                <w:color w:val="000000"/>
                <w:sz w:val="16"/>
                <w:szCs w:val="16"/>
              </w:rPr>
              <w:br/>
              <w:t>Asia &amp; the Pacific - 13.5%</w:t>
            </w:r>
            <w:r w:rsidRPr="00A250F9">
              <w:rPr>
                <w:rFonts w:ascii="Arial" w:eastAsia="Times New Roman" w:hAnsi="Arial" w:cs="Arial"/>
                <w:color w:val="000000"/>
                <w:sz w:val="16"/>
                <w:szCs w:val="16"/>
              </w:rPr>
              <w:br/>
              <w:t>Eastern &amp; Central Europe &amp; central Asia - 6.7%</w:t>
            </w:r>
            <w:r w:rsidRPr="00A250F9">
              <w:rPr>
                <w:rFonts w:ascii="Arial" w:eastAsia="Times New Roman" w:hAnsi="Arial" w:cs="Arial"/>
                <w:color w:val="000000"/>
                <w:sz w:val="16"/>
                <w:szCs w:val="16"/>
              </w:rPr>
              <w:br/>
              <w:t xml:space="preserve">Latin America </w:t>
            </w:r>
            <w:r w:rsidR="004D3E01">
              <w:rPr>
                <w:rFonts w:ascii="Arial" w:eastAsia="Times New Roman" w:hAnsi="Arial" w:cs="Arial"/>
                <w:color w:val="000000"/>
                <w:sz w:val="16"/>
                <w:szCs w:val="16"/>
              </w:rPr>
              <w:t>and</w:t>
            </w:r>
            <w:r w:rsidR="004D3E01" w:rsidRPr="00A250F9">
              <w:rPr>
                <w:rFonts w:ascii="Arial" w:eastAsia="Times New Roman" w:hAnsi="Arial" w:cs="Arial"/>
                <w:color w:val="000000"/>
                <w:sz w:val="16"/>
                <w:szCs w:val="16"/>
              </w:rPr>
              <w:t xml:space="preserve"> </w:t>
            </w:r>
            <w:r w:rsidRPr="00A250F9">
              <w:rPr>
                <w:rFonts w:ascii="Arial" w:eastAsia="Times New Roman" w:hAnsi="Arial" w:cs="Arial"/>
                <w:color w:val="000000"/>
                <w:sz w:val="16"/>
                <w:szCs w:val="16"/>
              </w:rPr>
              <w:t>the Caribbean - 8.2%</w:t>
            </w:r>
            <w:r w:rsidRPr="00A250F9">
              <w:rPr>
                <w:rFonts w:ascii="Arial" w:eastAsia="Times New Roman" w:hAnsi="Arial" w:cs="Arial"/>
                <w:color w:val="000000"/>
                <w:sz w:val="16"/>
                <w:szCs w:val="16"/>
              </w:rPr>
              <w:br/>
              <w:t>Middle East - 1.2%</w:t>
            </w:r>
            <w:r w:rsidRPr="00A250F9">
              <w:rPr>
                <w:rFonts w:ascii="Arial" w:eastAsia="Times New Roman" w:hAnsi="Arial" w:cs="Arial"/>
                <w:color w:val="000000"/>
                <w:sz w:val="16"/>
                <w:szCs w:val="16"/>
              </w:rPr>
              <w:br/>
              <w:t>North America - 8.4%</w:t>
            </w:r>
            <w:r w:rsidRPr="00A250F9">
              <w:rPr>
                <w:rFonts w:ascii="Arial" w:eastAsia="Times New Roman" w:hAnsi="Arial" w:cs="Arial"/>
                <w:color w:val="000000"/>
                <w:sz w:val="16"/>
                <w:szCs w:val="16"/>
              </w:rPr>
              <w:br/>
              <w:t>Western Europe - 51.2%</w:t>
            </w:r>
            <w:r w:rsidRPr="00A250F9">
              <w:rPr>
                <w:rFonts w:ascii="Arial" w:eastAsia="Times New Roman" w:hAnsi="Arial" w:cs="Arial"/>
                <w:color w:val="000000"/>
                <w:sz w:val="16"/>
                <w:szCs w:val="16"/>
              </w:rPr>
              <w:br/>
              <w:t>(Dec. 2014)</w:t>
            </w:r>
          </w:p>
        </w:tc>
        <w:tc>
          <w:tcPr>
            <w:tcW w:w="1909" w:type="dxa"/>
            <w:tcBorders>
              <w:top w:val="single" w:sz="4" w:space="0" w:color="auto"/>
              <w:left w:val="nil"/>
              <w:bottom w:val="nil"/>
              <w:right w:val="single" w:sz="4" w:space="0" w:color="auto"/>
            </w:tcBorders>
            <w:shd w:val="clear" w:color="000000" w:fill="FFFFFF"/>
            <w:hideMark/>
          </w:tcPr>
          <w:p w14:paraId="08DD2036" w14:textId="77777777" w:rsidR="007979F6" w:rsidRDefault="007979F6" w:rsidP="00E641D8">
            <w:pPr>
              <w:rPr>
                <w:rFonts w:ascii="Arial" w:eastAsia="Times New Roman" w:hAnsi="Arial" w:cs="Arial"/>
                <w:color w:val="000000"/>
                <w:sz w:val="16"/>
                <w:szCs w:val="16"/>
              </w:rPr>
            </w:pPr>
          </w:p>
          <w:p w14:paraId="03907040"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WIPO’s policy on geographical distribution requires consideration by Member States. </w:t>
            </w:r>
          </w:p>
        </w:tc>
      </w:tr>
      <w:tr w:rsidR="00992C5E" w:rsidRPr="00A250F9" w14:paraId="5E03DFA2" w14:textId="77777777" w:rsidTr="00FB68E0">
        <w:trPr>
          <w:trHeight w:val="747"/>
        </w:trPr>
        <w:tc>
          <w:tcPr>
            <w:tcW w:w="2283" w:type="dxa"/>
            <w:tcBorders>
              <w:top w:val="nil"/>
              <w:left w:val="single" w:sz="4" w:space="0" w:color="auto"/>
              <w:bottom w:val="nil"/>
              <w:right w:val="nil"/>
            </w:tcBorders>
            <w:shd w:val="clear" w:color="000000" w:fill="FFFFFF"/>
          </w:tcPr>
          <w:p w14:paraId="400AC69B" w14:textId="77777777" w:rsidR="00992C5E" w:rsidRPr="00A250F9" w:rsidRDefault="00992C5E" w:rsidP="00E641D8">
            <w:pPr>
              <w:rPr>
                <w:rFonts w:ascii="Arial" w:eastAsia="Times New Roman" w:hAnsi="Arial" w:cs="Arial"/>
                <w:color w:val="000000"/>
                <w:sz w:val="16"/>
                <w:szCs w:val="16"/>
              </w:rPr>
            </w:pPr>
          </w:p>
        </w:tc>
        <w:tc>
          <w:tcPr>
            <w:tcW w:w="2597" w:type="dxa"/>
            <w:tcBorders>
              <w:top w:val="nil"/>
              <w:left w:val="nil"/>
              <w:bottom w:val="nil"/>
              <w:right w:val="nil"/>
            </w:tcBorders>
            <w:shd w:val="clear" w:color="000000" w:fill="FFFFFF"/>
          </w:tcPr>
          <w:p w14:paraId="7871F9C1"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No. of applications received from unrepresented Member States as a % of total</w:t>
            </w:r>
          </w:p>
        </w:tc>
        <w:tc>
          <w:tcPr>
            <w:tcW w:w="2440" w:type="dxa"/>
            <w:tcBorders>
              <w:top w:val="nil"/>
              <w:left w:val="nil"/>
              <w:bottom w:val="nil"/>
              <w:right w:val="nil"/>
            </w:tcBorders>
            <w:shd w:val="clear" w:color="000000" w:fill="FFFFFF"/>
          </w:tcPr>
          <w:p w14:paraId="47874BF6"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 end 2015</w:t>
            </w:r>
          </w:p>
        </w:tc>
        <w:tc>
          <w:tcPr>
            <w:tcW w:w="1909" w:type="dxa"/>
            <w:tcBorders>
              <w:top w:val="nil"/>
              <w:left w:val="nil"/>
              <w:bottom w:val="nil"/>
              <w:right w:val="single" w:sz="4" w:space="0" w:color="auto"/>
            </w:tcBorders>
            <w:shd w:val="clear" w:color="000000" w:fill="FFFFFF"/>
          </w:tcPr>
          <w:p w14:paraId="2C79F6F5"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 end 2015 (based on % increase between 2014-2015)</w:t>
            </w:r>
          </w:p>
        </w:tc>
      </w:tr>
      <w:tr w:rsidR="00992C5E" w:rsidRPr="00A250F9" w14:paraId="101FA4F8" w14:textId="77777777" w:rsidTr="00FB68E0">
        <w:trPr>
          <w:trHeight w:val="567"/>
        </w:trPr>
        <w:tc>
          <w:tcPr>
            <w:tcW w:w="2283" w:type="dxa"/>
            <w:tcBorders>
              <w:top w:val="nil"/>
              <w:left w:val="single" w:sz="4" w:space="0" w:color="auto"/>
              <w:right w:val="nil"/>
            </w:tcBorders>
            <w:shd w:val="clear" w:color="000000" w:fill="FFFFFF"/>
            <w:hideMark/>
          </w:tcPr>
          <w:p w14:paraId="55A72065"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top w:val="nil"/>
              <w:left w:val="nil"/>
              <w:right w:val="nil"/>
            </w:tcBorders>
            <w:shd w:val="clear" w:color="000000" w:fill="FFFFFF"/>
            <w:hideMark/>
          </w:tcPr>
          <w:p w14:paraId="079294AB"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xml:space="preserve">Enhanced maturity of HR Planning </w:t>
            </w:r>
          </w:p>
        </w:tc>
        <w:tc>
          <w:tcPr>
            <w:tcW w:w="2440" w:type="dxa"/>
            <w:tcBorders>
              <w:top w:val="nil"/>
              <w:left w:val="nil"/>
              <w:right w:val="nil"/>
            </w:tcBorders>
            <w:shd w:val="clear" w:color="000000" w:fill="FFFFFF"/>
            <w:hideMark/>
          </w:tcPr>
          <w:p w14:paraId="1D5E0CA9"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w:t>
            </w:r>
          </w:p>
        </w:tc>
        <w:tc>
          <w:tcPr>
            <w:tcW w:w="1909" w:type="dxa"/>
            <w:tcBorders>
              <w:top w:val="nil"/>
              <w:left w:val="nil"/>
              <w:right w:val="single" w:sz="4" w:space="0" w:color="auto"/>
            </w:tcBorders>
            <w:shd w:val="clear" w:color="000000" w:fill="FFFFFF"/>
            <w:hideMark/>
          </w:tcPr>
          <w:p w14:paraId="3C186D23"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w:t>
            </w:r>
          </w:p>
        </w:tc>
      </w:tr>
      <w:tr w:rsidR="00992C5E" w:rsidRPr="00A250F9" w14:paraId="4A7FB52F" w14:textId="77777777" w:rsidTr="00FB68E0">
        <w:trPr>
          <w:trHeight w:val="1170"/>
        </w:trPr>
        <w:tc>
          <w:tcPr>
            <w:tcW w:w="2283" w:type="dxa"/>
            <w:tcBorders>
              <w:top w:val="nil"/>
              <w:left w:val="single" w:sz="4" w:space="0" w:color="auto"/>
              <w:bottom w:val="single" w:sz="4" w:space="0" w:color="auto"/>
              <w:right w:val="nil"/>
            </w:tcBorders>
            <w:shd w:val="clear" w:color="000000" w:fill="FFFFFF"/>
            <w:hideMark/>
          </w:tcPr>
          <w:p w14:paraId="29087BF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w:t>
            </w:r>
          </w:p>
        </w:tc>
        <w:tc>
          <w:tcPr>
            <w:tcW w:w="2597" w:type="dxa"/>
            <w:tcBorders>
              <w:top w:val="nil"/>
              <w:left w:val="nil"/>
              <w:bottom w:val="single" w:sz="4" w:space="0" w:color="auto"/>
              <w:right w:val="nil"/>
            </w:tcBorders>
            <w:shd w:val="clear" w:color="000000" w:fill="FFFFFF"/>
            <w:hideMark/>
          </w:tcPr>
          <w:p w14:paraId="45894DBC"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 of trainings needs fulfilled of which: (i) critical collective training needs and (ii) individual training needs</w:t>
            </w:r>
          </w:p>
        </w:tc>
        <w:tc>
          <w:tcPr>
            <w:tcW w:w="2440" w:type="dxa"/>
            <w:tcBorders>
              <w:top w:val="nil"/>
              <w:left w:val="nil"/>
              <w:bottom w:val="single" w:sz="4" w:space="0" w:color="auto"/>
              <w:right w:val="nil"/>
            </w:tcBorders>
            <w:shd w:val="clear" w:color="000000" w:fill="FFFFFF"/>
            <w:hideMark/>
          </w:tcPr>
          <w:p w14:paraId="3F78014F" w14:textId="77777777" w:rsidR="00992C5E" w:rsidRPr="00A250F9" w:rsidRDefault="00992C5E" w:rsidP="00E641D8">
            <w:pPr>
              <w:rPr>
                <w:rFonts w:ascii="Arial" w:eastAsia="Times New Roman" w:hAnsi="Arial" w:cs="Arial"/>
                <w:color w:val="000000"/>
                <w:sz w:val="16"/>
                <w:szCs w:val="16"/>
              </w:rPr>
            </w:pPr>
            <w:r w:rsidRPr="00A250F9">
              <w:rPr>
                <w:rFonts w:ascii="Arial" w:eastAsia="Times New Roman" w:hAnsi="Arial" w:cs="Arial"/>
                <w:color w:val="000000"/>
                <w:sz w:val="16"/>
                <w:szCs w:val="16"/>
              </w:rPr>
              <w:t>tbd end 2015</w:t>
            </w:r>
          </w:p>
        </w:tc>
        <w:tc>
          <w:tcPr>
            <w:tcW w:w="1909" w:type="dxa"/>
            <w:tcBorders>
              <w:top w:val="nil"/>
              <w:left w:val="nil"/>
              <w:bottom w:val="single" w:sz="4" w:space="0" w:color="auto"/>
              <w:right w:val="single" w:sz="4" w:space="0" w:color="auto"/>
            </w:tcBorders>
            <w:shd w:val="clear" w:color="000000" w:fill="FFFFFF"/>
            <w:hideMark/>
          </w:tcPr>
          <w:p w14:paraId="79D70FA2" w14:textId="544795C5" w:rsidR="00992C5E" w:rsidRPr="00A250F9" w:rsidRDefault="00E516AC" w:rsidP="00E641D8">
            <w:pPr>
              <w:rPr>
                <w:rFonts w:ascii="Arial" w:eastAsia="Times New Roman" w:hAnsi="Arial" w:cs="Arial"/>
                <w:color w:val="000000"/>
                <w:sz w:val="16"/>
                <w:szCs w:val="16"/>
              </w:rPr>
            </w:pPr>
            <w:r>
              <w:rPr>
                <w:rFonts w:ascii="Arial" w:eastAsia="Times New Roman" w:hAnsi="Arial" w:cs="Arial"/>
                <w:color w:val="000000"/>
                <w:sz w:val="16"/>
                <w:szCs w:val="16"/>
              </w:rPr>
              <w:t>(</w:t>
            </w:r>
            <w:r w:rsidR="00992C5E" w:rsidRPr="00A250F9">
              <w:rPr>
                <w:rFonts w:ascii="Arial" w:eastAsia="Times New Roman" w:hAnsi="Arial" w:cs="Arial"/>
                <w:color w:val="000000"/>
                <w:sz w:val="16"/>
                <w:szCs w:val="16"/>
              </w:rPr>
              <w:t>i) 60% of the needs are addressed by a training program</w:t>
            </w:r>
            <w:r w:rsidR="00992C5E" w:rsidRPr="00A250F9">
              <w:rPr>
                <w:rFonts w:ascii="Arial" w:eastAsia="Times New Roman" w:hAnsi="Arial" w:cs="Arial"/>
                <w:color w:val="000000"/>
                <w:sz w:val="16"/>
                <w:szCs w:val="16"/>
              </w:rPr>
              <w:br/>
            </w:r>
            <w:r>
              <w:rPr>
                <w:rFonts w:ascii="Arial" w:eastAsia="Times New Roman" w:hAnsi="Arial" w:cs="Arial"/>
                <w:color w:val="000000"/>
                <w:sz w:val="16"/>
                <w:szCs w:val="16"/>
              </w:rPr>
              <w:t>(</w:t>
            </w:r>
            <w:r w:rsidR="00992C5E" w:rsidRPr="00A250F9">
              <w:rPr>
                <w:rFonts w:ascii="Arial" w:eastAsia="Times New Roman" w:hAnsi="Arial" w:cs="Arial"/>
                <w:color w:val="000000"/>
                <w:sz w:val="16"/>
                <w:szCs w:val="16"/>
              </w:rPr>
              <w:t>ii) 55% of individual training needs are fulfilled</w:t>
            </w:r>
          </w:p>
        </w:tc>
      </w:tr>
    </w:tbl>
    <w:p w14:paraId="2056A52B" w14:textId="77777777" w:rsidR="00992C5E" w:rsidRDefault="00992C5E" w:rsidP="00E641D8">
      <w:pPr>
        <w:rPr>
          <w:rFonts w:ascii="Arial" w:eastAsia="Times New Roman" w:hAnsi="Arial" w:cs="Arial"/>
          <w:sz w:val="20"/>
          <w:szCs w:val="20"/>
        </w:rPr>
      </w:pPr>
    </w:p>
    <w:p w14:paraId="370B14F9" w14:textId="77777777" w:rsidR="00992C5E" w:rsidRPr="00A250F9" w:rsidRDefault="00992C5E" w:rsidP="00E641D8">
      <w:pPr>
        <w:rPr>
          <w:rFonts w:ascii="Arial" w:eastAsia="Times New Roman" w:hAnsi="Arial" w:cs="Arial"/>
          <w:sz w:val="20"/>
          <w:szCs w:val="20"/>
        </w:rPr>
      </w:pPr>
    </w:p>
    <w:p w14:paraId="3F3070B2" w14:textId="5E0FA1A8" w:rsidR="00992C5E" w:rsidRPr="00E55523" w:rsidRDefault="00992C5E" w:rsidP="00E641D8">
      <w:pPr>
        <w:rPr>
          <w:rFonts w:ascii="Arial" w:eastAsia="Times New Roman" w:hAnsi="Arial" w:cs="Arial"/>
          <w:szCs w:val="20"/>
        </w:rPr>
      </w:pPr>
      <w:r w:rsidRPr="00E55523">
        <w:rPr>
          <w:rFonts w:ascii="Arial" w:eastAsia="Times New Roman" w:hAnsi="Arial" w:cs="Arial"/>
          <w:szCs w:val="20"/>
        </w:rPr>
        <w:t>RESOURCES FOR PROGRAM 23</w:t>
      </w:r>
    </w:p>
    <w:p w14:paraId="40602725" w14:textId="77777777" w:rsidR="00992C5E" w:rsidRPr="00A250F9" w:rsidRDefault="00992C5E" w:rsidP="00E641D8">
      <w:pPr>
        <w:rPr>
          <w:rFonts w:ascii="Arial" w:eastAsia="Times New Roman" w:hAnsi="Arial" w:cs="Arial"/>
          <w:sz w:val="20"/>
          <w:szCs w:val="20"/>
        </w:rPr>
      </w:pPr>
    </w:p>
    <w:p w14:paraId="43CA7F0C" w14:textId="77777777" w:rsidR="00992C5E"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 xml:space="preserve">The total resources for the Program in 2016/17 remain stable compared to the 2014/15 Budget after Transfers. The decrease in Internships, which is now budgeted directly at program level, is offset by additional resources foreseen for (a) geographical diversity and gender balance related activities, (b) the WIPO Rewards and Recognition Program and (c) contributions to UN system-wide common costs. </w:t>
      </w:r>
    </w:p>
    <w:p w14:paraId="4A78C993" w14:textId="77777777" w:rsidR="00992C5E" w:rsidRPr="00A250F9" w:rsidRDefault="00992C5E" w:rsidP="00E641D8">
      <w:pPr>
        <w:pStyle w:val="ListParagraph"/>
        <w:ind w:left="0"/>
        <w:jc w:val="both"/>
        <w:rPr>
          <w:rFonts w:ascii="Arial" w:hAnsi="Arial" w:cs="Arial"/>
          <w:sz w:val="20"/>
          <w:szCs w:val="20"/>
        </w:rPr>
      </w:pPr>
    </w:p>
    <w:p w14:paraId="16D9DA8E" w14:textId="77777777" w:rsidR="00992C5E" w:rsidRPr="00A250F9" w:rsidRDefault="00992C5E" w:rsidP="00B66A4A">
      <w:pPr>
        <w:pStyle w:val="ListParagraph"/>
        <w:numPr>
          <w:ilvl w:val="0"/>
          <w:numId w:val="23"/>
        </w:numPr>
        <w:ind w:left="0" w:firstLine="0"/>
        <w:jc w:val="both"/>
        <w:rPr>
          <w:rFonts w:ascii="Arial" w:hAnsi="Arial" w:cs="Arial"/>
          <w:sz w:val="20"/>
          <w:szCs w:val="20"/>
        </w:rPr>
      </w:pPr>
      <w:r w:rsidRPr="00A250F9">
        <w:rPr>
          <w:rFonts w:ascii="Arial" w:hAnsi="Arial" w:cs="Arial"/>
          <w:sz w:val="20"/>
          <w:szCs w:val="20"/>
        </w:rPr>
        <w:t xml:space="preserve">The increase observed in the number of posts between the 2016/17 Proposed Budget and the 2014/15 Approved Budget reflects the regularization of temporary positions in the biennium. </w:t>
      </w:r>
    </w:p>
    <w:p w14:paraId="3EA23E5F" w14:textId="77777777" w:rsidR="00992C5E" w:rsidRDefault="00992C5E" w:rsidP="00E641D8">
      <w:pPr>
        <w:tabs>
          <w:tab w:val="left" w:pos="1427"/>
        </w:tabs>
        <w:jc w:val="center"/>
        <w:rPr>
          <w:rFonts w:ascii="Arial" w:hAnsi="Arial" w:cs="Arial"/>
          <w:b/>
          <w:sz w:val="20"/>
          <w:szCs w:val="20"/>
        </w:rPr>
      </w:pPr>
    </w:p>
    <w:p w14:paraId="713F929B" w14:textId="77777777" w:rsidR="00992C5E" w:rsidRPr="00A250F9" w:rsidRDefault="00992C5E" w:rsidP="00E641D8">
      <w:pPr>
        <w:tabs>
          <w:tab w:val="left" w:pos="1427"/>
        </w:tabs>
        <w:jc w:val="center"/>
        <w:rPr>
          <w:rFonts w:ascii="Arial" w:hAnsi="Arial" w:cs="Arial"/>
          <w:b/>
          <w:sz w:val="20"/>
          <w:szCs w:val="20"/>
        </w:rPr>
      </w:pPr>
    </w:p>
    <w:p w14:paraId="2EE84B2E" w14:textId="77777777" w:rsidR="00992C5E" w:rsidRPr="00A250F9" w:rsidRDefault="00992C5E" w:rsidP="00E641D8">
      <w:pPr>
        <w:keepNext/>
        <w:keepLines/>
        <w:tabs>
          <w:tab w:val="left" w:pos="1427"/>
        </w:tabs>
        <w:jc w:val="center"/>
        <w:rPr>
          <w:rFonts w:ascii="Arial" w:hAnsi="Arial" w:cs="Arial"/>
          <w:sz w:val="20"/>
          <w:szCs w:val="20"/>
        </w:rPr>
      </w:pPr>
      <w:r w:rsidRPr="00A250F9">
        <w:rPr>
          <w:rFonts w:ascii="Arial" w:hAnsi="Arial" w:cs="Arial"/>
          <w:b/>
          <w:sz w:val="20"/>
          <w:szCs w:val="20"/>
        </w:rPr>
        <w:t>Program 23:  Resources by Result</w:t>
      </w:r>
    </w:p>
    <w:p w14:paraId="2098FBC1" w14:textId="77777777" w:rsidR="00992C5E" w:rsidRPr="00A250F9" w:rsidRDefault="00992C5E" w:rsidP="00E641D8">
      <w:pPr>
        <w:keepNext/>
        <w:keepLines/>
        <w:tabs>
          <w:tab w:val="left" w:pos="1427"/>
        </w:tabs>
        <w:jc w:val="center"/>
        <w:rPr>
          <w:rFonts w:ascii="Arial" w:hAnsi="Arial" w:cs="Arial"/>
          <w:i/>
          <w:sz w:val="20"/>
          <w:szCs w:val="20"/>
        </w:rPr>
      </w:pPr>
      <w:r w:rsidRPr="00A250F9">
        <w:rPr>
          <w:rFonts w:ascii="Arial" w:hAnsi="Arial" w:cs="Arial"/>
          <w:i/>
          <w:sz w:val="20"/>
          <w:szCs w:val="20"/>
        </w:rPr>
        <w:t>(In thousands of Swiss francs)</w:t>
      </w:r>
    </w:p>
    <w:p w14:paraId="27FEDF00" w14:textId="77777777" w:rsidR="00992C5E" w:rsidRPr="00A250F9" w:rsidRDefault="00992C5E" w:rsidP="00E641D8">
      <w:pPr>
        <w:keepNext/>
        <w:keepLines/>
        <w:tabs>
          <w:tab w:val="left" w:pos="1427"/>
        </w:tabs>
        <w:jc w:val="center"/>
        <w:rPr>
          <w:rFonts w:ascii="Arial" w:hAnsi="Arial" w:cs="Arial"/>
          <w:i/>
          <w:sz w:val="20"/>
          <w:szCs w:val="20"/>
        </w:rPr>
      </w:pPr>
    </w:p>
    <w:p w14:paraId="77BDCC34" w14:textId="77777777" w:rsidR="00992C5E" w:rsidRPr="00A250F9" w:rsidRDefault="00992C5E" w:rsidP="00E641D8">
      <w:pPr>
        <w:keepNext/>
        <w:keepLines/>
        <w:tabs>
          <w:tab w:val="left" w:pos="1427"/>
        </w:tabs>
        <w:jc w:val="center"/>
        <w:rPr>
          <w:rFonts w:ascii="Arial" w:hAnsi="Arial" w:cs="Arial"/>
          <w:i/>
          <w:sz w:val="20"/>
          <w:szCs w:val="20"/>
        </w:rPr>
      </w:pPr>
      <w:r w:rsidRPr="00A250F9">
        <w:rPr>
          <w:rFonts w:ascii="Arial" w:hAnsi="Arial" w:cs="Arial"/>
          <w:noProof/>
          <w:sz w:val="20"/>
          <w:szCs w:val="20"/>
          <w:lang w:eastAsia="en-US"/>
        </w:rPr>
        <w:drawing>
          <wp:inline distT="0" distB="0" distL="0" distR="0" wp14:anchorId="36DC3EFE" wp14:editId="5F1B54D2">
            <wp:extent cx="5176299" cy="1656532"/>
            <wp:effectExtent l="0" t="0" r="5715"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184199" cy="1659060"/>
                    </a:xfrm>
                    <a:prstGeom prst="rect">
                      <a:avLst/>
                    </a:prstGeom>
                    <a:noFill/>
                    <a:ln>
                      <a:noFill/>
                    </a:ln>
                  </pic:spPr>
                </pic:pic>
              </a:graphicData>
            </a:graphic>
          </wp:inline>
        </w:drawing>
      </w:r>
    </w:p>
    <w:p w14:paraId="474FD27D" w14:textId="77777777" w:rsidR="00992C5E" w:rsidRPr="00A250F9" w:rsidRDefault="00992C5E" w:rsidP="00E641D8">
      <w:pPr>
        <w:keepNext/>
        <w:keepLines/>
        <w:tabs>
          <w:tab w:val="left" w:pos="1427"/>
        </w:tabs>
        <w:jc w:val="center"/>
        <w:rPr>
          <w:rFonts w:ascii="Arial" w:hAnsi="Arial" w:cs="Arial"/>
          <w:i/>
          <w:sz w:val="20"/>
          <w:szCs w:val="20"/>
        </w:rPr>
      </w:pPr>
    </w:p>
    <w:p w14:paraId="5C4AD8F4" w14:textId="77777777" w:rsidR="00992C5E" w:rsidRPr="00D47739" w:rsidRDefault="00992C5E" w:rsidP="00E641D8">
      <w:pPr>
        <w:tabs>
          <w:tab w:val="left" w:pos="1427"/>
        </w:tabs>
        <w:rPr>
          <w:rFonts w:ascii="Arial" w:hAnsi="Arial" w:cs="Arial"/>
          <w:sz w:val="20"/>
          <w:szCs w:val="20"/>
        </w:rPr>
      </w:pPr>
    </w:p>
    <w:p w14:paraId="3E71F6C9" w14:textId="77777777" w:rsidR="00992C5E" w:rsidRPr="00D47739" w:rsidRDefault="00992C5E" w:rsidP="00E641D8">
      <w:pPr>
        <w:tabs>
          <w:tab w:val="left" w:pos="1427"/>
        </w:tabs>
        <w:rPr>
          <w:rFonts w:ascii="Arial" w:hAnsi="Arial" w:cs="Arial"/>
          <w:sz w:val="20"/>
          <w:szCs w:val="20"/>
        </w:rPr>
      </w:pPr>
    </w:p>
    <w:p w14:paraId="3515574F" w14:textId="77777777" w:rsidR="00992C5E" w:rsidRPr="00A250F9" w:rsidRDefault="00992C5E" w:rsidP="00E641D8">
      <w:pPr>
        <w:keepNext/>
        <w:keepLines/>
        <w:tabs>
          <w:tab w:val="left" w:pos="1427"/>
        </w:tabs>
        <w:jc w:val="center"/>
        <w:rPr>
          <w:rFonts w:ascii="Arial" w:hAnsi="Arial" w:cs="Arial"/>
          <w:sz w:val="20"/>
          <w:szCs w:val="20"/>
        </w:rPr>
      </w:pPr>
      <w:r w:rsidRPr="00A250F9">
        <w:rPr>
          <w:rFonts w:ascii="Arial" w:hAnsi="Arial" w:cs="Arial"/>
          <w:b/>
          <w:sz w:val="20"/>
          <w:szCs w:val="20"/>
        </w:rPr>
        <w:lastRenderedPageBreak/>
        <w:t>Program 23:  Resources by Object of Expenditure</w:t>
      </w:r>
    </w:p>
    <w:p w14:paraId="0EC346D2" w14:textId="77777777" w:rsidR="00992C5E" w:rsidRPr="00A250F9" w:rsidRDefault="00992C5E" w:rsidP="00E641D8">
      <w:pPr>
        <w:keepNext/>
        <w:keepLines/>
        <w:tabs>
          <w:tab w:val="left" w:pos="1427"/>
        </w:tabs>
        <w:jc w:val="center"/>
        <w:rPr>
          <w:rFonts w:ascii="Arial" w:hAnsi="Arial" w:cs="Arial"/>
          <w:sz w:val="20"/>
          <w:szCs w:val="20"/>
        </w:rPr>
      </w:pPr>
      <w:r w:rsidRPr="00A250F9">
        <w:rPr>
          <w:rFonts w:ascii="Arial" w:hAnsi="Arial" w:cs="Arial"/>
          <w:i/>
          <w:sz w:val="20"/>
          <w:szCs w:val="20"/>
        </w:rPr>
        <w:t>(In thousands of Swiss francs)</w:t>
      </w:r>
    </w:p>
    <w:p w14:paraId="7480A6F3" w14:textId="77777777" w:rsidR="00992C5E" w:rsidRPr="00A250F9" w:rsidRDefault="00992C5E" w:rsidP="00E641D8">
      <w:pPr>
        <w:keepNext/>
        <w:keepLines/>
        <w:tabs>
          <w:tab w:val="left" w:pos="1427"/>
        </w:tabs>
        <w:jc w:val="center"/>
        <w:rPr>
          <w:rFonts w:ascii="Arial" w:hAnsi="Arial" w:cs="Arial"/>
          <w:i/>
          <w:sz w:val="20"/>
          <w:szCs w:val="20"/>
        </w:rPr>
      </w:pPr>
    </w:p>
    <w:p w14:paraId="0691AF1E" w14:textId="77777777" w:rsidR="00992C5E" w:rsidRPr="00A250F9" w:rsidRDefault="00992C5E" w:rsidP="00BC77A3">
      <w:pPr>
        <w:keepNext/>
        <w:keepLines/>
        <w:tabs>
          <w:tab w:val="left" w:pos="1427"/>
        </w:tabs>
        <w:jc w:val="center"/>
        <w:rPr>
          <w:rFonts w:ascii="Arial" w:hAnsi="Arial" w:cs="Arial"/>
          <w:i/>
          <w:sz w:val="20"/>
          <w:szCs w:val="20"/>
        </w:rPr>
      </w:pPr>
      <w:r w:rsidRPr="00A250F9">
        <w:rPr>
          <w:rFonts w:ascii="Arial" w:hAnsi="Arial" w:cs="Arial"/>
          <w:noProof/>
          <w:sz w:val="20"/>
          <w:szCs w:val="20"/>
          <w:lang w:eastAsia="en-US"/>
        </w:rPr>
        <w:drawing>
          <wp:inline distT="0" distB="0" distL="0" distR="0" wp14:anchorId="78B728F2" wp14:editId="410B09C9">
            <wp:extent cx="5140445" cy="5788550"/>
            <wp:effectExtent l="0" t="0" r="3175"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146724" cy="5795621"/>
                    </a:xfrm>
                    <a:prstGeom prst="rect">
                      <a:avLst/>
                    </a:prstGeom>
                    <a:noFill/>
                    <a:ln>
                      <a:noFill/>
                    </a:ln>
                  </pic:spPr>
                </pic:pic>
              </a:graphicData>
            </a:graphic>
          </wp:inline>
        </w:drawing>
      </w:r>
    </w:p>
    <w:p w14:paraId="1DF7C886" w14:textId="77777777" w:rsidR="00992C5E" w:rsidRPr="00A250F9" w:rsidRDefault="00992C5E" w:rsidP="00E641D8">
      <w:pPr>
        <w:rPr>
          <w:rFonts w:ascii="Arial" w:eastAsia="Times New Roman" w:hAnsi="Arial" w:cs="Arial"/>
          <w:sz w:val="20"/>
          <w:szCs w:val="20"/>
        </w:rPr>
      </w:pPr>
    </w:p>
    <w:p w14:paraId="45D4801D" w14:textId="77777777" w:rsidR="00992C5E" w:rsidRPr="00A250F9" w:rsidRDefault="00992C5E" w:rsidP="00E641D8">
      <w:pPr>
        <w:rPr>
          <w:rFonts w:ascii="Arial" w:eastAsia="Times New Roman" w:hAnsi="Arial" w:cs="Arial"/>
          <w:sz w:val="20"/>
          <w:szCs w:val="20"/>
        </w:rPr>
      </w:pPr>
    </w:p>
    <w:p w14:paraId="0443C4A9" w14:textId="77777777" w:rsidR="00992C5E" w:rsidRPr="00A250F9" w:rsidRDefault="00992C5E" w:rsidP="00E641D8">
      <w:pPr>
        <w:rPr>
          <w:rFonts w:ascii="Arial" w:eastAsia="Times New Roman" w:hAnsi="Arial" w:cs="Arial"/>
          <w:sz w:val="20"/>
          <w:szCs w:val="20"/>
        </w:rPr>
      </w:pPr>
    </w:p>
    <w:p w14:paraId="0620B99A" w14:textId="77777777" w:rsidR="00984F70" w:rsidRPr="008B6DC1" w:rsidRDefault="00984F70" w:rsidP="00984F70">
      <w:pPr>
        <w:rPr>
          <w:rFonts w:ascii="Arial" w:hAnsi="Arial" w:cs="Arial"/>
          <w:sz w:val="20"/>
        </w:rPr>
      </w:pPr>
    </w:p>
    <w:p w14:paraId="77E7E8B1" w14:textId="77777777" w:rsidR="00984F70" w:rsidRDefault="00984F70" w:rsidP="00984F70">
      <w:pPr>
        <w:autoSpaceDE w:val="0"/>
        <w:autoSpaceDN w:val="0"/>
        <w:adjustRightInd w:val="0"/>
        <w:rPr>
          <w:rFonts w:ascii="Arial" w:hAnsi="Arial" w:cs="Arial"/>
          <w:sz w:val="20"/>
        </w:rPr>
      </w:pPr>
    </w:p>
    <w:p w14:paraId="1414ACA1" w14:textId="77777777" w:rsidR="00984F70" w:rsidRPr="002E56A4" w:rsidRDefault="00984F70" w:rsidP="00984F70">
      <w:pPr>
        <w:autoSpaceDE w:val="0"/>
        <w:autoSpaceDN w:val="0"/>
        <w:adjustRightInd w:val="0"/>
        <w:rPr>
          <w:rFonts w:ascii="Arial" w:hAnsi="Arial" w:cs="Arial"/>
          <w:sz w:val="20"/>
        </w:rPr>
      </w:pPr>
    </w:p>
    <w:p w14:paraId="6F7BCF8E" w14:textId="5FE2278E" w:rsidR="00984F70" w:rsidRDefault="00984F70">
      <w:pPr>
        <w:rPr>
          <w:rFonts w:ascii="Arial" w:hAnsi="Arial" w:cs="Arial"/>
          <w:bCs/>
          <w:sz w:val="20"/>
        </w:rPr>
      </w:pPr>
      <w:r>
        <w:rPr>
          <w:rFonts w:ascii="Arial" w:hAnsi="Arial" w:cs="Arial"/>
          <w:bCs/>
          <w:sz w:val="20"/>
        </w:rPr>
        <w:br w:type="page"/>
      </w:r>
    </w:p>
    <w:p w14:paraId="70A9F4E3" w14:textId="754AF2DA" w:rsidR="007A45E0" w:rsidRPr="007A45E0" w:rsidRDefault="007A45E0" w:rsidP="007A45E0">
      <w:pPr>
        <w:pStyle w:val="StyleHeading3ComplexItalic"/>
        <w:rPr>
          <w:rStyle w:val="StyleStyleHeading3ComplexItalicLatin12ptChar"/>
          <w:rFonts w:eastAsia="SimSun"/>
          <w:b/>
          <w:szCs w:val="24"/>
        </w:rPr>
      </w:pPr>
      <w:bookmarkStart w:id="74" w:name="_Toc427154428"/>
      <w:r w:rsidRPr="007A45E0">
        <w:rPr>
          <w:rStyle w:val="StyleStyleHeading3ComplexItalicLatin12ptChar"/>
          <w:rFonts w:eastAsia="SimSun"/>
          <w:b/>
          <w:szCs w:val="24"/>
        </w:rPr>
        <w:lastRenderedPageBreak/>
        <w:t>PROGRAM 24</w:t>
      </w:r>
      <w:r w:rsidRPr="007A45E0">
        <w:rPr>
          <w:rStyle w:val="StyleStyleHeading3ComplexItalicLatin12ptChar"/>
          <w:rFonts w:eastAsia="SimSun"/>
          <w:b/>
          <w:szCs w:val="24"/>
        </w:rPr>
        <w:tab/>
        <w:t>GENERAL SUPPORT SERVICES</w:t>
      </w:r>
      <w:bookmarkEnd w:id="74"/>
    </w:p>
    <w:p w14:paraId="4324A9F1" w14:textId="77777777" w:rsidR="007A45E0" w:rsidRDefault="007A45E0" w:rsidP="00E641D8">
      <w:pPr>
        <w:jc w:val="both"/>
        <w:rPr>
          <w:rFonts w:ascii="Arial" w:hAnsi="Arial" w:cs="Arial"/>
        </w:rPr>
      </w:pPr>
    </w:p>
    <w:p w14:paraId="57539C4A" w14:textId="77777777" w:rsidR="007A45E0" w:rsidRDefault="007A45E0" w:rsidP="00E641D8">
      <w:pPr>
        <w:jc w:val="both"/>
        <w:rPr>
          <w:rFonts w:ascii="Arial" w:hAnsi="Arial" w:cs="Arial"/>
        </w:rPr>
      </w:pPr>
    </w:p>
    <w:p w14:paraId="70985797" w14:textId="77777777" w:rsidR="007A45E0" w:rsidRPr="00054B87" w:rsidRDefault="007A45E0" w:rsidP="00E641D8">
      <w:pPr>
        <w:jc w:val="both"/>
        <w:rPr>
          <w:rFonts w:ascii="Arial" w:hAnsi="Arial" w:cs="Arial"/>
        </w:rPr>
      </w:pPr>
      <w:r w:rsidRPr="00054B87">
        <w:rPr>
          <w:rFonts w:ascii="Arial" w:hAnsi="Arial" w:cs="Arial"/>
        </w:rPr>
        <w:t>PLANNING CONTEXT</w:t>
      </w:r>
    </w:p>
    <w:p w14:paraId="1F654247" w14:textId="77777777" w:rsidR="007A45E0" w:rsidRPr="00774682" w:rsidRDefault="007A45E0" w:rsidP="00E641D8">
      <w:pPr>
        <w:jc w:val="both"/>
        <w:rPr>
          <w:rFonts w:ascii="Arial" w:hAnsi="Arial" w:cs="Arial"/>
          <w:sz w:val="20"/>
        </w:rPr>
      </w:pPr>
    </w:p>
    <w:p w14:paraId="0AAC7264" w14:textId="3A20B8AC" w:rsidR="007A45E0" w:rsidRPr="00021D3F"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021D3F">
        <w:rPr>
          <w:rFonts w:ascii="Arial" w:hAnsi="Arial" w:cs="Arial"/>
          <w:sz w:val="20"/>
        </w:rPr>
        <w:t>Procured goods and services as well as travel constitute some of the Organization’s most important non-personnel related costs and are therefore areas with potentially high efficiency and cost saving opportunities for the Organization.  Multiple measures have been introduced in the current and previous biennia to optimize both procurement and travel costs through the implementation of new tools,</w:t>
      </w:r>
      <w:r w:rsidR="00494C79">
        <w:rPr>
          <w:rFonts w:ascii="Arial" w:hAnsi="Arial" w:cs="Arial"/>
          <w:sz w:val="20"/>
        </w:rPr>
        <w:t xml:space="preserve"> revised rules and procedures,</w:t>
      </w:r>
      <w:r w:rsidRPr="00021D3F">
        <w:rPr>
          <w:rFonts w:ascii="Arial" w:hAnsi="Arial" w:cs="Arial"/>
          <w:sz w:val="20"/>
        </w:rPr>
        <w:t xml:space="preserve"> negotiation of contracts and air fares and enhanced efficiency of processes, while at the same time ensuring continuous high quality and customer-oriented support to users across the Organization. </w:t>
      </w:r>
      <w:r>
        <w:rPr>
          <w:rFonts w:ascii="Arial" w:hAnsi="Arial" w:cs="Arial"/>
          <w:sz w:val="20"/>
        </w:rPr>
        <w:t xml:space="preserve"> </w:t>
      </w:r>
      <w:r w:rsidRPr="00021D3F">
        <w:rPr>
          <w:rFonts w:ascii="Arial" w:hAnsi="Arial" w:cs="Arial"/>
          <w:sz w:val="20"/>
        </w:rPr>
        <w:t>In the biennium 2014/15 the responsibilities of the Program was enlarged to also manage individual contractual services in addition to commercial service providers.</w:t>
      </w:r>
    </w:p>
    <w:p w14:paraId="14AD1C94" w14:textId="77777777" w:rsidR="007A45E0" w:rsidRPr="00774682" w:rsidRDefault="007A45E0" w:rsidP="00E641D8">
      <w:pPr>
        <w:ind w:left="6"/>
        <w:jc w:val="both"/>
        <w:rPr>
          <w:rFonts w:ascii="Arial" w:hAnsi="Arial" w:cs="Arial"/>
          <w:sz w:val="20"/>
        </w:rPr>
      </w:pPr>
    </w:p>
    <w:p w14:paraId="502E20B9" w14:textId="48291044" w:rsidR="007A45E0" w:rsidRPr="00774682"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774682">
        <w:rPr>
          <w:rFonts w:ascii="Arial" w:hAnsi="Arial" w:cs="Arial"/>
          <w:sz w:val="20"/>
        </w:rPr>
        <w:t xml:space="preserve">Following the completion of the WIPO Campus with the recent addition of the New Conference Hall and related renovated facilities in the AB Building, the main focus in the biennium 2016/17 will be on ensuring compliance of all technical installations with applicable standards, as well as on their optimum functioning in order to facilitate Program delivery throughout the Organization. Several of the WIPO buildings are in need of major renovation, transformation and/or modernization. </w:t>
      </w:r>
      <w:r>
        <w:rPr>
          <w:rFonts w:ascii="Arial" w:hAnsi="Arial" w:cs="Arial"/>
          <w:sz w:val="20"/>
        </w:rPr>
        <w:t xml:space="preserve"> </w:t>
      </w:r>
      <w:r w:rsidRPr="00774682">
        <w:rPr>
          <w:rFonts w:ascii="Arial" w:hAnsi="Arial" w:cs="Arial"/>
          <w:sz w:val="20"/>
        </w:rPr>
        <w:t xml:space="preserve">These are major undertakings, the most significant of which are also expected to bring about a reduction of energy consumption while others will have the added benefit of improving the physical accessibility (an element of social responsibility). </w:t>
      </w:r>
    </w:p>
    <w:p w14:paraId="14AA3393" w14:textId="77777777" w:rsidR="007A45E0" w:rsidRPr="00774682" w:rsidRDefault="007A45E0" w:rsidP="00E641D8">
      <w:pPr>
        <w:pStyle w:val="ListParagraph"/>
        <w:ind w:left="0"/>
        <w:rPr>
          <w:rFonts w:ascii="Arial" w:eastAsiaTheme="minorHAnsi" w:hAnsi="Arial" w:cs="Arial"/>
          <w:sz w:val="20"/>
        </w:rPr>
      </w:pPr>
    </w:p>
    <w:p w14:paraId="60894420" w14:textId="77777777" w:rsidR="007A45E0" w:rsidRPr="00774682"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774682">
        <w:rPr>
          <w:rFonts w:ascii="Arial" w:hAnsi="Arial" w:cs="Arial"/>
          <w:sz w:val="20"/>
        </w:rPr>
        <w:t>The environmental responsibility will remain amongst WIPO’s core values to be mainstreamed into Program delivery, in particular as far as premises management is concerned under the overarching UN-system wide goal of reaching climate neutrality by 2020.</w:t>
      </w:r>
    </w:p>
    <w:p w14:paraId="0D076289" w14:textId="77777777" w:rsidR="007A45E0" w:rsidRPr="00774682" w:rsidRDefault="007A45E0" w:rsidP="00E641D8">
      <w:pPr>
        <w:jc w:val="both"/>
        <w:rPr>
          <w:rFonts w:ascii="Arial" w:hAnsi="Arial" w:cs="Arial"/>
          <w:sz w:val="20"/>
        </w:rPr>
      </w:pPr>
    </w:p>
    <w:p w14:paraId="6F5BCC40" w14:textId="77777777" w:rsidR="007A45E0" w:rsidRPr="00774682" w:rsidRDefault="007A45E0" w:rsidP="00E641D8">
      <w:pPr>
        <w:jc w:val="both"/>
        <w:rPr>
          <w:rFonts w:ascii="Arial" w:hAnsi="Arial" w:cs="Arial"/>
          <w:sz w:val="20"/>
        </w:rPr>
      </w:pPr>
    </w:p>
    <w:p w14:paraId="2FB7B314" w14:textId="77777777" w:rsidR="007A45E0" w:rsidRPr="00054B87" w:rsidRDefault="007A45E0" w:rsidP="00E641D8">
      <w:pPr>
        <w:jc w:val="both"/>
        <w:rPr>
          <w:rFonts w:ascii="Arial" w:hAnsi="Arial" w:cs="Arial"/>
        </w:rPr>
      </w:pPr>
      <w:r w:rsidRPr="00054B87">
        <w:rPr>
          <w:rFonts w:ascii="Arial" w:hAnsi="Arial" w:cs="Arial"/>
        </w:rPr>
        <w:t>IMPLEMENTATION STRATEGIES</w:t>
      </w:r>
    </w:p>
    <w:p w14:paraId="355DDB76" w14:textId="77777777" w:rsidR="007A45E0" w:rsidRPr="00774682" w:rsidRDefault="007A45E0" w:rsidP="00E641D8">
      <w:pPr>
        <w:jc w:val="both"/>
        <w:rPr>
          <w:rFonts w:ascii="Arial" w:hAnsi="Arial" w:cs="Arial"/>
          <w:sz w:val="20"/>
        </w:rPr>
      </w:pPr>
    </w:p>
    <w:p w14:paraId="6CB9057F" w14:textId="588DD280" w:rsidR="007A45E0" w:rsidRPr="00774682"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774682">
        <w:rPr>
          <w:rFonts w:ascii="Arial" w:hAnsi="Arial" w:cs="Arial"/>
          <w:sz w:val="20"/>
        </w:rPr>
        <w:t xml:space="preserve">Building on the work initiated in the 2014/15 biennium with the implementation of the On-Line Booking Tool, and a new tool to manage travel requests, new cost-saving opportunities on ticket fares and service fees will continue to be explored. </w:t>
      </w:r>
      <w:r>
        <w:rPr>
          <w:rFonts w:ascii="Arial" w:hAnsi="Arial" w:cs="Arial"/>
          <w:sz w:val="20"/>
        </w:rPr>
        <w:t xml:space="preserve"> </w:t>
      </w:r>
      <w:r w:rsidRPr="00774682">
        <w:rPr>
          <w:rFonts w:ascii="Arial" w:hAnsi="Arial" w:cs="Arial"/>
          <w:sz w:val="20"/>
        </w:rPr>
        <w:t xml:space="preserve">Administrative efficiencies will also be pursued through </w:t>
      </w:r>
      <w:r w:rsidR="00494C79">
        <w:rPr>
          <w:rFonts w:ascii="Arial" w:hAnsi="Arial" w:cs="Arial"/>
          <w:sz w:val="20"/>
        </w:rPr>
        <w:t xml:space="preserve">revisions of the regulatory framework, </w:t>
      </w:r>
      <w:r w:rsidRPr="00774682">
        <w:rPr>
          <w:rFonts w:ascii="Arial" w:hAnsi="Arial" w:cs="Arial"/>
          <w:sz w:val="20"/>
        </w:rPr>
        <w:t xml:space="preserve">the simplification of processes enabled by new IT tools for managing event and travel requests as well as the Procure-to-Pay module of the ERP. </w:t>
      </w:r>
      <w:r>
        <w:rPr>
          <w:rFonts w:ascii="Arial" w:hAnsi="Arial" w:cs="Arial"/>
          <w:sz w:val="20"/>
        </w:rPr>
        <w:t xml:space="preserve"> </w:t>
      </w:r>
      <w:r w:rsidRPr="00774682">
        <w:rPr>
          <w:rFonts w:ascii="Arial" w:hAnsi="Arial" w:cs="Arial"/>
          <w:sz w:val="20"/>
        </w:rPr>
        <w:t>To continue the optimization of the costs of goods and services, the biennium will focus on enhancing the competition process for individual contractual services with a dedicated IT tool. In parallel, to improve value for money,</w:t>
      </w:r>
      <w:r w:rsidRPr="00774682" w:rsidDel="00EA392B">
        <w:rPr>
          <w:rFonts w:ascii="Arial" w:hAnsi="Arial" w:cs="Arial"/>
          <w:sz w:val="20"/>
        </w:rPr>
        <w:t xml:space="preserve"> </w:t>
      </w:r>
      <w:r w:rsidRPr="00774682">
        <w:rPr>
          <w:rFonts w:ascii="Arial" w:hAnsi="Arial" w:cs="Arial"/>
          <w:sz w:val="20"/>
        </w:rPr>
        <w:t xml:space="preserve">vendor performance management will be strengthened building on the tools developed for this purpose in 2014/15. </w:t>
      </w:r>
      <w:r>
        <w:rPr>
          <w:rFonts w:ascii="Arial" w:hAnsi="Arial" w:cs="Arial"/>
          <w:sz w:val="20"/>
        </w:rPr>
        <w:t xml:space="preserve"> </w:t>
      </w:r>
      <w:r w:rsidRPr="00774682">
        <w:rPr>
          <w:rFonts w:ascii="Arial" w:hAnsi="Arial" w:cs="Arial"/>
          <w:sz w:val="20"/>
        </w:rPr>
        <w:t xml:space="preserve">Additionally, the effort to enhance leveraged opportunities with other international organizations will be actively pursued.  </w:t>
      </w:r>
    </w:p>
    <w:p w14:paraId="1114CBDB" w14:textId="77777777" w:rsidR="007A45E0" w:rsidRPr="00774682" w:rsidRDefault="007A45E0" w:rsidP="00E641D8">
      <w:pPr>
        <w:ind w:left="6"/>
        <w:jc w:val="both"/>
        <w:rPr>
          <w:rFonts w:ascii="Arial" w:hAnsi="Arial" w:cs="Arial"/>
          <w:sz w:val="20"/>
        </w:rPr>
      </w:pPr>
    </w:p>
    <w:p w14:paraId="65DD47A1" w14:textId="478B3259" w:rsidR="007A45E0" w:rsidRPr="00774682"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774682">
        <w:rPr>
          <w:rFonts w:ascii="Arial" w:hAnsi="Arial" w:cs="Arial"/>
          <w:sz w:val="20"/>
        </w:rPr>
        <w:t xml:space="preserve">To ensure the continuous and uniform upgrading of the technical facilities in WIPO premises, the overall plan for renovation and enhancement of technical installations throughout the WIPO Campus, initiated in the previous biennium, will continue to be implemented. </w:t>
      </w:r>
      <w:r>
        <w:rPr>
          <w:rFonts w:ascii="Arial" w:hAnsi="Arial" w:cs="Arial"/>
          <w:sz w:val="20"/>
        </w:rPr>
        <w:t xml:space="preserve"> </w:t>
      </w:r>
      <w:r w:rsidRPr="00774682">
        <w:rPr>
          <w:rFonts w:ascii="Arial" w:hAnsi="Arial" w:cs="Arial"/>
          <w:sz w:val="20"/>
        </w:rPr>
        <w:t xml:space="preserve">Critical installations will be prioritized in this process. </w:t>
      </w:r>
      <w:r>
        <w:rPr>
          <w:rFonts w:ascii="Arial" w:hAnsi="Arial" w:cs="Arial"/>
          <w:sz w:val="20"/>
        </w:rPr>
        <w:t xml:space="preserve"> </w:t>
      </w:r>
      <w:r w:rsidRPr="00774682">
        <w:rPr>
          <w:rFonts w:ascii="Arial" w:hAnsi="Arial" w:cs="Arial"/>
          <w:sz w:val="20"/>
        </w:rPr>
        <w:t xml:space="preserve">A number of choices for the renovation and/or enhancement of technical installations will be, </w:t>
      </w:r>
      <w:r w:rsidRPr="00774682">
        <w:rPr>
          <w:rFonts w:ascii="Arial" w:hAnsi="Arial" w:cs="Arial"/>
          <w:i/>
          <w:sz w:val="20"/>
        </w:rPr>
        <w:t>inter alia</w:t>
      </w:r>
      <w:r w:rsidRPr="00774682">
        <w:rPr>
          <w:rFonts w:ascii="Arial" w:hAnsi="Arial" w:cs="Arial"/>
          <w:sz w:val="20"/>
        </w:rPr>
        <w:t xml:space="preserve">, based on their ability to reduce environmental impact and improve physical accessibility to persons with disabilities. </w:t>
      </w:r>
      <w:r>
        <w:rPr>
          <w:rFonts w:ascii="Arial" w:hAnsi="Arial" w:cs="Arial"/>
          <w:sz w:val="20"/>
        </w:rPr>
        <w:t xml:space="preserve"> </w:t>
      </w:r>
      <w:r w:rsidRPr="00774682">
        <w:rPr>
          <w:rFonts w:ascii="Arial" w:hAnsi="Arial" w:cs="Arial"/>
          <w:sz w:val="20"/>
        </w:rPr>
        <w:t>Major renovations, transformations and/or modernization of premises, will be implemented and managed in accordance with both the</w:t>
      </w:r>
      <w:r w:rsidR="00494C79">
        <w:rPr>
          <w:rFonts w:ascii="Arial" w:hAnsi="Arial" w:cs="Arial"/>
          <w:sz w:val="20"/>
        </w:rPr>
        <w:t>se</w:t>
      </w:r>
      <w:r w:rsidRPr="00774682">
        <w:rPr>
          <w:rFonts w:ascii="Arial" w:hAnsi="Arial" w:cs="Arial"/>
          <w:sz w:val="20"/>
        </w:rPr>
        <w:t xml:space="preserve"> priorities reflected in the Capital Master Plan and in various smaller scale preventive maintenance exercises.  Regarding the management of premises, an optimal allocation of workspace to host all WIPO staff and a review of the optimal </w:t>
      </w:r>
      <w:r w:rsidR="005C4062">
        <w:rPr>
          <w:rFonts w:ascii="Arial" w:hAnsi="Arial" w:cs="Arial"/>
          <w:sz w:val="20"/>
        </w:rPr>
        <w:t>usage</w:t>
      </w:r>
      <w:r w:rsidRPr="00774682">
        <w:rPr>
          <w:rFonts w:ascii="Arial" w:hAnsi="Arial" w:cs="Arial"/>
          <w:sz w:val="20"/>
        </w:rPr>
        <w:t xml:space="preserve">, conversion or upgrading of certain spaces other than workspaces, will be enhanced on the basis of the formal space management </w:t>
      </w:r>
      <w:r w:rsidR="00053C3E">
        <w:rPr>
          <w:rFonts w:ascii="Arial" w:hAnsi="Arial" w:cs="Arial"/>
          <w:sz w:val="20"/>
        </w:rPr>
        <w:t>policy</w:t>
      </w:r>
      <w:r w:rsidR="00053C3E" w:rsidRPr="00774682">
        <w:rPr>
          <w:rFonts w:ascii="Arial" w:hAnsi="Arial" w:cs="Arial"/>
          <w:sz w:val="20"/>
        </w:rPr>
        <w:t xml:space="preserve"> </w:t>
      </w:r>
      <w:r w:rsidRPr="00774682">
        <w:rPr>
          <w:rFonts w:ascii="Arial" w:hAnsi="Arial" w:cs="Arial"/>
          <w:sz w:val="20"/>
        </w:rPr>
        <w:t>developed in the previous biennium.</w:t>
      </w:r>
    </w:p>
    <w:p w14:paraId="7511D8BB" w14:textId="77777777" w:rsidR="007A45E0" w:rsidRPr="00774682" w:rsidRDefault="007A45E0" w:rsidP="00E641D8">
      <w:pPr>
        <w:jc w:val="both"/>
        <w:rPr>
          <w:rFonts w:ascii="Arial" w:hAnsi="Arial" w:cs="Arial"/>
          <w:sz w:val="20"/>
        </w:rPr>
      </w:pPr>
    </w:p>
    <w:p w14:paraId="48B477B1" w14:textId="42176017" w:rsidR="007A45E0" w:rsidRPr="00774682" w:rsidRDefault="007A45E0" w:rsidP="00B66A4A">
      <w:pPr>
        <w:pStyle w:val="ListParagraph"/>
        <w:numPr>
          <w:ilvl w:val="0"/>
          <w:numId w:val="24"/>
        </w:numPr>
        <w:tabs>
          <w:tab w:val="left" w:pos="709"/>
        </w:tabs>
        <w:ind w:left="0" w:firstLine="0"/>
        <w:contextualSpacing w:val="0"/>
        <w:jc w:val="both"/>
        <w:rPr>
          <w:rFonts w:ascii="Arial" w:hAnsi="Arial" w:cs="Arial"/>
          <w:sz w:val="20"/>
        </w:rPr>
      </w:pPr>
      <w:r w:rsidRPr="00774682">
        <w:rPr>
          <w:rFonts w:ascii="Arial" w:hAnsi="Arial" w:cs="Arial"/>
          <w:sz w:val="20"/>
        </w:rPr>
        <w:t xml:space="preserve">To ensure compliance, by 2020, with the UN-system wide goal of reaching climate neutrality, efforts will be pursued to implement selected measures, </w:t>
      </w:r>
      <w:r w:rsidR="00053C3E" w:rsidRPr="00774682">
        <w:rPr>
          <w:rFonts w:ascii="Arial" w:hAnsi="Arial" w:cs="Arial"/>
          <w:sz w:val="20"/>
        </w:rPr>
        <w:t>not limited to premises</w:t>
      </w:r>
      <w:r w:rsidR="00053C3E">
        <w:rPr>
          <w:rFonts w:ascii="Arial" w:hAnsi="Arial" w:cs="Arial"/>
          <w:sz w:val="20"/>
        </w:rPr>
        <w:t>,</w:t>
      </w:r>
      <w:r w:rsidR="00053C3E" w:rsidRPr="00774682">
        <w:rPr>
          <w:rFonts w:ascii="Arial" w:hAnsi="Arial" w:cs="Arial"/>
          <w:sz w:val="20"/>
        </w:rPr>
        <w:t xml:space="preserve"> </w:t>
      </w:r>
      <w:r w:rsidRPr="00774682">
        <w:rPr>
          <w:rFonts w:ascii="Arial" w:hAnsi="Arial" w:cs="Arial"/>
          <w:sz w:val="20"/>
        </w:rPr>
        <w:t>including a program for offsetting carbon and other emissions caused by WIPO activities at large.</w:t>
      </w:r>
    </w:p>
    <w:p w14:paraId="3D9FAFE7" w14:textId="77777777" w:rsidR="007A45E0" w:rsidRDefault="007A45E0" w:rsidP="007A45E0">
      <w:pPr>
        <w:rPr>
          <w:rFonts w:ascii="Arial" w:hAnsi="Arial" w:cs="Arial"/>
        </w:rPr>
      </w:pPr>
    </w:p>
    <w:p w14:paraId="322C15C6" w14:textId="77777777" w:rsidR="007A45E0" w:rsidRDefault="007A45E0" w:rsidP="007A45E0">
      <w:pPr>
        <w:rPr>
          <w:rFonts w:ascii="Arial" w:hAnsi="Arial" w:cs="Arial"/>
        </w:rPr>
      </w:pPr>
    </w:p>
    <w:p w14:paraId="06D17106" w14:textId="77777777" w:rsidR="007536CC" w:rsidRDefault="007536CC">
      <w:pPr>
        <w:rPr>
          <w:rFonts w:ascii="Arial" w:hAnsi="Arial" w:cs="Arial"/>
        </w:rPr>
      </w:pPr>
      <w:r>
        <w:rPr>
          <w:rFonts w:ascii="Arial" w:hAnsi="Arial" w:cs="Arial"/>
        </w:rPr>
        <w:br w:type="page"/>
      </w:r>
    </w:p>
    <w:p w14:paraId="2BE99BC1" w14:textId="77777777" w:rsidR="007536CC" w:rsidRDefault="007536CC" w:rsidP="007536CC">
      <w:pPr>
        <w:rPr>
          <w:rFonts w:ascii="Arial" w:hAnsi="Arial" w:cs="Arial"/>
        </w:rPr>
      </w:pPr>
    </w:p>
    <w:p w14:paraId="4E60A195" w14:textId="09F493A9" w:rsidR="007A45E0" w:rsidRPr="00FB68E0" w:rsidRDefault="007A45E0" w:rsidP="00FB68E0">
      <w:pPr>
        <w:rPr>
          <w:rFonts w:ascii="Arial" w:hAnsi="Arial" w:cs="Arial"/>
        </w:rPr>
      </w:pPr>
      <w:r w:rsidRPr="00FB68E0">
        <w:rPr>
          <w:rFonts w:ascii="Arial" w:hAnsi="Arial" w:cs="Arial"/>
        </w:rPr>
        <w:t>MAJOR RISKS AND MITIGATION STRATEGIES</w:t>
      </w:r>
    </w:p>
    <w:p w14:paraId="6C23BAA0" w14:textId="77777777" w:rsidR="007A45E0" w:rsidRPr="00054B87" w:rsidRDefault="007A45E0" w:rsidP="00E641D8">
      <w:pPr>
        <w:keepNext/>
        <w:keepLines/>
        <w:rPr>
          <w:rFonts w:ascii="Arial" w:eastAsia="Times New Roman" w:hAnsi="Arial" w:cs="Arial"/>
          <w:sz w:val="20"/>
          <w:szCs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7A45E0" w:rsidRPr="00054B87" w14:paraId="0C29ACB2" w14:textId="77777777" w:rsidTr="00E641D8">
        <w:trPr>
          <w:trHeight w:val="577"/>
        </w:trPr>
        <w:tc>
          <w:tcPr>
            <w:tcW w:w="4111" w:type="dxa"/>
            <w:tcBorders>
              <w:top w:val="single" w:sz="4" w:space="0" w:color="auto"/>
              <w:bottom w:val="single" w:sz="4" w:space="0" w:color="auto"/>
            </w:tcBorders>
            <w:shd w:val="clear" w:color="auto" w:fill="C6D9F1" w:themeFill="text2" w:themeFillTint="33"/>
            <w:vAlign w:val="center"/>
          </w:tcPr>
          <w:p w14:paraId="31BB82BD" w14:textId="77777777" w:rsidR="007A45E0" w:rsidRPr="00054B87" w:rsidRDefault="007A45E0" w:rsidP="00E641D8">
            <w:pPr>
              <w:jc w:val="center"/>
              <w:rPr>
                <w:rFonts w:ascii="Arial" w:eastAsia="Times New Roman" w:hAnsi="Arial" w:cs="Arial"/>
                <w:b/>
                <w:bCs/>
                <w:sz w:val="18"/>
                <w:szCs w:val="18"/>
              </w:rPr>
            </w:pPr>
            <w:r w:rsidRPr="00054B87">
              <w:rPr>
                <w:rFonts w:ascii="Arial" w:eastAsia="Times New Roman"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019354D2" w14:textId="77777777" w:rsidR="007A45E0" w:rsidRPr="00054B87" w:rsidRDefault="007A45E0" w:rsidP="00E641D8">
            <w:pPr>
              <w:jc w:val="center"/>
              <w:rPr>
                <w:rFonts w:ascii="Arial" w:eastAsia="Times New Roman" w:hAnsi="Arial" w:cs="Arial"/>
                <w:b/>
                <w:bCs/>
                <w:sz w:val="18"/>
                <w:szCs w:val="18"/>
              </w:rPr>
            </w:pPr>
            <w:r w:rsidRPr="00054B87">
              <w:rPr>
                <w:rFonts w:ascii="Arial" w:eastAsia="Times New Roman" w:hAnsi="Arial" w:cs="Arial"/>
                <w:b/>
                <w:bCs/>
                <w:sz w:val="18"/>
                <w:szCs w:val="18"/>
              </w:rPr>
              <w:t>Mitigation</w:t>
            </w:r>
          </w:p>
        </w:tc>
      </w:tr>
      <w:tr w:rsidR="007A45E0" w:rsidRPr="00054B87" w14:paraId="2D5B2E4D" w14:textId="77777777" w:rsidTr="00E641D8">
        <w:trPr>
          <w:trHeight w:val="498"/>
        </w:trPr>
        <w:tc>
          <w:tcPr>
            <w:tcW w:w="4111" w:type="dxa"/>
            <w:tcBorders>
              <w:top w:val="single" w:sz="4" w:space="0" w:color="auto"/>
            </w:tcBorders>
            <w:shd w:val="clear" w:color="auto" w:fill="auto"/>
            <w:tcMar>
              <w:top w:w="113" w:type="dxa"/>
              <w:bottom w:w="113" w:type="dxa"/>
            </w:tcMar>
          </w:tcPr>
          <w:p w14:paraId="35D2E92E" w14:textId="77777777" w:rsidR="007A45E0" w:rsidRPr="00054B87" w:rsidRDefault="007A45E0" w:rsidP="00E641D8">
            <w:pPr>
              <w:rPr>
                <w:rFonts w:ascii="Arial" w:eastAsia="Times New Roman" w:hAnsi="Arial" w:cs="Arial"/>
                <w:sz w:val="16"/>
                <w:szCs w:val="16"/>
              </w:rPr>
            </w:pPr>
            <w:r w:rsidRPr="00054B87">
              <w:rPr>
                <w:rFonts w:ascii="Arial" w:eastAsia="Times New Roman" w:hAnsi="Arial" w:cs="Arial"/>
                <w:color w:val="000000"/>
                <w:sz w:val="16"/>
                <w:szCs w:val="16"/>
              </w:rPr>
              <w:t>Failure of key suppliers to deliver services triggers a disruption to the service provided to our external customers.</w:t>
            </w:r>
          </w:p>
        </w:tc>
        <w:tc>
          <w:tcPr>
            <w:tcW w:w="5103" w:type="dxa"/>
            <w:tcBorders>
              <w:top w:val="single" w:sz="4" w:space="0" w:color="auto"/>
            </w:tcBorders>
            <w:shd w:val="clear" w:color="auto" w:fill="auto"/>
            <w:tcMar>
              <w:top w:w="113" w:type="dxa"/>
              <w:bottom w:w="113" w:type="dxa"/>
            </w:tcMar>
          </w:tcPr>
          <w:p w14:paraId="774857BF" w14:textId="77777777" w:rsidR="007A45E0" w:rsidRPr="00054B87" w:rsidRDefault="007A45E0" w:rsidP="00E641D8">
            <w:pPr>
              <w:rPr>
                <w:rFonts w:ascii="Arial" w:eastAsia="Times New Roman" w:hAnsi="Arial" w:cs="Arial"/>
                <w:sz w:val="16"/>
                <w:szCs w:val="16"/>
              </w:rPr>
            </w:pPr>
            <w:r w:rsidRPr="00054B87">
              <w:rPr>
                <w:rFonts w:ascii="Arial" w:eastAsia="Times New Roman" w:hAnsi="Arial" w:cs="Arial"/>
                <w:color w:val="000000"/>
                <w:sz w:val="16"/>
                <w:szCs w:val="16"/>
              </w:rPr>
              <w:t>Develop a contingency plan for contracts that are considered to be of high risk and vital for a continued operation.</w:t>
            </w:r>
          </w:p>
        </w:tc>
      </w:tr>
      <w:tr w:rsidR="007A45E0" w:rsidRPr="00054B87" w14:paraId="2E936130" w14:textId="77777777" w:rsidTr="00E641D8">
        <w:trPr>
          <w:trHeight w:val="706"/>
        </w:trPr>
        <w:tc>
          <w:tcPr>
            <w:tcW w:w="4111" w:type="dxa"/>
            <w:shd w:val="clear" w:color="auto" w:fill="auto"/>
            <w:tcMar>
              <w:top w:w="113" w:type="dxa"/>
              <w:bottom w:w="113" w:type="dxa"/>
            </w:tcMar>
          </w:tcPr>
          <w:p w14:paraId="1E0C19D0"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Loss of safe access to, or impossibility to occupy, one or more buildings for a given period of time.</w:t>
            </w:r>
          </w:p>
        </w:tc>
        <w:tc>
          <w:tcPr>
            <w:tcW w:w="5103" w:type="dxa"/>
            <w:shd w:val="clear" w:color="auto" w:fill="auto"/>
            <w:tcMar>
              <w:top w:w="113" w:type="dxa"/>
              <w:bottom w:w="113" w:type="dxa"/>
            </w:tcMar>
          </w:tcPr>
          <w:p w14:paraId="5147123C"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Continue to undertake renovation and major preventative maintenance of all key technical installations and premises.  Regular review of organizational resilience plans and activation as necessary.</w:t>
            </w:r>
          </w:p>
        </w:tc>
      </w:tr>
      <w:tr w:rsidR="007A45E0" w:rsidRPr="00054B87" w14:paraId="6CE49A91" w14:textId="77777777" w:rsidTr="00E641D8">
        <w:trPr>
          <w:trHeight w:val="564"/>
        </w:trPr>
        <w:tc>
          <w:tcPr>
            <w:tcW w:w="4111" w:type="dxa"/>
            <w:shd w:val="clear" w:color="auto" w:fill="auto"/>
            <w:tcMar>
              <w:top w:w="113" w:type="dxa"/>
              <w:bottom w:w="113" w:type="dxa"/>
            </w:tcMar>
          </w:tcPr>
          <w:p w14:paraId="67043CA9"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Inability for WIPO, as a UN agency, to be effectively climate neutral by 2020 as committed to UN Secretary General.</w:t>
            </w:r>
          </w:p>
        </w:tc>
        <w:tc>
          <w:tcPr>
            <w:tcW w:w="5103" w:type="dxa"/>
            <w:shd w:val="clear" w:color="auto" w:fill="auto"/>
            <w:tcMar>
              <w:top w:w="113" w:type="dxa"/>
              <w:bottom w:w="113" w:type="dxa"/>
            </w:tcMar>
          </w:tcPr>
          <w:p w14:paraId="28981183"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Ongoing monitoring of Organizational environmental data leading to proposals to reduce or offset carbon and other emissions.</w:t>
            </w:r>
          </w:p>
        </w:tc>
      </w:tr>
    </w:tbl>
    <w:p w14:paraId="190A8D90" w14:textId="77777777" w:rsidR="007A45E0" w:rsidRPr="00054B87" w:rsidRDefault="007A45E0" w:rsidP="00E641D8">
      <w:pPr>
        <w:rPr>
          <w:rFonts w:ascii="Arial" w:eastAsia="Times New Roman" w:hAnsi="Arial" w:cs="Arial"/>
          <w:sz w:val="20"/>
          <w:szCs w:val="20"/>
        </w:rPr>
      </w:pPr>
    </w:p>
    <w:p w14:paraId="44E57B8B" w14:textId="77777777" w:rsidR="007A45E0" w:rsidRPr="00054B87" w:rsidRDefault="007A45E0" w:rsidP="00E641D8">
      <w:pPr>
        <w:jc w:val="both"/>
        <w:rPr>
          <w:rFonts w:ascii="Arial" w:hAnsi="Arial" w:cs="Arial"/>
        </w:rPr>
      </w:pPr>
    </w:p>
    <w:p w14:paraId="32C1601C" w14:textId="77777777" w:rsidR="007A45E0" w:rsidRDefault="007A45E0" w:rsidP="00E641D8">
      <w:pPr>
        <w:jc w:val="both"/>
        <w:rPr>
          <w:rFonts w:ascii="Arial" w:hAnsi="Arial" w:cs="Arial"/>
        </w:rPr>
      </w:pPr>
      <w:r w:rsidRPr="00054B87">
        <w:rPr>
          <w:rFonts w:ascii="Arial" w:hAnsi="Arial" w:cs="Arial"/>
        </w:rPr>
        <w:t>RESULTS FRAMEWORK</w:t>
      </w:r>
    </w:p>
    <w:p w14:paraId="3F90D921" w14:textId="77777777" w:rsidR="007A45E0" w:rsidRPr="00054B87" w:rsidRDefault="007A45E0" w:rsidP="00E641D8">
      <w:pPr>
        <w:jc w:val="both"/>
        <w:rPr>
          <w:rFonts w:ascii="Arial" w:hAnsi="Arial" w:cs="Arial"/>
        </w:rPr>
      </w:pPr>
    </w:p>
    <w:tbl>
      <w:tblPr>
        <w:tblW w:w="9229" w:type="dxa"/>
        <w:tblInd w:w="93" w:type="dxa"/>
        <w:tblLook w:val="04A0" w:firstRow="1" w:lastRow="0" w:firstColumn="1" w:lastColumn="0" w:noHBand="0" w:noVBand="1"/>
      </w:tblPr>
      <w:tblGrid>
        <w:gridCol w:w="2320"/>
        <w:gridCol w:w="2320"/>
        <w:gridCol w:w="2440"/>
        <w:gridCol w:w="2149"/>
      </w:tblGrid>
      <w:tr w:rsidR="007A45E0" w:rsidRPr="00054B87" w14:paraId="0C38CB5D" w14:textId="77777777" w:rsidTr="00E641D8">
        <w:trPr>
          <w:trHeight w:val="600"/>
          <w:tblHeader/>
        </w:trPr>
        <w:tc>
          <w:tcPr>
            <w:tcW w:w="232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14:paraId="32E6A15A" w14:textId="77777777" w:rsidR="007A45E0" w:rsidRPr="00054B87" w:rsidRDefault="007A45E0" w:rsidP="00E641D8">
            <w:pPr>
              <w:jc w:val="center"/>
              <w:rPr>
                <w:rFonts w:ascii="Arial" w:eastAsia="Times New Roman" w:hAnsi="Arial" w:cs="Arial"/>
                <w:b/>
                <w:bCs/>
                <w:color w:val="000000"/>
                <w:sz w:val="18"/>
                <w:szCs w:val="18"/>
              </w:rPr>
            </w:pPr>
            <w:r w:rsidRPr="00054B87">
              <w:rPr>
                <w:rFonts w:ascii="Arial" w:eastAsia="Times New Roman" w:hAnsi="Arial" w:cs="Arial"/>
                <w:b/>
                <w:bCs/>
                <w:color w:val="000000"/>
                <w:sz w:val="18"/>
                <w:szCs w:val="18"/>
              </w:rPr>
              <w:t xml:space="preserve">Expected Results </w:t>
            </w:r>
          </w:p>
        </w:tc>
        <w:tc>
          <w:tcPr>
            <w:tcW w:w="232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54C8D5C8" w14:textId="77777777" w:rsidR="007A45E0" w:rsidRPr="00054B87" w:rsidRDefault="007A45E0" w:rsidP="00E641D8">
            <w:pPr>
              <w:jc w:val="center"/>
              <w:rPr>
                <w:rFonts w:ascii="Arial" w:eastAsia="Times New Roman" w:hAnsi="Arial" w:cs="Arial"/>
                <w:b/>
                <w:bCs/>
                <w:color w:val="000000"/>
                <w:sz w:val="18"/>
                <w:szCs w:val="18"/>
              </w:rPr>
            </w:pPr>
            <w:r w:rsidRPr="00054B87">
              <w:rPr>
                <w:rFonts w:ascii="Arial" w:eastAsia="Times New Roman" w:hAnsi="Arial" w:cs="Arial"/>
                <w:b/>
                <w:bCs/>
                <w:color w:val="000000"/>
                <w:sz w:val="18"/>
                <w:szCs w:val="18"/>
              </w:rPr>
              <w:t>Performance Indicators</w:t>
            </w:r>
          </w:p>
        </w:tc>
        <w:tc>
          <w:tcPr>
            <w:tcW w:w="24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14:paraId="37BE3C90" w14:textId="77777777" w:rsidR="007A45E0" w:rsidRPr="00054B87" w:rsidRDefault="007A45E0" w:rsidP="00E641D8">
            <w:pPr>
              <w:jc w:val="center"/>
              <w:rPr>
                <w:rFonts w:ascii="Arial" w:eastAsia="Times New Roman" w:hAnsi="Arial" w:cs="Arial"/>
                <w:b/>
                <w:bCs/>
                <w:color w:val="000000"/>
                <w:sz w:val="18"/>
                <w:szCs w:val="18"/>
              </w:rPr>
            </w:pPr>
            <w:r w:rsidRPr="00054B87">
              <w:rPr>
                <w:rFonts w:ascii="Arial" w:eastAsia="Times New Roman" w:hAnsi="Arial" w:cs="Arial"/>
                <w:b/>
                <w:bCs/>
                <w:color w:val="000000"/>
                <w:sz w:val="18"/>
                <w:szCs w:val="18"/>
              </w:rPr>
              <w:t>Baselines</w:t>
            </w:r>
          </w:p>
        </w:tc>
        <w:tc>
          <w:tcPr>
            <w:tcW w:w="214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14:paraId="1826312A" w14:textId="77777777" w:rsidR="007A45E0" w:rsidRPr="00054B87" w:rsidRDefault="007A45E0" w:rsidP="00E641D8">
            <w:pPr>
              <w:jc w:val="center"/>
              <w:rPr>
                <w:rFonts w:ascii="Arial" w:eastAsia="Times New Roman" w:hAnsi="Arial" w:cs="Arial"/>
                <w:b/>
                <w:bCs/>
                <w:color w:val="000000"/>
                <w:sz w:val="18"/>
                <w:szCs w:val="18"/>
              </w:rPr>
            </w:pPr>
            <w:r w:rsidRPr="00054B87">
              <w:rPr>
                <w:rFonts w:ascii="Arial" w:eastAsia="Times New Roman" w:hAnsi="Arial" w:cs="Arial"/>
                <w:b/>
                <w:bCs/>
                <w:color w:val="000000"/>
                <w:sz w:val="18"/>
                <w:szCs w:val="18"/>
              </w:rPr>
              <w:t>Targets</w:t>
            </w:r>
          </w:p>
        </w:tc>
      </w:tr>
      <w:tr w:rsidR="007A45E0" w:rsidRPr="00054B87" w14:paraId="2F575385" w14:textId="77777777" w:rsidTr="00E641D8">
        <w:trPr>
          <w:trHeight w:val="1005"/>
        </w:trPr>
        <w:tc>
          <w:tcPr>
            <w:tcW w:w="2320" w:type="dxa"/>
            <w:tcBorders>
              <w:top w:val="nil"/>
              <w:left w:val="single" w:sz="4" w:space="0" w:color="auto"/>
              <w:bottom w:val="nil"/>
              <w:right w:val="nil"/>
            </w:tcBorders>
            <w:shd w:val="clear" w:color="000000" w:fill="FFFFFF"/>
            <w:tcMar>
              <w:top w:w="85" w:type="dxa"/>
            </w:tcMar>
            <w:hideMark/>
          </w:tcPr>
          <w:p w14:paraId="79DE5D9D"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VIII.5 WIPO effectively interacts and partners with UN and other IGO processes and negotiations</w:t>
            </w:r>
          </w:p>
        </w:tc>
        <w:tc>
          <w:tcPr>
            <w:tcW w:w="2320" w:type="dxa"/>
            <w:tcBorders>
              <w:top w:val="nil"/>
              <w:left w:val="nil"/>
              <w:bottom w:val="nil"/>
              <w:right w:val="nil"/>
            </w:tcBorders>
            <w:shd w:val="clear" w:color="000000" w:fill="FFFFFF"/>
            <w:tcMar>
              <w:top w:w="85" w:type="dxa"/>
            </w:tcMar>
            <w:hideMark/>
          </w:tcPr>
          <w:p w14:paraId="62BA3E07"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of locally sourced goods and services compared to total amount procured for development activity</w:t>
            </w:r>
          </w:p>
        </w:tc>
        <w:tc>
          <w:tcPr>
            <w:tcW w:w="2440" w:type="dxa"/>
            <w:tcBorders>
              <w:top w:val="nil"/>
              <w:left w:val="nil"/>
              <w:bottom w:val="nil"/>
              <w:right w:val="nil"/>
            </w:tcBorders>
            <w:shd w:val="clear" w:color="000000" w:fill="FFFFFF"/>
            <w:tcMar>
              <w:top w:w="85" w:type="dxa"/>
            </w:tcMar>
            <w:hideMark/>
          </w:tcPr>
          <w:p w14:paraId="1DEA8543"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45% (end 2014)</w:t>
            </w:r>
          </w:p>
        </w:tc>
        <w:tc>
          <w:tcPr>
            <w:tcW w:w="2149" w:type="dxa"/>
            <w:tcBorders>
              <w:top w:val="nil"/>
              <w:left w:val="nil"/>
              <w:bottom w:val="nil"/>
              <w:right w:val="single" w:sz="4" w:space="0" w:color="auto"/>
            </w:tcBorders>
            <w:shd w:val="clear" w:color="000000" w:fill="FFFFFF"/>
            <w:tcMar>
              <w:top w:w="85" w:type="dxa"/>
            </w:tcMar>
            <w:hideMark/>
          </w:tcPr>
          <w:p w14:paraId="49071256"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Equal or higher than 2014 result</w:t>
            </w:r>
          </w:p>
        </w:tc>
      </w:tr>
      <w:tr w:rsidR="007A45E0" w:rsidRPr="00054B87" w14:paraId="60F191EA" w14:textId="77777777" w:rsidTr="00E641D8">
        <w:trPr>
          <w:trHeight w:val="765"/>
        </w:trPr>
        <w:tc>
          <w:tcPr>
            <w:tcW w:w="2320" w:type="dxa"/>
            <w:tcBorders>
              <w:top w:val="nil"/>
              <w:left w:val="single" w:sz="4" w:space="0" w:color="auto"/>
              <w:bottom w:val="nil"/>
              <w:right w:val="nil"/>
            </w:tcBorders>
            <w:shd w:val="clear" w:color="000000" w:fill="FFFFFF"/>
            <w:tcMar>
              <w:top w:w="85" w:type="dxa"/>
            </w:tcMar>
            <w:hideMark/>
          </w:tcPr>
          <w:p w14:paraId="442BECD5"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 </w:t>
            </w:r>
          </w:p>
        </w:tc>
        <w:tc>
          <w:tcPr>
            <w:tcW w:w="2320" w:type="dxa"/>
            <w:tcBorders>
              <w:top w:val="nil"/>
              <w:left w:val="nil"/>
              <w:bottom w:val="nil"/>
              <w:right w:val="nil"/>
            </w:tcBorders>
            <w:shd w:val="clear" w:color="000000" w:fill="FFFFFF"/>
            <w:tcMar>
              <w:top w:w="85" w:type="dxa"/>
            </w:tcMar>
            <w:hideMark/>
          </w:tcPr>
          <w:p w14:paraId="64298736"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of spend subject to UN leverage (either common tender or piggy-backing)</w:t>
            </w:r>
          </w:p>
        </w:tc>
        <w:tc>
          <w:tcPr>
            <w:tcW w:w="2440" w:type="dxa"/>
            <w:tcBorders>
              <w:top w:val="nil"/>
              <w:left w:val="nil"/>
              <w:bottom w:val="nil"/>
              <w:right w:val="nil"/>
            </w:tcBorders>
            <w:shd w:val="clear" w:color="000000" w:fill="FFFFFF"/>
            <w:tcMar>
              <w:top w:w="85" w:type="dxa"/>
            </w:tcMar>
            <w:hideMark/>
          </w:tcPr>
          <w:p w14:paraId="283508AC"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4.15% (end 2014)</w:t>
            </w:r>
          </w:p>
        </w:tc>
        <w:tc>
          <w:tcPr>
            <w:tcW w:w="2149" w:type="dxa"/>
            <w:tcBorders>
              <w:top w:val="nil"/>
              <w:left w:val="nil"/>
              <w:bottom w:val="nil"/>
              <w:right w:val="single" w:sz="4" w:space="0" w:color="auto"/>
            </w:tcBorders>
            <w:shd w:val="clear" w:color="000000" w:fill="FFFFFF"/>
            <w:tcMar>
              <w:top w:w="85" w:type="dxa"/>
            </w:tcMar>
            <w:hideMark/>
          </w:tcPr>
          <w:p w14:paraId="159A7119"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Equal or higher than 2014 result</w:t>
            </w:r>
          </w:p>
        </w:tc>
      </w:tr>
      <w:tr w:rsidR="007A45E0" w:rsidRPr="00054B87" w14:paraId="42AC1878" w14:textId="77777777" w:rsidTr="00FB68E0">
        <w:trPr>
          <w:trHeight w:val="945"/>
        </w:trPr>
        <w:tc>
          <w:tcPr>
            <w:tcW w:w="2320" w:type="dxa"/>
            <w:tcBorders>
              <w:top w:val="nil"/>
              <w:left w:val="single" w:sz="4" w:space="0" w:color="auto"/>
              <w:bottom w:val="nil"/>
              <w:right w:val="nil"/>
            </w:tcBorders>
            <w:shd w:val="clear" w:color="000000" w:fill="FFFFFF"/>
            <w:tcMar>
              <w:top w:w="85" w:type="dxa"/>
            </w:tcMar>
            <w:hideMark/>
          </w:tcPr>
          <w:p w14:paraId="2E77A2F0"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IX.1 Effective, efficient, quality and customer-oriented support services both to internal clients and to external stakeholders</w:t>
            </w:r>
          </w:p>
        </w:tc>
        <w:tc>
          <w:tcPr>
            <w:tcW w:w="2320" w:type="dxa"/>
            <w:tcBorders>
              <w:top w:val="nil"/>
              <w:left w:val="nil"/>
              <w:bottom w:val="nil"/>
              <w:right w:val="nil"/>
            </w:tcBorders>
            <w:shd w:val="clear" w:color="000000" w:fill="FFFFFF"/>
            <w:tcMar>
              <w:top w:w="85" w:type="dxa"/>
            </w:tcMar>
            <w:hideMark/>
          </w:tcPr>
          <w:p w14:paraId="3EB29E5D"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Cost savings for goods and services procured by WIPO (derived from RFPs or direct negotiations)</w:t>
            </w:r>
          </w:p>
        </w:tc>
        <w:tc>
          <w:tcPr>
            <w:tcW w:w="2440" w:type="dxa"/>
            <w:tcBorders>
              <w:top w:val="nil"/>
              <w:left w:val="nil"/>
              <w:bottom w:val="nil"/>
              <w:right w:val="nil"/>
            </w:tcBorders>
            <w:shd w:val="clear" w:color="000000" w:fill="FFFFFF"/>
            <w:tcMar>
              <w:top w:w="85" w:type="dxa"/>
            </w:tcMar>
            <w:hideMark/>
          </w:tcPr>
          <w:p w14:paraId="65723312" w14:textId="3996C69D"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2.6 million </w:t>
            </w:r>
            <w:r w:rsidR="004D3E01">
              <w:rPr>
                <w:rFonts w:ascii="Arial" w:eastAsia="Times New Roman" w:hAnsi="Arial" w:cs="Arial"/>
                <w:color w:val="000000"/>
                <w:sz w:val="16"/>
                <w:szCs w:val="16"/>
              </w:rPr>
              <w:t>Swiss francs</w:t>
            </w:r>
            <w:r w:rsidR="004D3E01" w:rsidRPr="00054B87">
              <w:rPr>
                <w:rFonts w:ascii="Arial" w:eastAsia="Times New Roman" w:hAnsi="Arial" w:cs="Arial"/>
                <w:color w:val="000000"/>
                <w:sz w:val="16"/>
                <w:szCs w:val="16"/>
              </w:rPr>
              <w:t xml:space="preserve"> </w:t>
            </w:r>
            <w:r w:rsidRPr="00054B87">
              <w:rPr>
                <w:rFonts w:ascii="Arial" w:eastAsia="Times New Roman" w:hAnsi="Arial" w:cs="Arial"/>
                <w:color w:val="000000"/>
                <w:sz w:val="16"/>
                <w:szCs w:val="16"/>
              </w:rPr>
              <w:t>(end</w:t>
            </w:r>
            <w:r w:rsidR="00C25CF7">
              <w:rPr>
                <w:rFonts w:ascii="Arial" w:eastAsia="Times New Roman" w:hAnsi="Arial" w:cs="Arial"/>
                <w:color w:val="000000"/>
                <w:sz w:val="16"/>
                <w:szCs w:val="16"/>
              </w:rPr>
              <w:t> </w:t>
            </w:r>
            <w:r w:rsidRPr="00054B87">
              <w:rPr>
                <w:rFonts w:ascii="Arial" w:eastAsia="Times New Roman" w:hAnsi="Arial" w:cs="Arial"/>
                <w:color w:val="000000"/>
                <w:sz w:val="16"/>
                <w:szCs w:val="16"/>
              </w:rPr>
              <w:t>2014)</w:t>
            </w:r>
          </w:p>
        </w:tc>
        <w:tc>
          <w:tcPr>
            <w:tcW w:w="2149" w:type="dxa"/>
            <w:tcBorders>
              <w:top w:val="nil"/>
              <w:left w:val="nil"/>
              <w:bottom w:val="nil"/>
              <w:right w:val="single" w:sz="4" w:space="0" w:color="auto"/>
            </w:tcBorders>
            <w:shd w:val="clear" w:color="000000" w:fill="FFFFFF"/>
            <w:tcMar>
              <w:top w:w="85" w:type="dxa"/>
            </w:tcMar>
            <w:hideMark/>
          </w:tcPr>
          <w:p w14:paraId="691E18D8"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Equal or higher than 2014</w:t>
            </w:r>
          </w:p>
        </w:tc>
      </w:tr>
      <w:tr w:rsidR="007A45E0" w:rsidRPr="00054B87" w14:paraId="55D187FE" w14:textId="77777777" w:rsidTr="00FB68E0">
        <w:trPr>
          <w:trHeight w:val="1071"/>
        </w:trPr>
        <w:tc>
          <w:tcPr>
            <w:tcW w:w="2320" w:type="dxa"/>
            <w:tcBorders>
              <w:top w:val="nil"/>
              <w:left w:val="single" w:sz="4" w:space="0" w:color="auto"/>
              <w:bottom w:val="nil"/>
              <w:right w:val="nil"/>
            </w:tcBorders>
            <w:shd w:val="clear" w:color="000000" w:fill="FFFFFF"/>
            <w:tcMar>
              <w:top w:w="85" w:type="dxa"/>
            </w:tcMar>
            <w:hideMark/>
          </w:tcPr>
          <w:p w14:paraId="5F33930D"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 </w:t>
            </w:r>
          </w:p>
        </w:tc>
        <w:tc>
          <w:tcPr>
            <w:tcW w:w="2320" w:type="dxa"/>
            <w:tcBorders>
              <w:top w:val="nil"/>
              <w:left w:val="nil"/>
              <w:bottom w:val="nil"/>
              <w:right w:val="nil"/>
            </w:tcBorders>
            <w:shd w:val="clear" w:color="000000" w:fill="FFFFFF"/>
            <w:tcMar>
              <w:top w:w="85" w:type="dxa"/>
            </w:tcMar>
            <w:hideMark/>
          </w:tcPr>
          <w:p w14:paraId="589D434C"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Processing time ER</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Processing time ETA</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Processing time Visa</w:t>
            </w:r>
          </w:p>
        </w:tc>
        <w:tc>
          <w:tcPr>
            <w:tcW w:w="2440" w:type="dxa"/>
            <w:tcBorders>
              <w:top w:val="nil"/>
              <w:left w:val="nil"/>
              <w:bottom w:val="nil"/>
              <w:right w:val="nil"/>
            </w:tcBorders>
            <w:shd w:val="clear" w:color="000000" w:fill="FFFFFF"/>
            <w:tcMar>
              <w:top w:w="85" w:type="dxa"/>
            </w:tcMar>
            <w:hideMark/>
          </w:tcPr>
          <w:p w14:paraId="242B91D4"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1/2 day (2014)</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1/2 day (2014)</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less than a day (2014)</w:t>
            </w:r>
          </w:p>
        </w:tc>
        <w:tc>
          <w:tcPr>
            <w:tcW w:w="2149" w:type="dxa"/>
            <w:tcBorders>
              <w:top w:val="nil"/>
              <w:left w:val="nil"/>
              <w:bottom w:val="nil"/>
              <w:right w:val="single" w:sz="4" w:space="0" w:color="auto"/>
            </w:tcBorders>
            <w:shd w:val="clear" w:color="000000" w:fill="FFFFFF"/>
            <w:tcMar>
              <w:top w:w="85" w:type="dxa"/>
            </w:tcMar>
            <w:hideMark/>
          </w:tcPr>
          <w:p w14:paraId="368635FA"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Less than 1/2 day</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Less than 1/2 day</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Less than a day</w:t>
            </w:r>
          </w:p>
        </w:tc>
      </w:tr>
      <w:tr w:rsidR="007A45E0" w:rsidRPr="00054B87" w14:paraId="22AE2431" w14:textId="77777777" w:rsidTr="007536CC">
        <w:trPr>
          <w:trHeight w:val="1201"/>
        </w:trPr>
        <w:tc>
          <w:tcPr>
            <w:tcW w:w="2320" w:type="dxa"/>
            <w:tcBorders>
              <w:top w:val="nil"/>
              <w:left w:val="single" w:sz="4" w:space="0" w:color="auto"/>
              <w:right w:val="nil"/>
            </w:tcBorders>
            <w:shd w:val="clear" w:color="000000" w:fill="FFFFFF"/>
            <w:tcMar>
              <w:top w:w="85" w:type="dxa"/>
            </w:tcMar>
            <w:hideMark/>
          </w:tcPr>
          <w:p w14:paraId="625B02BF"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 </w:t>
            </w:r>
          </w:p>
        </w:tc>
        <w:tc>
          <w:tcPr>
            <w:tcW w:w="2320" w:type="dxa"/>
            <w:tcBorders>
              <w:top w:val="nil"/>
              <w:left w:val="nil"/>
              <w:right w:val="nil"/>
            </w:tcBorders>
            <w:shd w:val="clear" w:color="000000" w:fill="FFFFFF"/>
            <w:tcMar>
              <w:top w:w="85" w:type="dxa"/>
            </w:tcMar>
            <w:hideMark/>
          </w:tcPr>
          <w:p w14:paraId="588553AB"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TMC average ticket fare</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Global average ticket fare</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Average service fee</w:t>
            </w:r>
          </w:p>
        </w:tc>
        <w:tc>
          <w:tcPr>
            <w:tcW w:w="2440" w:type="dxa"/>
            <w:tcBorders>
              <w:top w:val="nil"/>
              <w:left w:val="nil"/>
              <w:right w:val="nil"/>
            </w:tcBorders>
            <w:shd w:val="clear" w:color="000000" w:fill="FFFFFF"/>
            <w:tcMar>
              <w:top w:w="85" w:type="dxa"/>
            </w:tcMar>
            <w:hideMark/>
          </w:tcPr>
          <w:p w14:paraId="0DE7B1BF" w14:textId="5E5E586F"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1</w:t>
            </w:r>
            <w:r w:rsidR="00E85E73">
              <w:rPr>
                <w:rFonts w:ascii="Arial" w:eastAsia="Times New Roman" w:hAnsi="Arial" w:cs="Arial"/>
                <w:color w:val="000000"/>
                <w:sz w:val="16"/>
                <w:szCs w:val="16"/>
              </w:rPr>
              <w:t>,</w:t>
            </w:r>
            <w:r w:rsidRPr="00054B87">
              <w:rPr>
                <w:rFonts w:ascii="Arial" w:eastAsia="Times New Roman" w:hAnsi="Arial" w:cs="Arial"/>
                <w:color w:val="000000"/>
                <w:sz w:val="16"/>
                <w:szCs w:val="16"/>
              </w:rPr>
              <w:t xml:space="preserve">850 </w:t>
            </w:r>
            <w:r w:rsidR="004D3E01">
              <w:rPr>
                <w:rFonts w:ascii="Arial" w:eastAsia="Times New Roman" w:hAnsi="Arial" w:cs="Arial"/>
                <w:color w:val="000000"/>
                <w:sz w:val="16"/>
                <w:szCs w:val="16"/>
              </w:rPr>
              <w:t>Swiss francs</w:t>
            </w:r>
            <w:r w:rsidRPr="00054B87">
              <w:rPr>
                <w:rFonts w:ascii="Arial" w:eastAsia="Times New Roman" w:hAnsi="Arial" w:cs="Arial"/>
                <w:color w:val="000000"/>
                <w:sz w:val="16"/>
                <w:szCs w:val="16"/>
              </w:rPr>
              <w:t xml:space="preserve"> (Dec2014)</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1</w:t>
            </w:r>
            <w:r w:rsidR="00E85E73">
              <w:rPr>
                <w:rFonts w:ascii="Arial" w:eastAsia="Times New Roman" w:hAnsi="Arial" w:cs="Arial"/>
                <w:color w:val="000000"/>
                <w:sz w:val="16"/>
                <w:szCs w:val="16"/>
              </w:rPr>
              <w:t>,</w:t>
            </w:r>
            <w:r w:rsidRPr="00054B87">
              <w:rPr>
                <w:rFonts w:ascii="Arial" w:eastAsia="Times New Roman" w:hAnsi="Arial" w:cs="Arial"/>
                <w:color w:val="000000"/>
                <w:sz w:val="16"/>
                <w:szCs w:val="16"/>
              </w:rPr>
              <w:t xml:space="preserve">600 </w:t>
            </w:r>
            <w:r w:rsidR="004D3E01">
              <w:rPr>
                <w:rFonts w:ascii="Arial" w:eastAsia="Times New Roman" w:hAnsi="Arial" w:cs="Arial"/>
                <w:color w:val="000000"/>
                <w:sz w:val="16"/>
                <w:szCs w:val="16"/>
              </w:rPr>
              <w:t>Swiss francs</w:t>
            </w:r>
            <w:r w:rsidRPr="00054B87">
              <w:rPr>
                <w:rFonts w:ascii="Arial" w:eastAsia="Times New Roman" w:hAnsi="Arial" w:cs="Arial"/>
                <w:color w:val="000000"/>
                <w:sz w:val="16"/>
                <w:szCs w:val="16"/>
              </w:rPr>
              <w:t xml:space="preserve"> (Dec2014)</w:t>
            </w:r>
            <w:r w:rsidRPr="00054B87">
              <w:rPr>
                <w:rFonts w:ascii="Arial" w:eastAsia="Times New Roman" w:hAnsi="Arial" w:cs="Arial"/>
                <w:color w:val="000000"/>
                <w:sz w:val="16"/>
                <w:szCs w:val="16"/>
              </w:rPr>
              <w:br/>
            </w:r>
          </w:p>
          <w:p w14:paraId="0C9AB213" w14:textId="64737B6E"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118 </w:t>
            </w:r>
            <w:r w:rsidR="004D3E01">
              <w:rPr>
                <w:rFonts w:ascii="Arial" w:eastAsia="Times New Roman" w:hAnsi="Arial" w:cs="Arial"/>
                <w:color w:val="000000"/>
                <w:sz w:val="16"/>
                <w:szCs w:val="16"/>
              </w:rPr>
              <w:t>Swiss francs</w:t>
            </w:r>
            <w:r w:rsidRPr="00054B87">
              <w:rPr>
                <w:rFonts w:ascii="Arial" w:eastAsia="Times New Roman" w:hAnsi="Arial" w:cs="Arial"/>
                <w:color w:val="000000"/>
                <w:sz w:val="16"/>
                <w:szCs w:val="16"/>
              </w:rPr>
              <w:t xml:space="preserve"> (end 2014)</w:t>
            </w:r>
          </w:p>
        </w:tc>
        <w:tc>
          <w:tcPr>
            <w:tcW w:w="2149" w:type="dxa"/>
            <w:tcBorders>
              <w:top w:val="nil"/>
              <w:left w:val="nil"/>
              <w:right w:val="single" w:sz="4" w:space="0" w:color="auto"/>
            </w:tcBorders>
            <w:shd w:val="clear" w:color="000000" w:fill="FFFFFF"/>
            <w:tcMar>
              <w:top w:w="85" w:type="dxa"/>
            </w:tcMar>
            <w:hideMark/>
          </w:tcPr>
          <w:p w14:paraId="25AE3388" w14:textId="75B7B416"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1</w:t>
            </w:r>
            <w:r w:rsidR="00E85E73">
              <w:rPr>
                <w:rFonts w:ascii="Arial" w:eastAsia="Times New Roman" w:hAnsi="Arial" w:cs="Arial"/>
                <w:color w:val="000000"/>
                <w:sz w:val="16"/>
                <w:szCs w:val="16"/>
              </w:rPr>
              <w:t>,</w:t>
            </w:r>
            <w:r w:rsidRPr="00054B87">
              <w:rPr>
                <w:rFonts w:ascii="Arial" w:eastAsia="Times New Roman" w:hAnsi="Arial" w:cs="Arial"/>
                <w:color w:val="000000"/>
                <w:sz w:val="16"/>
                <w:szCs w:val="16"/>
              </w:rPr>
              <w:t xml:space="preserve">850 </w:t>
            </w:r>
            <w:r w:rsidR="004D3E01">
              <w:rPr>
                <w:rFonts w:ascii="Arial" w:eastAsia="Times New Roman" w:hAnsi="Arial" w:cs="Arial"/>
                <w:color w:val="000000"/>
                <w:sz w:val="16"/>
                <w:szCs w:val="16"/>
              </w:rPr>
              <w:t>Swiss francs</w:t>
            </w:r>
            <w:r w:rsidRPr="00054B87">
              <w:rPr>
                <w:rFonts w:ascii="Arial" w:eastAsia="Times New Roman" w:hAnsi="Arial" w:cs="Arial"/>
                <w:color w:val="000000"/>
                <w:sz w:val="16"/>
                <w:szCs w:val="16"/>
              </w:rPr>
              <w:br/>
            </w:r>
            <w:r w:rsidRPr="00054B87">
              <w:rPr>
                <w:rFonts w:ascii="Arial" w:eastAsia="Times New Roman" w:hAnsi="Arial" w:cs="Arial"/>
                <w:color w:val="000000"/>
                <w:sz w:val="16"/>
                <w:szCs w:val="16"/>
              </w:rPr>
              <w:br/>
              <w:t>≤ 1</w:t>
            </w:r>
            <w:r w:rsidR="00E85E73">
              <w:rPr>
                <w:rFonts w:ascii="Arial" w:eastAsia="Times New Roman" w:hAnsi="Arial" w:cs="Arial"/>
                <w:color w:val="000000"/>
                <w:sz w:val="16"/>
                <w:szCs w:val="16"/>
              </w:rPr>
              <w:t>,</w:t>
            </w:r>
            <w:r w:rsidRPr="00054B87">
              <w:rPr>
                <w:rFonts w:ascii="Arial" w:eastAsia="Times New Roman" w:hAnsi="Arial" w:cs="Arial"/>
                <w:color w:val="000000"/>
                <w:sz w:val="16"/>
                <w:szCs w:val="16"/>
              </w:rPr>
              <w:t xml:space="preserve">600 </w:t>
            </w:r>
            <w:r w:rsidR="004D3E01">
              <w:rPr>
                <w:rFonts w:ascii="Arial" w:eastAsia="Times New Roman" w:hAnsi="Arial" w:cs="Arial"/>
                <w:color w:val="000000"/>
                <w:sz w:val="16"/>
                <w:szCs w:val="16"/>
              </w:rPr>
              <w:t>Swiss francs</w:t>
            </w:r>
            <w:r w:rsidRPr="00054B87">
              <w:rPr>
                <w:rFonts w:ascii="Arial" w:eastAsia="Times New Roman" w:hAnsi="Arial" w:cs="Arial"/>
                <w:color w:val="000000"/>
                <w:sz w:val="16"/>
                <w:szCs w:val="16"/>
              </w:rPr>
              <w:t xml:space="preserve"> </w:t>
            </w:r>
            <w:r w:rsidRPr="00054B87">
              <w:rPr>
                <w:rFonts w:ascii="Arial" w:eastAsia="Times New Roman" w:hAnsi="Arial" w:cs="Arial"/>
                <w:color w:val="000000"/>
                <w:sz w:val="16"/>
                <w:szCs w:val="16"/>
              </w:rPr>
              <w:br/>
            </w:r>
          </w:p>
          <w:p w14:paraId="26FBBDD4" w14:textId="2384A5C8"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&lt; 100 </w:t>
            </w:r>
            <w:r w:rsidR="004D3E01">
              <w:rPr>
                <w:rFonts w:ascii="Arial" w:eastAsia="Times New Roman" w:hAnsi="Arial" w:cs="Arial"/>
                <w:color w:val="000000"/>
                <w:sz w:val="16"/>
                <w:szCs w:val="16"/>
              </w:rPr>
              <w:t>Swiss francs</w:t>
            </w:r>
          </w:p>
        </w:tc>
      </w:tr>
      <w:tr w:rsidR="007A45E0" w:rsidRPr="00054B87" w14:paraId="276BB31D" w14:textId="77777777" w:rsidTr="007536CC">
        <w:trPr>
          <w:trHeight w:val="623"/>
        </w:trPr>
        <w:tc>
          <w:tcPr>
            <w:tcW w:w="2320" w:type="dxa"/>
            <w:tcBorders>
              <w:top w:val="nil"/>
              <w:left w:val="single" w:sz="4" w:space="0" w:color="auto"/>
              <w:right w:val="nil"/>
            </w:tcBorders>
            <w:shd w:val="clear" w:color="000000" w:fill="FFFFFF"/>
            <w:tcMar>
              <w:top w:w="85" w:type="dxa"/>
            </w:tcMar>
            <w:hideMark/>
          </w:tcPr>
          <w:p w14:paraId="0DAF2BCB"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 </w:t>
            </w:r>
          </w:p>
        </w:tc>
        <w:tc>
          <w:tcPr>
            <w:tcW w:w="2320" w:type="dxa"/>
            <w:tcBorders>
              <w:top w:val="nil"/>
              <w:left w:val="nil"/>
              <w:right w:val="nil"/>
            </w:tcBorders>
            <w:shd w:val="clear" w:color="000000" w:fill="FFFFFF"/>
            <w:tcMar>
              <w:top w:w="85" w:type="dxa"/>
            </w:tcMar>
            <w:hideMark/>
          </w:tcPr>
          <w:p w14:paraId="142FC2DF"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WIPO premises and installations remain fit for purpose </w:t>
            </w:r>
          </w:p>
        </w:tc>
        <w:tc>
          <w:tcPr>
            <w:tcW w:w="2440" w:type="dxa"/>
            <w:tcBorders>
              <w:top w:val="nil"/>
              <w:left w:val="nil"/>
              <w:right w:val="nil"/>
            </w:tcBorders>
            <w:shd w:val="clear" w:color="000000" w:fill="FFFFFF"/>
            <w:tcMar>
              <w:top w:w="85" w:type="dxa"/>
            </w:tcMar>
            <w:hideMark/>
          </w:tcPr>
          <w:p w14:paraId="07539A5D" w14:textId="77777777" w:rsidR="007A45E0" w:rsidRPr="00054B87" w:rsidRDefault="007A45E0" w:rsidP="008D4CE9">
            <w:pPr>
              <w:rPr>
                <w:rFonts w:ascii="Arial" w:eastAsia="Times New Roman" w:hAnsi="Arial" w:cs="Arial"/>
                <w:color w:val="000000"/>
                <w:sz w:val="16"/>
                <w:szCs w:val="16"/>
              </w:rPr>
            </w:pPr>
            <w:r>
              <w:rPr>
                <w:rFonts w:ascii="Arial" w:eastAsia="Times New Roman" w:hAnsi="Arial" w:cs="Arial"/>
                <w:color w:val="000000"/>
                <w:sz w:val="16"/>
                <w:szCs w:val="16"/>
              </w:rPr>
              <w:t xml:space="preserve">Maximum of one working day per year with breakdown of a technical installations (electricity, water, heating, cooling, ventilation) affecting WIPO core activities.  </w:t>
            </w:r>
          </w:p>
        </w:tc>
        <w:tc>
          <w:tcPr>
            <w:tcW w:w="2149" w:type="dxa"/>
            <w:tcBorders>
              <w:top w:val="nil"/>
              <w:left w:val="nil"/>
              <w:right w:val="single" w:sz="4" w:space="0" w:color="auto"/>
            </w:tcBorders>
            <w:shd w:val="clear" w:color="000000" w:fill="FFFFFF"/>
            <w:tcMar>
              <w:top w:w="85" w:type="dxa"/>
            </w:tcMar>
            <w:hideMark/>
          </w:tcPr>
          <w:p w14:paraId="492EE749" w14:textId="15CE3171" w:rsidR="007A45E0" w:rsidRPr="00054B87" w:rsidRDefault="007A45E0" w:rsidP="008D4CE9">
            <w:pPr>
              <w:rPr>
                <w:rFonts w:ascii="Arial" w:eastAsia="Times New Roman" w:hAnsi="Arial" w:cs="Arial"/>
                <w:color w:val="000000"/>
                <w:sz w:val="16"/>
                <w:szCs w:val="16"/>
              </w:rPr>
            </w:pPr>
            <w:r>
              <w:rPr>
                <w:rFonts w:ascii="Arial" w:eastAsia="Times New Roman" w:hAnsi="Arial" w:cs="Arial"/>
                <w:color w:val="000000"/>
                <w:sz w:val="16"/>
                <w:szCs w:val="16"/>
              </w:rPr>
              <w:t xml:space="preserve">Maintain maximum of one working day per year with breakdown of a technical installations (electricity, water, heating, cooling, ventilation) affecting WIPO core activities.  </w:t>
            </w:r>
          </w:p>
        </w:tc>
      </w:tr>
      <w:tr w:rsidR="007A45E0" w:rsidRPr="00054B87" w14:paraId="19CE93FC" w14:textId="77777777" w:rsidTr="00FB68E0">
        <w:trPr>
          <w:trHeight w:val="917"/>
        </w:trPr>
        <w:tc>
          <w:tcPr>
            <w:tcW w:w="2320" w:type="dxa"/>
            <w:tcBorders>
              <w:left w:val="single" w:sz="4" w:space="0" w:color="auto"/>
              <w:bottom w:val="single" w:sz="4" w:space="0" w:color="auto"/>
              <w:right w:val="nil"/>
            </w:tcBorders>
            <w:shd w:val="clear" w:color="000000" w:fill="FFFFFF"/>
            <w:tcMar>
              <w:top w:w="85" w:type="dxa"/>
            </w:tcMar>
            <w:hideMark/>
          </w:tcPr>
          <w:p w14:paraId="69C31FF9"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 </w:t>
            </w:r>
          </w:p>
        </w:tc>
        <w:tc>
          <w:tcPr>
            <w:tcW w:w="2320" w:type="dxa"/>
            <w:tcBorders>
              <w:left w:val="nil"/>
              <w:bottom w:val="single" w:sz="4" w:space="0" w:color="auto"/>
              <w:right w:val="nil"/>
            </w:tcBorders>
            <w:shd w:val="clear" w:color="000000" w:fill="FFFFFF"/>
            <w:tcMar>
              <w:top w:w="85" w:type="dxa"/>
            </w:tcMar>
            <w:hideMark/>
          </w:tcPr>
          <w:p w14:paraId="00E0DB05" w14:textId="77777777" w:rsidR="007A45E0"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Optimum use and occupation of WIPO premises and all types of space</w:t>
            </w:r>
          </w:p>
          <w:p w14:paraId="4D3F07E9" w14:textId="77777777" w:rsidR="00B511F2" w:rsidRPr="00FB68E0" w:rsidRDefault="00B511F2" w:rsidP="00E641D8">
            <w:pPr>
              <w:ind w:left="281"/>
              <w:rPr>
                <w:rFonts w:ascii="Arial" w:eastAsia="Times New Roman" w:hAnsi="Arial" w:cs="Arial"/>
                <w:color w:val="000000"/>
                <w:sz w:val="8"/>
                <w:szCs w:val="8"/>
              </w:rPr>
            </w:pPr>
          </w:p>
          <w:p w14:paraId="7DAE7563" w14:textId="32D8B1D0" w:rsidR="00B511F2" w:rsidRPr="00054B87" w:rsidRDefault="00B511F2" w:rsidP="008D4CE9">
            <w:pPr>
              <w:rPr>
                <w:rFonts w:ascii="Arial" w:eastAsia="Times New Roman" w:hAnsi="Arial" w:cs="Arial"/>
                <w:color w:val="000000"/>
                <w:sz w:val="16"/>
                <w:szCs w:val="16"/>
              </w:rPr>
            </w:pPr>
            <w:r>
              <w:rPr>
                <w:rFonts w:ascii="Arial" w:eastAsia="Times New Roman" w:hAnsi="Arial" w:cs="Arial"/>
                <w:color w:val="000000"/>
                <w:sz w:val="16"/>
                <w:szCs w:val="16"/>
              </w:rPr>
              <w:t xml:space="preserve">% of high value items (e.g </w:t>
            </w:r>
            <w:r w:rsidR="00E85E73">
              <w:rPr>
                <w:rFonts w:ascii="Arial" w:eastAsia="Times New Roman" w:hAnsi="Arial" w:cs="Arial"/>
                <w:color w:val="000000"/>
                <w:sz w:val="16"/>
                <w:szCs w:val="16"/>
              </w:rPr>
              <w:t xml:space="preserve">&gt;5,000 </w:t>
            </w:r>
            <w:r w:rsidR="003736E0">
              <w:rPr>
                <w:rFonts w:ascii="Arial" w:eastAsia="Times New Roman" w:hAnsi="Arial" w:cs="Arial"/>
                <w:color w:val="000000"/>
                <w:sz w:val="16"/>
                <w:szCs w:val="16"/>
              </w:rPr>
              <w:t>Swiss francs</w:t>
            </w:r>
            <w:r w:rsidR="00E85E73">
              <w:rPr>
                <w:rFonts w:ascii="Arial" w:eastAsia="Times New Roman" w:hAnsi="Arial" w:cs="Arial"/>
                <w:color w:val="000000"/>
                <w:sz w:val="16"/>
                <w:szCs w:val="16"/>
              </w:rPr>
              <w:t>) inventoried</w:t>
            </w:r>
          </w:p>
        </w:tc>
        <w:tc>
          <w:tcPr>
            <w:tcW w:w="2440" w:type="dxa"/>
            <w:tcBorders>
              <w:left w:val="nil"/>
              <w:bottom w:val="single" w:sz="4" w:space="0" w:color="auto"/>
              <w:right w:val="nil"/>
            </w:tcBorders>
            <w:shd w:val="clear" w:color="000000" w:fill="FFFFFF"/>
            <w:tcMar>
              <w:top w:w="85" w:type="dxa"/>
            </w:tcMar>
            <w:hideMark/>
          </w:tcPr>
          <w:p w14:paraId="3B6F24E9" w14:textId="77777777" w:rsidR="007A45E0"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80 rented workplaces, 5 offsite storage/archiving areas</w:t>
            </w:r>
          </w:p>
          <w:p w14:paraId="31E7C53A" w14:textId="77777777" w:rsidR="00E85E73" w:rsidRDefault="00E85E73" w:rsidP="00E641D8">
            <w:pPr>
              <w:ind w:left="229"/>
              <w:rPr>
                <w:rFonts w:ascii="Arial" w:eastAsia="Times New Roman" w:hAnsi="Arial" w:cs="Arial"/>
                <w:color w:val="000000"/>
                <w:sz w:val="16"/>
                <w:szCs w:val="16"/>
              </w:rPr>
            </w:pPr>
          </w:p>
          <w:p w14:paraId="23861FF5" w14:textId="77777777" w:rsidR="00E85E73" w:rsidRPr="00FB68E0" w:rsidRDefault="00E85E73" w:rsidP="00E641D8">
            <w:pPr>
              <w:ind w:left="229"/>
              <w:rPr>
                <w:rFonts w:ascii="Arial" w:eastAsia="Times New Roman" w:hAnsi="Arial" w:cs="Arial"/>
                <w:color w:val="000000"/>
                <w:sz w:val="8"/>
                <w:szCs w:val="8"/>
              </w:rPr>
            </w:pPr>
          </w:p>
          <w:p w14:paraId="28DA4051" w14:textId="6B84C455" w:rsidR="00E85E73" w:rsidRPr="00054B87" w:rsidRDefault="00E85E73" w:rsidP="008D4CE9">
            <w:pPr>
              <w:rPr>
                <w:rFonts w:ascii="Arial" w:eastAsia="Times New Roman" w:hAnsi="Arial" w:cs="Arial"/>
                <w:color w:val="000000"/>
                <w:sz w:val="16"/>
                <w:szCs w:val="16"/>
              </w:rPr>
            </w:pPr>
            <w:r>
              <w:rPr>
                <w:rFonts w:ascii="Arial" w:eastAsia="Times New Roman" w:hAnsi="Arial" w:cs="Arial"/>
                <w:color w:val="000000"/>
                <w:sz w:val="16"/>
                <w:szCs w:val="16"/>
              </w:rPr>
              <w:t>95%</w:t>
            </w:r>
          </w:p>
        </w:tc>
        <w:tc>
          <w:tcPr>
            <w:tcW w:w="2149" w:type="dxa"/>
            <w:tcBorders>
              <w:left w:val="nil"/>
              <w:bottom w:val="single" w:sz="4" w:space="0" w:color="auto"/>
              <w:right w:val="single" w:sz="4" w:space="0" w:color="auto"/>
            </w:tcBorders>
            <w:shd w:val="clear" w:color="000000" w:fill="FFFFFF"/>
            <w:tcMar>
              <w:top w:w="85" w:type="dxa"/>
            </w:tcMar>
            <w:hideMark/>
          </w:tcPr>
          <w:p w14:paraId="5F6CD1E9" w14:textId="77777777" w:rsidR="00E85E73"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Maintain 80 rented workplaces, 5 off-site storage/archiving areas</w:t>
            </w:r>
          </w:p>
          <w:p w14:paraId="459C24B8" w14:textId="77777777" w:rsidR="00E85E73" w:rsidRDefault="00E85E73" w:rsidP="00E641D8">
            <w:pPr>
              <w:ind w:left="198"/>
              <w:rPr>
                <w:rFonts w:ascii="Arial" w:eastAsia="Times New Roman" w:hAnsi="Arial" w:cs="Arial"/>
                <w:color w:val="000000"/>
                <w:sz w:val="16"/>
                <w:szCs w:val="16"/>
              </w:rPr>
            </w:pPr>
          </w:p>
          <w:p w14:paraId="12396E8E" w14:textId="77777777" w:rsidR="00E85E73" w:rsidRPr="00FB68E0" w:rsidRDefault="00E85E73" w:rsidP="00E641D8">
            <w:pPr>
              <w:ind w:left="198"/>
              <w:rPr>
                <w:rFonts w:ascii="Arial" w:eastAsia="Times New Roman" w:hAnsi="Arial" w:cs="Arial"/>
                <w:color w:val="000000"/>
                <w:sz w:val="8"/>
                <w:szCs w:val="8"/>
              </w:rPr>
            </w:pPr>
          </w:p>
          <w:p w14:paraId="57E225BC" w14:textId="4052EA8B" w:rsidR="007A45E0" w:rsidRPr="00054B87" w:rsidRDefault="00E85E73" w:rsidP="008D4CE9">
            <w:pPr>
              <w:rPr>
                <w:rFonts w:ascii="Arial" w:eastAsia="Times New Roman" w:hAnsi="Arial" w:cs="Arial"/>
                <w:color w:val="000000"/>
                <w:sz w:val="16"/>
                <w:szCs w:val="16"/>
              </w:rPr>
            </w:pPr>
            <w:r>
              <w:rPr>
                <w:rFonts w:ascii="Arial" w:eastAsia="Times New Roman" w:hAnsi="Arial" w:cs="Arial"/>
                <w:color w:val="000000"/>
                <w:sz w:val="16"/>
                <w:szCs w:val="16"/>
              </w:rPr>
              <w:t>Maintain 95%</w:t>
            </w:r>
            <w:r w:rsidR="007A45E0" w:rsidRPr="00054B87">
              <w:rPr>
                <w:rFonts w:ascii="Arial" w:eastAsia="Times New Roman" w:hAnsi="Arial" w:cs="Arial"/>
                <w:color w:val="000000"/>
                <w:sz w:val="16"/>
                <w:szCs w:val="16"/>
              </w:rPr>
              <w:t xml:space="preserve"> </w:t>
            </w:r>
          </w:p>
        </w:tc>
      </w:tr>
      <w:tr w:rsidR="00E85E73" w:rsidRPr="00054B87" w14:paraId="31431F4F" w14:textId="77777777" w:rsidTr="00FB68E0">
        <w:trPr>
          <w:trHeight w:val="629"/>
        </w:trPr>
        <w:tc>
          <w:tcPr>
            <w:tcW w:w="2320" w:type="dxa"/>
            <w:tcBorders>
              <w:top w:val="single" w:sz="4" w:space="0" w:color="auto"/>
              <w:left w:val="single" w:sz="4" w:space="0" w:color="auto"/>
              <w:right w:val="nil"/>
            </w:tcBorders>
            <w:shd w:val="clear" w:color="000000" w:fill="FFFFFF"/>
            <w:tcMar>
              <w:top w:w="85" w:type="dxa"/>
            </w:tcMar>
          </w:tcPr>
          <w:p w14:paraId="19458899" w14:textId="77777777" w:rsidR="00E85E73" w:rsidRPr="00054B87" w:rsidRDefault="00E85E73" w:rsidP="00E641D8">
            <w:pPr>
              <w:rPr>
                <w:rFonts w:ascii="Arial" w:eastAsia="Times New Roman" w:hAnsi="Arial" w:cs="Arial"/>
                <w:color w:val="000000"/>
                <w:sz w:val="16"/>
                <w:szCs w:val="16"/>
              </w:rPr>
            </w:pPr>
          </w:p>
        </w:tc>
        <w:tc>
          <w:tcPr>
            <w:tcW w:w="2320" w:type="dxa"/>
            <w:tcBorders>
              <w:top w:val="single" w:sz="4" w:space="0" w:color="auto"/>
              <w:left w:val="nil"/>
              <w:right w:val="nil"/>
            </w:tcBorders>
            <w:shd w:val="clear" w:color="000000" w:fill="FFFFFF"/>
            <w:tcMar>
              <w:top w:w="85" w:type="dxa"/>
            </w:tcMar>
          </w:tcPr>
          <w:p w14:paraId="1B96144D" w14:textId="3E2A4F54" w:rsidR="00E85E73" w:rsidRPr="00054B87" w:rsidRDefault="00E85E73" w:rsidP="008D4CE9">
            <w:pPr>
              <w:rPr>
                <w:rFonts w:ascii="Arial" w:eastAsia="Times New Roman" w:hAnsi="Arial" w:cs="Arial"/>
                <w:color w:val="000000"/>
                <w:sz w:val="16"/>
                <w:szCs w:val="16"/>
              </w:rPr>
            </w:pPr>
            <w:r>
              <w:rPr>
                <w:rFonts w:ascii="Arial" w:eastAsia="Times New Roman" w:hAnsi="Arial" w:cs="Arial"/>
                <w:color w:val="000000"/>
                <w:sz w:val="16"/>
                <w:szCs w:val="16"/>
              </w:rPr>
              <w:t xml:space="preserve">% of value items 1,000-5,000 </w:t>
            </w:r>
            <w:r w:rsidR="003736E0">
              <w:rPr>
                <w:rFonts w:ascii="Arial" w:eastAsia="Times New Roman" w:hAnsi="Arial" w:cs="Arial"/>
                <w:color w:val="000000"/>
                <w:sz w:val="16"/>
                <w:szCs w:val="16"/>
              </w:rPr>
              <w:t>Swiss francs</w:t>
            </w:r>
            <w:r>
              <w:rPr>
                <w:rFonts w:ascii="Arial" w:eastAsia="Times New Roman" w:hAnsi="Arial" w:cs="Arial"/>
                <w:color w:val="000000"/>
                <w:sz w:val="16"/>
                <w:szCs w:val="16"/>
              </w:rPr>
              <w:t>, works of arts and attractive items</w:t>
            </w:r>
          </w:p>
        </w:tc>
        <w:tc>
          <w:tcPr>
            <w:tcW w:w="2440" w:type="dxa"/>
            <w:tcBorders>
              <w:top w:val="single" w:sz="4" w:space="0" w:color="auto"/>
              <w:left w:val="nil"/>
              <w:right w:val="nil"/>
            </w:tcBorders>
            <w:shd w:val="clear" w:color="000000" w:fill="FFFFFF"/>
            <w:tcMar>
              <w:top w:w="85" w:type="dxa"/>
            </w:tcMar>
          </w:tcPr>
          <w:p w14:paraId="679582B8" w14:textId="6A5C8301" w:rsidR="00E85E73" w:rsidRPr="00054B87" w:rsidRDefault="00E85E73" w:rsidP="008D4CE9">
            <w:pPr>
              <w:rPr>
                <w:rFonts w:ascii="Arial" w:eastAsia="Times New Roman" w:hAnsi="Arial" w:cs="Arial"/>
                <w:color w:val="000000"/>
                <w:sz w:val="16"/>
                <w:szCs w:val="16"/>
              </w:rPr>
            </w:pPr>
            <w:r>
              <w:rPr>
                <w:rFonts w:ascii="Arial" w:eastAsia="Times New Roman" w:hAnsi="Arial" w:cs="Arial"/>
                <w:color w:val="000000"/>
                <w:sz w:val="16"/>
                <w:szCs w:val="16"/>
              </w:rPr>
              <w:t>n/a</w:t>
            </w:r>
          </w:p>
        </w:tc>
        <w:tc>
          <w:tcPr>
            <w:tcW w:w="2149" w:type="dxa"/>
            <w:tcBorders>
              <w:top w:val="single" w:sz="4" w:space="0" w:color="auto"/>
              <w:left w:val="nil"/>
              <w:right w:val="single" w:sz="4" w:space="0" w:color="auto"/>
            </w:tcBorders>
            <w:shd w:val="clear" w:color="000000" w:fill="FFFFFF"/>
            <w:tcMar>
              <w:top w:w="85" w:type="dxa"/>
            </w:tcMar>
          </w:tcPr>
          <w:p w14:paraId="6DC4C840" w14:textId="7A1AADC1" w:rsidR="00E85E73" w:rsidRPr="00054B87" w:rsidRDefault="00E85E73" w:rsidP="008D4CE9">
            <w:pPr>
              <w:ind w:firstLine="57"/>
              <w:rPr>
                <w:rFonts w:ascii="Arial" w:eastAsia="Times New Roman" w:hAnsi="Arial" w:cs="Arial"/>
                <w:color w:val="000000"/>
                <w:sz w:val="16"/>
                <w:szCs w:val="16"/>
              </w:rPr>
            </w:pPr>
            <w:r>
              <w:rPr>
                <w:rFonts w:ascii="Arial" w:eastAsia="Times New Roman" w:hAnsi="Arial" w:cs="Arial"/>
                <w:color w:val="000000"/>
                <w:sz w:val="16"/>
                <w:szCs w:val="16"/>
              </w:rPr>
              <w:t>90%</w:t>
            </w:r>
          </w:p>
        </w:tc>
      </w:tr>
      <w:tr w:rsidR="007A45E0" w:rsidRPr="00054B87" w14:paraId="1F957356" w14:textId="77777777" w:rsidTr="00FB68E0">
        <w:trPr>
          <w:trHeight w:val="2461"/>
        </w:trPr>
        <w:tc>
          <w:tcPr>
            <w:tcW w:w="2320" w:type="dxa"/>
            <w:tcBorders>
              <w:left w:val="single" w:sz="4" w:space="0" w:color="auto"/>
              <w:bottom w:val="nil"/>
              <w:right w:val="nil"/>
            </w:tcBorders>
            <w:shd w:val="clear" w:color="000000" w:fill="FFFFFF"/>
            <w:tcMar>
              <w:top w:w="85" w:type="dxa"/>
            </w:tcMar>
            <w:hideMark/>
          </w:tcPr>
          <w:p w14:paraId="250FF999" w14:textId="77777777" w:rsidR="007A45E0" w:rsidRPr="00054B87" w:rsidRDefault="007A45E0" w:rsidP="00E641D8">
            <w:pPr>
              <w:rPr>
                <w:rFonts w:ascii="Arial" w:eastAsia="Times New Roman" w:hAnsi="Arial" w:cs="Arial"/>
                <w:color w:val="000000"/>
                <w:sz w:val="16"/>
                <w:szCs w:val="16"/>
              </w:rPr>
            </w:pPr>
            <w:r w:rsidRPr="00054B87">
              <w:rPr>
                <w:rFonts w:ascii="Arial" w:eastAsia="Times New Roman" w:hAnsi="Arial" w:cs="Arial"/>
                <w:color w:val="000000"/>
                <w:sz w:val="16"/>
                <w:szCs w:val="16"/>
              </w:rPr>
              <w:t>IX.4 An environmentally and socially responsible Organization in which WIPO staff, delegates, visitors and information and physical assets are safe and secure</w:t>
            </w:r>
          </w:p>
        </w:tc>
        <w:tc>
          <w:tcPr>
            <w:tcW w:w="2320" w:type="dxa"/>
            <w:tcBorders>
              <w:left w:val="nil"/>
              <w:bottom w:val="nil"/>
              <w:right w:val="nil"/>
            </w:tcBorders>
            <w:shd w:val="clear" w:color="000000" w:fill="FFFFFF"/>
            <w:tcMar>
              <w:top w:w="85" w:type="dxa"/>
            </w:tcMar>
            <w:hideMark/>
          </w:tcPr>
          <w:p w14:paraId="70E72E42"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Reduced impact of WIPO activities on the environment</w:t>
            </w:r>
          </w:p>
        </w:tc>
        <w:tc>
          <w:tcPr>
            <w:tcW w:w="2440" w:type="dxa"/>
            <w:tcBorders>
              <w:left w:val="nil"/>
              <w:bottom w:val="nil"/>
              <w:right w:val="nil"/>
            </w:tcBorders>
            <w:shd w:val="clear" w:color="000000" w:fill="FFFFFF"/>
            <w:tcMar>
              <w:top w:w="85" w:type="dxa"/>
            </w:tcMar>
            <w:hideMark/>
          </w:tcPr>
          <w:p w14:paraId="6FE68559"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A. Commitment to UN Climate Neutral Framework announced by the United Nations Secretary General in September 2014 </w:t>
            </w:r>
            <w:r w:rsidRPr="00054B87">
              <w:rPr>
                <w:rFonts w:ascii="Arial" w:eastAsia="Times New Roman" w:hAnsi="Arial" w:cs="Arial"/>
                <w:color w:val="000000"/>
                <w:sz w:val="16"/>
                <w:szCs w:val="16"/>
              </w:rPr>
              <w:br/>
              <w:t xml:space="preserve">B. Commitment to Host Country and local regulations for energy consumption </w:t>
            </w:r>
            <w:r w:rsidRPr="00054B87">
              <w:rPr>
                <w:rFonts w:ascii="Arial" w:eastAsia="Times New Roman" w:hAnsi="Arial" w:cs="Arial"/>
                <w:color w:val="000000"/>
                <w:sz w:val="16"/>
                <w:szCs w:val="16"/>
              </w:rPr>
              <w:br/>
              <w:t>C. Energy consumption levels as at end-2015</w:t>
            </w:r>
          </w:p>
        </w:tc>
        <w:tc>
          <w:tcPr>
            <w:tcW w:w="2149" w:type="dxa"/>
            <w:tcBorders>
              <w:left w:val="nil"/>
              <w:bottom w:val="nil"/>
              <w:right w:val="single" w:sz="4" w:space="0" w:color="auto"/>
            </w:tcBorders>
            <w:shd w:val="clear" w:color="000000" w:fill="FFFFFF"/>
            <w:tcMar>
              <w:top w:w="85" w:type="dxa"/>
            </w:tcMar>
            <w:hideMark/>
          </w:tcPr>
          <w:p w14:paraId="79968C68"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A. Maintain carbon emissions and greenhouse gases at end-2015 levels</w:t>
            </w:r>
            <w:r w:rsidRPr="00054B87">
              <w:rPr>
                <w:rFonts w:ascii="Arial" w:eastAsia="Times New Roman" w:hAnsi="Arial" w:cs="Arial"/>
                <w:color w:val="000000"/>
                <w:sz w:val="16"/>
                <w:szCs w:val="16"/>
              </w:rPr>
              <w:br/>
              <w:t>B. Implementation of measures by end-2017 to maintain energy consumption at end-2015 levels and at comparable weather conditions (for electricity, water, gas and heating oil)</w:t>
            </w:r>
          </w:p>
        </w:tc>
      </w:tr>
      <w:tr w:rsidR="007A45E0" w:rsidRPr="00054B87" w14:paraId="6D8516FC" w14:textId="77777777" w:rsidTr="00E641D8">
        <w:trPr>
          <w:trHeight w:val="1719"/>
        </w:trPr>
        <w:tc>
          <w:tcPr>
            <w:tcW w:w="2320" w:type="dxa"/>
            <w:tcBorders>
              <w:top w:val="nil"/>
              <w:left w:val="single" w:sz="4" w:space="0" w:color="auto"/>
              <w:bottom w:val="single" w:sz="4" w:space="0" w:color="auto"/>
              <w:right w:val="nil"/>
            </w:tcBorders>
            <w:shd w:val="clear" w:color="000000" w:fill="FFFFFF"/>
            <w:tcMar>
              <w:top w:w="85" w:type="dxa"/>
            </w:tcMar>
          </w:tcPr>
          <w:p w14:paraId="43765FF7" w14:textId="77777777" w:rsidR="007A45E0" w:rsidRPr="00054B87" w:rsidRDefault="007A45E0" w:rsidP="00E641D8">
            <w:pPr>
              <w:rPr>
                <w:rFonts w:ascii="Arial" w:eastAsia="Times New Roman" w:hAnsi="Arial" w:cs="Arial"/>
                <w:color w:val="000000"/>
                <w:sz w:val="16"/>
                <w:szCs w:val="16"/>
              </w:rPr>
            </w:pPr>
          </w:p>
        </w:tc>
        <w:tc>
          <w:tcPr>
            <w:tcW w:w="2320" w:type="dxa"/>
            <w:tcBorders>
              <w:top w:val="nil"/>
              <w:left w:val="nil"/>
              <w:bottom w:val="single" w:sz="4" w:space="0" w:color="auto"/>
              <w:right w:val="nil"/>
            </w:tcBorders>
            <w:shd w:val="clear" w:color="000000" w:fill="FFFFFF"/>
            <w:tcMar>
              <w:top w:w="85" w:type="dxa"/>
            </w:tcMar>
          </w:tcPr>
          <w:p w14:paraId="2F4C69A3"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Improved physical access to the WIPO campus </w:t>
            </w:r>
          </w:p>
        </w:tc>
        <w:tc>
          <w:tcPr>
            <w:tcW w:w="2440" w:type="dxa"/>
            <w:tcBorders>
              <w:top w:val="nil"/>
              <w:left w:val="nil"/>
              <w:bottom w:val="single" w:sz="4" w:space="0" w:color="auto"/>
              <w:right w:val="nil"/>
            </w:tcBorders>
            <w:shd w:val="clear" w:color="000000" w:fill="FFFFFF"/>
            <w:tcMar>
              <w:top w:w="85" w:type="dxa"/>
            </w:tcMar>
          </w:tcPr>
          <w:p w14:paraId="217D6311"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Recommendations contained in 2012 Physical Accessibility Audit</w:t>
            </w:r>
          </w:p>
        </w:tc>
        <w:tc>
          <w:tcPr>
            <w:tcW w:w="2149" w:type="dxa"/>
            <w:tcBorders>
              <w:top w:val="nil"/>
              <w:left w:val="nil"/>
              <w:bottom w:val="single" w:sz="4" w:space="0" w:color="auto"/>
              <w:right w:val="single" w:sz="4" w:space="0" w:color="auto"/>
            </w:tcBorders>
            <w:shd w:val="clear" w:color="000000" w:fill="FFFFFF"/>
            <w:tcMar>
              <w:top w:w="85" w:type="dxa"/>
            </w:tcMar>
          </w:tcPr>
          <w:p w14:paraId="624E3646" w14:textId="77777777" w:rsidR="007A45E0" w:rsidRPr="00054B87" w:rsidRDefault="007A45E0" w:rsidP="008D4CE9">
            <w:pPr>
              <w:rPr>
                <w:rFonts w:ascii="Arial" w:eastAsia="Times New Roman" w:hAnsi="Arial" w:cs="Arial"/>
                <w:color w:val="000000"/>
                <w:sz w:val="16"/>
                <w:szCs w:val="16"/>
              </w:rPr>
            </w:pPr>
            <w:r w:rsidRPr="00054B87">
              <w:rPr>
                <w:rFonts w:ascii="Arial" w:eastAsia="Times New Roman" w:hAnsi="Arial" w:cs="Arial"/>
                <w:color w:val="000000"/>
                <w:sz w:val="16"/>
                <w:szCs w:val="16"/>
              </w:rPr>
              <w:t xml:space="preserve">Implementation of following measures by end-2017: </w:t>
            </w:r>
            <w:r w:rsidRPr="00054B87">
              <w:rPr>
                <w:rFonts w:ascii="Arial" w:eastAsia="Times New Roman" w:hAnsi="Arial" w:cs="Arial"/>
                <w:color w:val="000000"/>
                <w:sz w:val="16"/>
                <w:szCs w:val="16"/>
              </w:rPr>
              <w:br/>
              <w:t xml:space="preserve">1. badge readers at required level for persons with disabilities </w:t>
            </w:r>
            <w:r w:rsidRPr="00054B87">
              <w:rPr>
                <w:rFonts w:ascii="Arial" w:eastAsia="Times New Roman" w:hAnsi="Arial" w:cs="Arial"/>
                <w:color w:val="000000"/>
                <w:sz w:val="16"/>
                <w:szCs w:val="16"/>
              </w:rPr>
              <w:br/>
              <w:t>2. guard rails where required</w:t>
            </w:r>
          </w:p>
        </w:tc>
      </w:tr>
    </w:tbl>
    <w:p w14:paraId="25CFAF8B" w14:textId="77777777" w:rsidR="007A45E0" w:rsidRPr="00021D3F" w:rsidRDefault="007A45E0" w:rsidP="00E641D8">
      <w:pPr>
        <w:pStyle w:val="ListParagraph"/>
        <w:tabs>
          <w:tab w:val="left" w:pos="709"/>
        </w:tabs>
        <w:ind w:left="0"/>
        <w:jc w:val="both"/>
        <w:rPr>
          <w:rFonts w:ascii="Arial" w:hAnsi="Arial" w:cs="Arial"/>
          <w:sz w:val="20"/>
        </w:rPr>
      </w:pPr>
    </w:p>
    <w:p w14:paraId="0967E932" w14:textId="4A5F2AA0" w:rsidR="007A45E0" w:rsidRDefault="007A45E0" w:rsidP="00E641D8">
      <w:pPr>
        <w:pStyle w:val="ListParagraph"/>
        <w:tabs>
          <w:tab w:val="left" w:pos="709"/>
        </w:tabs>
        <w:ind w:left="0"/>
        <w:jc w:val="both"/>
        <w:rPr>
          <w:rFonts w:ascii="Arial" w:hAnsi="Arial" w:cs="Arial"/>
        </w:rPr>
      </w:pPr>
      <w:r w:rsidRPr="00021D3F">
        <w:rPr>
          <w:rFonts w:ascii="Arial" w:hAnsi="Arial" w:cs="Arial"/>
        </w:rPr>
        <w:t>RESOURCES FOR PROGRAM 24</w:t>
      </w:r>
    </w:p>
    <w:p w14:paraId="7269E313" w14:textId="77777777" w:rsidR="007A45E0" w:rsidRDefault="007A45E0" w:rsidP="00E641D8">
      <w:pPr>
        <w:pStyle w:val="ListParagraph"/>
        <w:tabs>
          <w:tab w:val="left" w:pos="709"/>
        </w:tabs>
        <w:ind w:left="0"/>
        <w:jc w:val="both"/>
        <w:rPr>
          <w:rFonts w:ascii="Arial" w:hAnsi="Arial" w:cs="Arial"/>
        </w:rPr>
      </w:pPr>
    </w:p>
    <w:p w14:paraId="63394DC8" w14:textId="77777777" w:rsidR="007A45E0" w:rsidRDefault="007A45E0" w:rsidP="00B66A4A">
      <w:pPr>
        <w:pStyle w:val="ListParagraph"/>
        <w:numPr>
          <w:ilvl w:val="0"/>
          <w:numId w:val="24"/>
        </w:numPr>
        <w:tabs>
          <w:tab w:val="left" w:pos="709"/>
        </w:tabs>
        <w:ind w:left="0" w:firstLine="0"/>
        <w:contextualSpacing w:val="0"/>
        <w:jc w:val="both"/>
        <w:rPr>
          <w:rFonts w:ascii="Arial" w:hAnsi="Arial" w:cs="Arial"/>
          <w:color w:val="000000"/>
          <w:sz w:val="20"/>
          <w:szCs w:val="20"/>
        </w:rPr>
      </w:pPr>
      <w:r>
        <w:rPr>
          <w:rFonts w:ascii="Arial" w:hAnsi="Arial" w:cs="Arial"/>
          <w:color w:val="000000"/>
          <w:sz w:val="20"/>
          <w:szCs w:val="20"/>
        </w:rPr>
        <w:t>A</w:t>
      </w:r>
      <w:r w:rsidRPr="00FB68E0">
        <w:rPr>
          <w:rFonts w:ascii="Arial" w:eastAsia="Times New Roman" w:hAnsi="Arial" w:cs="Arial"/>
          <w:color w:val="000000"/>
          <w:sz w:val="20"/>
          <w:szCs w:val="20"/>
        </w:rPr>
        <w:t xml:space="preserve"> slight decrease </w:t>
      </w:r>
      <w:r>
        <w:rPr>
          <w:rFonts w:ascii="Arial" w:hAnsi="Arial" w:cs="Arial"/>
          <w:color w:val="000000"/>
          <w:sz w:val="20"/>
          <w:szCs w:val="20"/>
        </w:rPr>
        <w:t xml:space="preserve">can be observed in the total resources </w:t>
      </w:r>
      <w:r w:rsidRPr="00FB68E0">
        <w:rPr>
          <w:rFonts w:ascii="Arial" w:eastAsia="Times New Roman" w:hAnsi="Arial" w:cs="Arial"/>
          <w:color w:val="000000"/>
          <w:sz w:val="20"/>
          <w:szCs w:val="20"/>
        </w:rPr>
        <w:t xml:space="preserve">for 2016/17 compared to the 2014/15 Budget after </w:t>
      </w:r>
      <w:r>
        <w:rPr>
          <w:rFonts w:ascii="Arial" w:hAnsi="Arial" w:cs="Arial"/>
          <w:color w:val="000000"/>
          <w:sz w:val="20"/>
          <w:szCs w:val="20"/>
        </w:rPr>
        <w:t>T</w:t>
      </w:r>
      <w:r w:rsidRPr="00FB68E0">
        <w:rPr>
          <w:rFonts w:ascii="Arial" w:eastAsia="Times New Roman" w:hAnsi="Arial" w:cs="Arial"/>
          <w:color w:val="000000"/>
          <w:sz w:val="20"/>
          <w:szCs w:val="20"/>
        </w:rPr>
        <w:t>ransfer</w:t>
      </w:r>
      <w:r>
        <w:rPr>
          <w:rFonts w:ascii="Arial" w:hAnsi="Arial" w:cs="Arial"/>
          <w:color w:val="000000"/>
          <w:sz w:val="20"/>
          <w:szCs w:val="20"/>
        </w:rPr>
        <w:t>s</w:t>
      </w:r>
      <w:r w:rsidRPr="00FB68E0">
        <w:rPr>
          <w:rFonts w:ascii="Arial" w:eastAsia="Times New Roman" w:hAnsi="Arial" w:cs="Arial"/>
          <w:color w:val="000000"/>
          <w:sz w:val="20"/>
          <w:szCs w:val="20"/>
        </w:rPr>
        <w:t xml:space="preserve">. </w:t>
      </w:r>
      <w:r>
        <w:rPr>
          <w:rFonts w:ascii="Arial" w:hAnsi="Arial" w:cs="Arial"/>
          <w:color w:val="000000"/>
          <w:sz w:val="20"/>
          <w:szCs w:val="20"/>
        </w:rPr>
        <w:t xml:space="preserve"> </w:t>
      </w:r>
      <w:r w:rsidRPr="00FB68E0">
        <w:rPr>
          <w:rFonts w:ascii="Arial" w:eastAsia="Times New Roman" w:hAnsi="Arial" w:cs="Arial"/>
          <w:color w:val="000000"/>
          <w:sz w:val="20"/>
          <w:szCs w:val="20"/>
        </w:rPr>
        <w:t xml:space="preserve">The net decrease under personnel resources results from a combination of statutory increases as well as redeployment of three posts out of the </w:t>
      </w:r>
      <w:r>
        <w:rPr>
          <w:rFonts w:ascii="Arial" w:hAnsi="Arial" w:cs="Arial"/>
          <w:color w:val="000000"/>
          <w:sz w:val="20"/>
          <w:szCs w:val="20"/>
        </w:rPr>
        <w:t>P</w:t>
      </w:r>
      <w:r w:rsidRPr="00FB68E0">
        <w:rPr>
          <w:rFonts w:ascii="Arial" w:eastAsia="Times New Roman" w:hAnsi="Arial" w:cs="Arial"/>
          <w:color w:val="000000"/>
          <w:sz w:val="20"/>
          <w:szCs w:val="20"/>
        </w:rPr>
        <w:t xml:space="preserve">rogram. </w:t>
      </w:r>
      <w:r>
        <w:rPr>
          <w:rFonts w:ascii="Arial" w:hAnsi="Arial" w:cs="Arial"/>
          <w:color w:val="000000"/>
          <w:sz w:val="20"/>
          <w:szCs w:val="20"/>
        </w:rPr>
        <w:t xml:space="preserve"> </w:t>
      </w:r>
      <w:r w:rsidRPr="00FB68E0">
        <w:rPr>
          <w:rFonts w:ascii="Arial" w:eastAsia="Times New Roman" w:hAnsi="Arial" w:cs="Arial"/>
          <w:color w:val="000000"/>
          <w:sz w:val="20"/>
          <w:szCs w:val="20"/>
        </w:rPr>
        <w:t>The slight increase in non-personnel resources is the net result of</w:t>
      </w:r>
      <w:r>
        <w:rPr>
          <w:rFonts w:ascii="Arial" w:hAnsi="Arial" w:cs="Arial"/>
          <w:color w:val="000000"/>
          <w:sz w:val="20"/>
          <w:szCs w:val="20"/>
        </w:rPr>
        <w:t>, on the one hand,</w:t>
      </w:r>
      <w:r w:rsidRPr="00FB68E0">
        <w:rPr>
          <w:rFonts w:ascii="Arial" w:eastAsia="Times New Roman" w:hAnsi="Arial" w:cs="Arial"/>
          <w:color w:val="000000"/>
          <w:sz w:val="20"/>
          <w:szCs w:val="20"/>
        </w:rPr>
        <w:t xml:space="preserve"> additional resources </w:t>
      </w:r>
      <w:r>
        <w:rPr>
          <w:rFonts w:ascii="Arial" w:hAnsi="Arial" w:cs="Arial"/>
          <w:color w:val="000000"/>
          <w:sz w:val="20"/>
          <w:szCs w:val="20"/>
        </w:rPr>
        <w:t>foreseen</w:t>
      </w:r>
      <w:r w:rsidRPr="00FB68E0">
        <w:rPr>
          <w:rFonts w:ascii="Arial" w:eastAsia="Times New Roman" w:hAnsi="Arial" w:cs="Arial"/>
          <w:color w:val="000000"/>
          <w:sz w:val="20"/>
          <w:szCs w:val="20"/>
        </w:rPr>
        <w:t xml:space="preserve"> for improvement</w:t>
      </w:r>
      <w:r>
        <w:rPr>
          <w:rFonts w:ascii="Arial" w:hAnsi="Arial" w:cs="Arial"/>
          <w:color w:val="000000"/>
          <w:sz w:val="20"/>
          <w:szCs w:val="20"/>
        </w:rPr>
        <w:t>s</w:t>
      </w:r>
      <w:r w:rsidRPr="00FB68E0">
        <w:rPr>
          <w:rFonts w:ascii="Arial" w:eastAsia="Times New Roman" w:hAnsi="Arial" w:cs="Arial"/>
          <w:color w:val="000000"/>
          <w:sz w:val="20"/>
          <w:szCs w:val="20"/>
        </w:rPr>
        <w:t xml:space="preserve"> </w:t>
      </w:r>
      <w:r>
        <w:rPr>
          <w:rFonts w:ascii="Arial" w:hAnsi="Arial" w:cs="Arial"/>
          <w:color w:val="000000"/>
          <w:sz w:val="20"/>
          <w:szCs w:val="20"/>
        </w:rPr>
        <w:t xml:space="preserve">to the WIPO </w:t>
      </w:r>
      <w:r w:rsidRPr="00FB68E0">
        <w:rPr>
          <w:rFonts w:ascii="Arial" w:eastAsia="Times New Roman" w:hAnsi="Arial" w:cs="Arial"/>
          <w:color w:val="000000"/>
          <w:sz w:val="20"/>
          <w:szCs w:val="20"/>
        </w:rPr>
        <w:t xml:space="preserve">buildings and infrastructure </w:t>
      </w:r>
      <w:r>
        <w:rPr>
          <w:rFonts w:ascii="Arial" w:hAnsi="Arial" w:cs="Arial"/>
          <w:color w:val="000000"/>
          <w:sz w:val="20"/>
          <w:szCs w:val="20"/>
        </w:rPr>
        <w:t xml:space="preserve">related </w:t>
      </w:r>
      <w:r w:rsidRPr="00FB68E0">
        <w:rPr>
          <w:rFonts w:ascii="Arial" w:eastAsia="Times New Roman" w:hAnsi="Arial" w:cs="Arial"/>
          <w:color w:val="000000"/>
          <w:sz w:val="20"/>
          <w:szCs w:val="20"/>
        </w:rPr>
        <w:t xml:space="preserve">works for </w:t>
      </w:r>
      <w:r>
        <w:rPr>
          <w:rFonts w:ascii="Arial" w:hAnsi="Arial" w:cs="Arial"/>
          <w:color w:val="000000"/>
          <w:sz w:val="20"/>
          <w:szCs w:val="20"/>
        </w:rPr>
        <w:t xml:space="preserve">the </w:t>
      </w:r>
      <w:r w:rsidRPr="00FB68E0">
        <w:rPr>
          <w:rFonts w:ascii="Arial" w:eastAsia="Times New Roman" w:hAnsi="Arial" w:cs="Arial"/>
          <w:color w:val="000000"/>
          <w:sz w:val="20"/>
          <w:szCs w:val="20"/>
        </w:rPr>
        <w:t>medical unit</w:t>
      </w:r>
      <w:r>
        <w:rPr>
          <w:rFonts w:ascii="Arial" w:hAnsi="Arial" w:cs="Arial"/>
          <w:color w:val="000000"/>
          <w:sz w:val="20"/>
          <w:szCs w:val="20"/>
        </w:rPr>
        <w:t>, and on the other hand, targeted savings related to parking for WIPO staff and a reduction of 2 million Swiss francs in the provision for the payment of interests on the loan on the NB building compared to the provision in the 2014/15 Approved Budget</w:t>
      </w:r>
      <w:r w:rsidRPr="00FB68E0">
        <w:rPr>
          <w:rFonts w:ascii="Arial" w:eastAsia="Times New Roman" w:hAnsi="Arial" w:cs="Arial"/>
          <w:color w:val="000000"/>
          <w:sz w:val="20"/>
          <w:szCs w:val="20"/>
        </w:rPr>
        <w:t>.  </w:t>
      </w:r>
    </w:p>
    <w:p w14:paraId="2869D17E" w14:textId="77777777" w:rsidR="007A45E0" w:rsidRDefault="007A45E0" w:rsidP="00FB68E0">
      <w:pPr>
        <w:pStyle w:val="NormalWeb"/>
        <w:shd w:val="clear" w:color="auto" w:fill="FFFFFF"/>
        <w:jc w:val="both"/>
        <w:rPr>
          <w:rFonts w:ascii="Arial" w:hAnsi="Arial" w:cs="Arial"/>
          <w:color w:val="000000"/>
          <w:sz w:val="20"/>
          <w:szCs w:val="20"/>
        </w:rPr>
      </w:pPr>
    </w:p>
    <w:p w14:paraId="7E968E76" w14:textId="77777777" w:rsidR="007A45E0" w:rsidRPr="007536CC" w:rsidRDefault="007A45E0" w:rsidP="00B66A4A">
      <w:pPr>
        <w:pStyle w:val="ListParagraph"/>
        <w:numPr>
          <w:ilvl w:val="0"/>
          <w:numId w:val="24"/>
        </w:numPr>
        <w:tabs>
          <w:tab w:val="left" w:pos="709"/>
        </w:tabs>
        <w:ind w:left="0" w:firstLine="0"/>
        <w:contextualSpacing w:val="0"/>
        <w:jc w:val="both"/>
        <w:rPr>
          <w:rFonts w:ascii="Arial" w:eastAsia="Times New Roman" w:hAnsi="Arial" w:cs="Arial"/>
          <w:color w:val="000000"/>
          <w:sz w:val="20"/>
          <w:szCs w:val="20"/>
        </w:rPr>
      </w:pPr>
      <w:r w:rsidRPr="00FB68E0">
        <w:rPr>
          <w:rFonts w:ascii="Arial" w:eastAsia="Times New Roman" w:hAnsi="Arial" w:cs="Arial"/>
          <w:color w:val="000000"/>
          <w:sz w:val="20"/>
          <w:szCs w:val="20"/>
        </w:rPr>
        <w:t>The reduction under E</w:t>
      </w:r>
      <w:r>
        <w:rPr>
          <w:rFonts w:ascii="Arial" w:hAnsi="Arial" w:cs="Arial"/>
          <w:color w:val="000000"/>
          <w:sz w:val="20"/>
          <w:szCs w:val="20"/>
        </w:rPr>
        <w:t xml:space="preserve">xpected </w:t>
      </w:r>
      <w:r w:rsidRPr="00FB68E0">
        <w:rPr>
          <w:rFonts w:ascii="Arial" w:eastAsia="Times New Roman" w:hAnsi="Arial" w:cs="Arial"/>
          <w:color w:val="000000"/>
          <w:sz w:val="20"/>
          <w:szCs w:val="20"/>
        </w:rPr>
        <w:t>R</w:t>
      </w:r>
      <w:r>
        <w:rPr>
          <w:rFonts w:ascii="Arial" w:hAnsi="Arial" w:cs="Arial"/>
          <w:color w:val="000000"/>
          <w:sz w:val="20"/>
          <w:szCs w:val="20"/>
        </w:rPr>
        <w:t>esult</w:t>
      </w:r>
      <w:r w:rsidRPr="00FB68E0">
        <w:rPr>
          <w:rFonts w:ascii="Arial" w:eastAsia="Times New Roman" w:hAnsi="Arial" w:cs="Arial"/>
          <w:color w:val="000000"/>
          <w:sz w:val="20"/>
          <w:szCs w:val="20"/>
        </w:rPr>
        <w:t xml:space="preserve"> VIII.5 is due to an overall decrease in the allocation of personnel resources </w:t>
      </w:r>
      <w:r>
        <w:rPr>
          <w:rFonts w:ascii="Arial" w:hAnsi="Arial" w:cs="Arial"/>
          <w:color w:val="000000"/>
          <w:sz w:val="20"/>
          <w:szCs w:val="20"/>
        </w:rPr>
        <w:t xml:space="preserve">to this result due to </w:t>
      </w:r>
      <w:r w:rsidRPr="00FB68E0">
        <w:rPr>
          <w:rFonts w:ascii="Arial" w:eastAsia="Times New Roman" w:hAnsi="Arial" w:cs="Arial"/>
          <w:color w:val="000000"/>
          <w:sz w:val="20"/>
          <w:szCs w:val="20"/>
        </w:rPr>
        <w:t xml:space="preserve">the transfer of UN Joint Services related </w:t>
      </w:r>
      <w:r>
        <w:rPr>
          <w:rFonts w:ascii="Arial" w:hAnsi="Arial" w:cs="Arial"/>
          <w:color w:val="000000"/>
          <w:sz w:val="20"/>
          <w:szCs w:val="20"/>
        </w:rPr>
        <w:t>responsibilities</w:t>
      </w:r>
      <w:r w:rsidRPr="00FB68E0">
        <w:rPr>
          <w:rFonts w:ascii="Arial" w:eastAsia="Times New Roman" w:hAnsi="Arial" w:cs="Arial"/>
          <w:color w:val="000000"/>
          <w:sz w:val="20"/>
          <w:szCs w:val="20"/>
        </w:rPr>
        <w:t xml:space="preserve"> to Program 22.  The net increase under </w:t>
      </w:r>
      <w:r w:rsidRPr="00A87225">
        <w:rPr>
          <w:rFonts w:ascii="Arial" w:hAnsi="Arial" w:cs="Arial"/>
          <w:color w:val="000000"/>
          <w:sz w:val="20"/>
          <w:szCs w:val="20"/>
        </w:rPr>
        <w:t>E</w:t>
      </w:r>
      <w:r w:rsidRPr="00FB68E0">
        <w:rPr>
          <w:rFonts w:ascii="Arial" w:eastAsia="Times New Roman" w:hAnsi="Arial" w:cs="Arial"/>
          <w:color w:val="000000"/>
          <w:sz w:val="20"/>
          <w:szCs w:val="20"/>
        </w:rPr>
        <w:t xml:space="preserve">xpected </w:t>
      </w:r>
      <w:r w:rsidRPr="00A87225">
        <w:rPr>
          <w:rFonts w:ascii="Arial" w:hAnsi="Arial" w:cs="Arial"/>
          <w:color w:val="000000"/>
          <w:sz w:val="20"/>
          <w:szCs w:val="20"/>
        </w:rPr>
        <w:t>R</w:t>
      </w:r>
      <w:r w:rsidRPr="00FB68E0">
        <w:rPr>
          <w:rFonts w:ascii="Arial" w:eastAsia="Times New Roman" w:hAnsi="Arial" w:cs="Arial"/>
          <w:color w:val="000000"/>
          <w:sz w:val="20"/>
          <w:szCs w:val="20"/>
        </w:rPr>
        <w:t xml:space="preserve">esult IX.1 is mainly due to </w:t>
      </w:r>
      <w:r w:rsidRPr="00A87225">
        <w:rPr>
          <w:rFonts w:ascii="Arial" w:hAnsi="Arial" w:cs="Arial"/>
          <w:color w:val="000000"/>
          <w:sz w:val="20"/>
          <w:szCs w:val="20"/>
        </w:rPr>
        <w:t xml:space="preserve">an </w:t>
      </w:r>
      <w:r w:rsidRPr="00FB68E0">
        <w:rPr>
          <w:rFonts w:ascii="Arial" w:eastAsia="Times New Roman" w:hAnsi="Arial" w:cs="Arial"/>
          <w:color w:val="000000"/>
          <w:sz w:val="20"/>
          <w:szCs w:val="20"/>
        </w:rPr>
        <w:t xml:space="preserve">increase in personnel </w:t>
      </w:r>
      <w:r>
        <w:rPr>
          <w:rFonts w:ascii="Arial" w:hAnsi="Arial" w:cs="Arial"/>
          <w:color w:val="000000"/>
          <w:sz w:val="20"/>
          <w:szCs w:val="20"/>
        </w:rPr>
        <w:t xml:space="preserve">resources in support of the WIPO Appeals Board, a new responsibility of the Program.  </w:t>
      </w:r>
      <w:r w:rsidRPr="00FB68E0">
        <w:rPr>
          <w:rFonts w:ascii="Arial" w:eastAsia="Times New Roman" w:hAnsi="Arial" w:cs="Arial"/>
          <w:color w:val="000000"/>
          <w:sz w:val="20"/>
          <w:szCs w:val="20"/>
        </w:rPr>
        <w:t xml:space="preserve">The reduction under ER IX.4 </w:t>
      </w:r>
      <w:r>
        <w:rPr>
          <w:rFonts w:ascii="Arial" w:hAnsi="Arial" w:cs="Arial"/>
          <w:color w:val="000000"/>
          <w:sz w:val="20"/>
          <w:szCs w:val="20"/>
        </w:rPr>
        <w:t xml:space="preserve">reflects the completion of the UN H-MOSS security measures project in the biennium 2014/15 and the resulting decrease in personnel resources. </w:t>
      </w:r>
    </w:p>
    <w:p w14:paraId="56DFF55A" w14:textId="77777777" w:rsidR="007536CC" w:rsidRDefault="007536CC" w:rsidP="007536CC">
      <w:pPr>
        <w:tabs>
          <w:tab w:val="left" w:pos="709"/>
        </w:tabs>
        <w:jc w:val="both"/>
        <w:rPr>
          <w:rFonts w:ascii="Arial" w:eastAsia="Times New Roman" w:hAnsi="Arial" w:cs="Arial"/>
          <w:color w:val="000000"/>
          <w:sz w:val="20"/>
          <w:szCs w:val="20"/>
        </w:rPr>
      </w:pPr>
    </w:p>
    <w:p w14:paraId="3BE854D9" w14:textId="77777777" w:rsidR="007536CC" w:rsidRPr="00FB68E0" w:rsidRDefault="007536CC" w:rsidP="007536CC">
      <w:pPr>
        <w:tabs>
          <w:tab w:val="left" w:pos="709"/>
        </w:tabs>
        <w:jc w:val="both"/>
        <w:rPr>
          <w:rFonts w:ascii="Arial" w:eastAsia="Times New Roman" w:hAnsi="Arial" w:cs="Arial"/>
          <w:color w:val="000000"/>
          <w:sz w:val="20"/>
          <w:szCs w:val="20"/>
        </w:rPr>
      </w:pPr>
    </w:p>
    <w:p w14:paraId="5939B7D8" w14:textId="77777777" w:rsidR="007A45E0" w:rsidRPr="00CD55FE" w:rsidRDefault="007A45E0" w:rsidP="007A45E0">
      <w:pPr>
        <w:keepNext/>
        <w:keepLines/>
        <w:tabs>
          <w:tab w:val="left" w:pos="1427"/>
        </w:tabs>
        <w:jc w:val="center"/>
        <w:rPr>
          <w:rFonts w:ascii="Arial" w:hAnsi="Arial" w:cs="Arial"/>
          <w:sz w:val="20"/>
          <w:szCs w:val="20"/>
        </w:rPr>
      </w:pPr>
      <w:r>
        <w:rPr>
          <w:rFonts w:ascii="Arial" w:hAnsi="Arial" w:cs="Arial"/>
          <w:b/>
          <w:sz w:val="20"/>
          <w:szCs w:val="24"/>
        </w:rPr>
        <w:lastRenderedPageBreak/>
        <w:t>Program 24</w:t>
      </w:r>
      <w:r w:rsidRPr="00CD55FE">
        <w:rPr>
          <w:rFonts w:ascii="Arial" w:hAnsi="Arial" w:cs="Arial"/>
          <w:b/>
          <w:sz w:val="20"/>
          <w:szCs w:val="24"/>
        </w:rPr>
        <w:t xml:space="preserve">:  Resources by </w:t>
      </w:r>
      <w:r>
        <w:rPr>
          <w:rFonts w:ascii="Arial" w:hAnsi="Arial" w:cs="Arial"/>
          <w:b/>
          <w:sz w:val="20"/>
          <w:szCs w:val="24"/>
        </w:rPr>
        <w:t>Result</w:t>
      </w:r>
    </w:p>
    <w:p w14:paraId="164ECFEF" w14:textId="77777777" w:rsidR="007A45E0" w:rsidRPr="00CD55FE" w:rsidRDefault="007A45E0" w:rsidP="007A45E0">
      <w:pPr>
        <w:keepNext/>
        <w:keepLines/>
        <w:tabs>
          <w:tab w:val="left" w:pos="1427"/>
        </w:tabs>
        <w:jc w:val="center"/>
        <w:rPr>
          <w:rFonts w:ascii="Arial" w:hAnsi="Arial" w:cs="Arial"/>
          <w:i/>
          <w:sz w:val="20"/>
          <w:szCs w:val="24"/>
        </w:rPr>
      </w:pPr>
      <w:r w:rsidRPr="00CD55FE">
        <w:rPr>
          <w:rFonts w:ascii="Arial" w:hAnsi="Arial" w:cs="Arial"/>
          <w:i/>
          <w:sz w:val="20"/>
          <w:szCs w:val="24"/>
        </w:rPr>
        <w:t>(In thousands of Swiss francs)</w:t>
      </w:r>
    </w:p>
    <w:p w14:paraId="5403AB22" w14:textId="77777777" w:rsidR="007A45E0" w:rsidRPr="00021D3F" w:rsidRDefault="007A45E0" w:rsidP="007A45E0">
      <w:pPr>
        <w:pStyle w:val="ListParagraph"/>
        <w:keepNext/>
        <w:keepLines/>
        <w:tabs>
          <w:tab w:val="left" w:pos="709"/>
        </w:tabs>
        <w:ind w:left="0"/>
        <w:jc w:val="both"/>
        <w:rPr>
          <w:rFonts w:ascii="Arial" w:hAnsi="Arial" w:cs="Arial"/>
          <w:sz w:val="20"/>
        </w:rPr>
      </w:pPr>
    </w:p>
    <w:p w14:paraId="5E1ADA26" w14:textId="6470548F" w:rsidR="007A45E0" w:rsidRDefault="007A45E0" w:rsidP="00433347">
      <w:pPr>
        <w:pStyle w:val="ListParagraph"/>
        <w:keepNext/>
        <w:keepLines/>
        <w:tabs>
          <w:tab w:val="left" w:pos="709"/>
        </w:tabs>
        <w:ind w:left="0"/>
        <w:jc w:val="center"/>
        <w:rPr>
          <w:rFonts w:ascii="Arial" w:hAnsi="Arial" w:cs="Arial"/>
          <w:sz w:val="20"/>
        </w:rPr>
      </w:pPr>
      <w:r w:rsidRPr="00CD55FE">
        <w:rPr>
          <w:noProof/>
          <w:lang w:eastAsia="en-US"/>
        </w:rPr>
        <w:drawing>
          <wp:inline distT="0" distB="0" distL="0" distR="0" wp14:anchorId="1A5B32EB" wp14:editId="514C5F27">
            <wp:extent cx="5077113" cy="2044704"/>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093130" cy="2051154"/>
                    </a:xfrm>
                    <a:prstGeom prst="rect">
                      <a:avLst/>
                    </a:prstGeom>
                    <a:noFill/>
                    <a:ln>
                      <a:noFill/>
                    </a:ln>
                  </pic:spPr>
                </pic:pic>
              </a:graphicData>
            </a:graphic>
          </wp:inline>
        </w:drawing>
      </w:r>
    </w:p>
    <w:p w14:paraId="472FCF67" w14:textId="77777777" w:rsidR="007A45E0" w:rsidRDefault="007A45E0" w:rsidP="007536CC">
      <w:pPr>
        <w:widowControl w:val="0"/>
        <w:tabs>
          <w:tab w:val="left" w:pos="1427"/>
        </w:tabs>
        <w:jc w:val="center"/>
        <w:rPr>
          <w:rFonts w:ascii="Arial" w:hAnsi="Arial" w:cs="Arial"/>
          <w:b/>
          <w:sz w:val="20"/>
          <w:szCs w:val="24"/>
        </w:rPr>
      </w:pPr>
    </w:p>
    <w:p w14:paraId="479E4C83" w14:textId="77777777" w:rsidR="007A45E0" w:rsidRPr="00CD55FE" w:rsidRDefault="007A45E0" w:rsidP="00E641D8">
      <w:pPr>
        <w:keepNext/>
        <w:keepLines/>
        <w:tabs>
          <w:tab w:val="left" w:pos="1427"/>
        </w:tabs>
        <w:jc w:val="center"/>
        <w:rPr>
          <w:rFonts w:ascii="Arial" w:hAnsi="Arial" w:cs="Arial"/>
          <w:sz w:val="20"/>
          <w:szCs w:val="20"/>
        </w:rPr>
      </w:pPr>
      <w:r>
        <w:rPr>
          <w:rFonts w:ascii="Arial" w:hAnsi="Arial" w:cs="Arial"/>
          <w:b/>
          <w:sz w:val="20"/>
          <w:szCs w:val="24"/>
        </w:rPr>
        <w:t>Program 24</w:t>
      </w:r>
      <w:r w:rsidRPr="00CD55FE">
        <w:rPr>
          <w:rFonts w:ascii="Arial" w:hAnsi="Arial" w:cs="Arial"/>
          <w:b/>
          <w:sz w:val="20"/>
          <w:szCs w:val="24"/>
        </w:rPr>
        <w:t>:  Resources by Object of Expenditure</w:t>
      </w:r>
    </w:p>
    <w:p w14:paraId="1EEA17E1" w14:textId="77777777" w:rsidR="007A45E0" w:rsidRPr="00CD55FE" w:rsidRDefault="007A45E0" w:rsidP="00E641D8">
      <w:pPr>
        <w:keepNext/>
        <w:keepLines/>
        <w:tabs>
          <w:tab w:val="left" w:pos="1427"/>
        </w:tabs>
        <w:jc w:val="center"/>
        <w:rPr>
          <w:rFonts w:ascii="Arial" w:hAnsi="Arial" w:cs="Arial"/>
          <w:i/>
          <w:sz w:val="20"/>
          <w:szCs w:val="24"/>
        </w:rPr>
      </w:pPr>
      <w:r w:rsidRPr="00CD55FE">
        <w:rPr>
          <w:rFonts w:ascii="Arial" w:hAnsi="Arial" w:cs="Arial"/>
          <w:i/>
          <w:sz w:val="20"/>
          <w:szCs w:val="24"/>
        </w:rPr>
        <w:t>(In thousands of Swiss francs)</w:t>
      </w:r>
    </w:p>
    <w:p w14:paraId="25A5A396" w14:textId="77777777" w:rsidR="007A45E0" w:rsidRDefault="007A45E0" w:rsidP="00E641D8">
      <w:pPr>
        <w:pStyle w:val="ListParagraph"/>
        <w:keepNext/>
        <w:keepLines/>
        <w:tabs>
          <w:tab w:val="left" w:pos="709"/>
        </w:tabs>
        <w:ind w:left="0"/>
        <w:jc w:val="both"/>
        <w:rPr>
          <w:rFonts w:ascii="Arial" w:hAnsi="Arial" w:cs="Arial"/>
          <w:sz w:val="20"/>
        </w:rPr>
      </w:pPr>
    </w:p>
    <w:p w14:paraId="5E8181F7" w14:textId="77777777" w:rsidR="007A45E0" w:rsidRDefault="007A45E0" w:rsidP="007A45E0">
      <w:pPr>
        <w:pStyle w:val="ListParagraph"/>
        <w:tabs>
          <w:tab w:val="left" w:pos="709"/>
        </w:tabs>
        <w:ind w:left="0"/>
        <w:jc w:val="center"/>
        <w:rPr>
          <w:rFonts w:ascii="Arial" w:hAnsi="Arial" w:cs="Arial"/>
          <w:sz w:val="20"/>
        </w:rPr>
      </w:pPr>
      <w:r w:rsidRPr="00112F59">
        <w:rPr>
          <w:noProof/>
          <w:lang w:eastAsia="en-US"/>
        </w:rPr>
        <w:drawing>
          <wp:inline distT="0" distB="0" distL="0" distR="0" wp14:anchorId="6C769342" wp14:editId="071E6292">
            <wp:extent cx="5090720" cy="573578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098000" cy="5743984"/>
                    </a:xfrm>
                    <a:prstGeom prst="rect">
                      <a:avLst/>
                    </a:prstGeom>
                    <a:noFill/>
                    <a:ln>
                      <a:noFill/>
                    </a:ln>
                  </pic:spPr>
                </pic:pic>
              </a:graphicData>
            </a:graphic>
          </wp:inline>
        </w:drawing>
      </w:r>
    </w:p>
    <w:p w14:paraId="0214618F" w14:textId="5FB4DA43" w:rsidR="003013AB" w:rsidRDefault="003013AB">
      <w:pPr>
        <w:rPr>
          <w:rFonts w:ascii="Arial" w:hAnsi="Arial" w:cs="Arial"/>
          <w:bCs/>
          <w:sz w:val="20"/>
        </w:rPr>
      </w:pPr>
      <w:r>
        <w:rPr>
          <w:rFonts w:ascii="Arial" w:hAnsi="Arial" w:cs="Arial"/>
          <w:bCs/>
          <w:sz w:val="20"/>
        </w:rPr>
        <w:br w:type="page"/>
      </w:r>
    </w:p>
    <w:p w14:paraId="18795708" w14:textId="77777777" w:rsidR="003013AB" w:rsidRPr="005315E9" w:rsidRDefault="003013AB" w:rsidP="008D3EC2">
      <w:pPr>
        <w:pStyle w:val="StyleStyleHeading3ComplexItalicLatin12pt"/>
        <w:rPr>
          <w:b w:val="0"/>
        </w:rPr>
      </w:pPr>
      <w:bookmarkStart w:id="75" w:name="_Toc427154429"/>
      <w:r w:rsidRPr="009F05A9">
        <w:lastRenderedPageBreak/>
        <w:t>PROGRAM 25</w:t>
      </w:r>
      <w:r w:rsidRPr="009F05A9">
        <w:tab/>
        <w:t>INFORMATION AND COMMUNICATION TECHNOLOGY</w:t>
      </w:r>
      <w:bookmarkEnd w:id="75"/>
      <w:r>
        <w:t xml:space="preserve"> </w:t>
      </w:r>
    </w:p>
    <w:p w14:paraId="020C8788" w14:textId="77777777" w:rsidR="003013AB" w:rsidRDefault="003013AB" w:rsidP="008D3EC2">
      <w:pPr>
        <w:autoSpaceDE w:val="0"/>
        <w:autoSpaceDN w:val="0"/>
        <w:adjustRightInd w:val="0"/>
        <w:rPr>
          <w:rFonts w:ascii="Arial" w:hAnsi="Arial" w:cs="Arial"/>
          <w:b/>
          <w:bCs/>
        </w:rPr>
      </w:pPr>
    </w:p>
    <w:p w14:paraId="35B813AB" w14:textId="77777777" w:rsidR="003013AB" w:rsidRDefault="003013AB" w:rsidP="008D3EC2">
      <w:pPr>
        <w:autoSpaceDE w:val="0"/>
        <w:autoSpaceDN w:val="0"/>
        <w:adjustRightInd w:val="0"/>
        <w:rPr>
          <w:rFonts w:ascii="Arial" w:hAnsi="Arial" w:cs="Arial"/>
          <w:b/>
          <w:bCs/>
        </w:rPr>
      </w:pPr>
    </w:p>
    <w:p w14:paraId="71D767DA" w14:textId="77777777" w:rsidR="003013AB" w:rsidRDefault="003013AB" w:rsidP="008D3EC2">
      <w:pPr>
        <w:autoSpaceDE w:val="0"/>
        <w:autoSpaceDN w:val="0"/>
        <w:adjustRightInd w:val="0"/>
        <w:rPr>
          <w:rFonts w:ascii="Arial" w:hAnsi="Arial" w:cs="Arial"/>
        </w:rPr>
      </w:pPr>
      <w:r>
        <w:rPr>
          <w:rFonts w:ascii="Arial" w:hAnsi="Arial" w:cs="Arial"/>
        </w:rPr>
        <w:t>PLANNING CONTEXT</w:t>
      </w:r>
    </w:p>
    <w:p w14:paraId="6FB81A24" w14:textId="77777777" w:rsidR="003013AB" w:rsidRDefault="003013AB" w:rsidP="008D3EC2">
      <w:pPr>
        <w:autoSpaceDE w:val="0"/>
        <w:autoSpaceDN w:val="0"/>
        <w:adjustRightInd w:val="0"/>
        <w:rPr>
          <w:rFonts w:ascii="Arial" w:hAnsi="Arial" w:cs="Arial"/>
          <w:sz w:val="20"/>
          <w:szCs w:val="20"/>
        </w:rPr>
      </w:pPr>
    </w:p>
    <w:p w14:paraId="04CFD257" w14:textId="77777777" w:rsidR="003013AB" w:rsidRPr="009F05A9"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z w:val="20"/>
          <w:szCs w:val="20"/>
        </w:rPr>
      </w:pPr>
      <w:r w:rsidRPr="009F05A9">
        <w:rPr>
          <w:rFonts w:ascii="Arial" w:hAnsi="Arial" w:cs="Arial"/>
          <w:sz w:val="20"/>
          <w:szCs w:val="20"/>
        </w:rPr>
        <w:t xml:space="preserve">Information and Communications Technology (ICT) continues to play two vital roles at WIPO.  Externally, it has become the critical channel for delivering WIPO’s services to its clients all over the world. </w:t>
      </w:r>
      <w:r>
        <w:rPr>
          <w:rFonts w:ascii="Arial" w:hAnsi="Arial" w:cs="Arial"/>
          <w:sz w:val="20"/>
          <w:szCs w:val="20"/>
        </w:rPr>
        <w:t xml:space="preserve"> </w:t>
      </w:r>
      <w:r w:rsidRPr="009F05A9">
        <w:rPr>
          <w:rFonts w:ascii="Arial" w:hAnsi="Arial" w:cs="Arial"/>
          <w:sz w:val="20"/>
          <w:szCs w:val="20"/>
        </w:rPr>
        <w:t>These include registration services, the global IP infrastructure services, access to IP information and analysis, access to platforms in relation to addressing IP in the context of global policy issues, communications to Member States and stakeholders through webcasting of WIPO meetings, etc.</w:t>
      </w:r>
      <w:r>
        <w:rPr>
          <w:rFonts w:ascii="Arial" w:hAnsi="Arial" w:cs="Arial"/>
          <w:sz w:val="20"/>
          <w:szCs w:val="20"/>
        </w:rPr>
        <w:t xml:space="preserve">  </w:t>
      </w:r>
      <w:r w:rsidRPr="009F05A9">
        <w:rPr>
          <w:rFonts w:ascii="Arial" w:hAnsi="Arial" w:cs="Arial"/>
          <w:sz w:val="20"/>
          <w:szCs w:val="20"/>
        </w:rPr>
        <w:t xml:space="preserve">Internally, ICT enables WIPO to sustain its daily operations through the provision of services such as telecommunications, email and the processing of a wide range of administrative transactions. </w:t>
      </w:r>
      <w:r>
        <w:rPr>
          <w:rFonts w:ascii="Arial" w:hAnsi="Arial" w:cs="Arial"/>
          <w:sz w:val="20"/>
          <w:szCs w:val="20"/>
        </w:rPr>
        <w:t xml:space="preserve"> </w:t>
      </w:r>
      <w:r w:rsidRPr="009F05A9">
        <w:rPr>
          <w:rFonts w:ascii="Arial" w:hAnsi="Arial" w:cs="Arial"/>
          <w:sz w:val="20"/>
          <w:szCs w:val="20"/>
        </w:rPr>
        <w:t>Thus all nine Strategic Goals of WIPO are highly dependent on reliable and effective ICT infrastructure and services for Program delivery.</w:t>
      </w:r>
    </w:p>
    <w:p w14:paraId="33C4FF71" w14:textId="77777777" w:rsidR="003013AB" w:rsidRDefault="003013AB" w:rsidP="008D3EC2">
      <w:pPr>
        <w:autoSpaceDE w:val="0"/>
        <w:autoSpaceDN w:val="0"/>
        <w:adjustRightInd w:val="0"/>
        <w:rPr>
          <w:rFonts w:ascii="Arial" w:hAnsi="Arial" w:cs="Arial"/>
          <w:sz w:val="20"/>
          <w:szCs w:val="20"/>
        </w:rPr>
      </w:pPr>
    </w:p>
    <w:p w14:paraId="27884F7E" w14:textId="224B82C9" w:rsidR="003013AB"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z w:val="20"/>
          <w:szCs w:val="20"/>
        </w:rPr>
      </w:pPr>
      <w:r>
        <w:rPr>
          <w:rFonts w:ascii="Arial" w:hAnsi="Arial" w:cs="Arial"/>
          <w:sz w:val="20"/>
          <w:szCs w:val="20"/>
        </w:rPr>
        <w:t xml:space="preserve">WIPO’s ability to remain responsive to its strategic and operational ICT needs will depend on its ability to continuously improve the performance, scope and resilience of its ICT systems.  This will require substantial investments, strategic sourcing and partnerships, and a balance between innovation and maintaining stability.  </w:t>
      </w:r>
      <w:r w:rsidRPr="009F05A9">
        <w:rPr>
          <w:rFonts w:ascii="Arial" w:hAnsi="Arial" w:cs="Arial"/>
          <w:sz w:val="20"/>
          <w:szCs w:val="20"/>
        </w:rPr>
        <w:t>The Program is faced with a significant challenge of containing costs while re</w:t>
      </w:r>
      <w:r>
        <w:rPr>
          <w:rFonts w:ascii="Arial" w:hAnsi="Arial" w:cs="Arial"/>
          <w:sz w:val="20"/>
          <w:szCs w:val="20"/>
        </w:rPr>
        <w:t>maining responsive to rapidly increasing demands, as well as to manage risks, which are inherent in making major ICT infrastructure improvements.</w:t>
      </w:r>
    </w:p>
    <w:p w14:paraId="335E6C84" w14:textId="77777777" w:rsidR="003013AB" w:rsidRDefault="003013AB" w:rsidP="008D3EC2">
      <w:pPr>
        <w:autoSpaceDE w:val="0"/>
        <w:autoSpaceDN w:val="0"/>
        <w:adjustRightInd w:val="0"/>
        <w:rPr>
          <w:rFonts w:ascii="Arial" w:hAnsi="Arial" w:cs="Arial"/>
        </w:rPr>
      </w:pPr>
    </w:p>
    <w:p w14:paraId="4875D254" w14:textId="77777777" w:rsidR="003013AB" w:rsidRDefault="003013AB" w:rsidP="008D3EC2">
      <w:pPr>
        <w:autoSpaceDE w:val="0"/>
        <w:autoSpaceDN w:val="0"/>
        <w:adjustRightInd w:val="0"/>
        <w:rPr>
          <w:rFonts w:ascii="Arial" w:hAnsi="Arial" w:cs="Arial"/>
        </w:rPr>
      </w:pPr>
    </w:p>
    <w:p w14:paraId="6B12BA34" w14:textId="77777777" w:rsidR="003013AB" w:rsidRDefault="003013AB" w:rsidP="008D3EC2">
      <w:pPr>
        <w:autoSpaceDE w:val="0"/>
        <w:autoSpaceDN w:val="0"/>
        <w:adjustRightInd w:val="0"/>
        <w:rPr>
          <w:rFonts w:ascii="Arial" w:hAnsi="Arial" w:cs="Arial"/>
        </w:rPr>
      </w:pPr>
      <w:r>
        <w:rPr>
          <w:rFonts w:ascii="Arial" w:hAnsi="Arial" w:cs="Arial"/>
        </w:rPr>
        <w:t>IMPLEMENTATION STRATEGIES</w:t>
      </w:r>
    </w:p>
    <w:p w14:paraId="487E46FD" w14:textId="77777777" w:rsidR="003013AB" w:rsidRDefault="003013AB" w:rsidP="008D3EC2">
      <w:pPr>
        <w:autoSpaceDE w:val="0"/>
        <w:autoSpaceDN w:val="0"/>
        <w:adjustRightInd w:val="0"/>
        <w:rPr>
          <w:rFonts w:ascii="Arial" w:hAnsi="Arial" w:cs="Arial"/>
          <w:sz w:val="20"/>
          <w:szCs w:val="20"/>
        </w:rPr>
      </w:pPr>
    </w:p>
    <w:p w14:paraId="2F76398B" w14:textId="77777777" w:rsidR="003013AB" w:rsidRPr="005315E9"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z w:val="20"/>
          <w:szCs w:val="20"/>
        </w:rPr>
      </w:pPr>
      <w:r>
        <w:rPr>
          <w:rFonts w:ascii="Arial" w:hAnsi="Arial" w:cs="Arial"/>
          <w:sz w:val="20"/>
          <w:szCs w:val="20"/>
        </w:rPr>
        <w:t>The Enterprise Architecture discipline that has been established will be further embedded to ensure that WIPO’s ICT systems and landscape are better aligned with its business needs, that standardization and coherence of the ICT architecture are further advanced, that re-architecting efforts are well coordinated, that solutions, technology and product decisions are taken in accordance with the target enterprise architecture and that enterprise data, user access and information are managed in an integral and coherent manner.</w:t>
      </w:r>
    </w:p>
    <w:p w14:paraId="658A56F8" w14:textId="77777777" w:rsidR="003013AB" w:rsidRDefault="003013AB" w:rsidP="008D3EC2">
      <w:pPr>
        <w:tabs>
          <w:tab w:val="left" w:pos="709"/>
        </w:tabs>
        <w:autoSpaceDE w:val="0"/>
        <w:autoSpaceDN w:val="0"/>
        <w:adjustRightInd w:val="0"/>
        <w:rPr>
          <w:rFonts w:ascii="Arial" w:hAnsi="Arial" w:cs="Arial"/>
          <w:strike/>
          <w:sz w:val="20"/>
          <w:szCs w:val="20"/>
        </w:rPr>
      </w:pPr>
    </w:p>
    <w:p w14:paraId="07376142" w14:textId="76A2C5DA" w:rsidR="003013AB"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trike/>
          <w:sz w:val="20"/>
          <w:szCs w:val="20"/>
        </w:rPr>
      </w:pPr>
      <w:r>
        <w:rPr>
          <w:rFonts w:ascii="Arial" w:hAnsi="Arial" w:cs="Arial"/>
          <w:sz w:val="20"/>
          <w:szCs w:val="20"/>
        </w:rPr>
        <w:t>Implementation in the new biennium will largely build on the earlier ICT investments and achievements, such as expanding ICT resilience to cyber threats and large scale disasters</w:t>
      </w:r>
      <w:r w:rsidR="007379DC" w:rsidRPr="007379DC">
        <w:rPr>
          <w:rFonts w:ascii="Arial" w:hAnsi="Arial" w:cs="Arial"/>
          <w:sz w:val="20"/>
        </w:rPr>
        <w:t xml:space="preserve"> </w:t>
      </w:r>
      <w:r w:rsidR="007379DC">
        <w:rPr>
          <w:rFonts w:ascii="Arial" w:hAnsi="Arial" w:cs="Arial"/>
          <w:sz w:val="20"/>
        </w:rPr>
        <w:t xml:space="preserve">as well as supporting the </w:t>
      </w:r>
      <w:r w:rsidR="007379DC" w:rsidRPr="00785BEE">
        <w:rPr>
          <w:rFonts w:ascii="Arial" w:hAnsi="Arial" w:cs="Arial"/>
          <w:sz w:val="20"/>
        </w:rPr>
        <w:t>seamless integration of External Offices</w:t>
      </w:r>
      <w:r w:rsidR="007379DC">
        <w:rPr>
          <w:rFonts w:ascii="Arial" w:hAnsi="Arial" w:cs="Arial"/>
          <w:sz w:val="20"/>
        </w:rPr>
        <w:t xml:space="preserve"> through the roll-out of a standard Global Office system and architecture</w:t>
      </w:r>
      <w:r>
        <w:rPr>
          <w:rFonts w:ascii="Arial" w:hAnsi="Arial" w:cs="Arial"/>
          <w:sz w:val="20"/>
          <w:szCs w:val="20"/>
        </w:rPr>
        <w:t xml:space="preserve">.  Technology enhancements that have been implemented through projects will be operationalized.  Strategic sourcing and building of partnerships are expected to achieve higher cost-effectiveness and geographical responsiveness. </w:t>
      </w:r>
    </w:p>
    <w:p w14:paraId="729AC96F" w14:textId="77777777" w:rsidR="003013AB" w:rsidRDefault="003013AB" w:rsidP="008D3EC2">
      <w:pPr>
        <w:tabs>
          <w:tab w:val="left" w:pos="709"/>
        </w:tabs>
        <w:autoSpaceDE w:val="0"/>
        <w:autoSpaceDN w:val="0"/>
        <w:adjustRightInd w:val="0"/>
        <w:rPr>
          <w:rFonts w:ascii="Arial" w:hAnsi="Arial" w:cs="Arial"/>
          <w:strike/>
          <w:sz w:val="20"/>
          <w:szCs w:val="20"/>
        </w:rPr>
      </w:pPr>
    </w:p>
    <w:p w14:paraId="372EAAD3" w14:textId="6838C2E0" w:rsidR="003013AB"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z w:val="20"/>
          <w:szCs w:val="20"/>
        </w:rPr>
      </w:pPr>
      <w:r>
        <w:rPr>
          <w:rFonts w:ascii="Arial" w:hAnsi="Arial" w:cs="Arial"/>
          <w:sz w:val="20"/>
          <w:szCs w:val="20"/>
        </w:rPr>
        <w:t>In collaboration with the relevant specialized Programs and Information Assurance, this Program will ensure that ICT systems with highly sensitive information are less vulnerable to external threats.</w:t>
      </w:r>
      <w:r w:rsidR="00964EB8">
        <w:rPr>
          <w:rFonts w:ascii="Arial" w:hAnsi="Arial" w:cs="Arial"/>
          <w:sz w:val="20"/>
          <w:szCs w:val="20"/>
        </w:rPr>
        <w:t xml:space="preserve"> </w:t>
      </w:r>
      <w:r>
        <w:rPr>
          <w:rFonts w:ascii="Arial" w:hAnsi="Arial" w:cs="Arial"/>
          <w:sz w:val="20"/>
          <w:szCs w:val="20"/>
        </w:rPr>
        <w:t xml:space="preserve">The Program will further ensure that WIPO seeks to establish more cost-effective </w:t>
      </w:r>
      <w:r w:rsidR="00053C3E">
        <w:rPr>
          <w:rFonts w:ascii="Arial" w:hAnsi="Arial" w:cs="Arial"/>
          <w:sz w:val="20"/>
          <w:szCs w:val="20"/>
        </w:rPr>
        <w:t xml:space="preserve">and resilient </w:t>
      </w:r>
      <w:r>
        <w:rPr>
          <w:rFonts w:ascii="Arial" w:hAnsi="Arial" w:cs="Arial"/>
          <w:sz w:val="20"/>
          <w:szCs w:val="20"/>
        </w:rPr>
        <w:t>hosting solutions for ICT systems without confidentiality concerns</w:t>
      </w:r>
    </w:p>
    <w:p w14:paraId="145C321A" w14:textId="77777777" w:rsidR="003013AB" w:rsidRDefault="003013AB" w:rsidP="008D3EC2">
      <w:pPr>
        <w:autoSpaceDE w:val="0"/>
        <w:autoSpaceDN w:val="0"/>
        <w:adjustRightInd w:val="0"/>
        <w:rPr>
          <w:rFonts w:ascii="Arial" w:hAnsi="Arial" w:cs="Arial"/>
          <w:sz w:val="20"/>
          <w:szCs w:val="20"/>
        </w:rPr>
      </w:pPr>
    </w:p>
    <w:p w14:paraId="2FFAD3EE" w14:textId="66BD9F32" w:rsidR="003013AB"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sz w:val="20"/>
          <w:szCs w:val="20"/>
        </w:rPr>
      </w:pPr>
      <w:r>
        <w:rPr>
          <w:rFonts w:ascii="Arial" w:hAnsi="Arial" w:cs="Arial"/>
          <w:sz w:val="20"/>
          <w:szCs w:val="20"/>
        </w:rPr>
        <w:t xml:space="preserve">The implementation of Enterprise Content Management technology to improve management of documents, collaboration and sharing and retrieval of information will make progress through the next biennium.  This is expected to improve the Organizational wide knowledge </w:t>
      </w:r>
      <w:r w:rsidR="00053C3E">
        <w:rPr>
          <w:rFonts w:ascii="Arial" w:hAnsi="Arial" w:cs="Arial"/>
          <w:sz w:val="20"/>
          <w:szCs w:val="20"/>
        </w:rPr>
        <w:t xml:space="preserve">sharing </w:t>
      </w:r>
      <w:r>
        <w:rPr>
          <w:rFonts w:ascii="Arial" w:hAnsi="Arial" w:cs="Arial"/>
          <w:sz w:val="20"/>
          <w:szCs w:val="20"/>
        </w:rPr>
        <w:t>and information management.</w:t>
      </w:r>
    </w:p>
    <w:p w14:paraId="44A12C0D" w14:textId="77777777" w:rsidR="003013AB" w:rsidRDefault="003013AB" w:rsidP="008D3EC2">
      <w:pPr>
        <w:autoSpaceDE w:val="0"/>
        <w:autoSpaceDN w:val="0"/>
        <w:adjustRightInd w:val="0"/>
        <w:rPr>
          <w:rFonts w:ascii="Arial" w:hAnsi="Arial" w:cs="Arial"/>
          <w:sz w:val="20"/>
          <w:szCs w:val="20"/>
        </w:rPr>
      </w:pPr>
    </w:p>
    <w:p w14:paraId="7623B959" w14:textId="77777777" w:rsidR="003013AB" w:rsidRDefault="003013AB" w:rsidP="008D3EC2">
      <w:pPr>
        <w:autoSpaceDE w:val="0"/>
        <w:autoSpaceDN w:val="0"/>
        <w:adjustRightInd w:val="0"/>
        <w:rPr>
          <w:rFonts w:ascii="Arial" w:hAnsi="Arial" w:cs="Arial"/>
          <w:sz w:val="20"/>
          <w:szCs w:val="20"/>
        </w:rPr>
      </w:pPr>
    </w:p>
    <w:p w14:paraId="538A883D" w14:textId="77777777" w:rsidR="003013AB" w:rsidRDefault="003013AB" w:rsidP="003013AB">
      <w:pPr>
        <w:keepNext/>
        <w:keepLines/>
        <w:autoSpaceDE w:val="0"/>
        <w:autoSpaceDN w:val="0"/>
        <w:adjustRightInd w:val="0"/>
        <w:rPr>
          <w:rFonts w:ascii="Arial" w:hAnsi="Arial" w:cs="Arial"/>
        </w:rPr>
      </w:pPr>
      <w:r w:rsidRPr="00B5261E">
        <w:rPr>
          <w:rFonts w:ascii="Arial" w:hAnsi="Arial" w:cs="Arial"/>
        </w:rPr>
        <w:lastRenderedPageBreak/>
        <w:t>MAJOR RISKS AND MIGRATION STRATGIES</w:t>
      </w:r>
    </w:p>
    <w:p w14:paraId="04995E36" w14:textId="77777777" w:rsidR="003013AB" w:rsidRPr="004E5BD6" w:rsidRDefault="003013AB" w:rsidP="003013AB">
      <w:pPr>
        <w:keepNext/>
        <w:keepLines/>
        <w:rPr>
          <w:rFonts w:ascii="Arial" w:eastAsia="Times New Roman" w:hAnsi="Arial" w:cs="Arial"/>
          <w:sz w:val="20"/>
          <w:szCs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3013AB" w:rsidRPr="004E5BD6" w14:paraId="7FDBA482" w14:textId="77777777" w:rsidTr="00FB68E0">
        <w:trPr>
          <w:trHeight w:val="577"/>
        </w:trPr>
        <w:tc>
          <w:tcPr>
            <w:tcW w:w="4111" w:type="dxa"/>
            <w:tcBorders>
              <w:top w:val="single" w:sz="4" w:space="0" w:color="auto"/>
              <w:bottom w:val="single" w:sz="4" w:space="0" w:color="auto"/>
            </w:tcBorders>
            <w:shd w:val="clear" w:color="auto" w:fill="C6D9F1" w:themeFill="text2" w:themeFillTint="33"/>
            <w:vAlign w:val="center"/>
          </w:tcPr>
          <w:p w14:paraId="0ABFED20" w14:textId="77777777" w:rsidR="003013AB" w:rsidRPr="004E5BD6" w:rsidRDefault="003013AB" w:rsidP="003013AB">
            <w:pPr>
              <w:keepNext/>
              <w:keepLines/>
              <w:jc w:val="center"/>
              <w:rPr>
                <w:rFonts w:ascii="Arial" w:eastAsia="Times New Roman" w:hAnsi="Arial" w:cs="Arial"/>
                <w:b/>
                <w:bCs/>
                <w:sz w:val="18"/>
                <w:szCs w:val="18"/>
                <w:lang w:eastAsia="en-US"/>
              </w:rPr>
            </w:pPr>
            <w:r w:rsidRPr="004E5BD6">
              <w:rPr>
                <w:rFonts w:ascii="Arial" w:eastAsia="Times New Roman" w:hAnsi="Arial" w:cs="Arial"/>
                <w:b/>
                <w:bCs/>
                <w:sz w:val="18"/>
                <w:szCs w:val="18"/>
                <w:lang w:eastAsia="en-US"/>
              </w:rPr>
              <w:t>Risk</w:t>
            </w:r>
          </w:p>
        </w:tc>
        <w:tc>
          <w:tcPr>
            <w:tcW w:w="5103" w:type="dxa"/>
            <w:tcBorders>
              <w:top w:val="single" w:sz="4" w:space="0" w:color="auto"/>
              <w:bottom w:val="single" w:sz="4" w:space="0" w:color="auto"/>
            </w:tcBorders>
            <w:shd w:val="clear" w:color="auto" w:fill="C6D9F1" w:themeFill="text2" w:themeFillTint="33"/>
            <w:vAlign w:val="center"/>
          </w:tcPr>
          <w:p w14:paraId="7FF89E3E" w14:textId="77777777" w:rsidR="003013AB" w:rsidRPr="004E5BD6" w:rsidRDefault="003013AB" w:rsidP="003013AB">
            <w:pPr>
              <w:keepNext/>
              <w:keepLines/>
              <w:jc w:val="center"/>
              <w:rPr>
                <w:rFonts w:ascii="Arial" w:eastAsia="Times New Roman" w:hAnsi="Arial" w:cs="Arial"/>
                <w:b/>
                <w:bCs/>
                <w:sz w:val="18"/>
                <w:szCs w:val="18"/>
                <w:lang w:eastAsia="en-US"/>
              </w:rPr>
            </w:pPr>
            <w:r w:rsidRPr="004E5BD6">
              <w:rPr>
                <w:rFonts w:ascii="Arial" w:eastAsia="Times New Roman" w:hAnsi="Arial" w:cs="Arial"/>
                <w:b/>
                <w:bCs/>
                <w:sz w:val="18"/>
                <w:szCs w:val="18"/>
                <w:lang w:eastAsia="en-US"/>
              </w:rPr>
              <w:t>Mitigation</w:t>
            </w:r>
          </w:p>
        </w:tc>
      </w:tr>
      <w:tr w:rsidR="003013AB" w:rsidRPr="004E5BD6" w14:paraId="00E7B54C" w14:textId="77777777" w:rsidTr="008D3EC2">
        <w:trPr>
          <w:trHeight w:val="1142"/>
        </w:trPr>
        <w:tc>
          <w:tcPr>
            <w:tcW w:w="4111" w:type="dxa"/>
            <w:shd w:val="clear" w:color="auto" w:fill="auto"/>
            <w:tcMar>
              <w:top w:w="113" w:type="dxa"/>
              <w:bottom w:w="113" w:type="dxa"/>
            </w:tcMar>
          </w:tcPr>
          <w:p w14:paraId="28431653" w14:textId="77777777" w:rsidR="003013AB" w:rsidRPr="004E5BD6" w:rsidRDefault="003013AB" w:rsidP="003013AB">
            <w:pPr>
              <w:keepNext/>
              <w:keepLines/>
              <w:rPr>
                <w:rFonts w:ascii="Arial" w:eastAsia="Times New Roman" w:hAnsi="Arial" w:cs="Arial"/>
                <w:color w:val="000000"/>
                <w:sz w:val="16"/>
                <w:szCs w:val="16"/>
                <w:lang w:eastAsia="en-US"/>
              </w:rPr>
            </w:pPr>
            <w:r w:rsidRPr="004E5BD6">
              <w:rPr>
                <w:rFonts w:ascii="Arial" w:eastAsia="Times New Roman" w:hAnsi="Arial" w:cs="Arial"/>
                <w:color w:val="000000"/>
                <w:sz w:val="16"/>
                <w:szCs w:val="16"/>
                <w:lang w:eastAsia="en-US"/>
              </w:rPr>
              <w:t>PCT and related Information Systems experience unacceptable level of interruptions, resulting in the inability to accept PCT filings and subsequently the effect on processing and publication of those applications.  Reputation would be affected negatively.</w:t>
            </w:r>
          </w:p>
        </w:tc>
        <w:tc>
          <w:tcPr>
            <w:tcW w:w="5103" w:type="dxa"/>
            <w:shd w:val="clear" w:color="auto" w:fill="auto"/>
            <w:tcMar>
              <w:top w:w="113" w:type="dxa"/>
              <w:bottom w:w="113" w:type="dxa"/>
            </w:tcMar>
          </w:tcPr>
          <w:p w14:paraId="30BC34D0" w14:textId="77777777" w:rsidR="003013AB" w:rsidRPr="004E5BD6" w:rsidRDefault="003013AB" w:rsidP="003013AB">
            <w:pPr>
              <w:keepNext/>
              <w:keepLines/>
              <w:rPr>
                <w:rFonts w:ascii="Arial" w:eastAsia="Times New Roman" w:hAnsi="Arial" w:cs="Arial"/>
                <w:color w:val="000000"/>
                <w:sz w:val="16"/>
                <w:szCs w:val="16"/>
                <w:lang w:eastAsia="en-US"/>
              </w:rPr>
            </w:pPr>
            <w:r w:rsidRPr="004E5BD6">
              <w:rPr>
                <w:rFonts w:ascii="Arial" w:eastAsia="Times New Roman" w:hAnsi="Arial" w:cs="Arial"/>
                <w:color w:val="000000"/>
                <w:sz w:val="16"/>
                <w:szCs w:val="16"/>
                <w:lang w:eastAsia="en-US"/>
              </w:rPr>
              <w:t>Utilize the redundancy infrastructure established during the 2014/15 biennium whilst introducing additional redundant capability and capacity to further develop and refine business continuity plan.</w:t>
            </w:r>
          </w:p>
          <w:p w14:paraId="3F42CE0E" w14:textId="77777777" w:rsidR="003013AB" w:rsidRPr="004E5BD6" w:rsidRDefault="003013AB" w:rsidP="003013AB">
            <w:pPr>
              <w:keepNext/>
              <w:keepLines/>
              <w:rPr>
                <w:rFonts w:ascii="Arial" w:eastAsia="Times New Roman" w:hAnsi="Arial" w:cs="Arial"/>
                <w:color w:val="000000"/>
                <w:sz w:val="16"/>
                <w:szCs w:val="16"/>
                <w:lang w:eastAsia="en-US"/>
              </w:rPr>
            </w:pPr>
          </w:p>
        </w:tc>
      </w:tr>
    </w:tbl>
    <w:p w14:paraId="305B87E0" w14:textId="77777777" w:rsidR="003013AB" w:rsidRDefault="003013AB" w:rsidP="008D3EC2">
      <w:pPr>
        <w:rPr>
          <w:rFonts w:ascii="Arial" w:eastAsia="Times New Roman" w:hAnsi="Arial" w:cs="Arial"/>
          <w:szCs w:val="20"/>
          <w:lang w:eastAsia="en-US"/>
        </w:rPr>
      </w:pPr>
    </w:p>
    <w:p w14:paraId="5422DFA7" w14:textId="77777777" w:rsidR="003013AB" w:rsidRPr="005315E9" w:rsidRDefault="003013AB" w:rsidP="008D3EC2">
      <w:pPr>
        <w:rPr>
          <w:rFonts w:ascii="Arial" w:eastAsia="Times New Roman" w:hAnsi="Arial" w:cs="Arial"/>
          <w:szCs w:val="20"/>
          <w:lang w:eastAsia="en-US"/>
        </w:rPr>
      </w:pPr>
      <w:r w:rsidRPr="005315E9">
        <w:rPr>
          <w:rFonts w:ascii="Arial" w:eastAsia="Times New Roman" w:hAnsi="Arial" w:cs="Arial"/>
          <w:szCs w:val="20"/>
          <w:lang w:eastAsia="en-US"/>
        </w:rPr>
        <w:t>RESULTS FRAMEWORK</w:t>
      </w:r>
    </w:p>
    <w:p w14:paraId="58EAE89A" w14:textId="77777777" w:rsidR="003013AB" w:rsidRDefault="003013AB" w:rsidP="008D3EC2">
      <w:pPr>
        <w:autoSpaceDE w:val="0"/>
        <w:autoSpaceDN w:val="0"/>
        <w:adjustRightInd w:val="0"/>
        <w:rPr>
          <w:rFonts w:ascii="Arial" w:hAnsi="Arial" w:cs="Arial"/>
        </w:rPr>
      </w:pPr>
    </w:p>
    <w:tbl>
      <w:tblPr>
        <w:tblW w:w="9229" w:type="dxa"/>
        <w:tblInd w:w="93" w:type="dxa"/>
        <w:tblLook w:val="04A0" w:firstRow="1" w:lastRow="0" w:firstColumn="1" w:lastColumn="0" w:noHBand="0" w:noVBand="1"/>
      </w:tblPr>
      <w:tblGrid>
        <w:gridCol w:w="1960"/>
        <w:gridCol w:w="2460"/>
        <w:gridCol w:w="2220"/>
        <w:gridCol w:w="2589"/>
      </w:tblGrid>
      <w:tr w:rsidR="003013AB" w:rsidRPr="004C5265" w14:paraId="038A8974" w14:textId="77777777" w:rsidTr="00FB68E0">
        <w:trPr>
          <w:trHeight w:val="540"/>
        </w:trPr>
        <w:tc>
          <w:tcPr>
            <w:tcW w:w="19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46EA4691" w14:textId="77777777" w:rsidR="003013AB" w:rsidRPr="004C5265" w:rsidRDefault="003013AB" w:rsidP="008D3EC2">
            <w:pPr>
              <w:jc w:val="center"/>
              <w:rPr>
                <w:rFonts w:ascii="Arial" w:eastAsia="Times New Roman" w:hAnsi="Arial" w:cs="Arial"/>
                <w:b/>
                <w:bCs/>
                <w:color w:val="000000"/>
                <w:sz w:val="18"/>
                <w:szCs w:val="18"/>
                <w:lang w:eastAsia="en-US"/>
              </w:rPr>
            </w:pPr>
            <w:r w:rsidRPr="004C5265">
              <w:rPr>
                <w:rFonts w:ascii="Arial" w:eastAsia="Times New Roman" w:hAnsi="Arial" w:cs="Arial"/>
                <w:b/>
                <w:bCs/>
                <w:color w:val="000000"/>
                <w:sz w:val="18"/>
                <w:szCs w:val="18"/>
                <w:lang w:eastAsia="en-US"/>
              </w:rPr>
              <w:t>Expected Results</w:t>
            </w:r>
          </w:p>
        </w:tc>
        <w:tc>
          <w:tcPr>
            <w:tcW w:w="2460" w:type="dxa"/>
            <w:tcBorders>
              <w:top w:val="single" w:sz="4" w:space="0" w:color="auto"/>
              <w:left w:val="nil"/>
              <w:bottom w:val="single" w:sz="4" w:space="0" w:color="auto"/>
              <w:right w:val="nil"/>
            </w:tcBorders>
            <w:shd w:val="clear" w:color="auto" w:fill="C6D9F1" w:themeFill="text2" w:themeFillTint="33"/>
            <w:vAlign w:val="center"/>
            <w:hideMark/>
          </w:tcPr>
          <w:p w14:paraId="24A214B9" w14:textId="77777777" w:rsidR="003013AB" w:rsidRPr="004C5265" w:rsidRDefault="003013AB" w:rsidP="008D3EC2">
            <w:pPr>
              <w:jc w:val="center"/>
              <w:rPr>
                <w:rFonts w:ascii="Arial" w:eastAsia="Times New Roman" w:hAnsi="Arial" w:cs="Arial"/>
                <w:b/>
                <w:bCs/>
                <w:color w:val="000000"/>
                <w:sz w:val="18"/>
                <w:szCs w:val="18"/>
                <w:lang w:eastAsia="en-US"/>
              </w:rPr>
            </w:pPr>
            <w:r w:rsidRPr="004C5265">
              <w:rPr>
                <w:rFonts w:ascii="Arial" w:eastAsia="Times New Roman" w:hAnsi="Arial" w:cs="Arial"/>
                <w:b/>
                <w:bCs/>
                <w:color w:val="000000"/>
                <w:sz w:val="18"/>
                <w:szCs w:val="18"/>
                <w:lang w:eastAsia="en-US"/>
              </w:rPr>
              <w:t>Performance Indicators</w:t>
            </w:r>
          </w:p>
        </w:tc>
        <w:tc>
          <w:tcPr>
            <w:tcW w:w="2220" w:type="dxa"/>
            <w:tcBorders>
              <w:top w:val="single" w:sz="4" w:space="0" w:color="auto"/>
              <w:left w:val="nil"/>
              <w:bottom w:val="single" w:sz="4" w:space="0" w:color="auto"/>
              <w:right w:val="nil"/>
            </w:tcBorders>
            <w:shd w:val="clear" w:color="auto" w:fill="C6D9F1" w:themeFill="text2" w:themeFillTint="33"/>
            <w:vAlign w:val="center"/>
            <w:hideMark/>
          </w:tcPr>
          <w:p w14:paraId="7901D432" w14:textId="77777777" w:rsidR="003013AB" w:rsidRPr="004C5265" w:rsidRDefault="003013AB" w:rsidP="008D3EC2">
            <w:pPr>
              <w:jc w:val="center"/>
              <w:rPr>
                <w:rFonts w:ascii="Arial" w:eastAsia="Times New Roman" w:hAnsi="Arial" w:cs="Arial"/>
                <w:b/>
                <w:bCs/>
                <w:color w:val="000000"/>
                <w:sz w:val="18"/>
                <w:szCs w:val="18"/>
                <w:lang w:eastAsia="en-US"/>
              </w:rPr>
            </w:pPr>
            <w:r w:rsidRPr="004C5265">
              <w:rPr>
                <w:rFonts w:ascii="Arial" w:eastAsia="Times New Roman" w:hAnsi="Arial" w:cs="Arial"/>
                <w:b/>
                <w:bCs/>
                <w:color w:val="000000"/>
                <w:sz w:val="18"/>
                <w:szCs w:val="18"/>
                <w:lang w:eastAsia="en-US"/>
              </w:rPr>
              <w:t>Baselines</w:t>
            </w:r>
          </w:p>
        </w:tc>
        <w:tc>
          <w:tcPr>
            <w:tcW w:w="2589"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6367DF2" w14:textId="77777777" w:rsidR="003013AB" w:rsidRPr="004C5265" w:rsidRDefault="003013AB" w:rsidP="008D3EC2">
            <w:pPr>
              <w:jc w:val="center"/>
              <w:rPr>
                <w:rFonts w:ascii="Arial" w:eastAsia="Times New Roman" w:hAnsi="Arial" w:cs="Arial"/>
                <w:b/>
                <w:bCs/>
                <w:color w:val="000000"/>
                <w:sz w:val="18"/>
                <w:szCs w:val="18"/>
                <w:lang w:eastAsia="en-US"/>
              </w:rPr>
            </w:pPr>
            <w:r w:rsidRPr="004C5265">
              <w:rPr>
                <w:rFonts w:ascii="Arial" w:eastAsia="Times New Roman" w:hAnsi="Arial" w:cs="Arial"/>
                <w:b/>
                <w:bCs/>
                <w:color w:val="000000"/>
                <w:sz w:val="18"/>
                <w:szCs w:val="18"/>
                <w:lang w:eastAsia="en-US"/>
              </w:rPr>
              <w:t>Targets</w:t>
            </w:r>
          </w:p>
        </w:tc>
      </w:tr>
      <w:tr w:rsidR="003013AB" w:rsidRPr="004C5265" w14:paraId="14664435" w14:textId="77777777" w:rsidTr="008D4CE9">
        <w:trPr>
          <w:trHeight w:val="1049"/>
        </w:trPr>
        <w:tc>
          <w:tcPr>
            <w:tcW w:w="1960" w:type="dxa"/>
            <w:vMerge w:val="restart"/>
            <w:tcBorders>
              <w:top w:val="single" w:sz="4" w:space="0" w:color="auto"/>
              <w:left w:val="single" w:sz="4" w:space="0" w:color="auto"/>
              <w:bottom w:val="nil"/>
              <w:right w:val="nil"/>
            </w:tcBorders>
            <w:shd w:val="clear" w:color="000000" w:fill="FFFFFF"/>
            <w:hideMark/>
          </w:tcPr>
          <w:p w14:paraId="74C7E720" w14:textId="77777777" w:rsidR="003013AB" w:rsidRPr="004C5265" w:rsidRDefault="003013AB" w:rsidP="008D3EC2">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br/>
              <w:t>IX.1 Effective, efficient, quality and customer-oriented support services both to internal clients and to external stakeholders</w:t>
            </w:r>
          </w:p>
        </w:tc>
        <w:tc>
          <w:tcPr>
            <w:tcW w:w="2460" w:type="dxa"/>
            <w:tcBorders>
              <w:top w:val="single" w:sz="4" w:space="0" w:color="auto"/>
              <w:left w:val="nil"/>
              <w:bottom w:val="nil"/>
              <w:right w:val="nil"/>
            </w:tcBorders>
            <w:shd w:val="clear" w:color="000000" w:fill="FFFFFF"/>
            <w:hideMark/>
          </w:tcPr>
          <w:p w14:paraId="33FABB79"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br/>
              <w:t>ICT Platforms are cost-effectively hosted and managed in line with business demands</w:t>
            </w:r>
          </w:p>
        </w:tc>
        <w:tc>
          <w:tcPr>
            <w:tcW w:w="2220" w:type="dxa"/>
            <w:tcBorders>
              <w:top w:val="single" w:sz="4" w:space="0" w:color="auto"/>
              <w:left w:val="nil"/>
              <w:bottom w:val="nil"/>
              <w:right w:val="nil"/>
            </w:tcBorders>
            <w:shd w:val="clear" w:color="000000" w:fill="FFFFFF"/>
            <w:hideMark/>
          </w:tcPr>
          <w:p w14:paraId="34F6ECBF"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br/>
              <w:t xml:space="preserve">n/a </w:t>
            </w:r>
          </w:p>
        </w:tc>
        <w:tc>
          <w:tcPr>
            <w:tcW w:w="2589" w:type="dxa"/>
            <w:tcBorders>
              <w:top w:val="single" w:sz="4" w:space="0" w:color="auto"/>
              <w:left w:val="nil"/>
              <w:bottom w:val="nil"/>
              <w:right w:val="single" w:sz="4" w:space="0" w:color="auto"/>
            </w:tcBorders>
            <w:shd w:val="clear" w:color="000000" w:fill="FFFFFF"/>
            <w:hideMark/>
          </w:tcPr>
          <w:p w14:paraId="7FE5226A"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br/>
              <w:t>New SDAs are created and agreed with largest consumers of ICT Platform services</w:t>
            </w:r>
          </w:p>
        </w:tc>
      </w:tr>
      <w:tr w:rsidR="003013AB" w:rsidRPr="004C5265" w14:paraId="1CDECB83" w14:textId="77777777" w:rsidTr="008D4CE9">
        <w:trPr>
          <w:trHeight w:val="1981"/>
        </w:trPr>
        <w:tc>
          <w:tcPr>
            <w:tcW w:w="1960" w:type="dxa"/>
            <w:vMerge/>
            <w:tcBorders>
              <w:top w:val="nil"/>
              <w:left w:val="single" w:sz="4" w:space="0" w:color="auto"/>
              <w:bottom w:val="nil"/>
              <w:right w:val="nil"/>
            </w:tcBorders>
            <w:vAlign w:val="center"/>
            <w:hideMark/>
          </w:tcPr>
          <w:p w14:paraId="325356EF" w14:textId="77777777" w:rsidR="003013AB" w:rsidRPr="004C5265" w:rsidRDefault="003013AB" w:rsidP="008D3EC2">
            <w:pPr>
              <w:rPr>
                <w:rFonts w:ascii="Arial" w:eastAsia="Times New Roman" w:hAnsi="Arial" w:cs="Arial"/>
                <w:color w:val="000000"/>
                <w:sz w:val="16"/>
                <w:szCs w:val="16"/>
                <w:lang w:eastAsia="en-US"/>
              </w:rPr>
            </w:pPr>
          </w:p>
        </w:tc>
        <w:tc>
          <w:tcPr>
            <w:tcW w:w="2460" w:type="dxa"/>
            <w:tcBorders>
              <w:top w:val="nil"/>
              <w:left w:val="nil"/>
              <w:bottom w:val="nil"/>
              <w:right w:val="nil"/>
            </w:tcBorders>
            <w:shd w:val="clear" w:color="000000" w:fill="FFFFFF"/>
            <w:hideMark/>
          </w:tcPr>
          <w:p w14:paraId="423AD2B6" w14:textId="77777777" w:rsidR="003013AB" w:rsidRPr="004C5265" w:rsidRDefault="003013AB" w:rsidP="008D4CE9">
            <w:pPr>
              <w:rPr>
                <w:rFonts w:ascii="Arial" w:eastAsia="Times New Roman" w:hAnsi="Arial" w:cs="Arial"/>
                <w:color w:val="000000"/>
                <w:sz w:val="16"/>
                <w:szCs w:val="16"/>
                <w:lang w:eastAsia="en-US"/>
              </w:rPr>
            </w:pPr>
          </w:p>
        </w:tc>
        <w:tc>
          <w:tcPr>
            <w:tcW w:w="2220" w:type="dxa"/>
            <w:tcBorders>
              <w:top w:val="nil"/>
              <w:left w:val="nil"/>
              <w:bottom w:val="nil"/>
              <w:right w:val="nil"/>
            </w:tcBorders>
            <w:shd w:val="clear" w:color="000000" w:fill="FFFFFF"/>
            <w:hideMark/>
          </w:tcPr>
          <w:p w14:paraId="65B25952" w14:textId="550D774C"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Unit cost of Servers: 448 </w:t>
            </w:r>
            <w:r w:rsidR="003736E0">
              <w:rPr>
                <w:rFonts w:ascii="Arial" w:eastAsia="Times New Roman" w:hAnsi="Arial" w:cs="Arial"/>
                <w:color w:val="000000"/>
                <w:sz w:val="16"/>
                <w:szCs w:val="16"/>
                <w:lang w:eastAsia="en-US"/>
              </w:rPr>
              <w:t>Swiss francs</w:t>
            </w:r>
            <w:r w:rsidRPr="004C5265">
              <w:rPr>
                <w:rFonts w:ascii="Arial" w:eastAsia="Times New Roman" w:hAnsi="Arial" w:cs="Arial"/>
                <w:color w:val="000000"/>
                <w:sz w:val="16"/>
                <w:szCs w:val="16"/>
                <w:lang w:eastAsia="en-US"/>
              </w:rPr>
              <w:t xml:space="preserve">/month; Unit cost per TB of storage: 299 </w:t>
            </w:r>
            <w:r w:rsidR="003736E0">
              <w:rPr>
                <w:rFonts w:ascii="Arial" w:eastAsia="Times New Roman" w:hAnsi="Arial" w:cs="Arial"/>
                <w:color w:val="000000"/>
                <w:sz w:val="16"/>
                <w:szCs w:val="16"/>
                <w:lang w:eastAsia="en-US"/>
              </w:rPr>
              <w:t>Swiss francs</w:t>
            </w:r>
            <w:r w:rsidRPr="004C5265">
              <w:rPr>
                <w:rFonts w:ascii="Arial" w:eastAsia="Times New Roman" w:hAnsi="Arial" w:cs="Arial"/>
                <w:color w:val="000000"/>
                <w:sz w:val="16"/>
                <w:szCs w:val="16"/>
                <w:lang w:eastAsia="en-US"/>
              </w:rPr>
              <w:t xml:space="preserve">/month; Unit cost of backup per TB of storage: 370 </w:t>
            </w:r>
            <w:r w:rsidR="003736E0">
              <w:rPr>
                <w:rFonts w:ascii="Arial" w:eastAsia="Times New Roman" w:hAnsi="Arial" w:cs="Arial"/>
                <w:color w:val="000000"/>
                <w:sz w:val="16"/>
                <w:szCs w:val="16"/>
                <w:lang w:eastAsia="en-US"/>
              </w:rPr>
              <w:t>Swiss francs</w:t>
            </w:r>
            <w:r w:rsidRPr="004C5265">
              <w:rPr>
                <w:rFonts w:ascii="Arial" w:eastAsia="Times New Roman" w:hAnsi="Arial" w:cs="Arial"/>
                <w:color w:val="000000"/>
                <w:sz w:val="16"/>
                <w:szCs w:val="16"/>
                <w:lang w:eastAsia="en-US"/>
              </w:rPr>
              <w:t>/month (End-2014);  Number of service incidents with medium or high impact: 1.75 per month</w:t>
            </w:r>
          </w:p>
        </w:tc>
        <w:tc>
          <w:tcPr>
            <w:tcW w:w="2589" w:type="dxa"/>
            <w:tcBorders>
              <w:top w:val="nil"/>
              <w:left w:val="nil"/>
              <w:bottom w:val="nil"/>
              <w:right w:val="single" w:sz="4" w:space="0" w:color="auto"/>
            </w:tcBorders>
            <w:shd w:val="clear" w:color="000000" w:fill="FFFFFF"/>
            <w:hideMark/>
          </w:tcPr>
          <w:p w14:paraId="06198A64"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Unit costs decrease by at least 5% per year; No increase in service incidents of medium or high impact </w:t>
            </w:r>
          </w:p>
        </w:tc>
      </w:tr>
      <w:tr w:rsidR="003013AB" w:rsidRPr="004C5265" w14:paraId="602D84A6" w14:textId="77777777" w:rsidTr="008D4CE9">
        <w:trPr>
          <w:trHeight w:val="861"/>
        </w:trPr>
        <w:tc>
          <w:tcPr>
            <w:tcW w:w="1960" w:type="dxa"/>
            <w:vMerge/>
            <w:tcBorders>
              <w:top w:val="nil"/>
              <w:left w:val="single" w:sz="4" w:space="0" w:color="auto"/>
              <w:bottom w:val="nil"/>
              <w:right w:val="nil"/>
            </w:tcBorders>
            <w:vAlign w:val="center"/>
            <w:hideMark/>
          </w:tcPr>
          <w:p w14:paraId="2A32285F" w14:textId="77777777" w:rsidR="003013AB" w:rsidRPr="004C5265" w:rsidRDefault="003013AB" w:rsidP="008D3EC2">
            <w:pPr>
              <w:rPr>
                <w:rFonts w:ascii="Arial" w:eastAsia="Times New Roman" w:hAnsi="Arial" w:cs="Arial"/>
                <w:color w:val="000000"/>
                <w:sz w:val="16"/>
                <w:szCs w:val="16"/>
                <w:lang w:eastAsia="en-US"/>
              </w:rPr>
            </w:pPr>
          </w:p>
        </w:tc>
        <w:tc>
          <w:tcPr>
            <w:tcW w:w="2460" w:type="dxa"/>
            <w:tcBorders>
              <w:top w:val="nil"/>
              <w:left w:val="nil"/>
              <w:bottom w:val="nil"/>
              <w:right w:val="nil"/>
            </w:tcBorders>
            <w:shd w:val="clear" w:color="000000" w:fill="FFFFFF"/>
            <w:hideMark/>
          </w:tcPr>
          <w:p w14:paraId="61439ECC"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Application development activities adhere to the WIPO reference and master data standards.</w:t>
            </w:r>
          </w:p>
        </w:tc>
        <w:tc>
          <w:tcPr>
            <w:tcW w:w="2220" w:type="dxa"/>
            <w:tcBorders>
              <w:top w:val="nil"/>
              <w:left w:val="nil"/>
              <w:bottom w:val="nil"/>
              <w:right w:val="nil"/>
            </w:tcBorders>
            <w:shd w:val="clear" w:color="000000" w:fill="FFFFFF"/>
            <w:hideMark/>
          </w:tcPr>
          <w:p w14:paraId="7A2FF397"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n/a </w:t>
            </w:r>
          </w:p>
        </w:tc>
        <w:tc>
          <w:tcPr>
            <w:tcW w:w="2589" w:type="dxa"/>
            <w:tcBorders>
              <w:top w:val="nil"/>
              <w:left w:val="nil"/>
              <w:bottom w:val="nil"/>
              <w:right w:val="single" w:sz="4" w:space="0" w:color="auto"/>
            </w:tcBorders>
            <w:shd w:val="clear" w:color="000000" w:fill="FFFFFF"/>
            <w:hideMark/>
          </w:tcPr>
          <w:p w14:paraId="1CA0CEE2"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The WIPO reference and master data strategy and repository used by at least o</w:t>
            </w:r>
            <w:r>
              <w:rPr>
                <w:rFonts w:ascii="Arial" w:eastAsia="Times New Roman" w:hAnsi="Arial" w:cs="Arial"/>
                <w:color w:val="000000"/>
                <w:sz w:val="16"/>
                <w:szCs w:val="16"/>
                <w:lang w:eastAsia="en-US"/>
              </w:rPr>
              <w:t>ne application development team</w:t>
            </w:r>
          </w:p>
        </w:tc>
      </w:tr>
      <w:tr w:rsidR="003013AB" w:rsidRPr="004C5265" w14:paraId="66AD6BD4" w14:textId="77777777" w:rsidTr="008D3EC2">
        <w:trPr>
          <w:trHeight w:val="716"/>
        </w:trPr>
        <w:tc>
          <w:tcPr>
            <w:tcW w:w="1960" w:type="dxa"/>
            <w:vMerge/>
            <w:tcBorders>
              <w:top w:val="nil"/>
              <w:left w:val="single" w:sz="4" w:space="0" w:color="auto"/>
              <w:bottom w:val="nil"/>
              <w:right w:val="nil"/>
            </w:tcBorders>
            <w:vAlign w:val="center"/>
            <w:hideMark/>
          </w:tcPr>
          <w:p w14:paraId="3FC48180" w14:textId="77777777" w:rsidR="003013AB" w:rsidRPr="004C5265" w:rsidRDefault="003013AB" w:rsidP="008D3EC2">
            <w:pPr>
              <w:rPr>
                <w:rFonts w:ascii="Arial" w:eastAsia="Times New Roman" w:hAnsi="Arial" w:cs="Arial"/>
                <w:color w:val="000000"/>
                <w:sz w:val="16"/>
                <w:szCs w:val="16"/>
                <w:lang w:eastAsia="en-US"/>
              </w:rPr>
            </w:pPr>
          </w:p>
        </w:tc>
        <w:tc>
          <w:tcPr>
            <w:tcW w:w="2460" w:type="dxa"/>
            <w:tcBorders>
              <w:top w:val="nil"/>
              <w:left w:val="nil"/>
              <w:bottom w:val="nil"/>
              <w:right w:val="nil"/>
            </w:tcBorders>
            <w:shd w:val="clear" w:color="000000" w:fill="FFFFFF"/>
            <w:hideMark/>
          </w:tcPr>
          <w:p w14:paraId="70A8D899" w14:textId="77777777" w:rsidR="003013AB" w:rsidRPr="004C5265" w:rsidRDefault="003013AB" w:rsidP="008D4CE9">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 of c</w:t>
            </w:r>
            <w:r w:rsidRPr="004C5265">
              <w:rPr>
                <w:rFonts w:ascii="Arial" w:eastAsia="Times New Roman" w:hAnsi="Arial" w:cs="Arial"/>
                <w:color w:val="000000"/>
                <w:sz w:val="16"/>
                <w:szCs w:val="16"/>
                <w:lang w:eastAsia="en-US"/>
              </w:rPr>
              <w:t>ustomers that are satisfied with the Service Desk services</w:t>
            </w:r>
          </w:p>
        </w:tc>
        <w:tc>
          <w:tcPr>
            <w:tcW w:w="2220" w:type="dxa"/>
            <w:tcBorders>
              <w:top w:val="nil"/>
              <w:left w:val="nil"/>
              <w:bottom w:val="nil"/>
              <w:right w:val="nil"/>
            </w:tcBorders>
            <w:shd w:val="clear" w:color="000000" w:fill="FFFFFF"/>
            <w:hideMark/>
          </w:tcPr>
          <w:p w14:paraId="188A6244"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97% satisfied or very satisfied with </w:t>
            </w:r>
            <w:r>
              <w:rPr>
                <w:rFonts w:ascii="Arial" w:eastAsia="Times New Roman" w:hAnsi="Arial" w:cs="Arial"/>
                <w:color w:val="000000"/>
                <w:sz w:val="16"/>
                <w:szCs w:val="16"/>
                <w:lang w:eastAsia="en-US"/>
              </w:rPr>
              <w:t xml:space="preserve">the </w:t>
            </w:r>
            <w:r w:rsidRPr="004C5265">
              <w:rPr>
                <w:rFonts w:ascii="Arial" w:eastAsia="Times New Roman" w:hAnsi="Arial" w:cs="Arial"/>
                <w:color w:val="000000"/>
                <w:sz w:val="16"/>
                <w:szCs w:val="16"/>
                <w:lang w:eastAsia="en-US"/>
              </w:rPr>
              <w:t>Service Desk</w:t>
            </w:r>
          </w:p>
        </w:tc>
        <w:tc>
          <w:tcPr>
            <w:tcW w:w="2589" w:type="dxa"/>
            <w:tcBorders>
              <w:top w:val="nil"/>
              <w:left w:val="nil"/>
              <w:bottom w:val="nil"/>
              <w:right w:val="single" w:sz="4" w:space="0" w:color="auto"/>
            </w:tcBorders>
            <w:shd w:val="clear" w:color="000000" w:fill="FFFFFF"/>
            <w:hideMark/>
          </w:tcPr>
          <w:p w14:paraId="0FE887C6" w14:textId="77777777"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Maintain similar high-level of user satisfaction</w:t>
            </w:r>
          </w:p>
        </w:tc>
      </w:tr>
      <w:tr w:rsidR="003013AB" w:rsidRPr="004C5265" w14:paraId="6052CE82" w14:textId="77777777" w:rsidTr="006C1162">
        <w:trPr>
          <w:trHeight w:val="982"/>
        </w:trPr>
        <w:tc>
          <w:tcPr>
            <w:tcW w:w="1960" w:type="dxa"/>
            <w:vMerge/>
            <w:tcBorders>
              <w:top w:val="nil"/>
              <w:left w:val="single" w:sz="4" w:space="0" w:color="auto"/>
              <w:bottom w:val="nil"/>
              <w:right w:val="nil"/>
            </w:tcBorders>
            <w:vAlign w:val="center"/>
            <w:hideMark/>
          </w:tcPr>
          <w:p w14:paraId="260E86FF" w14:textId="77777777" w:rsidR="003013AB" w:rsidRPr="004C5265" w:rsidRDefault="003013AB" w:rsidP="008D3EC2">
            <w:pPr>
              <w:rPr>
                <w:rFonts w:ascii="Arial" w:eastAsia="Times New Roman" w:hAnsi="Arial" w:cs="Arial"/>
                <w:color w:val="000000"/>
                <w:sz w:val="16"/>
                <w:szCs w:val="16"/>
                <w:lang w:eastAsia="en-US"/>
              </w:rPr>
            </w:pPr>
          </w:p>
        </w:tc>
        <w:tc>
          <w:tcPr>
            <w:tcW w:w="2460" w:type="dxa"/>
            <w:tcBorders>
              <w:top w:val="nil"/>
              <w:left w:val="nil"/>
              <w:bottom w:val="nil"/>
              <w:right w:val="nil"/>
            </w:tcBorders>
            <w:shd w:val="clear" w:color="000000" w:fill="FFFFFF"/>
            <w:hideMark/>
          </w:tcPr>
          <w:p w14:paraId="165DBC75" w14:textId="45EAB96C"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ICT Projects in WIPO are managed in accordance with the WIPO </w:t>
            </w:r>
            <w:r w:rsidR="00A828C4">
              <w:rPr>
                <w:rFonts w:ascii="Arial" w:eastAsia="Times New Roman" w:hAnsi="Arial" w:cs="Arial"/>
                <w:color w:val="000000"/>
                <w:sz w:val="16"/>
                <w:szCs w:val="16"/>
                <w:lang w:eastAsia="en-US"/>
              </w:rPr>
              <w:t>P</w:t>
            </w:r>
            <w:r w:rsidRPr="004C5265">
              <w:rPr>
                <w:rFonts w:ascii="Arial" w:eastAsia="Times New Roman" w:hAnsi="Arial" w:cs="Arial"/>
                <w:color w:val="000000"/>
                <w:sz w:val="16"/>
                <w:szCs w:val="16"/>
                <w:lang w:eastAsia="en-US"/>
              </w:rPr>
              <w:t xml:space="preserve">roject </w:t>
            </w:r>
            <w:r w:rsidR="00A828C4">
              <w:rPr>
                <w:rFonts w:ascii="Arial" w:eastAsia="Times New Roman" w:hAnsi="Arial" w:cs="Arial"/>
                <w:color w:val="000000"/>
                <w:sz w:val="16"/>
                <w:szCs w:val="16"/>
                <w:lang w:eastAsia="en-US"/>
              </w:rPr>
              <w:t>M</w:t>
            </w:r>
            <w:r w:rsidRPr="004C5265">
              <w:rPr>
                <w:rFonts w:ascii="Arial" w:eastAsia="Times New Roman" w:hAnsi="Arial" w:cs="Arial"/>
                <w:color w:val="000000"/>
                <w:sz w:val="16"/>
                <w:szCs w:val="16"/>
                <w:lang w:eastAsia="en-US"/>
              </w:rPr>
              <w:t>anagement</w:t>
            </w:r>
            <w:r w:rsidR="00A828C4">
              <w:rPr>
                <w:rFonts w:ascii="Arial" w:eastAsia="Times New Roman" w:hAnsi="Arial" w:cs="Arial"/>
                <w:color w:val="000000"/>
                <w:sz w:val="16"/>
                <w:szCs w:val="16"/>
                <w:lang w:eastAsia="en-US"/>
              </w:rPr>
              <w:t xml:space="preserve"> Guidelines</w:t>
            </w:r>
            <w:r w:rsidRPr="004C5265">
              <w:rPr>
                <w:rFonts w:ascii="Arial" w:eastAsia="Times New Roman" w:hAnsi="Arial" w:cs="Arial"/>
                <w:color w:val="000000"/>
                <w:sz w:val="16"/>
                <w:szCs w:val="16"/>
                <w:lang w:eastAsia="en-US"/>
              </w:rPr>
              <w:t xml:space="preserve"> and</w:t>
            </w:r>
            <w:r w:rsidR="00A828C4">
              <w:rPr>
                <w:rFonts w:ascii="Arial" w:eastAsia="Times New Roman" w:hAnsi="Arial" w:cs="Arial"/>
                <w:color w:val="000000"/>
                <w:sz w:val="16"/>
                <w:szCs w:val="16"/>
                <w:lang w:eastAsia="en-US"/>
              </w:rPr>
              <w:t xml:space="preserve"> the WIPO</w:t>
            </w:r>
            <w:r w:rsidRPr="004C5265">
              <w:rPr>
                <w:rFonts w:ascii="Arial" w:eastAsia="Times New Roman" w:hAnsi="Arial" w:cs="Arial"/>
                <w:color w:val="000000"/>
                <w:sz w:val="16"/>
                <w:szCs w:val="16"/>
                <w:lang w:eastAsia="en-US"/>
              </w:rPr>
              <w:t xml:space="preserve"> </w:t>
            </w:r>
            <w:r w:rsidR="00A828C4">
              <w:rPr>
                <w:rFonts w:ascii="Arial" w:eastAsia="Times New Roman" w:hAnsi="Arial" w:cs="Arial"/>
                <w:color w:val="000000"/>
                <w:sz w:val="16"/>
                <w:szCs w:val="16"/>
                <w:lang w:eastAsia="en-US"/>
              </w:rPr>
              <w:t>S</w:t>
            </w:r>
            <w:r w:rsidRPr="004C5265">
              <w:rPr>
                <w:rFonts w:ascii="Arial" w:eastAsia="Times New Roman" w:hAnsi="Arial" w:cs="Arial"/>
                <w:color w:val="000000"/>
                <w:sz w:val="16"/>
                <w:szCs w:val="16"/>
                <w:lang w:eastAsia="en-US"/>
              </w:rPr>
              <w:t xml:space="preserve">ervice </w:t>
            </w:r>
            <w:r w:rsidR="00A828C4">
              <w:rPr>
                <w:rFonts w:ascii="Arial" w:eastAsia="Times New Roman" w:hAnsi="Arial" w:cs="Arial"/>
                <w:color w:val="000000"/>
                <w:sz w:val="16"/>
                <w:szCs w:val="16"/>
                <w:lang w:eastAsia="en-US"/>
              </w:rPr>
              <w:t>T</w:t>
            </w:r>
            <w:r w:rsidRPr="004C5265">
              <w:rPr>
                <w:rFonts w:ascii="Arial" w:eastAsia="Times New Roman" w:hAnsi="Arial" w:cs="Arial"/>
                <w:color w:val="000000"/>
                <w:sz w:val="16"/>
                <w:szCs w:val="16"/>
                <w:lang w:eastAsia="en-US"/>
              </w:rPr>
              <w:t xml:space="preserve">ransition </w:t>
            </w:r>
            <w:r w:rsidR="00A828C4">
              <w:rPr>
                <w:rFonts w:ascii="Arial" w:eastAsia="Times New Roman" w:hAnsi="Arial" w:cs="Arial"/>
                <w:color w:val="000000"/>
                <w:sz w:val="16"/>
                <w:szCs w:val="16"/>
                <w:lang w:eastAsia="en-US"/>
              </w:rPr>
              <w:t>G</w:t>
            </w:r>
            <w:r w:rsidRPr="004C5265">
              <w:rPr>
                <w:rFonts w:ascii="Arial" w:eastAsia="Times New Roman" w:hAnsi="Arial" w:cs="Arial"/>
                <w:color w:val="000000"/>
                <w:sz w:val="16"/>
                <w:szCs w:val="16"/>
                <w:lang w:eastAsia="en-US"/>
              </w:rPr>
              <w:t>uidelines</w:t>
            </w:r>
          </w:p>
        </w:tc>
        <w:tc>
          <w:tcPr>
            <w:tcW w:w="2220" w:type="dxa"/>
            <w:tcBorders>
              <w:top w:val="nil"/>
              <w:left w:val="nil"/>
              <w:bottom w:val="nil"/>
              <w:right w:val="nil"/>
            </w:tcBorders>
            <w:shd w:val="clear" w:color="000000" w:fill="FFFFFF"/>
            <w:hideMark/>
          </w:tcPr>
          <w:p w14:paraId="246A514D" w14:textId="77777777" w:rsidR="00A828C4" w:rsidRDefault="00A828C4" w:rsidP="008D4CE9">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n/a (new)</w:t>
            </w:r>
          </w:p>
          <w:p w14:paraId="157F330F" w14:textId="77777777" w:rsidR="00A828C4" w:rsidRDefault="00A828C4" w:rsidP="008D3EC2">
            <w:pPr>
              <w:ind w:left="307"/>
              <w:rPr>
                <w:rFonts w:ascii="Arial" w:eastAsia="Times New Roman" w:hAnsi="Arial" w:cs="Arial"/>
                <w:color w:val="000000"/>
                <w:sz w:val="16"/>
                <w:szCs w:val="16"/>
                <w:lang w:eastAsia="en-US"/>
              </w:rPr>
            </w:pPr>
          </w:p>
          <w:p w14:paraId="4BD6731B" w14:textId="77777777" w:rsidR="00A828C4" w:rsidRDefault="00A828C4" w:rsidP="008D3EC2">
            <w:pPr>
              <w:ind w:left="307"/>
              <w:rPr>
                <w:rFonts w:ascii="Arial" w:eastAsia="Times New Roman" w:hAnsi="Arial" w:cs="Arial"/>
                <w:color w:val="000000"/>
                <w:sz w:val="16"/>
                <w:szCs w:val="16"/>
                <w:lang w:eastAsia="en-US"/>
              </w:rPr>
            </w:pPr>
          </w:p>
          <w:p w14:paraId="7D0AB689" w14:textId="77777777" w:rsidR="00A828C4" w:rsidRDefault="00A828C4" w:rsidP="008D3EC2">
            <w:pPr>
              <w:ind w:left="307"/>
              <w:rPr>
                <w:rFonts w:ascii="Arial" w:eastAsia="Times New Roman" w:hAnsi="Arial" w:cs="Arial"/>
                <w:color w:val="000000"/>
                <w:sz w:val="16"/>
                <w:szCs w:val="16"/>
                <w:lang w:eastAsia="en-US"/>
              </w:rPr>
            </w:pPr>
          </w:p>
          <w:p w14:paraId="1F099CE8" w14:textId="77777777" w:rsidR="00A828C4" w:rsidRDefault="00A828C4" w:rsidP="008D3EC2">
            <w:pPr>
              <w:ind w:left="307"/>
              <w:rPr>
                <w:rFonts w:ascii="Arial" w:eastAsia="Times New Roman" w:hAnsi="Arial" w:cs="Arial"/>
                <w:color w:val="000000"/>
                <w:sz w:val="16"/>
                <w:szCs w:val="16"/>
                <w:lang w:eastAsia="en-US"/>
              </w:rPr>
            </w:pPr>
          </w:p>
          <w:p w14:paraId="2513837C" w14:textId="1DBDCD71"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Transition Guidelines not defined </w:t>
            </w:r>
          </w:p>
        </w:tc>
        <w:tc>
          <w:tcPr>
            <w:tcW w:w="2589" w:type="dxa"/>
            <w:tcBorders>
              <w:top w:val="nil"/>
              <w:left w:val="nil"/>
              <w:bottom w:val="nil"/>
              <w:right w:val="single" w:sz="4" w:space="0" w:color="auto"/>
            </w:tcBorders>
            <w:shd w:val="clear" w:color="000000" w:fill="FFFFFF"/>
            <w:hideMark/>
          </w:tcPr>
          <w:p w14:paraId="76D4856C" w14:textId="666FA59B" w:rsidR="00A828C4" w:rsidRDefault="00A828C4"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More than 70% of projects are managed in accordance with the </w:t>
            </w:r>
            <w:r>
              <w:rPr>
                <w:rFonts w:ascii="Arial" w:eastAsia="Times New Roman" w:hAnsi="Arial" w:cs="Arial"/>
                <w:color w:val="000000"/>
                <w:sz w:val="16"/>
                <w:szCs w:val="16"/>
                <w:lang w:eastAsia="en-US"/>
              </w:rPr>
              <w:t>WIPO Project Management G</w:t>
            </w:r>
            <w:r w:rsidRPr="004C5265">
              <w:rPr>
                <w:rFonts w:ascii="Arial" w:eastAsia="Times New Roman" w:hAnsi="Arial" w:cs="Arial"/>
                <w:color w:val="000000"/>
                <w:sz w:val="16"/>
                <w:szCs w:val="16"/>
                <w:lang w:eastAsia="en-US"/>
              </w:rPr>
              <w:t>uidelines.</w:t>
            </w:r>
          </w:p>
          <w:p w14:paraId="520F7C3D" w14:textId="77777777" w:rsidR="00A828C4" w:rsidRDefault="00A828C4" w:rsidP="008D3EC2">
            <w:pPr>
              <w:ind w:left="213"/>
              <w:rPr>
                <w:rFonts w:ascii="Arial" w:eastAsia="Times New Roman" w:hAnsi="Arial" w:cs="Arial"/>
                <w:color w:val="000000"/>
                <w:sz w:val="16"/>
                <w:szCs w:val="16"/>
                <w:lang w:eastAsia="en-US"/>
              </w:rPr>
            </w:pPr>
          </w:p>
          <w:p w14:paraId="78A8019D" w14:textId="58D83AB3" w:rsidR="003013AB" w:rsidRPr="004C5265" w:rsidRDefault="003013AB" w:rsidP="008D4CE9">
            <w:pPr>
              <w:rPr>
                <w:rFonts w:ascii="Arial" w:eastAsia="Times New Roman" w:hAnsi="Arial" w:cs="Arial"/>
                <w:color w:val="000000"/>
                <w:sz w:val="16"/>
                <w:szCs w:val="16"/>
                <w:lang w:eastAsia="en-US"/>
              </w:rPr>
            </w:pPr>
            <w:r w:rsidRPr="004C5265">
              <w:rPr>
                <w:rFonts w:ascii="Arial" w:eastAsia="Times New Roman" w:hAnsi="Arial" w:cs="Arial"/>
                <w:color w:val="000000"/>
                <w:sz w:val="16"/>
                <w:szCs w:val="16"/>
                <w:lang w:eastAsia="en-US"/>
              </w:rPr>
              <w:t xml:space="preserve">70% of delivered new projects comply with </w:t>
            </w:r>
            <w:r w:rsidR="00A828C4">
              <w:rPr>
                <w:rFonts w:ascii="Arial" w:eastAsia="Times New Roman" w:hAnsi="Arial" w:cs="Arial"/>
                <w:color w:val="000000"/>
                <w:sz w:val="16"/>
                <w:szCs w:val="16"/>
                <w:lang w:eastAsia="en-US"/>
              </w:rPr>
              <w:t>with the WIPO</w:t>
            </w:r>
            <w:r>
              <w:rPr>
                <w:rFonts w:ascii="Arial" w:eastAsia="Times New Roman" w:hAnsi="Arial" w:cs="Arial"/>
                <w:color w:val="000000"/>
                <w:sz w:val="16"/>
                <w:szCs w:val="16"/>
                <w:lang w:eastAsia="en-US"/>
              </w:rPr>
              <w:t xml:space="preserve"> Service </w:t>
            </w:r>
            <w:r w:rsidRPr="004C5265">
              <w:rPr>
                <w:rFonts w:ascii="Arial" w:eastAsia="Times New Roman" w:hAnsi="Arial" w:cs="Arial"/>
                <w:color w:val="000000"/>
                <w:sz w:val="16"/>
                <w:szCs w:val="16"/>
                <w:lang w:eastAsia="en-US"/>
              </w:rPr>
              <w:t>Transition Guidelines</w:t>
            </w:r>
          </w:p>
        </w:tc>
      </w:tr>
      <w:tr w:rsidR="006C1162" w:rsidRPr="004C5265" w14:paraId="1654DC24" w14:textId="77777777" w:rsidTr="008D3EC2">
        <w:trPr>
          <w:trHeight w:val="982"/>
        </w:trPr>
        <w:tc>
          <w:tcPr>
            <w:tcW w:w="1960" w:type="dxa"/>
            <w:tcBorders>
              <w:top w:val="nil"/>
              <w:left w:val="single" w:sz="4" w:space="0" w:color="auto"/>
              <w:bottom w:val="single" w:sz="4" w:space="0" w:color="auto"/>
              <w:right w:val="nil"/>
            </w:tcBorders>
            <w:vAlign w:val="center"/>
          </w:tcPr>
          <w:p w14:paraId="6338D3FD" w14:textId="77777777" w:rsidR="00062517" w:rsidRDefault="00062517" w:rsidP="008D3EC2">
            <w:pPr>
              <w:rPr>
                <w:rFonts w:ascii="Arial" w:eastAsia="Times New Roman" w:hAnsi="Arial" w:cs="Arial"/>
                <w:color w:val="000000"/>
                <w:sz w:val="16"/>
                <w:szCs w:val="16"/>
                <w:lang w:eastAsia="en-US"/>
              </w:rPr>
            </w:pPr>
          </w:p>
          <w:p w14:paraId="2381C004" w14:textId="34B6C88F" w:rsidR="006C1162" w:rsidRPr="004C5265" w:rsidRDefault="00062517" w:rsidP="008D3EC2">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IX.4 An environmentally and socially responsible Organization in which WIPO staff, delegates, visitors and physical assets are safe and secure</w:t>
            </w:r>
          </w:p>
        </w:tc>
        <w:tc>
          <w:tcPr>
            <w:tcW w:w="2460" w:type="dxa"/>
            <w:tcBorders>
              <w:top w:val="nil"/>
              <w:left w:val="nil"/>
              <w:bottom w:val="single" w:sz="4" w:space="0" w:color="auto"/>
              <w:right w:val="nil"/>
            </w:tcBorders>
            <w:shd w:val="clear" w:color="000000" w:fill="FFFFFF"/>
          </w:tcPr>
          <w:p w14:paraId="148C7171" w14:textId="77777777" w:rsidR="006C1162" w:rsidRDefault="006C1162" w:rsidP="008D3EC2">
            <w:pPr>
              <w:ind w:left="215"/>
              <w:rPr>
                <w:rFonts w:ascii="Arial" w:eastAsia="Times New Roman" w:hAnsi="Arial" w:cs="Arial"/>
                <w:color w:val="000000"/>
                <w:sz w:val="16"/>
                <w:szCs w:val="16"/>
                <w:lang w:eastAsia="en-US"/>
              </w:rPr>
            </w:pPr>
          </w:p>
          <w:p w14:paraId="43B02A73" w14:textId="6AE8A81B" w:rsidR="00062517" w:rsidRPr="004C5265" w:rsidRDefault="00062517" w:rsidP="008D4CE9">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ICT service continuity of critical systems</w:t>
            </w:r>
          </w:p>
        </w:tc>
        <w:tc>
          <w:tcPr>
            <w:tcW w:w="2220" w:type="dxa"/>
            <w:tcBorders>
              <w:top w:val="nil"/>
              <w:left w:val="nil"/>
              <w:bottom w:val="single" w:sz="4" w:space="0" w:color="auto"/>
              <w:right w:val="nil"/>
            </w:tcBorders>
            <w:shd w:val="clear" w:color="000000" w:fill="FFFFFF"/>
          </w:tcPr>
          <w:p w14:paraId="7A860C84" w14:textId="77777777" w:rsidR="006C1162" w:rsidRDefault="006C1162" w:rsidP="008D3EC2">
            <w:pPr>
              <w:ind w:left="307"/>
              <w:rPr>
                <w:rFonts w:ascii="Arial" w:eastAsia="Times New Roman" w:hAnsi="Arial" w:cs="Arial"/>
                <w:color w:val="000000"/>
                <w:sz w:val="16"/>
                <w:szCs w:val="16"/>
                <w:lang w:eastAsia="en-US"/>
              </w:rPr>
            </w:pPr>
          </w:p>
          <w:p w14:paraId="5859652D" w14:textId="1A1AE7A6" w:rsidR="00062517" w:rsidRPr="004C5265" w:rsidRDefault="003530B5" w:rsidP="008D4CE9">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Critical systems can be recovered in a timely manner without data loss in the event of localized major disruptions</w:t>
            </w:r>
          </w:p>
        </w:tc>
        <w:tc>
          <w:tcPr>
            <w:tcW w:w="2589" w:type="dxa"/>
            <w:tcBorders>
              <w:top w:val="nil"/>
              <w:left w:val="nil"/>
              <w:bottom w:val="single" w:sz="4" w:space="0" w:color="auto"/>
              <w:right w:val="single" w:sz="4" w:space="0" w:color="auto"/>
            </w:tcBorders>
            <w:shd w:val="clear" w:color="000000" w:fill="FFFFFF"/>
          </w:tcPr>
          <w:p w14:paraId="15359915" w14:textId="77777777" w:rsidR="006C1162" w:rsidRDefault="006C1162" w:rsidP="008D3EC2">
            <w:pPr>
              <w:ind w:left="213"/>
              <w:rPr>
                <w:rFonts w:ascii="Arial" w:eastAsia="Times New Roman" w:hAnsi="Arial" w:cs="Arial"/>
                <w:color w:val="000000"/>
                <w:sz w:val="16"/>
                <w:szCs w:val="16"/>
                <w:lang w:eastAsia="en-US"/>
              </w:rPr>
            </w:pPr>
          </w:p>
          <w:p w14:paraId="788B62A9" w14:textId="2D31EF88" w:rsidR="003530B5" w:rsidRPr="004C5265" w:rsidRDefault="003530B5" w:rsidP="008D4CE9">
            <w:pPr>
              <w:rPr>
                <w:rFonts w:ascii="Arial" w:eastAsia="Times New Roman" w:hAnsi="Arial" w:cs="Arial"/>
                <w:color w:val="000000"/>
                <w:sz w:val="16"/>
                <w:szCs w:val="16"/>
                <w:lang w:eastAsia="en-US"/>
              </w:rPr>
            </w:pPr>
            <w:r>
              <w:rPr>
                <w:rFonts w:ascii="Arial" w:eastAsia="Times New Roman" w:hAnsi="Arial" w:cs="Arial"/>
                <w:color w:val="000000"/>
                <w:sz w:val="16"/>
                <w:szCs w:val="16"/>
                <w:lang w:eastAsia="en-US"/>
              </w:rPr>
              <w:t>Progress made on a ICT platform to allow critical systems to continue operating in the event of a major regional disruption</w:t>
            </w:r>
          </w:p>
        </w:tc>
      </w:tr>
    </w:tbl>
    <w:p w14:paraId="382CB559" w14:textId="77777777" w:rsidR="003013AB" w:rsidRDefault="003013AB" w:rsidP="008D3EC2">
      <w:pPr>
        <w:autoSpaceDE w:val="0"/>
        <w:autoSpaceDN w:val="0"/>
        <w:adjustRightInd w:val="0"/>
        <w:rPr>
          <w:rFonts w:ascii="Arial" w:hAnsi="Arial" w:cs="Arial"/>
        </w:rPr>
      </w:pPr>
    </w:p>
    <w:p w14:paraId="0E0827FE" w14:textId="2B4D8990" w:rsidR="003013AB" w:rsidRDefault="003013AB">
      <w:pPr>
        <w:rPr>
          <w:rFonts w:ascii="Arial" w:hAnsi="Arial" w:cs="Arial"/>
        </w:rPr>
      </w:pPr>
    </w:p>
    <w:p w14:paraId="2635E7E2" w14:textId="28959880" w:rsidR="003013AB" w:rsidRDefault="003013AB" w:rsidP="008D3EC2">
      <w:pPr>
        <w:autoSpaceDE w:val="0"/>
        <w:autoSpaceDN w:val="0"/>
        <w:adjustRightInd w:val="0"/>
        <w:rPr>
          <w:rFonts w:ascii="Arial" w:hAnsi="Arial" w:cs="Arial"/>
        </w:rPr>
      </w:pPr>
      <w:r>
        <w:rPr>
          <w:rFonts w:ascii="Arial" w:hAnsi="Arial" w:cs="Arial"/>
        </w:rPr>
        <w:t xml:space="preserve">RESOURCES FOR PROGRAM 25 </w:t>
      </w:r>
    </w:p>
    <w:p w14:paraId="7D0D86B0" w14:textId="77777777" w:rsidR="003013AB" w:rsidRDefault="003013AB" w:rsidP="008D3EC2">
      <w:pPr>
        <w:autoSpaceDE w:val="0"/>
        <w:autoSpaceDN w:val="0"/>
        <w:adjustRightInd w:val="0"/>
        <w:rPr>
          <w:rFonts w:ascii="Arial" w:hAnsi="Arial" w:cs="Arial"/>
        </w:rPr>
      </w:pPr>
    </w:p>
    <w:p w14:paraId="419DE097" w14:textId="0CD0C9D7" w:rsidR="006A2734" w:rsidRPr="00FB68E0" w:rsidRDefault="003013AB" w:rsidP="00B66A4A">
      <w:pPr>
        <w:pStyle w:val="ListParagraph"/>
        <w:numPr>
          <w:ilvl w:val="0"/>
          <w:numId w:val="27"/>
        </w:numPr>
        <w:tabs>
          <w:tab w:val="left" w:pos="709"/>
        </w:tabs>
        <w:autoSpaceDE w:val="0"/>
        <w:autoSpaceDN w:val="0"/>
        <w:adjustRightInd w:val="0"/>
        <w:ind w:left="0" w:firstLine="0"/>
        <w:jc w:val="both"/>
        <w:rPr>
          <w:rFonts w:ascii="Arial" w:hAnsi="Arial" w:cs="Arial"/>
          <w:color w:val="000000"/>
          <w:sz w:val="20"/>
          <w:szCs w:val="20"/>
        </w:rPr>
      </w:pPr>
      <w:r>
        <w:rPr>
          <w:rFonts w:ascii="Arial" w:hAnsi="Arial" w:cs="Arial"/>
          <w:color w:val="000000"/>
          <w:sz w:val="20"/>
          <w:szCs w:val="20"/>
        </w:rPr>
        <w:t xml:space="preserve">Total resources for the Program represent a net </w:t>
      </w:r>
      <w:r w:rsidRPr="00FB68E0">
        <w:rPr>
          <w:rFonts w:ascii="Arial" w:hAnsi="Arial" w:cs="Arial"/>
          <w:color w:val="000000"/>
          <w:sz w:val="20"/>
          <w:szCs w:val="20"/>
        </w:rPr>
        <w:t xml:space="preserve">increase of approximately 5.7 million Swiss francs in 2016/17 compared to the 2014/15 Budget after </w:t>
      </w:r>
      <w:r>
        <w:rPr>
          <w:rFonts w:ascii="Arial" w:hAnsi="Arial" w:cs="Arial"/>
          <w:color w:val="000000"/>
          <w:sz w:val="20"/>
          <w:szCs w:val="20"/>
        </w:rPr>
        <w:t>T</w:t>
      </w:r>
      <w:r w:rsidRPr="00FB68E0">
        <w:rPr>
          <w:rFonts w:ascii="Arial" w:hAnsi="Arial" w:cs="Arial"/>
          <w:color w:val="000000"/>
          <w:sz w:val="20"/>
          <w:szCs w:val="20"/>
        </w:rPr>
        <w:t>ransfer</w:t>
      </w:r>
      <w:r>
        <w:rPr>
          <w:rFonts w:ascii="Arial" w:hAnsi="Arial" w:cs="Arial"/>
          <w:color w:val="000000"/>
          <w:sz w:val="20"/>
          <w:szCs w:val="20"/>
        </w:rPr>
        <w:t xml:space="preserve">s.  This is due to, on the one hand, a decrease </w:t>
      </w:r>
      <w:r w:rsidRPr="00FB68E0">
        <w:rPr>
          <w:rFonts w:ascii="Arial" w:hAnsi="Arial" w:cs="Arial"/>
          <w:color w:val="000000"/>
          <w:sz w:val="20"/>
          <w:szCs w:val="20"/>
        </w:rPr>
        <w:t xml:space="preserve">in </w:t>
      </w:r>
      <w:r>
        <w:rPr>
          <w:rFonts w:ascii="Arial" w:hAnsi="Arial" w:cs="Arial"/>
          <w:color w:val="000000"/>
          <w:sz w:val="20"/>
          <w:szCs w:val="20"/>
        </w:rPr>
        <w:t xml:space="preserve">personnel resources </w:t>
      </w:r>
      <w:r w:rsidRPr="00FB68E0">
        <w:rPr>
          <w:rFonts w:ascii="Arial" w:hAnsi="Arial" w:cs="Arial"/>
          <w:color w:val="000000"/>
          <w:sz w:val="20"/>
          <w:szCs w:val="20"/>
        </w:rPr>
        <w:t xml:space="preserve">resulting from the transfer of </w:t>
      </w:r>
      <w:r>
        <w:rPr>
          <w:rFonts w:ascii="Arial" w:hAnsi="Arial" w:cs="Arial"/>
          <w:color w:val="000000"/>
          <w:sz w:val="20"/>
          <w:szCs w:val="20"/>
        </w:rPr>
        <w:t>i</w:t>
      </w:r>
      <w:r w:rsidRPr="00FB68E0">
        <w:rPr>
          <w:rFonts w:ascii="Arial" w:hAnsi="Arial" w:cs="Arial"/>
          <w:color w:val="000000"/>
          <w:sz w:val="20"/>
          <w:szCs w:val="20"/>
        </w:rPr>
        <w:t xml:space="preserve">nformation </w:t>
      </w:r>
      <w:r>
        <w:rPr>
          <w:rFonts w:ascii="Arial" w:hAnsi="Arial" w:cs="Arial"/>
          <w:color w:val="000000"/>
          <w:sz w:val="20"/>
          <w:szCs w:val="20"/>
        </w:rPr>
        <w:t>a</w:t>
      </w:r>
      <w:r w:rsidRPr="00FB68E0">
        <w:rPr>
          <w:rFonts w:ascii="Arial" w:hAnsi="Arial" w:cs="Arial"/>
          <w:color w:val="000000"/>
          <w:sz w:val="20"/>
          <w:szCs w:val="20"/>
        </w:rPr>
        <w:t xml:space="preserve">ssurance </w:t>
      </w:r>
      <w:r>
        <w:rPr>
          <w:rFonts w:ascii="Arial" w:hAnsi="Arial" w:cs="Arial"/>
          <w:color w:val="000000"/>
          <w:sz w:val="20"/>
          <w:szCs w:val="20"/>
        </w:rPr>
        <w:t xml:space="preserve">related activities </w:t>
      </w:r>
      <w:r w:rsidRPr="00FB68E0">
        <w:rPr>
          <w:rFonts w:ascii="Arial" w:hAnsi="Arial" w:cs="Arial"/>
          <w:color w:val="000000"/>
          <w:sz w:val="20"/>
          <w:szCs w:val="20"/>
        </w:rPr>
        <w:t xml:space="preserve">to Program 28 </w:t>
      </w:r>
      <w:r>
        <w:rPr>
          <w:rFonts w:ascii="Arial" w:hAnsi="Arial" w:cs="Arial"/>
          <w:color w:val="000000"/>
          <w:sz w:val="20"/>
          <w:szCs w:val="20"/>
        </w:rPr>
        <w:t xml:space="preserve">(Information Assurance, safety and Security), reflected under </w:t>
      </w:r>
      <w:r w:rsidRPr="00A278B1">
        <w:rPr>
          <w:rFonts w:ascii="Arial" w:hAnsi="Arial" w:cs="Arial"/>
          <w:color w:val="000000"/>
          <w:sz w:val="20"/>
          <w:szCs w:val="20"/>
        </w:rPr>
        <w:t>E</w:t>
      </w:r>
      <w:r>
        <w:rPr>
          <w:rFonts w:ascii="Arial" w:hAnsi="Arial" w:cs="Arial"/>
          <w:color w:val="000000"/>
          <w:sz w:val="20"/>
          <w:szCs w:val="20"/>
        </w:rPr>
        <w:t xml:space="preserve">xpected </w:t>
      </w:r>
      <w:r w:rsidRPr="00A278B1">
        <w:rPr>
          <w:rFonts w:ascii="Arial" w:hAnsi="Arial" w:cs="Arial"/>
          <w:color w:val="000000"/>
          <w:sz w:val="20"/>
          <w:szCs w:val="20"/>
        </w:rPr>
        <w:t>R</w:t>
      </w:r>
      <w:r>
        <w:rPr>
          <w:rFonts w:ascii="Arial" w:hAnsi="Arial" w:cs="Arial"/>
          <w:color w:val="000000"/>
          <w:sz w:val="20"/>
          <w:szCs w:val="20"/>
        </w:rPr>
        <w:t>esult</w:t>
      </w:r>
      <w:r w:rsidRPr="00A278B1">
        <w:rPr>
          <w:rFonts w:ascii="Arial" w:hAnsi="Arial" w:cs="Arial"/>
          <w:color w:val="000000"/>
          <w:sz w:val="20"/>
          <w:szCs w:val="20"/>
        </w:rPr>
        <w:t xml:space="preserve"> IX.4</w:t>
      </w:r>
      <w:r>
        <w:rPr>
          <w:rFonts w:ascii="Arial" w:hAnsi="Arial" w:cs="Arial"/>
          <w:color w:val="000000"/>
          <w:sz w:val="20"/>
          <w:szCs w:val="20"/>
        </w:rPr>
        <w:t xml:space="preserve"> </w:t>
      </w:r>
      <w:r w:rsidRPr="00FB68E0">
        <w:rPr>
          <w:rFonts w:ascii="Arial" w:hAnsi="Arial" w:cs="Arial"/>
          <w:color w:val="000000"/>
          <w:sz w:val="20"/>
          <w:szCs w:val="20"/>
        </w:rPr>
        <w:t>and</w:t>
      </w:r>
      <w:r>
        <w:rPr>
          <w:rFonts w:ascii="Arial" w:hAnsi="Arial" w:cs="Arial"/>
          <w:color w:val="000000"/>
          <w:sz w:val="20"/>
          <w:szCs w:val="20"/>
        </w:rPr>
        <w:t xml:space="preserve">, on the other hand, </w:t>
      </w:r>
      <w:r w:rsidRPr="00FB68E0">
        <w:rPr>
          <w:rFonts w:ascii="Arial" w:hAnsi="Arial" w:cs="Arial"/>
          <w:color w:val="000000"/>
          <w:sz w:val="20"/>
          <w:szCs w:val="20"/>
        </w:rPr>
        <w:t>a substantial increase in non-personnel resource</w:t>
      </w:r>
      <w:r>
        <w:rPr>
          <w:rFonts w:ascii="Arial" w:hAnsi="Arial" w:cs="Arial"/>
          <w:color w:val="000000"/>
          <w:sz w:val="20"/>
          <w:szCs w:val="20"/>
        </w:rPr>
        <w:t>s</w:t>
      </w:r>
      <w:r w:rsidRPr="00FB68E0">
        <w:rPr>
          <w:rFonts w:ascii="Arial" w:hAnsi="Arial" w:cs="Arial"/>
          <w:color w:val="000000"/>
          <w:sz w:val="20"/>
          <w:szCs w:val="20"/>
        </w:rPr>
        <w:t xml:space="preserve"> </w:t>
      </w:r>
      <w:r>
        <w:rPr>
          <w:rFonts w:ascii="Arial" w:hAnsi="Arial" w:cs="Arial"/>
          <w:color w:val="000000"/>
          <w:sz w:val="20"/>
          <w:szCs w:val="20"/>
        </w:rPr>
        <w:t>due to the Organization’s increased dependence on reliable and effective ICT infrastructure and services</w:t>
      </w:r>
      <w:r w:rsidRPr="00A278B1">
        <w:rPr>
          <w:rFonts w:ascii="Arial" w:hAnsi="Arial" w:cs="Arial"/>
          <w:color w:val="000000"/>
          <w:sz w:val="20"/>
          <w:szCs w:val="20"/>
        </w:rPr>
        <w:t>, reflected under E</w:t>
      </w:r>
      <w:r>
        <w:rPr>
          <w:rFonts w:ascii="Arial" w:hAnsi="Arial" w:cs="Arial"/>
          <w:color w:val="000000"/>
          <w:sz w:val="20"/>
          <w:szCs w:val="20"/>
        </w:rPr>
        <w:t xml:space="preserve">xpected </w:t>
      </w:r>
      <w:r w:rsidRPr="00A278B1">
        <w:rPr>
          <w:rFonts w:ascii="Arial" w:hAnsi="Arial" w:cs="Arial"/>
          <w:color w:val="000000"/>
          <w:sz w:val="20"/>
          <w:szCs w:val="20"/>
        </w:rPr>
        <w:t>R</w:t>
      </w:r>
      <w:r>
        <w:rPr>
          <w:rFonts w:ascii="Arial" w:hAnsi="Arial" w:cs="Arial"/>
          <w:color w:val="000000"/>
          <w:sz w:val="20"/>
          <w:szCs w:val="20"/>
        </w:rPr>
        <w:t>esult</w:t>
      </w:r>
      <w:r w:rsidRPr="00A278B1">
        <w:rPr>
          <w:rFonts w:ascii="Arial" w:hAnsi="Arial" w:cs="Arial"/>
          <w:color w:val="000000"/>
          <w:sz w:val="20"/>
          <w:szCs w:val="20"/>
        </w:rPr>
        <w:t xml:space="preserve"> IX.1</w:t>
      </w:r>
      <w:r w:rsidRPr="00FB68E0">
        <w:rPr>
          <w:rFonts w:ascii="Arial" w:hAnsi="Arial" w:cs="Arial"/>
          <w:color w:val="000000"/>
          <w:sz w:val="20"/>
          <w:szCs w:val="20"/>
        </w:rPr>
        <w:t>.</w:t>
      </w:r>
      <w:r w:rsidR="00E57011">
        <w:rPr>
          <w:rFonts w:ascii="Arial" w:hAnsi="Arial" w:cs="Arial"/>
          <w:color w:val="000000"/>
          <w:sz w:val="20"/>
          <w:szCs w:val="20"/>
        </w:rPr>
        <w:t xml:space="preserve"> </w:t>
      </w:r>
      <w:r w:rsidR="006A2734" w:rsidRPr="006A2734">
        <w:rPr>
          <w:rFonts w:ascii="Arial" w:hAnsi="Arial" w:cs="Arial"/>
          <w:color w:val="000000"/>
          <w:sz w:val="20"/>
          <w:szCs w:val="20"/>
        </w:rPr>
        <w:t>The res</w:t>
      </w:r>
      <w:r w:rsidR="00E57011">
        <w:rPr>
          <w:rFonts w:ascii="Arial" w:hAnsi="Arial" w:cs="Arial"/>
          <w:color w:val="000000"/>
          <w:sz w:val="20"/>
          <w:szCs w:val="20"/>
        </w:rPr>
        <w:t>o</w:t>
      </w:r>
      <w:r w:rsidR="006A2734" w:rsidRPr="006A2734">
        <w:rPr>
          <w:rFonts w:ascii="Arial" w:hAnsi="Arial" w:cs="Arial"/>
          <w:color w:val="000000"/>
          <w:sz w:val="20"/>
          <w:szCs w:val="20"/>
        </w:rPr>
        <w:t>urces</w:t>
      </w:r>
      <w:r w:rsidR="00E57011">
        <w:rPr>
          <w:rFonts w:ascii="Arial" w:hAnsi="Arial" w:cs="Arial"/>
          <w:color w:val="000000"/>
          <w:sz w:val="20"/>
          <w:szCs w:val="20"/>
        </w:rPr>
        <w:t xml:space="preserve"> under Expected Result IX.4 reflect the Program’s collaboration with the Program 5 (The PCT System) to enhance PCT resilience and security levels. </w:t>
      </w:r>
    </w:p>
    <w:p w14:paraId="77F27863" w14:textId="77777777" w:rsidR="003013AB" w:rsidRPr="009E3929" w:rsidRDefault="003013AB" w:rsidP="009E3929">
      <w:pPr>
        <w:autoSpaceDE w:val="0"/>
        <w:autoSpaceDN w:val="0"/>
        <w:adjustRightInd w:val="0"/>
        <w:rPr>
          <w:rFonts w:ascii="Arial" w:hAnsi="Arial" w:cs="Arial"/>
          <w:sz w:val="20"/>
        </w:rPr>
      </w:pPr>
    </w:p>
    <w:p w14:paraId="4F0E8C3B" w14:textId="77777777" w:rsidR="003013AB" w:rsidRPr="00E234A3" w:rsidRDefault="003013AB" w:rsidP="00FB68E0">
      <w:pPr>
        <w:keepNext/>
        <w:keepLines/>
        <w:tabs>
          <w:tab w:val="left" w:pos="1427"/>
        </w:tabs>
        <w:jc w:val="center"/>
        <w:rPr>
          <w:rFonts w:ascii="Arial" w:hAnsi="Arial" w:cs="Arial"/>
          <w:sz w:val="20"/>
          <w:szCs w:val="20"/>
          <w:lang w:eastAsia="en-US"/>
        </w:rPr>
      </w:pPr>
      <w:r>
        <w:rPr>
          <w:rFonts w:ascii="Arial" w:hAnsi="Arial" w:cs="Arial"/>
          <w:b/>
          <w:sz w:val="20"/>
          <w:szCs w:val="24"/>
        </w:rPr>
        <w:t>Program 25</w:t>
      </w:r>
      <w:r w:rsidRPr="00E234A3">
        <w:rPr>
          <w:rFonts w:ascii="Arial" w:hAnsi="Arial" w:cs="Arial"/>
          <w:b/>
          <w:sz w:val="20"/>
          <w:szCs w:val="24"/>
        </w:rPr>
        <w:t xml:space="preserve">:  Resources by </w:t>
      </w:r>
      <w:r>
        <w:rPr>
          <w:rFonts w:ascii="Arial" w:hAnsi="Arial" w:cs="Arial"/>
          <w:b/>
          <w:sz w:val="20"/>
          <w:szCs w:val="24"/>
        </w:rPr>
        <w:t>Result</w:t>
      </w:r>
    </w:p>
    <w:p w14:paraId="7C269297" w14:textId="77777777" w:rsidR="003013AB" w:rsidRPr="00E234A3" w:rsidRDefault="003013AB" w:rsidP="00FB68E0">
      <w:pPr>
        <w:keepNext/>
        <w:keepLines/>
        <w:tabs>
          <w:tab w:val="left" w:pos="1427"/>
        </w:tabs>
        <w:spacing w:after="120"/>
        <w:jc w:val="center"/>
        <w:rPr>
          <w:rFonts w:ascii="Arial" w:hAnsi="Arial" w:cs="Arial"/>
          <w:i/>
          <w:sz w:val="20"/>
          <w:szCs w:val="24"/>
        </w:rPr>
      </w:pPr>
      <w:r w:rsidRPr="00E234A3">
        <w:rPr>
          <w:rFonts w:ascii="Arial" w:hAnsi="Arial" w:cs="Arial"/>
          <w:i/>
          <w:sz w:val="20"/>
          <w:szCs w:val="24"/>
        </w:rPr>
        <w:t>(In thousands of Swiss francs)</w:t>
      </w:r>
    </w:p>
    <w:p w14:paraId="10AC92D0" w14:textId="77777777" w:rsidR="001859D8" w:rsidRDefault="003013AB" w:rsidP="00FB68E0">
      <w:pPr>
        <w:keepNext/>
        <w:keepLines/>
        <w:autoSpaceDE w:val="0"/>
        <w:autoSpaceDN w:val="0"/>
        <w:adjustRightInd w:val="0"/>
        <w:jc w:val="center"/>
        <w:rPr>
          <w:rFonts w:ascii="Arial" w:hAnsi="Arial" w:cs="Arial"/>
          <w:b/>
          <w:sz w:val="20"/>
          <w:szCs w:val="24"/>
        </w:rPr>
      </w:pPr>
      <w:r w:rsidRPr="000475D1">
        <w:rPr>
          <w:noProof/>
          <w:lang w:eastAsia="en-US"/>
        </w:rPr>
        <w:drawing>
          <wp:inline distT="0" distB="0" distL="0" distR="0" wp14:anchorId="7D0D5A97" wp14:editId="6351A1C4">
            <wp:extent cx="5082639" cy="1717484"/>
            <wp:effectExtent l="0" t="0" r="381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109268" cy="1726482"/>
                    </a:xfrm>
                    <a:prstGeom prst="rect">
                      <a:avLst/>
                    </a:prstGeom>
                    <a:noFill/>
                    <a:ln>
                      <a:noFill/>
                    </a:ln>
                  </pic:spPr>
                </pic:pic>
              </a:graphicData>
            </a:graphic>
          </wp:inline>
        </w:drawing>
      </w:r>
    </w:p>
    <w:p w14:paraId="6A1079EC" w14:textId="77777777" w:rsidR="001859D8" w:rsidRPr="00323604" w:rsidRDefault="001859D8" w:rsidP="009E3929">
      <w:pPr>
        <w:autoSpaceDE w:val="0"/>
        <w:autoSpaceDN w:val="0"/>
        <w:adjustRightInd w:val="0"/>
        <w:jc w:val="center"/>
        <w:rPr>
          <w:rFonts w:ascii="Arial" w:hAnsi="Arial" w:cs="Arial"/>
          <w:b/>
          <w:sz w:val="18"/>
          <w:szCs w:val="24"/>
        </w:rPr>
      </w:pPr>
    </w:p>
    <w:p w14:paraId="0930C179" w14:textId="77777777" w:rsidR="00323604" w:rsidRPr="00323604" w:rsidRDefault="00323604" w:rsidP="009E3929">
      <w:pPr>
        <w:autoSpaceDE w:val="0"/>
        <w:autoSpaceDN w:val="0"/>
        <w:adjustRightInd w:val="0"/>
        <w:jc w:val="center"/>
        <w:rPr>
          <w:rFonts w:ascii="Arial" w:hAnsi="Arial" w:cs="Arial"/>
          <w:b/>
          <w:sz w:val="18"/>
          <w:szCs w:val="24"/>
        </w:rPr>
      </w:pPr>
    </w:p>
    <w:p w14:paraId="1F49D3CF" w14:textId="69F2E54E" w:rsidR="003013AB" w:rsidRPr="00E234A3" w:rsidRDefault="003013AB" w:rsidP="008D3EC2">
      <w:pPr>
        <w:jc w:val="center"/>
        <w:rPr>
          <w:rFonts w:ascii="Arial" w:hAnsi="Arial" w:cs="Arial"/>
          <w:sz w:val="20"/>
          <w:szCs w:val="20"/>
          <w:lang w:eastAsia="en-US"/>
        </w:rPr>
      </w:pPr>
      <w:r>
        <w:rPr>
          <w:rFonts w:ascii="Arial" w:hAnsi="Arial" w:cs="Arial"/>
          <w:b/>
          <w:sz w:val="20"/>
          <w:szCs w:val="24"/>
        </w:rPr>
        <w:t>Program 25</w:t>
      </w:r>
      <w:r w:rsidRPr="00E234A3">
        <w:rPr>
          <w:rFonts w:ascii="Arial" w:hAnsi="Arial" w:cs="Arial"/>
          <w:b/>
          <w:sz w:val="20"/>
          <w:szCs w:val="24"/>
        </w:rPr>
        <w:t>:  Resources by Object of Expenditure</w:t>
      </w:r>
    </w:p>
    <w:p w14:paraId="6E4F6F42" w14:textId="77777777" w:rsidR="003013AB" w:rsidRPr="00E234A3" w:rsidRDefault="003013AB" w:rsidP="00FB68E0">
      <w:pPr>
        <w:tabs>
          <w:tab w:val="left" w:pos="1427"/>
        </w:tabs>
        <w:spacing w:after="120"/>
        <w:jc w:val="center"/>
        <w:rPr>
          <w:rFonts w:ascii="Arial" w:hAnsi="Arial" w:cs="Arial"/>
          <w:i/>
          <w:sz w:val="20"/>
          <w:szCs w:val="24"/>
        </w:rPr>
      </w:pPr>
      <w:r w:rsidRPr="00E234A3">
        <w:rPr>
          <w:rFonts w:ascii="Arial" w:hAnsi="Arial" w:cs="Arial"/>
          <w:i/>
          <w:sz w:val="20"/>
          <w:szCs w:val="24"/>
        </w:rPr>
        <w:t>(In thousands of Swiss francs)</w:t>
      </w:r>
    </w:p>
    <w:p w14:paraId="68126DF6" w14:textId="77777777" w:rsidR="003013AB" w:rsidRDefault="003013AB" w:rsidP="008D3EC2">
      <w:pPr>
        <w:autoSpaceDE w:val="0"/>
        <w:autoSpaceDN w:val="0"/>
        <w:adjustRightInd w:val="0"/>
        <w:jc w:val="center"/>
        <w:rPr>
          <w:rFonts w:ascii="Arial" w:hAnsi="Arial" w:cs="Arial"/>
          <w:sz w:val="20"/>
        </w:rPr>
      </w:pPr>
      <w:r w:rsidRPr="0077173B">
        <w:rPr>
          <w:noProof/>
          <w:lang w:eastAsia="en-US"/>
        </w:rPr>
        <w:drawing>
          <wp:inline distT="0" distB="0" distL="0" distR="0" wp14:anchorId="73D6C0F8" wp14:editId="670D6D8E">
            <wp:extent cx="5100165" cy="5740842"/>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103833" cy="5744971"/>
                    </a:xfrm>
                    <a:prstGeom prst="rect">
                      <a:avLst/>
                    </a:prstGeom>
                    <a:noFill/>
                    <a:ln>
                      <a:noFill/>
                    </a:ln>
                  </pic:spPr>
                </pic:pic>
              </a:graphicData>
            </a:graphic>
          </wp:inline>
        </w:drawing>
      </w:r>
    </w:p>
    <w:p w14:paraId="0571E290" w14:textId="5C11C588" w:rsidR="008D3EC2" w:rsidRDefault="008D3EC2">
      <w:pPr>
        <w:rPr>
          <w:rFonts w:ascii="Arial" w:hAnsi="Arial" w:cs="Arial"/>
          <w:sz w:val="20"/>
        </w:rPr>
      </w:pPr>
      <w:r>
        <w:rPr>
          <w:rFonts w:ascii="Arial" w:hAnsi="Arial" w:cs="Arial"/>
          <w:sz w:val="20"/>
        </w:rPr>
        <w:br w:type="page"/>
      </w:r>
    </w:p>
    <w:p w14:paraId="0F096CF5" w14:textId="77777777" w:rsidR="008D3EC2" w:rsidRPr="00FB3402" w:rsidRDefault="008D3EC2" w:rsidP="008D3EC2">
      <w:pPr>
        <w:pStyle w:val="StyleHeading3ComplexItalic"/>
      </w:pPr>
      <w:bookmarkStart w:id="76" w:name="_Toc427154430"/>
      <w:r w:rsidRPr="00FB3402">
        <w:lastRenderedPageBreak/>
        <w:t>PROGRAM 26</w:t>
      </w:r>
      <w:r w:rsidRPr="00FB3402">
        <w:tab/>
        <w:t>INTERNAL OVERSIGHT</w:t>
      </w:r>
      <w:bookmarkEnd w:id="76"/>
    </w:p>
    <w:p w14:paraId="77A59CF6" w14:textId="77777777" w:rsidR="008D3EC2" w:rsidRDefault="008D3EC2" w:rsidP="008D3EC2">
      <w:pPr>
        <w:jc w:val="both"/>
        <w:rPr>
          <w:rFonts w:ascii="Arial" w:hAnsi="Arial" w:cs="Arial"/>
          <w:b/>
          <w:bCs/>
        </w:rPr>
      </w:pPr>
    </w:p>
    <w:p w14:paraId="27837EC8" w14:textId="77777777" w:rsidR="008D3EC2" w:rsidRDefault="008D3EC2" w:rsidP="008D3EC2">
      <w:pPr>
        <w:jc w:val="both"/>
        <w:rPr>
          <w:rFonts w:ascii="Arial" w:hAnsi="Arial" w:cs="Arial"/>
          <w:b/>
          <w:bCs/>
        </w:rPr>
      </w:pPr>
    </w:p>
    <w:p w14:paraId="7AA38A68" w14:textId="77777777" w:rsidR="008D3EC2" w:rsidRDefault="008D3EC2" w:rsidP="008D3EC2">
      <w:pPr>
        <w:jc w:val="both"/>
        <w:rPr>
          <w:rFonts w:ascii="Arial" w:hAnsi="Arial" w:cs="Arial"/>
          <w:bCs/>
        </w:rPr>
      </w:pPr>
      <w:r w:rsidRPr="00115560">
        <w:rPr>
          <w:rFonts w:ascii="Arial" w:hAnsi="Arial" w:cs="Arial"/>
          <w:bCs/>
        </w:rPr>
        <w:t>PLANNING CONTEXT</w:t>
      </w:r>
    </w:p>
    <w:p w14:paraId="6F01AA1F" w14:textId="77777777" w:rsidR="008D3EC2" w:rsidRPr="00146D7F" w:rsidRDefault="008D3EC2" w:rsidP="008D3EC2">
      <w:pPr>
        <w:jc w:val="both"/>
        <w:rPr>
          <w:rFonts w:ascii="Arial" w:hAnsi="Arial" w:cs="Arial"/>
          <w:bCs/>
        </w:rPr>
      </w:pPr>
    </w:p>
    <w:p w14:paraId="2DE84825" w14:textId="77777777" w:rsidR="008D3EC2" w:rsidRPr="009062E7"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rPr>
      </w:pPr>
      <w:r w:rsidRPr="009062E7">
        <w:rPr>
          <w:rFonts w:ascii="Arial" w:hAnsi="Arial" w:cs="Arial"/>
          <w:sz w:val="20"/>
        </w:rPr>
        <w:t>The Internal Oversight Division (IOD) serves as an independent and objective reviewer of WIPO operations, program implementation and business systems.  IOD examines the aforementioned based on risk and relevance to WIPO management and constituencies with a view towards promoting economy, efficiency, effectiveness and impact of the Secretariat’s work.  IOD</w:t>
      </w:r>
      <w:r>
        <w:rPr>
          <w:rFonts w:ascii="Arial" w:hAnsi="Arial" w:cs="Arial"/>
          <w:sz w:val="20"/>
        </w:rPr>
        <w:t xml:space="preserve"> </w:t>
      </w:r>
      <w:r w:rsidRPr="009062E7">
        <w:rPr>
          <w:rFonts w:ascii="Arial" w:hAnsi="Arial" w:cs="Arial"/>
          <w:sz w:val="20"/>
        </w:rPr>
        <w:t>evaluates, in an independent manner, WIPO’s control and business systems and processes in order to identify good practices, shortcomings and to provide recommendations for their improvement.</w:t>
      </w:r>
      <w:r>
        <w:rPr>
          <w:rFonts w:ascii="Arial" w:hAnsi="Arial" w:cs="Arial"/>
          <w:sz w:val="20"/>
        </w:rPr>
        <w:t xml:space="preserve">  </w:t>
      </w:r>
      <w:r w:rsidRPr="009062E7">
        <w:rPr>
          <w:rFonts w:ascii="Arial" w:hAnsi="Arial" w:cs="Arial"/>
          <w:sz w:val="20"/>
        </w:rPr>
        <w:t>IOD also investigates allegations of fraud, abuse and other misconduct, and provides recommendations to prevent such practices.  Administratively, IOD reports to the Director General and provides reasonable and objective assurance to the Member States on the effectiveness, efficiency, economy and relevance of WIPO operations, program implementation and business systems.  IOD also assesses the safeguarding of assets, whether funds entrusted to the Organization are fully accounted for and that management practices and internal controls are adequate and functioning well.  IOD activities have been designed to add value to the Organization in accordance with WIPO’s Internal Oversight Charter.</w:t>
      </w:r>
    </w:p>
    <w:p w14:paraId="43248809" w14:textId="77777777" w:rsidR="008D3EC2" w:rsidRPr="00146D7F" w:rsidRDefault="008D3EC2" w:rsidP="008D3EC2">
      <w:pPr>
        <w:spacing w:before="240" w:after="240"/>
        <w:jc w:val="both"/>
        <w:rPr>
          <w:rFonts w:ascii="Arial" w:hAnsi="Arial" w:cs="Arial"/>
          <w:bCs/>
        </w:rPr>
      </w:pPr>
      <w:r w:rsidRPr="00115560">
        <w:rPr>
          <w:rFonts w:ascii="Arial" w:hAnsi="Arial" w:cs="Arial"/>
          <w:bCs/>
        </w:rPr>
        <w:t>IMPLEMENTATION STRATEGIES</w:t>
      </w:r>
    </w:p>
    <w:p w14:paraId="6B839DE1" w14:textId="77777777"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115560">
        <w:rPr>
          <w:rFonts w:ascii="Arial" w:hAnsi="Arial" w:cs="Arial"/>
          <w:sz w:val="20"/>
          <w:szCs w:val="20"/>
        </w:rPr>
        <w:t xml:space="preserve">IOD will conduct objective assessments of management processes and systems to assess the adequacy of good stewardship of both the monetary and physical resources of the Organization. </w:t>
      </w:r>
      <w:r>
        <w:rPr>
          <w:rFonts w:ascii="Arial" w:hAnsi="Arial" w:cs="Arial"/>
          <w:sz w:val="20"/>
          <w:szCs w:val="20"/>
        </w:rPr>
        <w:t xml:space="preserve"> </w:t>
      </w:r>
      <w:r w:rsidRPr="00115560">
        <w:rPr>
          <w:rFonts w:ascii="Arial" w:hAnsi="Arial" w:cs="Arial"/>
          <w:sz w:val="20"/>
          <w:szCs w:val="20"/>
        </w:rPr>
        <w:t>It will also assess the adequacy and effectiveness of internal controls, risk management and governance processes and provide reasonable assurance as to whether WIPO‘s operations are in conformity with its governing regulations. Institutional learning and accountability through transparent and participatory oversight processes will continue to be fostered.</w:t>
      </w:r>
    </w:p>
    <w:p w14:paraId="334CAE0F" w14:textId="77777777" w:rsidR="008D3EC2" w:rsidRPr="00115560" w:rsidRDefault="008D3EC2" w:rsidP="008D3EC2">
      <w:pPr>
        <w:pStyle w:val="ListParagraph"/>
        <w:tabs>
          <w:tab w:val="left" w:pos="709"/>
        </w:tabs>
        <w:autoSpaceDE w:val="0"/>
        <w:autoSpaceDN w:val="0"/>
        <w:adjustRightInd w:val="0"/>
        <w:spacing w:before="120" w:after="120"/>
        <w:ind w:left="0"/>
        <w:jc w:val="both"/>
        <w:rPr>
          <w:rFonts w:ascii="Arial" w:hAnsi="Arial" w:cs="Arial"/>
          <w:sz w:val="20"/>
          <w:szCs w:val="20"/>
        </w:rPr>
      </w:pPr>
    </w:p>
    <w:p w14:paraId="1FBE4FE4" w14:textId="0C41A9AE"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9062E7">
        <w:rPr>
          <w:rFonts w:ascii="Arial" w:hAnsi="Arial" w:cs="Arial"/>
          <w:sz w:val="20"/>
        </w:rPr>
        <w:t>I</w:t>
      </w:r>
      <w:r w:rsidRPr="00115560">
        <w:rPr>
          <w:rFonts w:ascii="Arial" w:hAnsi="Arial" w:cs="Arial"/>
          <w:sz w:val="20"/>
          <w:szCs w:val="20"/>
        </w:rPr>
        <w:t>O</w:t>
      </w:r>
      <w:r w:rsidR="008F082B">
        <w:rPr>
          <w:rFonts w:ascii="Arial" w:hAnsi="Arial" w:cs="Arial"/>
          <w:sz w:val="20"/>
          <w:szCs w:val="20"/>
        </w:rPr>
        <w:t>D</w:t>
      </w:r>
      <w:r w:rsidRPr="00115560">
        <w:rPr>
          <w:rFonts w:ascii="Arial" w:hAnsi="Arial" w:cs="Arial"/>
          <w:sz w:val="20"/>
          <w:szCs w:val="20"/>
        </w:rPr>
        <w:t xml:space="preserve"> will continue to support management in the development and implementation of an efficient and effective Ethics and Integrity Framework within which duties, roles, responsibilities and rights of all WIPO staff have clearly been defined. </w:t>
      </w:r>
      <w:r>
        <w:rPr>
          <w:rFonts w:ascii="Arial" w:hAnsi="Arial" w:cs="Arial"/>
          <w:sz w:val="20"/>
          <w:szCs w:val="20"/>
        </w:rPr>
        <w:t xml:space="preserve"> </w:t>
      </w:r>
      <w:r w:rsidRPr="00115560">
        <w:rPr>
          <w:rFonts w:ascii="Arial" w:hAnsi="Arial" w:cs="Arial"/>
          <w:sz w:val="20"/>
          <w:szCs w:val="20"/>
        </w:rPr>
        <w:t xml:space="preserve">This will be accomplished through provision of timely investigation reports conducted in accordance with generally accepted investigation standards and good practices within the UN system.  </w:t>
      </w:r>
    </w:p>
    <w:p w14:paraId="630B9A85" w14:textId="77777777" w:rsidR="008D3EC2" w:rsidRPr="00115560" w:rsidRDefault="008D3EC2" w:rsidP="008D3EC2">
      <w:pPr>
        <w:pStyle w:val="ListParagraph"/>
        <w:tabs>
          <w:tab w:val="left" w:pos="709"/>
        </w:tabs>
        <w:autoSpaceDE w:val="0"/>
        <w:autoSpaceDN w:val="0"/>
        <w:adjustRightInd w:val="0"/>
        <w:spacing w:before="120" w:after="120"/>
        <w:ind w:left="0"/>
        <w:jc w:val="both"/>
        <w:rPr>
          <w:rFonts w:ascii="Arial" w:hAnsi="Arial" w:cs="Arial"/>
          <w:sz w:val="20"/>
          <w:szCs w:val="20"/>
        </w:rPr>
      </w:pPr>
    </w:p>
    <w:p w14:paraId="4F33BF1A" w14:textId="77777777"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9062E7">
        <w:rPr>
          <w:rFonts w:ascii="Arial" w:hAnsi="Arial" w:cs="Arial"/>
          <w:sz w:val="20"/>
        </w:rPr>
        <w:t>IOD</w:t>
      </w:r>
      <w:r w:rsidRPr="00115560">
        <w:rPr>
          <w:rFonts w:ascii="Arial" w:hAnsi="Arial" w:cs="Arial"/>
          <w:sz w:val="20"/>
          <w:szCs w:val="20"/>
        </w:rPr>
        <w:t xml:space="preserve"> will build on the results and recommendations of the external quality assessments of its three functions</w:t>
      </w:r>
      <w:r>
        <w:rPr>
          <w:rFonts w:ascii="Arial" w:hAnsi="Arial" w:cs="Arial"/>
          <w:sz w:val="20"/>
        </w:rPr>
        <w:t>,</w:t>
      </w:r>
      <w:r w:rsidRPr="00115560">
        <w:rPr>
          <w:rFonts w:ascii="Arial" w:hAnsi="Arial" w:cs="Arial"/>
          <w:sz w:val="20"/>
          <w:szCs w:val="20"/>
        </w:rPr>
        <w:t xml:space="preserve"> audit, evaluation and investigation</w:t>
      </w:r>
      <w:r>
        <w:rPr>
          <w:rFonts w:ascii="Arial" w:hAnsi="Arial" w:cs="Arial"/>
          <w:sz w:val="20"/>
        </w:rPr>
        <w:t xml:space="preserve">, </w:t>
      </w:r>
      <w:r w:rsidRPr="00115560">
        <w:rPr>
          <w:rFonts w:ascii="Arial" w:hAnsi="Arial" w:cs="Arial"/>
          <w:sz w:val="20"/>
          <w:szCs w:val="20"/>
        </w:rPr>
        <w:t xml:space="preserve">performed in 2014/15 to improve its service delivery to the Organization. </w:t>
      </w:r>
      <w:r>
        <w:rPr>
          <w:rFonts w:ascii="Arial" w:hAnsi="Arial" w:cs="Arial"/>
          <w:sz w:val="20"/>
          <w:szCs w:val="20"/>
        </w:rPr>
        <w:t xml:space="preserve"> </w:t>
      </w:r>
      <w:r w:rsidRPr="00115560">
        <w:rPr>
          <w:rFonts w:ascii="Arial" w:hAnsi="Arial" w:cs="Arial"/>
          <w:sz w:val="20"/>
          <w:szCs w:val="20"/>
        </w:rPr>
        <w:t>It will use the three disciplines to provide high level services to the Organization and strengthen the synergies between them through common planning, training and follow-up activities, among other tools.  In addition, appropriate oversight tools, such as manuals, policies and guidelines will continue to be developed and updated in line with internationally recognized professional standards and good practices from the UN and other international organizations.</w:t>
      </w:r>
    </w:p>
    <w:p w14:paraId="0F3719AC" w14:textId="77777777" w:rsidR="008D3EC2" w:rsidRPr="00115560" w:rsidRDefault="008D3EC2" w:rsidP="008D3EC2">
      <w:pPr>
        <w:pStyle w:val="ListParagraph"/>
        <w:tabs>
          <w:tab w:val="left" w:pos="709"/>
        </w:tabs>
        <w:autoSpaceDE w:val="0"/>
        <w:autoSpaceDN w:val="0"/>
        <w:adjustRightInd w:val="0"/>
        <w:spacing w:before="120" w:after="120"/>
        <w:ind w:left="0"/>
        <w:jc w:val="both"/>
        <w:rPr>
          <w:rFonts w:ascii="Arial" w:hAnsi="Arial" w:cs="Arial"/>
          <w:sz w:val="20"/>
          <w:szCs w:val="20"/>
        </w:rPr>
      </w:pPr>
    </w:p>
    <w:p w14:paraId="4FE08B10" w14:textId="77777777"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9062E7">
        <w:rPr>
          <w:rFonts w:ascii="Arial" w:hAnsi="Arial" w:cs="Arial"/>
          <w:sz w:val="20"/>
        </w:rPr>
        <w:t>Professional</w:t>
      </w:r>
      <w:r w:rsidRPr="00115560">
        <w:rPr>
          <w:rFonts w:ascii="Arial" w:hAnsi="Arial" w:cs="Arial"/>
          <w:sz w:val="20"/>
          <w:szCs w:val="20"/>
        </w:rPr>
        <w:t xml:space="preserve"> support and advice will continue to be provided, as appropriate, to all Program Managers, including real time advice through continuous auditing and short cycle evaluations and reviews. IOD will continue to provide for a “hot line” for reporting wrongdoing and possible misconduct in WIPO, in conjunction with proactive investigations, which will be conducted to identify unreported instances of fraud or abuse and propose controls to mitigate the consequences of such actions.  </w:t>
      </w:r>
    </w:p>
    <w:p w14:paraId="7443CBC3" w14:textId="77777777" w:rsidR="008D3EC2" w:rsidRPr="00115560" w:rsidRDefault="008D3EC2" w:rsidP="008D3EC2">
      <w:pPr>
        <w:pStyle w:val="ListParagraph"/>
        <w:tabs>
          <w:tab w:val="left" w:pos="709"/>
        </w:tabs>
        <w:autoSpaceDE w:val="0"/>
        <w:autoSpaceDN w:val="0"/>
        <w:adjustRightInd w:val="0"/>
        <w:spacing w:before="120" w:after="120"/>
        <w:ind w:left="0"/>
        <w:jc w:val="both"/>
        <w:rPr>
          <w:rFonts w:ascii="Arial" w:hAnsi="Arial" w:cs="Arial"/>
          <w:sz w:val="20"/>
          <w:szCs w:val="20"/>
        </w:rPr>
      </w:pPr>
    </w:p>
    <w:p w14:paraId="67ECE7B5" w14:textId="5C52DA8F"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9062E7">
        <w:rPr>
          <w:rFonts w:ascii="Arial" w:hAnsi="Arial" w:cs="Arial"/>
          <w:sz w:val="20"/>
        </w:rPr>
        <w:t>Cooperation</w:t>
      </w:r>
      <w:r w:rsidRPr="00115560">
        <w:rPr>
          <w:rFonts w:ascii="Arial" w:hAnsi="Arial" w:cs="Arial"/>
          <w:sz w:val="20"/>
          <w:szCs w:val="20"/>
        </w:rPr>
        <w:t xml:space="preserve"> and coordination with the External Auditor and other </w:t>
      </w:r>
      <w:r w:rsidR="008F082B">
        <w:rPr>
          <w:rFonts w:ascii="Arial" w:hAnsi="Arial" w:cs="Arial"/>
          <w:sz w:val="20"/>
          <w:szCs w:val="20"/>
        </w:rPr>
        <w:t xml:space="preserve">oversight </w:t>
      </w:r>
      <w:r w:rsidRPr="00115560">
        <w:rPr>
          <w:rFonts w:ascii="Arial" w:hAnsi="Arial" w:cs="Arial"/>
          <w:sz w:val="20"/>
          <w:szCs w:val="20"/>
        </w:rPr>
        <w:t xml:space="preserve">assurance providers will remain a high priority. </w:t>
      </w:r>
      <w:r>
        <w:rPr>
          <w:rFonts w:ascii="Arial" w:hAnsi="Arial" w:cs="Arial"/>
          <w:sz w:val="20"/>
          <w:szCs w:val="20"/>
        </w:rPr>
        <w:t xml:space="preserve"> </w:t>
      </w:r>
      <w:r w:rsidRPr="00115560">
        <w:rPr>
          <w:rFonts w:ascii="Arial" w:hAnsi="Arial" w:cs="Arial"/>
          <w:sz w:val="20"/>
          <w:szCs w:val="20"/>
        </w:rPr>
        <w:t>Cooperation with the UN internal oversight community and international and professional associations will continue during the biennium to ensure that internal oversight at WIPO contributes to and benefits from latest developments.</w:t>
      </w:r>
    </w:p>
    <w:p w14:paraId="0681EBF1" w14:textId="77777777" w:rsidR="008D3EC2" w:rsidRPr="00115560" w:rsidRDefault="008D3EC2" w:rsidP="008D3EC2">
      <w:pPr>
        <w:pStyle w:val="ListParagraph"/>
        <w:tabs>
          <w:tab w:val="left" w:pos="709"/>
        </w:tabs>
        <w:autoSpaceDE w:val="0"/>
        <w:autoSpaceDN w:val="0"/>
        <w:adjustRightInd w:val="0"/>
        <w:spacing w:before="120" w:after="120"/>
        <w:ind w:left="0"/>
        <w:jc w:val="both"/>
        <w:rPr>
          <w:rFonts w:ascii="Arial" w:hAnsi="Arial" w:cs="Arial"/>
          <w:sz w:val="20"/>
          <w:szCs w:val="20"/>
        </w:rPr>
      </w:pPr>
    </w:p>
    <w:p w14:paraId="41452038" w14:textId="77777777"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9062E7">
        <w:rPr>
          <w:rFonts w:ascii="Arial" w:hAnsi="Arial" w:cs="Arial"/>
          <w:sz w:val="20"/>
        </w:rPr>
        <w:t>Progress</w:t>
      </w:r>
      <w:r w:rsidRPr="00115560">
        <w:rPr>
          <w:rFonts w:ascii="Arial" w:hAnsi="Arial" w:cs="Arial"/>
          <w:sz w:val="20"/>
          <w:szCs w:val="20"/>
        </w:rPr>
        <w:t xml:space="preserve"> in implementing oversight recommendations will be regularly monitored and reported to the Director General, the Independent Advisory Oversight Committee (IAOC) and the WIPO</w:t>
      </w:r>
      <w:r>
        <w:rPr>
          <w:rFonts w:ascii="Arial" w:hAnsi="Arial" w:cs="Arial"/>
          <w:sz w:val="20"/>
          <w:szCs w:val="20"/>
        </w:rPr>
        <w:t> </w:t>
      </w:r>
      <w:r w:rsidRPr="00115560">
        <w:rPr>
          <w:rFonts w:ascii="Arial" w:hAnsi="Arial" w:cs="Arial"/>
          <w:sz w:val="20"/>
          <w:szCs w:val="20"/>
        </w:rPr>
        <w:t>Assemblies.</w:t>
      </w:r>
    </w:p>
    <w:p w14:paraId="43B6209A" w14:textId="77777777" w:rsidR="00CD2918" w:rsidRPr="00115560" w:rsidRDefault="00CD2918" w:rsidP="00FB68E0">
      <w:pPr>
        <w:pStyle w:val="ListParagraph"/>
        <w:tabs>
          <w:tab w:val="left" w:pos="709"/>
        </w:tabs>
        <w:autoSpaceDE w:val="0"/>
        <w:autoSpaceDN w:val="0"/>
        <w:adjustRightInd w:val="0"/>
        <w:spacing w:before="120" w:after="120"/>
        <w:ind w:left="0"/>
        <w:jc w:val="both"/>
        <w:rPr>
          <w:rFonts w:ascii="Arial" w:hAnsi="Arial" w:cs="Arial"/>
          <w:sz w:val="20"/>
          <w:szCs w:val="20"/>
        </w:rPr>
      </w:pPr>
    </w:p>
    <w:p w14:paraId="13F1C981" w14:textId="77777777" w:rsidR="008D3EC2" w:rsidRPr="00115560"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szCs w:val="20"/>
        </w:rPr>
      </w:pPr>
      <w:r w:rsidRPr="00115560">
        <w:rPr>
          <w:rFonts w:ascii="Arial" w:hAnsi="Arial" w:cs="Arial"/>
          <w:sz w:val="20"/>
          <w:szCs w:val="20"/>
        </w:rPr>
        <w:lastRenderedPageBreak/>
        <w:t xml:space="preserve">To </w:t>
      </w:r>
      <w:r w:rsidRPr="009062E7">
        <w:rPr>
          <w:rFonts w:ascii="Arial" w:hAnsi="Arial" w:cs="Arial"/>
          <w:sz w:val="20"/>
        </w:rPr>
        <w:t>share</w:t>
      </w:r>
      <w:r w:rsidRPr="00115560">
        <w:rPr>
          <w:rFonts w:ascii="Arial" w:hAnsi="Arial" w:cs="Arial"/>
          <w:sz w:val="20"/>
          <w:szCs w:val="20"/>
        </w:rPr>
        <w:t xml:space="preserve"> lessons and insights from oversight activities with key stakeholders inside and outside WIPO, the main results and outcomes of oversight work will be published and regularly shared through presentations at information and training events.</w:t>
      </w:r>
    </w:p>
    <w:p w14:paraId="3DCC2671" w14:textId="77777777" w:rsidR="008D3EC2" w:rsidRDefault="008D3EC2" w:rsidP="008D3EC2">
      <w:pPr>
        <w:jc w:val="both"/>
        <w:rPr>
          <w:rFonts w:ascii="Arial" w:hAnsi="Arial" w:cs="Arial"/>
        </w:rPr>
      </w:pPr>
    </w:p>
    <w:p w14:paraId="5BEB88F4" w14:textId="77777777" w:rsidR="008D3EC2" w:rsidRPr="00B565D8" w:rsidRDefault="008D3EC2" w:rsidP="008D3EC2">
      <w:pPr>
        <w:jc w:val="both"/>
        <w:rPr>
          <w:rFonts w:ascii="Arial" w:hAnsi="Arial" w:cs="Arial"/>
        </w:rPr>
      </w:pPr>
    </w:p>
    <w:p w14:paraId="75F1D28D" w14:textId="77777777" w:rsidR="008D3EC2" w:rsidRPr="009062E7" w:rsidRDefault="008D3EC2" w:rsidP="008D3EC2">
      <w:pPr>
        <w:rPr>
          <w:rFonts w:ascii="Arial" w:eastAsia="SimSun" w:hAnsi="Arial" w:cs="Arial"/>
        </w:rPr>
      </w:pPr>
      <w:r w:rsidRPr="009062E7">
        <w:rPr>
          <w:rFonts w:ascii="Arial" w:eastAsia="SimSun" w:hAnsi="Arial" w:cs="Arial"/>
        </w:rPr>
        <w:t>MAJOR RISKS AND MITIGATION STRATEGIES</w:t>
      </w:r>
    </w:p>
    <w:p w14:paraId="59276A3A" w14:textId="77777777" w:rsidR="008D3EC2" w:rsidRPr="00B565D8" w:rsidRDefault="008D3EC2" w:rsidP="008D3EC2">
      <w:pPr>
        <w:spacing w:line="276" w:lineRule="auto"/>
        <w:rPr>
          <w:rFonts w:ascii="Arial" w:hAnsi="Arial" w:cs="Arial"/>
          <w:sz w:val="20"/>
        </w:rPr>
      </w:pPr>
    </w:p>
    <w:tbl>
      <w:tblPr>
        <w:tblW w:w="9214" w:type="dxa"/>
        <w:tblInd w:w="108" w:type="dxa"/>
        <w:tblCellMar>
          <w:left w:w="0" w:type="dxa"/>
          <w:right w:w="0" w:type="dxa"/>
        </w:tblCellMar>
        <w:tblLook w:val="04A0" w:firstRow="1" w:lastRow="0" w:firstColumn="1" w:lastColumn="0" w:noHBand="0" w:noVBand="1"/>
      </w:tblPr>
      <w:tblGrid>
        <w:gridCol w:w="4111"/>
        <w:gridCol w:w="5103"/>
      </w:tblGrid>
      <w:tr w:rsidR="008D3EC2" w:rsidRPr="00B565D8" w14:paraId="4037E360" w14:textId="77777777" w:rsidTr="008D3EC2">
        <w:trPr>
          <w:trHeight w:val="552"/>
        </w:trPr>
        <w:tc>
          <w:tcPr>
            <w:tcW w:w="4111"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14:paraId="5823086A" w14:textId="77777777" w:rsidR="008D3EC2" w:rsidRPr="00B565D8" w:rsidRDefault="008D3EC2" w:rsidP="008D3EC2">
            <w:pPr>
              <w:spacing w:line="276" w:lineRule="auto"/>
              <w:jc w:val="center"/>
              <w:rPr>
                <w:rFonts w:ascii="Arial" w:eastAsia="Calibri" w:hAnsi="Arial" w:cs="Arial"/>
                <w:b/>
                <w:bCs/>
                <w:sz w:val="18"/>
                <w:szCs w:val="18"/>
              </w:rPr>
            </w:pPr>
            <w:r w:rsidRPr="00B565D8">
              <w:rPr>
                <w:rFonts w:ascii="Arial" w:hAnsi="Arial" w:cs="Arial"/>
                <w:b/>
                <w:bCs/>
                <w:sz w:val="18"/>
                <w:szCs w:val="18"/>
              </w:rPr>
              <w:t>Risk</w:t>
            </w:r>
          </w:p>
        </w:tc>
        <w:tc>
          <w:tcPr>
            <w:tcW w:w="5103"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14:paraId="5306A013" w14:textId="77777777" w:rsidR="008D3EC2" w:rsidRPr="00B565D8" w:rsidRDefault="008D3EC2" w:rsidP="008D3EC2">
            <w:pPr>
              <w:spacing w:line="276" w:lineRule="auto"/>
              <w:jc w:val="center"/>
              <w:rPr>
                <w:rFonts w:ascii="Arial" w:eastAsia="Calibri" w:hAnsi="Arial" w:cs="Arial"/>
                <w:b/>
                <w:bCs/>
                <w:sz w:val="18"/>
                <w:szCs w:val="18"/>
              </w:rPr>
            </w:pPr>
            <w:r w:rsidRPr="00B565D8">
              <w:rPr>
                <w:rFonts w:ascii="Arial" w:hAnsi="Arial" w:cs="Arial"/>
                <w:b/>
                <w:bCs/>
                <w:sz w:val="18"/>
                <w:szCs w:val="18"/>
              </w:rPr>
              <w:t>Mitigation</w:t>
            </w:r>
          </w:p>
        </w:tc>
      </w:tr>
      <w:tr w:rsidR="008D3EC2" w:rsidRPr="00B565D8" w14:paraId="139F9C23" w14:textId="77777777" w:rsidTr="008D3EC2">
        <w:trPr>
          <w:trHeight w:val="857"/>
        </w:trPr>
        <w:tc>
          <w:tcPr>
            <w:tcW w:w="4111" w:type="dxa"/>
            <w:tcBorders>
              <w:top w:val="nil"/>
              <w:left w:val="single" w:sz="8" w:space="0" w:color="auto"/>
              <w:bottom w:val="single" w:sz="8" w:space="0" w:color="auto"/>
              <w:right w:val="nil"/>
            </w:tcBorders>
            <w:tcMar>
              <w:top w:w="113" w:type="dxa"/>
              <w:left w:w="108" w:type="dxa"/>
              <w:bottom w:w="113" w:type="dxa"/>
              <w:right w:w="108" w:type="dxa"/>
            </w:tcMar>
            <w:hideMark/>
          </w:tcPr>
          <w:p w14:paraId="3B1AB7FC" w14:textId="77777777" w:rsidR="008D3EC2" w:rsidRPr="00B565D8" w:rsidRDefault="008D3EC2" w:rsidP="008D3EC2">
            <w:pPr>
              <w:rPr>
                <w:rFonts w:ascii="Arial" w:eastAsia="Calibri" w:hAnsi="Arial" w:cs="Arial"/>
                <w:sz w:val="16"/>
                <w:szCs w:val="16"/>
              </w:rPr>
            </w:pPr>
            <w:r w:rsidRPr="00B565D8">
              <w:rPr>
                <w:rFonts w:ascii="Arial" w:eastAsia="Calibri" w:hAnsi="Arial" w:cs="Arial"/>
                <w:sz w:val="16"/>
                <w:szCs w:val="16"/>
              </w:rPr>
              <w:t>Internal oversight activity is not independent and IOD staff are not objective in performing their work.  Impartiality and credibility of the work undertaken would be at stake.  Trust in the oversight function would be diminished.</w:t>
            </w:r>
          </w:p>
        </w:tc>
        <w:tc>
          <w:tcPr>
            <w:tcW w:w="5103" w:type="dxa"/>
            <w:tcBorders>
              <w:top w:val="nil"/>
              <w:left w:val="nil"/>
              <w:bottom w:val="single" w:sz="8" w:space="0" w:color="auto"/>
              <w:right w:val="single" w:sz="8" w:space="0" w:color="auto"/>
            </w:tcBorders>
            <w:tcMar>
              <w:top w:w="113" w:type="dxa"/>
              <w:left w:w="108" w:type="dxa"/>
              <w:bottom w:w="113" w:type="dxa"/>
              <w:right w:w="108" w:type="dxa"/>
            </w:tcMar>
          </w:tcPr>
          <w:p w14:paraId="0B111DC9" w14:textId="77777777" w:rsidR="008D3EC2" w:rsidRPr="00B565D8" w:rsidRDefault="008D3EC2" w:rsidP="008D3EC2">
            <w:pPr>
              <w:rPr>
                <w:rFonts w:ascii="Arial" w:eastAsia="Calibri" w:hAnsi="Arial" w:cs="Arial"/>
                <w:color w:val="000000"/>
                <w:sz w:val="16"/>
                <w:szCs w:val="16"/>
              </w:rPr>
            </w:pPr>
            <w:r w:rsidRPr="00B565D8">
              <w:rPr>
                <w:rFonts w:ascii="Arial" w:hAnsi="Arial" w:cs="Arial"/>
                <w:color w:val="000000"/>
                <w:sz w:val="16"/>
                <w:szCs w:val="16"/>
              </w:rPr>
              <w:t>Abide by the revised Internal Oversight Charter.  Regular reports to the IAOC.  Annual report to General Assembly on Independence</w:t>
            </w:r>
          </w:p>
          <w:p w14:paraId="2AB05654" w14:textId="77777777" w:rsidR="008D3EC2" w:rsidRPr="00B565D8" w:rsidRDefault="008D3EC2" w:rsidP="008D3EC2">
            <w:pPr>
              <w:rPr>
                <w:rFonts w:ascii="Arial" w:hAnsi="Arial" w:cs="Arial"/>
                <w:color w:val="000000"/>
                <w:sz w:val="16"/>
                <w:szCs w:val="16"/>
              </w:rPr>
            </w:pPr>
          </w:p>
          <w:p w14:paraId="49EC91BB" w14:textId="77777777" w:rsidR="008D3EC2" w:rsidRPr="00B565D8" w:rsidRDefault="008D3EC2" w:rsidP="008D3EC2">
            <w:pPr>
              <w:rPr>
                <w:rFonts w:eastAsia="Calibri"/>
                <w:sz w:val="16"/>
                <w:szCs w:val="16"/>
              </w:rPr>
            </w:pPr>
            <w:r w:rsidRPr="00B565D8">
              <w:rPr>
                <w:rFonts w:ascii="Arial" w:hAnsi="Arial" w:cs="Arial"/>
                <w:color w:val="000000"/>
                <w:sz w:val="16"/>
                <w:szCs w:val="16"/>
              </w:rPr>
              <w:t>External assessments of the independence of oversight functions.</w:t>
            </w:r>
          </w:p>
        </w:tc>
      </w:tr>
    </w:tbl>
    <w:p w14:paraId="6D359F16" w14:textId="77777777" w:rsidR="008D3EC2" w:rsidRPr="00B565D8" w:rsidRDefault="008D3EC2" w:rsidP="008D3EC2">
      <w:pPr>
        <w:rPr>
          <w:rFonts w:ascii="Arial" w:eastAsia="Calibri" w:hAnsi="Arial" w:cs="Arial"/>
          <w:sz w:val="20"/>
        </w:rPr>
      </w:pPr>
    </w:p>
    <w:p w14:paraId="3D250DEC" w14:textId="77777777" w:rsidR="008D3EC2" w:rsidRDefault="008D3EC2" w:rsidP="008D3EC2">
      <w:pPr>
        <w:rPr>
          <w:rFonts w:ascii="Arial" w:hAnsi="Arial" w:cs="Arial"/>
          <w:sz w:val="20"/>
        </w:rPr>
      </w:pPr>
    </w:p>
    <w:p w14:paraId="5193E509" w14:textId="77777777" w:rsidR="008D3EC2" w:rsidRDefault="008D3EC2" w:rsidP="008D3EC2">
      <w:pPr>
        <w:autoSpaceDE w:val="0"/>
        <w:autoSpaceDN w:val="0"/>
        <w:adjustRightInd w:val="0"/>
        <w:jc w:val="both"/>
        <w:rPr>
          <w:rFonts w:ascii="Arial" w:hAnsi="Arial" w:cs="Arial"/>
        </w:rPr>
      </w:pPr>
      <w:r>
        <w:rPr>
          <w:rFonts w:ascii="Arial" w:hAnsi="Arial" w:cs="Arial"/>
        </w:rPr>
        <w:t>RESULTS FRAMEWORK</w:t>
      </w:r>
    </w:p>
    <w:p w14:paraId="31C65CFE" w14:textId="77777777" w:rsidR="008D3EC2" w:rsidRDefault="008D3EC2" w:rsidP="008D3EC2">
      <w:pPr>
        <w:autoSpaceDE w:val="0"/>
        <w:autoSpaceDN w:val="0"/>
        <w:adjustRightInd w:val="0"/>
        <w:jc w:val="both"/>
        <w:rPr>
          <w:rFonts w:ascii="Arial" w:hAnsi="Arial" w:cs="Arial"/>
        </w:rPr>
      </w:pPr>
    </w:p>
    <w:tbl>
      <w:tblPr>
        <w:tblW w:w="9229" w:type="dxa"/>
        <w:tblInd w:w="93" w:type="dxa"/>
        <w:tblLook w:val="04A0" w:firstRow="1" w:lastRow="0" w:firstColumn="1" w:lastColumn="0" w:noHBand="0" w:noVBand="1"/>
      </w:tblPr>
      <w:tblGrid>
        <w:gridCol w:w="2160"/>
        <w:gridCol w:w="2620"/>
        <w:gridCol w:w="2340"/>
        <w:gridCol w:w="2109"/>
      </w:tblGrid>
      <w:tr w:rsidR="008D3EC2" w:rsidRPr="00D0315E" w14:paraId="6CA05ED0" w14:textId="77777777" w:rsidTr="008D3EC2">
        <w:trPr>
          <w:trHeight w:val="520"/>
        </w:trPr>
        <w:tc>
          <w:tcPr>
            <w:tcW w:w="2160" w:type="dxa"/>
            <w:tcBorders>
              <w:top w:val="single" w:sz="8" w:space="0" w:color="auto"/>
              <w:left w:val="single" w:sz="8" w:space="0" w:color="auto"/>
              <w:bottom w:val="single" w:sz="8" w:space="0" w:color="auto"/>
              <w:right w:val="nil"/>
            </w:tcBorders>
            <w:shd w:val="clear" w:color="auto" w:fill="C6D9F1" w:themeFill="text2" w:themeFillTint="33"/>
            <w:vAlign w:val="center"/>
            <w:hideMark/>
          </w:tcPr>
          <w:p w14:paraId="21EA4422" w14:textId="77777777" w:rsidR="008D3EC2" w:rsidRPr="00D0315E" w:rsidRDefault="008D3EC2" w:rsidP="008D3EC2">
            <w:pPr>
              <w:jc w:val="center"/>
              <w:rPr>
                <w:rFonts w:ascii="Arial" w:hAnsi="Arial" w:cs="Arial"/>
                <w:b/>
                <w:bCs/>
                <w:color w:val="000000"/>
                <w:sz w:val="18"/>
                <w:szCs w:val="18"/>
              </w:rPr>
            </w:pPr>
            <w:r w:rsidRPr="00D0315E">
              <w:rPr>
                <w:rFonts w:ascii="Arial" w:hAnsi="Arial" w:cs="Arial"/>
                <w:b/>
                <w:bCs/>
                <w:color w:val="000000"/>
                <w:sz w:val="18"/>
                <w:szCs w:val="18"/>
              </w:rPr>
              <w:t>Expected Results</w:t>
            </w:r>
          </w:p>
        </w:tc>
        <w:tc>
          <w:tcPr>
            <w:tcW w:w="2620" w:type="dxa"/>
            <w:tcBorders>
              <w:top w:val="single" w:sz="8" w:space="0" w:color="auto"/>
              <w:left w:val="nil"/>
              <w:bottom w:val="single" w:sz="8" w:space="0" w:color="auto"/>
              <w:right w:val="nil"/>
            </w:tcBorders>
            <w:shd w:val="clear" w:color="auto" w:fill="C6D9F1" w:themeFill="text2" w:themeFillTint="33"/>
            <w:vAlign w:val="center"/>
            <w:hideMark/>
          </w:tcPr>
          <w:p w14:paraId="3344873F" w14:textId="77777777" w:rsidR="008D3EC2" w:rsidRPr="00D0315E" w:rsidRDefault="008D3EC2" w:rsidP="008D3EC2">
            <w:pPr>
              <w:jc w:val="center"/>
              <w:rPr>
                <w:rFonts w:ascii="Arial" w:hAnsi="Arial" w:cs="Arial"/>
                <w:b/>
                <w:bCs/>
                <w:color w:val="000000"/>
                <w:sz w:val="18"/>
                <w:szCs w:val="18"/>
              </w:rPr>
            </w:pPr>
            <w:r w:rsidRPr="00D0315E">
              <w:rPr>
                <w:rFonts w:ascii="Arial" w:hAnsi="Arial" w:cs="Arial"/>
                <w:b/>
                <w:bCs/>
                <w:color w:val="000000"/>
                <w:sz w:val="18"/>
                <w:szCs w:val="18"/>
              </w:rPr>
              <w:t>Performance Indicators</w:t>
            </w:r>
          </w:p>
        </w:tc>
        <w:tc>
          <w:tcPr>
            <w:tcW w:w="2340" w:type="dxa"/>
            <w:tcBorders>
              <w:top w:val="single" w:sz="8" w:space="0" w:color="auto"/>
              <w:left w:val="nil"/>
              <w:bottom w:val="single" w:sz="8" w:space="0" w:color="auto"/>
              <w:right w:val="nil"/>
            </w:tcBorders>
            <w:shd w:val="clear" w:color="auto" w:fill="C6D9F1" w:themeFill="text2" w:themeFillTint="33"/>
            <w:vAlign w:val="center"/>
            <w:hideMark/>
          </w:tcPr>
          <w:p w14:paraId="67054CE2" w14:textId="77777777" w:rsidR="008D3EC2" w:rsidRPr="00D0315E" w:rsidRDefault="008D3EC2" w:rsidP="008D3EC2">
            <w:pPr>
              <w:jc w:val="center"/>
              <w:rPr>
                <w:rFonts w:ascii="Arial" w:hAnsi="Arial" w:cs="Arial"/>
                <w:b/>
                <w:bCs/>
                <w:color w:val="000000"/>
                <w:sz w:val="18"/>
                <w:szCs w:val="18"/>
              </w:rPr>
            </w:pPr>
            <w:r w:rsidRPr="00D0315E">
              <w:rPr>
                <w:rFonts w:ascii="Arial" w:hAnsi="Arial" w:cs="Arial"/>
                <w:b/>
                <w:bCs/>
                <w:color w:val="000000"/>
                <w:sz w:val="18"/>
                <w:szCs w:val="18"/>
              </w:rPr>
              <w:t>Baselines</w:t>
            </w:r>
          </w:p>
        </w:tc>
        <w:tc>
          <w:tcPr>
            <w:tcW w:w="2109" w:type="dxa"/>
            <w:tcBorders>
              <w:top w:val="single" w:sz="8" w:space="0" w:color="auto"/>
              <w:left w:val="nil"/>
              <w:bottom w:val="single" w:sz="8" w:space="0" w:color="auto"/>
              <w:right w:val="single" w:sz="8" w:space="0" w:color="auto"/>
            </w:tcBorders>
            <w:shd w:val="clear" w:color="auto" w:fill="C6D9F1" w:themeFill="text2" w:themeFillTint="33"/>
            <w:vAlign w:val="center"/>
            <w:hideMark/>
          </w:tcPr>
          <w:p w14:paraId="51636180" w14:textId="77777777" w:rsidR="008D3EC2" w:rsidRPr="00D0315E" w:rsidRDefault="008D3EC2" w:rsidP="008D3EC2">
            <w:pPr>
              <w:jc w:val="center"/>
              <w:rPr>
                <w:rFonts w:ascii="Arial" w:hAnsi="Arial" w:cs="Arial"/>
                <w:b/>
                <w:bCs/>
                <w:color w:val="000000"/>
                <w:sz w:val="18"/>
                <w:szCs w:val="18"/>
              </w:rPr>
            </w:pPr>
            <w:r w:rsidRPr="00D0315E">
              <w:rPr>
                <w:rFonts w:ascii="Arial" w:hAnsi="Arial" w:cs="Arial"/>
                <w:b/>
                <w:bCs/>
                <w:color w:val="000000"/>
                <w:sz w:val="18"/>
                <w:szCs w:val="18"/>
              </w:rPr>
              <w:t>Targets</w:t>
            </w:r>
          </w:p>
        </w:tc>
      </w:tr>
      <w:tr w:rsidR="008D3EC2" w:rsidRPr="00D0315E" w14:paraId="009AE6BE" w14:textId="77777777" w:rsidTr="008D3EC2">
        <w:trPr>
          <w:trHeight w:val="1083"/>
        </w:trPr>
        <w:tc>
          <w:tcPr>
            <w:tcW w:w="2160" w:type="dxa"/>
            <w:vMerge w:val="restart"/>
            <w:tcBorders>
              <w:top w:val="single" w:sz="8" w:space="0" w:color="auto"/>
              <w:left w:val="single" w:sz="4" w:space="0" w:color="auto"/>
              <w:bottom w:val="single" w:sz="4" w:space="0" w:color="000000"/>
              <w:right w:val="nil"/>
            </w:tcBorders>
            <w:shd w:val="clear" w:color="000000" w:fill="FFFFFF"/>
            <w:hideMark/>
          </w:tcPr>
          <w:p w14:paraId="5F62404E" w14:textId="77777777" w:rsidR="008D3EC2" w:rsidRPr="00D0315E" w:rsidRDefault="008D3EC2" w:rsidP="008D3EC2">
            <w:pPr>
              <w:rPr>
                <w:rFonts w:ascii="Arial" w:hAnsi="Arial" w:cs="Arial"/>
                <w:color w:val="000000"/>
                <w:sz w:val="16"/>
                <w:szCs w:val="16"/>
              </w:rPr>
            </w:pPr>
            <w:r w:rsidRPr="00D0315E">
              <w:rPr>
                <w:rFonts w:ascii="Arial" w:hAnsi="Arial" w:cs="Arial"/>
                <w:color w:val="000000"/>
                <w:sz w:val="16"/>
                <w:szCs w:val="16"/>
              </w:rPr>
              <w:br/>
              <w:t>IX.8 Improved accountability, organizational learning, value for money, stewardship, internal control and corporate governance through assistance from effective and independent oversight</w:t>
            </w:r>
          </w:p>
        </w:tc>
        <w:tc>
          <w:tcPr>
            <w:tcW w:w="2620" w:type="dxa"/>
            <w:tcBorders>
              <w:top w:val="single" w:sz="8" w:space="0" w:color="auto"/>
              <w:left w:val="nil"/>
              <w:bottom w:val="nil"/>
              <w:right w:val="nil"/>
            </w:tcBorders>
            <w:shd w:val="clear" w:color="000000" w:fill="FFFFFF"/>
            <w:hideMark/>
          </w:tcPr>
          <w:p w14:paraId="5749DC02" w14:textId="77777777" w:rsidR="008D3EC2" w:rsidRPr="00D0315E" w:rsidRDefault="008D3EC2" w:rsidP="008D4CE9">
            <w:pPr>
              <w:ind w:left="15"/>
              <w:rPr>
                <w:rFonts w:ascii="Arial" w:hAnsi="Arial" w:cs="Arial"/>
                <w:color w:val="000000"/>
                <w:sz w:val="16"/>
                <w:szCs w:val="16"/>
              </w:rPr>
            </w:pPr>
            <w:r>
              <w:rPr>
                <w:rFonts w:ascii="Arial" w:hAnsi="Arial" w:cs="Arial"/>
                <w:color w:val="000000"/>
                <w:sz w:val="16"/>
                <w:szCs w:val="16"/>
              </w:rPr>
              <w:br/>
              <w:t>INDEPENDENCE - No</w:t>
            </w:r>
            <w:r w:rsidRPr="00D0315E">
              <w:rPr>
                <w:rFonts w:ascii="Arial" w:hAnsi="Arial" w:cs="Arial"/>
                <w:color w:val="000000"/>
                <w:sz w:val="16"/>
                <w:szCs w:val="16"/>
              </w:rPr>
              <w:t xml:space="preserve"> interference and perceived independence by key stakeholders</w:t>
            </w:r>
          </w:p>
        </w:tc>
        <w:tc>
          <w:tcPr>
            <w:tcW w:w="2340" w:type="dxa"/>
            <w:tcBorders>
              <w:top w:val="single" w:sz="8" w:space="0" w:color="auto"/>
              <w:left w:val="nil"/>
              <w:bottom w:val="nil"/>
              <w:right w:val="nil"/>
            </w:tcBorders>
            <w:shd w:val="clear" w:color="000000" w:fill="FFFFFF"/>
            <w:hideMark/>
          </w:tcPr>
          <w:p w14:paraId="478A133D" w14:textId="77777777" w:rsidR="008D3EC2" w:rsidRPr="00D0315E" w:rsidRDefault="008D3EC2" w:rsidP="008D4CE9">
            <w:pPr>
              <w:ind w:left="15"/>
              <w:rPr>
                <w:rFonts w:ascii="Arial" w:hAnsi="Arial" w:cs="Arial"/>
                <w:color w:val="000000"/>
                <w:sz w:val="16"/>
                <w:szCs w:val="16"/>
              </w:rPr>
            </w:pPr>
            <w:r>
              <w:rPr>
                <w:rFonts w:ascii="Arial" w:hAnsi="Arial" w:cs="Arial"/>
                <w:color w:val="000000"/>
                <w:sz w:val="16"/>
                <w:szCs w:val="16"/>
              </w:rPr>
              <w:br/>
              <w:t>No</w:t>
            </w:r>
            <w:r w:rsidRPr="00D0315E">
              <w:rPr>
                <w:rFonts w:ascii="Arial" w:hAnsi="Arial" w:cs="Arial"/>
                <w:color w:val="000000"/>
                <w:sz w:val="16"/>
                <w:szCs w:val="16"/>
              </w:rPr>
              <w:t xml:space="preserve"> interference in IOD's work</w:t>
            </w:r>
          </w:p>
        </w:tc>
        <w:tc>
          <w:tcPr>
            <w:tcW w:w="2109" w:type="dxa"/>
            <w:tcBorders>
              <w:top w:val="single" w:sz="8" w:space="0" w:color="auto"/>
              <w:left w:val="nil"/>
              <w:bottom w:val="nil"/>
              <w:right w:val="single" w:sz="4" w:space="0" w:color="auto"/>
            </w:tcBorders>
            <w:shd w:val="clear" w:color="000000" w:fill="FFFFFF"/>
            <w:hideMark/>
          </w:tcPr>
          <w:p w14:paraId="1710F530" w14:textId="77777777" w:rsidR="008D3EC2" w:rsidRPr="00D0315E" w:rsidRDefault="008D3EC2" w:rsidP="008D4CE9">
            <w:pPr>
              <w:ind w:left="15"/>
              <w:rPr>
                <w:rFonts w:ascii="Arial" w:hAnsi="Arial" w:cs="Arial"/>
                <w:color w:val="000000"/>
                <w:sz w:val="16"/>
                <w:szCs w:val="16"/>
              </w:rPr>
            </w:pPr>
            <w:r>
              <w:rPr>
                <w:rFonts w:ascii="Arial" w:hAnsi="Arial" w:cs="Arial"/>
                <w:color w:val="000000"/>
                <w:sz w:val="16"/>
                <w:szCs w:val="16"/>
              </w:rPr>
              <w:br/>
              <w:t>No</w:t>
            </w:r>
            <w:r w:rsidRPr="00D0315E">
              <w:rPr>
                <w:rFonts w:ascii="Arial" w:hAnsi="Arial" w:cs="Arial"/>
                <w:color w:val="000000"/>
                <w:sz w:val="16"/>
                <w:szCs w:val="16"/>
              </w:rPr>
              <w:t xml:space="preserve"> interference in IOD's work</w:t>
            </w:r>
          </w:p>
        </w:tc>
      </w:tr>
      <w:tr w:rsidR="008D3EC2" w:rsidRPr="00D0315E" w14:paraId="0250CFBF" w14:textId="77777777" w:rsidTr="008D4CE9">
        <w:trPr>
          <w:trHeight w:val="2742"/>
        </w:trPr>
        <w:tc>
          <w:tcPr>
            <w:tcW w:w="2160" w:type="dxa"/>
            <w:vMerge/>
            <w:tcBorders>
              <w:top w:val="nil"/>
              <w:left w:val="single" w:sz="4" w:space="0" w:color="auto"/>
              <w:bottom w:val="single" w:sz="4" w:space="0" w:color="000000"/>
              <w:right w:val="nil"/>
            </w:tcBorders>
            <w:vAlign w:val="center"/>
            <w:hideMark/>
          </w:tcPr>
          <w:p w14:paraId="5192B242" w14:textId="77777777" w:rsidR="008D3EC2" w:rsidRPr="00D0315E" w:rsidRDefault="008D3EC2" w:rsidP="008D3EC2">
            <w:pPr>
              <w:rPr>
                <w:rFonts w:ascii="Arial" w:hAnsi="Arial" w:cs="Arial"/>
                <w:color w:val="000000"/>
                <w:sz w:val="16"/>
                <w:szCs w:val="16"/>
              </w:rPr>
            </w:pPr>
          </w:p>
        </w:tc>
        <w:tc>
          <w:tcPr>
            <w:tcW w:w="2620" w:type="dxa"/>
            <w:tcBorders>
              <w:top w:val="nil"/>
              <w:left w:val="nil"/>
              <w:bottom w:val="nil"/>
              <w:right w:val="nil"/>
            </w:tcBorders>
            <w:shd w:val="clear" w:color="000000" w:fill="FFFFFF"/>
            <w:hideMark/>
          </w:tcPr>
          <w:p w14:paraId="03CD6067" w14:textId="77777777" w:rsidR="008D3EC2" w:rsidRDefault="008D3EC2" w:rsidP="008D4CE9">
            <w:pPr>
              <w:ind w:left="15"/>
              <w:rPr>
                <w:rFonts w:ascii="Arial" w:hAnsi="Arial" w:cs="Arial"/>
                <w:color w:val="000000"/>
                <w:sz w:val="16"/>
                <w:szCs w:val="16"/>
              </w:rPr>
            </w:pPr>
            <w:r w:rsidRPr="00D0315E">
              <w:rPr>
                <w:rFonts w:ascii="Arial" w:hAnsi="Arial" w:cs="Arial"/>
                <w:color w:val="000000"/>
                <w:sz w:val="16"/>
                <w:szCs w:val="16"/>
              </w:rPr>
              <w:t xml:space="preserve">EFFECTIVENESS </w:t>
            </w:r>
            <w:r>
              <w:rPr>
                <w:rFonts w:ascii="Arial" w:hAnsi="Arial" w:cs="Arial"/>
                <w:color w:val="000000"/>
                <w:sz w:val="16"/>
                <w:szCs w:val="16"/>
              </w:rPr>
              <w:t xml:space="preserve"> - </w:t>
            </w:r>
            <w:r w:rsidRPr="00D0315E">
              <w:rPr>
                <w:rFonts w:ascii="Arial" w:hAnsi="Arial" w:cs="Arial"/>
                <w:color w:val="000000"/>
                <w:sz w:val="16"/>
                <w:szCs w:val="16"/>
              </w:rPr>
              <w:t>% of work that covers high risk, relevant areas aligned with the Organization's Strategy</w:t>
            </w:r>
          </w:p>
          <w:p w14:paraId="5E2C3602" w14:textId="7A50D664" w:rsidR="008D3EC2" w:rsidRDefault="008D3EC2" w:rsidP="008D3EC2">
            <w:pPr>
              <w:ind w:left="299"/>
              <w:rPr>
                <w:rFonts w:ascii="Arial" w:hAnsi="Arial" w:cs="Arial"/>
                <w:color w:val="000000"/>
                <w:sz w:val="16"/>
                <w:szCs w:val="16"/>
              </w:rPr>
            </w:pPr>
            <w:r w:rsidRPr="00D0315E">
              <w:rPr>
                <w:rFonts w:ascii="Arial" w:hAnsi="Arial" w:cs="Arial"/>
                <w:color w:val="000000"/>
                <w:sz w:val="16"/>
                <w:szCs w:val="16"/>
              </w:rPr>
              <w:br/>
            </w:r>
          </w:p>
          <w:p w14:paraId="6120CFF4" w14:textId="77777777"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EFFICIENCY - IOD's reports are issued timely with SMART recommendations</w:t>
            </w:r>
          </w:p>
        </w:tc>
        <w:tc>
          <w:tcPr>
            <w:tcW w:w="2340" w:type="dxa"/>
            <w:tcBorders>
              <w:top w:val="nil"/>
              <w:left w:val="nil"/>
              <w:bottom w:val="nil"/>
              <w:right w:val="nil"/>
            </w:tcBorders>
            <w:shd w:val="clear" w:color="000000" w:fill="FFFFFF"/>
            <w:hideMark/>
          </w:tcPr>
          <w:p w14:paraId="42D6ACB1" w14:textId="77777777" w:rsidR="008D3EC2" w:rsidRDefault="008D3EC2" w:rsidP="008D4CE9">
            <w:pPr>
              <w:ind w:left="15"/>
              <w:rPr>
                <w:rFonts w:ascii="Arial" w:hAnsi="Arial" w:cs="Arial"/>
                <w:color w:val="000000"/>
                <w:sz w:val="16"/>
                <w:szCs w:val="16"/>
              </w:rPr>
            </w:pPr>
            <w:r>
              <w:rPr>
                <w:rFonts w:ascii="Arial" w:hAnsi="Arial" w:cs="Arial"/>
                <w:color w:val="000000"/>
                <w:sz w:val="16"/>
                <w:szCs w:val="16"/>
              </w:rPr>
              <w:t xml:space="preserve">100% high risk/ high relevance areas </w:t>
            </w:r>
          </w:p>
          <w:p w14:paraId="40ABCF1A" w14:textId="77777777" w:rsidR="008D3EC2" w:rsidRDefault="008D3EC2" w:rsidP="008D3EC2">
            <w:pPr>
              <w:ind w:left="230"/>
              <w:rPr>
                <w:rFonts w:ascii="Arial" w:hAnsi="Arial" w:cs="Arial"/>
                <w:color w:val="000000"/>
                <w:sz w:val="16"/>
                <w:szCs w:val="16"/>
              </w:rPr>
            </w:pPr>
          </w:p>
          <w:p w14:paraId="1A34F941" w14:textId="77777777" w:rsidR="008D3EC2" w:rsidRDefault="008D3EC2" w:rsidP="008D3EC2">
            <w:pPr>
              <w:ind w:left="230"/>
              <w:rPr>
                <w:rFonts w:ascii="Arial" w:hAnsi="Arial" w:cs="Arial"/>
                <w:color w:val="000000"/>
                <w:sz w:val="16"/>
                <w:szCs w:val="16"/>
              </w:rPr>
            </w:pPr>
          </w:p>
          <w:p w14:paraId="41522506" w14:textId="0A3DB3B7" w:rsidR="008D3EC2" w:rsidRDefault="008D3EC2" w:rsidP="008D3EC2">
            <w:pPr>
              <w:ind w:left="230"/>
              <w:rPr>
                <w:rFonts w:ascii="Arial" w:hAnsi="Arial" w:cs="Arial"/>
                <w:color w:val="000000"/>
                <w:sz w:val="16"/>
                <w:szCs w:val="16"/>
              </w:rPr>
            </w:pPr>
            <w:r w:rsidRPr="00D0315E">
              <w:rPr>
                <w:rFonts w:ascii="Arial" w:hAnsi="Arial" w:cs="Arial"/>
                <w:color w:val="000000"/>
                <w:sz w:val="16"/>
                <w:szCs w:val="16"/>
              </w:rPr>
              <w:br/>
            </w:r>
          </w:p>
          <w:p w14:paraId="076321E3" w14:textId="77777777"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75% of audit and evaluation reports issued in less than 4 months;</w:t>
            </w:r>
            <w:r w:rsidRPr="00D0315E">
              <w:rPr>
                <w:rFonts w:ascii="Arial" w:hAnsi="Arial" w:cs="Arial"/>
                <w:color w:val="000000"/>
                <w:sz w:val="16"/>
                <w:szCs w:val="16"/>
              </w:rPr>
              <w:br/>
              <w:t>All investigation activities reports issued in accordance with Investigation Policy;</w:t>
            </w:r>
            <w:r w:rsidRPr="00D0315E">
              <w:rPr>
                <w:rFonts w:ascii="Arial" w:hAnsi="Arial" w:cs="Arial"/>
                <w:color w:val="000000"/>
                <w:sz w:val="16"/>
                <w:szCs w:val="16"/>
              </w:rPr>
              <w:br/>
              <w:t>75 % of recommendations are SMART</w:t>
            </w:r>
          </w:p>
        </w:tc>
        <w:tc>
          <w:tcPr>
            <w:tcW w:w="2109" w:type="dxa"/>
            <w:tcBorders>
              <w:top w:val="nil"/>
              <w:left w:val="nil"/>
              <w:bottom w:val="nil"/>
              <w:right w:val="single" w:sz="4" w:space="0" w:color="auto"/>
            </w:tcBorders>
            <w:shd w:val="clear" w:color="000000" w:fill="FFFFFF"/>
            <w:hideMark/>
          </w:tcPr>
          <w:p w14:paraId="0117B89E" w14:textId="77777777" w:rsidR="008D3EC2" w:rsidRDefault="008D3EC2" w:rsidP="008D4CE9">
            <w:pPr>
              <w:ind w:left="15"/>
              <w:rPr>
                <w:rFonts w:ascii="Arial" w:hAnsi="Arial" w:cs="Arial"/>
                <w:color w:val="000000"/>
                <w:sz w:val="16"/>
                <w:szCs w:val="16"/>
              </w:rPr>
            </w:pPr>
            <w:r>
              <w:rPr>
                <w:rFonts w:ascii="Arial" w:hAnsi="Arial" w:cs="Arial"/>
                <w:color w:val="000000"/>
                <w:sz w:val="16"/>
                <w:szCs w:val="16"/>
              </w:rPr>
              <w:t xml:space="preserve">100% work in high risk/ high relevance areas </w:t>
            </w:r>
            <w:r w:rsidRPr="00D0315E">
              <w:rPr>
                <w:rFonts w:ascii="Arial" w:hAnsi="Arial" w:cs="Arial"/>
                <w:color w:val="000000"/>
                <w:sz w:val="16"/>
                <w:szCs w:val="16"/>
              </w:rPr>
              <w:t xml:space="preserve"> and in alignment with WIPO's Strategic Goal's</w:t>
            </w:r>
          </w:p>
          <w:p w14:paraId="542C7B4F" w14:textId="77777777" w:rsidR="00C25CF7" w:rsidRDefault="00C25CF7" w:rsidP="008D4CE9">
            <w:pPr>
              <w:ind w:left="15"/>
              <w:rPr>
                <w:rFonts w:ascii="Arial" w:hAnsi="Arial" w:cs="Arial"/>
                <w:color w:val="000000"/>
                <w:sz w:val="16"/>
                <w:szCs w:val="16"/>
              </w:rPr>
            </w:pPr>
          </w:p>
          <w:p w14:paraId="06122CE4" w14:textId="77777777"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br/>
              <w:t>85 % of audit and evaluation reports issued in less than 4 months;</w:t>
            </w:r>
            <w:r w:rsidRPr="00D0315E">
              <w:rPr>
                <w:rFonts w:ascii="Arial" w:hAnsi="Arial" w:cs="Arial"/>
                <w:color w:val="000000"/>
                <w:sz w:val="16"/>
                <w:szCs w:val="16"/>
              </w:rPr>
              <w:br/>
              <w:t>All investigation reports issued by Investigation Policy deadline;</w:t>
            </w:r>
            <w:r w:rsidRPr="00D0315E">
              <w:rPr>
                <w:rFonts w:ascii="Arial" w:hAnsi="Arial" w:cs="Arial"/>
                <w:color w:val="000000"/>
                <w:sz w:val="16"/>
                <w:szCs w:val="16"/>
              </w:rPr>
              <w:br/>
              <w:t>100% of recommendations SMART</w:t>
            </w:r>
          </w:p>
        </w:tc>
      </w:tr>
      <w:tr w:rsidR="008D3EC2" w:rsidRPr="00D0315E" w14:paraId="31F7680A" w14:textId="77777777" w:rsidTr="008D3EC2">
        <w:trPr>
          <w:trHeight w:val="1213"/>
        </w:trPr>
        <w:tc>
          <w:tcPr>
            <w:tcW w:w="2160" w:type="dxa"/>
            <w:vMerge/>
            <w:tcBorders>
              <w:top w:val="nil"/>
              <w:left w:val="single" w:sz="4" w:space="0" w:color="auto"/>
              <w:bottom w:val="single" w:sz="4" w:space="0" w:color="000000"/>
              <w:right w:val="nil"/>
            </w:tcBorders>
            <w:vAlign w:val="center"/>
            <w:hideMark/>
          </w:tcPr>
          <w:p w14:paraId="713E71BE" w14:textId="77777777" w:rsidR="008D3EC2" w:rsidRPr="00D0315E" w:rsidRDefault="008D3EC2" w:rsidP="008D3EC2">
            <w:pPr>
              <w:rPr>
                <w:rFonts w:ascii="Arial" w:hAnsi="Arial" w:cs="Arial"/>
                <w:color w:val="000000"/>
                <w:sz w:val="16"/>
                <w:szCs w:val="16"/>
              </w:rPr>
            </w:pPr>
          </w:p>
        </w:tc>
        <w:tc>
          <w:tcPr>
            <w:tcW w:w="2620" w:type="dxa"/>
            <w:tcBorders>
              <w:top w:val="nil"/>
              <w:left w:val="nil"/>
              <w:bottom w:val="nil"/>
              <w:right w:val="nil"/>
            </w:tcBorders>
            <w:shd w:val="clear" w:color="000000" w:fill="FFFFFF"/>
            <w:hideMark/>
          </w:tcPr>
          <w:p w14:paraId="039E73B0" w14:textId="77777777"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RELEVANCE, ADDED VALUE &amp; STEWARDSHIP- Tangible cost savings or improvements made in business processes and systems</w:t>
            </w:r>
          </w:p>
        </w:tc>
        <w:tc>
          <w:tcPr>
            <w:tcW w:w="2340" w:type="dxa"/>
            <w:tcBorders>
              <w:top w:val="nil"/>
              <w:left w:val="nil"/>
              <w:bottom w:val="nil"/>
              <w:right w:val="nil"/>
            </w:tcBorders>
            <w:shd w:val="clear" w:color="000000" w:fill="FFFFFF"/>
            <w:hideMark/>
          </w:tcPr>
          <w:p w14:paraId="70C8D7B7" w14:textId="77777777" w:rsidR="008D3EC2" w:rsidRPr="00D0315E" w:rsidRDefault="008D3EC2" w:rsidP="008D4CE9">
            <w:pPr>
              <w:ind w:left="15"/>
              <w:rPr>
                <w:rFonts w:ascii="Arial" w:hAnsi="Arial" w:cs="Arial"/>
                <w:color w:val="000000"/>
                <w:sz w:val="16"/>
                <w:szCs w:val="16"/>
              </w:rPr>
            </w:pPr>
            <w:r>
              <w:rPr>
                <w:rFonts w:ascii="Arial" w:hAnsi="Arial" w:cs="Arial"/>
                <w:color w:val="000000"/>
                <w:sz w:val="16"/>
                <w:szCs w:val="16"/>
              </w:rPr>
              <w:t>n/a (to be provided end 2015)</w:t>
            </w:r>
          </w:p>
        </w:tc>
        <w:tc>
          <w:tcPr>
            <w:tcW w:w="2109" w:type="dxa"/>
            <w:tcBorders>
              <w:top w:val="nil"/>
              <w:left w:val="nil"/>
              <w:bottom w:val="nil"/>
              <w:right w:val="single" w:sz="4" w:space="0" w:color="auto"/>
            </w:tcBorders>
            <w:shd w:val="clear" w:color="000000" w:fill="FFFFFF"/>
            <w:hideMark/>
          </w:tcPr>
          <w:p w14:paraId="64086AD5" w14:textId="77777777" w:rsidR="008D3EC2" w:rsidRPr="00D0315E" w:rsidRDefault="008D3EC2" w:rsidP="008D4CE9">
            <w:pPr>
              <w:ind w:left="15"/>
              <w:rPr>
                <w:rFonts w:ascii="Arial" w:hAnsi="Arial" w:cs="Arial"/>
                <w:color w:val="000000"/>
                <w:sz w:val="16"/>
                <w:szCs w:val="16"/>
              </w:rPr>
            </w:pPr>
            <w:r>
              <w:rPr>
                <w:rFonts w:ascii="Arial" w:hAnsi="Arial" w:cs="Arial"/>
                <w:color w:val="000000"/>
                <w:sz w:val="16"/>
                <w:szCs w:val="16"/>
              </w:rPr>
              <w:t>50</w:t>
            </w:r>
            <w:r w:rsidRPr="00D0315E">
              <w:rPr>
                <w:rFonts w:ascii="Arial" w:hAnsi="Arial" w:cs="Arial"/>
                <w:color w:val="000000"/>
                <w:sz w:val="16"/>
                <w:szCs w:val="16"/>
              </w:rPr>
              <w:t>% of recommendations lead to efficiency gains</w:t>
            </w:r>
          </w:p>
        </w:tc>
      </w:tr>
      <w:tr w:rsidR="008D3EC2" w:rsidRPr="00D0315E" w14:paraId="24E2E6C3" w14:textId="77777777" w:rsidTr="008D4CE9">
        <w:trPr>
          <w:trHeight w:val="1041"/>
        </w:trPr>
        <w:tc>
          <w:tcPr>
            <w:tcW w:w="2160" w:type="dxa"/>
            <w:vMerge/>
            <w:tcBorders>
              <w:top w:val="nil"/>
              <w:left w:val="single" w:sz="4" w:space="0" w:color="auto"/>
              <w:bottom w:val="single" w:sz="4" w:space="0" w:color="000000"/>
              <w:right w:val="nil"/>
            </w:tcBorders>
            <w:vAlign w:val="center"/>
            <w:hideMark/>
          </w:tcPr>
          <w:p w14:paraId="7B5F085E" w14:textId="77777777" w:rsidR="008D3EC2" w:rsidRPr="00D0315E" w:rsidRDefault="008D3EC2" w:rsidP="008D3EC2">
            <w:pPr>
              <w:rPr>
                <w:rFonts w:ascii="Arial" w:hAnsi="Arial" w:cs="Arial"/>
                <w:color w:val="000000"/>
                <w:sz w:val="16"/>
                <w:szCs w:val="16"/>
              </w:rPr>
            </w:pPr>
          </w:p>
        </w:tc>
        <w:tc>
          <w:tcPr>
            <w:tcW w:w="2620" w:type="dxa"/>
            <w:tcBorders>
              <w:top w:val="nil"/>
              <w:left w:val="nil"/>
              <w:bottom w:val="single" w:sz="4" w:space="0" w:color="auto"/>
              <w:right w:val="nil"/>
            </w:tcBorders>
            <w:shd w:val="clear" w:color="000000" w:fill="FFFFFF"/>
            <w:hideMark/>
          </w:tcPr>
          <w:p w14:paraId="07D0FBF5" w14:textId="77777777"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ORGANIZATIONAL LEARNING-Uptake of Lessons and Recommendations from Oversight Processes</w:t>
            </w:r>
          </w:p>
        </w:tc>
        <w:tc>
          <w:tcPr>
            <w:tcW w:w="2340" w:type="dxa"/>
            <w:tcBorders>
              <w:top w:val="nil"/>
              <w:left w:val="nil"/>
              <w:bottom w:val="single" w:sz="4" w:space="0" w:color="auto"/>
              <w:right w:val="nil"/>
            </w:tcBorders>
            <w:shd w:val="clear" w:color="000000" w:fill="FFFFFF"/>
            <w:hideMark/>
          </w:tcPr>
          <w:p w14:paraId="775E9894" w14:textId="7C2430D8"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90% of recommendations accepted</w:t>
            </w:r>
            <w:r>
              <w:rPr>
                <w:rFonts w:ascii="Arial" w:hAnsi="Arial" w:cs="Arial"/>
                <w:color w:val="000000"/>
                <w:sz w:val="16"/>
                <w:szCs w:val="16"/>
              </w:rPr>
              <w:t xml:space="preserve">; </w:t>
            </w:r>
            <w:r w:rsidRPr="00D0315E">
              <w:rPr>
                <w:rFonts w:ascii="Arial" w:hAnsi="Arial" w:cs="Arial"/>
                <w:color w:val="000000"/>
                <w:sz w:val="16"/>
                <w:szCs w:val="16"/>
              </w:rPr>
              <w:t xml:space="preserve">90% of recommendations implemented in two </w:t>
            </w:r>
            <w:r w:rsidR="004D3E01" w:rsidRPr="00D0315E">
              <w:rPr>
                <w:rFonts w:ascii="Arial" w:hAnsi="Arial" w:cs="Arial"/>
                <w:color w:val="000000"/>
                <w:sz w:val="16"/>
                <w:szCs w:val="16"/>
              </w:rPr>
              <w:t>years’ time</w:t>
            </w:r>
            <w:r w:rsidRPr="00D0315E">
              <w:rPr>
                <w:rFonts w:ascii="Arial" w:hAnsi="Arial" w:cs="Arial"/>
                <w:color w:val="000000"/>
                <w:sz w:val="16"/>
                <w:szCs w:val="16"/>
              </w:rPr>
              <w:br/>
            </w:r>
          </w:p>
        </w:tc>
        <w:tc>
          <w:tcPr>
            <w:tcW w:w="2109" w:type="dxa"/>
            <w:tcBorders>
              <w:top w:val="nil"/>
              <w:left w:val="nil"/>
              <w:bottom w:val="single" w:sz="4" w:space="0" w:color="auto"/>
              <w:right w:val="single" w:sz="4" w:space="0" w:color="auto"/>
            </w:tcBorders>
            <w:shd w:val="clear" w:color="000000" w:fill="FFFFFF"/>
            <w:hideMark/>
          </w:tcPr>
          <w:p w14:paraId="031056E9" w14:textId="1372C59C" w:rsidR="008D3EC2" w:rsidRPr="00D0315E" w:rsidRDefault="008D3EC2" w:rsidP="008D4CE9">
            <w:pPr>
              <w:ind w:left="15"/>
              <w:rPr>
                <w:rFonts w:ascii="Arial" w:hAnsi="Arial" w:cs="Arial"/>
                <w:color w:val="000000"/>
                <w:sz w:val="16"/>
                <w:szCs w:val="16"/>
              </w:rPr>
            </w:pPr>
            <w:r w:rsidRPr="00D0315E">
              <w:rPr>
                <w:rFonts w:ascii="Arial" w:hAnsi="Arial" w:cs="Arial"/>
                <w:color w:val="000000"/>
                <w:sz w:val="16"/>
                <w:szCs w:val="16"/>
              </w:rPr>
              <w:t>90% of recommendations accepted</w:t>
            </w:r>
            <w:r>
              <w:rPr>
                <w:rFonts w:ascii="Arial" w:hAnsi="Arial" w:cs="Arial"/>
                <w:color w:val="000000"/>
                <w:sz w:val="16"/>
                <w:szCs w:val="16"/>
              </w:rPr>
              <w:t xml:space="preserve">; </w:t>
            </w:r>
            <w:r w:rsidRPr="00D0315E">
              <w:rPr>
                <w:rFonts w:ascii="Arial" w:hAnsi="Arial" w:cs="Arial"/>
                <w:color w:val="000000"/>
                <w:sz w:val="16"/>
                <w:szCs w:val="16"/>
              </w:rPr>
              <w:t xml:space="preserve">90% of recommendations implemented in two </w:t>
            </w:r>
            <w:r w:rsidR="004D3E01" w:rsidRPr="00D0315E">
              <w:rPr>
                <w:rFonts w:ascii="Arial" w:hAnsi="Arial" w:cs="Arial"/>
                <w:color w:val="000000"/>
                <w:sz w:val="16"/>
                <w:szCs w:val="16"/>
              </w:rPr>
              <w:t>years’ time</w:t>
            </w:r>
            <w:r w:rsidRPr="00D0315E">
              <w:rPr>
                <w:rFonts w:ascii="Arial" w:hAnsi="Arial" w:cs="Arial"/>
                <w:color w:val="000000"/>
                <w:sz w:val="16"/>
                <w:szCs w:val="16"/>
              </w:rPr>
              <w:br/>
            </w:r>
          </w:p>
        </w:tc>
      </w:tr>
    </w:tbl>
    <w:p w14:paraId="2FBB9093" w14:textId="77777777" w:rsidR="008D3EC2" w:rsidRDefault="008D3EC2" w:rsidP="008D3EC2">
      <w:pPr>
        <w:autoSpaceDE w:val="0"/>
        <w:autoSpaceDN w:val="0"/>
        <w:adjustRightInd w:val="0"/>
        <w:jc w:val="both"/>
        <w:rPr>
          <w:rFonts w:ascii="Arial" w:hAnsi="Arial" w:cs="Arial"/>
        </w:rPr>
      </w:pPr>
    </w:p>
    <w:p w14:paraId="49A617B1" w14:textId="77777777" w:rsidR="008D3EC2" w:rsidRDefault="008D3EC2" w:rsidP="008D3EC2">
      <w:pPr>
        <w:autoSpaceDE w:val="0"/>
        <w:autoSpaceDN w:val="0"/>
        <w:adjustRightInd w:val="0"/>
        <w:jc w:val="both"/>
        <w:rPr>
          <w:rFonts w:ascii="Arial" w:hAnsi="Arial" w:cs="Arial"/>
        </w:rPr>
      </w:pPr>
    </w:p>
    <w:p w14:paraId="6B22EFD6" w14:textId="77777777" w:rsidR="008D3EC2" w:rsidRDefault="008D3EC2" w:rsidP="008D4CE9">
      <w:pPr>
        <w:rPr>
          <w:rFonts w:ascii="Arial" w:hAnsi="Arial" w:cs="Arial"/>
        </w:rPr>
      </w:pPr>
      <w:r>
        <w:rPr>
          <w:rFonts w:ascii="Arial" w:hAnsi="Arial" w:cs="Arial"/>
        </w:rPr>
        <w:t>RESOURCES FOR PROGRAM 26</w:t>
      </w:r>
    </w:p>
    <w:p w14:paraId="3657CCAB" w14:textId="77777777" w:rsidR="008D3EC2" w:rsidRDefault="008D3EC2" w:rsidP="00B66A4A">
      <w:pPr>
        <w:pStyle w:val="ListParagraph"/>
        <w:numPr>
          <w:ilvl w:val="0"/>
          <w:numId w:val="28"/>
        </w:numPr>
        <w:tabs>
          <w:tab w:val="left" w:pos="709"/>
        </w:tabs>
        <w:autoSpaceDE w:val="0"/>
        <w:autoSpaceDN w:val="0"/>
        <w:adjustRightInd w:val="0"/>
        <w:spacing w:before="120" w:after="120"/>
        <w:ind w:left="0" w:firstLine="0"/>
        <w:jc w:val="both"/>
        <w:rPr>
          <w:rFonts w:ascii="Arial" w:hAnsi="Arial" w:cs="Arial"/>
          <w:sz w:val="20"/>
        </w:rPr>
      </w:pPr>
      <w:r>
        <w:rPr>
          <w:rFonts w:ascii="Arial" w:hAnsi="Arial" w:cs="Arial"/>
          <w:sz w:val="20"/>
        </w:rPr>
        <w:t>The overall resources for Program 26 in the 2016/17 biennium shows a slight increase compared to the 2014/15 Budget after Transfers. This is due to the change in the costing methodology for personnel resources in 2016/17 based on actuals based costing.</w:t>
      </w:r>
    </w:p>
    <w:p w14:paraId="5E50D42D" w14:textId="77777777" w:rsidR="008D3EC2" w:rsidRDefault="008D3EC2" w:rsidP="009E3929">
      <w:pPr>
        <w:autoSpaceDE w:val="0"/>
        <w:autoSpaceDN w:val="0"/>
        <w:adjustRightInd w:val="0"/>
        <w:jc w:val="both"/>
        <w:rPr>
          <w:rFonts w:ascii="Arial" w:hAnsi="Arial" w:cs="Arial"/>
          <w:sz w:val="20"/>
        </w:rPr>
      </w:pPr>
    </w:p>
    <w:p w14:paraId="434A013B" w14:textId="77777777" w:rsidR="00C25CF7" w:rsidRPr="0086564F" w:rsidRDefault="00C25CF7" w:rsidP="009E3929">
      <w:pPr>
        <w:autoSpaceDE w:val="0"/>
        <w:autoSpaceDN w:val="0"/>
        <w:adjustRightInd w:val="0"/>
        <w:jc w:val="both"/>
        <w:rPr>
          <w:rFonts w:ascii="Arial" w:hAnsi="Arial" w:cs="Arial"/>
          <w:sz w:val="20"/>
        </w:rPr>
      </w:pPr>
    </w:p>
    <w:p w14:paraId="5DE8AC85" w14:textId="77777777" w:rsidR="008D3EC2" w:rsidRDefault="008D3EC2" w:rsidP="008D4CE9">
      <w:pPr>
        <w:keepNext/>
        <w:keepLines/>
        <w:tabs>
          <w:tab w:val="left" w:pos="1427"/>
        </w:tabs>
        <w:jc w:val="center"/>
        <w:rPr>
          <w:rFonts w:ascii="Arial" w:hAnsi="Arial" w:cs="Arial"/>
          <w:sz w:val="20"/>
        </w:rPr>
      </w:pPr>
      <w:r>
        <w:rPr>
          <w:rFonts w:ascii="Arial" w:hAnsi="Arial" w:cs="Arial"/>
          <w:b/>
          <w:sz w:val="20"/>
          <w:szCs w:val="24"/>
        </w:rPr>
        <w:lastRenderedPageBreak/>
        <w:t>Program 26:  Resources by Result</w:t>
      </w:r>
    </w:p>
    <w:p w14:paraId="422F52EB" w14:textId="77777777" w:rsidR="008D3EC2" w:rsidRDefault="008D3EC2" w:rsidP="008D4CE9">
      <w:pPr>
        <w:keepNext/>
        <w:keepLines/>
        <w:tabs>
          <w:tab w:val="left" w:pos="1427"/>
        </w:tabs>
        <w:jc w:val="center"/>
        <w:rPr>
          <w:rFonts w:ascii="Arial" w:hAnsi="Arial" w:cs="Arial"/>
          <w:i/>
          <w:sz w:val="20"/>
          <w:szCs w:val="24"/>
        </w:rPr>
      </w:pPr>
      <w:r>
        <w:rPr>
          <w:rFonts w:ascii="Arial" w:hAnsi="Arial" w:cs="Arial"/>
          <w:i/>
          <w:sz w:val="20"/>
          <w:szCs w:val="24"/>
        </w:rPr>
        <w:t>(In thousands of Swiss francs)</w:t>
      </w:r>
    </w:p>
    <w:p w14:paraId="2C8CCABA" w14:textId="77777777" w:rsidR="008D3EC2" w:rsidRDefault="008D3EC2" w:rsidP="008D4CE9">
      <w:pPr>
        <w:keepNext/>
        <w:keepLines/>
        <w:tabs>
          <w:tab w:val="left" w:pos="1427"/>
        </w:tabs>
        <w:jc w:val="center"/>
        <w:rPr>
          <w:rFonts w:ascii="Arial" w:hAnsi="Arial" w:cs="Arial"/>
          <w:i/>
          <w:sz w:val="20"/>
          <w:szCs w:val="24"/>
        </w:rPr>
      </w:pPr>
    </w:p>
    <w:p w14:paraId="304A14BE" w14:textId="77777777" w:rsidR="008D3EC2" w:rsidRDefault="008D3EC2" w:rsidP="008D4CE9">
      <w:pPr>
        <w:keepNext/>
        <w:keepLines/>
        <w:tabs>
          <w:tab w:val="left" w:pos="1427"/>
        </w:tabs>
        <w:jc w:val="center"/>
        <w:rPr>
          <w:rFonts w:ascii="Arial" w:hAnsi="Arial" w:cs="Arial"/>
          <w:i/>
          <w:sz w:val="20"/>
          <w:szCs w:val="24"/>
        </w:rPr>
      </w:pPr>
      <w:r w:rsidRPr="00E26651">
        <w:rPr>
          <w:noProof/>
          <w:lang w:eastAsia="en-US"/>
        </w:rPr>
        <w:drawing>
          <wp:inline distT="0" distB="0" distL="0" distR="0" wp14:anchorId="747D7F49" wp14:editId="0FA27ACB">
            <wp:extent cx="5088835" cy="1084441"/>
            <wp:effectExtent l="0" t="0" r="0" b="190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122001" cy="1091509"/>
                    </a:xfrm>
                    <a:prstGeom prst="rect">
                      <a:avLst/>
                    </a:prstGeom>
                    <a:noFill/>
                    <a:ln>
                      <a:noFill/>
                    </a:ln>
                  </pic:spPr>
                </pic:pic>
              </a:graphicData>
            </a:graphic>
          </wp:inline>
        </w:drawing>
      </w:r>
    </w:p>
    <w:p w14:paraId="201CC70C" w14:textId="77777777" w:rsidR="008D3EC2" w:rsidRDefault="008D3EC2" w:rsidP="008D4CE9">
      <w:pPr>
        <w:keepNext/>
        <w:keepLines/>
        <w:tabs>
          <w:tab w:val="left" w:pos="1427"/>
        </w:tabs>
        <w:jc w:val="center"/>
        <w:rPr>
          <w:rFonts w:ascii="Arial" w:hAnsi="Arial" w:cs="Arial"/>
          <w:i/>
          <w:sz w:val="20"/>
          <w:szCs w:val="24"/>
        </w:rPr>
      </w:pPr>
    </w:p>
    <w:p w14:paraId="16574381" w14:textId="77777777" w:rsidR="00C25CF7" w:rsidRDefault="00C25CF7" w:rsidP="008D4CE9">
      <w:pPr>
        <w:keepNext/>
        <w:keepLines/>
        <w:tabs>
          <w:tab w:val="left" w:pos="1427"/>
        </w:tabs>
        <w:jc w:val="center"/>
        <w:rPr>
          <w:rFonts w:ascii="Arial" w:hAnsi="Arial" w:cs="Arial"/>
          <w:i/>
          <w:sz w:val="20"/>
          <w:szCs w:val="24"/>
        </w:rPr>
      </w:pPr>
    </w:p>
    <w:p w14:paraId="0B0CEA9C" w14:textId="77777777" w:rsidR="008D3EC2" w:rsidRDefault="008D3EC2" w:rsidP="008D3EC2">
      <w:pPr>
        <w:keepNext/>
        <w:keepLines/>
        <w:tabs>
          <w:tab w:val="left" w:pos="1427"/>
        </w:tabs>
        <w:jc w:val="center"/>
        <w:rPr>
          <w:rFonts w:ascii="Arial" w:hAnsi="Arial" w:cs="Arial"/>
          <w:sz w:val="20"/>
        </w:rPr>
      </w:pPr>
      <w:r>
        <w:rPr>
          <w:rFonts w:ascii="Arial" w:hAnsi="Arial" w:cs="Arial"/>
          <w:b/>
          <w:sz w:val="20"/>
          <w:szCs w:val="24"/>
        </w:rPr>
        <w:t>Program 26:  Resources by Object of Expenditure</w:t>
      </w:r>
    </w:p>
    <w:p w14:paraId="09910E95" w14:textId="77777777" w:rsidR="008D3EC2" w:rsidRDefault="008D3EC2" w:rsidP="008D3EC2">
      <w:pPr>
        <w:keepNext/>
        <w:keepLines/>
        <w:tabs>
          <w:tab w:val="left" w:pos="1427"/>
        </w:tabs>
        <w:jc w:val="center"/>
        <w:rPr>
          <w:rFonts w:ascii="Arial" w:hAnsi="Arial" w:cs="Arial"/>
          <w:i/>
          <w:sz w:val="20"/>
          <w:szCs w:val="24"/>
        </w:rPr>
      </w:pPr>
      <w:r>
        <w:rPr>
          <w:rFonts w:ascii="Arial" w:hAnsi="Arial" w:cs="Arial"/>
          <w:i/>
          <w:sz w:val="20"/>
          <w:szCs w:val="24"/>
        </w:rPr>
        <w:t>(In thousands of Swiss francs)</w:t>
      </w:r>
    </w:p>
    <w:p w14:paraId="1CE92E8A" w14:textId="77777777" w:rsidR="008D3EC2" w:rsidRDefault="008D3EC2" w:rsidP="008D3EC2">
      <w:pPr>
        <w:keepNext/>
        <w:keepLines/>
        <w:tabs>
          <w:tab w:val="left" w:pos="1427"/>
        </w:tabs>
        <w:jc w:val="center"/>
        <w:rPr>
          <w:rFonts w:ascii="Arial" w:hAnsi="Arial" w:cs="Arial"/>
          <w:i/>
          <w:sz w:val="20"/>
          <w:szCs w:val="24"/>
        </w:rPr>
      </w:pPr>
    </w:p>
    <w:p w14:paraId="38AB37C1" w14:textId="77777777" w:rsidR="008D3EC2" w:rsidRDefault="008D3EC2" w:rsidP="008D3EC2">
      <w:pPr>
        <w:keepNext/>
        <w:keepLines/>
        <w:tabs>
          <w:tab w:val="left" w:pos="1427"/>
        </w:tabs>
        <w:jc w:val="center"/>
        <w:rPr>
          <w:rFonts w:ascii="Arial" w:hAnsi="Arial" w:cs="Arial"/>
        </w:rPr>
      </w:pPr>
      <w:r w:rsidRPr="00E26651">
        <w:rPr>
          <w:noProof/>
          <w:lang w:eastAsia="en-US"/>
        </w:rPr>
        <w:drawing>
          <wp:inline distT="0" distB="0" distL="0" distR="0" wp14:anchorId="5F870936" wp14:editId="114D5B6A">
            <wp:extent cx="5027899" cy="5657976"/>
            <wp:effectExtent l="0" t="0" r="190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33350" cy="5664110"/>
                    </a:xfrm>
                    <a:prstGeom prst="rect">
                      <a:avLst/>
                    </a:prstGeom>
                    <a:noFill/>
                    <a:ln>
                      <a:noFill/>
                    </a:ln>
                  </pic:spPr>
                </pic:pic>
              </a:graphicData>
            </a:graphic>
          </wp:inline>
        </w:drawing>
      </w:r>
    </w:p>
    <w:p w14:paraId="30D3E6D9" w14:textId="64FC51DC" w:rsidR="00DE3C84" w:rsidRDefault="00DE3C84">
      <w:pPr>
        <w:rPr>
          <w:rFonts w:ascii="Arial" w:hAnsi="Arial" w:cs="Arial"/>
          <w:sz w:val="20"/>
        </w:rPr>
      </w:pPr>
      <w:r>
        <w:rPr>
          <w:rFonts w:ascii="Arial" w:hAnsi="Arial" w:cs="Arial"/>
          <w:sz w:val="20"/>
        </w:rPr>
        <w:br w:type="page"/>
      </w:r>
    </w:p>
    <w:p w14:paraId="1E85A4E1" w14:textId="77777777" w:rsidR="00DE3C84" w:rsidRPr="00DE3C84" w:rsidRDefault="00DE3C84" w:rsidP="00DE3C84">
      <w:pPr>
        <w:pStyle w:val="StyleStyleHeading3ComplexItalicLatin12pt"/>
      </w:pPr>
      <w:bookmarkStart w:id="77" w:name="_Toc427154431"/>
      <w:r w:rsidRPr="00DE3C84">
        <w:lastRenderedPageBreak/>
        <w:t>PROGRAM 27</w:t>
      </w:r>
      <w:r w:rsidRPr="00DE3C84">
        <w:tab/>
        <w:t>CONFERENCE AND LANGUAGE SERVICES</w:t>
      </w:r>
      <w:bookmarkEnd w:id="77"/>
    </w:p>
    <w:p w14:paraId="08131612" w14:textId="77777777" w:rsidR="00DE3C84" w:rsidRPr="00197045" w:rsidRDefault="00DE3C84" w:rsidP="00A42BFB">
      <w:pPr>
        <w:rPr>
          <w:rFonts w:ascii="Arial" w:hAnsi="Arial" w:cs="Arial"/>
          <w:b/>
          <w:sz w:val="20"/>
          <w:szCs w:val="24"/>
        </w:rPr>
      </w:pPr>
    </w:p>
    <w:p w14:paraId="5F426B35" w14:textId="77777777" w:rsidR="00DE3C84" w:rsidRPr="00197045" w:rsidRDefault="00DE3C84" w:rsidP="00A42BFB">
      <w:pPr>
        <w:rPr>
          <w:rFonts w:ascii="Arial" w:hAnsi="Arial" w:cs="Arial"/>
          <w:b/>
          <w:sz w:val="20"/>
          <w:szCs w:val="24"/>
        </w:rPr>
      </w:pPr>
    </w:p>
    <w:p w14:paraId="1217B2B6" w14:textId="77777777" w:rsidR="00DE3C84" w:rsidRPr="00DE3C84" w:rsidRDefault="00DE3C84" w:rsidP="00A42BFB">
      <w:pPr>
        <w:rPr>
          <w:rFonts w:ascii="Arial" w:hAnsi="Arial" w:cs="Arial"/>
          <w:bCs/>
        </w:rPr>
      </w:pPr>
      <w:r w:rsidRPr="00DE3C84">
        <w:rPr>
          <w:rFonts w:ascii="Arial" w:hAnsi="Arial" w:cs="Arial"/>
          <w:bCs/>
        </w:rPr>
        <w:t>PLANNING CONTEXT</w:t>
      </w:r>
    </w:p>
    <w:p w14:paraId="322FBD85" w14:textId="77777777" w:rsidR="00DE3C84" w:rsidRPr="00DE3C84" w:rsidRDefault="00DE3C84" w:rsidP="00A42BFB">
      <w:pPr>
        <w:jc w:val="both"/>
        <w:rPr>
          <w:rFonts w:ascii="Arial" w:hAnsi="Arial" w:cs="Arial"/>
          <w:b/>
        </w:rPr>
      </w:pPr>
    </w:p>
    <w:p w14:paraId="6C866324" w14:textId="77777777"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lang w:bidi="he-IL"/>
        </w:rPr>
      </w:pPr>
      <w:r w:rsidRPr="00DE3C84">
        <w:rPr>
          <w:rFonts w:ascii="Arial" w:hAnsi="Arial" w:cs="Arial"/>
          <w:sz w:val="20"/>
        </w:rPr>
        <w:t xml:space="preserve">The Program facilitates the activities of the Organization by providing efficient and effective </w:t>
      </w:r>
      <w:r w:rsidRPr="00DE3C84">
        <w:rPr>
          <w:rFonts w:ascii="Arial" w:hAnsi="Arial" w:cs="Arial"/>
          <w:sz w:val="20"/>
          <w:lang w:bidi="he-IL"/>
        </w:rPr>
        <w:t xml:space="preserve">conference, translation, interpretation, records management and archives, printing and mail expedition services.  It also deals with the formulation, presentation, adoption and implementation of related policy issues and manages IT projects to streamline and improve the functioning of these areas. </w:t>
      </w:r>
    </w:p>
    <w:p w14:paraId="7A965562" w14:textId="77777777" w:rsidR="00DE3C84" w:rsidRPr="00DE3C84" w:rsidRDefault="00DE3C84" w:rsidP="00A42BFB">
      <w:pPr>
        <w:autoSpaceDE w:val="0"/>
        <w:autoSpaceDN w:val="0"/>
        <w:adjustRightInd w:val="0"/>
        <w:jc w:val="both"/>
        <w:rPr>
          <w:rFonts w:ascii="Arial" w:hAnsi="Arial" w:cs="Arial"/>
          <w:sz w:val="20"/>
          <w:lang w:bidi="he-IL"/>
        </w:rPr>
      </w:pPr>
    </w:p>
    <w:p w14:paraId="745693CC" w14:textId="600215C8"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rPr>
      </w:pPr>
      <w:r w:rsidRPr="00DE3C84">
        <w:rPr>
          <w:rFonts w:ascii="Arial" w:hAnsi="Arial" w:cs="Arial"/>
          <w:sz w:val="20"/>
        </w:rPr>
        <w:t xml:space="preserve">With the adoption of the Language Policy by Member States in 2011, and the extension of the six-language cover to all documentation for WIPO Committees and Main Bodies in the 2012/13 biennium, similar coverage was extended to a few Working Groups in the 2014/15 biennium.  It is expected that the remaining Working Groups will be covered in the 2016/17 biennium.  Within this context, the Secretariat continues to face the twin challenge of managing </w:t>
      </w:r>
      <w:r w:rsidR="00053C3E">
        <w:rPr>
          <w:rFonts w:ascii="Arial" w:hAnsi="Arial" w:cs="Arial"/>
          <w:sz w:val="20"/>
        </w:rPr>
        <w:t xml:space="preserve">translation </w:t>
      </w:r>
      <w:r w:rsidRPr="00DE3C84">
        <w:rPr>
          <w:rFonts w:ascii="Arial" w:hAnsi="Arial" w:cs="Arial"/>
          <w:sz w:val="20"/>
        </w:rPr>
        <w:t>workloads and maintaining quality, within the available resources.  To overcome these challenges, the network of external individual translators and translation companies has been strengthened to ensure the ‘right-sourcing’ of translation work</w:t>
      </w:r>
      <w:r w:rsidR="00053C3E">
        <w:rPr>
          <w:rFonts w:ascii="Arial" w:hAnsi="Arial" w:cs="Arial"/>
          <w:sz w:val="20"/>
        </w:rPr>
        <w:t xml:space="preserve"> and quality at source</w:t>
      </w:r>
      <w:r w:rsidRPr="00DE3C84">
        <w:rPr>
          <w:rFonts w:ascii="Arial" w:hAnsi="Arial" w:cs="Arial"/>
          <w:sz w:val="20"/>
        </w:rPr>
        <w:t xml:space="preserve">.  New management </w:t>
      </w:r>
      <w:r w:rsidR="00053C3E">
        <w:rPr>
          <w:rFonts w:ascii="Arial" w:hAnsi="Arial" w:cs="Arial"/>
          <w:sz w:val="20"/>
        </w:rPr>
        <w:t xml:space="preserve">and technology </w:t>
      </w:r>
      <w:r w:rsidRPr="00DE3C84">
        <w:rPr>
          <w:rFonts w:ascii="Arial" w:hAnsi="Arial" w:cs="Arial"/>
          <w:sz w:val="20"/>
        </w:rPr>
        <w:t xml:space="preserve">tools have also been deployed to improve the translation environment, build terminology databases and ensure quality control. </w:t>
      </w:r>
    </w:p>
    <w:p w14:paraId="3870FB69" w14:textId="77777777" w:rsidR="00DE3C84" w:rsidRPr="00DE3C84" w:rsidRDefault="00DE3C84" w:rsidP="00A42BFB">
      <w:pPr>
        <w:jc w:val="both"/>
        <w:rPr>
          <w:rFonts w:ascii="Arial" w:hAnsi="Arial" w:cs="Arial"/>
          <w:sz w:val="20"/>
        </w:rPr>
      </w:pPr>
    </w:p>
    <w:p w14:paraId="6169C030" w14:textId="4E1720AC"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rPr>
      </w:pPr>
      <w:r w:rsidRPr="00DE3C84">
        <w:rPr>
          <w:rFonts w:ascii="Arial" w:hAnsi="Arial" w:cs="Arial"/>
          <w:sz w:val="20"/>
        </w:rPr>
        <w:t>The introduction of new technologies for conference and interpretation services has helped moderniz</w:t>
      </w:r>
      <w:r w:rsidR="00053C3E">
        <w:rPr>
          <w:rFonts w:ascii="Arial" w:hAnsi="Arial" w:cs="Arial"/>
          <w:sz w:val="20"/>
        </w:rPr>
        <w:t>e</w:t>
      </w:r>
      <w:r w:rsidRPr="00DE3C84">
        <w:rPr>
          <w:rFonts w:ascii="Arial" w:hAnsi="Arial" w:cs="Arial"/>
          <w:sz w:val="20"/>
        </w:rPr>
        <w:t xml:space="preserve"> operations to further facilitate the participation of Member States’ delegations in meetings.  These services continue to face the challenges posed by the </w:t>
      </w:r>
      <w:r w:rsidR="00053C3E">
        <w:rPr>
          <w:rFonts w:ascii="Arial" w:hAnsi="Arial" w:cs="Arial"/>
          <w:sz w:val="20"/>
        </w:rPr>
        <w:t xml:space="preserve">ever </w:t>
      </w:r>
      <w:r w:rsidRPr="00DE3C84">
        <w:rPr>
          <w:rFonts w:ascii="Arial" w:hAnsi="Arial" w:cs="Arial"/>
          <w:sz w:val="20"/>
        </w:rPr>
        <w:t xml:space="preserve">increasing number and extended hours of meetings organized at WIPO, including for external users of the New Conference Hall. </w:t>
      </w:r>
    </w:p>
    <w:p w14:paraId="30FED17F" w14:textId="77777777" w:rsidR="00DE3C84" w:rsidRPr="00DE3C84" w:rsidRDefault="00DE3C84" w:rsidP="00A42BFB">
      <w:pPr>
        <w:jc w:val="both"/>
        <w:rPr>
          <w:rFonts w:ascii="Arial" w:hAnsi="Arial" w:cs="Arial"/>
          <w:sz w:val="20"/>
        </w:rPr>
      </w:pPr>
    </w:p>
    <w:p w14:paraId="3AB7C9BB" w14:textId="77777777"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rPr>
      </w:pPr>
      <w:r w:rsidRPr="00DE3C84">
        <w:rPr>
          <w:rFonts w:ascii="Arial" w:hAnsi="Arial" w:cs="Arial"/>
          <w:sz w:val="20"/>
        </w:rPr>
        <w:t xml:space="preserve">The Program maintains efficient and timely printing operations to provide Member States and other stakeholders with the necessary documents and publications to facilitate the work of the Committees and other bodies as well as to disseminate information on IP.  The records management and mailing services provide cost-efficient services to all the organizational units. </w:t>
      </w:r>
    </w:p>
    <w:p w14:paraId="37C2E78C" w14:textId="77777777" w:rsidR="00DE3C84" w:rsidRPr="00197045" w:rsidRDefault="00DE3C84" w:rsidP="00A42BFB">
      <w:pPr>
        <w:jc w:val="both"/>
        <w:rPr>
          <w:rFonts w:ascii="Arial" w:hAnsi="Arial" w:cs="Arial"/>
          <w:sz w:val="20"/>
        </w:rPr>
      </w:pPr>
    </w:p>
    <w:p w14:paraId="4B39ACD1" w14:textId="77777777" w:rsidR="00DE3C84" w:rsidRPr="00197045" w:rsidRDefault="00DE3C84" w:rsidP="00A42BFB">
      <w:pPr>
        <w:jc w:val="both"/>
        <w:rPr>
          <w:rFonts w:ascii="Arial" w:hAnsi="Arial" w:cs="Arial"/>
          <w:sz w:val="20"/>
        </w:rPr>
      </w:pPr>
    </w:p>
    <w:p w14:paraId="7EA7A849" w14:textId="77777777" w:rsidR="00DE3C84" w:rsidRPr="00DE3C84" w:rsidRDefault="00DE3C84" w:rsidP="00A42BFB">
      <w:pPr>
        <w:jc w:val="both"/>
        <w:rPr>
          <w:rFonts w:ascii="Arial" w:hAnsi="Arial" w:cs="Arial"/>
          <w:bCs/>
        </w:rPr>
      </w:pPr>
      <w:r w:rsidRPr="00DE3C84">
        <w:rPr>
          <w:rFonts w:ascii="Arial" w:hAnsi="Arial" w:cs="Arial"/>
          <w:bCs/>
        </w:rPr>
        <w:t>IMPLEMENTATION STRATEGIES</w:t>
      </w:r>
    </w:p>
    <w:p w14:paraId="00EFFAF9" w14:textId="77777777" w:rsidR="00DE3C84" w:rsidRPr="00DE3C84" w:rsidRDefault="00DE3C84" w:rsidP="00A42BFB">
      <w:pPr>
        <w:jc w:val="both"/>
        <w:rPr>
          <w:rFonts w:ascii="Arial" w:hAnsi="Arial" w:cs="Arial"/>
        </w:rPr>
      </w:pPr>
    </w:p>
    <w:p w14:paraId="117BDF14" w14:textId="1B5EEE4D"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rPr>
      </w:pPr>
      <w:r w:rsidRPr="00DE3C84">
        <w:rPr>
          <w:rFonts w:ascii="Arial" w:hAnsi="Arial" w:cs="Arial"/>
          <w:sz w:val="20"/>
        </w:rPr>
        <w:t>In order to meet the workload challenges faced by the language service, the current level of outsourcing will be maintained, and simultaneously steps will be taken to contain the workload.  The focus will be on striking a balance between the need to fulfill the projected demands of the Member States and optimize the use of available resources.  The Secretariat will continue to rigorously enforce rationalization and control measures</w:t>
      </w:r>
      <w:r w:rsidR="00053C3E">
        <w:rPr>
          <w:rFonts w:ascii="Arial" w:hAnsi="Arial" w:cs="Arial"/>
          <w:sz w:val="20"/>
        </w:rPr>
        <w:t xml:space="preserve"> to reduce the number of pages per document as well as the overall number of documents</w:t>
      </w:r>
      <w:r w:rsidRPr="00DE3C84">
        <w:rPr>
          <w:rFonts w:ascii="Arial" w:hAnsi="Arial" w:cs="Arial"/>
          <w:sz w:val="20"/>
        </w:rPr>
        <w:t>.  While maintaining the core team of expert revisers and translators in-house, workload increases will be met mainly through outsourcing to individual and institutional translators.  Quality management practices will be strengthened and the “quality at source” concept retained to engage proficient translators.</w:t>
      </w:r>
    </w:p>
    <w:p w14:paraId="5829B3B8" w14:textId="77777777" w:rsidR="00DE3C84" w:rsidRPr="00DE3C84" w:rsidRDefault="00DE3C84" w:rsidP="00A42BFB">
      <w:pPr>
        <w:jc w:val="both"/>
        <w:rPr>
          <w:rFonts w:ascii="Arial" w:hAnsi="Arial" w:cs="Arial"/>
          <w:sz w:val="20"/>
        </w:rPr>
      </w:pPr>
    </w:p>
    <w:p w14:paraId="52E07AB0" w14:textId="23E8C01D"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sz w:val="20"/>
        </w:rPr>
      </w:pPr>
      <w:r w:rsidRPr="00DE3C84">
        <w:rPr>
          <w:rFonts w:ascii="Arial" w:hAnsi="Arial" w:cs="Arial"/>
          <w:sz w:val="20"/>
        </w:rPr>
        <w:t xml:space="preserve">With the deployment of new translation management </w:t>
      </w:r>
      <w:r w:rsidR="00053C3E">
        <w:rPr>
          <w:rFonts w:ascii="Arial" w:hAnsi="Arial" w:cs="Arial"/>
          <w:sz w:val="20"/>
        </w:rPr>
        <w:t xml:space="preserve">and technology </w:t>
      </w:r>
      <w:r w:rsidRPr="00DE3C84">
        <w:rPr>
          <w:rFonts w:ascii="Arial" w:hAnsi="Arial" w:cs="Arial"/>
          <w:sz w:val="20"/>
        </w:rPr>
        <w:t xml:space="preserve">tools, the IP terminology database, which has been developed in the six UN languages, will be made available for external use.  This database will be used as a tool to ensure consistency and quality in translation and represents an asset to the Organization in its strive to become a world reference source for IP information and analysis.  </w:t>
      </w:r>
    </w:p>
    <w:p w14:paraId="08CF9632" w14:textId="77777777" w:rsidR="00DE3C84" w:rsidRPr="00DE3C84" w:rsidRDefault="00DE3C84" w:rsidP="00A42BFB">
      <w:pPr>
        <w:jc w:val="both"/>
        <w:rPr>
          <w:rFonts w:ascii="Arial" w:hAnsi="Arial" w:cs="Arial"/>
          <w:sz w:val="20"/>
        </w:rPr>
      </w:pPr>
    </w:p>
    <w:p w14:paraId="1EC1B0FE" w14:textId="16DD7AE3" w:rsidR="00DE3C84" w:rsidRPr="00DE3C84"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bCs/>
          <w:sz w:val="20"/>
        </w:rPr>
      </w:pPr>
      <w:r w:rsidRPr="00DE3C84">
        <w:rPr>
          <w:rFonts w:ascii="Arial" w:hAnsi="Arial" w:cs="Arial"/>
          <w:sz w:val="20"/>
        </w:rPr>
        <w:t xml:space="preserve">The records management and archiving policy will be implemented by developing streamlined procedures for all the sectors. Conference services will endeavor to optimize the use of available resources;  hire temporary staff from agencies, whenever necessary; and enhance the application of information technology tools and systems. This will also help to manage the higher expected demand from the extended use of the New Conference Hall.  The on-line registration system will be strengthened and efforts made to streamline the electronic distribution of documents.  While maintaining efficient printing operations, the service will endeavor to reduce paper consumption by introducing systems based on ‘print-on-demand’.  </w:t>
      </w:r>
      <w:r w:rsidR="005550E4">
        <w:rPr>
          <w:rFonts w:ascii="Arial" w:hAnsi="Arial" w:cs="Arial"/>
          <w:sz w:val="20"/>
        </w:rPr>
        <w:t xml:space="preserve">Further cost-efficiency opportunities will also be explored through the Geneva International Collaboration Group. </w:t>
      </w:r>
      <w:r w:rsidRPr="00DE3C84">
        <w:rPr>
          <w:rFonts w:ascii="Arial" w:hAnsi="Arial" w:cs="Arial"/>
          <w:sz w:val="20"/>
        </w:rPr>
        <w:t xml:space="preserve">Mailing services will continue to provide speedy and cost-efficient services, constantly striving to obtain competitive rates from the major </w:t>
      </w:r>
      <w:r w:rsidR="00053C3E">
        <w:rPr>
          <w:rFonts w:ascii="Arial" w:hAnsi="Arial" w:cs="Arial"/>
          <w:sz w:val="20"/>
        </w:rPr>
        <w:t xml:space="preserve">mail </w:t>
      </w:r>
      <w:r w:rsidRPr="00DE3C84">
        <w:rPr>
          <w:rFonts w:ascii="Arial" w:hAnsi="Arial" w:cs="Arial"/>
          <w:sz w:val="20"/>
        </w:rPr>
        <w:t xml:space="preserve">carriers. </w:t>
      </w:r>
    </w:p>
    <w:p w14:paraId="07AFB5ED" w14:textId="77777777" w:rsidR="00DE3C84" w:rsidRPr="00DE3C84" w:rsidRDefault="00DE3C84" w:rsidP="00A42BFB">
      <w:pPr>
        <w:rPr>
          <w:rFonts w:ascii="Arial" w:hAnsi="Arial" w:cs="Arial"/>
        </w:rPr>
      </w:pPr>
    </w:p>
    <w:p w14:paraId="7AE2FAAB" w14:textId="77777777" w:rsidR="00DE3C84" w:rsidRPr="00DE3C84" w:rsidRDefault="00DE3C84" w:rsidP="00A42BFB">
      <w:pPr>
        <w:rPr>
          <w:rFonts w:ascii="Arial" w:hAnsi="Arial" w:cs="Arial"/>
        </w:rPr>
      </w:pPr>
    </w:p>
    <w:p w14:paraId="70B76D73" w14:textId="77777777" w:rsidR="00DE3C84" w:rsidRPr="00DE3C84" w:rsidRDefault="00DE3C84" w:rsidP="00A42BFB">
      <w:pPr>
        <w:rPr>
          <w:rFonts w:ascii="Arial" w:hAnsi="Arial" w:cs="Arial"/>
        </w:rPr>
      </w:pPr>
      <w:r w:rsidRPr="00DE3C84">
        <w:rPr>
          <w:rFonts w:ascii="Arial" w:hAnsi="Arial" w:cs="Arial"/>
        </w:rPr>
        <w:t>MAJOR RISKS AND MITIGATION STRATEGIES</w:t>
      </w:r>
    </w:p>
    <w:p w14:paraId="47EED43B" w14:textId="77777777" w:rsidR="00DE3C84" w:rsidRPr="00DE3C84" w:rsidRDefault="00DE3C84" w:rsidP="00A42BFB">
      <w:pPr>
        <w:rPr>
          <w:rFonts w:ascii="Arial" w:hAnsi="Arial" w:cs="Arial"/>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DE3C84" w:rsidRPr="00DE3C84" w14:paraId="7067C45D" w14:textId="77777777" w:rsidTr="00A42BFB">
        <w:trPr>
          <w:trHeight w:val="577"/>
        </w:trPr>
        <w:tc>
          <w:tcPr>
            <w:tcW w:w="4111" w:type="dxa"/>
            <w:tcBorders>
              <w:top w:val="single" w:sz="4" w:space="0" w:color="auto"/>
              <w:bottom w:val="single" w:sz="4" w:space="0" w:color="auto"/>
            </w:tcBorders>
            <w:shd w:val="clear" w:color="auto" w:fill="C6D9F1" w:themeFill="text2" w:themeFillTint="33"/>
            <w:vAlign w:val="center"/>
          </w:tcPr>
          <w:p w14:paraId="3050B43A" w14:textId="77777777" w:rsidR="00DE3C84" w:rsidRPr="00DE3C84" w:rsidRDefault="00DE3C84" w:rsidP="00A42BFB">
            <w:pPr>
              <w:jc w:val="center"/>
              <w:rPr>
                <w:rFonts w:ascii="Arial" w:hAnsi="Arial" w:cs="Arial"/>
                <w:b/>
                <w:bCs/>
                <w:sz w:val="18"/>
                <w:szCs w:val="18"/>
              </w:rPr>
            </w:pPr>
            <w:r w:rsidRPr="00DE3C84">
              <w:rPr>
                <w:rFonts w:ascii="Arial" w:hAnsi="Arial" w:cs="Arial"/>
                <w:b/>
                <w:bCs/>
                <w:sz w:val="18"/>
                <w:szCs w:val="18"/>
              </w:rPr>
              <w:t>Risk</w:t>
            </w:r>
          </w:p>
        </w:tc>
        <w:tc>
          <w:tcPr>
            <w:tcW w:w="5103" w:type="dxa"/>
            <w:tcBorders>
              <w:top w:val="single" w:sz="4" w:space="0" w:color="auto"/>
              <w:bottom w:val="single" w:sz="4" w:space="0" w:color="auto"/>
            </w:tcBorders>
            <w:shd w:val="clear" w:color="auto" w:fill="C6D9F1" w:themeFill="text2" w:themeFillTint="33"/>
            <w:vAlign w:val="center"/>
          </w:tcPr>
          <w:p w14:paraId="231ED1EA" w14:textId="77777777" w:rsidR="00DE3C84" w:rsidRPr="00DE3C84" w:rsidRDefault="00DE3C84" w:rsidP="00A42BFB">
            <w:pPr>
              <w:jc w:val="center"/>
              <w:rPr>
                <w:rFonts w:ascii="Arial" w:hAnsi="Arial" w:cs="Arial"/>
                <w:b/>
                <w:bCs/>
                <w:sz w:val="18"/>
                <w:szCs w:val="18"/>
              </w:rPr>
            </w:pPr>
            <w:r w:rsidRPr="00DE3C84">
              <w:rPr>
                <w:rFonts w:ascii="Arial" w:hAnsi="Arial" w:cs="Arial"/>
                <w:b/>
                <w:bCs/>
                <w:sz w:val="18"/>
                <w:szCs w:val="18"/>
              </w:rPr>
              <w:t>Mitigation</w:t>
            </w:r>
          </w:p>
        </w:tc>
      </w:tr>
      <w:tr w:rsidR="00DE3C84" w:rsidRPr="00DE3C84" w14:paraId="632F861E" w14:textId="77777777" w:rsidTr="00A42BFB">
        <w:trPr>
          <w:trHeight w:val="928"/>
        </w:trPr>
        <w:tc>
          <w:tcPr>
            <w:tcW w:w="4111" w:type="dxa"/>
            <w:tcBorders>
              <w:top w:val="single" w:sz="4" w:space="0" w:color="auto"/>
            </w:tcBorders>
            <w:shd w:val="clear" w:color="auto" w:fill="auto"/>
            <w:tcMar>
              <w:top w:w="113" w:type="dxa"/>
              <w:bottom w:w="113" w:type="dxa"/>
            </w:tcMar>
          </w:tcPr>
          <w:p w14:paraId="57E51321" w14:textId="77777777" w:rsidR="00DE3C84" w:rsidRPr="00DE3C84" w:rsidRDefault="00DE3C84" w:rsidP="00A42BFB">
            <w:pPr>
              <w:rPr>
                <w:rFonts w:ascii="Arial" w:hAnsi="Arial" w:cs="Arial"/>
                <w:sz w:val="16"/>
                <w:szCs w:val="16"/>
              </w:rPr>
            </w:pPr>
            <w:r w:rsidRPr="00DE3C84">
              <w:rPr>
                <w:rFonts w:ascii="Arial" w:hAnsi="Arial" w:cs="Arial"/>
                <w:color w:val="000000"/>
                <w:sz w:val="16"/>
                <w:szCs w:val="16"/>
              </w:rPr>
              <w:t>Inadequate implementation of the Language Policy due to increasing requests for translation and non-adherence to prescribed limits, translation workloads mount significantly, leading to budgetary imbalances.</w:t>
            </w:r>
          </w:p>
        </w:tc>
        <w:tc>
          <w:tcPr>
            <w:tcW w:w="5103" w:type="dxa"/>
            <w:tcBorders>
              <w:top w:val="single" w:sz="4" w:space="0" w:color="auto"/>
            </w:tcBorders>
            <w:shd w:val="clear" w:color="auto" w:fill="auto"/>
            <w:tcMar>
              <w:top w:w="113" w:type="dxa"/>
              <w:bottom w:w="113" w:type="dxa"/>
            </w:tcMar>
          </w:tcPr>
          <w:p w14:paraId="0A1BAFAF" w14:textId="77777777" w:rsidR="00DE3C84" w:rsidRPr="00DE3C84" w:rsidRDefault="00DE3C84" w:rsidP="00A42BFB">
            <w:pPr>
              <w:rPr>
                <w:rFonts w:ascii="Arial" w:hAnsi="Arial" w:cs="Arial"/>
                <w:sz w:val="16"/>
                <w:szCs w:val="16"/>
              </w:rPr>
            </w:pPr>
            <w:r w:rsidRPr="00DE3C84">
              <w:rPr>
                <w:rFonts w:ascii="Arial" w:hAnsi="Arial" w:cs="Arial"/>
                <w:color w:val="000000"/>
                <w:sz w:val="16"/>
                <w:szCs w:val="16"/>
              </w:rPr>
              <w:t>Monitor the number and size of documents.  Strictly enforce rationalization and control measures; encouraging sectors concerned to avoid repetitive text in documents.  Continue to utilize cost-effective resourcing options.</w:t>
            </w:r>
          </w:p>
        </w:tc>
      </w:tr>
    </w:tbl>
    <w:p w14:paraId="313919EC" w14:textId="77777777" w:rsidR="00DE3C84" w:rsidRPr="00DE3C84" w:rsidRDefault="00DE3C84" w:rsidP="00A42BFB">
      <w:pPr>
        <w:rPr>
          <w:rFonts w:ascii="Arial" w:hAnsi="Arial" w:cs="Arial"/>
          <w:sz w:val="20"/>
        </w:rPr>
      </w:pPr>
    </w:p>
    <w:p w14:paraId="76A43139" w14:textId="77777777" w:rsidR="00DE3C84" w:rsidRPr="00DE3C84" w:rsidRDefault="00DE3C84" w:rsidP="00A42BFB">
      <w:pPr>
        <w:rPr>
          <w:rFonts w:ascii="Arial" w:hAnsi="Arial" w:cs="Arial"/>
          <w:i/>
          <w:iCs/>
          <w:sz w:val="20"/>
        </w:rPr>
      </w:pPr>
    </w:p>
    <w:p w14:paraId="14014448" w14:textId="77777777" w:rsidR="00DE3C84" w:rsidRPr="00DE3C84" w:rsidRDefault="00DE3C84" w:rsidP="00A42BFB">
      <w:pPr>
        <w:rPr>
          <w:rFonts w:ascii="Arial" w:hAnsi="Arial" w:cs="Arial"/>
        </w:rPr>
      </w:pPr>
      <w:r w:rsidRPr="00DE3C84">
        <w:rPr>
          <w:rFonts w:ascii="Arial" w:hAnsi="Arial" w:cs="Arial"/>
        </w:rPr>
        <w:t>RESULTS FRAMEWORK</w:t>
      </w:r>
    </w:p>
    <w:p w14:paraId="0FA53947" w14:textId="77777777" w:rsidR="00DE3C84" w:rsidRPr="00DE3C84" w:rsidRDefault="00DE3C84" w:rsidP="00A42BFB">
      <w:pPr>
        <w:rPr>
          <w:rFonts w:ascii="Arial" w:hAnsi="Arial" w:cs="Arial"/>
        </w:rPr>
      </w:pPr>
    </w:p>
    <w:tbl>
      <w:tblPr>
        <w:tblW w:w="9251" w:type="dxa"/>
        <w:tblInd w:w="93" w:type="dxa"/>
        <w:tblLook w:val="04A0" w:firstRow="1" w:lastRow="0" w:firstColumn="1" w:lastColumn="0" w:noHBand="0" w:noVBand="1"/>
      </w:tblPr>
      <w:tblGrid>
        <w:gridCol w:w="2140"/>
        <w:gridCol w:w="2560"/>
        <w:gridCol w:w="2120"/>
        <w:gridCol w:w="2431"/>
      </w:tblGrid>
      <w:tr w:rsidR="00DE3C84" w:rsidRPr="00DE3C84" w14:paraId="60988870" w14:textId="77777777" w:rsidTr="00A42BFB">
        <w:trPr>
          <w:trHeight w:val="545"/>
        </w:trPr>
        <w:tc>
          <w:tcPr>
            <w:tcW w:w="214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14:paraId="50931855" w14:textId="77777777" w:rsidR="00DE3C84" w:rsidRPr="00DE3C84" w:rsidRDefault="00DE3C84" w:rsidP="00A42BFB">
            <w:pPr>
              <w:jc w:val="center"/>
              <w:rPr>
                <w:rFonts w:ascii="Arial" w:hAnsi="Arial" w:cs="Arial"/>
                <w:b/>
                <w:bCs/>
                <w:color w:val="000000"/>
                <w:sz w:val="18"/>
                <w:szCs w:val="18"/>
              </w:rPr>
            </w:pPr>
            <w:r w:rsidRPr="00DE3C84">
              <w:rPr>
                <w:rFonts w:ascii="Arial" w:hAnsi="Arial" w:cs="Arial"/>
                <w:b/>
                <w:bCs/>
                <w:color w:val="000000"/>
                <w:sz w:val="18"/>
                <w:szCs w:val="18"/>
              </w:rPr>
              <w:t xml:space="preserve">Expected Results </w:t>
            </w:r>
          </w:p>
        </w:tc>
        <w:tc>
          <w:tcPr>
            <w:tcW w:w="2560" w:type="dxa"/>
            <w:tcBorders>
              <w:top w:val="single" w:sz="4" w:space="0" w:color="auto"/>
              <w:left w:val="nil"/>
              <w:bottom w:val="single" w:sz="4" w:space="0" w:color="auto"/>
              <w:right w:val="nil"/>
            </w:tcBorders>
            <w:shd w:val="clear" w:color="auto" w:fill="C6D9F1" w:themeFill="text2" w:themeFillTint="33"/>
            <w:vAlign w:val="center"/>
            <w:hideMark/>
          </w:tcPr>
          <w:p w14:paraId="36194FEB" w14:textId="77777777" w:rsidR="00DE3C84" w:rsidRPr="00DE3C84" w:rsidRDefault="00DE3C84" w:rsidP="00A42BFB">
            <w:pPr>
              <w:jc w:val="center"/>
              <w:rPr>
                <w:rFonts w:ascii="Arial" w:hAnsi="Arial" w:cs="Arial"/>
                <w:b/>
                <w:bCs/>
                <w:color w:val="000000"/>
                <w:sz w:val="18"/>
                <w:szCs w:val="18"/>
              </w:rPr>
            </w:pPr>
            <w:r w:rsidRPr="00DE3C84">
              <w:rPr>
                <w:rFonts w:ascii="Arial" w:hAnsi="Arial" w:cs="Arial"/>
                <w:b/>
                <w:bCs/>
                <w:color w:val="000000"/>
                <w:sz w:val="18"/>
                <w:szCs w:val="18"/>
              </w:rPr>
              <w:t>Performance Indicators</w:t>
            </w:r>
          </w:p>
        </w:tc>
        <w:tc>
          <w:tcPr>
            <w:tcW w:w="2120" w:type="dxa"/>
            <w:tcBorders>
              <w:top w:val="single" w:sz="4" w:space="0" w:color="auto"/>
              <w:left w:val="nil"/>
              <w:bottom w:val="single" w:sz="4" w:space="0" w:color="auto"/>
              <w:right w:val="nil"/>
            </w:tcBorders>
            <w:shd w:val="clear" w:color="auto" w:fill="C6D9F1" w:themeFill="text2" w:themeFillTint="33"/>
            <w:vAlign w:val="center"/>
            <w:hideMark/>
          </w:tcPr>
          <w:p w14:paraId="041BB873" w14:textId="77777777" w:rsidR="00DE3C84" w:rsidRPr="00DE3C84" w:rsidRDefault="00DE3C84" w:rsidP="00A42BFB">
            <w:pPr>
              <w:jc w:val="center"/>
              <w:rPr>
                <w:rFonts w:ascii="Arial" w:hAnsi="Arial" w:cs="Arial"/>
                <w:b/>
                <w:bCs/>
                <w:color w:val="000000"/>
                <w:sz w:val="18"/>
                <w:szCs w:val="18"/>
              </w:rPr>
            </w:pPr>
            <w:r w:rsidRPr="00DE3C84">
              <w:rPr>
                <w:rFonts w:ascii="Arial" w:hAnsi="Arial" w:cs="Arial"/>
                <w:b/>
                <w:bCs/>
                <w:color w:val="000000"/>
                <w:sz w:val="18"/>
                <w:szCs w:val="18"/>
              </w:rPr>
              <w:t>Baselines</w:t>
            </w:r>
          </w:p>
        </w:tc>
        <w:tc>
          <w:tcPr>
            <w:tcW w:w="2431"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367FD198" w14:textId="77777777" w:rsidR="00DE3C84" w:rsidRPr="00DE3C84" w:rsidRDefault="00DE3C84" w:rsidP="00A42BFB">
            <w:pPr>
              <w:jc w:val="center"/>
              <w:rPr>
                <w:rFonts w:ascii="Arial" w:hAnsi="Arial" w:cs="Arial"/>
                <w:b/>
                <w:bCs/>
                <w:color w:val="000000"/>
                <w:sz w:val="18"/>
                <w:szCs w:val="18"/>
              </w:rPr>
            </w:pPr>
            <w:r w:rsidRPr="00DE3C84">
              <w:rPr>
                <w:rFonts w:ascii="Arial" w:hAnsi="Arial" w:cs="Arial"/>
                <w:b/>
                <w:bCs/>
                <w:color w:val="000000"/>
                <w:sz w:val="18"/>
                <w:szCs w:val="18"/>
              </w:rPr>
              <w:t>Targets</w:t>
            </w:r>
          </w:p>
        </w:tc>
      </w:tr>
      <w:tr w:rsidR="00DE3C84" w:rsidRPr="00DE3C84" w14:paraId="7A26E2E8" w14:textId="77777777" w:rsidTr="00A42BFB">
        <w:trPr>
          <w:trHeight w:val="1106"/>
        </w:trPr>
        <w:tc>
          <w:tcPr>
            <w:tcW w:w="2140" w:type="dxa"/>
            <w:vMerge w:val="restart"/>
            <w:tcBorders>
              <w:top w:val="nil"/>
              <w:left w:val="single" w:sz="4" w:space="0" w:color="auto"/>
              <w:bottom w:val="single" w:sz="4" w:space="0" w:color="000000"/>
              <w:right w:val="nil"/>
            </w:tcBorders>
            <w:shd w:val="clear" w:color="000000" w:fill="FFFFFF"/>
            <w:hideMark/>
          </w:tcPr>
          <w:p w14:paraId="56B710D2" w14:textId="77777777" w:rsidR="00DE3C84" w:rsidRPr="00DE3C84" w:rsidRDefault="00DE3C84" w:rsidP="00A42BFB">
            <w:pPr>
              <w:rPr>
                <w:rFonts w:ascii="Arial" w:hAnsi="Arial" w:cs="Arial"/>
                <w:color w:val="000000"/>
                <w:sz w:val="16"/>
                <w:szCs w:val="16"/>
              </w:rPr>
            </w:pPr>
            <w:r w:rsidRPr="00DE3C84">
              <w:rPr>
                <w:rFonts w:ascii="Arial" w:hAnsi="Arial" w:cs="Arial"/>
                <w:color w:val="000000"/>
                <w:sz w:val="16"/>
                <w:szCs w:val="16"/>
              </w:rPr>
              <w:br/>
              <w:t>IX.1 Effective, efficient, quality and customer-oriented support services both to internal clients and to external stakeholders</w:t>
            </w:r>
          </w:p>
        </w:tc>
        <w:tc>
          <w:tcPr>
            <w:tcW w:w="2560" w:type="dxa"/>
            <w:tcBorders>
              <w:top w:val="nil"/>
              <w:left w:val="nil"/>
              <w:bottom w:val="nil"/>
              <w:right w:val="nil"/>
            </w:tcBorders>
            <w:shd w:val="clear" w:color="000000" w:fill="FFFFFF"/>
            <w:hideMark/>
          </w:tcPr>
          <w:p w14:paraId="480D23DA"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br/>
              <w:t>% of internal and external participants satisfied with WIPO Conference Services</w:t>
            </w:r>
          </w:p>
        </w:tc>
        <w:tc>
          <w:tcPr>
            <w:tcW w:w="2120" w:type="dxa"/>
            <w:tcBorders>
              <w:top w:val="nil"/>
              <w:left w:val="nil"/>
              <w:bottom w:val="nil"/>
              <w:right w:val="nil"/>
            </w:tcBorders>
            <w:shd w:val="clear" w:color="000000" w:fill="FFFFFF"/>
            <w:hideMark/>
          </w:tcPr>
          <w:p w14:paraId="3B253AB0"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br/>
              <w:t>97% of participants satisfied with services (end of 2014)</w:t>
            </w:r>
          </w:p>
        </w:tc>
        <w:tc>
          <w:tcPr>
            <w:tcW w:w="2431" w:type="dxa"/>
            <w:tcBorders>
              <w:top w:val="nil"/>
              <w:left w:val="nil"/>
              <w:bottom w:val="nil"/>
              <w:right w:val="single" w:sz="4" w:space="0" w:color="auto"/>
            </w:tcBorders>
            <w:shd w:val="clear" w:color="000000" w:fill="FFFFFF"/>
            <w:hideMark/>
          </w:tcPr>
          <w:p w14:paraId="1E493946"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br/>
              <w:t>Maintain rate at end of 2014</w:t>
            </w:r>
          </w:p>
        </w:tc>
      </w:tr>
      <w:tr w:rsidR="00DE3C84" w:rsidRPr="00DE3C84" w14:paraId="5FEAB89A" w14:textId="77777777" w:rsidTr="00A42BFB">
        <w:trPr>
          <w:trHeight w:val="1547"/>
        </w:trPr>
        <w:tc>
          <w:tcPr>
            <w:tcW w:w="2140" w:type="dxa"/>
            <w:vMerge/>
            <w:tcBorders>
              <w:top w:val="nil"/>
              <w:left w:val="single" w:sz="4" w:space="0" w:color="auto"/>
              <w:bottom w:val="single" w:sz="4" w:space="0" w:color="000000"/>
              <w:right w:val="nil"/>
            </w:tcBorders>
            <w:vAlign w:val="center"/>
            <w:hideMark/>
          </w:tcPr>
          <w:p w14:paraId="40DBCC20" w14:textId="77777777" w:rsidR="00DE3C84" w:rsidRPr="00DE3C84" w:rsidRDefault="00DE3C84" w:rsidP="00A42BFB">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4B32CC67"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Effective implementation of WIPO Language Policy</w:t>
            </w:r>
          </w:p>
        </w:tc>
        <w:tc>
          <w:tcPr>
            <w:tcW w:w="2120" w:type="dxa"/>
            <w:tcBorders>
              <w:top w:val="nil"/>
              <w:left w:val="nil"/>
              <w:bottom w:val="nil"/>
              <w:right w:val="nil"/>
            </w:tcBorders>
            <w:shd w:val="clear" w:color="000000" w:fill="FFFFFF"/>
            <w:hideMark/>
          </w:tcPr>
          <w:p w14:paraId="76D87105"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Language coverage extended to documents for all Committees/Main Bodies and some Working Groups</w:t>
            </w:r>
          </w:p>
        </w:tc>
        <w:tc>
          <w:tcPr>
            <w:tcW w:w="2431" w:type="dxa"/>
            <w:tcBorders>
              <w:top w:val="nil"/>
              <w:left w:val="nil"/>
              <w:bottom w:val="nil"/>
              <w:right w:val="single" w:sz="4" w:space="0" w:color="auto"/>
            </w:tcBorders>
            <w:shd w:val="clear" w:color="000000" w:fill="FFFFFF"/>
            <w:hideMark/>
          </w:tcPr>
          <w:p w14:paraId="6874B258"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Language coverage extended to documents for all Committees/Main Bodies/Working Groups with lengths maintained as per provisions of Language Policy</w:t>
            </w:r>
          </w:p>
        </w:tc>
      </w:tr>
      <w:tr w:rsidR="00DE3C84" w:rsidRPr="00DE3C84" w14:paraId="64F329A7" w14:textId="77777777" w:rsidTr="00A42BFB">
        <w:trPr>
          <w:trHeight w:val="549"/>
        </w:trPr>
        <w:tc>
          <w:tcPr>
            <w:tcW w:w="2140" w:type="dxa"/>
            <w:vMerge/>
            <w:tcBorders>
              <w:top w:val="nil"/>
              <w:left w:val="single" w:sz="4" w:space="0" w:color="auto"/>
              <w:bottom w:val="single" w:sz="4" w:space="0" w:color="000000"/>
              <w:right w:val="nil"/>
            </w:tcBorders>
            <w:vAlign w:val="center"/>
            <w:hideMark/>
          </w:tcPr>
          <w:p w14:paraId="4AB8D598" w14:textId="77777777" w:rsidR="00DE3C84" w:rsidRPr="00DE3C84" w:rsidRDefault="00DE3C84" w:rsidP="00A42BFB">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2FE70668"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Reduction in printing costs (per page)</w:t>
            </w:r>
          </w:p>
        </w:tc>
        <w:tc>
          <w:tcPr>
            <w:tcW w:w="2120" w:type="dxa"/>
            <w:tcBorders>
              <w:top w:val="nil"/>
              <w:left w:val="nil"/>
              <w:bottom w:val="nil"/>
              <w:right w:val="nil"/>
            </w:tcBorders>
            <w:shd w:val="clear" w:color="000000" w:fill="FFFFFF"/>
            <w:hideMark/>
          </w:tcPr>
          <w:p w14:paraId="4CED839F" w14:textId="4193BC6D"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0</w:t>
            </w:r>
            <w:r w:rsidR="004D3E01">
              <w:rPr>
                <w:rFonts w:ascii="Arial" w:hAnsi="Arial" w:cs="Arial"/>
                <w:color w:val="000000"/>
                <w:sz w:val="16"/>
                <w:szCs w:val="16"/>
              </w:rPr>
              <w:t>.</w:t>
            </w:r>
            <w:r w:rsidRPr="00DE3C84">
              <w:rPr>
                <w:rFonts w:ascii="Arial" w:hAnsi="Arial" w:cs="Arial"/>
                <w:color w:val="000000"/>
                <w:sz w:val="16"/>
                <w:szCs w:val="16"/>
              </w:rPr>
              <w:t xml:space="preserve">14 </w:t>
            </w:r>
            <w:r w:rsidR="003736E0">
              <w:rPr>
                <w:rFonts w:ascii="Arial" w:hAnsi="Arial" w:cs="Arial"/>
                <w:color w:val="000000"/>
                <w:sz w:val="16"/>
                <w:szCs w:val="16"/>
              </w:rPr>
              <w:t>Swiss francs</w:t>
            </w:r>
            <w:r w:rsidR="003736E0" w:rsidRPr="00DE3C84">
              <w:rPr>
                <w:rFonts w:ascii="Arial" w:hAnsi="Arial" w:cs="Arial"/>
                <w:color w:val="000000"/>
                <w:sz w:val="16"/>
                <w:szCs w:val="16"/>
              </w:rPr>
              <w:t xml:space="preserve"> </w:t>
            </w:r>
            <w:r w:rsidRPr="00DE3C84">
              <w:rPr>
                <w:rFonts w:ascii="Arial" w:hAnsi="Arial" w:cs="Arial"/>
                <w:color w:val="000000"/>
                <w:sz w:val="16"/>
                <w:szCs w:val="16"/>
              </w:rPr>
              <w:t>per page</w:t>
            </w:r>
          </w:p>
        </w:tc>
        <w:tc>
          <w:tcPr>
            <w:tcW w:w="2431" w:type="dxa"/>
            <w:tcBorders>
              <w:top w:val="nil"/>
              <w:left w:val="nil"/>
              <w:bottom w:val="nil"/>
              <w:right w:val="single" w:sz="4" w:space="0" w:color="auto"/>
            </w:tcBorders>
            <w:shd w:val="clear" w:color="000000" w:fill="FFFFFF"/>
            <w:hideMark/>
          </w:tcPr>
          <w:p w14:paraId="4EDF3B4F"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Maintain the rate</w:t>
            </w:r>
          </w:p>
        </w:tc>
      </w:tr>
      <w:tr w:rsidR="00DE3C84" w:rsidRPr="00DE3C84" w14:paraId="0555A815" w14:textId="77777777" w:rsidTr="00A42BFB">
        <w:trPr>
          <w:trHeight w:val="1124"/>
        </w:trPr>
        <w:tc>
          <w:tcPr>
            <w:tcW w:w="2140" w:type="dxa"/>
            <w:vMerge/>
            <w:tcBorders>
              <w:top w:val="nil"/>
              <w:left w:val="single" w:sz="4" w:space="0" w:color="auto"/>
              <w:bottom w:val="single" w:sz="4" w:space="0" w:color="000000"/>
              <w:right w:val="nil"/>
            </w:tcBorders>
            <w:vAlign w:val="center"/>
            <w:hideMark/>
          </w:tcPr>
          <w:p w14:paraId="5F91D158" w14:textId="77777777" w:rsidR="00DE3C84" w:rsidRPr="00DE3C84" w:rsidRDefault="00DE3C84" w:rsidP="00A42BFB">
            <w:pPr>
              <w:rPr>
                <w:rFonts w:ascii="Arial" w:hAnsi="Arial" w:cs="Arial"/>
                <w:color w:val="000000"/>
                <w:sz w:val="16"/>
                <w:szCs w:val="16"/>
              </w:rPr>
            </w:pPr>
          </w:p>
        </w:tc>
        <w:tc>
          <w:tcPr>
            <w:tcW w:w="2560" w:type="dxa"/>
            <w:tcBorders>
              <w:top w:val="nil"/>
              <w:left w:val="nil"/>
              <w:bottom w:val="nil"/>
              <w:right w:val="nil"/>
            </w:tcBorders>
            <w:shd w:val="clear" w:color="000000" w:fill="FFFFFF"/>
            <w:hideMark/>
          </w:tcPr>
          <w:p w14:paraId="78190976"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Timely publication of documents for Committees and Working Groups</w:t>
            </w:r>
          </w:p>
        </w:tc>
        <w:tc>
          <w:tcPr>
            <w:tcW w:w="2120" w:type="dxa"/>
            <w:tcBorders>
              <w:top w:val="nil"/>
              <w:left w:val="nil"/>
              <w:bottom w:val="nil"/>
              <w:right w:val="nil"/>
            </w:tcBorders>
            <w:shd w:val="clear" w:color="000000" w:fill="FFFFFF"/>
            <w:hideMark/>
          </w:tcPr>
          <w:p w14:paraId="738CF4AB"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21% of documents published in all languages two months before the relevant meetings</w:t>
            </w:r>
          </w:p>
        </w:tc>
        <w:tc>
          <w:tcPr>
            <w:tcW w:w="2431" w:type="dxa"/>
            <w:tcBorders>
              <w:top w:val="nil"/>
              <w:left w:val="nil"/>
              <w:bottom w:val="nil"/>
              <w:right w:val="single" w:sz="4" w:space="0" w:color="auto"/>
            </w:tcBorders>
            <w:shd w:val="clear" w:color="000000" w:fill="FFFFFF"/>
            <w:hideMark/>
          </w:tcPr>
          <w:p w14:paraId="01932741"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65% of documents published in all languages two months before the relevant meetings</w:t>
            </w:r>
          </w:p>
        </w:tc>
      </w:tr>
      <w:tr w:rsidR="00DE3C84" w:rsidRPr="00DE3C84" w14:paraId="4C2F7766" w14:textId="77777777" w:rsidTr="00A42BFB">
        <w:trPr>
          <w:trHeight w:val="430"/>
        </w:trPr>
        <w:tc>
          <w:tcPr>
            <w:tcW w:w="2140" w:type="dxa"/>
            <w:vMerge/>
            <w:tcBorders>
              <w:top w:val="nil"/>
              <w:left w:val="single" w:sz="4" w:space="0" w:color="auto"/>
              <w:bottom w:val="single" w:sz="4" w:space="0" w:color="000000"/>
              <w:right w:val="nil"/>
            </w:tcBorders>
            <w:vAlign w:val="center"/>
            <w:hideMark/>
          </w:tcPr>
          <w:p w14:paraId="421DDB56" w14:textId="77777777" w:rsidR="00DE3C84" w:rsidRPr="00DE3C84" w:rsidRDefault="00DE3C84" w:rsidP="00A42BFB">
            <w:pPr>
              <w:rPr>
                <w:rFonts w:ascii="Arial" w:hAnsi="Arial" w:cs="Arial"/>
                <w:color w:val="000000"/>
                <w:sz w:val="16"/>
                <w:szCs w:val="16"/>
              </w:rPr>
            </w:pPr>
          </w:p>
        </w:tc>
        <w:tc>
          <w:tcPr>
            <w:tcW w:w="2560" w:type="dxa"/>
            <w:tcBorders>
              <w:top w:val="nil"/>
              <w:left w:val="nil"/>
              <w:bottom w:val="single" w:sz="4" w:space="0" w:color="auto"/>
              <w:right w:val="nil"/>
            </w:tcBorders>
            <w:shd w:val="clear" w:color="000000" w:fill="FFFFFF"/>
            <w:hideMark/>
          </w:tcPr>
          <w:p w14:paraId="0E744FF2"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Cost per word of translation</w:t>
            </w:r>
          </w:p>
        </w:tc>
        <w:tc>
          <w:tcPr>
            <w:tcW w:w="2120" w:type="dxa"/>
            <w:tcBorders>
              <w:top w:val="nil"/>
              <w:left w:val="nil"/>
              <w:bottom w:val="single" w:sz="4" w:space="0" w:color="auto"/>
              <w:right w:val="nil"/>
            </w:tcBorders>
            <w:shd w:val="clear" w:color="000000" w:fill="FFFFFF"/>
            <w:hideMark/>
          </w:tcPr>
          <w:p w14:paraId="1F2B9CAE" w14:textId="77F14D7D"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0.59 Swiss franc</w:t>
            </w:r>
            <w:r w:rsidR="004D3E01">
              <w:rPr>
                <w:rFonts w:ascii="Arial" w:hAnsi="Arial" w:cs="Arial"/>
                <w:color w:val="000000"/>
                <w:sz w:val="16"/>
                <w:szCs w:val="16"/>
              </w:rPr>
              <w:t>s</w:t>
            </w:r>
            <w:r w:rsidRPr="00DE3C84">
              <w:rPr>
                <w:rFonts w:ascii="Arial" w:hAnsi="Arial" w:cs="Arial"/>
                <w:color w:val="000000"/>
                <w:sz w:val="16"/>
                <w:szCs w:val="16"/>
              </w:rPr>
              <w:t xml:space="preserve"> per word</w:t>
            </w:r>
          </w:p>
        </w:tc>
        <w:tc>
          <w:tcPr>
            <w:tcW w:w="2431" w:type="dxa"/>
            <w:tcBorders>
              <w:top w:val="nil"/>
              <w:left w:val="nil"/>
              <w:bottom w:val="single" w:sz="4" w:space="0" w:color="auto"/>
              <w:right w:val="single" w:sz="4" w:space="0" w:color="auto"/>
            </w:tcBorders>
            <w:shd w:val="clear" w:color="000000" w:fill="FFFFFF"/>
            <w:hideMark/>
          </w:tcPr>
          <w:p w14:paraId="672687AA" w14:textId="77777777" w:rsidR="00DE3C84" w:rsidRPr="00DE3C84" w:rsidRDefault="00DE3C84" w:rsidP="008D4CE9">
            <w:pPr>
              <w:ind w:left="177"/>
              <w:rPr>
                <w:rFonts w:ascii="Arial" w:hAnsi="Arial" w:cs="Arial"/>
                <w:color w:val="000000"/>
                <w:sz w:val="16"/>
                <w:szCs w:val="16"/>
              </w:rPr>
            </w:pPr>
            <w:r w:rsidRPr="00DE3C84">
              <w:rPr>
                <w:rFonts w:ascii="Arial" w:hAnsi="Arial" w:cs="Arial"/>
                <w:color w:val="000000"/>
                <w:sz w:val="16"/>
                <w:szCs w:val="16"/>
              </w:rPr>
              <w:t>Maintain cost</w:t>
            </w:r>
          </w:p>
        </w:tc>
      </w:tr>
    </w:tbl>
    <w:p w14:paraId="54045A72" w14:textId="77777777" w:rsidR="00DE3C84" w:rsidRPr="00DE3C84" w:rsidRDefault="00DE3C84" w:rsidP="00A42BFB">
      <w:pPr>
        <w:rPr>
          <w:rFonts w:ascii="Arial" w:hAnsi="Arial" w:cs="Arial"/>
        </w:rPr>
      </w:pPr>
    </w:p>
    <w:p w14:paraId="460EB1D0" w14:textId="77777777" w:rsidR="00DE3C84" w:rsidRPr="00DE3C84" w:rsidRDefault="00DE3C84" w:rsidP="00A42BFB">
      <w:pPr>
        <w:rPr>
          <w:rFonts w:ascii="Arial" w:hAnsi="Arial" w:cs="Arial"/>
        </w:rPr>
      </w:pPr>
    </w:p>
    <w:p w14:paraId="3CC84FB4" w14:textId="252ADAC6" w:rsidR="00DE3C84" w:rsidRPr="00DE3C84" w:rsidRDefault="00DE3C84" w:rsidP="00A42BFB">
      <w:pPr>
        <w:rPr>
          <w:rFonts w:ascii="Arial" w:hAnsi="Arial" w:cs="Arial"/>
        </w:rPr>
      </w:pPr>
      <w:r w:rsidRPr="00DE3C84">
        <w:rPr>
          <w:rFonts w:ascii="Arial" w:hAnsi="Arial" w:cs="Arial"/>
        </w:rPr>
        <w:t>RESOURCES FOR PROGRAM 27</w:t>
      </w:r>
    </w:p>
    <w:p w14:paraId="6BA68FBE" w14:textId="77777777" w:rsidR="00DE3C84" w:rsidRPr="00FB68E0" w:rsidRDefault="00DE3C84" w:rsidP="00FB68E0">
      <w:pPr>
        <w:pStyle w:val="ListParagraph"/>
        <w:tabs>
          <w:tab w:val="left" w:pos="709"/>
        </w:tabs>
        <w:autoSpaceDE w:val="0"/>
        <w:autoSpaceDN w:val="0"/>
        <w:adjustRightInd w:val="0"/>
        <w:ind w:left="0"/>
        <w:jc w:val="both"/>
        <w:rPr>
          <w:rFonts w:ascii="Arial" w:hAnsi="Arial" w:cs="Arial"/>
          <w:color w:val="000000"/>
          <w:sz w:val="20"/>
          <w:szCs w:val="20"/>
        </w:rPr>
      </w:pPr>
    </w:p>
    <w:p w14:paraId="6FE566AE" w14:textId="0DAE221E" w:rsidR="00DE3C84" w:rsidRPr="00FB68E0" w:rsidRDefault="00DE3C84" w:rsidP="00B66A4A">
      <w:pPr>
        <w:pStyle w:val="ListParagraph"/>
        <w:numPr>
          <w:ilvl w:val="0"/>
          <w:numId w:val="29"/>
        </w:numPr>
        <w:tabs>
          <w:tab w:val="left" w:pos="709"/>
        </w:tabs>
        <w:autoSpaceDE w:val="0"/>
        <w:autoSpaceDN w:val="0"/>
        <w:adjustRightInd w:val="0"/>
        <w:ind w:left="0" w:firstLine="0"/>
        <w:jc w:val="both"/>
        <w:rPr>
          <w:rFonts w:ascii="Arial" w:hAnsi="Arial" w:cs="Arial"/>
          <w:color w:val="000000"/>
          <w:sz w:val="20"/>
          <w:szCs w:val="20"/>
        </w:rPr>
      </w:pPr>
      <w:r w:rsidRPr="00FB68E0">
        <w:rPr>
          <w:rFonts w:ascii="Arial" w:hAnsi="Arial" w:cs="Arial"/>
          <w:sz w:val="20"/>
          <w:szCs w:val="20"/>
        </w:rPr>
        <w:t>The</w:t>
      </w:r>
      <w:r w:rsidRPr="00FB68E0">
        <w:rPr>
          <w:rFonts w:ascii="Arial" w:hAnsi="Arial" w:cs="Arial"/>
          <w:color w:val="000000"/>
          <w:sz w:val="20"/>
          <w:szCs w:val="20"/>
        </w:rPr>
        <w:t xml:space="preserve"> reduction under ER IX.1 </w:t>
      </w:r>
      <w:r w:rsidRPr="00DE3C84">
        <w:rPr>
          <w:rFonts w:ascii="Arial" w:hAnsi="Arial" w:cs="Arial"/>
          <w:color w:val="000000"/>
          <w:sz w:val="20"/>
        </w:rPr>
        <w:t xml:space="preserve">is due </w:t>
      </w:r>
      <w:r w:rsidRPr="00FB68E0">
        <w:rPr>
          <w:rFonts w:ascii="Arial" w:hAnsi="Arial" w:cs="Arial"/>
          <w:color w:val="000000"/>
          <w:sz w:val="20"/>
          <w:szCs w:val="20"/>
        </w:rPr>
        <w:t>pri</w:t>
      </w:r>
      <w:r w:rsidRPr="00DE3C84">
        <w:rPr>
          <w:rFonts w:ascii="Arial" w:hAnsi="Arial" w:cs="Arial"/>
          <w:color w:val="000000"/>
          <w:sz w:val="20"/>
        </w:rPr>
        <w:t>marily</w:t>
      </w:r>
      <w:r w:rsidRPr="00FB68E0">
        <w:rPr>
          <w:rFonts w:ascii="Arial" w:hAnsi="Arial" w:cs="Arial"/>
          <w:color w:val="000000"/>
          <w:sz w:val="20"/>
          <w:szCs w:val="20"/>
        </w:rPr>
        <w:t xml:space="preserve"> </w:t>
      </w:r>
      <w:r w:rsidRPr="00DE3C84">
        <w:rPr>
          <w:rFonts w:ascii="Arial" w:hAnsi="Arial" w:cs="Arial"/>
          <w:color w:val="000000"/>
          <w:sz w:val="20"/>
        </w:rPr>
        <w:t xml:space="preserve">to </w:t>
      </w:r>
      <w:r w:rsidRPr="00FB68E0">
        <w:rPr>
          <w:rFonts w:ascii="Arial" w:hAnsi="Arial" w:cs="Arial"/>
          <w:color w:val="000000"/>
          <w:sz w:val="20"/>
          <w:szCs w:val="20"/>
        </w:rPr>
        <w:t xml:space="preserve">a decrease in resources </w:t>
      </w:r>
      <w:r w:rsidRPr="00DE3C84">
        <w:rPr>
          <w:rFonts w:ascii="Arial" w:hAnsi="Arial" w:cs="Arial"/>
          <w:color w:val="000000"/>
          <w:sz w:val="20"/>
        </w:rPr>
        <w:t>for translation of 0.5 million</w:t>
      </w:r>
      <w:r w:rsidRPr="00FB68E0">
        <w:rPr>
          <w:rFonts w:ascii="Arial" w:hAnsi="Arial" w:cs="Arial"/>
          <w:color w:val="000000"/>
          <w:sz w:val="20"/>
          <w:szCs w:val="20"/>
        </w:rPr>
        <w:t xml:space="preserve"> Swiss francs, </w:t>
      </w:r>
      <w:r w:rsidRPr="00DE3C84">
        <w:rPr>
          <w:rFonts w:ascii="Arial" w:hAnsi="Arial" w:cs="Arial"/>
          <w:color w:val="000000"/>
          <w:sz w:val="20"/>
        </w:rPr>
        <w:t>as a result of</w:t>
      </w:r>
      <w:r w:rsidRPr="00FB68E0">
        <w:rPr>
          <w:rFonts w:ascii="Arial" w:hAnsi="Arial" w:cs="Arial"/>
          <w:color w:val="000000"/>
          <w:sz w:val="20"/>
          <w:szCs w:val="20"/>
        </w:rPr>
        <w:t xml:space="preserve"> </w:t>
      </w:r>
      <w:r w:rsidRPr="00DE3C84">
        <w:rPr>
          <w:rFonts w:ascii="Arial" w:hAnsi="Arial" w:cs="Arial"/>
          <w:color w:val="000000"/>
          <w:sz w:val="20"/>
        </w:rPr>
        <w:t xml:space="preserve">the containment of translation costs as per </w:t>
      </w:r>
      <w:r w:rsidRPr="00FB68E0">
        <w:rPr>
          <w:rFonts w:ascii="Arial" w:hAnsi="Arial" w:cs="Arial"/>
          <w:color w:val="000000"/>
          <w:sz w:val="20"/>
          <w:szCs w:val="20"/>
        </w:rPr>
        <w:t>expenditure pattern</w:t>
      </w:r>
      <w:r w:rsidRPr="00DE3C84">
        <w:rPr>
          <w:rFonts w:ascii="Arial" w:hAnsi="Arial" w:cs="Arial"/>
          <w:color w:val="000000"/>
          <w:sz w:val="20"/>
        </w:rPr>
        <w:t>s</w:t>
      </w:r>
      <w:r w:rsidRPr="00FB68E0">
        <w:rPr>
          <w:rFonts w:ascii="Arial" w:hAnsi="Arial" w:cs="Arial"/>
          <w:color w:val="000000"/>
          <w:sz w:val="20"/>
          <w:szCs w:val="20"/>
        </w:rPr>
        <w:t xml:space="preserve"> </w:t>
      </w:r>
      <w:r w:rsidRPr="00DE3C84">
        <w:rPr>
          <w:rFonts w:ascii="Arial" w:hAnsi="Arial" w:cs="Arial"/>
          <w:color w:val="000000"/>
          <w:sz w:val="20"/>
        </w:rPr>
        <w:t xml:space="preserve">in </w:t>
      </w:r>
      <w:r w:rsidRPr="00FB68E0">
        <w:rPr>
          <w:rFonts w:ascii="Arial" w:hAnsi="Arial" w:cs="Arial"/>
          <w:color w:val="000000"/>
          <w:sz w:val="20"/>
          <w:szCs w:val="20"/>
        </w:rPr>
        <w:t>2014/15</w:t>
      </w:r>
      <w:r w:rsidRPr="00DE3C84">
        <w:rPr>
          <w:rFonts w:ascii="Arial" w:hAnsi="Arial" w:cs="Arial"/>
          <w:color w:val="000000"/>
          <w:sz w:val="20"/>
        </w:rPr>
        <w:t xml:space="preserve"> following.</w:t>
      </w:r>
      <w:r w:rsidRPr="00FB68E0">
        <w:rPr>
          <w:rFonts w:ascii="Arial" w:hAnsi="Arial" w:cs="Arial"/>
          <w:color w:val="000000"/>
          <w:sz w:val="20"/>
          <w:szCs w:val="20"/>
        </w:rPr>
        <w:t xml:space="preserve"> </w:t>
      </w:r>
      <w:r w:rsidRPr="00DE3C84">
        <w:rPr>
          <w:rFonts w:ascii="Arial" w:hAnsi="Arial" w:cs="Arial"/>
          <w:color w:val="000000"/>
          <w:sz w:val="20"/>
        </w:rPr>
        <w:t xml:space="preserve"> An a</w:t>
      </w:r>
      <w:r w:rsidRPr="00FB68E0">
        <w:rPr>
          <w:rFonts w:ascii="Arial" w:hAnsi="Arial" w:cs="Arial"/>
          <w:color w:val="000000"/>
          <w:sz w:val="20"/>
          <w:szCs w:val="20"/>
        </w:rPr>
        <w:t xml:space="preserve">dditional </w:t>
      </w:r>
      <w:r w:rsidRPr="00DE3C84">
        <w:rPr>
          <w:rFonts w:ascii="Arial" w:hAnsi="Arial" w:cs="Arial"/>
          <w:color w:val="000000"/>
          <w:sz w:val="20"/>
        </w:rPr>
        <w:t>saving of 0.55 million S</w:t>
      </w:r>
      <w:r w:rsidRPr="00FB68E0">
        <w:rPr>
          <w:rFonts w:ascii="Arial" w:hAnsi="Arial" w:cs="Arial"/>
          <w:color w:val="000000"/>
          <w:sz w:val="20"/>
          <w:szCs w:val="20"/>
        </w:rPr>
        <w:t>wiss</w:t>
      </w:r>
      <w:r w:rsidR="004B1807">
        <w:rPr>
          <w:rFonts w:ascii="Arial" w:hAnsi="Arial" w:cs="Arial"/>
          <w:color w:val="000000"/>
          <w:sz w:val="20"/>
          <w:szCs w:val="20"/>
        </w:rPr>
        <w:t xml:space="preserve"> francs</w:t>
      </w:r>
      <w:r w:rsidRPr="00FB68E0">
        <w:rPr>
          <w:rFonts w:ascii="Arial" w:hAnsi="Arial" w:cs="Arial"/>
          <w:color w:val="000000"/>
          <w:sz w:val="20"/>
          <w:szCs w:val="20"/>
        </w:rPr>
        <w:t xml:space="preserve"> </w:t>
      </w:r>
      <w:r w:rsidRPr="00DE3C84">
        <w:rPr>
          <w:rFonts w:ascii="Arial" w:hAnsi="Arial" w:cs="Arial"/>
          <w:color w:val="000000"/>
          <w:sz w:val="20"/>
        </w:rPr>
        <w:t xml:space="preserve">for printing services has been baselined into the budget for 2016/17. </w:t>
      </w:r>
    </w:p>
    <w:p w14:paraId="4EA10863" w14:textId="77777777" w:rsidR="00DE3C84" w:rsidRPr="00DE3C84" w:rsidRDefault="00DE3C84" w:rsidP="00A42BFB">
      <w:pPr>
        <w:rPr>
          <w:rFonts w:ascii="Arial" w:hAnsi="Arial" w:cs="Arial"/>
        </w:rPr>
      </w:pPr>
    </w:p>
    <w:p w14:paraId="35DAC023" w14:textId="4EA8339E" w:rsidR="009E3929" w:rsidRDefault="009E3929">
      <w:pPr>
        <w:rPr>
          <w:rFonts w:ascii="Arial" w:hAnsi="Arial" w:cs="Arial"/>
          <w:b/>
          <w:sz w:val="20"/>
          <w:szCs w:val="24"/>
        </w:rPr>
      </w:pPr>
      <w:r>
        <w:rPr>
          <w:rFonts w:ascii="Arial" w:hAnsi="Arial" w:cs="Arial"/>
          <w:b/>
          <w:sz w:val="20"/>
          <w:szCs w:val="24"/>
        </w:rPr>
        <w:br w:type="page"/>
      </w:r>
    </w:p>
    <w:p w14:paraId="283DC37E" w14:textId="54ED7CD4" w:rsidR="00DE3C84" w:rsidRPr="00DE3C84" w:rsidRDefault="00DE3C84" w:rsidP="00A42BFB">
      <w:pPr>
        <w:tabs>
          <w:tab w:val="left" w:pos="1427"/>
        </w:tabs>
        <w:jc w:val="center"/>
        <w:rPr>
          <w:rFonts w:ascii="Arial" w:hAnsi="Arial" w:cs="Arial"/>
          <w:sz w:val="20"/>
        </w:rPr>
      </w:pPr>
      <w:r w:rsidRPr="00DE3C84">
        <w:rPr>
          <w:rFonts w:ascii="Arial" w:hAnsi="Arial" w:cs="Arial"/>
          <w:b/>
          <w:sz w:val="20"/>
          <w:szCs w:val="24"/>
        </w:rPr>
        <w:lastRenderedPageBreak/>
        <w:t>Program 27:  Resources by Result</w:t>
      </w:r>
    </w:p>
    <w:p w14:paraId="648178D6" w14:textId="77777777" w:rsidR="00DE3C84" w:rsidRPr="00DE3C84" w:rsidRDefault="00DE3C84" w:rsidP="00FB68E0">
      <w:pPr>
        <w:tabs>
          <w:tab w:val="left" w:pos="1427"/>
        </w:tabs>
        <w:spacing w:after="120"/>
        <w:jc w:val="center"/>
        <w:rPr>
          <w:rFonts w:ascii="Arial" w:hAnsi="Arial" w:cs="Arial"/>
          <w:i/>
          <w:sz w:val="20"/>
          <w:szCs w:val="24"/>
        </w:rPr>
      </w:pPr>
      <w:r w:rsidRPr="00DE3C84">
        <w:rPr>
          <w:rFonts w:ascii="Arial" w:hAnsi="Arial" w:cs="Arial"/>
          <w:i/>
          <w:sz w:val="20"/>
          <w:szCs w:val="24"/>
        </w:rPr>
        <w:t>(In thousands of Swiss francs)</w:t>
      </w:r>
    </w:p>
    <w:p w14:paraId="2E5348C2" w14:textId="77777777" w:rsidR="00DE3C84" w:rsidRPr="00DE3C84" w:rsidRDefault="00DE3C84" w:rsidP="00A42BFB">
      <w:pPr>
        <w:tabs>
          <w:tab w:val="left" w:pos="1427"/>
        </w:tabs>
        <w:jc w:val="center"/>
        <w:rPr>
          <w:rFonts w:ascii="Arial" w:hAnsi="Arial" w:cs="Arial"/>
          <w:i/>
          <w:sz w:val="20"/>
          <w:szCs w:val="24"/>
        </w:rPr>
      </w:pPr>
      <w:r w:rsidRPr="00DE3C84">
        <w:rPr>
          <w:rFonts w:ascii="Arial" w:hAnsi="Arial" w:cs="Arial"/>
          <w:noProof/>
          <w:lang w:eastAsia="en-US"/>
        </w:rPr>
        <w:drawing>
          <wp:inline distT="0" distB="0" distL="0" distR="0" wp14:anchorId="14929311" wp14:editId="31D1DCDE">
            <wp:extent cx="5025224" cy="1212909"/>
            <wp:effectExtent l="0" t="0" r="4445"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036079" cy="1215529"/>
                    </a:xfrm>
                    <a:prstGeom prst="rect">
                      <a:avLst/>
                    </a:prstGeom>
                    <a:noFill/>
                    <a:ln>
                      <a:noFill/>
                    </a:ln>
                  </pic:spPr>
                </pic:pic>
              </a:graphicData>
            </a:graphic>
          </wp:inline>
        </w:drawing>
      </w:r>
    </w:p>
    <w:p w14:paraId="4C1AFAEA" w14:textId="77777777" w:rsidR="00DE3C84" w:rsidRPr="00DE3C84" w:rsidRDefault="00DE3C84" w:rsidP="00A42BFB">
      <w:pPr>
        <w:tabs>
          <w:tab w:val="left" w:pos="1427"/>
        </w:tabs>
        <w:rPr>
          <w:rFonts w:ascii="Arial" w:hAnsi="Arial" w:cs="Arial"/>
          <w:i/>
          <w:sz w:val="20"/>
          <w:szCs w:val="24"/>
        </w:rPr>
      </w:pPr>
    </w:p>
    <w:p w14:paraId="35B7C4A6" w14:textId="77777777" w:rsidR="009E3929" w:rsidRDefault="009E3929" w:rsidP="00197045">
      <w:pPr>
        <w:keepNext/>
        <w:keepLines/>
        <w:tabs>
          <w:tab w:val="left" w:pos="1427"/>
        </w:tabs>
        <w:jc w:val="center"/>
        <w:rPr>
          <w:rFonts w:ascii="Arial" w:hAnsi="Arial" w:cs="Arial"/>
          <w:b/>
          <w:sz w:val="20"/>
          <w:szCs w:val="24"/>
        </w:rPr>
      </w:pPr>
    </w:p>
    <w:p w14:paraId="2748B472" w14:textId="77777777" w:rsidR="00DE3C84" w:rsidRPr="00DE3C84" w:rsidRDefault="00DE3C84" w:rsidP="00197045">
      <w:pPr>
        <w:keepNext/>
        <w:keepLines/>
        <w:tabs>
          <w:tab w:val="left" w:pos="1427"/>
        </w:tabs>
        <w:jc w:val="center"/>
        <w:rPr>
          <w:rFonts w:ascii="Arial" w:hAnsi="Arial" w:cs="Arial"/>
          <w:sz w:val="20"/>
        </w:rPr>
      </w:pPr>
      <w:r w:rsidRPr="00DE3C84">
        <w:rPr>
          <w:rFonts w:ascii="Arial" w:hAnsi="Arial" w:cs="Arial"/>
          <w:b/>
          <w:sz w:val="20"/>
          <w:szCs w:val="24"/>
        </w:rPr>
        <w:t>Program 27:  Resources by Object of Expenditure</w:t>
      </w:r>
    </w:p>
    <w:p w14:paraId="2B3F49BD" w14:textId="77777777" w:rsidR="00DE3C84" w:rsidRDefault="00DE3C84" w:rsidP="00FB68E0">
      <w:pPr>
        <w:keepNext/>
        <w:keepLines/>
        <w:tabs>
          <w:tab w:val="left" w:pos="1427"/>
        </w:tabs>
        <w:spacing w:after="120"/>
        <w:jc w:val="center"/>
        <w:rPr>
          <w:rFonts w:ascii="Arial" w:hAnsi="Arial" w:cs="Arial"/>
          <w:i/>
          <w:sz w:val="20"/>
          <w:szCs w:val="24"/>
        </w:rPr>
      </w:pPr>
      <w:r w:rsidRPr="00DE3C84">
        <w:rPr>
          <w:rFonts w:ascii="Arial" w:hAnsi="Arial" w:cs="Arial"/>
          <w:i/>
          <w:sz w:val="20"/>
          <w:szCs w:val="24"/>
        </w:rPr>
        <w:t>(In thousands of Swiss francs)</w:t>
      </w:r>
    </w:p>
    <w:p w14:paraId="35FCA6B6" w14:textId="77777777" w:rsidR="00DE3C84" w:rsidRPr="00DE3C84" w:rsidRDefault="00DE3C84" w:rsidP="00197045">
      <w:pPr>
        <w:keepNext/>
        <w:keepLines/>
        <w:tabs>
          <w:tab w:val="left" w:pos="1427"/>
        </w:tabs>
        <w:jc w:val="center"/>
        <w:rPr>
          <w:rFonts w:ascii="Arial" w:hAnsi="Arial" w:cs="Arial"/>
          <w:i/>
          <w:sz w:val="20"/>
          <w:szCs w:val="24"/>
        </w:rPr>
      </w:pPr>
      <w:r w:rsidRPr="00DE3C84">
        <w:rPr>
          <w:rFonts w:ascii="Arial" w:hAnsi="Arial" w:cs="Arial"/>
          <w:noProof/>
          <w:lang w:eastAsia="en-US"/>
        </w:rPr>
        <w:drawing>
          <wp:inline distT="0" distB="0" distL="0" distR="0" wp14:anchorId="3D8C4781" wp14:editId="5DBE2896">
            <wp:extent cx="5064981" cy="5706780"/>
            <wp:effectExtent l="0" t="0" r="2540" b="825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076050" cy="5719251"/>
                    </a:xfrm>
                    <a:prstGeom prst="rect">
                      <a:avLst/>
                    </a:prstGeom>
                    <a:noFill/>
                    <a:ln>
                      <a:noFill/>
                    </a:ln>
                  </pic:spPr>
                </pic:pic>
              </a:graphicData>
            </a:graphic>
          </wp:inline>
        </w:drawing>
      </w:r>
    </w:p>
    <w:p w14:paraId="38945FCC" w14:textId="77777777" w:rsidR="00DE3C84" w:rsidRPr="00DE3C84" w:rsidRDefault="00DE3C84" w:rsidP="00A42BFB">
      <w:pPr>
        <w:tabs>
          <w:tab w:val="left" w:pos="1427"/>
        </w:tabs>
        <w:jc w:val="center"/>
        <w:rPr>
          <w:rFonts w:ascii="Arial" w:hAnsi="Arial" w:cs="Arial"/>
          <w:i/>
          <w:sz w:val="20"/>
          <w:szCs w:val="24"/>
        </w:rPr>
      </w:pPr>
    </w:p>
    <w:p w14:paraId="3EDD4821" w14:textId="5C566786" w:rsidR="002F58D0" w:rsidRDefault="002F58D0">
      <w:pPr>
        <w:rPr>
          <w:rFonts w:ascii="Arial" w:hAnsi="Arial" w:cs="Arial"/>
          <w:sz w:val="20"/>
        </w:rPr>
      </w:pPr>
      <w:r>
        <w:rPr>
          <w:rFonts w:ascii="Arial" w:hAnsi="Arial" w:cs="Arial"/>
          <w:sz w:val="20"/>
        </w:rPr>
        <w:br w:type="page"/>
      </w:r>
    </w:p>
    <w:p w14:paraId="75212C0B" w14:textId="00DFD981" w:rsidR="002F58D0" w:rsidRPr="007C6697" w:rsidRDefault="002F58D0" w:rsidP="002F58D0">
      <w:pPr>
        <w:pStyle w:val="StyleStyleHeading3ComplexItalicLatin12pt"/>
      </w:pPr>
      <w:bookmarkStart w:id="78" w:name="_Toc418586789"/>
      <w:bookmarkStart w:id="79" w:name="_Toc427154432"/>
      <w:r>
        <w:rPr>
          <w:caps w:val="0"/>
        </w:rPr>
        <w:lastRenderedPageBreak/>
        <w:t>PROGRAM 28</w:t>
      </w:r>
      <w:r w:rsidRPr="007C6697">
        <w:rPr>
          <w:caps w:val="0"/>
        </w:rPr>
        <w:tab/>
        <w:t>INFORMATION ASSURANCE, SAFETY AND SECURITY</w:t>
      </w:r>
      <w:bookmarkEnd w:id="78"/>
      <w:bookmarkEnd w:id="79"/>
    </w:p>
    <w:p w14:paraId="14A3940A" w14:textId="77777777" w:rsidR="002F58D0" w:rsidRPr="002F58D0" w:rsidRDefault="002F58D0" w:rsidP="00A42BFB">
      <w:pPr>
        <w:jc w:val="both"/>
        <w:rPr>
          <w:rFonts w:ascii="Arial" w:hAnsi="Arial" w:cs="Arial"/>
          <w:b/>
          <w:bCs/>
        </w:rPr>
      </w:pPr>
    </w:p>
    <w:p w14:paraId="627308A4" w14:textId="77777777" w:rsidR="002F58D0" w:rsidRPr="002F58D0" w:rsidRDefault="002F58D0" w:rsidP="00A42BFB">
      <w:pPr>
        <w:jc w:val="both"/>
        <w:rPr>
          <w:rFonts w:ascii="Arial" w:hAnsi="Arial" w:cs="Arial"/>
          <w:b/>
          <w:bCs/>
        </w:rPr>
      </w:pPr>
    </w:p>
    <w:p w14:paraId="721F6094" w14:textId="77777777" w:rsidR="002F58D0" w:rsidRPr="002F58D0" w:rsidRDefault="002F58D0" w:rsidP="00A42BFB">
      <w:pPr>
        <w:rPr>
          <w:rFonts w:ascii="Arial" w:hAnsi="Arial" w:cs="Arial"/>
        </w:rPr>
      </w:pPr>
      <w:r w:rsidRPr="002F58D0">
        <w:rPr>
          <w:rFonts w:ascii="Arial" w:hAnsi="Arial" w:cs="Arial"/>
        </w:rPr>
        <w:t>PLANNING CONTEXT</w:t>
      </w:r>
    </w:p>
    <w:p w14:paraId="38C90846" w14:textId="77777777" w:rsidR="002F58D0" w:rsidRPr="002F58D0" w:rsidRDefault="002F58D0" w:rsidP="00A42BFB">
      <w:pPr>
        <w:jc w:val="both"/>
        <w:rPr>
          <w:rFonts w:ascii="Arial" w:hAnsi="Arial" w:cs="Arial"/>
        </w:rPr>
      </w:pPr>
    </w:p>
    <w:p w14:paraId="134F3EAC" w14:textId="77777777"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rPr>
        <w:t xml:space="preserve">WIPO is presented with a growing threat coming from adversaries with varying motivations to steal sensitive IP information and personal identities, as well as to disrupt WIPO’s operations and gain market, political, and competitive intelligence.  This presents a threat to WIPO’s reputation and relevance as a trusted service provider to its Member States and customers. </w:t>
      </w:r>
    </w:p>
    <w:p w14:paraId="62240CC5" w14:textId="77777777" w:rsidR="002F58D0" w:rsidRPr="002F58D0" w:rsidRDefault="002F58D0" w:rsidP="00A42BFB">
      <w:pPr>
        <w:pStyle w:val="ListParagraph"/>
        <w:ind w:left="0"/>
        <w:jc w:val="both"/>
        <w:rPr>
          <w:rFonts w:ascii="Arial" w:hAnsi="Arial" w:cs="Arial"/>
          <w:sz w:val="20"/>
          <w:szCs w:val="20"/>
        </w:rPr>
      </w:pPr>
    </w:p>
    <w:p w14:paraId="1C0ADBED" w14:textId="77777777"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rPr>
        <w:t xml:space="preserve">WIPO’s capability to address these evolving threats protect its own IP and that of its customers, and consistently manage information risks within WIPO’s risk appetite relies largely on its ability to strengthen and operate a sound and agile Information Assurance (IA) governance, risk management, and continuous compliance strategy. </w:t>
      </w:r>
    </w:p>
    <w:p w14:paraId="67A3DE53" w14:textId="77777777" w:rsidR="002F58D0" w:rsidRPr="002F58D0" w:rsidRDefault="002F58D0" w:rsidP="00A42BFB">
      <w:pPr>
        <w:pStyle w:val="ListParagraph"/>
        <w:ind w:left="0"/>
        <w:jc w:val="both"/>
        <w:rPr>
          <w:rFonts w:ascii="Arial" w:hAnsi="Arial" w:cs="Arial"/>
          <w:sz w:val="20"/>
          <w:szCs w:val="20"/>
        </w:rPr>
      </w:pPr>
    </w:p>
    <w:p w14:paraId="1494FE15" w14:textId="7BCF1B90"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rPr>
        <w:t>As regards safety and physical security, WIPO continues to be exposed to actual and perceived global threats targeting the UN system.  Therefore this Program will continue to ensure the safety and security of WIPO staff, delegates</w:t>
      </w:r>
      <w:r w:rsidR="00E67C4A">
        <w:rPr>
          <w:rFonts w:ascii="Arial" w:hAnsi="Arial" w:cs="Arial"/>
          <w:sz w:val="20"/>
        </w:rPr>
        <w:t>,</w:t>
      </w:r>
      <w:r w:rsidRPr="002F58D0">
        <w:rPr>
          <w:rFonts w:ascii="Arial" w:hAnsi="Arial" w:cs="Arial"/>
          <w:sz w:val="20"/>
        </w:rPr>
        <w:t xml:space="preserve"> visitors </w:t>
      </w:r>
      <w:r w:rsidR="00E67C4A">
        <w:rPr>
          <w:rFonts w:ascii="Arial" w:hAnsi="Arial" w:cs="Arial"/>
          <w:sz w:val="20"/>
        </w:rPr>
        <w:t>and assets, both at Headquarters and External Offices</w:t>
      </w:r>
      <w:r w:rsidRPr="002F58D0">
        <w:rPr>
          <w:rFonts w:ascii="Arial" w:hAnsi="Arial" w:cs="Arial"/>
          <w:sz w:val="20"/>
        </w:rPr>
        <w:t xml:space="preserve">.  With the completion of the major Headquarters Minimum Operating Security Standards (HMOSS) </w:t>
      </w:r>
      <w:r w:rsidR="00E67C4A">
        <w:rPr>
          <w:rFonts w:ascii="Arial" w:hAnsi="Arial" w:cs="Arial"/>
          <w:sz w:val="20"/>
        </w:rPr>
        <w:t xml:space="preserve">perimeter </w:t>
      </w:r>
      <w:r w:rsidRPr="002F58D0">
        <w:rPr>
          <w:rFonts w:ascii="Arial" w:hAnsi="Arial" w:cs="Arial"/>
          <w:sz w:val="20"/>
        </w:rPr>
        <w:t>project involving safety and security upgrades to meet the UN Department of Safety and Security (DSS) minimum standards in 2015, WIPO will have to continue to effectively operate</w:t>
      </w:r>
      <w:r w:rsidR="00E67C4A">
        <w:rPr>
          <w:rFonts w:ascii="Arial" w:hAnsi="Arial" w:cs="Arial"/>
          <w:sz w:val="20"/>
        </w:rPr>
        <w:t>,</w:t>
      </w:r>
      <w:r w:rsidRPr="002F58D0">
        <w:rPr>
          <w:rFonts w:ascii="Arial" w:hAnsi="Arial" w:cs="Arial"/>
          <w:sz w:val="20"/>
        </w:rPr>
        <w:t xml:space="preserve"> maintain </w:t>
      </w:r>
      <w:r w:rsidR="00E67C4A">
        <w:rPr>
          <w:rFonts w:ascii="Arial" w:hAnsi="Arial" w:cs="Arial"/>
          <w:sz w:val="20"/>
        </w:rPr>
        <w:t xml:space="preserve">and sustain </w:t>
      </w:r>
      <w:r w:rsidRPr="002F58D0">
        <w:rPr>
          <w:rFonts w:ascii="Arial" w:hAnsi="Arial" w:cs="Arial"/>
          <w:sz w:val="20"/>
        </w:rPr>
        <w:t xml:space="preserve">the newly implemented security measures.  WIPO’s security and safety services will </w:t>
      </w:r>
      <w:r w:rsidR="00E67C4A">
        <w:rPr>
          <w:rFonts w:ascii="Arial" w:hAnsi="Arial" w:cs="Arial"/>
          <w:sz w:val="20"/>
        </w:rPr>
        <w:t xml:space="preserve">continue to comply </w:t>
      </w:r>
      <w:r w:rsidRPr="002F58D0">
        <w:rPr>
          <w:rFonts w:ascii="Arial" w:hAnsi="Arial" w:cs="Arial"/>
          <w:sz w:val="20"/>
        </w:rPr>
        <w:t>with the UN Security Management System standards and guidelines.</w:t>
      </w:r>
    </w:p>
    <w:p w14:paraId="32E41CA2" w14:textId="77777777" w:rsidR="002F58D0" w:rsidRPr="002F58D0" w:rsidRDefault="002F58D0" w:rsidP="00A42BFB">
      <w:pPr>
        <w:pStyle w:val="ListParagraph"/>
        <w:ind w:left="0"/>
        <w:jc w:val="both"/>
        <w:rPr>
          <w:rFonts w:ascii="Arial" w:hAnsi="Arial" w:cs="Arial"/>
          <w:sz w:val="20"/>
          <w:szCs w:val="20"/>
        </w:rPr>
      </w:pPr>
    </w:p>
    <w:p w14:paraId="742B44BF" w14:textId="77777777" w:rsidR="002F58D0" w:rsidRPr="002F58D0" w:rsidRDefault="002F58D0" w:rsidP="00A42BFB">
      <w:pPr>
        <w:pStyle w:val="ListParagraph"/>
        <w:ind w:left="0"/>
        <w:jc w:val="both"/>
        <w:rPr>
          <w:rFonts w:ascii="Arial" w:hAnsi="Arial" w:cs="Arial"/>
          <w:sz w:val="20"/>
          <w:szCs w:val="20"/>
        </w:rPr>
      </w:pPr>
    </w:p>
    <w:p w14:paraId="3AF941AF" w14:textId="5BB07178" w:rsidR="002F58D0" w:rsidRPr="002F58D0" w:rsidRDefault="002F58D0" w:rsidP="00A42BFB">
      <w:pPr>
        <w:rPr>
          <w:rFonts w:ascii="Arial" w:hAnsi="Arial" w:cs="Arial"/>
        </w:rPr>
      </w:pPr>
      <w:r w:rsidRPr="002F58D0">
        <w:rPr>
          <w:rFonts w:ascii="Arial" w:hAnsi="Arial" w:cs="Arial"/>
        </w:rPr>
        <w:t>IMPLEMENTATION STRATEGIES</w:t>
      </w:r>
    </w:p>
    <w:p w14:paraId="07599871" w14:textId="77777777" w:rsidR="002F58D0" w:rsidRPr="002F58D0" w:rsidRDefault="002F58D0" w:rsidP="00A42BFB">
      <w:pPr>
        <w:jc w:val="both"/>
        <w:rPr>
          <w:rFonts w:ascii="Arial" w:hAnsi="Arial" w:cs="Arial"/>
          <w:sz w:val="20"/>
        </w:rPr>
      </w:pPr>
    </w:p>
    <w:p w14:paraId="1339CD91" w14:textId="24E4FB2B"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rPr>
        <w:t xml:space="preserve">This Program now combines information assurance, physical security and safety enabling WIPO to take an end-to-end view of </w:t>
      </w:r>
      <w:r w:rsidR="00E67C4A">
        <w:rPr>
          <w:rFonts w:ascii="Arial" w:hAnsi="Arial" w:cs="Arial"/>
          <w:sz w:val="20"/>
        </w:rPr>
        <w:t xml:space="preserve">safety and </w:t>
      </w:r>
      <w:r w:rsidRPr="002F58D0">
        <w:rPr>
          <w:rFonts w:ascii="Arial" w:hAnsi="Arial" w:cs="Arial"/>
          <w:sz w:val="20"/>
        </w:rPr>
        <w:t xml:space="preserve">security and manage operational risks in a holistic manner. It allows for convergence in several areas, including sharing of cyber and physical threat intelligence, a coordinated incident response, and ensuring the resiliency of physical security and safety systems. </w:t>
      </w:r>
    </w:p>
    <w:p w14:paraId="2B8FF517" w14:textId="77777777" w:rsidR="002F58D0" w:rsidRPr="002F58D0" w:rsidRDefault="002F58D0" w:rsidP="00A42BFB">
      <w:pPr>
        <w:jc w:val="both"/>
        <w:rPr>
          <w:rFonts w:ascii="Arial" w:hAnsi="Arial" w:cs="Arial"/>
          <w:sz w:val="20"/>
        </w:rPr>
      </w:pPr>
    </w:p>
    <w:p w14:paraId="4CBA3CC9" w14:textId="53615F9E" w:rsidR="002F58D0" w:rsidRPr="002F58D0" w:rsidRDefault="002F58D0" w:rsidP="00B66A4A">
      <w:pPr>
        <w:pStyle w:val="ListParagraph"/>
        <w:numPr>
          <w:ilvl w:val="0"/>
          <w:numId w:val="30"/>
        </w:numPr>
        <w:tabs>
          <w:tab w:val="left" w:pos="709"/>
        </w:tabs>
        <w:ind w:left="0" w:firstLine="0"/>
        <w:jc w:val="both"/>
        <w:rPr>
          <w:rFonts w:ascii="Arial" w:hAnsi="Arial" w:cs="Arial"/>
          <w:sz w:val="20"/>
          <w:szCs w:val="20"/>
        </w:rPr>
      </w:pPr>
      <w:r w:rsidRPr="002F58D0">
        <w:rPr>
          <w:rFonts w:ascii="Arial" w:hAnsi="Arial" w:cs="Arial"/>
          <w:sz w:val="20"/>
          <w:szCs w:val="20"/>
        </w:rPr>
        <w:t xml:space="preserve">It is imperative that WIPO not only strengthens its current IA capabilities but also aspires to implement an effective, reliable and sustainable IA strategy that will enable the Organization to maintain leadership in providing high quality and secure IP solutions to its </w:t>
      </w:r>
      <w:r w:rsidR="00E67C4A" w:rsidRPr="002F58D0">
        <w:rPr>
          <w:rFonts w:ascii="Arial" w:hAnsi="Arial" w:cs="Arial"/>
          <w:sz w:val="20"/>
          <w:szCs w:val="20"/>
        </w:rPr>
        <w:t xml:space="preserve">Member States </w:t>
      </w:r>
      <w:r w:rsidR="00E67C4A">
        <w:rPr>
          <w:rFonts w:ascii="Arial" w:hAnsi="Arial" w:cs="Arial"/>
          <w:sz w:val="20"/>
          <w:szCs w:val="20"/>
        </w:rPr>
        <w:t xml:space="preserve">and </w:t>
      </w:r>
      <w:r w:rsidRPr="002F58D0">
        <w:rPr>
          <w:rFonts w:ascii="Arial" w:hAnsi="Arial" w:cs="Arial"/>
          <w:sz w:val="20"/>
          <w:szCs w:val="20"/>
        </w:rPr>
        <w:t xml:space="preserve">customers with a very high degree of confidence.  </w:t>
      </w:r>
    </w:p>
    <w:p w14:paraId="1FBAC529" w14:textId="77777777" w:rsidR="002F58D0" w:rsidRPr="002F58D0" w:rsidRDefault="002F58D0" w:rsidP="00A42BFB">
      <w:pPr>
        <w:pStyle w:val="ListParagraph"/>
        <w:ind w:left="0"/>
        <w:jc w:val="both"/>
        <w:rPr>
          <w:rFonts w:ascii="Arial" w:hAnsi="Arial" w:cs="Arial"/>
          <w:sz w:val="20"/>
          <w:szCs w:val="20"/>
        </w:rPr>
      </w:pPr>
    </w:p>
    <w:p w14:paraId="5B2A7D13" w14:textId="77777777"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szCs w:val="20"/>
        </w:rPr>
        <w:t>To</w:t>
      </w:r>
      <w:r w:rsidRPr="002F58D0">
        <w:rPr>
          <w:rFonts w:ascii="Arial" w:hAnsi="Arial" w:cs="Arial"/>
          <w:sz w:val="20"/>
        </w:rPr>
        <w:t xml:space="preserve"> this end, the following Information Assurance strategies will be pursed starting in 2016/17:</w:t>
      </w:r>
    </w:p>
    <w:p w14:paraId="07888F12" w14:textId="77777777" w:rsidR="002F58D0" w:rsidRPr="002F58D0" w:rsidRDefault="002F58D0" w:rsidP="00A42BFB">
      <w:pPr>
        <w:tabs>
          <w:tab w:val="left" w:pos="1134"/>
        </w:tabs>
        <w:ind w:left="567"/>
        <w:jc w:val="both"/>
        <w:rPr>
          <w:rFonts w:ascii="Arial" w:hAnsi="Arial" w:cs="Arial"/>
          <w:sz w:val="20"/>
        </w:rPr>
      </w:pPr>
    </w:p>
    <w:p w14:paraId="7D2434B4" w14:textId="1D111CE6" w:rsidR="002F58D0" w:rsidRPr="002F58D0" w:rsidRDefault="002F58D0" w:rsidP="00B66A4A">
      <w:pPr>
        <w:numPr>
          <w:ilvl w:val="1"/>
          <w:numId w:val="21"/>
        </w:numPr>
        <w:tabs>
          <w:tab w:val="clear" w:pos="1250"/>
          <w:tab w:val="num" w:pos="360"/>
          <w:tab w:val="num" w:pos="738"/>
          <w:tab w:val="left" w:pos="1134"/>
        </w:tabs>
        <w:ind w:left="567"/>
        <w:jc w:val="both"/>
        <w:rPr>
          <w:rFonts w:ascii="Arial" w:hAnsi="Arial" w:cs="Arial"/>
          <w:sz w:val="20"/>
        </w:rPr>
      </w:pPr>
      <w:r w:rsidRPr="002F58D0">
        <w:rPr>
          <w:rFonts w:ascii="Arial" w:hAnsi="Arial" w:cs="Arial"/>
          <w:i/>
          <w:iCs/>
          <w:sz w:val="20"/>
        </w:rPr>
        <w:t>Developing a security-focused culture:</w:t>
      </w:r>
      <w:r w:rsidRPr="002F58D0">
        <w:rPr>
          <w:rFonts w:ascii="Arial" w:hAnsi="Arial" w:cs="Arial"/>
          <w:sz w:val="20"/>
        </w:rPr>
        <w:t xml:space="preserve">  The current governance of IA will be strengthened ensuring greater accountability. Security awareness and training of staff will be improved, and acti</w:t>
      </w:r>
      <w:r>
        <w:rPr>
          <w:rFonts w:ascii="Arial" w:hAnsi="Arial" w:cs="Arial"/>
          <w:sz w:val="20"/>
        </w:rPr>
        <w:t>onable IA metrics will be analyz</w:t>
      </w:r>
      <w:r w:rsidRPr="002F58D0">
        <w:rPr>
          <w:rFonts w:ascii="Arial" w:hAnsi="Arial" w:cs="Arial"/>
          <w:sz w:val="20"/>
        </w:rPr>
        <w:t xml:space="preserve">ed and used to inform decisions on information risk management and demonstrate return on IA investments.        </w:t>
      </w:r>
    </w:p>
    <w:p w14:paraId="7106E7C8" w14:textId="77777777" w:rsidR="002F58D0" w:rsidRPr="002F58D0" w:rsidRDefault="002F58D0" w:rsidP="00A42BFB">
      <w:pPr>
        <w:tabs>
          <w:tab w:val="num" w:pos="360"/>
          <w:tab w:val="left" w:pos="1134"/>
        </w:tabs>
        <w:ind w:left="567"/>
        <w:jc w:val="both"/>
        <w:rPr>
          <w:rFonts w:ascii="Arial" w:hAnsi="Arial" w:cs="Arial"/>
          <w:sz w:val="20"/>
        </w:rPr>
      </w:pPr>
    </w:p>
    <w:p w14:paraId="30F6D061" w14:textId="77777777" w:rsidR="002F58D0" w:rsidRPr="002F58D0" w:rsidRDefault="002F58D0" w:rsidP="00B66A4A">
      <w:pPr>
        <w:numPr>
          <w:ilvl w:val="1"/>
          <w:numId w:val="21"/>
        </w:numPr>
        <w:tabs>
          <w:tab w:val="clear" w:pos="1250"/>
          <w:tab w:val="num" w:pos="360"/>
          <w:tab w:val="num" w:pos="738"/>
          <w:tab w:val="left" w:pos="1134"/>
        </w:tabs>
        <w:ind w:left="567"/>
        <w:jc w:val="both"/>
        <w:rPr>
          <w:rFonts w:ascii="Arial" w:hAnsi="Arial" w:cs="Arial"/>
          <w:sz w:val="20"/>
        </w:rPr>
      </w:pPr>
      <w:r w:rsidRPr="002F58D0">
        <w:rPr>
          <w:rFonts w:ascii="Arial" w:hAnsi="Arial" w:cs="Arial"/>
          <w:i/>
          <w:iCs/>
          <w:sz w:val="20"/>
        </w:rPr>
        <w:t xml:space="preserve">Adopting a business focused risk management approach: </w:t>
      </w:r>
      <w:r w:rsidRPr="002F58D0">
        <w:rPr>
          <w:rFonts w:ascii="Arial" w:hAnsi="Arial" w:cs="Arial"/>
          <w:iCs/>
          <w:sz w:val="20"/>
        </w:rPr>
        <w:t xml:space="preserve">The </w:t>
      </w:r>
      <w:r w:rsidRPr="002F58D0">
        <w:rPr>
          <w:rFonts w:ascii="Arial" w:hAnsi="Arial" w:cs="Arial"/>
          <w:sz w:val="20"/>
        </w:rPr>
        <w:t xml:space="preserve">delivery of an enterprise view of information risk through integration and convergence of information risk management processes across business areas will be tightened, and information risk elements will be incorporated into the organization’s Enterprise Risk Management capability.  </w:t>
      </w:r>
    </w:p>
    <w:p w14:paraId="07A4E24C" w14:textId="77777777" w:rsidR="002F58D0" w:rsidRPr="002F58D0" w:rsidRDefault="002F58D0" w:rsidP="00A42BFB">
      <w:pPr>
        <w:tabs>
          <w:tab w:val="num" w:pos="738"/>
          <w:tab w:val="left" w:pos="1134"/>
        </w:tabs>
        <w:ind w:left="567"/>
        <w:jc w:val="both"/>
        <w:rPr>
          <w:rFonts w:ascii="Arial" w:hAnsi="Arial" w:cs="Arial"/>
          <w:sz w:val="20"/>
        </w:rPr>
      </w:pPr>
    </w:p>
    <w:p w14:paraId="5B8A34E8" w14:textId="20F58113" w:rsidR="002F58D0" w:rsidRPr="002F58D0" w:rsidRDefault="002F58D0" w:rsidP="00B66A4A">
      <w:pPr>
        <w:numPr>
          <w:ilvl w:val="1"/>
          <w:numId w:val="21"/>
        </w:numPr>
        <w:tabs>
          <w:tab w:val="clear" w:pos="1250"/>
          <w:tab w:val="num" w:pos="360"/>
          <w:tab w:val="num" w:pos="738"/>
          <w:tab w:val="left" w:pos="1134"/>
        </w:tabs>
        <w:ind w:left="567"/>
        <w:jc w:val="both"/>
        <w:rPr>
          <w:rFonts w:ascii="Arial" w:hAnsi="Arial" w:cs="Arial"/>
          <w:sz w:val="20"/>
        </w:rPr>
      </w:pPr>
      <w:r w:rsidRPr="002F58D0">
        <w:rPr>
          <w:rFonts w:ascii="Arial" w:hAnsi="Arial" w:cs="Arial"/>
          <w:i/>
          <w:iCs/>
          <w:sz w:val="20"/>
        </w:rPr>
        <w:t>Limiting exposure and ensuring continuous compliance:</w:t>
      </w:r>
      <w:r w:rsidRPr="002F58D0">
        <w:rPr>
          <w:rFonts w:ascii="Arial" w:hAnsi="Arial" w:cs="Arial"/>
          <w:sz w:val="20"/>
        </w:rPr>
        <w:t xml:space="preserve"> A </w:t>
      </w:r>
      <w:r w:rsidR="00E67C4A" w:rsidRPr="002F58D0">
        <w:rPr>
          <w:rFonts w:ascii="Arial" w:hAnsi="Arial" w:cs="Arial"/>
          <w:sz w:val="20"/>
        </w:rPr>
        <w:t>continu</w:t>
      </w:r>
      <w:r w:rsidR="00E67C4A">
        <w:rPr>
          <w:rFonts w:ascii="Arial" w:hAnsi="Arial" w:cs="Arial"/>
          <w:sz w:val="20"/>
        </w:rPr>
        <w:t>ous</w:t>
      </w:r>
      <w:r w:rsidR="00E67C4A" w:rsidRPr="002F58D0">
        <w:rPr>
          <w:rFonts w:ascii="Arial" w:hAnsi="Arial" w:cs="Arial"/>
          <w:sz w:val="20"/>
        </w:rPr>
        <w:t xml:space="preserve"> </w:t>
      </w:r>
      <w:r w:rsidRPr="002F58D0">
        <w:rPr>
          <w:rFonts w:ascii="Arial" w:hAnsi="Arial" w:cs="Arial"/>
          <w:sz w:val="20"/>
        </w:rPr>
        <w:t>enhancement of the capability to proactively identify threats and vulnerabilities to WIPO’s information assets will allow for prioritized remediation efforts to protect areas of highest risks to WIPO’s business. A continuous compliance program will be implemented to ensure compliance to IA policies and mandates</w:t>
      </w:r>
      <w:r w:rsidR="00E67C4A">
        <w:rPr>
          <w:rFonts w:ascii="Arial" w:hAnsi="Arial" w:cs="Arial"/>
          <w:sz w:val="20"/>
        </w:rPr>
        <w:t xml:space="preserve"> and</w:t>
      </w:r>
      <w:r w:rsidRPr="002F58D0">
        <w:rPr>
          <w:rFonts w:ascii="Arial" w:hAnsi="Arial" w:cs="Arial"/>
          <w:sz w:val="20"/>
        </w:rPr>
        <w:t xml:space="preserve"> industry standards </w:t>
      </w:r>
      <w:r w:rsidR="00E67C4A">
        <w:rPr>
          <w:rFonts w:ascii="Arial" w:hAnsi="Arial" w:cs="Arial"/>
          <w:sz w:val="20"/>
        </w:rPr>
        <w:t xml:space="preserve">(e.g. </w:t>
      </w:r>
      <w:r w:rsidRPr="002F58D0">
        <w:rPr>
          <w:rFonts w:ascii="Arial" w:hAnsi="Arial" w:cs="Arial"/>
          <w:sz w:val="20"/>
        </w:rPr>
        <w:t>like ISO 27001</w:t>
      </w:r>
      <w:r w:rsidR="00E67C4A">
        <w:rPr>
          <w:rFonts w:ascii="Arial" w:hAnsi="Arial" w:cs="Arial"/>
          <w:sz w:val="20"/>
        </w:rPr>
        <w:t>)</w:t>
      </w:r>
      <w:r w:rsidRPr="002F58D0">
        <w:rPr>
          <w:rFonts w:ascii="Arial" w:hAnsi="Arial" w:cs="Arial"/>
          <w:sz w:val="20"/>
        </w:rPr>
        <w:t xml:space="preserve">, </w:t>
      </w:r>
      <w:r w:rsidR="00E67C4A">
        <w:rPr>
          <w:rFonts w:ascii="Arial" w:hAnsi="Arial" w:cs="Arial"/>
          <w:sz w:val="20"/>
        </w:rPr>
        <w:t xml:space="preserve">thereby </w:t>
      </w:r>
      <w:r w:rsidRPr="002F58D0">
        <w:rPr>
          <w:rFonts w:ascii="Arial" w:hAnsi="Arial" w:cs="Arial"/>
          <w:sz w:val="20"/>
        </w:rPr>
        <w:t>providing greater assurance of internal control effectiveness in protecting WIPO’s information assets.</w:t>
      </w:r>
      <w:r w:rsidRPr="002F58D0">
        <w:rPr>
          <w:rFonts w:ascii="Arial" w:hAnsi="Arial" w:cs="Arial"/>
          <w:i/>
          <w:iCs/>
          <w:sz w:val="20"/>
        </w:rPr>
        <w:t xml:space="preserve">  </w:t>
      </w:r>
    </w:p>
    <w:p w14:paraId="601C8411" w14:textId="77777777" w:rsidR="002F58D0" w:rsidRPr="002F58D0" w:rsidRDefault="002F58D0" w:rsidP="00A42BFB">
      <w:pPr>
        <w:tabs>
          <w:tab w:val="num" w:pos="738"/>
          <w:tab w:val="left" w:pos="1134"/>
        </w:tabs>
        <w:ind w:left="567"/>
        <w:jc w:val="both"/>
        <w:rPr>
          <w:rFonts w:ascii="Arial" w:hAnsi="Arial" w:cs="Arial"/>
          <w:sz w:val="20"/>
        </w:rPr>
      </w:pPr>
    </w:p>
    <w:p w14:paraId="41036D92" w14:textId="1F013A7B" w:rsidR="002F58D0" w:rsidRPr="002F58D0" w:rsidRDefault="002F58D0" w:rsidP="00B66A4A">
      <w:pPr>
        <w:numPr>
          <w:ilvl w:val="1"/>
          <w:numId w:val="21"/>
        </w:numPr>
        <w:tabs>
          <w:tab w:val="clear" w:pos="1250"/>
          <w:tab w:val="num" w:pos="360"/>
          <w:tab w:val="num" w:pos="738"/>
          <w:tab w:val="left" w:pos="1134"/>
        </w:tabs>
        <w:ind w:left="567"/>
        <w:jc w:val="both"/>
        <w:rPr>
          <w:rFonts w:ascii="Arial" w:hAnsi="Arial" w:cs="Arial"/>
          <w:i/>
          <w:iCs/>
          <w:sz w:val="20"/>
        </w:rPr>
      </w:pPr>
      <w:r w:rsidRPr="002F58D0">
        <w:rPr>
          <w:rFonts w:ascii="Arial" w:hAnsi="Arial" w:cs="Arial"/>
          <w:i/>
          <w:iCs/>
          <w:sz w:val="20"/>
        </w:rPr>
        <w:t xml:space="preserve">Protecting WIPO’s sensitive information assets: </w:t>
      </w:r>
      <w:r w:rsidRPr="002F58D0">
        <w:rPr>
          <w:rFonts w:ascii="Arial" w:hAnsi="Arial" w:cs="Arial"/>
          <w:sz w:val="20"/>
        </w:rPr>
        <w:t xml:space="preserve">An information classification and handling policy will be implemented to ensure cost-effective and risk-based protection of WIPO’s sensitive information assets.  Deriving from this policy, protection mechanisms (process </w:t>
      </w:r>
      <w:r w:rsidRPr="002F58D0">
        <w:rPr>
          <w:rFonts w:ascii="Arial" w:hAnsi="Arial" w:cs="Arial"/>
          <w:sz w:val="20"/>
        </w:rPr>
        <w:lastRenderedPageBreak/>
        <w:t>and technical controls) will be implemented enhancing the resilience of WIPO’s PCT and other sensitive business systems.</w:t>
      </w:r>
    </w:p>
    <w:p w14:paraId="3B8F5B5F" w14:textId="77777777" w:rsidR="002F58D0" w:rsidRPr="002F58D0" w:rsidRDefault="002F58D0" w:rsidP="00A42BFB">
      <w:pPr>
        <w:tabs>
          <w:tab w:val="num" w:pos="738"/>
          <w:tab w:val="left" w:pos="1134"/>
        </w:tabs>
        <w:ind w:left="567"/>
        <w:jc w:val="both"/>
        <w:rPr>
          <w:rFonts w:ascii="Arial" w:hAnsi="Arial" w:cs="Arial"/>
          <w:i/>
          <w:iCs/>
          <w:sz w:val="20"/>
        </w:rPr>
      </w:pPr>
    </w:p>
    <w:p w14:paraId="05B1237B" w14:textId="77777777" w:rsidR="002F58D0" w:rsidRPr="002F58D0" w:rsidRDefault="002F58D0" w:rsidP="00B66A4A">
      <w:pPr>
        <w:numPr>
          <w:ilvl w:val="1"/>
          <w:numId w:val="21"/>
        </w:numPr>
        <w:tabs>
          <w:tab w:val="clear" w:pos="1250"/>
          <w:tab w:val="num" w:pos="360"/>
          <w:tab w:val="num" w:pos="738"/>
          <w:tab w:val="left" w:pos="1134"/>
        </w:tabs>
        <w:ind w:left="567"/>
        <w:jc w:val="both"/>
        <w:rPr>
          <w:rFonts w:ascii="Arial" w:hAnsi="Arial" w:cs="Arial"/>
          <w:i/>
          <w:iCs/>
          <w:sz w:val="20"/>
        </w:rPr>
      </w:pPr>
      <w:r w:rsidRPr="002F58D0">
        <w:rPr>
          <w:rFonts w:ascii="Arial" w:hAnsi="Arial" w:cs="Arial"/>
          <w:i/>
          <w:iCs/>
          <w:sz w:val="20"/>
        </w:rPr>
        <w:t xml:space="preserve">Enhancing situational awareness and response capability: </w:t>
      </w:r>
      <w:r w:rsidRPr="002F58D0">
        <w:rPr>
          <w:rFonts w:ascii="Arial" w:hAnsi="Arial" w:cs="Arial"/>
          <w:sz w:val="20"/>
        </w:rPr>
        <w:t>Enhancements will be made to WIPO’s existing cyber-security operations and improving knowledge of actionable internal and external threat intelligence, both cyber and physical, to proactively identify indicators of compromise.  WIPO’s response capability to information security incidents will also be significantly improved to ensure rapid containment and minimal business disruption.</w:t>
      </w:r>
    </w:p>
    <w:p w14:paraId="77AAE299" w14:textId="77777777" w:rsidR="002F58D0" w:rsidRPr="002F58D0" w:rsidRDefault="002F58D0" w:rsidP="00A42BFB">
      <w:pPr>
        <w:tabs>
          <w:tab w:val="left" w:pos="1134"/>
        </w:tabs>
        <w:ind w:left="567"/>
        <w:jc w:val="both"/>
        <w:rPr>
          <w:rFonts w:ascii="Arial" w:hAnsi="Arial" w:cs="Arial"/>
          <w:i/>
          <w:iCs/>
          <w:sz w:val="20"/>
        </w:rPr>
      </w:pPr>
    </w:p>
    <w:p w14:paraId="71C3FB45" w14:textId="77777777" w:rsidR="002F58D0" w:rsidRPr="002F58D0" w:rsidRDefault="002F58D0" w:rsidP="00B66A4A">
      <w:pPr>
        <w:pStyle w:val="ListParagraph"/>
        <w:numPr>
          <w:ilvl w:val="0"/>
          <w:numId w:val="30"/>
        </w:numPr>
        <w:tabs>
          <w:tab w:val="left" w:pos="709"/>
        </w:tabs>
        <w:ind w:left="0" w:firstLine="0"/>
        <w:jc w:val="both"/>
        <w:rPr>
          <w:rFonts w:ascii="Arial" w:hAnsi="Arial" w:cs="Arial"/>
          <w:sz w:val="20"/>
          <w:szCs w:val="20"/>
        </w:rPr>
      </w:pPr>
      <w:r w:rsidRPr="002F58D0">
        <w:rPr>
          <w:rFonts w:ascii="Arial" w:hAnsi="Arial" w:cs="Arial"/>
          <w:sz w:val="20"/>
          <w:szCs w:val="20"/>
        </w:rPr>
        <w:t>Physical and safety enhancements will continue to be implemented through proactive risk management and continuous monitoring of physical security and safety threats. Enhancement of safety and security policies and procedures, awareness and training of guards and strengthened monitoring of supplier performance will also be pursued. Additionally, physical security and safety will be fully integrated into crisis management processes and business continuity management.</w:t>
      </w:r>
    </w:p>
    <w:p w14:paraId="068B714B" w14:textId="77777777" w:rsidR="002F58D0" w:rsidRPr="002F58D0" w:rsidRDefault="002F58D0" w:rsidP="00A42BFB">
      <w:pPr>
        <w:pStyle w:val="ListParagraph"/>
        <w:ind w:left="0"/>
        <w:jc w:val="both"/>
        <w:rPr>
          <w:rFonts w:ascii="Arial" w:hAnsi="Arial" w:cs="Arial"/>
          <w:sz w:val="20"/>
          <w:szCs w:val="20"/>
        </w:rPr>
      </w:pPr>
    </w:p>
    <w:p w14:paraId="2E85FB07" w14:textId="77777777" w:rsidR="002F58D0" w:rsidRPr="002F58D0" w:rsidRDefault="002F58D0" w:rsidP="00B66A4A">
      <w:pPr>
        <w:pStyle w:val="ListParagraph"/>
        <w:numPr>
          <w:ilvl w:val="0"/>
          <w:numId w:val="30"/>
        </w:numPr>
        <w:tabs>
          <w:tab w:val="left" w:pos="709"/>
        </w:tabs>
        <w:ind w:left="0" w:firstLine="0"/>
        <w:jc w:val="both"/>
        <w:rPr>
          <w:rFonts w:ascii="Arial" w:hAnsi="Arial" w:cs="Arial"/>
          <w:sz w:val="20"/>
        </w:rPr>
      </w:pPr>
      <w:r w:rsidRPr="002F58D0">
        <w:rPr>
          <w:rFonts w:ascii="Arial" w:hAnsi="Arial" w:cs="Arial"/>
          <w:sz w:val="20"/>
        </w:rPr>
        <w:t xml:space="preserve">Awareness among WIPO staff of physical security and safety measures will continue to be a focus. With the introduction of the new physical security and safety systems, greater integration between these systems will be achieved, and aging systems will be phased out. </w:t>
      </w:r>
    </w:p>
    <w:p w14:paraId="64FBF888" w14:textId="77777777" w:rsidR="002F58D0" w:rsidRPr="002F58D0" w:rsidRDefault="002F58D0" w:rsidP="00A42BFB">
      <w:pPr>
        <w:pStyle w:val="ListParagraph"/>
        <w:autoSpaceDE w:val="0"/>
        <w:autoSpaceDN w:val="0"/>
        <w:adjustRightInd w:val="0"/>
        <w:ind w:left="0"/>
        <w:jc w:val="both"/>
        <w:rPr>
          <w:rFonts w:ascii="Arial" w:hAnsi="Arial" w:cs="Arial"/>
          <w:sz w:val="20"/>
        </w:rPr>
      </w:pPr>
    </w:p>
    <w:p w14:paraId="317A7411" w14:textId="77777777" w:rsidR="002F58D0" w:rsidRPr="002F58D0" w:rsidRDefault="002F58D0" w:rsidP="00A42BFB">
      <w:pPr>
        <w:pStyle w:val="ListParagraph"/>
        <w:autoSpaceDE w:val="0"/>
        <w:autoSpaceDN w:val="0"/>
        <w:adjustRightInd w:val="0"/>
        <w:ind w:left="0"/>
        <w:jc w:val="both"/>
        <w:rPr>
          <w:rFonts w:ascii="Arial" w:hAnsi="Arial" w:cs="Arial"/>
          <w:sz w:val="20"/>
        </w:rPr>
      </w:pPr>
    </w:p>
    <w:p w14:paraId="41C370EA" w14:textId="77777777" w:rsidR="002F58D0" w:rsidRPr="002F58D0" w:rsidRDefault="002F58D0" w:rsidP="00A42BFB">
      <w:pPr>
        <w:rPr>
          <w:rFonts w:ascii="Arial" w:hAnsi="Arial" w:cs="Arial"/>
        </w:rPr>
      </w:pPr>
      <w:r w:rsidRPr="002F58D0">
        <w:rPr>
          <w:rFonts w:ascii="Arial" w:hAnsi="Arial" w:cs="Arial"/>
        </w:rPr>
        <w:t>MAJOR RISKS AND MITIGATION STRATEGIES</w:t>
      </w:r>
    </w:p>
    <w:p w14:paraId="01CF9874" w14:textId="77777777" w:rsidR="002F58D0" w:rsidRPr="002F58D0" w:rsidRDefault="002F58D0" w:rsidP="00A42BFB">
      <w:pPr>
        <w:rPr>
          <w:rFonts w:ascii="Arial" w:hAnsi="Arial" w:cs="Arial"/>
          <w:sz w:val="20"/>
        </w:rPr>
      </w:pPr>
    </w:p>
    <w:tbl>
      <w:tblPr>
        <w:tblW w:w="9356" w:type="dxa"/>
        <w:tblInd w:w="108" w:type="dxa"/>
        <w:tblCellMar>
          <w:left w:w="0" w:type="dxa"/>
          <w:right w:w="0" w:type="dxa"/>
        </w:tblCellMar>
        <w:tblLook w:val="04A0" w:firstRow="1" w:lastRow="0" w:firstColumn="1" w:lastColumn="0" w:noHBand="0" w:noVBand="1"/>
      </w:tblPr>
      <w:tblGrid>
        <w:gridCol w:w="4253"/>
        <w:gridCol w:w="5103"/>
      </w:tblGrid>
      <w:tr w:rsidR="002F58D0" w:rsidRPr="002F58D0" w14:paraId="7385DA5A" w14:textId="77777777" w:rsidTr="002F58D0">
        <w:trPr>
          <w:trHeight w:val="577"/>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14:paraId="14184CA5" w14:textId="77777777" w:rsidR="002F58D0" w:rsidRPr="002F58D0" w:rsidRDefault="002F58D0" w:rsidP="00A42BFB">
            <w:pPr>
              <w:jc w:val="center"/>
              <w:rPr>
                <w:rFonts w:ascii="Arial" w:eastAsiaTheme="minorHAnsi" w:hAnsi="Arial" w:cs="Arial"/>
                <w:b/>
                <w:bCs/>
                <w:sz w:val="18"/>
                <w:szCs w:val="18"/>
              </w:rPr>
            </w:pPr>
            <w:r w:rsidRPr="002F58D0">
              <w:rPr>
                <w:rFonts w:ascii="Arial" w:hAnsi="Arial" w:cs="Arial"/>
                <w:b/>
                <w:bCs/>
                <w:sz w:val="18"/>
                <w:szCs w:val="18"/>
              </w:rPr>
              <w:t>Risk</w:t>
            </w:r>
          </w:p>
        </w:tc>
        <w:tc>
          <w:tcPr>
            <w:tcW w:w="5103"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14:paraId="034119C2" w14:textId="77777777" w:rsidR="002F58D0" w:rsidRPr="002F58D0" w:rsidRDefault="002F58D0" w:rsidP="00A42BFB">
            <w:pPr>
              <w:jc w:val="center"/>
              <w:rPr>
                <w:rFonts w:ascii="Arial" w:eastAsiaTheme="minorHAnsi" w:hAnsi="Arial" w:cs="Arial"/>
                <w:b/>
                <w:bCs/>
                <w:sz w:val="18"/>
                <w:szCs w:val="18"/>
              </w:rPr>
            </w:pPr>
            <w:r w:rsidRPr="002F58D0">
              <w:rPr>
                <w:rFonts w:ascii="Arial" w:hAnsi="Arial" w:cs="Arial"/>
                <w:b/>
                <w:bCs/>
                <w:sz w:val="18"/>
                <w:szCs w:val="18"/>
              </w:rPr>
              <w:t>Mitigation</w:t>
            </w:r>
          </w:p>
        </w:tc>
      </w:tr>
      <w:tr w:rsidR="002F58D0" w:rsidRPr="002F58D0" w14:paraId="7B02393E" w14:textId="77777777" w:rsidTr="002F58D0">
        <w:trPr>
          <w:trHeight w:val="925"/>
        </w:trPr>
        <w:tc>
          <w:tcPr>
            <w:tcW w:w="4253" w:type="dxa"/>
            <w:tcBorders>
              <w:top w:val="nil"/>
              <w:left w:val="single" w:sz="8" w:space="0" w:color="auto"/>
              <w:bottom w:val="nil"/>
              <w:right w:val="nil"/>
            </w:tcBorders>
            <w:tcMar>
              <w:top w:w="113" w:type="dxa"/>
              <w:left w:w="108" w:type="dxa"/>
              <w:bottom w:w="113" w:type="dxa"/>
              <w:right w:w="108" w:type="dxa"/>
            </w:tcMar>
            <w:hideMark/>
          </w:tcPr>
          <w:p w14:paraId="71169559" w14:textId="3BF66898" w:rsidR="002F58D0" w:rsidRPr="002F58D0" w:rsidRDefault="002F58D0" w:rsidP="002F58D0">
            <w:pPr>
              <w:rPr>
                <w:rFonts w:ascii="Arial" w:eastAsiaTheme="minorHAnsi" w:hAnsi="Arial" w:cs="Arial"/>
                <w:color w:val="000000" w:themeColor="text1"/>
                <w:sz w:val="16"/>
                <w:szCs w:val="16"/>
              </w:rPr>
            </w:pPr>
            <w:r w:rsidRPr="002F58D0">
              <w:rPr>
                <w:rFonts w:ascii="Arial" w:hAnsi="Arial" w:cs="Arial"/>
                <w:color w:val="000000" w:themeColor="text1"/>
                <w:sz w:val="16"/>
                <w:szCs w:val="16"/>
              </w:rPr>
              <w:t>Like other organizations, WIPO is exposed to the risk of cyber-attacks and the risk of malicious or accidental breach of data leading to unauthorized disclosure or misuse of WIPO’s confidential information, or disruption of business operations. Such an event can potentially impact WIPO’s reputation as a trusted advisor and service provider to its membership and clients. </w:t>
            </w:r>
            <w:r>
              <w:rPr>
                <w:rFonts w:ascii="Arial" w:hAnsi="Arial" w:cs="Arial"/>
                <w:color w:val="000000" w:themeColor="text1"/>
                <w:sz w:val="16"/>
                <w:szCs w:val="16"/>
              </w:rPr>
              <w:t xml:space="preserve">  </w:t>
            </w:r>
            <w:r w:rsidRPr="002F58D0">
              <w:rPr>
                <w:rFonts w:ascii="Arial" w:hAnsi="Arial" w:cs="Arial"/>
                <w:color w:val="000000" w:themeColor="text1"/>
                <w:sz w:val="16"/>
                <w:szCs w:val="16"/>
              </w:rPr>
              <w:t xml:space="preserve"> </w:t>
            </w:r>
          </w:p>
        </w:tc>
        <w:tc>
          <w:tcPr>
            <w:tcW w:w="5103" w:type="dxa"/>
            <w:tcBorders>
              <w:top w:val="nil"/>
              <w:left w:val="nil"/>
              <w:bottom w:val="nil"/>
              <w:right w:val="single" w:sz="8" w:space="0" w:color="auto"/>
            </w:tcBorders>
            <w:tcMar>
              <w:top w:w="113" w:type="dxa"/>
              <w:left w:w="108" w:type="dxa"/>
              <w:bottom w:w="113" w:type="dxa"/>
              <w:right w:w="108" w:type="dxa"/>
            </w:tcMar>
            <w:hideMark/>
          </w:tcPr>
          <w:p w14:paraId="0A6C6242" w14:textId="77777777" w:rsidR="002F58D0" w:rsidRPr="002F58D0" w:rsidRDefault="002F58D0" w:rsidP="00A42BFB">
            <w:pPr>
              <w:rPr>
                <w:rFonts w:ascii="Arial" w:eastAsiaTheme="minorHAnsi" w:hAnsi="Arial" w:cs="Arial"/>
                <w:color w:val="000000" w:themeColor="text1"/>
                <w:sz w:val="16"/>
                <w:szCs w:val="16"/>
              </w:rPr>
            </w:pPr>
            <w:r w:rsidRPr="002F58D0">
              <w:rPr>
                <w:rFonts w:ascii="Arial" w:hAnsi="Arial" w:cs="Arial"/>
                <w:color w:val="000000" w:themeColor="text1"/>
                <w:sz w:val="16"/>
                <w:szCs w:val="16"/>
              </w:rPr>
              <w:t>Phased implementation of a fit-for-purpose IA Strategy will allow WIPO to continue to strengthen its information security posture and its organizational resilience in the areas of IA governance, people, process and technology.</w:t>
            </w:r>
          </w:p>
        </w:tc>
      </w:tr>
      <w:tr w:rsidR="002F58D0" w:rsidRPr="002F58D0" w14:paraId="7D7767F3" w14:textId="77777777" w:rsidTr="002F58D0">
        <w:trPr>
          <w:trHeight w:val="925"/>
        </w:trPr>
        <w:tc>
          <w:tcPr>
            <w:tcW w:w="4253" w:type="dxa"/>
            <w:tcBorders>
              <w:top w:val="nil"/>
              <w:left w:val="single" w:sz="8" w:space="0" w:color="auto"/>
              <w:bottom w:val="nil"/>
              <w:right w:val="nil"/>
            </w:tcBorders>
            <w:tcMar>
              <w:top w:w="113" w:type="dxa"/>
              <w:left w:w="108" w:type="dxa"/>
              <w:bottom w:w="113" w:type="dxa"/>
              <w:right w:w="108" w:type="dxa"/>
            </w:tcMar>
            <w:hideMark/>
          </w:tcPr>
          <w:p w14:paraId="1F5AF35D" w14:textId="77777777" w:rsidR="002F58D0" w:rsidRPr="002F58D0" w:rsidRDefault="002F58D0" w:rsidP="00A42BFB">
            <w:pPr>
              <w:rPr>
                <w:rFonts w:ascii="Arial" w:eastAsiaTheme="minorHAnsi" w:hAnsi="Arial" w:cs="Arial"/>
                <w:bCs/>
                <w:color w:val="000000" w:themeColor="text1"/>
                <w:sz w:val="16"/>
                <w:szCs w:val="16"/>
              </w:rPr>
            </w:pPr>
            <w:r w:rsidRPr="002F58D0">
              <w:rPr>
                <w:rFonts w:ascii="Arial" w:hAnsi="Arial" w:cs="Arial"/>
                <w:bCs/>
                <w:color w:val="000000" w:themeColor="text1"/>
                <w:sz w:val="16"/>
                <w:szCs w:val="16"/>
              </w:rPr>
              <w:t>Risks associated with manmade or natural disasters involving WIPO’s staff, its visitors and infrastructure (fire, explosion, flood, collapse and technical systems failures). Failures in preparing, monitoring and responding to these events may cause personal injury, death and/or seriously impact WIPO’s business operations.   </w:t>
            </w:r>
          </w:p>
        </w:tc>
        <w:tc>
          <w:tcPr>
            <w:tcW w:w="5103" w:type="dxa"/>
            <w:tcBorders>
              <w:top w:val="nil"/>
              <w:left w:val="nil"/>
              <w:bottom w:val="nil"/>
              <w:right w:val="single" w:sz="8" w:space="0" w:color="auto"/>
            </w:tcBorders>
            <w:tcMar>
              <w:top w:w="113" w:type="dxa"/>
              <w:left w:w="108" w:type="dxa"/>
              <w:bottom w:w="113" w:type="dxa"/>
              <w:right w:w="108" w:type="dxa"/>
            </w:tcMar>
            <w:hideMark/>
          </w:tcPr>
          <w:p w14:paraId="7F370994" w14:textId="77777777" w:rsidR="002F58D0" w:rsidRPr="002F58D0" w:rsidRDefault="002F58D0" w:rsidP="00A42BFB">
            <w:pPr>
              <w:rPr>
                <w:rFonts w:ascii="Arial" w:eastAsiaTheme="minorHAnsi" w:hAnsi="Arial" w:cs="Arial"/>
                <w:color w:val="000000" w:themeColor="text1"/>
                <w:sz w:val="16"/>
                <w:szCs w:val="16"/>
              </w:rPr>
            </w:pPr>
            <w:r w:rsidRPr="002F58D0">
              <w:rPr>
                <w:rFonts w:ascii="Arial" w:hAnsi="Arial" w:cs="Arial"/>
                <w:color w:val="000000" w:themeColor="text1"/>
                <w:sz w:val="16"/>
                <w:szCs w:val="16"/>
              </w:rPr>
              <w:t>Effective emergency/evacuation plans and response mechanisms for all WIPO HQ’s facilities currently in place, including emergency response and coordination capabilities. Proactive safety/security facilities inspection program established in 2013 to monitor and address identified controlled deficiencies.  </w:t>
            </w:r>
          </w:p>
        </w:tc>
      </w:tr>
      <w:tr w:rsidR="002F58D0" w:rsidRPr="002F58D0" w14:paraId="18ED0C83" w14:textId="77777777" w:rsidTr="002F58D0">
        <w:trPr>
          <w:trHeight w:val="1027"/>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14:paraId="68DBD8C6" w14:textId="77777777" w:rsidR="002F58D0" w:rsidRPr="002F58D0" w:rsidRDefault="002F58D0" w:rsidP="00A42BFB">
            <w:pPr>
              <w:rPr>
                <w:rFonts w:ascii="Arial" w:eastAsiaTheme="minorHAnsi" w:hAnsi="Arial" w:cs="Arial"/>
                <w:bCs/>
                <w:color w:val="000000" w:themeColor="text1"/>
                <w:sz w:val="16"/>
                <w:szCs w:val="16"/>
              </w:rPr>
            </w:pPr>
            <w:r w:rsidRPr="002F58D0">
              <w:rPr>
                <w:rFonts w:ascii="Arial" w:hAnsi="Arial" w:cs="Arial"/>
                <w:bCs/>
                <w:color w:val="000000" w:themeColor="text1"/>
                <w:sz w:val="16"/>
                <w:szCs w:val="16"/>
              </w:rPr>
              <w:t>Criminal occurrences both internal and external impacting the Organization (theft, sabotage, terrorism); malicious acts disrupting the Organization's operations and/or acts that disrupt the Organization’s work (demonstrations/civil unrest/anti-globalization/anarchist groups).</w:t>
            </w:r>
          </w:p>
        </w:tc>
        <w:tc>
          <w:tcPr>
            <w:tcW w:w="5103" w:type="dxa"/>
            <w:tcBorders>
              <w:top w:val="nil"/>
              <w:left w:val="nil"/>
              <w:bottom w:val="single" w:sz="8" w:space="0" w:color="auto"/>
              <w:right w:val="single" w:sz="8" w:space="0" w:color="auto"/>
            </w:tcBorders>
            <w:tcMar>
              <w:top w:w="113" w:type="dxa"/>
              <w:left w:w="108" w:type="dxa"/>
              <w:bottom w:w="113" w:type="dxa"/>
              <w:right w:w="108" w:type="dxa"/>
            </w:tcMar>
            <w:hideMark/>
          </w:tcPr>
          <w:p w14:paraId="55181BBD" w14:textId="77777777" w:rsidR="002F58D0" w:rsidRPr="002F58D0" w:rsidRDefault="002F58D0" w:rsidP="00A42BFB">
            <w:pPr>
              <w:rPr>
                <w:rFonts w:ascii="Arial" w:eastAsiaTheme="minorHAnsi" w:hAnsi="Arial" w:cs="Arial"/>
                <w:bCs/>
                <w:color w:val="000000" w:themeColor="text1"/>
                <w:sz w:val="16"/>
                <w:szCs w:val="16"/>
              </w:rPr>
            </w:pPr>
            <w:r w:rsidRPr="002F58D0">
              <w:rPr>
                <w:rFonts w:ascii="Arial" w:hAnsi="Arial" w:cs="Arial"/>
                <w:bCs/>
                <w:color w:val="000000" w:themeColor="text1"/>
                <w:sz w:val="16"/>
                <w:szCs w:val="16"/>
              </w:rPr>
              <w:t>Comprehensive safety and security framework currently in place, risk management protocols and concentric layers of physical security control that include anti-intrusion measures, CCTV cameras and a state-of-the-art premises access system.  </w:t>
            </w:r>
          </w:p>
        </w:tc>
      </w:tr>
    </w:tbl>
    <w:p w14:paraId="5905B1D0" w14:textId="77777777" w:rsidR="002F58D0" w:rsidRPr="002F58D0" w:rsidRDefault="002F58D0" w:rsidP="00A42BFB">
      <w:pPr>
        <w:autoSpaceDE w:val="0"/>
        <w:autoSpaceDN w:val="0"/>
        <w:adjustRightInd w:val="0"/>
        <w:jc w:val="both"/>
        <w:rPr>
          <w:rFonts w:ascii="Arial" w:hAnsi="Arial" w:cs="Arial"/>
          <w:sz w:val="20"/>
        </w:rPr>
      </w:pPr>
    </w:p>
    <w:p w14:paraId="4A83698E" w14:textId="77777777" w:rsidR="002F58D0" w:rsidRPr="002F58D0" w:rsidRDefault="002F58D0" w:rsidP="00A42BFB">
      <w:pPr>
        <w:autoSpaceDE w:val="0"/>
        <w:autoSpaceDN w:val="0"/>
        <w:adjustRightInd w:val="0"/>
        <w:jc w:val="both"/>
        <w:rPr>
          <w:rFonts w:ascii="Arial" w:hAnsi="Arial" w:cs="Arial"/>
          <w:sz w:val="20"/>
        </w:rPr>
      </w:pPr>
    </w:p>
    <w:p w14:paraId="234DFB27" w14:textId="4B0EE8A5" w:rsidR="002F58D0" w:rsidRDefault="002F58D0">
      <w:pPr>
        <w:rPr>
          <w:rFonts w:ascii="Arial" w:hAnsi="Arial" w:cs="Arial"/>
        </w:rPr>
      </w:pPr>
    </w:p>
    <w:p w14:paraId="2E754321" w14:textId="2AC0035E" w:rsidR="002F58D0" w:rsidRPr="002F58D0" w:rsidRDefault="002F58D0" w:rsidP="00A42BFB">
      <w:pPr>
        <w:autoSpaceDE w:val="0"/>
        <w:autoSpaceDN w:val="0"/>
        <w:adjustRightInd w:val="0"/>
        <w:jc w:val="both"/>
        <w:rPr>
          <w:rFonts w:ascii="Arial" w:hAnsi="Arial" w:cs="Arial"/>
        </w:rPr>
      </w:pPr>
      <w:r w:rsidRPr="002F58D0">
        <w:rPr>
          <w:rFonts w:ascii="Arial" w:hAnsi="Arial" w:cs="Arial"/>
        </w:rPr>
        <w:t>RESULTS FRAMEWORK</w:t>
      </w:r>
    </w:p>
    <w:p w14:paraId="639D1AF5" w14:textId="77777777" w:rsidR="002F58D0" w:rsidRPr="002F58D0" w:rsidRDefault="002F58D0" w:rsidP="00A42BFB">
      <w:pPr>
        <w:autoSpaceDE w:val="0"/>
        <w:autoSpaceDN w:val="0"/>
        <w:adjustRightInd w:val="0"/>
        <w:jc w:val="both"/>
        <w:rPr>
          <w:rFonts w:ascii="Arial" w:hAnsi="Arial" w:cs="Arial"/>
        </w:rPr>
      </w:pPr>
    </w:p>
    <w:tbl>
      <w:tblPr>
        <w:tblW w:w="9120" w:type="dxa"/>
        <w:tblInd w:w="93" w:type="dxa"/>
        <w:tblLook w:val="04A0" w:firstRow="1" w:lastRow="0" w:firstColumn="1" w:lastColumn="0" w:noHBand="0" w:noVBand="1"/>
      </w:tblPr>
      <w:tblGrid>
        <w:gridCol w:w="2060"/>
        <w:gridCol w:w="2520"/>
        <w:gridCol w:w="2280"/>
        <w:gridCol w:w="2260"/>
      </w:tblGrid>
      <w:tr w:rsidR="002F58D0" w:rsidRPr="002F58D0" w14:paraId="499251F7" w14:textId="77777777" w:rsidTr="00F02482">
        <w:trPr>
          <w:trHeight w:val="555"/>
          <w:tblHeader/>
        </w:trPr>
        <w:tc>
          <w:tcPr>
            <w:tcW w:w="2060" w:type="dxa"/>
            <w:tcBorders>
              <w:top w:val="single" w:sz="4" w:space="0" w:color="auto"/>
              <w:left w:val="single" w:sz="4" w:space="0" w:color="auto"/>
              <w:bottom w:val="single" w:sz="4" w:space="0" w:color="auto"/>
              <w:right w:val="nil"/>
            </w:tcBorders>
            <w:shd w:val="clear" w:color="000000" w:fill="C6D9F1" w:themeFill="text2" w:themeFillTint="33"/>
            <w:vAlign w:val="center"/>
            <w:hideMark/>
          </w:tcPr>
          <w:p w14:paraId="1D201E45" w14:textId="77777777" w:rsidR="002F58D0" w:rsidRPr="002F58D0" w:rsidRDefault="002F58D0" w:rsidP="00A42BFB">
            <w:pPr>
              <w:jc w:val="center"/>
              <w:rPr>
                <w:rFonts w:ascii="Arial" w:hAnsi="Arial" w:cs="Arial"/>
                <w:b/>
                <w:bCs/>
                <w:color w:val="000000"/>
                <w:sz w:val="18"/>
                <w:szCs w:val="18"/>
              </w:rPr>
            </w:pPr>
            <w:r w:rsidRPr="002F58D0">
              <w:rPr>
                <w:rFonts w:ascii="Arial" w:hAnsi="Arial" w:cs="Arial"/>
                <w:b/>
                <w:bCs/>
                <w:color w:val="000000"/>
                <w:sz w:val="18"/>
                <w:szCs w:val="18"/>
              </w:rPr>
              <w:t>Expected Results</w:t>
            </w:r>
          </w:p>
        </w:tc>
        <w:tc>
          <w:tcPr>
            <w:tcW w:w="2520" w:type="dxa"/>
            <w:tcBorders>
              <w:top w:val="single" w:sz="4" w:space="0" w:color="auto"/>
              <w:left w:val="nil"/>
              <w:bottom w:val="single" w:sz="4" w:space="0" w:color="auto"/>
              <w:right w:val="nil"/>
            </w:tcBorders>
            <w:shd w:val="clear" w:color="000000" w:fill="C6D9F1" w:themeFill="text2" w:themeFillTint="33"/>
            <w:vAlign w:val="center"/>
            <w:hideMark/>
          </w:tcPr>
          <w:p w14:paraId="7435FACE" w14:textId="77777777" w:rsidR="002F58D0" w:rsidRPr="002F58D0" w:rsidRDefault="002F58D0" w:rsidP="00A42BFB">
            <w:pPr>
              <w:jc w:val="center"/>
              <w:rPr>
                <w:rFonts w:ascii="Arial" w:hAnsi="Arial" w:cs="Arial"/>
                <w:b/>
                <w:bCs/>
                <w:color w:val="000000"/>
                <w:sz w:val="18"/>
                <w:szCs w:val="18"/>
              </w:rPr>
            </w:pPr>
            <w:r w:rsidRPr="002F58D0">
              <w:rPr>
                <w:rFonts w:ascii="Arial" w:hAnsi="Arial" w:cs="Arial"/>
                <w:b/>
                <w:bCs/>
                <w:color w:val="000000"/>
                <w:sz w:val="18"/>
                <w:szCs w:val="18"/>
              </w:rPr>
              <w:t>Performance Indicators</w:t>
            </w:r>
          </w:p>
        </w:tc>
        <w:tc>
          <w:tcPr>
            <w:tcW w:w="2280" w:type="dxa"/>
            <w:tcBorders>
              <w:top w:val="single" w:sz="4" w:space="0" w:color="auto"/>
              <w:left w:val="nil"/>
              <w:bottom w:val="single" w:sz="4" w:space="0" w:color="auto"/>
              <w:right w:val="nil"/>
            </w:tcBorders>
            <w:shd w:val="clear" w:color="000000" w:fill="C6D9F1" w:themeFill="text2" w:themeFillTint="33"/>
            <w:vAlign w:val="center"/>
            <w:hideMark/>
          </w:tcPr>
          <w:p w14:paraId="55E3A473" w14:textId="77777777" w:rsidR="002F58D0" w:rsidRPr="002F58D0" w:rsidRDefault="002F58D0" w:rsidP="00A42BFB">
            <w:pPr>
              <w:jc w:val="center"/>
              <w:rPr>
                <w:rFonts w:ascii="Arial" w:hAnsi="Arial" w:cs="Arial"/>
                <w:b/>
                <w:bCs/>
                <w:color w:val="000000"/>
                <w:sz w:val="18"/>
                <w:szCs w:val="18"/>
              </w:rPr>
            </w:pPr>
            <w:r w:rsidRPr="002F58D0">
              <w:rPr>
                <w:rFonts w:ascii="Arial" w:hAnsi="Arial" w:cs="Arial"/>
                <w:b/>
                <w:bCs/>
                <w:color w:val="000000"/>
                <w:sz w:val="18"/>
                <w:szCs w:val="18"/>
              </w:rPr>
              <w:t>Baselines</w:t>
            </w:r>
          </w:p>
        </w:tc>
        <w:tc>
          <w:tcPr>
            <w:tcW w:w="2260" w:type="dxa"/>
            <w:tcBorders>
              <w:top w:val="single" w:sz="4" w:space="0" w:color="auto"/>
              <w:left w:val="nil"/>
              <w:bottom w:val="single" w:sz="4" w:space="0" w:color="auto"/>
              <w:right w:val="single" w:sz="4" w:space="0" w:color="auto"/>
            </w:tcBorders>
            <w:shd w:val="clear" w:color="000000" w:fill="C6D9F1" w:themeFill="text2" w:themeFillTint="33"/>
            <w:vAlign w:val="center"/>
            <w:hideMark/>
          </w:tcPr>
          <w:p w14:paraId="1928B41C" w14:textId="77777777" w:rsidR="002F58D0" w:rsidRPr="002F58D0" w:rsidRDefault="002F58D0" w:rsidP="00A42BFB">
            <w:pPr>
              <w:jc w:val="center"/>
              <w:rPr>
                <w:rFonts w:ascii="Arial" w:hAnsi="Arial" w:cs="Arial"/>
                <w:b/>
                <w:bCs/>
                <w:color w:val="000000"/>
                <w:sz w:val="18"/>
                <w:szCs w:val="18"/>
              </w:rPr>
            </w:pPr>
            <w:r w:rsidRPr="002F58D0">
              <w:rPr>
                <w:rFonts w:ascii="Arial" w:hAnsi="Arial" w:cs="Arial"/>
                <w:b/>
                <w:bCs/>
                <w:color w:val="000000"/>
                <w:sz w:val="18"/>
                <w:szCs w:val="18"/>
              </w:rPr>
              <w:t>Targets</w:t>
            </w:r>
          </w:p>
        </w:tc>
      </w:tr>
      <w:tr w:rsidR="002F58D0" w:rsidRPr="002F58D0" w14:paraId="010B0E4E" w14:textId="77777777" w:rsidTr="00F02482">
        <w:trPr>
          <w:trHeight w:val="1795"/>
        </w:trPr>
        <w:tc>
          <w:tcPr>
            <w:tcW w:w="2060" w:type="dxa"/>
            <w:tcBorders>
              <w:top w:val="single" w:sz="4" w:space="0" w:color="auto"/>
              <w:left w:val="single" w:sz="4" w:space="0" w:color="auto"/>
              <w:bottom w:val="single" w:sz="4" w:space="0" w:color="auto"/>
              <w:right w:val="nil"/>
            </w:tcBorders>
            <w:shd w:val="clear" w:color="000000" w:fill="FFFFFF"/>
            <w:hideMark/>
          </w:tcPr>
          <w:p w14:paraId="0D5F48A0"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br/>
              <w:t>IX.1 Effective, efficient, quality and customer-oriented support services both to internal clients and to external stakeholders</w:t>
            </w:r>
          </w:p>
        </w:tc>
        <w:tc>
          <w:tcPr>
            <w:tcW w:w="2520" w:type="dxa"/>
            <w:tcBorders>
              <w:top w:val="single" w:sz="4" w:space="0" w:color="auto"/>
              <w:left w:val="nil"/>
              <w:bottom w:val="single" w:sz="4" w:space="0" w:color="auto"/>
              <w:right w:val="nil"/>
            </w:tcBorders>
            <w:shd w:val="clear" w:color="000000" w:fill="FFFFFF"/>
            <w:hideMark/>
          </w:tcPr>
          <w:p w14:paraId="1B71D813" w14:textId="77777777" w:rsidR="002F58D0" w:rsidRPr="002F58D0" w:rsidRDefault="002F58D0" w:rsidP="00A42BFB">
            <w:pPr>
              <w:ind w:firstLineChars="200" w:firstLine="320"/>
              <w:rPr>
                <w:rFonts w:ascii="Arial" w:hAnsi="Arial" w:cs="Arial"/>
                <w:color w:val="000000"/>
                <w:sz w:val="16"/>
                <w:szCs w:val="16"/>
              </w:rPr>
            </w:pPr>
            <w:r w:rsidRPr="002F58D0">
              <w:rPr>
                <w:rFonts w:ascii="Arial" w:hAnsi="Arial" w:cs="Arial"/>
                <w:color w:val="000000"/>
                <w:sz w:val="16"/>
                <w:szCs w:val="16"/>
              </w:rPr>
              <w:br/>
              <w:t xml:space="preserve">IA governance defined and enforced. </w:t>
            </w:r>
            <w:r w:rsidRPr="002F58D0">
              <w:rPr>
                <w:rFonts w:ascii="Arial" w:hAnsi="Arial" w:cs="Arial"/>
                <w:color w:val="000000"/>
                <w:sz w:val="16"/>
                <w:szCs w:val="16"/>
              </w:rPr>
              <w:br/>
            </w:r>
            <w:r w:rsidRPr="002F58D0">
              <w:rPr>
                <w:rFonts w:ascii="Arial" w:hAnsi="Arial" w:cs="Arial"/>
                <w:color w:val="000000"/>
                <w:sz w:val="16"/>
                <w:szCs w:val="16"/>
              </w:rPr>
              <w:br/>
            </w:r>
            <w:r w:rsidRPr="002F58D0">
              <w:rPr>
                <w:rFonts w:ascii="Arial" w:hAnsi="Arial" w:cs="Arial"/>
                <w:color w:val="000000"/>
                <w:sz w:val="16"/>
                <w:szCs w:val="16"/>
              </w:rPr>
              <w:br/>
              <w:t>No. of staff aware of their information security responsibilities, security policies and best practices.</w:t>
            </w:r>
          </w:p>
        </w:tc>
        <w:tc>
          <w:tcPr>
            <w:tcW w:w="2280" w:type="dxa"/>
            <w:tcBorders>
              <w:top w:val="single" w:sz="4" w:space="0" w:color="auto"/>
              <w:left w:val="nil"/>
              <w:bottom w:val="single" w:sz="4" w:space="0" w:color="auto"/>
              <w:right w:val="nil"/>
            </w:tcBorders>
            <w:shd w:val="clear" w:color="000000" w:fill="FFFFFF"/>
            <w:hideMark/>
          </w:tcPr>
          <w:p w14:paraId="797B2259" w14:textId="47B979D2" w:rsidR="002F58D0" w:rsidRPr="002F58D0" w:rsidRDefault="002F58D0">
            <w:pPr>
              <w:ind w:firstLineChars="19" w:firstLine="30"/>
              <w:rPr>
                <w:rFonts w:ascii="Arial" w:hAnsi="Arial" w:cs="Arial"/>
                <w:color w:val="000000"/>
                <w:sz w:val="16"/>
                <w:szCs w:val="16"/>
              </w:rPr>
            </w:pPr>
            <w:r w:rsidRPr="002F58D0">
              <w:rPr>
                <w:rFonts w:ascii="Arial" w:hAnsi="Arial" w:cs="Arial"/>
                <w:color w:val="000000"/>
                <w:sz w:val="16"/>
                <w:szCs w:val="16"/>
              </w:rPr>
              <w:br/>
              <w:t xml:space="preserve">Limited governance of IA </w:t>
            </w:r>
            <w:r w:rsidRPr="002F58D0">
              <w:rPr>
                <w:rFonts w:ascii="Arial" w:hAnsi="Arial" w:cs="Arial"/>
                <w:color w:val="000000"/>
                <w:sz w:val="16"/>
                <w:szCs w:val="16"/>
              </w:rPr>
              <w:br/>
              <w:t>Limited capacity to execute the IA strategy.</w:t>
            </w:r>
            <w:r w:rsidRPr="002F58D0">
              <w:rPr>
                <w:rFonts w:ascii="Arial" w:hAnsi="Arial" w:cs="Arial"/>
                <w:color w:val="000000"/>
                <w:sz w:val="16"/>
                <w:szCs w:val="16"/>
              </w:rPr>
              <w:br/>
            </w:r>
            <w:r w:rsidRPr="002F58D0">
              <w:rPr>
                <w:rFonts w:ascii="Arial" w:hAnsi="Arial" w:cs="Arial"/>
                <w:color w:val="000000"/>
                <w:sz w:val="16"/>
                <w:szCs w:val="16"/>
              </w:rPr>
              <w:br/>
            </w:r>
            <w:r w:rsidR="007824BC">
              <w:rPr>
                <w:rFonts w:ascii="Arial" w:hAnsi="Arial" w:cs="Arial"/>
                <w:color w:val="000000"/>
                <w:sz w:val="16"/>
                <w:szCs w:val="16"/>
              </w:rPr>
              <w:t>12</w:t>
            </w:r>
            <w:r w:rsidRPr="002F58D0">
              <w:rPr>
                <w:rFonts w:ascii="Arial" w:hAnsi="Arial" w:cs="Arial"/>
                <w:color w:val="000000"/>
                <w:sz w:val="16"/>
                <w:szCs w:val="16"/>
              </w:rPr>
              <w:t>% of staff have fallen for phishing campaigns</w:t>
            </w:r>
            <w:r w:rsidR="007824BC">
              <w:rPr>
                <w:rFonts w:ascii="Arial" w:hAnsi="Arial" w:cs="Arial"/>
                <w:color w:val="000000"/>
                <w:sz w:val="16"/>
                <w:szCs w:val="16"/>
              </w:rPr>
              <w:t xml:space="preserve"> (average based on 2 simulation campaigns conducted in 2014 and the first half of 2015)</w:t>
            </w:r>
            <w:r w:rsidRPr="002F58D0">
              <w:rPr>
                <w:rFonts w:ascii="Arial" w:hAnsi="Arial" w:cs="Arial"/>
                <w:color w:val="000000"/>
                <w:sz w:val="16"/>
                <w:szCs w:val="16"/>
              </w:rPr>
              <w:br/>
            </w:r>
          </w:p>
        </w:tc>
        <w:tc>
          <w:tcPr>
            <w:tcW w:w="2260" w:type="dxa"/>
            <w:tcBorders>
              <w:top w:val="single" w:sz="4" w:space="0" w:color="auto"/>
              <w:left w:val="nil"/>
              <w:bottom w:val="single" w:sz="4" w:space="0" w:color="auto"/>
              <w:right w:val="single" w:sz="4" w:space="0" w:color="auto"/>
            </w:tcBorders>
            <w:shd w:val="clear" w:color="000000" w:fill="FFFFFF"/>
            <w:hideMark/>
          </w:tcPr>
          <w:p w14:paraId="03E19B2F" w14:textId="77777777" w:rsidR="002F58D0" w:rsidRPr="002F58D0" w:rsidRDefault="002F58D0" w:rsidP="00A42BFB">
            <w:pPr>
              <w:ind w:firstLineChars="26" w:firstLine="42"/>
              <w:rPr>
                <w:rFonts w:ascii="Arial" w:hAnsi="Arial" w:cs="Arial"/>
                <w:color w:val="000000"/>
                <w:sz w:val="16"/>
                <w:szCs w:val="16"/>
              </w:rPr>
            </w:pPr>
            <w:r w:rsidRPr="002F58D0">
              <w:rPr>
                <w:rFonts w:ascii="Arial" w:hAnsi="Arial" w:cs="Arial"/>
                <w:color w:val="000000"/>
                <w:sz w:val="16"/>
                <w:szCs w:val="16"/>
              </w:rPr>
              <w:br/>
              <w:t xml:space="preserve">Approved IA governance framework enactment. </w:t>
            </w:r>
            <w:r w:rsidRPr="002F58D0">
              <w:rPr>
                <w:rFonts w:ascii="Arial" w:hAnsi="Arial" w:cs="Arial"/>
                <w:color w:val="000000"/>
                <w:sz w:val="16"/>
                <w:szCs w:val="16"/>
              </w:rPr>
              <w:br/>
            </w:r>
            <w:r w:rsidRPr="002F58D0">
              <w:rPr>
                <w:rFonts w:ascii="Arial" w:hAnsi="Arial" w:cs="Arial"/>
                <w:color w:val="000000"/>
                <w:sz w:val="16"/>
                <w:szCs w:val="16"/>
              </w:rPr>
              <w:br/>
            </w:r>
            <w:r w:rsidRPr="002F58D0">
              <w:rPr>
                <w:rFonts w:ascii="Arial" w:hAnsi="Arial" w:cs="Arial"/>
                <w:color w:val="000000"/>
                <w:sz w:val="16"/>
                <w:szCs w:val="16"/>
              </w:rPr>
              <w:br/>
              <w:t>Less than 5% staff fall for phishing campaigns.</w:t>
            </w:r>
            <w:r w:rsidRPr="002F58D0">
              <w:rPr>
                <w:rFonts w:ascii="Arial" w:hAnsi="Arial" w:cs="Arial"/>
                <w:color w:val="000000"/>
                <w:sz w:val="16"/>
                <w:szCs w:val="16"/>
              </w:rPr>
              <w:br/>
            </w:r>
          </w:p>
        </w:tc>
      </w:tr>
      <w:tr w:rsidR="002F58D0" w:rsidRPr="002F58D0" w14:paraId="689997C1" w14:textId="77777777" w:rsidTr="00F02482">
        <w:trPr>
          <w:trHeight w:val="1558"/>
        </w:trPr>
        <w:tc>
          <w:tcPr>
            <w:tcW w:w="2060" w:type="dxa"/>
            <w:vMerge w:val="restart"/>
            <w:tcBorders>
              <w:top w:val="single" w:sz="4" w:space="0" w:color="auto"/>
              <w:left w:val="single" w:sz="4" w:space="0" w:color="auto"/>
              <w:right w:val="nil"/>
            </w:tcBorders>
            <w:shd w:val="clear" w:color="000000" w:fill="FFFFFF"/>
            <w:hideMark/>
          </w:tcPr>
          <w:p w14:paraId="20306A9A"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lastRenderedPageBreak/>
              <w:br/>
              <w:t>IX.4 An environmentally and socially responsible Organization in which WIPO staff, delegates, visitors and information and physical assets are safe and secure</w:t>
            </w:r>
          </w:p>
        </w:tc>
        <w:tc>
          <w:tcPr>
            <w:tcW w:w="2520" w:type="dxa"/>
            <w:tcBorders>
              <w:top w:val="single" w:sz="4" w:space="0" w:color="auto"/>
              <w:left w:val="nil"/>
              <w:right w:val="nil"/>
            </w:tcBorders>
            <w:shd w:val="clear" w:color="000000" w:fill="FFFFFF"/>
            <w:hideMark/>
          </w:tcPr>
          <w:p w14:paraId="7C766C7C"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br/>
              <w:t xml:space="preserve">% of information risks, including third party risks, reported and managed consistently within WIPO's risk tolerances. </w:t>
            </w:r>
          </w:p>
        </w:tc>
        <w:tc>
          <w:tcPr>
            <w:tcW w:w="2280" w:type="dxa"/>
            <w:tcBorders>
              <w:top w:val="single" w:sz="4" w:space="0" w:color="auto"/>
              <w:left w:val="nil"/>
              <w:right w:val="nil"/>
            </w:tcBorders>
            <w:shd w:val="clear" w:color="000000" w:fill="FFFFFF"/>
            <w:hideMark/>
          </w:tcPr>
          <w:p w14:paraId="662CD4E2"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br/>
              <w:t xml:space="preserve">Information risks reported on an ad-hoc basis. </w:t>
            </w:r>
            <w:r w:rsidRPr="002F58D0">
              <w:rPr>
                <w:rFonts w:ascii="Arial" w:hAnsi="Arial" w:cs="Arial"/>
                <w:color w:val="000000"/>
                <w:sz w:val="16"/>
                <w:szCs w:val="16"/>
              </w:rPr>
              <w:br/>
              <w:t>Third party information risks not consistently identified and managed.</w:t>
            </w:r>
          </w:p>
        </w:tc>
        <w:tc>
          <w:tcPr>
            <w:tcW w:w="2260" w:type="dxa"/>
            <w:tcBorders>
              <w:top w:val="single" w:sz="4" w:space="0" w:color="auto"/>
              <w:left w:val="nil"/>
              <w:right w:val="single" w:sz="4" w:space="0" w:color="auto"/>
            </w:tcBorders>
            <w:shd w:val="clear" w:color="000000" w:fill="FFFFFF"/>
            <w:hideMark/>
          </w:tcPr>
          <w:p w14:paraId="60EFBFAF"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br/>
              <w:t xml:space="preserve">Quarterly reporting of enterprise information risks to internal IA governance bodies </w:t>
            </w:r>
            <w:r w:rsidRPr="002F58D0">
              <w:rPr>
                <w:rFonts w:ascii="Arial" w:hAnsi="Arial" w:cs="Arial"/>
                <w:color w:val="000000"/>
                <w:sz w:val="16"/>
                <w:szCs w:val="16"/>
              </w:rPr>
              <w:br/>
              <w:t>Active management of third party information risks (&lt;10% High).</w:t>
            </w:r>
          </w:p>
        </w:tc>
      </w:tr>
      <w:tr w:rsidR="002F58D0" w:rsidRPr="002F58D0" w14:paraId="2632BA81" w14:textId="77777777" w:rsidTr="002F58D0">
        <w:trPr>
          <w:trHeight w:val="1815"/>
        </w:trPr>
        <w:tc>
          <w:tcPr>
            <w:tcW w:w="2060" w:type="dxa"/>
            <w:vMerge/>
            <w:tcBorders>
              <w:left w:val="single" w:sz="4" w:space="0" w:color="auto"/>
              <w:bottom w:val="single" w:sz="4" w:space="0" w:color="000000"/>
              <w:right w:val="nil"/>
            </w:tcBorders>
            <w:vAlign w:val="center"/>
            <w:hideMark/>
          </w:tcPr>
          <w:p w14:paraId="675FB8A1" w14:textId="77777777" w:rsidR="002F58D0" w:rsidRPr="002F58D0" w:rsidRDefault="002F58D0" w:rsidP="00A42BFB">
            <w:pPr>
              <w:rPr>
                <w:rFonts w:ascii="Arial" w:hAnsi="Arial" w:cs="Arial"/>
                <w:color w:val="000000"/>
                <w:sz w:val="16"/>
                <w:szCs w:val="16"/>
              </w:rPr>
            </w:pPr>
          </w:p>
        </w:tc>
        <w:tc>
          <w:tcPr>
            <w:tcW w:w="2520" w:type="dxa"/>
            <w:tcBorders>
              <w:left w:val="nil"/>
              <w:bottom w:val="nil"/>
              <w:right w:val="nil"/>
            </w:tcBorders>
            <w:shd w:val="clear" w:color="000000" w:fill="FFFFFF"/>
            <w:hideMark/>
          </w:tcPr>
          <w:p w14:paraId="5E3AD972"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 xml:space="preserve">Proactive identification and timely remediation of vulnerabilities within agreed service levels. </w:t>
            </w:r>
            <w:r w:rsidRPr="002F58D0">
              <w:rPr>
                <w:rFonts w:ascii="Arial" w:hAnsi="Arial" w:cs="Arial"/>
                <w:color w:val="000000"/>
                <w:sz w:val="16"/>
                <w:szCs w:val="16"/>
              </w:rPr>
              <w:br/>
            </w:r>
            <w:r w:rsidRPr="002F58D0">
              <w:rPr>
                <w:rFonts w:ascii="Arial" w:hAnsi="Arial" w:cs="Arial"/>
                <w:color w:val="000000"/>
                <w:sz w:val="16"/>
                <w:szCs w:val="16"/>
              </w:rPr>
              <w:br/>
            </w:r>
            <w:r w:rsidRPr="002F58D0">
              <w:rPr>
                <w:rFonts w:ascii="Arial" w:hAnsi="Arial" w:cs="Arial"/>
                <w:color w:val="000000"/>
                <w:sz w:val="16"/>
                <w:szCs w:val="16"/>
              </w:rPr>
              <w:br/>
              <w:t xml:space="preserve">Increased compliance to IA policies and standards. </w:t>
            </w:r>
          </w:p>
        </w:tc>
        <w:tc>
          <w:tcPr>
            <w:tcW w:w="2280" w:type="dxa"/>
            <w:tcBorders>
              <w:left w:val="nil"/>
              <w:bottom w:val="nil"/>
              <w:right w:val="nil"/>
            </w:tcBorders>
            <w:shd w:val="clear" w:color="000000" w:fill="FFFFFF"/>
            <w:hideMark/>
          </w:tcPr>
          <w:p w14:paraId="12B4C5E8"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Limited information security vulnerabilities identified and remediated.</w:t>
            </w:r>
            <w:r w:rsidRPr="002F58D0">
              <w:rPr>
                <w:rFonts w:ascii="Arial" w:hAnsi="Arial" w:cs="Arial"/>
                <w:color w:val="000000"/>
                <w:sz w:val="16"/>
                <w:szCs w:val="16"/>
              </w:rPr>
              <w:br/>
            </w:r>
            <w:r w:rsidRPr="002F58D0">
              <w:rPr>
                <w:rFonts w:ascii="Arial" w:hAnsi="Arial" w:cs="Arial"/>
                <w:color w:val="000000"/>
                <w:sz w:val="16"/>
                <w:szCs w:val="16"/>
              </w:rPr>
              <w:br/>
              <w:t xml:space="preserve"> </w:t>
            </w:r>
            <w:r w:rsidRPr="002F58D0">
              <w:rPr>
                <w:rFonts w:ascii="Arial" w:hAnsi="Arial" w:cs="Arial"/>
                <w:color w:val="000000"/>
                <w:sz w:val="16"/>
                <w:szCs w:val="16"/>
              </w:rPr>
              <w:br/>
              <w:t xml:space="preserve">Compliance and certification to ISO 27001 standards limited to PCT applications. </w:t>
            </w:r>
          </w:p>
        </w:tc>
        <w:tc>
          <w:tcPr>
            <w:tcW w:w="2260" w:type="dxa"/>
            <w:tcBorders>
              <w:left w:val="nil"/>
              <w:bottom w:val="nil"/>
              <w:right w:val="single" w:sz="4" w:space="0" w:color="auto"/>
            </w:tcBorders>
            <w:shd w:val="clear" w:color="000000" w:fill="FFFFFF"/>
            <w:hideMark/>
          </w:tcPr>
          <w:p w14:paraId="3C190071"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Information security vulnerabilities identified and remediated on 90% of sensitive information assets.</w:t>
            </w:r>
            <w:r w:rsidRPr="002F58D0">
              <w:rPr>
                <w:rFonts w:ascii="Arial" w:hAnsi="Arial" w:cs="Arial"/>
                <w:color w:val="000000"/>
                <w:sz w:val="16"/>
                <w:szCs w:val="16"/>
              </w:rPr>
              <w:br/>
            </w:r>
            <w:r w:rsidRPr="002F58D0">
              <w:rPr>
                <w:rFonts w:ascii="Arial" w:hAnsi="Arial" w:cs="Arial"/>
                <w:color w:val="000000"/>
                <w:sz w:val="16"/>
                <w:szCs w:val="16"/>
              </w:rPr>
              <w:br/>
              <w:t>Compliance and certification to ISO 27001 standards extended to the Hague, Madrid and HR applications.</w:t>
            </w:r>
          </w:p>
        </w:tc>
      </w:tr>
      <w:tr w:rsidR="002F58D0" w:rsidRPr="002F58D0" w14:paraId="2B9CCA79" w14:textId="77777777" w:rsidTr="00A42BFB">
        <w:trPr>
          <w:trHeight w:val="1841"/>
        </w:trPr>
        <w:tc>
          <w:tcPr>
            <w:tcW w:w="2060" w:type="dxa"/>
            <w:vMerge/>
            <w:tcBorders>
              <w:top w:val="nil"/>
              <w:left w:val="single" w:sz="4" w:space="0" w:color="auto"/>
              <w:bottom w:val="single" w:sz="4" w:space="0" w:color="000000"/>
              <w:right w:val="nil"/>
            </w:tcBorders>
            <w:vAlign w:val="center"/>
            <w:hideMark/>
          </w:tcPr>
          <w:p w14:paraId="0329BD56" w14:textId="77777777" w:rsidR="002F58D0" w:rsidRPr="002F58D0" w:rsidRDefault="002F58D0" w:rsidP="00A42BFB">
            <w:pPr>
              <w:rPr>
                <w:rFonts w:ascii="Arial" w:hAnsi="Arial" w:cs="Arial"/>
                <w:color w:val="000000"/>
                <w:sz w:val="16"/>
                <w:szCs w:val="16"/>
              </w:rPr>
            </w:pPr>
          </w:p>
        </w:tc>
        <w:tc>
          <w:tcPr>
            <w:tcW w:w="2520" w:type="dxa"/>
            <w:tcBorders>
              <w:top w:val="nil"/>
              <w:left w:val="nil"/>
              <w:bottom w:val="nil"/>
              <w:right w:val="nil"/>
            </w:tcBorders>
            <w:shd w:val="clear" w:color="000000" w:fill="FFFFFF"/>
            <w:hideMark/>
          </w:tcPr>
          <w:p w14:paraId="735130E1"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Widely adopted information classification and handling policy to ensure confidentiality of information.</w:t>
            </w:r>
            <w:r w:rsidRPr="002F58D0">
              <w:rPr>
                <w:rFonts w:ascii="Arial" w:hAnsi="Arial" w:cs="Arial"/>
                <w:color w:val="000000"/>
                <w:sz w:val="16"/>
                <w:szCs w:val="16"/>
              </w:rPr>
              <w:br/>
              <w:t xml:space="preserve"> </w:t>
            </w:r>
            <w:r w:rsidRPr="002F58D0">
              <w:rPr>
                <w:rFonts w:ascii="Arial" w:hAnsi="Arial" w:cs="Arial"/>
                <w:color w:val="000000"/>
                <w:sz w:val="16"/>
                <w:szCs w:val="16"/>
              </w:rPr>
              <w:br/>
              <w:t xml:space="preserve">Reduced duplication of information security technical capabilities through reusable security architecture patterns. </w:t>
            </w:r>
          </w:p>
        </w:tc>
        <w:tc>
          <w:tcPr>
            <w:tcW w:w="2280" w:type="dxa"/>
            <w:tcBorders>
              <w:top w:val="nil"/>
              <w:left w:val="nil"/>
              <w:bottom w:val="nil"/>
              <w:right w:val="nil"/>
            </w:tcBorders>
            <w:shd w:val="clear" w:color="000000" w:fill="FFFFFF"/>
            <w:hideMark/>
          </w:tcPr>
          <w:p w14:paraId="0CCD2121"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 xml:space="preserve">Limited adoption of information classification and handling policy. </w:t>
            </w:r>
            <w:r w:rsidRPr="002F58D0">
              <w:rPr>
                <w:rFonts w:ascii="Arial" w:hAnsi="Arial" w:cs="Arial"/>
                <w:color w:val="000000"/>
                <w:sz w:val="16"/>
                <w:szCs w:val="16"/>
              </w:rPr>
              <w:br/>
            </w:r>
            <w:r w:rsidRPr="002F58D0">
              <w:rPr>
                <w:rFonts w:ascii="Arial" w:hAnsi="Arial" w:cs="Arial"/>
                <w:color w:val="000000"/>
                <w:sz w:val="16"/>
                <w:szCs w:val="16"/>
              </w:rPr>
              <w:br/>
            </w:r>
            <w:r w:rsidRPr="002F58D0">
              <w:rPr>
                <w:rFonts w:ascii="Arial" w:hAnsi="Arial" w:cs="Arial"/>
                <w:color w:val="000000"/>
                <w:sz w:val="16"/>
                <w:szCs w:val="16"/>
              </w:rPr>
              <w:br/>
              <w:t xml:space="preserve">Disparate and limited deployment of security capabilities reducing reusability and flexibility. </w:t>
            </w:r>
          </w:p>
        </w:tc>
        <w:tc>
          <w:tcPr>
            <w:tcW w:w="2260" w:type="dxa"/>
            <w:tcBorders>
              <w:top w:val="nil"/>
              <w:left w:val="nil"/>
              <w:bottom w:val="nil"/>
              <w:right w:val="single" w:sz="4" w:space="0" w:color="auto"/>
            </w:tcBorders>
            <w:shd w:val="clear" w:color="000000" w:fill="FFFFFF"/>
            <w:hideMark/>
          </w:tcPr>
          <w:p w14:paraId="347C9CEC"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 xml:space="preserve">Adoption of information classification and handling increased by 40%. </w:t>
            </w:r>
            <w:r w:rsidRPr="002F58D0">
              <w:rPr>
                <w:rFonts w:ascii="Arial" w:hAnsi="Arial" w:cs="Arial"/>
                <w:color w:val="000000"/>
                <w:sz w:val="16"/>
                <w:szCs w:val="16"/>
              </w:rPr>
              <w:br/>
            </w:r>
            <w:r w:rsidRPr="002F58D0">
              <w:rPr>
                <w:rFonts w:ascii="Arial" w:hAnsi="Arial" w:cs="Arial"/>
                <w:color w:val="000000"/>
                <w:sz w:val="16"/>
                <w:szCs w:val="16"/>
              </w:rPr>
              <w:br/>
              <w:t xml:space="preserve">A security reference architecture adopted to increase reusability and flexibility of security capabilities by 30%. </w:t>
            </w:r>
          </w:p>
        </w:tc>
      </w:tr>
      <w:tr w:rsidR="002F58D0" w:rsidRPr="002F58D0" w14:paraId="37D30A70" w14:textId="77777777" w:rsidTr="00A42BFB">
        <w:trPr>
          <w:trHeight w:val="1272"/>
        </w:trPr>
        <w:tc>
          <w:tcPr>
            <w:tcW w:w="2060" w:type="dxa"/>
            <w:vMerge/>
            <w:tcBorders>
              <w:top w:val="nil"/>
              <w:left w:val="single" w:sz="4" w:space="0" w:color="auto"/>
              <w:bottom w:val="single" w:sz="4" w:space="0" w:color="000000"/>
              <w:right w:val="nil"/>
            </w:tcBorders>
            <w:vAlign w:val="center"/>
            <w:hideMark/>
          </w:tcPr>
          <w:p w14:paraId="39105B66" w14:textId="77777777" w:rsidR="002F58D0" w:rsidRPr="002F58D0" w:rsidRDefault="002F58D0" w:rsidP="00A42BFB">
            <w:pPr>
              <w:rPr>
                <w:rFonts w:ascii="Arial" w:hAnsi="Arial" w:cs="Arial"/>
                <w:color w:val="000000"/>
                <w:sz w:val="16"/>
                <w:szCs w:val="16"/>
              </w:rPr>
            </w:pPr>
          </w:p>
        </w:tc>
        <w:tc>
          <w:tcPr>
            <w:tcW w:w="2520" w:type="dxa"/>
            <w:tcBorders>
              <w:top w:val="nil"/>
              <w:left w:val="nil"/>
              <w:bottom w:val="nil"/>
              <w:right w:val="nil"/>
            </w:tcBorders>
            <w:shd w:val="clear" w:color="000000" w:fill="FFFFFF"/>
            <w:hideMark/>
          </w:tcPr>
          <w:p w14:paraId="438F30EB"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Enhanced capability to detect and respond to information security threats much faster ensuring minimal business disruption.</w:t>
            </w:r>
          </w:p>
        </w:tc>
        <w:tc>
          <w:tcPr>
            <w:tcW w:w="2280" w:type="dxa"/>
            <w:tcBorders>
              <w:top w:val="nil"/>
              <w:left w:val="nil"/>
              <w:bottom w:val="nil"/>
              <w:right w:val="nil"/>
            </w:tcBorders>
            <w:shd w:val="clear" w:color="000000" w:fill="FFFFFF"/>
            <w:hideMark/>
          </w:tcPr>
          <w:p w14:paraId="6754918B"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Basic security operations cyber threat intelligence and incident response capabilities exist</w:t>
            </w:r>
          </w:p>
        </w:tc>
        <w:tc>
          <w:tcPr>
            <w:tcW w:w="2260" w:type="dxa"/>
            <w:tcBorders>
              <w:top w:val="nil"/>
              <w:left w:val="nil"/>
              <w:bottom w:val="nil"/>
              <w:right w:val="single" w:sz="4" w:space="0" w:color="auto"/>
            </w:tcBorders>
            <w:shd w:val="clear" w:color="000000" w:fill="FFFFFF"/>
            <w:hideMark/>
          </w:tcPr>
          <w:p w14:paraId="32606A19"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Implementation of a Cyber Security Operations Center (CSOC) improving the capability to monitor, detect and respond to information security incidents by 30%.</w:t>
            </w:r>
          </w:p>
        </w:tc>
      </w:tr>
      <w:tr w:rsidR="002F58D0" w:rsidRPr="002F58D0" w14:paraId="1417B213" w14:textId="77777777" w:rsidTr="00A42BFB">
        <w:trPr>
          <w:trHeight w:val="895"/>
        </w:trPr>
        <w:tc>
          <w:tcPr>
            <w:tcW w:w="2060" w:type="dxa"/>
            <w:vMerge/>
            <w:tcBorders>
              <w:top w:val="nil"/>
              <w:left w:val="single" w:sz="4" w:space="0" w:color="auto"/>
              <w:bottom w:val="single" w:sz="4" w:space="0" w:color="000000"/>
              <w:right w:val="nil"/>
            </w:tcBorders>
            <w:vAlign w:val="center"/>
            <w:hideMark/>
          </w:tcPr>
          <w:p w14:paraId="36443DDC" w14:textId="77777777" w:rsidR="002F58D0" w:rsidRPr="002F58D0" w:rsidRDefault="002F58D0" w:rsidP="00A42BFB">
            <w:pPr>
              <w:rPr>
                <w:rFonts w:ascii="Arial" w:hAnsi="Arial" w:cs="Arial"/>
                <w:color w:val="000000"/>
                <w:sz w:val="16"/>
                <w:szCs w:val="16"/>
              </w:rPr>
            </w:pPr>
          </w:p>
        </w:tc>
        <w:tc>
          <w:tcPr>
            <w:tcW w:w="2520" w:type="dxa"/>
            <w:tcBorders>
              <w:top w:val="nil"/>
              <w:left w:val="nil"/>
              <w:bottom w:val="nil"/>
              <w:right w:val="nil"/>
            </w:tcBorders>
            <w:shd w:val="clear" w:color="000000" w:fill="FFFFFF"/>
            <w:hideMark/>
          </w:tcPr>
          <w:p w14:paraId="7305EC39"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 of WIPO staff, delegates and visitors reporting a work related injury or incident</w:t>
            </w:r>
          </w:p>
        </w:tc>
        <w:tc>
          <w:tcPr>
            <w:tcW w:w="2280" w:type="dxa"/>
            <w:tcBorders>
              <w:top w:val="nil"/>
              <w:left w:val="nil"/>
              <w:bottom w:val="nil"/>
              <w:right w:val="nil"/>
            </w:tcBorders>
            <w:shd w:val="clear" w:color="000000" w:fill="FFFFFF"/>
            <w:hideMark/>
          </w:tcPr>
          <w:p w14:paraId="4544359A"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2 % or less of total stakeholders/clients reporting a work related injury or incident</w:t>
            </w:r>
          </w:p>
        </w:tc>
        <w:tc>
          <w:tcPr>
            <w:tcW w:w="2260" w:type="dxa"/>
            <w:tcBorders>
              <w:top w:val="nil"/>
              <w:left w:val="nil"/>
              <w:bottom w:val="nil"/>
              <w:right w:val="single" w:sz="4" w:space="0" w:color="auto"/>
            </w:tcBorders>
            <w:shd w:val="clear" w:color="000000" w:fill="FFFFFF"/>
            <w:hideMark/>
          </w:tcPr>
          <w:p w14:paraId="64C92830" w14:textId="77777777" w:rsidR="002F58D0" w:rsidRPr="002F58D0" w:rsidRDefault="002F58D0" w:rsidP="00A42BFB">
            <w:pPr>
              <w:ind w:firstLineChars="173" w:firstLine="277"/>
              <w:rPr>
                <w:rFonts w:ascii="Arial" w:hAnsi="Arial" w:cs="Arial"/>
                <w:color w:val="000000"/>
                <w:sz w:val="16"/>
                <w:szCs w:val="16"/>
              </w:rPr>
            </w:pPr>
            <w:r w:rsidRPr="002F58D0">
              <w:rPr>
                <w:rFonts w:ascii="Arial" w:hAnsi="Arial" w:cs="Arial"/>
                <w:color w:val="000000"/>
                <w:sz w:val="16"/>
                <w:szCs w:val="16"/>
              </w:rPr>
              <w:t>2% or less</w:t>
            </w:r>
          </w:p>
        </w:tc>
      </w:tr>
      <w:tr w:rsidR="002F58D0" w:rsidRPr="002F58D0" w14:paraId="24C6DC49" w14:textId="77777777" w:rsidTr="00A42BFB">
        <w:trPr>
          <w:trHeight w:val="1327"/>
        </w:trPr>
        <w:tc>
          <w:tcPr>
            <w:tcW w:w="2060" w:type="dxa"/>
            <w:vMerge/>
            <w:tcBorders>
              <w:top w:val="nil"/>
              <w:left w:val="single" w:sz="4" w:space="0" w:color="auto"/>
              <w:bottom w:val="single" w:sz="4" w:space="0" w:color="000000"/>
              <w:right w:val="nil"/>
            </w:tcBorders>
            <w:vAlign w:val="center"/>
            <w:hideMark/>
          </w:tcPr>
          <w:p w14:paraId="6C17474F" w14:textId="77777777" w:rsidR="002F58D0" w:rsidRPr="002F58D0" w:rsidRDefault="002F58D0" w:rsidP="00A42BFB">
            <w:pPr>
              <w:rPr>
                <w:rFonts w:ascii="Arial" w:hAnsi="Arial" w:cs="Arial"/>
                <w:color w:val="000000"/>
                <w:sz w:val="16"/>
                <w:szCs w:val="16"/>
              </w:rPr>
            </w:pPr>
          </w:p>
        </w:tc>
        <w:tc>
          <w:tcPr>
            <w:tcW w:w="2520" w:type="dxa"/>
            <w:tcBorders>
              <w:top w:val="nil"/>
              <w:left w:val="nil"/>
              <w:bottom w:val="single" w:sz="4" w:space="0" w:color="auto"/>
              <w:right w:val="nil"/>
            </w:tcBorders>
            <w:shd w:val="clear" w:color="000000" w:fill="FFFFFF"/>
            <w:hideMark/>
          </w:tcPr>
          <w:p w14:paraId="54179BAE"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 of timely requests for safety &amp; security assistance at conferences or events held in or outside of Geneva</w:t>
            </w:r>
          </w:p>
        </w:tc>
        <w:tc>
          <w:tcPr>
            <w:tcW w:w="2280" w:type="dxa"/>
            <w:tcBorders>
              <w:top w:val="nil"/>
              <w:left w:val="nil"/>
              <w:bottom w:val="single" w:sz="4" w:space="0" w:color="auto"/>
              <w:right w:val="nil"/>
            </w:tcBorders>
            <w:shd w:val="clear" w:color="000000" w:fill="FFFFFF"/>
            <w:hideMark/>
          </w:tcPr>
          <w:p w14:paraId="28BC5753" w14:textId="77777777" w:rsidR="002F58D0" w:rsidRPr="002F58D0" w:rsidRDefault="002F58D0" w:rsidP="00A42BFB">
            <w:pPr>
              <w:rPr>
                <w:rFonts w:ascii="Arial" w:hAnsi="Arial" w:cs="Arial"/>
                <w:color w:val="000000"/>
                <w:sz w:val="16"/>
                <w:szCs w:val="16"/>
              </w:rPr>
            </w:pPr>
            <w:r w:rsidRPr="002F58D0">
              <w:rPr>
                <w:rFonts w:ascii="Arial" w:hAnsi="Arial" w:cs="Arial"/>
                <w:color w:val="000000"/>
                <w:sz w:val="16"/>
                <w:szCs w:val="16"/>
              </w:rPr>
              <w:t>90 % or more of total stakeholders/clients requesting timely safety &amp; security assistance for conferences or events held in or outside Geneva</w:t>
            </w:r>
          </w:p>
        </w:tc>
        <w:tc>
          <w:tcPr>
            <w:tcW w:w="2260" w:type="dxa"/>
            <w:tcBorders>
              <w:top w:val="nil"/>
              <w:left w:val="nil"/>
              <w:bottom w:val="single" w:sz="4" w:space="0" w:color="auto"/>
              <w:right w:val="single" w:sz="4" w:space="0" w:color="auto"/>
            </w:tcBorders>
            <w:shd w:val="clear" w:color="000000" w:fill="FFFFFF"/>
            <w:hideMark/>
          </w:tcPr>
          <w:p w14:paraId="5C6EE152" w14:textId="3183410F" w:rsidR="002F58D0" w:rsidRPr="002F58D0" w:rsidRDefault="002F58D0" w:rsidP="00A42BFB">
            <w:pPr>
              <w:ind w:firstLineChars="173" w:firstLine="277"/>
              <w:rPr>
                <w:rFonts w:ascii="Arial" w:hAnsi="Arial" w:cs="Arial"/>
                <w:color w:val="000000"/>
                <w:sz w:val="16"/>
                <w:szCs w:val="16"/>
              </w:rPr>
            </w:pPr>
            <w:r w:rsidRPr="002F58D0">
              <w:rPr>
                <w:rFonts w:ascii="Arial" w:hAnsi="Arial" w:cs="Arial"/>
                <w:color w:val="000000"/>
                <w:sz w:val="16"/>
                <w:szCs w:val="16"/>
              </w:rPr>
              <w:t>90% or more</w:t>
            </w:r>
          </w:p>
        </w:tc>
      </w:tr>
    </w:tbl>
    <w:p w14:paraId="7BFD99A8" w14:textId="77777777" w:rsidR="002F58D0" w:rsidRPr="002F58D0" w:rsidRDefault="002F58D0" w:rsidP="00A42BFB">
      <w:pPr>
        <w:pStyle w:val="ListParagraph"/>
        <w:autoSpaceDE w:val="0"/>
        <w:autoSpaceDN w:val="0"/>
        <w:adjustRightInd w:val="0"/>
        <w:ind w:left="0"/>
        <w:jc w:val="both"/>
        <w:rPr>
          <w:rFonts w:ascii="Arial" w:hAnsi="Arial" w:cs="Arial"/>
          <w:sz w:val="20"/>
        </w:rPr>
      </w:pPr>
    </w:p>
    <w:p w14:paraId="4AFCCAA0" w14:textId="77777777" w:rsidR="002F58D0" w:rsidRPr="002F58D0" w:rsidRDefault="002F58D0" w:rsidP="00A42BFB">
      <w:pPr>
        <w:pStyle w:val="ListParagraph"/>
        <w:autoSpaceDE w:val="0"/>
        <w:autoSpaceDN w:val="0"/>
        <w:adjustRightInd w:val="0"/>
        <w:ind w:left="0"/>
        <w:jc w:val="both"/>
        <w:rPr>
          <w:rFonts w:ascii="Arial" w:hAnsi="Arial" w:cs="Arial"/>
          <w:sz w:val="20"/>
        </w:rPr>
      </w:pPr>
    </w:p>
    <w:p w14:paraId="27448D9C" w14:textId="77777777" w:rsidR="002F58D0" w:rsidRPr="002F58D0" w:rsidRDefault="002F58D0" w:rsidP="00A42BFB">
      <w:pPr>
        <w:rPr>
          <w:rFonts w:ascii="Arial" w:hAnsi="Arial" w:cs="Arial"/>
          <w:sz w:val="20"/>
        </w:rPr>
      </w:pPr>
      <w:r w:rsidRPr="00FB68E0">
        <w:rPr>
          <w:rFonts w:ascii="Arial" w:hAnsi="Arial" w:cs="Arial"/>
        </w:rPr>
        <w:t>RESOURCES FOR PROGRAM 28</w:t>
      </w:r>
      <w:r w:rsidRPr="002F58D0">
        <w:rPr>
          <w:rFonts w:ascii="Arial" w:hAnsi="Arial" w:cs="Arial"/>
          <w:sz w:val="20"/>
        </w:rPr>
        <w:t xml:space="preserve"> </w:t>
      </w:r>
    </w:p>
    <w:p w14:paraId="0BF96760" w14:textId="77777777" w:rsidR="002F58D0" w:rsidRPr="00FB68E0" w:rsidRDefault="002F58D0" w:rsidP="00A42BFB">
      <w:pPr>
        <w:pStyle w:val="Default"/>
        <w:rPr>
          <w:sz w:val="20"/>
          <w:szCs w:val="28"/>
        </w:rPr>
      </w:pPr>
    </w:p>
    <w:p w14:paraId="79FF8F36" w14:textId="00BC3EC9" w:rsidR="002F58D0" w:rsidRPr="00FB68E0" w:rsidRDefault="002F58D0" w:rsidP="00B66A4A">
      <w:pPr>
        <w:pStyle w:val="ListParagraph"/>
        <w:numPr>
          <w:ilvl w:val="0"/>
          <w:numId w:val="30"/>
        </w:numPr>
        <w:tabs>
          <w:tab w:val="left" w:pos="709"/>
        </w:tabs>
        <w:ind w:left="0" w:firstLine="0"/>
        <w:jc w:val="both"/>
        <w:rPr>
          <w:sz w:val="20"/>
          <w:lang w:val="en-GB"/>
        </w:rPr>
      </w:pPr>
      <w:r w:rsidRPr="00FB68E0">
        <w:rPr>
          <w:rFonts w:ascii="Arial" w:hAnsi="Arial" w:cs="Arial"/>
          <w:sz w:val="20"/>
          <w:lang w:val="en-GB"/>
        </w:rPr>
        <w:t xml:space="preserve">An overall increase of 6.9 million </w:t>
      </w:r>
      <w:r w:rsidRPr="002F58D0">
        <w:rPr>
          <w:rFonts w:ascii="Arial" w:hAnsi="Arial" w:cs="Arial"/>
          <w:sz w:val="20"/>
        </w:rPr>
        <w:t xml:space="preserve">Swiss francs </w:t>
      </w:r>
      <w:r w:rsidRPr="00FB68E0">
        <w:rPr>
          <w:rFonts w:ascii="Arial" w:hAnsi="Arial" w:cs="Arial"/>
          <w:sz w:val="20"/>
          <w:lang w:val="en-GB"/>
        </w:rPr>
        <w:t xml:space="preserve">can be observed under the Program compared to the 2014/15 Budget after </w:t>
      </w:r>
      <w:r w:rsidRPr="002F58D0">
        <w:rPr>
          <w:rFonts w:ascii="Arial" w:hAnsi="Arial" w:cs="Arial"/>
          <w:sz w:val="20"/>
        </w:rPr>
        <w:t>T</w:t>
      </w:r>
      <w:r w:rsidRPr="00FB68E0">
        <w:rPr>
          <w:rFonts w:ascii="Arial" w:hAnsi="Arial" w:cs="Arial"/>
          <w:sz w:val="20"/>
          <w:lang w:val="en-GB"/>
        </w:rPr>
        <w:t>ransfer</w:t>
      </w:r>
      <w:r w:rsidRPr="002F58D0">
        <w:rPr>
          <w:rFonts w:ascii="Arial" w:hAnsi="Arial" w:cs="Arial"/>
          <w:sz w:val="20"/>
        </w:rPr>
        <w:t>s</w:t>
      </w:r>
      <w:r w:rsidRPr="00FB68E0">
        <w:rPr>
          <w:rFonts w:ascii="Arial" w:hAnsi="Arial" w:cs="Arial"/>
          <w:sz w:val="20"/>
          <w:lang w:val="en-GB"/>
        </w:rPr>
        <w:t xml:space="preserve">. </w:t>
      </w:r>
      <w:r w:rsidR="00EF13C4">
        <w:rPr>
          <w:rFonts w:ascii="Arial" w:hAnsi="Arial" w:cs="Arial"/>
          <w:sz w:val="20"/>
          <w:lang w:val="en-GB"/>
        </w:rPr>
        <w:t xml:space="preserve"> </w:t>
      </w:r>
      <w:r w:rsidRPr="00FB68E0">
        <w:rPr>
          <w:rFonts w:ascii="Arial" w:hAnsi="Arial" w:cs="Arial"/>
          <w:sz w:val="20"/>
          <w:lang w:val="en-GB"/>
        </w:rPr>
        <w:t xml:space="preserve">The increase is primarily </w:t>
      </w:r>
      <w:r w:rsidRPr="002F58D0">
        <w:rPr>
          <w:rFonts w:ascii="Arial" w:hAnsi="Arial" w:cs="Arial"/>
          <w:sz w:val="20"/>
        </w:rPr>
        <w:t>due to</w:t>
      </w:r>
      <w:r w:rsidRPr="00FB68E0">
        <w:rPr>
          <w:rFonts w:ascii="Arial" w:hAnsi="Arial" w:cs="Arial"/>
          <w:sz w:val="20"/>
          <w:lang w:val="en-GB"/>
        </w:rPr>
        <w:t xml:space="preserve"> the </w:t>
      </w:r>
      <w:r w:rsidRPr="002F58D0">
        <w:rPr>
          <w:rFonts w:ascii="Arial" w:hAnsi="Arial" w:cs="Arial"/>
          <w:sz w:val="20"/>
        </w:rPr>
        <w:t>move</w:t>
      </w:r>
      <w:r w:rsidRPr="00FB68E0">
        <w:rPr>
          <w:rFonts w:ascii="Arial" w:hAnsi="Arial" w:cs="Arial"/>
          <w:sz w:val="20"/>
          <w:lang w:val="en-GB"/>
        </w:rPr>
        <w:t xml:space="preserve"> </w:t>
      </w:r>
      <w:r w:rsidRPr="002F58D0">
        <w:rPr>
          <w:rFonts w:ascii="Arial" w:hAnsi="Arial" w:cs="Arial"/>
          <w:sz w:val="20"/>
        </w:rPr>
        <w:t xml:space="preserve">of </w:t>
      </w:r>
      <w:r w:rsidRPr="00FB68E0">
        <w:rPr>
          <w:rFonts w:ascii="Arial" w:hAnsi="Arial" w:cs="Arial"/>
          <w:sz w:val="20"/>
          <w:lang w:val="en-GB"/>
        </w:rPr>
        <w:t xml:space="preserve">Information Assurance </w:t>
      </w:r>
      <w:r w:rsidRPr="002F58D0">
        <w:rPr>
          <w:rFonts w:ascii="Arial" w:hAnsi="Arial" w:cs="Arial"/>
          <w:sz w:val="20"/>
        </w:rPr>
        <w:t>from Program 25 (</w:t>
      </w:r>
      <w:r w:rsidRPr="00FB68E0">
        <w:rPr>
          <w:rFonts w:ascii="Arial" w:hAnsi="Arial" w:cs="Arial"/>
          <w:sz w:val="20"/>
          <w:lang w:val="en-GB"/>
        </w:rPr>
        <w:t>Information and Communication Technology</w:t>
      </w:r>
      <w:r w:rsidRPr="002F58D0">
        <w:rPr>
          <w:rFonts w:ascii="Arial" w:hAnsi="Arial" w:cs="Arial"/>
          <w:sz w:val="20"/>
        </w:rPr>
        <w:t>)</w:t>
      </w:r>
      <w:r w:rsidRPr="00FB68E0">
        <w:rPr>
          <w:rFonts w:ascii="Arial" w:hAnsi="Arial" w:cs="Arial"/>
          <w:sz w:val="20"/>
          <w:lang w:val="en-GB"/>
        </w:rPr>
        <w:t xml:space="preserve"> into the Program. </w:t>
      </w:r>
      <w:r w:rsidR="00C25CF7">
        <w:rPr>
          <w:rFonts w:ascii="Arial" w:hAnsi="Arial" w:cs="Arial"/>
          <w:sz w:val="20"/>
          <w:lang w:val="en-GB"/>
        </w:rPr>
        <w:t xml:space="preserve"> </w:t>
      </w:r>
      <w:r w:rsidRPr="00FB68E0">
        <w:rPr>
          <w:rFonts w:ascii="Arial" w:hAnsi="Arial" w:cs="Arial"/>
          <w:sz w:val="20"/>
          <w:lang w:val="en-GB"/>
        </w:rPr>
        <w:t xml:space="preserve">This is reflected </w:t>
      </w:r>
      <w:r w:rsidRPr="002F58D0">
        <w:rPr>
          <w:rFonts w:ascii="Arial" w:hAnsi="Arial" w:cs="Arial"/>
          <w:sz w:val="20"/>
        </w:rPr>
        <w:t xml:space="preserve">primarily under personnel resources and under </w:t>
      </w:r>
      <w:r w:rsidRPr="00FB68E0">
        <w:rPr>
          <w:rFonts w:ascii="Arial" w:hAnsi="Arial" w:cs="Arial"/>
          <w:sz w:val="20"/>
          <w:lang w:val="en-GB"/>
        </w:rPr>
        <w:t xml:space="preserve">Expected result IX.4. </w:t>
      </w:r>
    </w:p>
    <w:p w14:paraId="5C25F371" w14:textId="77777777" w:rsidR="002F58D0" w:rsidRPr="00FB68E0" w:rsidRDefault="002F58D0" w:rsidP="00FB68E0">
      <w:pPr>
        <w:pStyle w:val="ListParagraph"/>
        <w:tabs>
          <w:tab w:val="left" w:pos="709"/>
        </w:tabs>
        <w:ind w:left="0"/>
        <w:jc w:val="both"/>
        <w:rPr>
          <w:sz w:val="20"/>
          <w:lang w:val="en-GB"/>
        </w:rPr>
      </w:pPr>
    </w:p>
    <w:p w14:paraId="36F91463" w14:textId="23441C30" w:rsidR="002F58D0" w:rsidRPr="00FB68E0" w:rsidRDefault="002F58D0" w:rsidP="00B66A4A">
      <w:pPr>
        <w:pStyle w:val="ListParagraph"/>
        <w:numPr>
          <w:ilvl w:val="0"/>
          <w:numId w:val="30"/>
        </w:numPr>
        <w:tabs>
          <w:tab w:val="left" w:pos="709"/>
        </w:tabs>
        <w:ind w:left="0" w:firstLine="0"/>
        <w:jc w:val="both"/>
        <w:rPr>
          <w:sz w:val="20"/>
          <w:lang w:val="en-GB"/>
        </w:rPr>
      </w:pPr>
      <w:r w:rsidRPr="002F58D0">
        <w:rPr>
          <w:rFonts w:ascii="Arial" w:hAnsi="Arial" w:cs="Arial"/>
          <w:sz w:val="20"/>
        </w:rPr>
        <w:t xml:space="preserve">The increase in non-personnel </w:t>
      </w:r>
      <w:r w:rsidRPr="00FB68E0">
        <w:rPr>
          <w:rFonts w:ascii="Arial" w:hAnsi="Arial" w:cs="Arial"/>
          <w:sz w:val="20"/>
          <w:lang w:val="en-GB"/>
        </w:rPr>
        <w:t xml:space="preserve">resources </w:t>
      </w:r>
      <w:r w:rsidRPr="002F58D0">
        <w:rPr>
          <w:rFonts w:ascii="Arial" w:hAnsi="Arial" w:cs="Arial"/>
          <w:sz w:val="20"/>
        </w:rPr>
        <w:t xml:space="preserve">reflects an additional provision of </w:t>
      </w:r>
      <w:r w:rsidR="002668E0">
        <w:rPr>
          <w:rFonts w:ascii="Arial" w:hAnsi="Arial" w:cs="Arial"/>
          <w:sz w:val="20"/>
          <w:lang w:val="en-GB"/>
        </w:rPr>
        <w:t>approximately 4 </w:t>
      </w:r>
      <w:r w:rsidRPr="00FB68E0">
        <w:rPr>
          <w:rFonts w:ascii="Arial" w:hAnsi="Arial" w:cs="Arial"/>
          <w:sz w:val="20"/>
          <w:lang w:val="en-GB"/>
        </w:rPr>
        <w:t xml:space="preserve">million </w:t>
      </w:r>
      <w:r w:rsidRPr="002F58D0">
        <w:rPr>
          <w:rFonts w:ascii="Arial" w:hAnsi="Arial" w:cs="Arial"/>
          <w:sz w:val="20"/>
        </w:rPr>
        <w:t xml:space="preserve">Swiss francs for </w:t>
      </w:r>
      <w:r w:rsidRPr="00FB68E0">
        <w:rPr>
          <w:rFonts w:ascii="Arial" w:hAnsi="Arial" w:cs="Arial"/>
          <w:sz w:val="20"/>
          <w:lang w:val="en-GB"/>
        </w:rPr>
        <w:t xml:space="preserve">the implementation of </w:t>
      </w:r>
      <w:r w:rsidRPr="002F58D0">
        <w:rPr>
          <w:rFonts w:ascii="Arial" w:hAnsi="Arial" w:cs="Arial"/>
          <w:sz w:val="20"/>
        </w:rPr>
        <w:t>the I</w:t>
      </w:r>
      <w:r w:rsidR="008E7FF2" w:rsidRPr="00FB68E0">
        <w:rPr>
          <w:rFonts w:ascii="Arial" w:hAnsi="Arial" w:cs="Arial"/>
          <w:sz w:val="20"/>
          <w:lang w:val="en-GB"/>
        </w:rPr>
        <w:t>nformation</w:t>
      </w:r>
      <w:r w:rsidRPr="00FB68E0">
        <w:rPr>
          <w:rFonts w:ascii="Arial" w:hAnsi="Arial" w:cs="Arial"/>
          <w:sz w:val="20"/>
          <w:lang w:val="en-GB"/>
        </w:rPr>
        <w:t xml:space="preserve"> Assurance strategies</w:t>
      </w:r>
      <w:r w:rsidR="008E7FF2">
        <w:rPr>
          <w:rFonts w:ascii="Arial" w:hAnsi="Arial" w:cs="Arial"/>
          <w:sz w:val="20"/>
        </w:rPr>
        <w:t xml:space="preserve"> </w:t>
      </w:r>
      <w:r w:rsidR="00057B48">
        <w:rPr>
          <w:rFonts w:ascii="Arial" w:hAnsi="Arial" w:cs="Arial"/>
          <w:sz w:val="20"/>
        </w:rPr>
        <w:t>in</w:t>
      </w:r>
      <w:r w:rsidRPr="002F58D0">
        <w:rPr>
          <w:rFonts w:ascii="Arial" w:hAnsi="Arial" w:cs="Arial"/>
          <w:sz w:val="20"/>
        </w:rPr>
        <w:t xml:space="preserve"> 2016/17</w:t>
      </w:r>
      <w:r w:rsidRPr="00FB68E0">
        <w:rPr>
          <w:rFonts w:ascii="Arial" w:hAnsi="Arial" w:cs="Arial"/>
          <w:sz w:val="20"/>
          <w:lang w:val="en-GB"/>
        </w:rPr>
        <w:t xml:space="preserve">. </w:t>
      </w:r>
      <w:r w:rsidR="002668E0">
        <w:rPr>
          <w:rFonts w:ascii="Arial" w:hAnsi="Arial" w:cs="Arial"/>
          <w:sz w:val="20"/>
          <w:lang w:val="en-GB"/>
        </w:rPr>
        <w:t xml:space="preserve"> </w:t>
      </w:r>
      <w:r w:rsidRPr="00FB68E0">
        <w:rPr>
          <w:rFonts w:ascii="Arial" w:hAnsi="Arial" w:cs="Arial"/>
          <w:sz w:val="20"/>
          <w:lang w:val="en-GB"/>
        </w:rPr>
        <w:t xml:space="preserve">An enhanced emphasis on strengthening </w:t>
      </w:r>
      <w:r w:rsidRPr="002F58D0">
        <w:rPr>
          <w:rFonts w:ascii="Arial" w:hAnsi="Arial" w:cs="Arial"/>
          <w:sz w:val="20"/>
        </w:rPr>
        <w:t>Information Assurance</w:t>
      </w:r>
      <w:r w:rsidRPr="00FB68E0">
        <w:rPr>
          <w:rFonts w:ascii="Arial" w:hAnsi="Arial" w:cs="Arial"/>
          <w:sz w:val="20"/>
          <w:lang w:val="en-GB"/>
        </w:rPr>
        <w:t xml:space="preserve"> accountabilities and responsibilities is reflected through the Program’s contribution to the Expected Result IX.1. </w:t>
      </w:r>
    </w:p>
    <w:p w14:paraId="0C8FE7BE" w14:textId="13D5F6E0" w:rsidR="00F02482" w:rsidRDefault="00F02482">
      <w:pPr>
        <w:rPr>
          <w:rFonts w:ascii="Arial" w:hAnsi="Arial" w:cs="Arial"/>
          <w:sz w:val="20"/>
        </w:rPr>
      </w:pPr>
      <w:r>
        <w:rPr>
          <w:rFonts w:ascii="Arial" w:hAnsi="Arial" w:cs="Arial"/>
          <w:sz w:val="20"/>
        </w:rPr>
        <w:br w:type="page"/>
      </w:r>
    </w:p>
    <w:p w14:paraId="126CA0D5" w14:textId="77777777" w:rsidR="002F58D0" w:rsidRDefault="002F58D0" w:rsidP="00A42BFB">
      <w:pPr>
        <w:pStyle w:val="ListParagraph"/>
        <w:rPr>
          <w:rFonts w:ascii="Arial" w:hAnsi="Arial" w:cs="Arial"/>
          <w:sz w:val="20"/>
        </w:rPr>
      </w:pPr>
    </w:p>
    <w:p w14:paraId="07BA2C55" w14:textId="77777777" w:rsidR="002F58D0" w:rsidRPr="002F58D0" w:rsidRDefault="002F58D0" w:rsidP="00A42BFB">
      <w:pPr>
        <w:tabs>
          <w:tab w:val="left" w:pos="1427"/>
        </w:tabs>
        <w:jc w:val="center"/>
        <w:rPr>
          <w:rFonts w:ascii="Arial" w:hAnsi="Arial" w:cs="Arial"/>
          <w:sz w:val="20"/>
        </w:rPr>
      </w:pPr>
      <w:r w:rsidRPr="002F58D0">
        <w:rPr>
          <w:rFonts w:ascii="Arial" w:hAnsi="Arial" w:cs="Arial"/>
          <w:b/>
          <w:sz w:val="20"/>
          <w:szCs w:val="24"/>
        </w:rPr>
        <w:t>Program 28:  Resources by Result</w:t>
      </w:r>
    </w:p>
    <w:p w14:paraId="0C437739" w14:textId="77777777" w:rsidR="002F58D0" w:rsidRDefault="002F58D0" w:rsidP="00A42BFB">
      <w:pPr>
        <w:tabs>
          <w:tab w:val="left" w:pos="1427"/>
        </w:tabs>
        <w:jc w:val="center"/>
        <w:rPr>
          <w:rFonts w:ascii="Arial" w:hAnsi="Arial" w:cs="Arial"/>
          <w:i/>
          <w:sz w:val="20"/>
          <w:szCs w:val="24"/>
        </w:rPr>
      </w:pPr>
      <w:r w:rsidRPr="002F58D0">
        <w:rPr>
          <w:rFonts w:ascii="Arial" w:hAnsi="Arial" w:cs="Arial"/>
          <w:i/>
          <w:sz w:val="20"/>
          <w:szCs w:val="24"/>
        </w:rPr>
        <w:t>(In thousands of Swiss francs)</w:t>
      </w:r>
    </w:p>
    <w:p w14:paraId="4887646D" w14:textId="77777777" w:rsidR="00701F92" w:rsidRPr="00792AD4" w:rsidRDefault="00701F92" w:rsidP="00A42BFB">
      <w:pPr>
        <w:tabs>
          <w:tab w:val="left" w:pos="1427"/>
        </w:tabs>
        <w:jc w:val="center"/>
        <w:rPr>
          <w:rFonts w:ascii="Arial" w:hAnsi="Arial" w:cs="Arial"/>
          <w:i/>
          <w:sz w:val="16"/>
          <w:szCs w:val="24"/>
        </w:rPr>
      </w:pPr>
    </w:p>
    <w:p w14:paraId="13417DFB" w14:textId="4F9FF084" w:rsidR="002F58D0" w:rsidRPr="002F58D0" w:rsidRDefault="005154AB" w:rsidP="00A42BFB">
      <w:pPr>
        <w:tabs>
          <w:tab w:val="left" w:pos="1427"/>
        </w:tabs>
        <w:jc w:val="center"/>
        <w:rPr>
          <w:rFonts w:ascii="Arial" w:hAnsi="Arial" w:cs="Arial"/>
          <w:i/>
          <w:sz w:val="20"/>
          <w:szCs w:val="24"/>
        </w:rPr>
      </w:pPr>
      <w:r w:rsidRPr="005154AB">
        <w:rPr>
          <w:noProof/>
          <w:lang w:eastAsia="en-US"/>
        </w:rPr>
        <w:drawing>
          <wp:inline distT="0" distB="0" distL="0" distR="0" wp14:anchorId="135F3BFB" wp14:editId="23D75889">
            <wp:extent cx="4724512" cy="1314450"/>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724959" cy="1314574"/>
                    </a:xfrm>
                    <a:prstGeom prst="rect">
                      <a:avLst/>
                    </a:prstGeom>
                    <a:noFill/>
                    <a:ln>
                      <a:noFill/>
                    </a:ln>
                  </pic:spPr>
                </pic:pic>
              </a:graphicData>
            </a:graphic>
          </wp:inline>
        </w:drawing>
      </w:r>
    </w:p>
    <w:p w14:paraId="315FDEC8" w14:textId="77777777" w:rsidR="002F58D0" w:rsidRDefault="002F58D0" w:rsidP="00A42BFB">
      <w:pPr>
        <w:tabs>
          <w:tab w:val="left" w:pos="1427"/>
        </w:tabs>
        <w:jc w:val="center"/>
        <w:rPr>
          <w:rFonts w:ascii="Arial" w:hAnsi="Arial" w:cs="Arial"/>
          <w:i/>
          <w:sz w:val="20"/>
          <w:szCs w:val="24"/>
        </w:rPr>
      </w:pPr>
    </w:p>
    <w:p w14:paraId="6C62BA5B" w14:textId="77777777" w:rsidR="00F02482" w:rsidRDefault="00F02482" w:rsidP="00A42BFB">
      <w:pPr>
        <w:tabs>
          <w:tab w:val="left" w:pos="1427"/>
        </w:tabs>
        <w:jc w:val="center"/>
        <w:rPr>
          <w:rFonts w:ascii="Arial" w:hAnsi="Arial" w:cs="Arial"/>
          <w:i/>
          <w:sz w:val="20"/>
          <w:szCs w:val="24"/>
        </w:rPr>
      </w:pPr>
    </w:p>
    <w:p w14:paraId="45F25E7F" w14:textId="77777777" w:rsidR="002F58D0" w:rsidRPr="002F58D0" w:rsidRDefault="002F58D0" w:rsidP="00A42BFB">
      <w:pPr>
        <w:keepNext/>
        <w:keepLines/>
        <w:tabs>
          <w:tab w:val="left" w:pos="1427"/>
        </w:tabs>
        <w:jc w:val="center"/>
        <w:rPr>
          <w:rFonts w:ascii="Arial" w:hAnsi="Arial" w:cs="Arial"/>
          <w:sz w:val="20"/>
        </w:rPr>
      </w:pPr>
      <w:r w:rsidRPr="002F58D0">
        <w:rPr>
          <w:rFonts w:ascii="Arial" w:hAnsi="Arial" w:cs="Arial"/>
          <w:b/>
          <w:sz w:val="20"/>
          <w:szCs w:val="24"/>
        </w:rPr>
        <w:t>Program 28:  Resources by Object of Expenditure</w:t>
      </w:r>
    </w:p>
    <w:p w14:paraId="7E1FFEAE" w14:textId="77777777" w:rsidR="002F58D0" w:rsidRPr="002F58D0" w:rsidRDefault="002F58D0" w:rsidP="00A42BFB">
      <w:pPr>
        <w:keepNext/>
        <w:keepLines/>
        <w:tabs>
          <w:tab w:val="left" w:pos="1427"/>
        </w:tabs>
        <w:jc w:val="center"/>
        <w:rPr>
          <w:rFonts w:ascii="Arial" w:hAnsi="Arial" w:cs="Arial"/>
          <w:i/>
          <w:sz w:val="20"/>
          <w:szCs w:val="24"/>
        </w:rPr>
      </w:pPr>
      <w:r w:rsidRPr="002F58D0">
        <w:rPr>
          <w:rFonts w:ascii="Arial" w:hAnsi="Arial" w:cs="Arial"/>
          <w:i/>
          <w:sz w:val="20"/>
          <w:szCs w:val="24"/>
        </w:rPr>
        <w:t>(In thousands of Swiss francs)</w:t>
      </w:r>
    </w:p>
    <w:p w14:paraId="2C7A6388" w14:textId="77777777" w:rsidR="002F58D0" w:rsidRPr="00792AD4" w:rsidRDefault="002F58D0" w:rsidP="00A42BFB">
      <w:pPr>
        <w:keepNext/>
        <w:keepLines/>
        <w:tabs>
          <w:tab w:val="left" w:pos="1427"/>
        </w:tabs>
        <w:jc w:val="center"/>
        <w:rPr>
          <w:rFonts w:ascii="Arial" w:hAnsi="Arial" w:cs="Arial"/>
          <w:i/>
          <w:sz w:val="16"/>
          <w:szCs w:val="24"/>
        </w:rPr>
      </w:pPr>
    </w:p>
    <w:p w14:paraId="6E4917B8" w14:textId="6458FB82" w:rsidR="002F58D0" w:rsidRPr="00792AD4" w:rsidRDefault="00420790" w:rsidP="00420790">
      <w:pPr>
        <w:keepNext/>
        <w:keepLines/>
        <w:tabs>
          <w:tab w:val="left" w:pos="1427"/>
        </w:tabs>
        <w:jc w:val="center"/>
        <w:rPr>
          <w:rFonts w:ascii="Arial" w:hAnsi="Arial" w:cs="Arial"/>
          <w:i/>
          <w:sz w:val="18"/>
          <w:szCs w:val="24"/>
        </w:rPr>
      </w:pPr>
      <w:r w:rsidRPr="00420790">
        <w:rPr>
          <w:noProof/>
          <w:lang w:eastAsia="en-US"/>
        </w:rPr>
        <w:drawing>
          <wp:inline distT="0" distB="0" distL="0" distR="0" wp14:anchorId="1AD5A63A" wp14:editId="1F923178">
            <wp:extent cx="4600575" cy="5180019"/>
            <wp:effectExtent l="0" t="0" r="0"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609663" cy="5190252"/>
                    </a:xfrm>
                    <a:prstGeom prst="rect">
                      <a:avLst/>
                    </a:prstGeom>
                    <a:noFill/>
                    <a:ln>
                      <a:noFill/>
                    </a:ln>
                  </pic:spPr>
                </pic:pic>
              </a:graphicData>
            </a:graphic>
          </wp:inline>
        </w:drawing>
      </w:r>
    </w:p>
    <w:p w14:paraId="6E91010A" w14:textId="77777777" w:rsidR="00DC57BC" w:rsidRDefault="00DC57BC" w:rsidP="008D3EC2">
      <w:pPr>
        <w:autoSpaceDE w:val="0"/>
        <w:autoSpaceDN w:val="0"/>
        <w:adjustRightInd w:val="0"/>
        <w:rPr>
          <w:rFonts w:ascii="Arial" w:hAnsi="Arial" w:cs="Arial"/>
          <w:sz w:val="20"/>
        </w:rPr>
      </w:pPr>
    </w:p>
    <w:p w14:paraId="667DD571" w14:textId="77777777" w:rsidR="00592800" w:rsidRDefault="00592800" w:rsidP="008D3EC2">
      <w:pPr>
        <w:autoSpaceDE w:val="0"/>
        <w:autoSpaceDN w:val="0"/>
        <w:adjustRightInd w:val="0"/>
        <w:rPr>
          <w:rFonts w:ascii="Arial" w:hAnsi="Arial" w:cs="Arial"/>
          <w:sz w:val="20"/>
        </w:rPr>
        <w:sectPr w:rsidR="00592800" w:rsidSect="00DA3F93">
          <w:pgSz w:w="11907" w:h="16839" w:code="9"/>
          <w:pgMar w:top="624" w:right="1418" w:bottom="1361" w:left="1418" w:header="567" w:footer="851" w:gutter="0"/>
          <w:cols w:space="720"/>
          <w:docGrid w:linePitch="360"/>
        </w:sectPr>
      </w:pPr>
    </w:p>
    <w:p w14:paraId="69753C80" w14:textId="2803B942" w:rsidR="00592800" w:rsidRPr="00B30215" w:rsidRDefault="00592800" w:rsidP="00701F92">
      <w:pPr>
        <w:pStyle w:val="Heading1"/>
        <w:keepNext w:val="0"/>
        <w:tabs>
          <w:tab w:val="num" w:pos="709"/>
        </w:tabs>
        <w:ind w:left="1134" w:hanging="1134"/>
        <w:rPr>
          <w:szCs w:val="20"/>
        </w:rPr>
      </w:pPr>
      <w:bookmarkStart w:id="80" w:name="_Toc356567785"/>
      <w:bookmarkStart w:id="81" w:name="_Toc367350611"/>
      <w:bookmarkStart w:id="82" w:name="_Toc427154433"/>
      <w:bookmarkStart w:id="83" w:name="_Toc293334839"/>
      <w:bookmarkStart w:id="84" w:name="_Toc298920421"/>
      <w:bookmarkStart w:id="85" w:name="_Toc293334840"/>
      <w:bookmarkStart w:id="86" w:name="_Toc298920422"/>
      <w:bookmarkStart w:id="87" w:name="_Toc356567786"/>
      <w:bookmarkStart w:id="88" w:name="_Toc367350612"/>
      <w:r w:rsidRPr="00B30215">
        <w:rPr>
          <w:szCs w:val="20"/>
        </w:rPr>
        <w:lastRenderedPageBreak/>
        <w:t>I</w:t>
      </w:r>
      <w:r w:rsidR="00F66122" w:rsidRPr="00B30215">
        <w:rPr>
          <w:szCs w:val="20"/>
        </w:rPr>
        <w:t>II</w:t>
      </w:r>
      <w:r w:rsidRPr="00B30215">
        <w:rPr>
          <w:szCs w:val="20"/>
        </w:rPr>
        <w:t>.</w:t>
      </w:r>
      <w:r w:rsidRPr="00B30215">
        <w:rPr>
          <w:szCs w:val="20"/>
        </w:rPr>
        <w:tab/>
        <w:t>ANNEXES</w:t>
      </w:r>
      <w:bookmarkEnd w:id="80"/>
      <w:bookmarkEnd w:id="81"/>
      <w:bookmarkEnd w:id="82"/>
      <w:r w:rsidRPr="00B30215">
        <w:rPr>
          <w:szCs w:val="20"/>
        </w:rPr>
        <w:t xml:space="preserve"> </w:t>
      </w:r>
    </w:p>
    <w:p w14:paraId="09CFD586" w14:textId="77777777" w:rsidR="00701F92" w:rsidRDefault="00701F92" w:rsidP="00701F92">
      <w:pPr>
        <w:rPr>
          <w:rFonts w:ascii="Arial" w:hAnsi="Arial" w:cs="Arial"/>
          <w:lang w:eastAsia="en-US"/>
        </w:rPr>
      </w:pPr>
    </w:p>
    <w:bookmarkEnd w:id="83"/>
    <w:bookmarkEnd w:id="84"/>
    <w:p w14:paraId="1FEDD906" w14:textId="51DCD8AC" w:rsidR="00592800" w:rsidRDefault="00592800">
      <w:pPr>
        <w:rPr>
          <w:rFonts w:ascii="Arial" w:eastAsia="Times New Roman" w:hAnsi="Arial" w:cs="Arial"/>
          <w:b/>
          <w:iCs/>
          <w:lang w:eastAsia="en-US"/>
        </w:rPr>
      </w:pPr>
    </w:p>
    <w:p w14:paraId="04723655" w14:textId="6CE99B16" w:rsidR="00592800" w:rsidRPr="0069571C" w:rsidRDefault="00592800" w:rsidP="00592800">
      <w:pPr>
        <w:pStyle w:val="StyleHeading3ComplexItalic"/>
        <w:keepNext w:val="0"/>
        <w:tabs>
          <w:tab w:val="clear" w:pos="1985"/>
          <w:tab w:val="left" w:pos="1418"/>
        </w:tabs>
        <w:ind w:left="1418" w:hanging="1418"/>
      </w:pPr>
      <w:bookmarkStart w:id="89" w:name="_Toc427154434"/>
      <w:r>
        <w:rPr>
          <w:caps w:val="0"/>
        </w:rPr>
        <w:t>ANNEX I</w:t>
      </w:r>
      <w:r>
        <w:rPr>
          <w:caps w:val="0"/>
        </w:rPr>
        <w:tab/>
      </w:r>
      <w:r w:rsidRPr="00AB33AC">
        <w:rPr>
          <w:caps w:val="0"/>
        </w:rPr>
        <w:t>201</w:t>
      </w:r>
      <w:r>
        <w:rPr>
          <w:caps w:val="0"/>
        </w:rPr>
        <w:t>4</w:t>
      </w:r>
      <w:r w:rsidRPr="00AB33AC">
        <w:rPr>
          <w:caps w:val="0"/>
        </w:rPr>
        <w:t>/1</w:t>
      </w:r>
      <w:r>
        <w:rPr>
          <w:caps w:val="0"/>
        </w:rPr>
        <w:t>5</w:t>
      </w:r>
      <w:r w:rsidRPr="00576949">
        <w:rPr>
          <w:caps w:val="0"/>
        </w:rPr>
        <w:t xml:space="preserve"> BUDGET </w:t>
      </w:r>
      <w:bookmarkEnd w:id="85"/>
      <w:bookmarkEnd w:id="86"/>
      <w:r>
        <w:rPr>
          <w:caps w:val="0"/>
        </w:rPr>
        <w:t>AFTER TRANSFERS BY PROGRAM</w:t>
      </w:r>
      <w:bookmarkEnd w:id="87"/>
      <w:bookmarkEnd w:id="88"/>
      <w:bookmarkEnd w:id="89"/>
      <w:r>
        <w:rPr>
          <w:caps w:val="0"/>
        </w:rPr>
        <w:t xml:space="preserve"> </w:t>
      </w:r>
    </w:p>
    <w:p w14:paraId="2C9B0C09" w14:textId="77777777" w:rsidR="00592800" w:rsidRDefault="00592800" w:rsidP="00592800"/>
    <w:p w14:paraId="5EA8C3D1" w14:textId="77777777" w:rsidR="00327926" w:rsidRDefault="00327926">
      <w:pPr>
        <w:rPr>
          <w:rFonts w:ascii="Arial" w:hAnsi="Arial" w:cs="Arial"/>
          <w:sz w:val="20"/>
          <w:szCs w:val="20"/>
        </w:rPr>
      </w:pPr>
    </w:p>
    <w:p w14:paraId="0B6D0850" w14:textId="3E96086B" w:rsidR="00327926" w:rsidRPr="00FA2135" w:rsidRDefault="00327926" w:rsidP="005A1F7F">
      <w:pPr>
        <w:jc w:val="center"/>
        <w:rPr>
          <w:rFonts w:ascii="Arial" w:hAnsi="Arial" w:cs="Arial"/>
          <w:b/>
          <w:sz w:val="20"/>
          <w:szCs w:val="16"/>
        </w:rPr>
      </w:pPr>
      <w:r w:rsidRPr="00FA2135">
        <w:rPr>
          <w:rFonts w:ascii="Arial" w:hAnsi="Arial" w:cs="Arial"/>
          <w:b/>
          <w:sz w:val="20"/>
          <w:szCs w:val="16"/>
        </w:rPr>
        <w:t xml:space="preserve">Table </w:t>
      </w:r>
      <w:r w:rsidR="00701F92">
        <w:rPr>
          <w:rFonts w:ascii="Arial" w:hAnsi="Arial" w:cs="Arial"/>
          <w:b/>
          <w:sz w:val="20"/>
          <w:szCs w:val="16"/>
        </w:rPr>
        <w:t>8</w:t>
      </w:r>
      <w:r w:rsidRPr="00FA2135">
        <w:rPr>
          <w:rFonts w:ascii="Arial" w:hAnsi="Arial" w:cs="Arial"/>
          <w:b/>
          <w:sz w:val="20"/>
          <w:szCs w:val="16"/>
        </w:rPr>
        <w:t>.  2014/15 Budget after Transfers by Program</w:t>
      </w:r>
    </w:p>
    <w:p w14:paraId="70E4A14D" w14:textId="77777777" w:rsidR="00327926" w:rsidRPr="00FA2135" w:rsidRDefault="00327926" w:rsidP="005A1F7F">
      <w:pPr>
        <w:jc w:val="center"/>
        <w:rPr>
          <w:rFonts w:ascii="Arial" w:hAnsi="Arial" w:cs="Arial"/>
          <w:i/>
          <w:sz w:val="20"/>
          <w:szCs w:val="16"/>
        </w:rPr>
      </w:pPr>
      <w:r w:rsidRPr="00FA2135">
        <w:rPr>
          <w:rFonts w:ascii="Arial" w:hAnsi="Arial" w:cs="Arial"/>
          <w:i/>
          <w:sz w:val="20"/>
          <w:szCs w:val="16"/>
        </w:rPr>
        <w:t>(in thousands of Swiss francs)</w:t>
      </w:r>
    </w:p>
    <w:p w14:paraId="71565719" w14:textId="77777777" w:rsidR="00327926" w:rsidRPr="0026077A" w:rsidRDefault="00327926" w:rsidP="005A1F7F">
      <w:pPr>
        <w:jc w:val="center"/>
        <w:rPr>
          <w:rFonts w:ascii="Arial" w:hAnsi="Arial" w:cs="Arial"/>
          <w:i/>
          <w:sz w:val="16"/>
          <w:szCs w:val="16"/>
        </w:rPr>
      </w:pPr>
    </w:p>
    <w:p w14:paraId="0E0D08AD" w14:textId="552922FF" w:rsidR="00327926" w:rsidRDefault="00C67B65" w:rsidP="005A1F7F">
      <w:pPr>
        <w:jc w:val="center"/>
        <w:rPr>
          <w:rFonts w:ascii="Arial" w:hAnsi="Arial" w:cs="Arial"/>
          <w:sz w:val="20"/>
          <w:szCs w:val="20"/>
        </w:rPr>
      </w:pPr>
      <w:r w:rsidRPr="00C67B65">
        <w:rPr>
          <w:noProof/>
          <w:lang w:eastAsia="en-US"/>
        </w:rPr>
        <w:drawing>
          <wp:inline distT="0" distB="0" distL="0" distR="0" wp14:anchorId="0055A6B7" wp14:editId="31BCDFE1">
            <wp:extent cx="5981700" cy="522565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85084" cy="5228606"/>
                    </a:xfrm>
                    <a:prstGeom prst="rect">
                      <a:avLst/>
                    </a:prstGeom>
                    <a:noFill/>
                    <a:ln>
                      <a:noFill/>
                    </a:ln>
                  </pic:spPr>
                </pic:pic>
              </a:graphicData>
            </a:graphic>
          </wp:inline>
        </w:drawing>
      </w:r>
    </w:p>
    <w:p w14:paraId="71B1E790" w14:textId="77777777" w:rsidR="00E92173" w:rsidRDefault="00E92173" w:rsidP="005A1F7F">
      <w:pPr>
        <w:rPr>
          <w:rFonts w:ascii="Arial" w:hAnsi="Arial" w:cs="Arial"/>
          <w:i/>
          <w:sz w:val="16"/>
          <w:szCs w:val="14"/>
        </w:rPr>
      </w:pPr>
    </w:p>
    <w:p w14:paraId="25129883" w14:textId="35E57B07" w:rsidR="00327926" w:rsidRPr="00701F92" w:rsidRDefault="00327926" w:rsidP="005A1F7F">
      <w:pPr>
        <w:rPr>
          <w:rFonts w:ascii="Arial" w:hAnsi="Arial" w:cs="Arial"/>
          <w:i/>
          <w:sz w:val="16"/>
          <w:szCs w:val="14"/>
        </w:rPr>
      </w:pPr>
      <w:r w:rsidRPr="00701F92">
        <w:rPr>
          <w:rFonts w:ascii="Arial" w:hAnsi="Arial" w:cs="Arial"/>
          <w:i/>
          <w:sz w:val="16"/>
          <w:szCs w:val="14"/>
        </w:rPr>
        <w:t>*WIPO Financial Regulations and Rules provide for the possibility of transfer of resources under Regulation 5.5: "The Director General may make transfers from one program of the program and budget to another for any given financial period, up to the limit of five per cent of the amount corresponding to the biennial appropriation of the receiving program, or to one per cent of the total budget, whichever is higher, when such transfers are necessary to ensure the proper functioning of the services."</w:t>
      </w:r>
      <w:r w:rsidR="00C67B65">
        <w:rPr>
          <w:rFonts w:ascii="Arial" w:hAnsi="Arial" w:cs="Arial"/>
          <w:i/>
          <w:sz w:val="16"/>
          <w:szCs w:val="14"/>
        </w:rPr>
        <w:t xml:space="preserve">  The 2014/15 Budget after Transfers is as of March 31, 2015. </w:t>
      </w:r>
    </w:p>
    <w:p w14:paraId="55718DE4" w14:textId="777AEFCA" w:rsidR="00327926" w:rsidRDefault="00327926">
      <w:pPr>
        <w:rPr>
          <w:rFonts w:ascii="Arial" w:hAnsi="Arial" w:cs="Arial"/>
          <w:i/>
          <w:sz w:val="18"/>
          <w:szCs w:val="18"/>
        </w:rPr>
      </w:pPr>
    </w:p>
    <w:p w14:paraId="005D356E" w14:textId="77777777" w:rsidR="00327926" w:rsidRDefault="00327926" w:rsidP="005A1F7F">
      <w:pPr>
        <w:rPr>
          <w:rFonts w:ascii="Arial" w:hAnsi="Arial" w:cs="Arial"/>
          <w:i/>
          <w:sz w:val="18"/>
          <w:szCs w:val="18"/>
        </w:rPr>
        <w:sectPr w:rsidR="00327926" w:rsidSect="00C84440">
          <w:pgSz w:w="11907" w:h="16839" w:code="9"/>
          <w:pgMar w:top="624" w:right="1418" w:bottom="1361" w:left="1418" w:header="567" w:footer="851" w:gutter="0"/>
          <w:cols w:space="720"/>
          <w:docGrid w:linePitch="360"/>
        </w:sectPr>
      </w:pPr>
    </w:p>
    <w:p w14:paraId="0BF477FF" w14:textId="77777777" w:rsidR="00FA2135" w:rsidRDefault="00FA2135" w:rsidP="00FA2135">
      <w:pPr>
        <w:rPr>
          <w:rFonts w:ascii="Arial" w:hAnsi="Arial" w:cs="Arial"/>
          <w:sz w:val="20"/>
        </w:rPr>
      </w:pPr>
    </w:p>
    <w:p w14:paraId="3CAC3A65" w14:textId="77777777" w:rsidR="00FA2135" w:rsidRDefault="00FA2135" w:rsidP="00FA2135">
      <w:pPr>
        <w:pStyle w:val="StyleHeading3ComplexItalic"/>
        <w:keepNext w:val="0"/>
        <w:tabs>
          <w:tab w:val="clear" w:pos="1985"/>
          <w:tab w:val="left" w:pos="1418"/>
        </w:tabs>
        <w:ind w:left="1418" w:hanging="1418"/>
        <w:rPr>
          <w:sz w:val="18"/>
          <w:szCs w:val="18"/>
        </w:rPr>
      </w:pPr>
      <w:bookmarkStart w:id="90" w:name="_Toc356567787"/>
      <w:bookmarkStart w:id="91" w:name="_Toc367350613"/>
      <w:bookmarkStart w:id="92" w:name="_Toc427154435"/>
      <w:r w:rsidRPr="00170F98">
        <w:t>A</w:t>
      </w:r>
      <w:r w:rsidRPr="00170F98">
        <w:rPr>
          <w:caps w:val="0"/>
        </w:rPr>
        <w:t>NNEX II</w:t>
      </w:r>
      <w:r>
        <w:rPr>
          <w:caps w:val="0"/>
        </w:rPr>
        <w:tab/>
        <w:t>2016/17 PROPOSED RESOURCES BY PROGRAM</w:t>
      </w:r>
      <w:bookmarkEnd w:id="90"/>
      <w:bookmarkEnd w:id="91"/>
      <w:bookmarkEnd w:id="92"/>
    </w:p>
    <w:p w14:paraId="3648F67B" w14:textId="77777777" w:rsidR="00FA2135" w:rsidRDefault="00FA2135" w:rsidP="00FA2135">
      <w:pPr>
        <w:jc w:val="center"/>
        <w:rPr>
          <w:rFonts w:ascii="Arial" w:hAnsi="Arial" w:cs="Arial"/>
          <w:sz w:val="18"/>
          <w:szCs w:val="18"/>
        </w:rPr>
      </w:pPr>
    </w:p>
    <w:p w14:paraId="6CE4B729" w14:textId="3C461F13" w:rsidR="00327926" w:rsidRPr="00FA2135" w:rsidRDefault="00327926" w:rsidP="005A1F7F">
      <w:pPr>
        <w:jc w:val="center"/>
        <w:rPr>
          <w:rFonts w:ascii="Arial" w:hAnsi="Arial" w:cs="Arial"/>
          <w:b/>
          <w:sz w:val="20"/>
          <w:szCs w:val="16"/>
        </w:rPr>
      </w:pPr>
      <w:r w:rsidRPr="00FA2135">
        <w:rPr>
          <w:rFonts w:ascii="Arial" w:hAnsi="Arial" w:cs="Arial"/>
          <w:b/>
          <w:sz w:val="20"/>
          <w:szCs w:val="16"/>
        </w:rPr>
        <w:t xml:space="preserve">Table </w:t>
      </w:r>
      <w:r w:rsidR="00701F92">
        <w:rPr>
          <w:rFonts w:ascii="Arial" w:hAnsi="Arial" w:cs="Arial"/>
          <w:b/>
          <w:sz w:val="20"/>
          <w:szCs w:val="16"/>
        </w:rPr>
        <w:t>9</w:t>
      </w:r>
      <w:r w:rsidRPr="00FA2135">
        <w:rPr>
          <w:rFonts w:ascii="Arial" w:hAnsi="Arial" w:cs="Arial"/>
          <w:b/>
          <w:sz w:val="20"/>
          <w:szCs w:val="16"/>
        </w:rPr>
        <w:t>.  2016/17 Budget by Program</w:t>
      </w:r>
    </w:p>
    <w:p w14:paraId="1D53A001" w14:textId="77777777" w:rsidR="00327926" w:rsidRDefault="00327926" w:rsidP="005A1F7F">
      <w:pPr>
        <w:jc w:val="center"/>
        <w:rPr>
          <w:rFonts w:ascii="Arial" w:hAnsi="Arial" w:cs="Arial"/>
          <w:i/>
          <w:sz w:val="20"/>
          <w:szCs w:val="16"/>
        </w:rPr>
      </w:pPr>
      <w:r w:rsidRPr="00FA2135">
        <w:rPr>
          <w:rFonts w:ascii="Arial" w:hAnsi="Arial" w:cs="Arial"/>
          <w:i/>
          <w:sz w:val="20"/>
          <w:szCs w:val="16"/>
        </w:rPr>
        <w:t>(in thousands of Swiss francs)</w:t>
      </w:r>
    </w:p>
    <w:p w14:paraId="65E063F1" w14:textId="77777777" w:rsidR="00FA2135" w:rsidRPr="00FA2135" w:rsidRDefault="00FA2135" w:rsidP="005A1F7F">
      <w:pPr>
        <w:jc w:val="center"/>
        <w:rPr>
          <w:rFonts w:ascii="Arial" w:hAnsi="Arial" w:cs="Arial"/>
          <w:i/>
          <w:sz w:val="20"/>
          <w:szCs w:val="16"/>
        </w:rPr>
      </w:pPr>
    </w:p>
    <w:p w14:paraId="2C2E18DC" w14:textId="35007E26" w:rsidR="00327926" w:rsidRDefault="008C21BB" w:rsidP="005A1F7F">
      <w:pPr>
        <w:rPr>
          <w:rFonts w:ascii="Arial" w:hAnsi="Arial" w:cs="Arial"/>
          <w:sz w:val="18"/>
          <w:szCs w:val="18"/>
        </w:rPr>
      </w:pPr>
      <w:r w:rsidRPr="008C21BB">
        <w:rPr>
          <w:noProof/>
          <w:lang w:eastAsia="en-US"/>
        </w:rPr>
        <w:drawing>
          <wp:inline distT="0" distB="0" distL="0" distR="0" wp14:anchorId="63E222FF" wp14:editId="47176A2A">
            <wp:extent cx="9248774" cy="48577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9252585" cy="4859752"/>
                    </a:xfrm>
                    <a:prstGeom prst="rect">
                      <a:avLst/>
                    </a:prstGeom>
                    <a:noFill/>
                    <a:ln>
                      <a:noFill/>
                    </a:ln>
                  </pic:spPr>
                </pic:pic>
              </a:graphicData>
            </a:graphic>
          </wp:inline>
        </w:drawing>
      </w:r>
    </w:p>
    <w:p w14:paraId="7F7C893C" w14:textId="424E0CF9" w:rsidR="00327926" w:rsidRDefault="00327926">
      <w:pPr>
        <w:rPr>
          <w:rFonts w:ascii="Arial" w:hAnsi="Arial" w:cs="Arial"/>
          <w:b/>
          <w:sz w:val="16"/>
          <w:szCs w:val="16"/>
        </w:rPr>
      </w:pPr>
    </w:p>
    <w:p w14:paraId="305C332B" w14:textId="77777777" w:rsidR="00FA2135" w:rsidRDefault="00FA2135">
      <w:pPr>
        <w:rPr>
          <w:rFonts w:ascii="Arial" w:hAnsi="Arial" w:cs="Arial"/>
          <w:b/>
          <w:sz w:val="16"/>
          <w:szCs w:val="16"/>
        </w:rPr>
      </w:pPr>
      <w:r>
        <w:rPr>
          <w:rFonts w:ascii="Arial" w:hAnsi="Arial" w:cs="Arial"/>
          <w:b/>
          <w:sz w:val="16"/>
          <w:szCs w:val="16"/>
        </w:rPr>
        <w:br w:type="page"/>
      </w:r>
    </w:p>
    <w:p w14:paraId="67A9B06A" w14:textId="079B57B5" w:rsidR="00327926" w:rsidRPr="00FA2135" w:rsidRDefault="00327926" w:rsidP="005A1F7F">
      <w:pPr>
        <w:jc w:val="center"/>
        <w:rPr>
          <w:rFonts w:ascii="Arial" w:hAnsi="Arial" w:cs="Arial"/>
          <w:b/>
          <w:sz w:val="20"/>
          <w:szCs w:val="16"/>
        </w:rPr>
      </w:pPr>
      <w:r w:rsidRPr="00FA2135">
        <w:rPr>
          <w:rFonts w:ascii="Arial" w:hAnsi="Arial" w:cs="Arial"/>
          <w:b/>
          <w:sz w:val="20"/>
          <w:szCs w:val="16"/>
        </w:rPr>
        <w:lastRenderedPageBreak/>
        <w:t xml:space="preserve">Table </w:t>
      </w:r>
      <w:r w:rsidR="00701F92">
        <w:rPr>
          <w:rFonts w:ascii="Arial" w:hAnsi="Arial" w:cs="Arial"/>
          <w:b/>
          <w:sz w:val="20"/>
          <w:szCs w:val="16"/>
        </w:rPr>
        <w:t>10</w:t>
      </w:r>
      <w:r w:rsidRPr="00FA2135">
        <w:rPr>
          <w:rFonts w:ascii="Arial" w:hAnsi="Arial" w:cs="Arial"/>
          <w:b/>
          <w:sz w:val="20"/>
          <w:szCs w:val="16"/>
        </w:rPr>
        <w:t>.  2016/17 Posts by Program</w:t>
      </w:r>
    </w:p>
    <w:p w14:paraId="5C23D648" w14:textId="77777777" w:rsidR="00FA2135" w:rsidRPr="0026077A" w:rsidRDefault="00FA2135" w:rsidP="005A1F7F">
      <w:pPr>
        <w:jc w:val="center"/>
        <w:rPr>
          <w:rFonts w:ascii="Arial" w:hAnsi="Arial" w:cs="Arial"/>
          <w:b/>
          <w:sz w:val="16"/>
          <w:szCs w:val="16"/>
        </w:rPr>
      </w:pPr>
    </w:p>
    <w:p w14:paraId="73E1C8D1" w14:textId="0506D924" w:rsidR="00327926" w:rsidRDefault="001219BE" w:rsidP="005A1F7F">
      <w:pPr>
        <w:jc w:val="center"/>
        <w:rPr>
          <w:rFonts w:ascii="Arial" w:hAnsi="Arial" w:cs="Arial"/>
          <w:sz w:val="20"/>
          <w:szCs w:val="20"/>
        </w:rPr>
      </w:pPr>
      <w:r w:rsidRPr="001219BE">
        <w:rPr>
          <w:noProof/>
          <w:lang w:eastAsia="en-US"/>
        </w:rPr>
        <w:drawing>
          <wp:inline distT="0" distB="0" distL="0" distR="0" wp14:anchorId="11BEF092" wp14:editId="00C38C23">
            <wp:extent cx="8867089" cy="52103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8867533" cy="5210616"/>
                    </a:xfrm>
                    <a:prstGeom prst="rect">
                      <a:avLst/>
                    </a:prstGeom>
                    <a:noFill/>
                    <a:ln>
                      <a:noFill/>
                    </a:ln>
                  </pic:spPr>
                </pic:pic>
              </a:graphicData>
            </a:graphic>
          </wp:inline>
        </w:drawing>
      </w:r>
    </w:p>
    <w:p w14:paraId="53296EBD" w14:textId="0E947B99" w:rsidR="00592800" w:rsidRPr="00327926" w:rsidRDefault="00327926" w:rsidP="00327926">
      <w:pPr>
        <w:rPr>
          <w:rFonts w:ascii="Arial" w:hAnsi="Arial" w:cs="Arial"/>
          <w:i/>
          <w:sz w:val="14"/>
          <w:szCs w:val="14"/>
        </w:rPr>
      </w:pPr>
      <w:r w:rsidRPr="0026077A">
        <w:rPr>
          <w:rFonts w:ascii="Arial" w:hAnsi="Arial" w:cs="Arial"/>
          <w:i/>
          <w:sz w:val="14"/>
          <w:szCs w:val="14"/>
        </w:rPr>
        <w:t>*</w:t>
      </w:r>
      <w:r w:rsidRPr="00701F92">
        <w:rPr>
          <w:rFonts w:ascii="Arial" w:hAnsi="Arial" w:cs="Arial"/>
          <w:i/>
          <w:sz w:val="16"/>
          <w:szCs w:val="14"/>
        </w:rPr>
        <w:t>The Unallocated line under the 2014/15 Budget after Transfers and 2016/17 Proposed Budget includes 41 posts shown under "General Services" category in the table above, which are intended for the regularization of temporary staff.  However, the grades of these posts and their categories (Professional or General Services) are not yet known</w:t>
      </w:r>
      <w:r w:rsidRPr="0026077A">
        <w:rPr>
          <w:rFonts w:ascii="Arial" w:hAnsi="Arial" w:cs="Arial"/>
          <w:i/>
          <w:sz w:val="14"/>
          <w:szCs w:val="14"/>
        </w:rPr>
        <w:t xml:space="preserve">. </w:t>
      </w:r>
    </w:p>
    <w:p w14:paraId="778A2EB6" w14:textId="77777777" w:rsidR="00592800" w:rsidRDefault="00592800" w:rsidP="008D3EC2">
      <w:pPr>
        <w:autoSpaceDE w:val="0"/>
        <w:autoSpaceDN w:val="0"/>
        <w:adjustRightInd w:val="0"/>
        <w:rPr>
          <w:rFonts w:ascii="Arial" w:hAnsi="Arial" w:cs="Arial"/>
          <w:sz w:val="20"/>
        </w:rPr>
      </w:pPr>
    </w:p>
    <w:p w14:paraId="7B69D6EE" w14:textId="77777777" w:rsidR="00592800" w:rsidRDefault="00592800">
      <w:pPr>
        <w:rPr>
          <w:rFonts w:ascii="Arial" w:hAnsi="Arial" w:cs="Arial"/>
          <w:sz w:val="20"/>
        </w:rPr>
        <w:sectPr w:rsidR="00592800" w:rsidSect="00C84440">
          <w:pgSz w:w="16839" w:h="11907" w:orient="landscape" w:code="9"/>
          <w:pgMar w:top="1304" w:right="624" w:bottom="1134" w:left="1134" w:header="567" w:footer="851" w:gutter="0"/>
          <w:cols w:space="720"/>
          <w:docGrid w:linePitch="360"/>
        </w:sectPr>
      </w:pPr>
    </w:p>
    <w:p w14:paraId="47212FB1" w14:textId="77777777" w:rsidR="00592800" w:rsidRPr="0069571C" w:rsidRDefault="00592800" w:rsidP="00592800">
      <w:pPr>
        <w:pStyle w:val="StyleHeading3ComplexItalic"/>
        <w:keepNext w:val="0"/>
        <w:tabs>
          <w:tab w:val="clear" w:pos="1985"/>
          <w:tab w:val="left" w:pos="1418"/>
        </w:tabs>
        <w:ind w:left="1418" w:hanging="1418"/>
      </w:pPr>
      <w:bookmarkStart w:id="93" w:name="_Toc293334842"/>
      <w:bookmarkStart w:id="94" w:name="_Toc298920424"/>
      <w:bookmarkStart w:id="95" w:name="_Toc356567788"/>
      <w:bookmarkStart w:id="96" w:name="_Toc367350614"/>
      <w:bookmarkStart w:id="97" w:name="_Toc427154436"/>
      <w:r w:rsidRPr="007F65E7">
        <w:rPr>
          <w:caps w:val="0"/>
        </w:rPr>
        <w:lastRenderedPageBreak/>
        <w:t>ANNEX III</w:t>
      </w:r>
      <w:r w:rsidRPr="007F65E7">
        <w:rPr>
          <w:caps w:val="0"/>
        </w:rPr>
        <w:tab/>
        <w:t>ALLOCATION OF PROJECTED INCOME AND BUDGET BY UNION</w:t>
      </w:r>
      <w:bookmarkEnd w:id="93"/>
      <w:bookmarkEnd w:id="94"/>
      <w:bookmarkEnd w:id="95"/>
      <w:bookmarkEnd w:id="96"/>
      <w:bookmarkEnd w:id="97"/>
    </w:p>
    <w:p w14:paraId="0A8F5F1E" w14:textId="77777777" w:rsidR="004D0754" w:rsidRPr="00C6387E" w:rsidRDefault="004D0754" w:rsidP="005A1F7F">
      <w:pPr>
        <w:rPr>
          <w:rFonts w:ascii="Arial" w:hAnsi="Arial" w:cs="Arial"/>
          <w:sz w:val="20"/>
        </w:rPr>
      </w:pPr>
    </w:p>
    <w:p w14:paraId="3940B501" w14:textId="77777777" w:rsidR="004D0754" w:rsidRPr="00C6387E" w:rsidRDefault="004D0754" w:rsidP="005A1F7F">
      <w:pPr>
        <w:rPr>
          <w:rFonts w:ascii="Arial" w:hAnsi="Arial" w:cs="Arial"/>
          <w:bCs/>
          <w:sz w:val="20"/>
        </w:rPr>
      </w:pPr>
    </w:p>
    <w:p w14:paraId="026CAD31" w14:textId="77777777" w:rsidR="004D0754" w:rsidRPr="00C6387E" w:rsidRDefault="004D0754" w:rsidP="005A1F7F">
      <w:pPr>
        <w:rPr>
          <w:rFonts w:ascii="Arial" w:hAnsi="Arial" w:cs="Arial"/>
          <w:bCs/>
          <w:sz w:val="20"/>
        </w:rPr>
      </w:pPr>
      <w:r w:rsidRPr="00C6387E">
        <w:rPr>
          <w:rFonts w:ascii="Arial" w:hAnsi="Arial" w:cs="Arial"/>
          <w:bCs/>
          <w:sz w:val="20"/>
        </w:rPr>
        <w:t>INTRODUCTION</w:t>
      </w:r>
    </w:p>
    <w:p w14:paraId="1E3CE015" w14:textId="77777777" w:rsidR="004D0754" w:rsidRPr="00C6387E" w:rsidRDefault="004D0754" w:rsidP="005A1F7F">
      <w:pPr>
        <w:jc w:val="both"/>
        <w:rPr>
          <w:rFonts w:ascii="Arial" w:hAnsi="Arial" w:cs="Arial"/>
          <w:sz w:val="20"/>
        </w:rPr>
      </w:pPr>
    </w:p>
    <w:p w14:paraId="206D50B6" w14:textId="77777777" w:rsidR="004D0754" w:rsidRPr="00C6387E" w:rsidRDefault="004D0754" w:rsidP="00B66A4A">
      <w:pPr>
        <w:numPr>
          <w:ilvl w:val="0"/>
          <w:numId w:val="37"/>
        </w:numPr>
        <w:jc w:val="both"/>
        <w:rPr>
          <w:rFonts w:ascii="Arial" w:hAnsi="Arial" w:cs="Arial"/>
          <w:sz w:val="20"/>
        </w:rPr>
      </w:pPr>
      <w:r>
        <w:rPr>
          <w:rFonts w:ascii="Arial" w:hAnsi="Arial" w:cs="Arial"/>
          <w:sz w:val="20"/>
        </w:rPr>
        <w:t>T</w:t>
      </w:r>
      <w:r w:rsidRPr="00C6387E">
        <w:rPr>
          <w:rFonts w:ascii="Arial" w:hAnsi="Arial" w:cs="Arial"/>
          <w:sz w:val="20"/>
        </w:rPr>
        <w:t xml:space="preserve">he WIPO Financial Regulations and Rules (Rule 102.2), </w:t>
      </w:r>
      <w:r>
        <w:rPr>
          <w:rFonts w:ascii="Arial" w:hAnsi="Arial" w:cs="Arial"/>
          <w:sz w:val="20"/>
        </w:rPr>
        <w:t xml:space="preserve">require </w:t>
      </w:r>
      <w:r w:rsidRPr="00C6387E">
        <w:rPr>
          <w:rFonts w:ascii="Arial" w:hAnsi="Arial" w:cs="Arial"/>
          <w:sz w:val="20"/>
        </w:rPr>
        <w:t xml:space="preserve">the biennial budget for the Organization </w:t>
      </w:r>
      <w:r>
        <w:rPr>
          <w:rFonts w:ascii="Arial" w:hAnsi="Arial" w:cs="Arial"/>
          <w:sz w:val="20"/>
        </w:rPr>
        <w:t xml:space="preserve">to be presented </w:t>
      </w:r>
      <w:r w:rsidRPr="00C6387E">
        <w:rPr>
          <w:rFonts w:ascii="Arial" w:hAnsi="Arial" w:cs="Arial"/>
          <w:sz w:val="20"/>
        </w:rPr>
        <w:t xml:space="preserve">separately for each Union.  </w:t>
      </w:r>
    </w:p>
    <w:p w14:paraId="1CBE20C0" w14:textId="77777777" w:rsidR="004D0754" w:rsidRDefault="004D0754" w:rsidP="005A1F7F">
      <w:pPr>
        <w:rPr>
          <w:rFonts w:ascii="Arial" w:hAnsi="Arial" w:cs="Arial"/>
          <w:sz w:val="20"/>
        </w:rPr>
      </w:pPr>
    </w:p>
    <w:p w14:paraId="44FB15EE" w14:textId="77777777" w:rsidR="004D0754" w:rsidRPr="00C6387E" w:rsidRDefault="004D0754" w:rsidP="005A1F7F">
      <w:pPr>
        <w:rPr>
          <w:rFonts w:ascii="Arial" w:hAnsi="Arial" w:cs="Arial"/>
          <w:sz w:val="20"/>
        </w:rPr>
      </w:pPr>
    </w:p>
    <w:p w14:paraId="6F851D6E" w14:textId="77777777" w:rsidR="004D0754" w:rsidRPr="00C6387E" w:rsidRDefault="004D0754" w:rsidP="005A1F7F">
      <w:pPr>
        <w:rPr>
          <w:rFonts w:ascii="Arial" w:hAnsi="Arial" w:cs="Arial"/>
          <w:bCs/>
          <w:sz w:val="20"/>
        </w:rPr>
      </w:pPr>
      <w:r w:rsidRPr="00C6387E">
        <w:rPr>
          <w:rFonts w:ascii="Arial" w:hAnsi="Arial" w:cs="Arial"/>
          <w:bCs/>
          <w:sz w:val="20"/>
        </w:rPr>
        <w:t>ALLOCATION OF BUDGETED EXPENDITURE BY UNION</w:t>
      </w:r>
    </w:p>
    <w:p w14:paraId="60C6FA39" w14:textId="77777777" w:rsidR="004D0754" w:rsidRPr="00C6387E" w:rsidRDefault="004D0754" w:rsidP="005A1F7F">
      <w:pPr>
        <w:jc w:val="both"/>
        <w:rPr>
          <w:rFonts w:ascii="Arial" w:hAnsi="Arial" w:cs="Arial"/>
          <w:b/>
          <w:i/>
          <w:sz w:val="20"/>
        </w:rPr>
      </w:pPr>
    </w:p>
    <w:p w14:paraId="4C7A40E3" w14:textId="77777777" w:rsidR="004D0754" w:rsidRPr="00C6387E" w:rsidRDefault="004D0754" w:rsidP="00B66A4A">
      <w:pPr>
        <w:numPr>
          <w:ilvl w:val="0"/>
          <w:numId w:val="37"/>
        </w:numPr>
        <w:jc w:val="both"/>
        <w:rPr>
          <w:rFonts w:ascii="Arial" w:hAnsi="Arial" w:cs="Arial"/>
          <w:b/>
          <w:i/>
          <w:sz w:val="20"/>
        </w:rPr>
      </w:pPr>
      <w:r>
        <w:rPr>
          <w:rFonts w:ascii="Arial" w:hAnsi="Arial" w:cs="Arial"/>
          <w:sz w:val="20"/>
        </w:rPr>
        <w:t>T</w:t>
      </w:r>
      <w:r w:rsidRPr="00C6387E">
        <w:rPr>
          <w:rFonts w:ascii="Arial" w:hAnsi="Arial" w:cs="Arial"/>
          <w:sz w:val="20"/>
        </w:rPr>
        <w:t xml:space="preserve">he methodology on the allocation of the expenditure by Unions is based on the identification of Union direct and Union indirect expenses.  Programs are categorized as Union Direct and Union Indirect activities as described below.  </w:t>
      </w:r>
      <w:r>
        <w:rPr>
          <w:rFonts w:ascii="Arial" w:hAnsi="Arial" w:cs="Arial"/>
          <w:sz w:val="20"/>
        </w:rPr>
        <w:t>The methodology used for the Program and Budget 2016/17 is unchanged from that used for the Program and Budget 2014/15.</w:t>
      </w:r>
    </w:p>
    <w:p w14:paraId="091818B0" w14:textId="77777777" w:rsidR="004D0754" w:rsidRPr="00C6387E" w:rsidRDefault="004D0754" w:rsidP="005A1F7F">
      <w:pPr>
        <w:ind w:left="1"/>
        <w:jc w:val="both"/>
        <w:rPr>
          <w:rFonts w:ascii="Arial" w:hAnsi="Arial" w:cs="Arial"/>
          <w:b/>
          <w:i/>
          <w:sz w:val="20"/>
        </w:rPr>
      </w:pPr>
    </w:p>
    <w:p w14:paraId="7C77D1B4" w14:textId="77777777" w:rsidR="004D0754" w:rsidRPr="00C6387E" w:rsidRDefault="004D0754" w:rsidP="00B66A4A">
      <w:pPr>
        <w:numPr>
          <w:ilvl w:val="0"/>
          <w:numId w:val="37"/>
        </w:numPr>
        <w:jc w:val="both"/>
        <w:rPr>
          <w:rFonts w:ascii="Arial" w:hAnsi="Arial" w:cs="Arial"/>
          <w:sz w:val="20"/>
        </w:rPr>
      </w:pPr>
      <w:r w:rsidRPr="00C6387E">
        <w:rPr>
          <w:rFonts w:ascii="Arial" w:hAnsi="Arial" w:cs="Arial"/>
          <w:i/>
          <w:sz w:val="20"/>
        </w:rPr>
        <w:t>UNION DIRECT EXPENSES</w:t>
      </w:r>
      <w:r w:rsidRPr="00C6387E">
        <w:rPr>
          <w:rFonts w:ascii="Arial" w:hAnsi="Arial" w:cs="Arial"/>
          <w:sz w:val="20"/>
        </w:rPr>
        <w:t xml:space="preserve"> are the expenses incurred under Union specific activities and the attributable share of related administrative and other budgeted expenses.  </w:t>
      </w:r>
    </w:p>
    <w:p w14:paraId="1BB4E852" w14:textId="77777777" w:rsidR="004D0754" w:rsidRPr="00C6387E" w:rsidRDefault="004D0754" w:rsidP="005A1F7F">
      <w:pPr>
        <w:jc w:val="both"/>
        <w:rPr>
          <w:rFonts w:ascii="Arial" w:hAnsi="Arial" w:cs="Arial"/>
          <w:sz w:val="20"/>
        </w:rPr>
      </w:pPr>
    </w:p>
    <w:p w14:paraId="064143EC" w14:textId="77777777" w:rsidR="004D0754" w:rsidRPr="00C6387E" w:rsidRDefault="004D0754" w:rsidP="005A1F7F">
      <w:pPr>
        <w:ind w:left="1080" w:hanging="540"/>
        <w:jc w:val="both"/>
        <w:rPr>
          <w:rFonts w:ascii="Arial" w:hAnsi="Arial" w:cs="Arial"/>
          <w:b/>
          <w:i/>
          <w:sz w:val="20"/>
        </w:rPr>
      </w:pPr>
      <w:r w:rsidRPr="00C6387E">
        <w:rPr>
          <w:rFonts w:ascii="Arial" w:hAnsi="Arial" w:cs="Arial"/>
          <w:i/>
          <w:sz w:val="20"/>
        </w:rPr>
        <w:t>3.1</w:t>
      </w:r>
      <w:r w:rsidRPr="00C6387E">
        <w:rPr>
          <w:rFonts w:ascii="Arial" w:hAnsi="Arial" w:cs="Arial"/>
          <w:i/>
          <w:sz w:val="20"/>
        </w:rPr>
        <w:tab/>
        <w:t>Union specific activities</w:t>
      </w:r>
      <w:r w:rsidRPr="00C6387E">
        <w:rPr>
          <w:rFonts w:ascii="Arial" w:hAnsi="Arial" w:cs="Arial"/>
          <w:sz w:val="20"/>
        </w:rPr>
        <w:t xml:space="preserve">:  The following Program activities and budgeted expenditures are considered under this heading.  Where expenditures of a </w:t>
      </w:r>
      <w:r>
        <w:rPr>
          <w:rFonts w:ascii="Arial" w:hAnsi="Arial" w:cs="Arial"/>
          <w:sz w:val="20"/>
        </w:rPr>
        <w:t>P</w:t>
      </w:r>
      <w:r w:rsidRPr="00C6387E">
        <w:rPr>
          <w:rFonts w:ascii="Arial" w:hAnsi="Arial" w:cs="Arial"/>
          <w:sz w:val="20"/>
        </w:rPr>
        <w:t xml:space="preserve">rogram are only partly allocated to a Union, the basis for allocation is the respective Union’s share of this expense as estimated by the Program Managers of the respective </w:t>
      </w:r>
      <w:r>
        <w:rPr>
          <w:rFonts w:ascii="Arial" w:hAnsi="Arial" w:cs="Arial"/>
          <w:sz w:val="20"/>
        </w:rPr>
        <w:t>P</w:t>
      </w:r>
      <w:r w:rsidRPr="00C6387E">
        <w:rPr>
          <w:rFonts w:ascii="Arial" w:hAnsi="Arial" w:cs="Arial"/>
          <w:sz w:val="20"/>
        </w:rPr>
        <w:t>rograms.  Where the allocation of a Program is to a single Union, the full cost of that Program is allocated to that Union.</w:t>
      </w:r>
    </w:p>
    <w:p w14:paraId="10D755B5" w14:textId="77777777" w:rsidR="004D0754" w:rsidRPr="00C6387E" w:rsidRDefault="004D0754" w:rsidP="005A1F7F">
      <w:pPr>
        <w:jc w:val="both"/>
        <w:rPr>
          <w:rFonts w:ascii="Arial" w:hAnsi="Arial" w:cs="Arial"/>
          <w:sz w:val="20"/>
        </w:rPr>
      </w:pPr>
    </w:p>
    <w:p w14:paraId="2FFFB13C" w14:textId="77777777" w:rsidR="004D0754" w:rsidRPr="00C6387E" w:rsidRDefault="004D0754" w:rsidP="005A1F7F">
      <w:pPr>
        <w:spacing w:after="60"/>
        <w:ind w:left="1843" w:hanging="766"/>
        <w:jc w:val="both"/>
        <w:rPr>
          <w:rFonts w:ascii="Arial" w:hAnsi="Arial" w:cs="Arial"/>
          <w:sz w:val="20"/>
        </w:rPr>
      </w:pPr>
      <w:r w:rsidRPr="00C6387E">
        <w:rPr>
          <w:rFonts w:ascii="Arial" w:hAnsi="Arial" w:cs="Arial"/>
          <w:i/>
          <w:sz w:val="20"/>
        </w:rPr>
        <w:t>3.1.1</w:t>
      </w:r>
      <w:r w:rsidRPr="00C6387E">
        <w:rPr>
          <w:rFonts w:ascii="Arial" w:hAnsi="Arial" w:cs="Arial"/>
          <w:i/>
          <w:sz w:val="20"/>
        </w:rPr>
        <w:tab/>
        <w:t>Contribution-financed Unions</w:t>
      </w:r>
      <w:r w:rsidRPr="00C6387E">
        <w:rPr>
          <w:rFonts w:ascii="Arial" w:hAnsi="Arial" w:cs="Arial"/>
          <w:sz w:val="20"/>
        </w:rPr>
        <w:t>:  Programs 1 (Patent Law) (partly), 2 (Trademarks, Industrial Designs and Geographical Indications) (partly), 3 (Copyright and Related Rights) (partly), 4 (Traditional Knowledge, Traditional Cultural Expressions and Genetic Resources), 7 (WIPO Arbitration and Mediation Center) (partly), 12 (International Classifications and Standards) (partly) and 14 (Services for Access to Information and Knowledge) (partly).</w:t>
      </w:r>
    </w:p>
    <w:p w14:paraId="7F3F1246" w14:textId="77777777" w:rsidR="004D0754" w:rsidRPr="00C6387E" w:rsidRDefault="004D0754" w:rsidP="005A1F7F">
      <w:pPr>
        <w:spacing w:after="60"/>
        <w:ind w:left="1843" w:hanging="766"/>
        <w:jc w:val="both"/>
        <w:rPr>
          <w:rFonts w:ascii="Arial" w:hAnsi="Arial" w:cs="Arial"/>
          <w:sz w:val="20"/>
        </w:rPr>
      </w:pPr>
      <w:r w:rsidRPr="00C6387E">
        <w:rPr>
          <w:rFonts w:ascii="Arial" w:hAnsi="Arial" w:cs="Arial"/>
          <w:i/>
          <w:sz w:val="20"/>
        </w:rPr>
        <w:t>3.1.2</w:t>
      </w:r>
      <w:r w:rsidRPr="00C6387E">
        <w:rPr>
          <w:rFonts w:ascii="Arial" w:hAnsi="Arial" w:cs="Arial"/>
          <w:i/>
          <w:sz w:val="20"/>
        </w:rPr>
        <w:tab/>
        <w:t>PCT Union</w:t>
      </w:r>
      <w:r w:rsidRPr="00C6387E">
        <w:rPr>
          <w:rFonts w:ascii="Arial" w:hAnsi="Arial" w:cs="Arial"/>
          <w:sz w:val="20"/>
        </w:rPr>
        <w:t>:  Programs 1 (Patent Law) (partly), 5 (The PCT System), 7 (WIPO Arbitration and Mediation Center) (partly), 12 (International Classifications and Standards) (partly), 13 (Global Databases) (partly) and 14 (Services for Access to Information and Knowledge) (partly).</w:t>
      </w:r>
    </w:p>
    <w:p w14:paraId="31AD1293" w14:textId="530F4787" w:rsidR="004D0754" w:rsidRPr="00C6387E" w:rsidRDefault="004D0754" w:rsidP="005A1F7F">
      <w:pPr>
        <w:spacing w:after="60"/>
        <w:ind w:left="1843" w:hanging="766"/>
        <w:jc w:val="both"/>
        <w:rPr>
          <w:rFonts w:ascii="Arial" w:hAnsi="Arial" w:cs="Arial"/>
          <w:sz w:val="20"/>
        </w:rPr>
      </w:pPr>
      <w:r w:rsidRPr="00C6387E">
        <w:rPr>
          <w:rFonts w:ascii="Arial" w:hAnsi="Arial" w:cs="Arial"/>
          <w:i/>
          <w:sz w:val="20"/>
        </w:rPr>
        <w:t>3.1.3</w:t>
      </w:r>
      <w:r w:rsidRPr="00C6387E">
        <w:rPr>
          <w:rFonts w:ascii="Arial" w:hAnsi="Arial" w:cs="Arial"/>
          <w:i/>
          <w:sz w:val="20"/>
        </w:rPr>
        <w:tab/>
        <w:t>Madrid Union</w:t>
      </w:r>
      <w:r w:rsidRPr="00C6387E">
        <w:rPr>
          <w:rFonts w:ascii="Arial" w:hAnsi="Arial" w:cs="Arial"/>
          <w:sz w:val="20"/>
        </w:rPr>
        <w:t>:  Programs 2 (Trademarks, Industrial Designs and Geographical Indications) (partly), 6 (Madrid and Lisbon Systems) (partly), 7 (WIPO Arbitration and Mediation Center) (partly), 12 (International Classifications and Standards) (partly), 13 (Global Databases) (partly)</w:t>
      </w:r>
      <w:r w:rsidR="00D50719">
        <w:rPr>
          <w:rFonts w:ascii="Arial" w:hAnsi="Arial" w:cs="Arial"/>
          <w:sz w:val="20"/>
        </w:rPr>
        <w:t xml:space="preserve"> and</w:t>
      </w:r>
      <w:r w:rsidRPr="00C6387E">
        <w:rPr>
          <w:rFonts w:ascii="Arial" w:hAnsi="Arial" w:cs="Arial"/>
          <w:sz w:val="20"/>
        </w:rPr>
        <w:t xml:space="preserve"> 14 (Services for Access to Information and Knowledge) (partly).</w:t>
      </w:r>
    </w:p>
    <w:p w14:paraId="57AE50B7" w14:textId="77777777" w:rsidR="004D0754" w:rsidRPr="00C6387E" w:rsidRDefault="004D0754" w:rsidP="005A1F7F">
      <w:pPr>
        <w:spacing w:after="60"/>
        <w:ind w:left="1843" w:hanging="766"/>
        <w:jc w:val="both"/>
        <w:rPr>
          <w:rFonts w:ascii="Arial" w:hAnsi="Arial" w:cs="Arial"/>
          <w:sz w:val="20"/>
        </w:rPr>
      </w:pPr>
      <w:r w:rsidRPr="00C6387E">
        <w:rPr>
          <w:rFonts w:ascii="Arial" w:hAnsi="Arial" w:cs="Arial"/>
          <w:i/>
          <w:sz w:val="20"/>
        </w:rPr>
        <w:t>3.1.4</w:t>
      </w:r>
      <w:r w:rsidRPr="00C6387E">
        <w:rPr>
          <w:rFonts w:ascii="Arial" w:hAnsi="Arial" w:cs="Arial"/>
          <w:i/>
          <w:sz w:val="20"/>
        </w:rPr>
        <w:tab/>
        <w:t>Hague Union</w:t>
      </w:r>
      <w:r w:rsidRPr="00C6387E">
        <w:rPr>
          <w:rFonts w:ascii="Arial" w:hAnsi="Arial" w:cs="Arial"/>
          <w:sz w:val="20"/>
        </w:rPr>
        <w:t xml:space="preserve">:  Programs 2 (Trademarks, Industrial Designs and Geographical </w:t>
      </w:r>
      <w:r w:rsidRPr="00C6387E">
        <w:rPr>
          <w:rFonts w:ascii="Arial" w:hAnsi="Arial" w:cs="Arial"/>
          <w:i/>
          <w:sz w:val="20"/>
        </w:rPr>
        <w:t>Indications</w:t>
      </w:r>
      <w:r w:rsidRPr="00C6387E">
        <w:rPr>
          <w:rFonts w:ascii="Arial" w:hAnsi="Arial" w:cs="Arial"/>
          <w:sz w:val="20"/>
        </w:rPr>
        <w:t>) (partly), 6 (Madrid and Lisbon Systems) (partly), 7 (WIPO Arbitration and Mediation Center) (partly), 12 (International Classifications and Standards) (partly) and 14 (Services for Access to Information and Knowledge) (partly) and 31 (The Hague System).</w:t>
      </w:r>
    </w:p>
    <w:p w14:paraId="555B68FA" w14:textId="0C37D6D2" w:rsidR="004D0754" w:rsidRPr="00C6387E" w:rsidRDefault="004D0754" w:rsidP="005A1F7F">
      <w:pPr>
        <w:spacing w:after="60"/>
        <w:ind w:left="1843" w:hanging="766"/>
        <w:jc w:val="both"/>
        <w:rPr>
          <w:rFonts w:ascii="Arial" w:hAnsi="Arial" w:cs="Arial"/>
          <w:sz w:val="20"/>
        </w:rPr>
      </w:pPr>
      <w:r w:rsidRPr="00C6387E">
        <w:rPr>
          <w:rFonts w:ascii="Arial" w:hAnsi="Arial" w:cs="Arial"/>
          <w:i/>
          <w:sz w:val="20"/>
        </w:rPr>
        <w:t>3.1.5</w:t>
      </w:r>
      <w:r w:rsidRPr="00C6387E">
        <w:rPr>
          <w:rFonts w:ascii="Arial" w:hAnsi="Arial" w:cs="Arial"/>
          <w:i/>
          <w:sz w:val="20"/>
        </w:rPr>
        <w:tab/>
        <w:t>Lisbon Union</w:t>
      </w:r>
      <w:r w:rsidRPr="00C6387E">
        <w:rPr>
          <w:rFonts w:ascii="Arial" w:hAnsi="Arial" w:cs="Arial"/>
          <w:sz w:val="20"/>
        </w:rPr>
        <w:t>:  Programs 6 (Madrid and Lisbon Systems) (partly), 7 (WIPO Arbitration and Mediation Center) (partly) and 14 (Services for Access to Information and Knowledge) (partly).</w:t>
      </w:r>
    </w:p>
    <w:p w14:paraId="2ED71943" w14:textId="77777777" w:rsidR="004D0754" w:rsidRPr="00C6387E" w:rsidRDefault="004D0754" w:rsidP="005A1F7F">
      <w:pPr>
        <w:jc w:val="both"/>
        <w:rPr>
          <w:rFonts w:ascii="Arial" w:hAnsi="Arial" w:cs="Arial"/>
          <w:sz w:val="20"/>
        </w:rPr>
      </w:pPr>
    </w:p>
    <w:p w14:paraId="0CF0DC09" w14:textId="77777777" w:rsidR="004D0754" w:rsidRDefault="004D0754" w:rsidP="005A1F7F">
      <w:pPr>
        <w:ind w:left="1080" w:hanging="513"/>
        <w:jc w:val="both"/>
        <w:rPr>
          <w:rFonts w:ascii="Arial" w:hAnsi="Arial" w:cs="Arial"/>
          <w:sz w:val="20"/>
        </w:rPr>
      </w:pPr>
      <w:r w:rsidRPr="00C6387E">
        <w:rPr>
          <w:rFonts w:ascii="Arial" w:hAnsi="Arial" w:cs="Arial"/>
          <w:i/>
          <w:sz w:val="20"/>
        </w:rPr>
        <w:t>3.2</w:t>
      </w:r>
      <w:r w:rsidRPr="00C6387E">
        <w:rPr>
          <w:rFonts w:ascii="Arial" w:hAnsi="Arial" w:cs="Arial"/>
          <w:i/>
          <w:sz w:val="20"/>
        </w:rPr>
        <w:tab/>
        <w:t>Union Direct Administrative Expenses</w:t>
      </w:r>
      <w:r w:rsidRPr="00C6387E">
        <w:rPr>
          <w:rFonts w:ascii="Arial" w:hAnsi="Arial" w:cs="Arial"/>
          <w:sz w:val="20"/>
        </w:rPr>
        <w:t xml:space="preserve">: </w:t>
      </w:r>
      <w:r>
        <w:rPr>
          <w:rFonts w:ascii="Arial" w:hAnsi="Arial" w:cs="Arial"/>
          <w:sz w:val="20"/>
        </w:rPr>
        <w:t xml:space="preserve"> </w:t>
      </w:r>
      <w:r w:rsidRPr="00C6387E">
        <w:rPr>
          <w:rFonts w:ascii="Arial" w:hAnsi="Arial" w:cs="Arial"/>
          <w:sz w:val="20"/>
        </w:rPr>
        <w:t>A share of all programs under Strategic Goal IX (Programs 21 to </w:t>
      </w:r>
      <w:r>
        <w:rPr>
          <w:rFonts w:ascii="Arial" w:hAnsi="Arial" w:cs="Arial"/>
          <w:sz w:val="20"/>
        </w:rPr>
        <w:t>28</w:t>
      </w:r>
      <w:r w:rsidRPr="00C6387E">
        <w:rPr>
          <w:rFonts w:ascii="Arial" w:hAnsi="Arial" w:cs="Arial"/>
          <w:sz w:val="20"/>
        </w:rPr>
        <w:t xml:space="preserve">) and “Unallocated” is considered to belong under this category.  The allocation of budgeted expenditures is determined in a two-step process. In the first step, the total share of direct administrative costs for all Unions is determined on the basis of the total headcount of the direct union-related </w:t>
      </w:r>
      <w:r>
        <w:rPr>
          <w:rFonts w:ascii="Arial" w:hAnsi="Arial" w:cs="Arial"/>
          <w:sz w:val="20"/>
        </w:rPr>
        <w:t>P</w:t>
      </w:r>
      <w:r w:rsidRPr="00C6387E">
        <w:rPr>
          <w:rFonts w:ascii="Arial" w:hAnsi="Arial" w:cs="Arial"/>
          <w:sz w:val="20"/>
        </w:rPr>
        <w:t xml:space="preserve">rograms relative to the total headcount of all </w:t>
      </w:r>
      <w:r>
        <w:rPr>
          <w:rFonts w:ascii="Arial" w:hAnsi="Arial" w:cs="Arial"/>
          <w:sz w:val="20"/>
        </w:rPr>
        <w:t>P</w:t>
      </w:r>
      <w:r w:rsidRPr="00C6387E">
        <w:rPr>
          <w:rFonts w:ascii="Arial" w:hAnsi="Arial" w:cs="Arial"/>
          <w:sz w:val="20"/>
        </w:rPr>
        <w:t xml:space="preserve">rograms other than those under Strategic Goal IX.  As a second step, this Union Direct administrative expense </w:t>
      </w:r>
      <w:r>
        <w:rPr>
          <w:rFonts w:ascii="Arial" w:hAnsi="Arial" w:cs="Arial"/>
          <w:sz w:val="20"/>
        </w:rPr>
        <w:t>i</w:t>
      </w:r>
      <w:r w:rsidRPr="00C6387E">
        <w:rPr>
          <w:rFonts w:ascii="Arial" w:hAnsi="Arial" w:cs="Arial"/>
          <w:sz w:val="20"/>
        </w:rPr>
        <w:t xml:space="preserve">s allocated to the respective Unions on the basis of the relative share of each Union’s headcount to the total headcount of direct union-related </w:t>
      </w:r>
      <w:r>
        <w:rPr>
          <w:rFonts w:ascii="Arial" w:hAnsi="Arial" w:cs="Arial"/>
          <w:sz w:val="20"/>
        </w:rPr>
        <w:t>P</w:t>
      </w:r>
      <w:r w:rsidRPr="00C6387E">
        <w:rPr>
          <w:rFonts w:ascii="Arial" w:hAnsi="Arial" w:cs="Arial"/>
          <w:sz w:val="20"/>
        </w:rPr>
        <w:t xml:space="preserve">rograms.  The two-step process applies to that part of administrative expenditure which is not easily identifiable as linked to a specific union.  </w:t>
      </w:r>
    </w:p>
    <w:p w14:paraId="0F35FDB2" w14:textId="77777777" w:rsidR="004D0754" w:rsidRPr="00C6387E" w:rsidRDefault="004D0754" w:rsidP="005A1F7F">
      <w:pPr>
        <w:ind w:left="1080" w:hanging="513"/>
        <w:jc w:val="both"/>
        <w:rPr>
          <w:rFonts w:ascii="Arial" w:hAnsi="Arial" w:cs="Arial"/>
          <w:b/>
          <w:i/>
          <w:sz w:val="20"/>
        </w:rPr>
      </w:pPr>
    </w:p>
    <w:p w14:paraId="25524086" w14:textId="77777777" w:rsidR="004D0754" w:rsidRPr="00C6387E" w:rsidRDefault="004D0754" w:rsidP="00B66A4A">
      <w:pPr>
        <w:numPr>
          <w:ilvl w:val="0"/>
          <w:numId w:val="37"/>
        </w:numPr>
        <w:jc w:val="both"/>
        <w:rPr>
          <w:rFonts w:ascii="Arial" w:hAnsi="Arial" w:cs="Arial"/>
          <w:b/>
          <w:sz w:val="20"/>
        </w:rPr>
      </w:pPr>
      <w:r w:rsidRPr="00C6387E">
        <w:rPr>
          <w:rFonts w:ascii="Arial" w:hAnsi="Arial" w:cs="Arial"/>
          <w:i/>
          <w:sz w:val="20"/>
        </w:rPr>
        <w:t>UNION</w:t>
      </w:r>
      <w:r w:rsidRPr="00C6387E">
        <w:rPr>
          <w:rFonts w:ascii="Arial" w:hAnsi="Arial" w:cs="Arial"/>
          <w:sz w:val="20"/>
        </w:rPr>
        <w:t xml:space="preserve"> </w:t>
      </w:r>
      <w:r w:rsidRPr="00C6387E">
        <w:rPr>
          <w:rFonts w:ascii="Arial" w:hAnsi="Arial" w:cs="Arial"/>
          <w:i/>
          <w:sz w:val="20"/>
        </w:rPr>
        <w:t>INDIRECT</w:t>
      </w:r>
      <w:r w:rsidRPr="00C6387E">
        <w:rPr>
          <w:rFonts w:ascii="Arial" w:hAnsi="Arial" w:cs="Arial"/>
          <w:sz w:val="20"/>
        </w:rPr>
        <w:t xml:space="preserve"> </w:t>
      </w:r>
      <w:r w:rsidRPr="00C6387E">
        <w:rPr>
          <w:rFonts w:ascii="Arial" w:hAnsi="Arial" w:cs="Arial"/>
          <w:i/>
          <w:sz w:val="20"/>
        </w:rPr>
        <w:t>EXPENSES</w:t>
      </w:r>
      <w:r w:rsidRPr="00C6387E">
        <w:rPr>
          <w:rFonts w:ascii="Arial" w:hAnsi="Arial" w:cs="Arial"/>
          <w:sz w:val="20"/>
        </w:rPr>
        <w:t xml:space="preserve"> are each Union’s allocated share of budgeted expenses for Programs not directly related to the activities of the respective Union, together with the share of related administrative and other budgeted expenses.</w:t>
      </w:r>
    </w:p>
    <w:p w14:paraId="5F822A9F" w14:textId="77777777" w:rsidR="004D0754" w:rsidRPr="00C6387E" w:rsidRDefault="004D0754" w:rsidP="005A1F7F">
      <w:pPr>
        <w:jc w:val="both"/>
        <w:rPr>
          <w:rFonts w:ascii="Arial" w:hAnsi="Arial" w:cs="Arial"/>
          <w:b/>
          <w:sz w:val="20"/>
        </w:rPr>
      </w:pPr>
    </w:p>
    <w:p w14:paraId="1FA9FCB7" w14:textId="77777777" w:rsidR="004D0754" w:rsidRPr="00C6387E" w:rsidRDefault="004D0754" w:rsidP="005A1F7F">
      <w:pPr>
        <w:ind w:left="1080" w:hanging="513"/>
        <w:jc w:val="both"/>
        <w:rPr>
          <w:rFonts w:ascii="Arial" w:hAnsi="Arial" w:cs="Arial"/>
          <w:b/>
          <w:i/>
          <w:sz w:val="20"/>
        </w:rPr>
      </w:pPr>
      <w:r w:rsidRPr="00C6387E">
        <w:rPr>
          <w:rFonts w:ascii="Arial" w:hAnsi="Arial" w:cs="Arial"/>
          <w:i/>
          <w:sz w:val="20"/>
        </w:rPr>
        <w:t>4.1</w:t>
      </w:r>
      <w:r w:rsidRPr="00C6387E">
        <w:rPr>
          <w:rFonts w:ascii="Arial" w:hAnsi="Arial" w:cs="Arial"/>
          <w:i/>
          <w:sz w:val="20"/>
        </w:rPr>
        <w:tab/>
        <w:t>Indirect Union expenses</w:t>
      </w:r>
      <w:r w:rsidRPr="00C6387E">
        <w:rPr>
          <w:rFonts w:ascii="Arial" w:hAnsi="Arial" w:cs="Arial"/>
          <w:sz w:val="20"/>
        </w:rPr>
        <w:t>:  The following Program activities and budgeted expenditures are considered under this heading:  Programs 1 (Patent Law) (partly), 3 (Copyright and Related Rights) (partly), 8 (Development Agenda Coordination), 9 (Africa, Arab, Asia and the Pacific, Latin America and the Caribbean Countries, Least Developed Countries), 10 (</w:t>
      </w:r>
      <w:r>
        <w:rPr>
          <w:rFonts w:ascii="Arial" w:hAnsi="Arial" w:cs="Arial"/>
          <w:sz w:val="20"/>
        </w:rPr>
        <w:t>Transition and Developed Countries</w:t>
      </w:r>
      <w:r w:rsidRPr="00C6387E">
        <w:rPr>
          <w:rFonts w:ascii="Arial" w:hAnsi="Arial" w:cs="Arial"/>
          <w:sz w:val="20"/>
        </w:rPr>
        <w:t>), 11 (The WIPO Academy), 15 (Business Solutions for IP Offices), 16 (Economics and Statistics), 17 (Building Respect for IP), 18 (IP and Global Challenges), 19 (Communications), 20 (External Relations, Partnerships and External Offices) and 30</w:t>
      </w:r>
      <w:r>
        <w:rPr>
          <w:rFonts w:ascii="Arial" w:hAnsi="Arial" w:cs="Arial"/>
          <w:sz w:val="20"/>
        </w:rPr>
        <w:t> </w:t>
      </w:r>
      <w:r w:rsidRPr="00C6387E">
        <w:rPr>
          <w:rFonts w:ascii="Arial" w:hAnsi="Arial" w:cs="Arial"/>
          <w:sz w:val="20"/>
        </w:rPr>
        <w:t>(</w:t>
      </w:r>
      <w:r>
        <w:rPr>
          <w:rFonts w:ascii="Arial" w:hAnsi="Arial" w:cs="Arial"/>
          <w:sz w:val="20"/>
        </w:rPr>
        <w:t>SMEs and Entrepreneurship Support</w:t>
      </w:r>
      <w:r w:rsidRPr="00C6387E">
        <w:rPr>
          <w:rFonts w:ascii="Arial" w:hAnsi="Arial" w:cs="Arial"/>
          <w:sz w:val="20"/>
        </w:rPr>
        <w:t xml:space="preserve">).  The share of budgeted expenditures from each of these is allocated to Unions on the basis of their respective </w:t>
      </w:r>
      <w:r w:rsidRPr="00C6387E">
        <w:rPr>
          <w:rFonts w:ascii="Arial" w:hAnsi="Arial" w:cs="Arial"/>
          <w:i/>
          <w:iCs/>
          <w:sz w:val="20"/>
        </w:rPr>
        <w:t>biennial</w:t>
      </w:r>
      <w:r w:rsidRPr="00C6387E">
        <w:rPr>
          <w:rFonts w:ascii="Arial" w:hAnsi="Arial" w:cs="Arial"/>
          <w:sz w:val="20"/>
        </w:rPr>
        <w:t xml:space="preserve"> </w:t>
      </w:r>
      <w:r w:rsidRPr="00C6387E">
        <w:rPr>
          <w:rFonts w:ascii="Arial" w:hAnsi="Arial" w:cs="Arial"/>
          <w:i/>
          <w:sz w:val="20"/>
        </w:rPr>
        <w:t>capacity to pay</w:t>
      </w:r>
      <w:r w:rsidRPr="00C6387E">
        <w:rPr>
          <w:rFonts w:ascii="Arial" w:hAnsi="Arial" w:cs="Arial"/>
          <w:sz w:val="20"/>
        </w:rPr>
        <w:t>.  This is calculated as the difference between the respective Union’s projected income to be earned in the biennium and the Union’s other allocated expenses and minimum reserve requirements (“reserve target floor”).  The reserve target floor’s</w:t>
      </w:r>
      <w:r w:rsidRPr="00C6387E">
        <w:rPr>
          <w:rFonts w:ascii="Arial" w:hAnsi="Arial" w:cs="Arial"/>
          <w:b/>
          <w:i/>
          <w:sz w:val="20"/>
        </w:rPr>
        <w:t xml:space="preserve"> </w:t>
      </w:r>
      <w:r w:rsidRPr="00C6387E">
        <w:rPr>
          <w:rFonts w:ascii="Arial" w:hAnsi="Arial" w:cs="Arial"/>
          <w:sz w:val="20"/>
        </w:rPr>
        <w:t>calculation is based on the reserve requirements of the prior biennium’s expenditures.  The methodology applied ensures a proportionate allocation of indirect expenditure to Unions on the basis of resources (surplus) earned in the current biennium, and only if the biennial surplus income is not sufficient, would excess reserves be used to cover the remaining part of indirect expenditure, on the basis of their relative share by Unions.</w:t>
      </w:r>
    </w:p>
    <w:p w14:paraId="5750C1FC" w14:textId="77777777" w:rsidR="004D0754" w:rsidRPr="00C6387E" w:rsidRDefault="004D0754" w:rsidP="005A1F7F">
      <w:pPr>
        <w:tabs>
          <w:tab w:val="num" w:pos="1134"/>
        </w:tabs>
        <w:ind w:left="1134" w:hanging="567"/>
        <w:jc w:val="both"/>
        <w:rPr>
          <w:rFonts w:ascii="Arial" w:hAnsi="Arial" w:cs="Arial"/>
          <w:sz w:val="20"/>
        </w:rPr>
      </w:pPr>
    </w:p>
    <w:p w14:paraId="502EC1A7" w14:textId="77777777" w:rsidR="004D0754" w:rsidRPr="00C6387E" w:rsidRDefault="004D0754" w:rsidP="005A1F7F">
      <w:pPr>
        <w:ind w:left="1134" w:hanging="567"/>
        <w:jc w:val="both"/>
        <w:rPr>
          <w:rFonts w:ascii="Arial" w:hAnsi="Arial" w:cs="Arial"/>
          <w:sz w:val="20"/>
        </w:rPr>
      </w:pPr>
      <w:r w:rsidRPr="00C6387E">
        <w:rPr>
          <w:rFonts w:ascii="Arial" w:hAnsi="Arial" w:cs="Arial"/>
          <w:i/>
          <w:sz w:val="20"/>
        </w:rPr>
        <w:t>4.2</w:t>
      </w:r>
      <w:r w:rsidRPr="00C6387E">
        <w:rPr>
          <w:rFonts w:ascii="Arial" w:hAnsi="Arial" w:cs="Arial"/>
          <w:i/>
          <w:sz w:val="20"/>
        </w:rPr>
        <w:tab/>
        <w:t>Indirect Administrative Expenses</w:t>
      </w:r>
      <w:r w:rsidRPr="00C6387E">
        <w:rPr>
          <w:rFonts w:ascii="Arial" w:hAnsi="Arial" w:cs="Arial"/>
          <w:sz w:val="20"/>
        </w:rPr>
        <w:t>:  These relate to budgeted expenditures under Programs 21 to </w:t>
      </w:r>
      <w:r>
        <w:rPr>
          <w:rFonts w:ascii="Arial" w:hAnsi="Arial" w:cs="Arial"/>
          <w:sz w:val="20"/>
        </w:rPr>
        <w:t>28</w:t>
      </w:r>
      <w:r w:rsidRPr="00C6387E">
        <w:rPr>
          <w:rFonts w:ascii="Arial" w:hAnsi="Arial" w:cs="Arial"/>
          <w:sz w:val="20"/>
        </w:rPr>
        <w:t xml:space="preserve">) which have not been allocated to Direct Union expenses, as well as the amount budgeted under “Unallocated” in the proposed budget.  The allocation of these budgeted expenditures is done on the basis of their respective </w:t>
      </w:r>
      <w:r w:rsidRPr="00C6387E">
        <w:rPr>
          <w:rFonts w:ascii="Arial" w:hAnsi="Arial" w:cs="Arial"/>
          <w:i/>
          <w:sz w:val="20"/>
        </w:rPr>
        <w:t>capacity to pay (i.e., along the same principles as for Indirect Union expenses)</w:t>
      </w:r>
      <w:r w:rsidRPr="00C6387E">
        <w:rPr>
          <w:rFonts w:ascii="Arial" w:hAnsi="Arial" w:cs="Arial"/>
          <w:sz w:val="20"/>
        </w:rPr>
        <w:t>.</w:t>
      </w:r>
    </w:p>
    <w:p w14:paraId="2CC80D18" w14:textId="77777777" w:rsidR="004D0754" w:rsidRDefault="004D0754" w:rsidP="005A1F7F">
      <w:pPr>
        <w:rPr>
          <w:rFonts w:ascii="Arial" w:eastAsia="SimSun" w:hAnsi="Arial" w:cs="Arial"/>
          <w:color w:val="1F497D"/>
          <w:sz w:val="20"/>
          <w:lang w:eastAsia="zh-CN"/>
        </w:rPr>
      </w:pPr>
    </w:p>
    <w:p w14:paraId="68B816AC" w14:textId="77777777" w:rsidR="00C90BCA" w:rsidRDefault="00C90BCA" w:rsidP="00C90BCA">
      <w:pPr>
        <w:rPr>
          <w:rFonts w:ascii="Arial" w:hAnsi="Arial" w:cs="Arial"/>
          <w:bCs/>
          <w:sz w:val="20"/>
        </w:rPr>
      </w:pPr>
    </w:p>
    <w:p w14:paraId="5CB3D463" w14:textId="48CFD8AC" w:rsidR="00C90BCA" w:rsidRPr="00C6387E" w:rsidRDefault="00C90BCA" w:rsidP="00C90BCA">
      <w:pPr>
        <w:rPr>
          <w:rFonts w:ascii="Arial" w:hAnsi="Arial" w:cs="Arial"/>
          <w:bCs/>
          <w:sz w:val="20"/>
        </w:rPr>
      </w:pPr>
      <w:r w:rsidRPr="00C6387E">
        <w:rPr>
          <w:rFonts w:ascii="Arial" w:hAnsi="Arial" w:cs="Arial"/>
          <w:bCs/>
          <w:sz w:val="20"/>
        </w:rPr>
        <w:t xml:space="preserve">ALLOCATION OF </w:t>
      </w:r>
      <w:r>
        <w:rPr>
          <w:rFonts w:ascii="Arial" w:hAnsi="Arial" w:cs="Arial"/>
          <w:bCs/>
          <w:sz w:val="20"/>
        </w:rPr>
        <w:t>INCOME</w:t>
      </w:r>
      <w:r w:rsidRPr="00C6387E">
        <w:rPr>
          <w:rFonts w:ascii="Arial" w:hAnsi="Arial" w:cs="Arial"/>
          <w:bCs/>
          <w:sz w:val="20"/>
        </w:rPr>
        <w:t xml:space="preserve"> BY UNION</w:t>
      </w:r>
    </w:p>
    <w:p w14:paraId="11AB1B00" w14:textId="77777777" w:rsidR="004D0754" w:rsidRPr="00C6387E" w:rsidRDefault="004D0754" w:rsidP="005A1F7F">
      <w:pPr>
        <w:rPr>
          <w:rFonts w:ascii="Arial" w:eastAsia="SimSun" w:hAnsi="Arial" w:cs="Arial"/>
          <w:color w:val="1F497D"/>
          <w:sz w:val="20"/>
          <w:lang w:eastAsia="zh-CN"/>
        </w:rPr>
      </w:pPr>
    </w:p>
    <w:p w14:paraId="5B4C3B42" w14:textId="77777777" w:rsidR="00C90BCA" w:rsidRDefault="00C90BCA" w:rsidP="00B66A4A">
      <w:pPr>
        <w:numPr>
          <w:ilvl w:val="0"/>
          <w:numId w:val="37"/>
        </w:numPr>
        <w:jc w:val="both"/>
        <w:rPr>
          <w:rFonts w:ascii="Arial" w:hAnsi="Arial" w:cs="Arial"/>
          <w:sz w:val="20"/>
          <w:szCs w:val="20"/>
        </w:rPr>
      </w:pPr>
      <w:r>
        <w:rPr>
          <w:rFonts w:ascii="Arial" w:hAnsi="Arial" w:cs="Arial"/>
          <w:sz w:val="20"/>
          <w:szCs w:val="20"/>
        </w:rPr>
        <w:t xml:space="preserve">Contributions’ income is allocated entirely to the Contribution-financed Unions.  Fee income from the PCT, Madrid, and Hague and Lisbon registration Systems is allocated entirely to the respective Unions.  Publications’ income is allocated to the Contribution-financed, PCT, Madrid and Hague Unions on the basis of the estimated publications revenue for each of the unions. Income from the Arbitration and Mediation Center is allocated to all Unions based on the assessment of the relative share by Unions.  Other income is allocated to all Unions as follows: (i) a share of Other income is directly attributable to the Madrid Union on the account of rental income from the Madrid Union building and (ii) the remaining part of Other income is allocated equally across all Unions.   </w:t>
      </w:r>
    </w:p>
    <w:p w14:paraId="168A3E5A" w14:textId="77777777" w:rsidR="00C90BCA" w:rsidRDefault="00C90BCA" w:rsidP="00C90BCA">
      <w:pPr>
        <w:rPr>
          <w:rFonts w:ascii="Arial" w:hAnsi="Arial" w:cs="Arial"/>
          <w:sz w:val="20"/>
          <w:szCs w:val="20"/>
        </w:rPr>
      </w:pPr>
    </w:p>
    <w:p w14:paraId="20FE6A99" w14:textId="77777777" w:rsidR="00C90BCA" w:rsidRDefault="00C90BCA" w:rsidP="005A1F7F">
      <w:pPr>
        <w:rPr>
          <w:rFonts w:ascii="Arial" w:hAnsi="Arial" w:cs="Arial"/>
          <w:bCs/>
          <w:sz w:val="20"/>
        </w:rPr>
      </w:pPr>
    </w:p>
    <w:p w14:paraId="6C379B33" w14:textId="77777777" w:rsidR="004D0754" w:rsidRPr="00C6387E" w:rsidRDefault="004D0754" w:rsidP="005A1F7F">
      <w:pPr>
        <w:rPr>
          <w:rFonts w:ascii="Arial" w:hAnsi="Arial" w:cs="Arial"/>
          <w:bCs/>
          <w:sz w:val="20"/>
        </w:rPr>
      </w:pPr>
      <w:r w:rsidRPr="00C6387E">
        <w:rPr>
          <w:rFonts w:ascii="Arial" w:hAnsi="Arial" w:cs="Arial"/>
          <w:bCs/>
          <w:sz w:val="20"/>
        </w:rPr>
        <w:t>ALLOCATION OF IPSAS ADJUSTMENTS BY UNION</w:t>
      </w:r>
    </w:p>
    <w:p w14:paraId="2C49E951" w14:textId="77777777" w:rsidR="004D0754" w:rsidRPr="00C6387E" w:rsidRDefault="004D0754" w:rsidP="005A1F7F">
      <w:pPr>
        <w:rPr>
          <w:rFonts w:ascii="Arial" w:eastAsia="SimSun" w:hAnsi="Arial" w:cs="Arial"/>
          <w:color w:val="1F497D"/>
          <w:sz w:val="20"/>
          <w:lang w:eastAsia="zh-CN"/>
        </w:rPr>
      </w:pPr>
    </w:p>
    <w:p w14:paraId="2A889095" w14:textId="77777777" w:rsidR="004D0754" w:rsidRPr="00C6387E" w:rsidRDefault="004D0754" w:rsidP="00B66A4A">
      <w:pPr>
        <w:numPr>
          <w:ilvl w:val="0"/>
          <w:numId w:val="37"/>
        </w:numPr>
        <w:jc w:val="both"/>
        <w:rPr>
          <w:rFonts w:ascii="Arial" w:hAnsi="Arial" w:cs="Arial"/>
          <w:b/>
          <w:i/>
          <w:sz w:val="20"/>
        </w:rPr>
      </w:pPr>
      <w:r w:rsidRPr="00C6387E">
        <w:rPr>
          <w:rFonts w:ascii="Arial" w:eastAsia="SimSun" w:hAnsi="Arial" w:cs="Arial"/>
          <w:sz w:val="20"/>
          <w:lang w:eastAsia="zh-CN"/>
        </w:rPr>
        <w:t xml:space="preserve">IPSAS adjustments to income are attributable to specific Unions, as they relate directly to fees from the PCT, Madrid and Hague systems.  </w:t>
      </w:r>
      <w:r w:rsidRPr="00C6387E">
        <w:rPr>
          <w:rFonts w:ascii="Arial" w:hAnsi="Arial" w:cs="Arial"/>
          <w:sz w:val="20"/>
        </w:rPr>
        <w:t>IPSAS adjustments to budgetary expenditure are allocated pro-rata among the Unions based on the allocation of budgetary expenditure.</w:t>
      </w:r>
    </w:p>
    <w:p w14:paraId="541F7AE5" w14:textId="77777777" w:rsidR="004D0754" w:rsidRPr="00C6387E" w:rsidRDefault="004D0754" w:rsidP="005A1F7F">
      <w:pPr>
        <w:jc w:val="both"/>
        <w:rPr>
          <w:rFonts w:ascii="Arial" w:hAnsi="Arial" w:cs="Arial"/>
          <w:sz w:val="20"/>
        </w:rPr>
      </w:pPr>
    </w:p>
    <w:p w14:paraId="56BA8A11" w14:textId="77777777" w:rsidR="004D0754" w:rsidRPr="004B227F" w:rsidRDefault="004D0754" w:rsidP="005A1F7F">
      <w:pPr>
        <w:jc w:val="both"/>
        <w:rPr>
          <w:rFonts w:ascii="Arial" w:hAnsi="Arial" w:cs="Arial"/>
          <w:sz w:val="20"/>
        </w:rPr>
      </w:pPr>
      <w:r w:rsidRPr="00C6387E">
        <w:rPr>
          <w:rFonts w:ascii="Arial" w:hAnsi="Arial" w:cs="Arial"/>
          <w:sz w:val="20"/>
        </w:rPr>
        <w:t xml:space="preserve">In accordance with the above methodology, tables </w:t>
      </w:r>
      <w:r>
        <w:rPr>
          <w:rFonts w:ascii="Arial" w:hAnsi="Arial" w:cs="Arial"/>
          <w:sz w:val="20"/>
        </w:rPr>
        <w:t xml:space="preserve">11, 12 and 13 below provide an overview of </w:t>
      </w:r>
      <w:r w:rsidRPr="00AA4869">
        <w:rPr>
          <w:rFonts w:ascii="Arial" w:hAnsi="Arial" w:cs="Arial"/>
          <w:sz w:val="20"/>
        </w:rPr>
        <w:t>the Overall Scenario by Union</w:t>
      </w:r>
      <w:r>
        <w:rPr>
          <w:rFonts w:ascii="Arial" w:hAnsi="Arial" w:cs="Arial"/>
          <w:sz w:val="20"/>
        </w:rPr>
        <w:t xml:space="preserve"> for 2016/17</w:t>
      </w:r>
      <w:r w:rsidRPr="00AA4869">
        <w:rPr>
          <w:rFonts w:ascii="Arial" w:hAnsi="Arial" w:cs="Arial"/>
          <w:sz w:val="20"/>
        </w:rPr>
        <w:t>,</w:t>
      </w:r>
      <w:r>
        <w:rPr>
          <w:rFonts w:ascii="Arial" w:hAnsi="Arial" w:cs="Arial"/>
          <w:sz w:val="20"/>
        </w:rPr>
        <w:t xml:space="preserve"> the 2016/17 </w:t>
      </w:r>
      <w:r w:rsidRPr="00AA4869">
        <w:rPr>
          <w:rFonts w:ascii="Arial" w:hAnsi="Arial" w:cs="Arial"/>
          <w:sz w:val="20"/>
        </w:rPr>
        <w:t>Income Estimates by Union</w:t>
      </w:r>
      <w:r>
        <w:rPr>
          <w:rFonts w:ascii="Arial" w:hAnsi="Arial" w:cs="Arial"/>
          <w:sz w:val="20"/>
        </w:rPr>
        <w:t xml:space="preserve"> and the </w:t>
      </w:r>
      <w:r w:rsidRPr="004B227F">
        <w:rPr>
          <w:rFonts w:ascii="Arial" w:hAnsi="Arial" w:cs="Arial"/>
          <w:sz w:val="20"/>
        </w:rPr>
        <w:t>201</w:t>
      </w:r>
      <w:r>
        <w:rPr>
          <w:rFonts w:ascii="Arial" w:hAnsi="Arial" w:cs="Arial"/>
          <w:sz w:val="20"/>
        </w:rPr>
        <w:t>6</w:t>
      </w:r>
      <w:r w:rsidRPr="004B227F">
        <w:rPr>
          <w:rFonts w:ascii="Arial" w:hAnsi="Arial" w:cs="Arial"/>
          <w:sz w:val="20"/>
        </w:rPr>
        <w:t>/1</w:t>
      </w:r>
      <w:r>
        <w:rPr>
          <w:rFonts w:ascii="Arial" w:hAnsi="Arial" w:cs="Arial"/>
          <w:sz w:val="20"/>
        </w:rPr>
        <w:t>7</w:t>
      </w:r>
      <w:r w:rsidRPr="004B227F">
        <w:rPr>
          <w:rFonts w:ascii="Arial" w:hAnsi="Arial" w:cs="Arial"/>
          <w:sz w:val="20"/>
        </w:rPr>
        <w:t xml:space="preserve"> Budget by Program and Union</w:t>
      </w:r>
    </w:p>
    <w:p w14:paraId="4D4F9713" w14:textId="77777777" w:rsidR="004D0754" w:rsidRDefault="004D0754" w:rsidP="005A1F7F">
      <w:pPr>
        <w:jc w:val="both"/>
        <w:rPr>
          <w:rFonts w:ascii="Arial" w:hAnsi="Arial" w:cs="Arial"/>
          <w:sz w:val="20"/>
        </w:rPr>
      </w:pPr>
    </w:p>
    <w:p w14:paraId="01639922" w14:textId="77777777" w:rsidR="004D0754" w:rsidRDefault="004D0754">
      <w:pPr>
        <w:spacing w:after="200" w:line="276" w:lineRule="auto"/>
        <w:rPr>
          <w:rFonts w:ascii="Arial" w:hAnsi="Arial" w:cs="Arial"/>
          <w:b/>
          <w:sz w:val="16"/>
          <w:szCs w:val="16"/>
        </w:rPr>
      </w:pPr>
      <w:r>
        <w:rPr>
          <w:rFonts w:ascii="Arial" w:hAnsi="Arial" w:cs="Arial"/>
          <w:b/>
          <w:sz w:val="16"/>
          <w:szCs w:val="16"/>
        </w:rPr>
        <w:br w:type="page"/>
      </w:r>
    </w:p>
    <w:p w14:paraId="64F67009" w14:textId="77777777" w:rsidR="004D0754" w:rsidRPr="00C84440" w:rsidRDefault="004D0754" w:rsidP="00C84440">
      <w:pPr>
        <w:jc w:val="center"/>
        <w:rPr>
          <w:rFonts w:ascii="Arial" w:hAnsi="Arial" w:cs="Arial"/>
          <w:b/>
          <w:sz w:val="16"/>
          <w:szCs w:val="16"/>
        </w:rPr>
      </w:pPr>
      <w:r w:rsidRPr="00C84440">
        <w:rPr>
          <w:rFonts w:ascii="Arial" w:hAnsi="Arial" w:cs="Arial"/>
          <w:b/>
          <w:sz w:val="16"/>
          <w:szCs w:val="16"/>
        </w:rPr>
        <w:lastRenderedPageBreak/>
        <w:t>Table 11.  2016/17 Overall Scenario by Union</w:t>
      </w:r>
    </w:p>
    <w:p w14:paraId="5D34FC6F" w14:textId="77777777" w:rsidR="004D0754" w:rsidRPr="00C84440" w:rsidRDefault="004D0754" w:rsidP="00C84440">
      <w:pPr>
        <w:jc w:val="center"/>
        <w:rPr>
          <w:rFonts w:ascii="Arial" w:hAnsi="Arial" w:cs="Arial"/>
          <w:i/>
          <w:sz w:val="16"/>
          <w:szCs w:val="16"/>
        </w:rPr>
      </w:pPr>
      <w:r w:rsidRPr="00C84440">
        <w:rPr>
          <w:rFonts w:ascii="Arial" w:hAnsi="Arial" w:cs="Arial"/>
          <w:i/>
          <w:sz w:val="16"/>
          <w:szCs w:val="16"/>
        </w:rPr>
        <w:t>(in thousands of Swiss francs)</w:t>
      </w:r>
    </w:p>
    <w:p w14:paraId="54C51A98" w14:textId="77777777" w:rsidR="004D0754" w:rsidRPr="00C6387E" w:rsidRDefault="004D0754" w:rsidP="00FB68E0">
      <w:pPr>
        <w:ind w:left="-284"/>
        <w:jc w:val="both"/>
        <w:rPr>
          <w:rFonts w:ascii="Arial" w:hAnsi="Arial" w:cs="Arial"/>
          <w:sz w:val="20"/>
        </w:rPr>
      </w:pPr>
    </w:p>
    <w:p w14:paraId="289A251E" w14:textId="77CF8B9A" w:rsidR="004D0754" w:rsidRDefault="000063C9" w:rsidP="00FB68E0">
      <w:pPr>
        <w:ind w:left="-284"/>
        <w:jc w:val="both"/>
        <w:rPr>
          <w:rFonts w:ascii="Arial" w:hAnsi="Arial" w:cs="Arial"/>
          <w:i/>
          <w:sz w:val="20"/>
        </w:rPr>
      </w:pPr>
      <w:r w:rsidRPr="000063C9">
        <w:rPr>
          <w:noProof/>
          <w:lang w:eastAsia="en-US"/>
        </w:rPr>
        <w:drawing>
          <wp:inline distT="0" distB="0" distL="0" distR="0" wp14:anchorId="38C3697D" wp14:editId="27473DBA">
            <wp:extent cx="6209414" cy="2398420"/>
            <wp:effectExtent l="0" t="0" r="1270" b="1905"/>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6234737" cy="2408201"/>
                    </a:xfrm>
                    <a:prstGeom prst="rect">
                      <a:avLst/>
                    </a:prstGeom>
                    <a:noFill/>
                    <a:ln>
                      <a:noFill/>
                    </a:ln>
                  </pic:spPr>
                </pic:pic>
              </a:graphicData>
            </a:graphic>
          </wp:inline>
        </w:drawing>
      </w:r>
    </w:p>
    <w:p w14:paraId="3C8EB8F4" w14:textId="77777777" w:rsidR="004D0754" w:rsidRPr="00701F92" w:rsidRDefault="004D0754" w:rsidP="00FB68E0">
      <w:pPr>
        <w:ind w:left="-284"/>
        <w:rPr>
          <w:rFonts w:ascii="Arial" w:hAnsi="Arial" w:cs="Arial"/>
          <w:i/>
          <w:sz w:val="16"/>
          <w:szCs w:val="14"/>
        </w:rPr>
      </w:pPr>
      <w:r w:rsidRPr="00C84440">
        <w:rPr>
          <w:rFonts w:ascii="Arial" w:hAnsi="Arial" w:cs="Arial"/>
          <w:i/>
          <w:sz w:val="16"/>
          <w:szCs w:val="14"/>
        </w:rPr>
        <w:t>*RWCF targets are calculated as percent of the biennial budgetary expenditure for each union</w:t>
      </w:r>
    </w:p>
    <w:p w14:paraId="4A5A464D" w14:textId="77777777" w:rsidR="004D0754" w:rsidRPr="00701F92" w:rsidRDefault="004D0754" w:rsidP="00FB68E0">
      <w:pPr>
        <w:ind w:left="-284"/>
        <w:rPr>
          <w:rFonts w:ascii="Arial" w:hAnsi="Arial" w:cs="Arial"/>
          <w:i/>
          <w:sz w:val="16"/>
          <w:szCs w:val="14"/>
        </w:rPr>
      </w:pPr>
    </w:p>
    <w:p w14:paraId="0447D3C4" w14:textId="77777777" w:rsidR="004D0754" w:rsidRPr="00701F92" w:rsidRDefault="004D0754" w:rsidP="00FB68E0">
      <w:pPr>
        <w:ind w:left="-284"/>
        <w:rPr>
          <w:rFonts w:ascii="Arial" w:hAnsi="Arial" w:cs="Arial"/>
          <w:i/>
          <w:sz w:val="16"/>
          <w:szCs w:val="14"/>
        </w:rPr>
      </w:pPr>
    </w:p>
    <w:p w14:paraId="5293A6DF" w14:textId="77777777" w:rsidR="004D0754" w:rsidRDefault="004D0754" w:rsidP="00FB68E0">
      <w:pPr>
        <w:ind w:left="-284"/>
        <w:rPr>
          <w:rFonts w:ascii="Arial" w:hAnsi="Arial" w:cs="Arial"/>
          <w:i/>
          <w:sz w:val="14"/>
          <w:szCs w:val="14"/>
        </w:rPr>
      </w:pPr>
    </w:p>
    <w:p w14:paraId="05759A59" w14:textId="77777777" w:rsidR="004D0754" w:rsidRPr="00763B41" w:rsidRDefault="004D0754" w:rsidP="00FB68E0">
      <w:pPr>
        <w:ind w:left="-284"/>
        <w:jc w:val="center"/>
        <w:rPr>
          <w:rFonts w:ascii="Arial" w:hAnsi="Arial" w:cs="Arial"/>
          <w:b/>
          <w:sz w:val="16"/>
          <w:szCs w:val="16"/>
        </w:rPr>
      </w:pPr>
      <w:r w:rsidRPr="00763B41">
        <w:rPr>
          <w:rFonts w:ascii="Arial" w:hAnsi="Arial" w:cs="Arial"/>
          <w:b/>
          <w:sz w:val="16"/>
          <w:szCs w:val="16"/>
        </w:rPr>
        <w:t>Table 1</w:t>
      </w:r>
      <w:r>
        <w:rPr>
          <w:rFonts w:ascii="Arial" w:hAnsi="Arial" w:cs="Arial"/>
          <w:b/>
          <w:sz w:val="16"/>
          <w:szCs w:val="16"/>
        </w:rPr>
        <w:t>2</w:t>
      </w:r>
      <w:r w:rsidRPr="00763B41">
        <w:rPr>
          <w:rFonts w:ascii="Arial" w:hAnsi="Arial" w:cs="Arial"/>
          <w:b/>
          <w:sz w:val="16"/>
          <w:szCs w:val="16"/>
        </w:rPr>
        <w:t xml:space="preserve">.  2016/17 </w:t>
      </w:r>
      <w:r>
        <w:rPr>
          <w:rFonts w:ascii="Arial" w:hAnsi="Arial" w:cs="Arial"/>
          <w:b/>
          <w:sz w:val="16"/>
          <w:szCs w:val="16"/>
        </w:rPr>
        <w:t>Income Estimates</w:t>
      </w:r>
      <w:r w:rsidRPr="00763B41">
        <w:rPr>
          <w:rFonts w:ascii="Arial" w:hAnsi="Arial" w:cs="Arial"/>
          <w:b/>
          <w:sz w:val="16"/>
          <w:szCs w:val="16"/>
        </w:rPr>
        <w:t xml:space="preserve"> by Union</w:t>
      </w:r>
    </w:p>
    <w:p w14:paraId="0BAEF9F0" w14:textId="77777777" w:rsidR="004D0754" w:rsidRDefault="004D0754" w:rsidP="00FB68E0">
      <w:pPr>
        <w:ind w:left="-284"/>
        <w:jc w:val="center"/>
        <w:rPr>
          <w:rFonts w:ascii="Arial" w:hAnsi="Arial" w:cs="Arial"/>
          <w:i/>
          <w:sz w:val="16"/>
          <w:szCs w:val="16"/>
        </w:rPr>
      </w:pPr>
      <w:r w:rsidRPr="00763B41">
        <w:rPr>
          <w:rFonts w:ascii="Arial" w:hAnsi="Arial" w:cs="Arial"/>
          <w:i/>
          <w:sz w:val="16"/>
          <w:szCs w:val="16"/>
        </w:rPr>
        <w:t>(in thousands of Swiss francs)</w:t>
      </w:r>
    </w:p>
    <w:p w14:paraId="52B7291A" w14:textId="77777777" w:rsidR="004D0754" w:rsidRDefault="004D0754" w:rsidP="00FB68E0">
      <w:pPr>
        <w:ind w:left="-284"/>
        <w:jc w:val="center"/>
        <w:rPr>
          <w:rFonts w:ascii="Arial" w:hAnsi="Arial" w:cs="Arial"/>
          <w:i/>
          <w:sz w:val="16"/>
          <w:szCs w:val="16"/>
        </w:rPr>
      </w:pPr>
    </w:p>
    <w:p w14:paraId="57B0BE22" w14:textId="444CD8AF" w:rsidR="004D0754" w:rsidRDefault="000063C9" w:rsidP="00FB68E0">
      <w:pPr>
        <w:ind w:left="-284"/>
        <w:rPr>
          <w:rFonts w:ascii="Arial" w:hAnsi="Arial" w:cs="Arial"/>
          <w:i/>
          <w:sz w:val="14"/>
          <w:szCs w:val="14"/>
        </w:rPr>
      </w:pPr>
      <w:r w:rsidRPr="000063C9">
        <w:rPr>
          <w:noProof/>
          <w:lang w:eastAsia="en-US"/>
        </w:rPr>
        <w:drawing>
          <wp:inline distT="0" distB="0" distL="0" distR="0" wp14:anchorId="40F741B8" wp14:editId="3EE8B6C4">
            <wp:extent cx="6283842" cy="1307060"/>
            <wp:effectExtent l="0" t="0" r="3175" b="762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6278279" cy="1305903"/>
                    </a:xfrm>
                    <a:prstGeom prst="rect">
                      <a:avLst/>
                    </a:prstGeom>
                    <a:noFill/>
                    <a:ln>
                      <a:noFill/>
                    </a:ln>
                  </pic:spPr>
                </pic:pic>
              </a:graphicData>
            </a:graphic>
          </wp:inline>
        </w:drawing>
      </w:r>
    </w:p>
    <w:p w14:paraId="7550853D" w14:textId="77777777" w:rsidR="00701F92" w:rsidRDefault="00701F92" w:rsidP="00FB68E0">
      <w:pPr>
        <w:spacing w:after="200" w:line="276" w:lineRule="auto"/>
        <w:ind w:left="-284"/>
        <w:rPr>
          <w:rFonts w:ascii="Arial" w:hAnsi="Arial" w:cs="Arial"/>
          <w:sz w:val="20"/>
        </w:rPr>
      </w:pPr>
    </w:p>
    <w:p w14:paraId="2D146255" w14:textId="77777777" w:rsidR="00701F92" w:rsidRDefault="00701F92">
      <w:pPr>
        <w:spacing w:after="200" w:line="276" w:lineRule="auto"/>
        <w:rPr>
          <w:rFonts w:ascii="Arial" w:hAnsi="Arial" w:cs="Arial"/>
          <w:sz w:val="20"/>
        </w:rPr>
      </w:pPr>
    </w:p>
    <w:p w14:paraId="327B0993" w14:textId="020D2363" w:rsidR="004D0754" w:rsidRDefault="004D0754">
      <w:pPr>
        <w:spacing w:after="200" w:line="276" w:lineRule="auto"/>
        <w:rPr>
          <w:rFonts w:ascii="Arial" w:hAnsi="Arial" w:cs="Arial"/>
          <w:sz w:val="20"/>
        </w:rPr>
      </w:pPr>
    </w:p>
    <w:p w14:paraId="6D807D36" w14:textId="77777777" w:rsidR="00701F92" w:rsidRDefault="00701F92">
      <w:pPr>
        <w:spacing w:after="200" w:line="276" w:lineRule="auto"/>
        <w:rPr>
          <w:rFonts w:ascii="Arial" w:hAnsi="Arial" w:cs="Arial"/>
          <w:sz w:val="20"/>
        </w:rPr>
      </w:pPr>
    </w:p>
    <w:p w14:paraId="352B2378" w14:textId="77777777" w:rsidR="004D0754" w:rsidRDefault="004D0754">
      <w:pPr>
        <w:rPr>
          <w:rFonts w:ascii="Arial" w:hAnsi="Arial" w:cs="Arial"/>
          <w:sz w:val="20"/>
        </w:rPr>
        <w:sectPr w:rsidR="004D0754" w:rsidSect="00C84440">
          <w:headerReference w:type="even" r:id="rId205"/>
          <w:headerReference w:type="default" r:id="rId206"/>
          <w:footerReference w:type="even" r:id="rId207"/>
          <w:footerReference w:type="default" r:id="rId208"/>
          <w:pgSz w:w="11907" w:h="16839" w:code="9"/>
          <w:pgMar w:top="624" w:right="1418" w:bottom="1361" w:left="1418" w:header="567" w:footer="851" w:gutter="0"/>
          <w:cols w:space="720"/>
          <w:docGrid w:linePitch="360"/>
        </w:sectPr>
      </w:pPr>
    </w:p>
    <w:p w14:paraId="52FC8EFB" w14:textId="2B17421B" w:rsidR="004D0754" w:rsidRPr="004D0754" w:rsidRDefault="00701F92" w:rsidP="005A1F7F">
      <w:pPr>
        <w:jc w:val="center"/>
        <w:rPr>
          <w:rFonts w:ascii="Arial" w:hAnsi="Arial" w:cs="Arial"/>
          <w:b/>
          <w:sz w:val="20"/>
          <w:szCs w:val="16"/>
        </w:rPr>
      </w:pPr>
      <w:r>
        <w:rPr>
          <w:rFonts w:ascii="Arial" w:hAnsi="Arial" w:cs="Arial"/>
          <w:b/>
          <w:sz w:val="20"/>
          <w:szCs w:val="16"/>
        </w:rPr>
        <w:lastRenderedPageBreak/>
        <w:t>Table 13</w:t>
      </w:r>
      <w:r w:rsidR="004D0754" w:rsidRPr="004D0754">
        <w:rPr>
          <w:rFonts w:ascii="Arial" w:hAnsi="Arial" w:cs="Arial"/>
          <w:b/>
          <w:sz w:val="20"/>
          <w:szCs w:val="16"/>
        </w:rPr>
        <w:t>.  2016/17 Budget by Program and Union</w:t>
      </w:r>
    </w:p>
    <w:p w14:paraId="3E060B99" w14:textId="77777777" w:rsidR="004D0754" w:rsidRPr="004D0754" w:rsidRDefault="004D0754" w:rsidP="005A1F7F">
      <w:pPr>
        <w:jc w:val="center"/>
        <w:rPr>
          <w:rFonts w:ascii="Arial" w:hAnsi="Arial" w:cs="Arial"/>
          <w:i/>
          <w:sz w:val="20"/>
          <w:szCs w:val="16"/>
        </w:rPr>
      </w:pPr>
      <w:r w:rsidRPr="004D0754">
        <w:rPr>
          <w:rFonts w:ascii="Arial" w:hAnsi="Arial" w:cs="Arial"/>
          <w:i/>
          <w:sz w:val="20"/>
          <w:szCs w:val="16"/>
        </w:rPr>
        <w:t>(in thousands of Swiss francs)</w:t>
      </w:r>
    </w:p>
    <w:p w14:paraId="08F7D350" w14:textId="77777777" w:rsidR="004D0754" w:rsidRPr="004D0754" w:rsidRDefault="004D0754" w:rsidP="005A1F7F">
      <w:pPr>
        <w:jc w:val="center"/>
        <w:rPr>
          <w:rFonts w:ascii="Arial" w:hAnsi="Arial" w:cs="Arial"/>
          <w:i/>
          <w:sz w:val="20"/>
          <w:szCs w:val="16"/>
        </w:rPr>
      </w:pPr>
    </w:p>
    <w:p w14:paraId="267258AA" w14:textId="147376C6" w:rsidR="004D0754" w:rsidRPr="00C6387E" w:rsidRDefault="000063C9">
      <w:pPr>
        <w:rPr>
          <w:rFonts w:ascii="Arial" w:hAnsi="Arial" w:cs="Arial"/>
          <w:sz w:val="20"/>
        </w:rPr>
      </w:pPr>
      <w:r w:rsidRPr="000063C9">
        <w:rPr>
          <w:noProof/>
          <w:lang w:eastAsia="en-US"/>
        </w:rPr>
        <w:drawing>
          <wp:inline distT="0" distB="0" distL="0" distR="0" wp14:anchorId="5DF5C1E0" wp14:editId="6862548C">
            <wp:extent cx="8393502" cy="4776424"/>
            <wp:effectExtent l="0" t="0" r="7620" b="5715"/>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8388689" cy="4773685"/>
                    </a:xfrm>
                    <a:prstGeom prst="rect">
                      <a:avLst/>
                    </a:prstGeom>
                    <a:noFill/>
                    <a:ln>
                      <a:noFill/>
                    </a:ln>
                  </pic:spPr>
                </pic:pic>
              </a:graphicData>
            </a:graphic>
          </wp:inline>
        </w:drawing>
      </w:r>
    </w:p>
    <w:p w14:paraId="58EF8863" w14:textId="78503639" w:rsidR="00592800" w:rsidRDefault="00592800" w:rsidP="008D3EC2">
      <w:pPr>
        <w:autoSpaceDE w:val="0"/>
        <w:autoSpaceDN w:val="0"/>
        <w:adjustRightInd w:val="0"/>
        <w:rPr>
          <w:rFonts w:ascii="Arial" w:hAnsi="Arial" w:cs="Arial"/>
          <w:sz w:val="20"/>
        </w:rPr>
      </w:pPr>
    </w:p>
    <w:p w14:paraId="37EB7A13" w14:textId="77777777" w:rsidR="00592800" w:rsidRDefault="00592800" w:rsidP="008D3EC2">
      <w:pPr>
        <w:autoSpaceDE w:val="0"/>
        <w:autoSpaceDN w:val="0"/>
        <w:adjustRightInd w:val="0"/>
        <w:rPr>
          <w:rFonts w:ascii="Arial" w:hAnsi="Arial" w:cs="Arial"/>
          <w:sz w:val="20"/>
        </w:rPr>
      </w:pPr>
    </w:p>
    <w:p w14:paraId="184C8D48" w14:textId="77777777" w:rsidR="00592800" w:rsidRDefault="00592800" w:rsidP="008D3EC2">
      <w:pPr>
        <w:autoSpaceDE w:val="0"/>
        <w:autoSpaceDN w:val="0"/>
        <w:adjustRightInd w:val="0"/>
        <w:rPr>
          <w:rFonts w:ascii="Arial" w:hAnsi="Arial" w:cs="Arial"/>
          <w:sz w:val="20"/>
        </w:rPr>
        <w:sectPr w:rsidR="00592800" w:rsidSect="00FB68E0">
          <w:pgSz w:w="16839" w:h="11907" w:orient="landscape" w:code="9"/>
          <w:pgMar w:top="1134" w:right="624" w:bottom="1134" w:left="1134" w:header="567" w:footer="851" w:gutter="0"/>
          <w:cols w:space="720"/>
          <w:docGrid w:linePitch="360"/>
        </w:sectPr>
      </w:pPr>
    </w:p>
    <w:p w14:paraId="6CF3CD32" w14:textId="77777777" w:rsidR="00592800" w:rsidRPr="0069571C" w:rsidRDefault="00592800" w:rsidP="00592800">
      <w:pPr>
        <w:pStyle w:val="StyleHeading3ComplexItalic"/>
        <w:keepNext w:val="0"/>
        <w:tabs>
          <w:tab w:val="clear" w:pos="1985"/>
          <w:tab w:val="left" w:pos="1418"/>
        </w:tabs>
        <w:ind w:left="1418" w:hanging="1418"/>
      </w:pPr>
      <w:bookmarkStart w:id="98" w:name="_Toc293334843"/>
      <w:bookmarkStart w:id="99" w:name="_Toc298920425"/>
      <w:bookmarkStart w:id="100" w:name="_Toc356567789"/>
      <w:bookmarkStart w:id="101" w:name="_Toc367350615"/>
      <w:bookmarkStart w:id="102" w:name="_Toc427154437"/>
      <w:r w:rsidRPr="007F65E7">
        <w:rPr>
          <w:caps w:val="0"/>
        </w:rPr>
        <w:lastRenderedPageBreak/>
        <w:t>ANNEX IV</w:t>
      </w:r>
      <w:r w:rsidRPr="007F65E7">
        <w:rPr>
          <w:caps w:val="0"/>
        </w:rPr>
        <w:tab/>
        <w:t xml:space="preserve">EVOLUTION AND DEMAND FOR SERVICES UNDER THE PCT, </w:t>
      </w:r>
      <w:smartTag w:uri="urn:schemas-microsoft-com:office:smarttags" w:element="State">
        <w:r w:rsidRPr="007F65E7">
          <w:rPr>
            <w:caps w:val="0"/>
          </w:rPr>
          <w:t>MADRID</w:t>
        </w:r>
      </w:smartTag>
      <w:r>
        <w:rPr>
          <w:caps w:val="0"/>
        </w:rPr>
        <w:br/>
      </w:r>
      <w:r w:rsidRPr="007F65E7">
        <w:rPr>
          <w:caps w:val="0"/>
        </w:rPr>
        <w:t xml:space="preserve">AND </w:t>
      </w:r>
      <w:smartTag w:uri="urn:schemas-microsoft-com:office:smarttags" w:element="place">
        <w:smartTag w:uri="urn:schemas-microsoft-com:office:smarttags" w:element="City">
          <w:r w:rsidRPr="007F65E7">
            <w:rPr>
              <w:caps w:val="0"/>
            </w:rPr>
            <w:t>THE HAGUE</w:t>
          </w:r>
        </w:smartTag>
      </w:smartTag>
      <w:r>
        <w:rPr>
          <w:caps w:val="0"/>
        </w:rPr>
        <w:t xml:space="preserve"> SYSTEMS IN THE MEDI</w:t>
      </w:r>
      <w:r w:rsidRPr="007F65E7">
        <w:rPr>
          <w:caps w:val="0"/>
        </w:rPr>
        <w:t>UM TERM</w:t>
      </w:r>
      <w:bookmarkEnd w:id="98"/>
      <w:bookmarkEnd w:id="99"/>
      <w:bookmarkEnd w:id="100"/>
      <w:bookmarkEnd w:id="101"/>
      <w:bookmarkEnd w:id="102"/>
    </w:p>
    <w:p w14:paraId="4E4220EC" w14:textId="77777777" w:rsidR="00D7361F" w:rsidRDefault="00D7361F" w:rsidP="005A1F7F">
      <w:pPr>
        <w:rPr>
          <w:rFonts w:ascii="Arial" w:hAnsi="Arial" w:cs="Arial"/>
          <w:sz w:val="20"/>
        </w:rPr>
      </w:pPr>
    </w:p>
    <w:p w14:paraId="04697F9B" w14:textId="77777777" w:rsidR="00D7361F" w:rsidRPr="00E62B25" w:rsidRDefault="00D7361F" w:rsidP="005A1F7F">
      <w:pPr>
        <w:rPr>
          <w:rFonts w:ascii="Arial" w:hAnsi="Arial" w:cs="Arial"/>
          <w:sz w:val="20"/>
        </w:rPr>
      </w:pPr>
    </w:p>
    <w:p w14:paraId="59F5E522" w14:textId="77777777" w:rsidR="00D7361F" w:rsidRPr="00E62B25" w:rsidRDefault="00D7361F" w:rsidP="005A1F7F">
      <w:pPr>
        <w:jc w:val="both"/>
        <w:rPr>
          <w:rFonts w:ascii="Arial" w:hAnsi="Arial" w:cs="Arial"/>
          <w:b/>
          <w:sz w:val="20"/>
        </w:rPr>
      </w:pPr>
      <w:r w:rsidRPr="00E62B25">
        <w:rPr>
          <w:rFonts w:ascii="Arial" w:hAnsi="Arial" w:cs="Arial"/>
          <w:b/>
          <w:sz w:val="20"/>
        </w:rPr>
        <w:t>PCT</w:t>
      </w:r>
    </w:p>
    <w:p w14:paraId="49643CAA" w14:textId="77777777" w:rsidR="00D7361F" w:rsidRPr="00E62B25" w:rsidRDefault="00D7361F" w:rsidP="005A1F7F">
      <w:pPr>
        <w:jc w:val="both"/>
        <w:rPr>
          <w:rFonts w:ascii="Arial" w:hAnsi="Arial" w:cs="Arial"/>
          <w:b/>
          <w:sz w:val="20"/>
        </w:rPr>
      </w:pPr>
    </w:p>
    <w:p w14:paraId="25783481" w14:textId="77777777" w:rsidR="00D7361F" w:rsidRPr="00E62B25" w:rsidRDefault="00D7361F" w:rsidP="00B66A4A">
      <w:pPr>
        <w:numPr>
          <w:ilvl w:val="0"/>
          <w:numId w:val="38"/>
        </w:numPr>
        <w:jc w:val="both"/>
        <w:rPr>
          <w:rFonts w:ascii="Arial" w:hAnsi="Arial" w:cs="Arial"/>
          <w:sz w:val="20"/>
        </w:rPr>
      </w:pPr>
      <w:r w:rsidRPr="00E62B25">
        <w:rPr>
          <w:rFonts w:ascii="Arial" w:hAnsi="Arial" w:cs="Arial"/>
          <w:sz w:val="20"/>
        </w:rPr>
        <w:t>The level of PCT income is influenced by a variety of factors, including demand for PCT services and applicants’ filing behavior.  Demand for PCT services is in turn influenced by a number of factors that may be internal or external to the patent system.  External factors include:  performance of the economy globally, and in countries of the highest and fastest growing demand; research and development (R&amp;D) investment levels; technological confidence levels; and exchange rate fluctuations.  Internal factors include:  the level of PCT fees as compared to other filing routes;  the attractiveness and value of PCT services as compared to other filing routes;  the overall credibility of performance of the patent system;  and individual corporate patent strategies.</w:t>
      </w:r>
    </w:p>
    <w:p w14:paraId="0F82FE2D" w14:textId="77777777" w:rsidR="00D7361F" w:rsidRPr="00E62B25" w:rsidRDefault="00D7361F" w:rsidP="005A1F7F">
      <w:pPr>
        <w:tabs>
          <w:tab w:val="num" w:pos="0"/>
        </w:tabs>
        <w:jc w:val="both"/>
        <w:rPr>
          <w:rFonts w:ascii="Arial" w:hAnsi="Arial" w:cs="Arial"/>
          <w:sz w:val="20"/>
        </w:rPr>
      </w:pPr>
    </w:p>
    <w:p w14:paraId="2F5DB880" w14:textId="77777777" w:rsidR="00D7361F" w:rsidRPr="00E62B25" w:rsidRDefault="00D7361F" w:rsidP="00B66A4A">
      <w:pPr>
        <w:numPr>
          <w:ilvl w:val="0"/>
          <w:numId w:val="38"/>
        </w:numPr>
        <w:jc w:val="both"/>
        <w:rPr>
          <w:rFonts w:ascii="Arial" w:hAnsi="Arial" w:cs="Arial"/>
          <w:sz w:val="20"/>
        </w:rPr>
      </w:pPr>
      <w:r w:rsidRPr="00E62B25">
        <w:rPr>
          <w:rFonts w:ascii="Arial" w:hAnsi="Arial" w:cs="Arial"/>
          <w:sz w:val="20"/>
        </w:rPr>
        <w:t>Applicants’ behavior influences PCT income as follows:</w:t>
      </w:r>
    </w:p>
    <w:p w14:paraId="397BCA29" w14:textId="77777777" w:rsidR="00D7361F" w:rsidRPr="00E62B25" w:rsidRDefault="00D7361F" w:rsidP="005A1F7F">
      <w:pPr>
        <w:pStyle w:val="BodyText"/>
        <w:widowControl w:val="0"/>
        <w:tabs>
          <w:tab w:val="num" w:pos="567"/>
          <w:tab w:val="left" w:pos="1134"/>
        </w:tabs>
        <w:spacing w:after="0"/>
        <w:ind w:left="567"/>
        <w:jc w:val="both"/>
        <w:rPr>
          <w:sz w:val="20"/>
        </w:rPr>
      </w:pPr>
    </w:p>
    <w:p w14:paraId="5D07618E" w14:textId="77777777" w:rsidR="00D7361F" w:rsidRPr="00E62B25" w:rsidRDefault="00D7361F" w:rsidP="005A1F7F">
      <w:pPr>
        <w:pStyle w:val="BodyText"/>
        <w:widowControl w:val="0"/>
        <w:tabs>
          <w:tab w:val="left" w:pos="567"/>
          <w:tab w:val="left" w:pos="1134"/>
        </w:tabs>
        <w:spacing w:after="0"/>
        <w:ind w:left="567"/>
        <w:jc w:val="both"/>
        <w:rPr>
          <w:sz w:val="20"/>
        </w:rPr>
      </w:pPr>
      <w:r w:rsidRPr="00E62B25">
        <w:rPr>
          <w:sz w:val="20"/>
        </w:rPr>
        <w:t>(i)</w:t>
      </w:r>
      <w:r w:rsidRPr="00E62B25">
        <w:rPr>
          <w:sz w:val="20"/>
        </w:rPr>
        <w:tab/>
      </w:r>
      <w:r w:rsidRPr="00E62B25">
        <w:rPr>
          <w:sz w:val="20"/>
          <w:u w:val="single"/>
        </w:rPr>
        <w:t>Page Fee</w:t>
      </w:r>
      <w:r w:rsidRPr="00E62B25">
        <w:rPr>
          <w:sz w:val="20"/>
        </w:rPr>
        <w:t>:  The International Bureau receives 15 Swiss francs for every page over 30 pages in a given application.</w:t>
      </w:r>
    </w:p>
    <w:p w14:paraId="7F367C8B" w14:textId="77777777" w:rsidR="00D7361F" w:rsidRPr="00E62B25" w:rsidRDefault="00D7361F" w:rsidP="005A1F7F">
      <w:pPr>
        <w:pStyle w:val="BodyText"/>
        <w:tabs>
          <w:tab w:val="left" w:pos="1134"/>
        </w:tabs>
        <w:spacing w:after="0"/>
        <w:ind w:left="567"/>
        <w:jc w:val="both"/>
        <w:rPr>
          <w:sz w:val="20"/>
        </w:rPr>
      </w:pPr>
    </w:p>
    <w:p w14:paraId="6854D947" w14:textId="77777777" w:rsidR="00D7361F" w:rsidRPr="00E62B25" w:rsidRDefault="00D7361F" w:rsidP="005A1F7F">
      <w:pPr>
        <w:pStyle w:val="BodyText"/>
        <w:widowControl w:val="0"/>
        <w:tabs>
          <w:tab w:val="left" w:pos="567"/>
          <w:tab w:val="left" w:pos="1134"/>
        </w:tabs>
        <w:spacing w:after="0"/>
        <w:ind w:left="567"/>
        <w:jc w:val="both"/>
        <w:rPr>
          <w:sz w:val="20"/>
        </w:rPr>
      </w:pPr>
      <w:r w:rsidRPr="00E62B25">
        <w:rPr>
          <w:sz w:val="20"/>
        </w:rPr>
        <w:t>(ii)</w:t>
      </w:r>
      <w:r w:rsidRPr="00E62B25">
        <w:rPr>
          <w:sz w:val="20"/>
        </w:rPr>
        <w:tab/>
        <w:t>International</w:t>
      </w:r>
      <w:r w:rsidRPr="00E62B25">
        <w:rPr>
          <w:sz w:val="20"/>
          <w:u w:val="single"/>
        </w:rPr>
        <w:t xml:space="preserve"> Preliminary Examination</w:t>
      </w:r>
      <w:r w:rsidRPr="00E62B25">
        <w:rPr>
          <w:sz w:val="20"/>
        </w:rPr>
        <w:t>:  Applicants making use of international preliminary examination under Chapter II of the PCT must pay an additional fee (a “handling fee”).</w:t>
      </w:r>
    </w:p>
    <w:p w14:paraId="1A207181" w14:textId="77777777" w:rsidR="00D7361F" w:rsidRPr="00E62B25" w:rsidRDefault="00D7361F" w:rsidP="005A1F7F">
      <w:pPr>
        <w:pStyle w:val="BodyText"/>
        <w:tabs>
          <w:tab w:val="left" w:pos="1134"/>
        </w:tabs>
        <w:spacing w:after="0"/>
        <w:ind w:left="567"/>
        <w:jc w:val="both"/>
        <w:rPr>
          <w:sz w:val="20"/>
        </w:rPr>
      </w:pPr>
    </w:p>
    <w:p w14:paraId="69AF2D3D" w14:textId="77777777" w:rsidR="00D7361F" w:rsidRPr="00E62B25" w:rsidRDefault="00D7361F" w:rsidP="005A1F7F">
      <w:pPr>
        <w:pStyle w:val="BodyText"/>
        <w:widowControl w:val="0"/>
        <w:tabs>
          <w:tab w:val="left" w:pos="567"/>
          <w:tab w:val="left" w:pos="1134"/>
        </w:tabs>
        <w:spacing w:after="0"/>
        <w:ind w:left="567"/>
        <w:jc w:val="both"/>
        <w:rPr>
          <w:sz w:val="20"/>
        </w:rPr>
      </w:pPr>
      <w:r w:rsidRPr="00E62B25">
        <w:rPr>
          <w:sz w:val="20"/>
        </w:rPr>
        <w:t>(iii)</w:t>
      </w:r>
      <w:r w:rsidRPr="00E62B25">
        <w:rPr>
          <w:sz w:val="20"/>
        </w:rPr>
        <w:tab/>
      </w:r>
      <w:r w:rsidRPr="00E62B25">
        <w:rPr>
          <w:sz w:val="20"/>
          <w:u w:val="single"/>
        </w:rPr>
        <w:t>Electronic Filing</w:t>
      </w:r>
      <w:r w:rsidRPr="00E62B25">
        <w:rPr>
          <w:sz w:val="20"/>
        </w:rPr>
        <w:t>:  When applicants use electronic (instead of paper) filing they benefit from discounts.</w:t>
      </w:r>
    </w:p>
    <w:p w14:paraId="00677307" w14:textId="77777777" w:rsidR="00D7361F" w:rsidRPr="00E62B25" w:rsidRDefault="00D7361F" w:rsidP="005A1F7F">
      <w:pPr>
        <w:pStyle w:val="BodyText"/>
        <w:tabs>
          <w:tab w:val="left" w:pos="1134"/>
        </w:tabs>
        <w:spacing w:after="0"/>
        <w:ind w:left="567"/>
        <w:jc w:val="both"/>
        <w:rPr>
          <w:sz w:val="20"/>
        </w:rPr>
      </w:pPr>
    </w:p>
    <w:p w14:paraId="1BB47C4E" w14:textId="77777777" w:rsidR="00D7361F" w:rsidRPr="00E62B25" w:rsidRDefault="00D7361F" w:rsidP="005A1F7F">
      <w:pPr>
        <w:pStyle w:val="BodyText"/>
        <w:tabs>
          <w:tab w:val="left" w:pos="1134"/>
        </w:tabs>
        <w:spacing w:after="0"/>
        <w:ind w:left="567"/>
        <w:jc w:val="both"/>
        <w:rPr>
          <w:sz w:val="20"/>
        </w:rPr>
      </w:pPr>
      <w:r w:rsidRPr="00E62B25">
        <w:rPr>
          <w:sz w:val="20"/>
        </w:rPr>
        <w:t>(iv )</w:t>
      </w:r>
      <w:r w:rsidRPr="00E62B25">
        <w:rPr>
          <w:sz w:val="20"/>
        </w:rPr>
        <w:tab/>
      </w:r>
      <w:r w:rsidRPr="00E62B25">
        <w:rPr>
          <w:sz w:val="20"/>
          <w:u w:val="single"/>
        </w:rPr>
        <w:t>International Bureau as Receiving Office</w:t>
      </w:r>
      <w:r w:rsidRPr="00E62B25">
        <w:rPr>
          <w:sz w:val="20"/>
        </w:rPr>
        <w:t>:  Applicants who choose to file their application with the International Bureau acting as Receiving Office (IB/RO) must pay a special fee (the “transmittal fee”).</w:t>
      </w:r>
    </w:p>
    <w:p w14:paraId="76118EFB" w14:textId="77777777" w:rsidR="00D7361F" w:rsidRPr="00E62B25" w:rsidRDefault="00D7361F" w:rsidP="005A1F7F">
      <w:pPr>
        <w:pStyle w:val="BodyText"/>
        <w:tabs>
          <w:tab w:val="left" w:pos="1134"/>
        </w:tabs>
        <w:spacing w:after="0"/>
        <w:ind w:left="567"/>
        <w:jc w:val="both"/>
        <w:rPr>
          <w:sz w:val="20"/>
        </w:rPr>
      </w:pPr>
    </w:p>
    <w:p w14:paraId="1AA728D3" w14:textId="77777777" w:rsidR="00D7361F" w:rsidRPr="00E62B25" w:rsidRDefault="00D7361F" w:rsidP="00B66A4A">
      <w:pPr>
        <w:numPr>
          <w:ilvl w:val="0"/>
          <w:numId w:val="38"/>
        </w:numPr>
        <w:jc w:val="both"/>
        <w:rPr>
          <w:rFonts w:ascii="Arial" w:hAnsi="Arial" w:cs="Arial"/>
          <w:sz w:val="20"/>
        </w:rPr>
      </w:pPr>
      <w:r w:rsidRPr="00E62B25">
        <w:rPr>
          <w:rFonts w:ascii="Arial" w:hAnsi="Arial" w:cs="Arial"/>
          <w:sz w:val="20"/>
        </w:rPr>
        <w:t>The following paragraphs elaborate on current forecasts as regards:  the level of demand;  the expected level of Chapter II demands;  the expected level of electronic filings;  and the expected use of IB/RO</w:t>
      </w:r>
      <w:r w:rsidRPr="00E62B25">
        <w:rPr>
          <w:rStyle w:val="FootnoteReference"/>
          <w:rFonts w:ascii="Arial" w:eastAsiaTheme="majorEastAsia" w:hAnsi="Arial" w:cs="Arial"/>
          <w:sz w:val="20"/>
        </w:rPr>
        <w:footnoteReference w:id="22"/>
      </w:r>
      <w:r w:rsidRPr="00E62B25">
        <w:rPr>
          <w:rFonts w:ascii="Arial" w:hAnsi="Arial" w:cs="Arial"/>
          <w:sz w:val="20"/>
        </w:rPr>
        <w:t>.</w:t>
      </w:r>
    </w:p>
    <w:p w14:paraId="19D5E0E0" w14:textId="77777777" w:rsidR="00D7361F" w:rsidRPr="00E62B25" w:rsidRDefault="00D7361F" w:rsidP="005A1F7F">
      <w:pPr>
        <w:widowControl w:val="0"/>
        <w:jc w:val="both"/>
        <w:rPr>
          <w:rFonts w:ascii="Arial" w:hAnsi="Arial" w:cs="Arial"/>
          <w:sz w:val="20"/>
        </w:rPr>
      </w:pPr>
    </w:p>
    <w:p w14:paraId="3D20AA05" w14:textId="77777777" w:rsidR="00D7361F" w:rsidRPr="00E62B25" w:rsidRDefault="00D7361F" w:rsidP="005A1F7F">
      <w:pPr>
        <w:widowControl w:val="0"/>
        <w:rPr>
          <w:rFonts w:ascii="Arial" w:hAnsi="Arial" w:cs="Arial"/>
          <w:sz w:val="20"/>
        </w:rPr>
      </w:pPr>
    </w:p>
    <w:p w14:paraId="292767F2" w14:textId="77777777" w:rsidR="00D7361F" w:rsidRPr="00E62B25" w:rsidRDefault="00D7361F" w:rsidP="005A1F7F">
      <w:pPr>
        <w:widowControl w:val="0"/>
        <w:rPr>
          <w:rFonts w:ascii="Arial" w:hAnsi="Arial" w:cs="Arial"/>
          <w:i/>
          <w:sz w:val="20"/>
        </w:rPr>
      </w:pPr>
      <w:r w:rsidRPr="00E62B25">
        <w:rPr>
          <w:rFonts w:ascii="Arial" w:hAnsi="Arial" w:cs="Arial"/>
          <w:i/>
          <w:sz w:val="20"/>
        </w:rPr>
        <w:t>PCT Filing Forecast (Demand)</w:t>
      </w:r>
    </w:p>
    <w:p w14:paraId="67CB787E" w14:textId="77777777" w:rsidR="00D7361F" w:rsidRPr="00E62B25" w:rsidRDefault="00D7361F" w:rsidP="005A1F7F">
      <w:pPr>
        <w:widowControl w:val="0"/>
        <w:rPr>
          <w:rFonts w:ascii="Arial" w:hAnsi="Arial" w:cs="Arial"/>
          <w:sz w:val="20"/>
        </w:rPr>
      </w:pPr>
    </w:p>
    <w:p w14:paraId="03DA61DA" w14:textId="77777777" w:rsidR="00D7361F" w:rsidRPr="00E62B25" w:rsidRDefault="00D7361F" w:rsidP="00B66A4A">
      <w:pPr>
        <w:numPr>
          <w:ilvl w:val="0"/>
          <w:numId w:val="38"/>
        </w:numPr>
        <w:jc w:val="both"/>
        <w:rPr>
          <w:rFonts w:ascii="Arial" w:hAnsi="Arial" w:cs="Arial"/>
          <w:sz w:val="20"/>
        </w:rPr>
      </w:pPr>
      <w:r w:rsidRPr="00E62B25">
        <w:rPr>
          <w:rFonts w:ascii="Arial" w:hAnsi="Arial" w:cs="Arial"/>
          <w:sz w:val="20"/>
        </w:rPr>
        <w:t xml:space="preserve">After falling in 2009 by close to 5 per cent year-to-year, PCT filings grew strongly in recent years.  Chart 1 shows the forecasted number of PCT applications for the years 2014 to 2017 (based on data at the end of January 2015). </w:t>
      </w:r>
    </w:p>
    <w:p w14:paraId="6BE8A722" w14:textId="77777777" w:rsidR="00D7361F" w:rsidRPr="00E62B25" w:rsidRDefault="00D7361F" w:rsidP="005A1F7F">
      <w:pPr>
        <w:rPr>
          <w:rFonts w:ascii="Arial" w:hAnsi="Arial" w:cs="Arial"/>
          <w:sz w:val="20"/>
        </w:rPr>
      </w:pPr>
    </w:p>
    <w:p w14:paraId="5760B35E" w14:textId="1CF43B03" w:rsidR="00D7361F" w:rsidRPr="00AD6316" w:rsidRDefault="00D7361F" w:rsidP="005A1F7F">
      <w:pPr>
        <w:keepNext/>
        <w:keepLines/>
        <w:jc w:val="center"/>
        <w:rPr>
          <w:rFonts w:ascii="Arial" w:hAnsi="Arial" w:cs="Arial"/>
          <w:sz w:val="18"/>
          <w:szCs w:val="18"/>
        </w:rPr>
      </w:pPr>
      <w:r w:rsidRPr="00AD6316">
        <w:rPr>
          <w:rFonts w:ascii="Arial" w:hAnsi="Arial" w:cs="Arial"/>
          <w:sz w:val="20"/>
          <w:szCs w:val="18"/>
        </w:rPr>
        <w:lastRenderedPageBreak/>
        <w:t xml:space="preserve">Chart 1.  PCT Applications </w:t>
      </w:r>
      <w:r w:rsidR="00CD2918" w:rsidRPr="00AD6316">
        <w:rPr>
          <w:rFonts w:ascii="Arial" w:hAnsi="Arial" w:cs="Arial"/>
          <w:sz w:val="20"/>
          <w:szCs w:val="18"/>
        </w:rPr>
        <w:t>201</w:t>
      </w:r>
      <w:r w:rsidR="00CD2918">
        <w:rPr>
          <w:rFonts w:ascii="Arial" w:hAnsi="Arial" w:cs="Arial"/>
          <w:sz w:val="20"/>
          <w:szCs w:val="18"/>
        </w:rPr>
        <w:t>2</w:t>
      </w:r>
      <w:r w:rsidR="00CD2918" w:rsidRPr="00AD6316">
        <w:rPr>
          <w:rFonts w:ascii="Arial" w:hAnsi="Arial" w:cs="Arial"/>
          <w:sz w:val="20"/>
          <w:szCs w:val="18"/>
        </w:rPr>
        <w:t xml:space="preserve"> </w:t>
      </w:r>
      <w:r w:rsidRPr="00AD6316">
        <w:rPr>
          <w:rFonts w:ascii="Arial" w:hAnsi="Arial" w:cs="Arial"/>
          <w:sz w:val="20"/>
          <w:szCs w:val="18"/>
        </w:rPr>
        <w:t xml:space="preserve">to </w:t>
      </w:r>
      <w:r w:rsidR="00CD2918" w:rsidRPr="00AD6316">
        <w:rPr>
          <w:rFonts w:ascii="Arial" w:hAnsi="Arial" w:cs="Arial"/>
          <w:sz w:val="20"/>
          <w:szCs w:val="18"/>
        </w:rPr>
        <w:t>201</w:t>
      </w:r>
      <w:r w:rsidR="00CD2918">
        <w:rPr>
          <w:rFonts w:ascii="Arial" w:hAnsi="Arial" w:cs="Arial"/>
          <w:sz w:val="20"/>
          <w:szCs w:val="18"/>
        </w:rPr>
        <w:t>7</w:t>
      </w:r>
    </w:p>
    <w:p w14:paraId="33CE0C45" w14:textId="77777777" w:rsidR="00D7361F" w:rsidRPr="00E62B25" w:rsidRDefault="00D7361F" w:rsidP="005A1F7F">
      <w:pPr>
        <w:keepNext/>
        <w:keepLines/>
        <w:rPr>
          <w:rFonts w:ascii="Arial" w:hAnsi="Arial" w:cs="Arial"/>
          <w:sz w:val="20"/>
        </w:rPr>
      </w:pPr>
    </w:p>
    <w:p w14:paraId="02B974DC"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65AABC3C" wp14:editId="62043578">
            <wp:extent cx="4705350" cy="2654928"/>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4705350" cy="2654928"/>
                    </a:xfrm>
                    <a:prstGeom prst="rect">
                      <a:avLst/>
                    </a:prstGeom>
                    <a:noFill/>
                    <a:ln>
                      <a:noFill/>
                    </a:ln>
                  </pic:spPr>
                </pic:pic>
              </a:graphicData>
            </a:graphic>
          </wp:inline>
        </w:drawing>
      </w:r>
    </w:p>
    <w:p w14:paraId="1FC4BB78"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5684171B" wp14:editId="247750D6">
            <wp:extent cx="5038725" cy="63277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037051" cy="632560"/>
                    </a:xfrm>
                    <a:prstGeom prst="rect">
                      <a:avLst/>
                    </a:prstGeom>
                    <a:noFill/>
                    <a:ln>
                      <a:noFill/>
                    </a:ln>
                  </pic:spPr>
                </pic:pic>
              </a:graphicData>
            </a:graphic>
          </wp:inline>
        </w:drawing>
      </w:r>
    </w:p>
    <w:p w14:paraId="5958B021" w14:textId="77777777" w:rsidR="00D7361F" w:rsidRDefault="00D7361F" w:rsidP="005A1F7F">
      <w:pPr>
        <w:keepNext/>
        <w:keepLines/>
        <w:rPr>
          <w:rFonts w:ascii="Arial" w:hAnsi="Arial" w:cs="Arial"/>
          <w:sz w:val="20"/>
        </w:rPr>
      </w:pPr>
    </w:p>
    <w:p w14:paraId="3A69C20C" w14:textId="77777777" w:rsidR="00D7361F" w:rsidRPr="00E62B25" w:rsidRDefault="00D7361F" w:rsidP="005A1F7F">
      <w:pPr>
        <w:keepNext/>
        <w:keepLines/>
        <w:rPr>
          <w:rFonts w:ascii="Arial" w:hAnsi="Arial" w:cs="Arial"/>
          <w:sz w:val="20"/>
        </w:rPr>
      </w:pPr>
    </w:p>
    <w:p w14:paraId="06461AF5"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Chart 2 below shows the forecasted numbers of files by the country of origin. </w:t>
      </w:r>
    </w:p>
    <w:p w14:paraId="4A84DF40" w14:textId="77777777" w:rsidR="00D7361F" w:rsidRPr="00E62B25" w:rsidRDefault="00D7361F" w:rsidP="005A1F7F">
      <w:pPr>
        <w:keepNext/>
        <w:keepLines/>
        <w:rPr>
          <w:rFonts w:ascii="Arial" w:hAnsi="Arial" w:cs="Arial"/>
          <w:sz w:val="20"/>
        </w:rPr>
      </w:pPr>
    </w:p>
    <w:p w14:paraId="66758791" w14:textId="77777777" w:rsidR="00D7361F" w:rsidRPr="00AD6316" w:rsidRDefault="00D7361F" w:rsidP="005A1F7F">
      <w:pPr>
        <w:keepNext/>
        <w:keepLines/>
        <w:widowControl w:val="0"/>
        <w:jc w:val="center"/>
        <w:rPr>
          <w:rFonts w:ascii="Arial" w:hAnsi="Arial" w:cs="Arial"/>
        </w:rPr>
      </w:pPr>
      <w:r w:rsidRPr="00AD6316">
        <w:rPr>
          <w:rFonts w:ascii="Arial" w:hAnsi="Arial" w:cs="Arial"/>
          <w:sz w:val="20"/>
          <w:szCs w:val="18"/>
        </w:rPr>
        <w:t>Chart 2.  PCT Filings from Selected Countries 2014 to 2017</w:t>
      </w:r>
    </w:p>
    <w:p w14:paraId="45DEC667" w14:textId="77777777" w:rsidR="00D7361F" w:rsidRPr="00E62B25" w:rsidRDefault="00D7361F" w:rsidP="005A1F7F">
      <w:pPr>
        <w:keepNext/>
        <w:keepLines/>
        <w:rPr>
          <w:rFonts w:ascii="Arial" w:hAnsi="Arial" w:cs="Arial"/>
        </w:rPr>
      </w:pPr>
    </w:p>
    <w:p w14:paraId="0E6E3982"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1064D60C" wp14:editId="07743599">
            <wp:extent cx="2657475" cy="3319774"/>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2657475" cy="3319774"/>
                    </a:xfrm>
                    <a:prstGeom prst="rect">
                      <a:avLst/>
                    </a:prstGeom>
                    <a:noFill/>
                    <a:ln>
                      <a:noFill/>
                    </a:ln>
                  </pic:spPr>
                </pic:pic>
              </a:graphicData>
            </a:graphic>
          </wp:inline>
        </w:drawing>
      </w:r>
    </w:p>
    <w:p w14:paraId="35A0ECC5" w14:textId="77777777" w:rsidR="00D7361F" w:rsidRPr="00E62B25" w:rsidRDefault="00D7361F" w:rsidP="005A1F7F">
      <w:pPr>
        <w:keepNext/>
        <w:keepLines/>
        <w:rPr>
          <w:rFonts w:ascii="Arial" w:hAnsi="Arial" w:cs="Arial"/>
          <w:sz w:val="20"/>
        </w:rPr>
      </w:pPr>
    </w:p>
    <w:p w14:paraId="79A81269" w14:textId="77777777" w:rsidR="00D7361F" w:rsidRPr="00E62B25" w:rsidRDefault="00D7361F" w:rsidP="005A1F7F">
      <w:pPr>
        <w:keepNext/>
        <w:keepLines/>
        <w:rPr>
          <w:rFonts w:ascii="Arial" w:hAnsi="Arial" w:cs="Arial"/>
          <w:sz w:val="20"/>
        </w:rPr>
      </w:pPr>
    </w:p>
    <w:p w14:paraId="3FD745F9"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The number of international applications will likely be within a range with certain probabilities.  The following graph and table indicate the probabilistic distribution of the number of filings.</w:t>
      </w:r>
    </w:p>
    <w:p w14:paraId="40A436A7" w14:textId="77777777" w:rsidR="00D7361F" w:rsidRPr="00E62B25" w:rsidRDefault="00D7361F" w:rsidP="005A1F7F">
      <w:pPr>
        <w:keepNext/>
        <w:keepLines/>
        <w:rPr>
          <w:rFonts w:ascii="Arial" w:hAnsi="Arial" w:cs="Arial"/>
          <w:sz w:val="20"/>
        </w:rPr>
      </w:pPr>
    </w:p>
    <w:p w14:paraId="76D16C4C" w14:textId="7777777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Filing Forecast Probabilistic Distribution</w:t>
      </w:r>
    </w:p>
    <w:p w14:paraId="5B349253" w14:textId="77777777" w:rsidR="00D7361F" w:rsidRPr="00E62B25" w:rsidRDefault="00D7361F" w:rsidP="005A1F7F">
      <w:pPr>
        <w:keepNext/>
        <w:keepLines/>
        <w:rPr>
          <w:rFonts w:ascii="Arial" w:hAnsi="Arial" w:cs="Arial"/>
          <w:sz w:val="18"/>
        </w:rPr>
      </w:pPr>
    </w:p>
    <w:p w14:paraId="0ADE5797"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1038DAA5" wp14:editId="702897EC">
            <wp:extent cx="5534108" cy="2824394"/>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3" cstate="print">
                      <a:extLst>
                        <a:ext uri="{28A0092B-C50C-407E-A947-70E740481C1C}">
                          <a14:useLocalDpi xmlns:a14="http://schemas.microsoft.com/office/drawing/2010/main" val="0"/>
                        </a:ext>
                      </a:extLst>
                    </a:blip>
                    <a:srcRect t="8736" r="-723"/>
                    <a:stretch/>
                  </pic:blipFill>
                  <pic:spPr bwMode="auto">
                    <a:xfrm>
                      <a:off x="0" y="0"/>
                      <a:ext cx="5535693" cy="2825203"/>
                    </a:xfrm>
                    <a:prstGeom prst="rect">
                      <a:avLst/>
                    </a:prstGeom>
                    <a:noFill/>
                    <a:ln>
                      <a:noFill/>
                    </a:ln>
                    <a:extLst>
                      <a:ext uri="{53640926-AAD7-44D8-BBD7-CCE9431645EC}">
                        <a14:shadowObscured xmlns:a14="http://schemas.microsoft.com/office/drawing/2010/main"/>
                      </a:ext>
                    </a:extLst>
                  </pic:spPr>
                </pic:pic>
              </a:graphicData>
            </a:graphic>
          </wp:inline>
        </w:drawing>
      </w:r>
    </w:p>
    <w:p w14:paraId="0ED302BE" w14:textId="77777777" w:rsidR="00D7361F" w:rsidRPr="00AD6316" w:rsidRDefault="00D7361F" w:rsidP="005A1F7F">
      <w:pPr>
        <w:jc w:val="center"/>
        <w:rPr>
          <w:rFonts w:ascii="Arial" w:hAnsi="Arial" w:cs="Arial"/>
          <w:sz w:val="20"/>
          <w:szCs w:val="18"/>
        </w:rPr>
      </w:pPr>
      <w:r w:rsidRPr="00AD6316">
        <w:rPr>
          <w:rFonts w:ascii="Arial" w:hAnsi="Arial" w:cs="Arial"/>
          <w:sz w:val="20"/>
          <w:szCs w:val="18"/>
        </w:rPr>
        <w:t>PCT Application Scenarios</w:t>
      </w:r>
    </w:p>
    <w:p w14:paraId="501CE00E" w14:textId="77777777" w:rsidR="00D7361F" w:rsidRPr="00E62B25" w:rsidRDefault="00D7361F" w:rsidP="005A1F7F">
      <w:pPr>
        <w:keepNext/>
        <w:keepLines/>
        <w:rPr>
          <w:rFonts w:ascii="Arial" w:hAnsi="Arial" w:cs="Arial"/>
          <w:sz w:val="20"/>
        </w:rPr>
      </w:pPr>
    </w:p>
    <w:p w14:paraId="7ECC594A"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60592A79" wp14:editId="57BF59D1">
            <wp:extent cx="3162300" cy="30956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3162300" cy="3095625"/>
                    </a:xfrm>
                    <a:prstGeom prst="rect">
                      <a:avLst/>
                    </a:prstGeom>
                    <a:noFill/>
                    <a:ln>
                      <a:noFill/>
                    </a:ln>
                  </pic:spPr>
                </pic:pic>
              </a:graphicData>
            </a:graphic>
          </wp:inline>
        </w:drawing>
      </w:r>
    </w:p>
    <w:p w14:paraId="008A74C8" w14:textId="77777777" w:rsidR="00D7361F" w:rsidRDefault="00D7361F" w:rsidP="005A1F7F">
      <w:pPr>
        <w:widowControl w:val="0"/>
        <w:rPr>
          <w:rFonts w:ascii="Arial" w:hAnsi="Arial" w:cs="Arial"/>
          <w:i/>
          <w:sz w:val="20"/>
        </w:rPr>
      </w:pPr>
    </w:p>
    <w:p w14:paraId="5AAECABC" w14:textId="77777777" w:rsidR="00D7361F" w:rsidRDefault="00D7361F" w:rsidP="005A1F7F">
      <w:pPr>
        <w:widowControl w:val="0"/>
        <w:rPr>
          <w:rFonts w:ascii="Arial" w:hAnsi="Arial" w:cs="Arial"/>
          <w:i/>
          <w:sz w:val="20"/>
        </w:rPr>
      </w:pPr>
    </w:p>
    <w:p w14:paraId="7EA48355" w14:textId="77777777" w:rsidR="00D7361F" w:rsidRPr="00E62B25" w:rsidRDefault="00D7361F" w:rsidP="005A1F7F">
      <w:pPr>
        <w:widowControl w:val="0"/>
        <w:rPr>
          <w:rFonts w:ascii="Arial" w:hAnsi="Arial" w:cs="Arial"/>
          <w:i/>
          <w:sz w:val="20"/>
        </w:rPr>
      </w:pPr>
      <w:r w:rsidRPr="00E62B25">
        <w:rPr>
          <w:rFonts w:ascii="Arial" w:hAnsi="Arial" w:cs="Arial"/>
          <w:i/>
          <w:sz w:val="20"/>
        </w:rPr>
        <w:t>Use of Electronic Filing Methods</w:t>
      </w:r>
    </w:p>
    <w:p w14:paraId="084F54E9" w14:textId="77777777" w:rsidR="00D7361F" w:rsidRPr="00E62B25" w:rsidRDefault="00D7361F" w:rsidP="005A1F7F">
      <w:pPr>
        <w:widowControl w:val="0"/>
        <w:rPr>
          <w:rFonts w:ascii="Arial" w:hAnsi="Arial" w:cs="Arial"/>
          <w:sz w:val="20"/>
        </w:rPr>
      </w:pPr>
    </w:p>
    <w:p w14:paraId="667919E0"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The estimated use of electronic filing methods (EASY, PDF or XML), as a percentage of total filings, is illustrated in Chart 3 below.  As this chart shows, utilization of electronic filings continues to increase steadily.  In the year 2012, electronic filing was close to 90 per cent of total filings. </w:t>
      </w:r>
    </w:p>
    <w:p w14:paraId="4EE29F29" w14:textId="77777777" w:rsidR="00D7361F" w:rsidRPr="00E62B25" w:rsidRDefault="00D7361F" w:rsidP="005A1F7F">
      <w:pPr>
        <w:widowControl w:val="0"/>
        <w:jc w:val="both"/>
        <w:rPr>
          <w:rFonts w:ascii="Arial" w:hAnsi="Arial" w:cs="Arial"/>
          <w:sz w:val="20"/>
        </w:rPr>
      </w:pPr>
    </w:p>
    <w:p w14:paraId="6700BA3D" w14:textId="77777777" w:rsidR="00D7361F" w:rsidRPr="00AD6316" w:rsidRDefault="00D7361F" w:rsidP="005A1F7F">
      <w:pPr>
        <w:keepNext/>
        <w:keepLines/>
        <w:widowControl w:val="0"/>
        <w:jc w:val="center"/>
        <w:rPr>
          <w:rFonts w:ascii="Arial" w:hAnsi="Arial" w:cs="Arial"/>
          <w:sz w:val="20"/>
          <w:szCs w:val="18"/>
        </w:rPr>
      </w:pPr>
      <w:r w:rsidRPr="00AD6316">
        <w:rPr>
          <w:rFonts w:ascii="Arial" w:hAnsi="Arial" w:cs="Arial"/>
          <w:sz w:val="20"/>
          <w:szCs w:val="18"/>
        </w:rPr>
        <w:lastRenderedPageBreak/>
        <w:t>Chart 3.  Use of Electronic Filing Methods (EASY, PDF or XML) as a Percentage of Total Filings 2014 to 2017</w:t>
      </w:r>
    </w:p>
    <w:p w14:paraId="24B08FFF" w14:textId="1363B923" w:rsidR="00D7361F" w:rsidRPr="00E62B25" w:rsidRDefault="00D7361F" w:rsidP="008D4CE9">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62E59C69" wp14:editId="1DAE6128">
            <wp:extent cx="4448175" cy="2357447"/>
            <wp:effectExtent l="0" t="0" r="0" b="508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448175" cy="2357447"/>
                    </a:xfrm>
                    <a:prstGeom prst="rect">
                      <a:avLst/>
                    </a:prstGeom>
                    <a:noFill/>
                    <a:ln>
                      <a:noFill/>
                    </a:ln>
                  </pic:spPr>
                </pic:pic>
              </a:graphicData>
            </a:graphic>
          </wp:inline>
        </w:drawing>
      </w:r>
    </w:p>
    <w:p w14:paraId="2490FC49" w14:textId="77777777" w:rsidR="00D7361F" w:rsidRPr="00E62B25" w:rsidRDefault="00D7361F" w:rsidP="005A1F7F">
      <w:pPr>
        <w:keepNext/>
        <w:keepLines/>
        <w:jc w:val="center"/>
        <w:rPr>
          <w:rFonts w:ascii="Arial" w:hAnsi="Arial" w:cs="Arial"/>
          <w:sz w:val="20"/>
        </w:rPr>
      </w:pPr>
      <w:r w:rsidRPr="00E62B25">
        <w:rPr>
          <w:rFonts w:ascii="Arial" w:hAnsi="Arial" w:cs="Arial"/>
          <w:sz w:val="20"/>
        </w:rPr>
        <w:t xml:space="preserve"> </w:t>
      </w:r>
      <w:r w:rsidRPr="00E62B25">
        <w:rPr>
          <w:rFonts w:ascii="Arial" w:hAnsi="Arial" w:cs="Arial"/>
          <w:noProof/>
          <w:lang w:eastAsia="en-US"/>
        </w:rPr>
        <w:drawing>
          <wp:inline distT="0" distB="0" distL="0" distR="0" wp14:anchorId="45D1FC6B" wp14:editId="23CD7A40">
            <wp:extent cx="4552950" cy="718887"/>
            <wp:effectExtent l="0" t="0" r="0" b="508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552950" cy="718887"/>
                    </a:xfrm>
                    <a:prstGeom prst="rect">
                      <a:avLst/>
                    </a:prstGeom>
                    <a:noFill/>
                    <a:ln>
                      <a:noFill/>
                    </a:ln>
                  </pic:spPr>
                </pic:pic>
              </a:graphicData>
            </a:graphic>
          </wp:inline>
        </w:drawing>
      </w:r>
    </w:p>
    <w:p w14:paraId="692B3D68" w14:textId="77777777" w:rsidR="00D7361F" w:rsidRPr="00E62B25" w:rsidRDefault="00D7361F" w:rsidP="005A1F7F">
      <w:pPr>
        <w:rPr>
          <w:rFonts w:ascii="Arial" w:hAnsi="Arial" w:cs="Arial"/>
          <w:sz w:val="20"/>
        </w:rPr>
      </w:pPr>
    </w:p>
    <w:p w14:paraId="3ADFA429" w14:textId="77777777" w:rsidR="00D7361F" w:rsidRPr="00E62B25" w:rsidRDefault="00D7361F" w:rsidP="005A1F7F">
      <w:pPr>
        <w:rPr>
          <w:rFonts w:ascii="Arial" w:hAnsi="Arial" w:cs="Arial"/>
          <w:sz w:val="20"/>
        </w:rPr>
      </w:pPr>
    </w:p>
    <w:p w14:paraId="30A98985" w14:textId="77777777" w:rsidR="00D7361F" w:rsidRPr="00E62B25" w:rsidRDefault="00D7361F" w:rsidP="005A1F7F">
      <w:pPr>
        <w:rPr>
          <w:rFonts w:ascii="Arial" w:hAnsi="Arial" w:cs="Arial"/>
          <w:i/>
          <w:sz w:val="20"/>
        </w:rPr>
      </w:pPr>
      <w:r w:rsidRPr="00E62B25">
        <w:rPr>
          <w:rFonts w:ascii="Arial" w:hAnsi="Arial" w:cs="Arial"/>
          <w:i/>
          <w:sz w:val="20"/>
        </w:rPr>
        <w:t>Expected Level of PCT Income</w:t>
      </w:r>
    </w:p>
    <w:p w14:paraId="730D77DF" w14:textId="77777777" w:rsidR="00D7361F" w:rsidRPr="00E62B25" w:rsidRDefault="00D7361F" w:rsidP="005A1F7F">
      <w:pPr>
        <w:jc w:val="both"/>
        <w:rPr>
          <w:rFonts w:ascii="Arial" w:hAnsi="Arial" w:cs="Arial"/>
          <w:sz w:val="20"/>
        </w:rPr>
      </w:pPr>
    </w:p>
    <w:p w14:paraId="66BCADEE"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Charts 4 and 5 show forecasted PCT income in the period from 2014 to 2017, by type of income.  The charts are based on the expected level of applications (Chart 1), an estimate of the expected level of page fees, the expected level of Chapter II demands, the expected level of electronic filings (Chart 3) and the expected level of RO/IB filings.  </w:t>
      </w:r>
    </w:p>
    <w:p w14:paraId="6F697054" w14:textId="77777777" w:rsidR="00D7361F" w:rsidRPr="00E62B25" w:rsidRDefault="00D7361F" w:rsidP="005A1F7F">
      <w:pPr>
        <w:widowControl w:val="0"/>
        <w:jc w:val="both"/>
        <w:rPr>
          <w:rFonts w:ascii="Arial" w:hAnsi="Arial" w:cs="Arial"/>
          <w:sz w:val="20"/>
        </w:rPr>
      </w:pPr>
    </w:p>
    <w:p w14:paraId="3B0743CC"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Chart 4 shows the hypothetical PCT income forecast which is based on the assumptions that (1) all fees are paid within the same of year of filing and (2) all fees are converted to Swiss francs according to WIPO official exchange rates.  Hypothetical PCT income indicates the possible revenue generated by the filings, without considering when the money is paid and how it is converted to Swiss francs. Since most applicants eventually pay their fees, the hypothetical income forecast reflects the long-term revenue expectation. The calculation takes into account all the major elements of the PCT fee structure: withdrawals, e-filing reductions and fee reductions for low-income countries. </w:t>
      </w:r>
    </w:p>
    <w:p w14:paraId="20C0B790" w14:textId="77777777" w:rsidR="00D7361F" w:rsidRPr="00E62B25" w:rsidRDefault="00D7361F" w:rsidP="005A1F7F">
      <w:pPr>
        <w:rPr>
          <w:rFonts w:ascii="Arial" w:hAnsi="Arial" w:cs="Arial"/>
          <w:sz w:val="20"/>
        </w:rPr>
      </w:pPr>
    </w:p>
    <w:p w14:paraId="01589E64" w14:textId="73C241A3" w:rsidR="00AD6316" w:rsidRDefault="00AD6316">
      <w:pPr>
        <w:rPr>
          <w:rFonts w:ascii="Arial" w:hAnsi="Arial" w:cs="Arial"/>
          <w:sz w:val="18"/>
          <w:szCs w:val="18"/>
        </w:rPr>
      </w:pPr>
    </w:p>
    <w:p w14:paraId="1C4EC99C" w14:textId="6088B363" w:rsidR="00D7361F" w:rsidRPr="00AD6316" w:rsidRDefault="00D7361F" w:rsidP="005A1F7F">
      <w:pPr>
        <w:keepNext/>
        <w:keepLines/>
        <w:jc w:val="center"/>
        <w:rPr>
          <w:rFonts w:ascii="Arial" w:hAnsi="Arial" w:cs="Arial"/>
        </w:rPr>
      </w:pPr>
      <w:r w:rsidRPr="00AD6316">
        <w:rPr>
          <w:rFonts w:ascii="Arial" w:hAnsi="Arial" w:cs="Arial"/>
          <w:sz w:val="20"/>
          <w:szCs w:val="18"/>
        </w:rPr>
        <w:t xml:space="preserve">Chart 4. Hypothetical PCT Income Forecast until </w:t>
      </w:r>
      <w:r w:rsidR="00CD2918" w:rsidRPr="00AD6316">
        <w:rPr>
          <w:rFonts w:ascii="Arial" w:hAnsi="Arial" w:cs="Arial"/>
          <w:sz w:val="20"/>
          <w:szCs w:val="18"/>
        </w:rPr>
        <w:t>201</w:t>
      </w:r>
      <w:r w:rsidR="00CD2918">
        <w:rPr>
          <w:rFonts w:ascii="Arial" w:hAnsi="Arial" w:cs="Arial"/>
          <w:sz w:val="20"/>
          <w:szCs w:val="18"/>
        </w:rPr>
        <w:t>7</w:t>
      </w:r>
    </w:p>
    <w:p w14:paraId="1599254A" w14:textId="77777777" w:rsidR="00D7361F" w:rsidRPr="00AD6316" w:rsidRDefault="00D7361F" w:rsidP="005A1F7F">
      <w:pPr>
        <w:rPr>
          <w:rFonts w:ascii="Arial" w:hAnsi="Arial" w:cs="Arial"/>
        </w:rPr>
      </w:pPr>
    </w:p>
    <w:p w14:paraId="2F384387" w14:textId="77777777" w:rsidR="00D7361F" w:rsidRPr="00E62B25" w:rsidRDefault="00D7361F" w:rsidP="005A1F7F">
      <w:pPr>
        <w:jc w:val="center"/>
        <w:rPr>
          <w:rFonts w:ascii="Arial" w:hAnsi="Arial" w:cs="Arial"/>
          <w:sz w:val="20"/>
        </w:rPr>
      </w:pPr>
      <w:r w:rsidRPr="00E62B25">
        <w:rPr>
          <w:rFonts w:ascii="Arial" w:hAnsi="Arial" w:cs="Arial"/>
          <w:sz w:val="20"/>
        </w:rPr>
        <w:t xml:space="preserve"> </w:t>
      </w:r>
      <w:r w:rsidRPr="00E62B25">
        <w:rPr>
          <w:rFonts w:ascii="Arial" w:hAnsi="Arial" w:cs="Arial"/>
          <w:noProof/>
          <w:sz w:val="20"/>
          <w:lang w:eastAsia="en-US"/>
        </w:rPr>
        <w:drawing>
          <wp:inline distT="0" distB="0" distL="0" distR="0" wp14:anchorId="1CD7B9E0" wp14:editId="1B028AF0">
            <wp:extent cx="4514850" cy="255841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514850" cy="2558415"/>
                    </a:xfrm>
                    <a:prstGeom prst="rect">
                      <a:avLst/>
                    </a:prstGeom>
                    <a:noFill/>
                  </pic:spPr>
                </pic:pic>
              </a:graphicData>
            </a:graphic>
          </wp:inline>
        </w:drawing>
      </w:r>
    </w:p>
    <w:p w14:paraId="1C835C00" w14:textId="77777777" w:rsidR="00D7361F" w:rsidRPr="00E62B25" w:rsidRDefault="00D7361F" w:rsidP="005A1F7F">
      <w:pPr>
        <w:jc w:val="center"/>
        <w:rPr>
          <w:rFonts w:ascii="Arial" w:hAnsi="Arial" w:cs="Arial"/>
          <w:sz w:val="20"/>
        </w:rPr>
      </w:pPr>
      <w:r w:rsidRPr="00E62B25">
        <w:rPr>
          <w:rFonts w:ascii="Arial" w:hAnsi="Arial" w:cs="Arial"/>
          <w:sz w:val="20"/>
        </w:rPr>
        <w:lastRenderedPageBreak/>
        <w:t xml:space="preserve"> </w:t>
      </w:r>
      <w:r w:rsidRPr="00E62B25">
        <w:rPr>
          <w:rFonts w:ascii="Arial" w:hAnsi="Arial" w:cs="Arial"/>
          <w:noProof/>
          <w:lang w:eastAsia="en-US"/>
        </w:rPr>
        <w:drawing>
          <wp:inline distT="0" distB="0" distL="0" distR="0" wp14:anchorId="4B98D461" wp14:editId="41187A1C">
            <wp:extent cx="4762500" cy="1563938"/>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762500" cy="1563938"/>
                    </a:xfrm>
                    <a:prstGeom prst="rect">
                      <a:avLst/>
                    </a:prstGeom>
                    <a:noFill/>
                    <a:ln>
                      <a:noFill/>
                    </a:ln>
                  </pic:spPr>
                </pic:pic>
              </a:graphicData>
            </a:graphic>
          </wp:inline>
        </w:drawing>
      </w:r>
    </w:p>
    <w:p w14:paraId="766D2A30" w14:textId="77777777" w:rsidR="00D7361F" w:rsidRDefault="00D7361F" w:rsidP="005A1F7F">
      <w:pPr>
        <w:jc w:val="center"/>
        <w:rPr>
          <w:rFonts w:ascii="Arial" w:hAnsi="Arial" w:cs="Arial"/>
          <w:sz w:val="20"/>
        </w:rPr>
      </w:pPr>
    </w:p>
    <w:p w14:paraId="54F86A7F" w14:textId="77777777" w:rsidR="00D7361F" w:rsidRPr="00E62B25" w:rsidRDefault="00D7361F" w:rsidP="005A1F7F">
      <w:pPr>
        <w:jc w:val="center"/>
        <w:rPr>
          <w:rFonts w:ascii="Arial" w:hAnsi="Arial" w:cs="Arial"/>
          <w:sz w:val="20"/>
        </w:rPr>
      </w:pPr>
    </w:p>
    <w:p w14:paraId="591A7C1A" w14:textId="77777777" w:rsidR="00D7361F" w:rsidRPr="00E62B25" w:rsidRDefault="00D7361F" w:rsidP="005A1F7F">
      <w:pPr>
        <w:keepNext/>
        <w:keepLines/>
        <w:rPr>
          <w:rFonts w:ascii="Arial" w:hAnsi="Arial" w:cs="Arial"/>
          <w:i/>
          <w:sz w:val="20"/>
        </w:rPr>
      </w:pPr>
      <w:r w:rsidRPr="00E62B25">
        <w:rPr>
          <w:rFonts w:ascii="Arial" w:hAnsi="Arial" w:cs="Arial"/>
          <w:i/>
          <w:sz w:val="20"/>
        </w:rPr>
        <w:t>Impact of Payment Delay on PCT Income</w:t>
      </w:r>
    </w:p>
    <w:p w14:paraId="6817D5D9" w14:textId="77777777" w:rsidR="00D7361F" w:rsidRPr="00E62B25" w:rsidRDefault="00D7361F" w:rsidP="005A1F7F">
      <w:pPr>
        <w:keepNext/>
        <w:keepLines/>
        <w:jc w:val="both"/>
        <w:rPr>
          <w:rFonts w:ascii="Arial" w:hAnsi="Arial" w:cs="Arial"/>
          <w:sz w:val="20"/>
        </w:rPr>
      </w:pPr>
    </w:p>
    <w:p w14:paraId="7573CEF4" w14:textId="5525A934" w:rsidR="00D7361F" w:rsidRPr="00E62B25" w:rsidRDefault="00D7361F" w:rsidP="00B66A4A">
      <w:pPr>
        <w:keepNext/>
        <w:keepLines/>
        <w:numPr>
          <w:ilvl w:val="0"/>
          <w:numId w:val="38"/>
        </w:numPr>
        <w:tabs>
          <w:tab w:val="left" w:pos="540"/>
        </w:tabs>
        <w:jc w:val="both"/>
        <w:rPr>
          <w:rFonts w:ascii="Arial" w:hAnsi="Arial" w:cs="Arial"/>
          <w:sz w:val="20"/>
        </w:rPr>
      </w:pPr>
      <w:r w:rsidRPr="00E62B25">
        <w:rPr>
          <w:rFonts w:ascii="Arial" w:hAnsi="Arial" w:cs="Arial"/>
          <w:sz w:val="20"/>
        </w:rPr>
        <w:t>The hypothetical income forecast assumes that fees are paid within the same year of filing. However, WIPO receives payments with a delay ranging from one to six months.  Some applicants – especially those who file at the beginning of the year – pay within the same year of filing (usually around 85 per cent), while others pay in the following year (usually around 15 per cent).  Therefore, actual PCT income in any given year consists of a portion of payments for filings in the previous year plus a portion of payments for those in the same year.  As a result, the money received in a year does not equal to that generated by the filings in the same year.  Annual differences between hypothetical and real income do not alter the long-term overall income.  Any income shortfall due to payment delays will likely be compensated in the following year.  If a large portion of the payment is delayed to next year, this year’s actual income will fall, but next year’s will be higher.  On the other hand, if a smaller portion of the payment is shifted to next year, this year’s actual income will rise and next year’s will fall.</w:t>
      </w:r>
      <w:r w:rsidRPr="00E62B25">
        <w:rPr>
          <w:rFonts w:ascii="Arial" w:hAnsi="Arial" w:cs="Arial"/>
          <w:bCs/>
          <w:sz w:val="20"/>
        </w:rPr>
        <w:t xml:space="preserve">  </w:t>
      </w:r>
      <w:r w:rsidRPr="00E62B25">
        <w:rPr>
          <w:rFonts w:ascii="Arial" w:hAnsi="Arial" w:cs="Arial"/>
          <w:sz w:val="20"/>
        </w:rPr>
        <w:t>The adjusted PCT income forecasts until 201</w:t>
      </w:r>
      <w:r w:rsidR="00CD2918">
        <w:rPr>
          <w:rFonts w:ascii="Arial" w:hAnsi="Arial" w:cs="Arial"/>
          <w:sz w:val="20"/>
        </w:rPr>
        <w:t>7</w:t>
      </w:r>
      <w:r w:rsidRPr="00E62B25">
        <w:rPr>
          <w:rFonts w:ascii="Arial" w:hAnsi="Arial" w:cs="Arial"/>
          <w:sz w:val="20"/>
        </w:rPr>
        <w:t xml:space="preserve"> taking into account the impact of the payment delay is presented below in Chart </w:t>
      </w:r>
      <w:r w:rsidR="00CD2918">
        <w:rPr>
          <w:rFonts w:ascii="Arial" w:hAnsi="Arial" w:cs="Arial"/>
          <w:sz w:val="20"/>
        </w:rPr>
        <w:t>5</w:t>
      </w:r>
      <w:r w:rsidRPr="00E62B25">
        <w:rPr>
          <w:rFonts w:ascii="Arial" w:hAnsi="Arial" w:cs="Arial"/>
          <w:sz w:val="20"/>
        </w:rPr>
        <w:t xml:space="preserve">. </w:t>
      </w:r>
    </w:p>
    <w:p w14:paraId="76D760C5" w14:textId="77777777" w:rsidR="00D7361F" w:rsidRPr="00E62B25" w:rsidRDefault="00D7361F" w:rsidP="005A1F7F">
      <w:pPr>
        <w:jc w:val="both"/>
        <w:rPr>
          <w:rFonts w:ascii="Arial" w:hAnsi="Arial" w:cs="Arial"/>
          <w:sz w:val="20"/>
        </w:rPr>
      </w:pPr>
    </w:p>
    <w:p w14:paraId="3FA8689E" w14:textId="77777777" w:rsidR="00D7361F" w:rsidRPr="00AD6316" w:rsidRDefault="00D7361F" w:rsidP="005A1F7F">
      <w:pPr>
        <w:keepNext/>
        <w:keepLines/>
        <w:widowControl w:val="0"/>
        <w:jc w:val="center"/>
        <w:rPr>
          <w:rFonts w:ascii="Arial" w:hAnsi="Arial" w:cs="Arial"/>
          <w:sz w:val="20"/>
          <w:szCs w:val="18"/>
        </w:rPr>
      </w:pPr>
      <w:r w:rsidRPr="00AD6316">
        <w:rPr>
          <w:rFonts w:ascii="Arial" w:hAnsi="Arial" w:cs="Arial"/>
          <w:sz w:val="20"/>
          <w:szCs w:val="18"/>
        </w:rPr>
        <w:t>Chart 5. Adjusted PCT Income Forecast until 2017</w:t>
      </w:r>
    </w:p>
    <w:p w14:paraId="3AC24366" w14:textId="77777777" w:rsidR="00D7361F" w:rsidRPr="00AD6316" w:rsidRDefault="00D7361F" w:rsidP="005A1F7F">
      <w:pPr>
        <w:keepNext/>
        <w:keepLines/>
        <w:widowControl w:val="0"/>
        <w:jc w:val="center"/>
        <w:rPr>
          <w:rFonts w:ascii="Arial" w:hAnsi="Arial" w:cs="Arial"/>
        </w:rPr>
      </w:pPr>
    </w:p>
    <w:p w14:paraId="49A07D44" w14:textId="77777777" w:rsidR="00D7361F" w:rsidRPr="00E62B25" w:rsidRDefault="00D7361F" w:rsidP="005A1F7F">
      <w:pPr>
        <w:jc w:val="center"/>
        <w:rPr>
          <w:rFonts w:ascii="Arial" w:hAnsi="Arial" w:cs="Arial"/>
          <w:sz w:val="20"/>
        </w:rPr>
      </w:pPr>
      <w:r w:rsidRPr="00E62B25">
        <w:rPr>
          <w:rFonts w:ascii="Arial" w:hAnsi="Arial" w:cs="Arial"/>
          <w:sz w:val="20"/>
        </w:rPr>
        <w:t xml:space="preserve"> </w:t>
      </w:r>
      <w:r w:rsidRPr="00E62B25">
        <w:rPr>
          <w:rFonts w:ascii="Arial" w:hAnsi="Arial" w:cs="Arial"/>
          <w:noProof/>
          <w:sz w:val="20"/>
          <w:lang w:eastAsia="en-US"/>
        </w:rPr>
        <w:drawing>
          <wp:inline distT="0" distB="0" distL="0" distR="0" wp14:anchorId="63115B16" wp14:editId="2BE04FCF">
            <wp:extent cx="4467225" cy="2531428"/>
            <wp:effectExtent l="0" t="0" r="0" b="254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467225" cy="2531428"/>
                    </a:xfrm>
                    <a:prstGeom prst="rect">
                      <a:avLst/>
                    </a:prstGeom>
                    <a:noFill/>
                  </pic:spPr>
                </pic:pic>
              </a:graphicData>
            </a:graphic>
          </wp:inline>
        </w:drawing>
      </w:r>
    </w:p>
    <w:p w14:paraId="2CF2720C" w14:textId="77777777" w:rsidR="00D7361F" w:rsidRPr="00E62B25" w:rsidRDefault="00D7361F" w:rsidP="005A1F7F">
      <w:pPr>
        <w:jc w:val="center"/>
        <w:rPr>
          <w:rFonts w:ascii="Arial" w:hAnsi="Arial" w:cs="Arial"/>
          <w:sz w:val="20"/>
        </w:rPr>
      </w:pPr>
    </w:p>
    <w:p w14:paraId="6C0DEFC1" w14:textId="77777777" w:rsidR="00D7361F" w:rsidRPr="00E62B25" w:rsidRDefault="00D7361F" w:rsidP="005A1F7F">
      <w:pPr>
        <w:jc w:val="center"/>
        <w:rPr>
          <w:rFonts w:ascii="Arial" w:hAnsi="Arial" w:cs="Arial"/>
        </w:rPr>
      </w:pPr>
      <w:r w:rsidRPr="00E62B25">
        <w:rPr>
          <w:rFonts w:ascii="Arial" w:hAnsi="Arial" w:cs="Arial"/>
        </w:rPr>
        <w:t xml:space="preserve"> </w:t>
      </w:r>
      <w:r w:rsidRPr="00E62B25">
        <w:rPr>
          <w:rFonts w:ascii="Arial" w:hAnsi="Arial" w:cs="Arial"/>
          <w:noProof/>
          <w:lang w:eastAsia="en-US"/>
        </w:rPr>
        <w:drawing>
          <wp:inline distT="0" distB="0" distL="0" distR="0" wp14:anchorId="5762727E" wp14:editId="76CF31BF">
            <wp:extent cx="4705350" cy="1220529"/>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705350" cy="1220529"/>
                    </a:xfrm>
                    <a:prstGeom prst="rect">
                      <a:avLst/>
                    </a:prstGeom>
                    <a:noFill/>
                    <a:ln>
                      <a:noFill/>
                    </a:ln>
                  </pic:spPr>
                </pic:pic>
              </a:graphicData>
            </a:graphic>
          </wp:inline>
        </w:drawing>
      </w:r>
    </w:p>
    <w:p w14:paraId="6DB39E32" w14:textId="77777777" w:rsidR="00D7361F" w:rsidRPr="00E62B25" w:rsidRDefault="00D7361F" w:rsidP="005A1F7F">
      <w:pPr>
        <w:jc w:val="center"/>
        <w:rPr>
          <w:rFonts w:ascii="Arial" w:hAnsi="Arial" w:cs="Arial"/>
          <w:sz w:val="20"/>
        </w:rPr>
      </w:pPr>
    </w:p>
    <w:p w14:paraId="1EC8D156" w14:textId="77777777" w:rsidR="00D7361F" w:rsidRPr="00E62B25" w:rsidRDefault="00D7361F" w:rsidP="005A1F7F">
      <w:pPr>
        <w:jc w:val="center"/>
        <w:rPr>
          <w:rFonts w:ascii="Arial" w:hAnsi="Arial" w:cs="Arial"/>
          <w:sz w:val="20"/>
        </w:rPr>
      </w:pPr>
    </w:p>
    <w:p w14:paraId="19139CBF" w14:textId="77777777" w:rsidR="00D7361F" w:rsidRPr="00E62B25" w:rsidRDefault="00D7361F" w:rsidP="005A1F7F">
      <w:pPr>
        <w:keepNext/>
        <w:keepLines/>
        <w:rPr>
          <w:rFonts w:ascii="Arial" w:hAnsi="Arial" w:cs="Arial"/>
          <w:i/>
          <w:sz w:val="20"/>
        </w:rPr>
      </w:pPr>
      <w:r w:rsidRPr="00E62B25">
        <w:rPr>
          <w:rFonts w:ascii="Arial" w:hAnsi="Arial" w:cs="Arial"/>
          <w:i/>
          <w:sz w:val="20"/>
        </w:rPr>
        <w:lastRenderedPageBreak/>
        <w:t>Adjustment by Currency Exchange Rates</w:t>
      </w:r>
    </w:p>
    <w:p w14:paraId="20711053" w14:textId="77777777" w:rsidR="00D7361F" w:rsidRPr="00E62B25" w:rsidRDefault="00D7361F" w:rsidP="005A1F7F">
      <w:pPr>
        <w:keepNext/>
        <w:keepLines/>
        <w:rPr>
          <w:rFonts w:ascii="Arial" w:hAnsi="Arial" w:cs="Arial"/>
          <w:sz w:val="20"/>
        </w:rPr>
      </w:pPr>
    </w:p>
    <w:p w14:paraId="2C8BF7D3" w14:textId="77777777" w:rsidR="00D7361F" w:rsidRPr="00E62B25" w:rsidRDefault="00D7361F" w:rsidP="00B66A4A">
      <w:pPr>
        <w:keepNext/>
        <w:keepLines/>
        <w:numPr>
          <w:ilvl w:val="0"/>
          <w:numId w:val="38"/>
        </w:numPr>
        <w:tabs>
          <w:tab w:val="left" w:pos="540"/>
        </w:tabs>
        <w:jc w:val="both"/>
        <w:rPr>
          <w:rFonts w:ascii="Arial" w:hAnsi="Arial" w:cs="Arial"/>
          <w:sz w:val="20"/>
        </w:rPr>
      </w:pPr>
      <w:r w:rsidRPr="00E62B25">
        <w:rPr>
          <w:rFonts w:ascii="Arial" w:hAnsi="Arial" w:cs="Arial"/>
          <w:sz w:val="20"/>
        </w:rPr>
        <w:t>PCT fees are paid in various currencies.  For those paid in “freely convertible” currencies, the amount equals to the “equivalent amount” set by the International Bureau; whereas for “not freely convertible” ones, the receiving offices convert them into equivalent amount in Swiss franc, Euro or US dollar (PCT Rule 15).  WIPO sets up the equivalent amounts according to the rules prescribed in the Directives of the PCT Assembly:  (1) the exchange rates on the first Monday of October is taken as the new WIPO exchange rates for setting the equivalent amounts for the following year;  (2) if for more than four consecutive Fridays the exchange rates are changed by 5 per cent, the Director General of WIPO should initiate consultation with offices for setting new equivalent amounts which should be effective after two months from their publication.</w:t>
      </w:r>
    </w:p>
    <w:p w14:paraId="10AF31EC" w14:textId="77777777" w:rsidR="00D7361F" w:rsidRPr="00E62B25" w:rsidRDefault="00D7361F" w:rsidP="005A1F7F">
      <w:pPr>
        <w:rPr>
          <w:rFonts w:ascii="Arial" w:hAnsi="Arial" w:cs="Arial"/>
          <w:sz w:val="20"/>
        </w:rPr>
      </w:pPr>
    </w:p>
    <w:p w14:paraId="2C1ADD2A"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Applicants pay international filing fee according to the equivalent amount on the filing date. However, due to delayed implementation of the equivalent amount, the market exchange rates are likely different from the WIPO rates at the time of payment, resulting in a gain or loss of PCT income.  The following graph shows the difference between WIPO exchange rates for setting the “equivalent amount” and the UN operational rates of exchange for the three currencies, namely the US dollar, Euro and Japanese Yen. </w:t>
      </w:r>
    </w:p>
    <w:p w14:paraId="1DA3511A" w14:textId="40CC578E" w:rsidR="00D7361F" w:rsidRPr="00E62B25" w:rsidRDefault="00D7361F" w:rsidP="005A1F7F">
      <w:pPr>
        <w:rPr>
          <w:rFonts w:ascii="Arial" w:hAnsi="Arial" w:cs="Arial"/>
          <w:sz w:val="20"/>
        </w:rPr>
      </w:pPr>
    </w:p>
    <w:p w14:paraId="1D6B18CE" w14:textId="77777777" w:rsidR="00D7361F" w:rsidRPr="00E62B25" w:rsidRDefault="00D7361F" w:rsidP="005A1F7F">
      <w:pPr>
        <w:jc w:val="center"/>
        <w:rPr>
          <w:rFonts w:ascii="Arial" w:hAnsi="Arial" w:cs="Arial"/>
          <w:sz w:val="20"/>
        </w:rPr>
      </w:pPr>
      <w:r w:rsidRPr="00E62B25">
        <w:rPr>
          <w:rFonts w:ascii="Arial" w:hAnsi="Arial" w:cs="Arial"/>
          <w:noProof/>
          <w:sz w:val="20"/>
          <w:lang w:eastAsia="en-US"/>
        </w:rPr>
        <w:drawing>
          <wp:inline distT="0" distB="0" distL="0" distR="0" wp14:anchorId="05B474C3" wp14:editId="39CCEE36">
            <wp:extent cx="5762625" cy="1616465"/>
            <wp:effectExtent l="0" t="0" r="0" b="317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762625" cy="1616465"/>
                    </a:xfrm>
                    <a:prstGeom prst="rect">
                      <a:avLst/>
                    </a:prstGeom>
                    <a:noFill/>
                  </pic:spPr>
                </pic:pic>
              </a:graphicData>
            </a:graphic>
          </wp:inline>
        </w:drawing>
      </w:r>
    </w:p>
    <w:p w14:paraId="30A35FD1" w14:textId="77777777" w:rsidR="00D7361F" w:rsidRPr="00E62B25" w:rsidRDefault="00D7361F" w:rsidP="005A1F7F">
      <w:pPr>
        <w:rPr>
          <w:rFonts w:ascii="Arial" w:hAnsi="Arial" w:cs="Arial"/>
          <w:sz w:val="20"/>
        </w:rPr>
      </w:pPr>
    </w:p>
    <w:p w14:paraId="069FAB9F" w14:textId="77777777" w:rsidR="00D7361F" w:rsidRPr="00E62B25" w:rsidRDefault="00D7361F" w:rsidP="00B66A4A">
      <w:pPr>
        <w:keepNext/>
        <w:keepLines/>
        <w:numPr>
          <w:ilvl w:val="0"/>
          <w:numId w:val="38"/>
        </w:numPr>
        <w:tabs>
          <w:tab w:val="left" w:pos="540"/>
        </w:tabs>
        <w:jc w:val="both"/>
        <w:rPr>
          <w:rFonts w:ascii="Arial" w:hAnsi="Arial" w:cs="Arial"/>
          <w:sz w:val="20"/>
        </w:rPr>
      </w:pPr>
      <w:r w:rsidRPr="00E62B25">
        <w:rPr>
          <w:rFonts w:ascii="Arial" w:hAnsi="Arial" w:cs="Arial"/>
          <w:sz w:val="20"/>
        </w:rPr>
        <w:t>The difference between the equivalent amount on the filing date and the amount converted to Swiss franc on the date of payment under UN exchange rates constitutes gain or loss of the PCT revenue.  The following graph shows the monthly gain/loss of the PCT income.</w:t>
      </w:r>
    </w:p>
    <w:p w14:paraId="3687AC4F" w14:textId="77777777" w:rsidR="00D7361F" w:rsidRPr="00E62B25" w:rsidRDefault="00D7361F" w:rsidP="005A1F7F">
      <w:pPr>
        <w:rPr>
          <w:rFonts w:ascii="Arial" w:hAnsi="Arial" w:cs="Arial"/>
          <w:sz w:val="20"/>
        </w:rPr>
      </w:pPr>
    </w:p>
    <w:p w14:paraId="0DEA195C" w14:textId="77777777" w:rsidR="00D7361F" w:rsidRPr="00E62B25" w:rsidRDefault="00D7361F" w:rsidP="005A1F7F">
      <w:pPr>
        <w:jc w:val="center"/>
        <w:rPr>
          <w:rFonts w:ascii="Arial" w:hAnsi="Arial" w:cs="Arial"/>
          <w:sz w:val="20"/>
        </w:rPr>
      </w:pPr>
      <w:r w:rsidRPr="00E62B25">
        <w:rPr>
          <w:rFonts w:ascii="Arial" w:hAnsi="Arial" w:cs="Arial"/>
          <w:noProof/>
          <w:sz w:val="20"/>
          <w:lang w:eastAsia="en-US"/>
        </w:rPr>
        <w:drawing>
          <wp:inline distT="0" distB="0" distL="0" distR="0" wp14:anchorId="704D6083" wp14:editId="53539EC6">
            <wp:extent cx="5591175" cy="1903077"/>
            <wp:effectExtent l="0" t="0" r="0" b="254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599555" cy="1905929"/>
                    </a:xfrm>
                    <a:prstGeom prst="rect">
                      <a:avLst/>
                    </a:prstGeom>
                    <a:noFill/>
                  </pic:spPr>
                </pic:pic>
              </a:graphicData>
            </a:graphic>
          </wp:inline>
        </w:drawing>
      </w:r>
    </w:p>
    <w:p w14:paraId="68DB9CE9" w14:textId="65CB3C11" w:rsidR="00D7361F" w:rsidRPr="00E62B25" w:rsidRDefault="00D7361F" w:rsidP="005A1F7F">
      <w:pPr>
        <w:rPr>
          <w:rFonts w:ascii="Arial" w:hAnsi="Arial" w:cs="Arial"/>
          <w:sz w:val="20"/>
        </w:rPr>
      </w:pPr>
    </w:p>
    <w:p w14:paraId="4C1F8337"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To the great surprise of market participants, the Swiss National Bank (SNB) announced on January 15, 2015 that it would abandon its exchange rate floor to the euro, triggering a sharp appreciation of the Swiss franc. It is expected that the PCT income will likely loose further 3.1 million Swiss francs as a result.</w:t>
      </w:r>
    </w:p>
    <w:p w14:paraId="6FF9B662" w14:textId="77777777" w:rsidR="00D7361F" w:rsidRPr="00E62B25" w:rsidRDefault="00D7361F" w:rsidP="005A1F7F">
      <w:pPr>
        <w:rPr>
          <w:rFonts w:ascii="Arial" w:hAnsi="Arial" w:cs="Arial"/>
          <w:sz w:val="20"/>
        </w:rPr>
      </w:pPr>
    </w:p>
    <w:p w14:paraId="59D6D2E6" w14:textId="007556E7" w:rsidR="00D7361F" w:rsidRPr="00E62B25" w:rsidRDefault="00D7361F" w:rsidP="00B66A4A">
      <w:pPr>
        <w:keepNext/>
        <w:keepLines/>
        <w:numPr>
          <w:ilvl w:val="0"/>
          <w:numId w:val="38"/>
        </w:numPr>
        <w:tabs>
          <w:tab w:val="left" w:pos="540"/>
        </w:tabs>
        <w:jc w:val="both"/>
        <w:rPr>
          <w:rFonts w:ascii="Arial" w:hAnsi="Arial" w:cs="Arial"/>
          <w:sz w:val="20"/>
        </w:rPr>
      </w:pPr>
      <w:r w:rsidRPr="00E62B25">
        <w:rPr>
          <w:rFonts w:ascii="Arial" w:hAnsi="Arial" w:cs="Arial"/>
          <w:sz w:val="20"/>
        </w:rPr>
        <w:lastRenderedPageBreak/>
        <w:t>The current PCT schedule o</w:t>
      </w:r>
      <w:r w:rsidR="00AD6316">
        <w:rPr>
          <w:rFonts w:ascii="Arial" w:hAnsi="Arial" w:cs="Arial"/>
          <w:sz w:val="20"/>
        </w:rPr>
        <w:t xml:space="preserve">f fees is reproduced in </w:t>
      </w:r>
      <w:r w:rsidR="00CD4ED7">
        <w:rPr>
          <w:rFonts w:ascii="Arial" w:hAnsi="Arial" w:cs="Arial"/>
          <w:sz w:val="20"/>
        </w:rPr>
        <w:t xml:space="preserve">the tables </w:t>
      </w:r>
      <w:r w:rsidRPr="00E62B25">
        <w:rPr>
          <w:rFonts w:ascii="Arial" w:hAnsi="Arial" w:cs="Arial"/>
          <w:sz w:val="20"/>
        </w:rPr>
        <w:t>below.</w:t>
      </w:r>
    </w:p>
    <w:p w14:paraId="2165A0CA" w14:textId="77777777" w:rsidR="00D7361F" w:rsidRPr="00E62B25" w:rsidRDefault="00D7361F" w:rsidP="005A1F7F">
      <w:pPr>
        <w:keepNext/>
        <w:keepLines/>
        <w:rPr>
          <w:rFonts w:ascii="Arial" w:hAnsi="Arial" w:cs="Arial"/>
          <w:sz w:val="20"/>
        </w:rPr>
      </w:pPr>
    </w:p>
    <w:tbl>
      <w:tblPr>
        <w:tblW w:w="0" w:type="auto"/>
        <w:tblLook w:val="01E0" w:firstRow="1" w:lastRow="1" w:firstColumn="1" w:lastColumn="1" w:noHBand="0" w:noVBand="0"/>
      </w:tblPr>
      <w:tblGrid>
        <w:gridCol w:w="4643"/>
        <w:gridCol w:w="4644"/>
      </w:tblGrid>
      <w:tr w:rsidR="00D7361F" w:rsidRPr="00E62B25" w14:paraId="454C5863" w14:textId="77777777" w:rsidTr="005A1F7F">
        <w:tc>
          <w:tcPr>
            <w:tcW w:w="4643" w:type="dxa"/>
            <w:shd w:val="clear" w:color="auto" w:fill="auto"/>
          </w:tcPr>
          <w:p w14:paraId="52D63A0D" w14:textId="195FBE90"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PCT Fee Schedule</w:t>
            </w:r>
          </w:p>
          <w:p w14:paraId="7F7DE84C" w14:textId="7777777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(as of January 1, 2004)</w:t>
            </w:r>
          </w:p>
          <w:p w14:paraId="1C45BB2D" w14:textId="77777777" w:rsidR="00D7361F" w:rsidRPr="00AD6316" w:rsidRDefault="00D7361F" w:rsidP="005A1F7F">
            <w:pPr>
              <w:keepNext/>
              <w:keepLines/>
              <w:jc w:val="center"/>
              <w:rPr>
                <w:rFonts w:ascii="Arial" w:hAnsi="Arial" w:cs="Arial"/>
                <w:i/>
                <w:iCs/>
                <w:sz w:val="20"/>
                <w:szCs w:val="18"/>
              </w:rPr>
            </w:pPr>
            <w:r w:rsidRPr="00AD6316">
              <w:rPr>
                <w:rFonts w:ascii="Arial" w:hAnsi="Arial" w:cs="Arial"/>
                <w:i/>
                <w:iCs/>
                <w:sz w:val="20"/>
                <w:szCs w:val="18"/>
              </w:rPr>
              <w:t>(in Swiss francs)</w:t>
            </w:r>
          </w:p>
          <w:p w14:paraId="3A2A61B9" w14:textId="77777777" w:rsidR="00D7361F" w:rsidRPr="00E62B25" w:rsidRDefault="00D7361F" w:rsidP="005A1F7F">
            <w:pPr>
              <w:keepNext/>
              <w:keepLines/>
              <w:widowControl w:val="0"/>
              <w:jc w:val="center"/>
              <w:rPr>
                <w:rFonts w:ascii="Arial" w:hAnsi="Arial" w:cs="Arial"/>
                <w:sz w:val="20"/>
              </w:rPr>
            </w:pPr>
          </w:p>
        </w:tc>
        <w:tc>
          <w:tcPr>
            <w:tcW w:w="4644" w:type="dxa"/>
            <w:shd w:val="clear" w:color="auto" w:fill="auto"/>
          </w:tcPr>
          <w:p w14:paraId="06F3CEC7" w14:textId="04E20D82"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Revised PCT Fee Schedule</w:t>
            </w:r>
          </w:p>
          <w:p w14:paraId="5250503B" w14:textId="7777777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(as of July 1, 2008)</w:t>
            </w:r>
          </w:p>
          <w:p w14:paraId="6E22BA27" w14:textId="77777777" w:rsidR="00D7361F" w:rsidRPr="00E62B25" w:rsidRDefault="00D7361F" w:rsidP="005A1F7F">
            <w:pPr>
              <w:keepNext/>
              <w:keepLines/>
              <w:widowControl w:val="0"/>
              <w:jc w:val="center"/>
              <w:rPr>
                <w:rFonts w:ascii="Arial" w:hAnsi="Arial" w:cs="Arial"/>
                <w:sz w:val="20"/>
              </w:rPr>
            </w:pPr>
            <w:r w:rsidRPr="00AD6316">
              <w:rPr>
                <w:rFonts w:ascii="Arial" w:hAnsi="Arial" w:cs="Arial"/>
                <w:i/>
                <w:iCs/>
                <w:sz w:val="20"/>
                <w:szCs w:val="18"/>
              </w:rPr>
              <w:t>(in Swiss francs)</w:t>
            </w:r>
          </w:p>
        </w:tc>
      </w:tr>
      <w:tr w:rsidR="00D7361F" w:rsidRPr="00E62B25" w14:paraId="5ACDC0AE" w14:textId="77777777" w:rsidTr="005A1F7F">
        <w:tc>
          <w:tcPr>
            <w:tcW w:w="4643" w:type="dxa"/>
            <w:shd w:val="clear" w:color="auto" w:fill="auto"/>
          </w:tcPr>
          <w:p w14:paraId="1CE7AF4D" w14:textId="77777777" w:rsidR="00D7361F" w:rsidRPr="00E62B25" w:rsidRDefault="00D7361F" w:rsidP="005A1F7F">
            <w:pPr>
              <w:keepNext/>
              <w:keepLines/>
              <w:widowControl w:val="0"/>
              <w:jc w:val="center"/>
              <w:rPr>
                <w:rFonts w:ascii="Arial" w:hAnsi="Arial" w:cs="Arial"/>
                <w:sz w:val="20"/>
              </w:rPr>
            </w:pPr>
            <w:r w:rsidRPr="00E62B25">
              <w:rPr>
                <w:rFonts w:ascii="Arial" w:hAnsi="Arial" w:cs="Arial"/>
                <w:noProof/>
                <w:sz w:val="20"/>
                <w:lang w:eastAsia="en-US"/>
              </w:rPr>
              <w:drawing>
                <wp:inline distT="0" distB="0" distL="0" distR="0" wp14:anchorId="392D6A45" wp14:editId="1E52BD79">
                  <wp:extent cx="2600325" cy="78105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2600325" cy="781050"/>
                          </a:xfrm>
                          <a:prstGeom prst="rect">
                            <a:avLst/>
                          </a:prstGeom>
                          <a:noFill/>
                          <a:ln>
                            <a:noFill/>
                          </a:ln>
                        </pic:spPr>
                      </pic:pic>
                    </a:graphicData>
                  </a:graphic>
                </wp:inline>
              </w:drawing>
            </w:r>
          </w:p>
        </w:tc>
        <w:tc>
          <w:tcPr>
            <w:tcW w:w="4644" w:type="dxa"/>
            <w:shd w:val="clear" w:color="auto" w:fill="auto"/>
          </w:tcPr>
          <w:p w14:paraId="7F3CCE92" w14:textId="77777777" w:rsidR="00D7361F" w:rsidRPr="00E62B25" w:rsidRDefault="00D7361F" w:rsidP="005A1F7F">
            <w:pPr>
              <w:keepNext/>
              <w:keepLines/>
              <w:widowControl w:val="0"/>
              <w:jc w:val="center"/>
              <w:rPr>
                <w:rFonts w:ascii="Arial" w:hAnsi="Arial" w:cs="Arial"/>
                <w:sz w:val="20"/>
              </w:rPr>
            </w:pPr>
            <w:r w:rsidRPr="00E62B25">
              <w:rPr>
                <w:rFonts w:ascii="Arial" w:hAnsi="Arial" w:cs="Arial"/>
                <w:noProof/>
                <w:sz w:val="20"/>
                <w:lang w:eastAsia="en-US"/>
              </w:rPr>
              <w:drawing>
                <wp:inline distT="0" distB="0" distL="0" distR="0" wp14:anchorId="673B8DB7" wp14:editId="72B89F9C">
                  <wp:extent cx="2600325" cy="781050"/>
                  <wp:effectExtent l="0" t="0" r="952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2600325" cy="781050"/>
                          </a:xfrm>
                          <a:prstGeom prst="rect">
                            <a:avLst/>
                          </a:prstGeom>
                          <a:noFill/>
                          <a:ln>
                            <a:noFill/>
                          </a:ln>
                        </pic:spPr>
                      </pic:pic>
                    </a:graphicData>
                  </a:graphic>
                </wp:inline>
              </w:drawing>
            </w:r>
          </w:p>
        </w:tc>
      </w:tr>
    </w:tbl>
    <w:p w14:paraId="2265C6FA" w14:textId="77777777" w:rsidR="00D7361F" w:rsidRPr="00E62B25" w:rsidRDefault="00D7361F" w:rsidP="005A1F7F">
      <w:pPr>
        <w:keepNext/>
        <w:keepLines/>
        <w:rPr>
          <w:rFonts w:ascii="Arial" w:hAnsi="Arial" w:cs="Arial"/>
          <w:sz w:val="20"/>
        </w:rPr>
      </w:pPr>
    </w:p>
    <w:p w14:paraId="358F30A6" w14:textId="77777777" w:rsidR="00D7361F" w:rsidRPr="00E62B25" w:rsidRDefault="00D7361F" w:rsidP="005A1F7F">
      <w:pPr>
        <w:rPr>
          <w:rFonts w:ascii="Arial" w:hAnsi="Arial" w:cs="Arial"/>
          <w:sz w:val="20"/>
        </w:rPr>
      </w:pPr>
    </w:p>
    <w:p w14:paraId="514A2340" w14:textId="77777777" w:rsidR="00D7361F" w:rsidRPr="00E62B25" w:rsidRDefault="00D7361F" w:rsidP="005A1F7F">
      <w:pPr>
        <w:widowControl w:val="0"/>
        <w:jc w:val="both"/>
        <w:rPr>
          <w:rFonts w:ascii="Arial" w:hAnsi="Arial" w:cs="Arial"/>
          <w:b/>
          <w:sz w:val="20"/>
        </w:rPr>
      </w:pPr>
      <w:smartTag w:uri="urn:schemas-microsoft-com:office:smarttags" w:element="place">
        <w:smartTag w:uri="urn:schemas-microsoft-com:office:smarttags" w:element="State">
          <w:r w:rsidRPr="00E62B25">
            <w:rPr>
              <w:rFonts w:ascii="Arial" w:hAnsi="Arial" w:cs="Arial"/>
              <w:b/>
              <w:sz w:val="20"/>
            </w:rPr>
            <w:t>Madrid</w:t>
          </w:r>
        </w:smartTag>
      </w:smartTag>
    </w:p>
    <w:p w14:paraId="24372B03" w14:textId="77777777" w:rsidR="00D7361F" w:rsidRPr="00E62B25" w:rsidRDefault="00D7361F" w:rsidP="005A1F7F">
      <w:pPr>
        <w:keepNext/>
        <w:widowControl w:val="0"/>
        <w:rPr>
          <w:rFonts w:ascii="Arial" w:hAnsi="Arial" w:cs="Arial"/>
          <w:b/>
          <w:sz w:val="20"/>
        </w:rPr>
      </w:pPr>
    </w:p>
    <w:p w14:paraId="7379E6FB" w14:textId="77777777" w:rsidR="00D7361F" w:rsidRPr="00E62B25" w:rsidRDefault="00D7361F" w:rsidP="005A1F7F">
      <w:pPr>
        <w:keepNext/>
        <w:widowControl w:val="0"/>
        <w:rPr>
          <w:rFonts w:ascii="Arial" w:hAnsi="Arial" w:cs="Arial"/>
          <w:sz w:val="20"/>
        </w:rPr>
      </w:pPr>
      <w:smartTag w:uri="urn:schemas-microsoft-com:office:smarttags" w:element="place">
        <w:smartTag w:uri="urn:schemas-microsoft-com:office:smarttags" w:element="State">
          <w:r w:rsidRPr="00E62B25">
            <w:rPr>
              <w:rFonts w:ascii="Arial" w:hAnsi="Arial" w:cs="Arial"/>
              <w:i/>
              <w:sz w:val="20"/>
            </w:rPr>
            <w:t>Madrid</w:t>
          </w:r>
        </w:smartTag>
      </w:smartTag>
      <w:r w:rsidRPr="00E62B25">
        <w:rPr>
          <w:rFonts w:ascii="Arial" w:hAnsi="Arial" w:cs="Arial"/>
          <w:i/>
          <w:sz w:val="20"/>
        </w:rPr>
        <w:t xml:space="preserve"> - Forecast of Demand for International Registration</w:t>
      </w:r>
      <w:r w:rsidRPr="00E62B25">
        <w:rPr>
          <w:rFonts w:ascii="Arial" w:hAnsi="Arial" w:cs="Arial"/>
          <w:i/>
          <w:sz w:val="20"/>
        </w:rPr>
        <w:br/>
      </w:r>
    </w:p>
    <w:p w14:paraId="269F23AC"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Chart 6 shows the forecast for the years 2015 to 2017.  The forecast of </w:t>
      </w:r>
      <w:smartTag w:uri="urn:schemas-microsoft-com:office:smarttags" w:element="place">
        <w:smartTag w:uri="urn:schemas-microsoft-com:office:smarttags" w:element="State">
          <w:r w:rsidRPr="00E62B25">
            <w:rPr>
              <w:rFonts w:ascii="Arial" w:hAnsi="Arial" w:cs="Arial"/>
              <w:sz w:val="20"/>
            </w:rPr>
            <w:t>Madrid</w:t>
          </w:r>
        </w:smartTag>
      </w:smartTag>
      <w:r w:rsidRPr="00E62B25">
        <w:rPr>
          <w:rFonts w:ascii="Arial" w:hAnsi="Arial" w:cs="Arial"/>
          <w:sz w:val="20"/>
        </w:rPr>
        <w:t xml:space="preserve"> registrations is based on multiple models, including autoregressive models, econometric models and transfer models.  The autoregressive models are performed on both registrations and applications.  The results of applications are then transformed into registration forecast using the average processing delay.  The econometric models are based on actual GDP data and GDP forecasts released by the International Monetary Fund (IMF).  The results by different models are further combined to control for the uncertainty arising from the correct model specification. </w:t>
      </w:r>
    </w:p>
    <w:p w14:paraId="422833F5" w14:textId="77777777" w:rsidR="00D7361F" w:rsidRPr="00E62B25" w:rsidRDefault="00D7361F" w:rsidP="005A1F7F">
      <w:pPr>
        <w:widowControl w:val="0"/>
        <w:rPr>
          <w:rFonts w:ascii="Arial" w:hAnsi="Arial" w:cs="Arial"/>
          <w:sz w:val="20"/>
        </w:rPr>
      </w:pPr>
    </w:p>
    <w:p w14:paraId="1B5E19DE" w14:textId="77777777" w:rsidR="00D7361F" w:rsidRPr="00AD6316" w:rsidRDefault="00D7361F" w:rsidP="005A7FDC">
      <w:pPr>
        <w:keepNext/>
        <w:keepLines/>
        <w:jc w:val="center"/>
        <w:rPr>
          <w:rFonts w:ascii="Arial" w:hAnsi="Arial" w:cs="Arial"/>
          <w:sz w:val="20"/>
          <w:szCs w:val="18"/>
        </w:rPr>
      </w:pPr>
      <w:r w:rsidRPr="00AD6316">
        <w:rPr>
          <w:rFonts w:ascii="Arial" w:hAnsi="Arial" w:cs="Arial"/>
          <w:sz w:val="20"/>
          <w:szCs w:val="18"/>
        </w:rPr>
        <w:t xml:space="preserve">Chart 6.  </w:t>
      </w:r>
      <w:smartTag w:uri="urn:schemas-microsoft-com:office:smarttags" w:element="place">
        <w:smartTag w:uri="urn:schemas-microsoft-com:office:smarttags" w:element="State">
          <w:r w:rsidRPr="00AD6316">
            <w:rPr>
              <w:rFonts w:ascii="Arial" w:hAnsi="Arial" w:cs="Arial"/>
              <w:sz w:val="20"/>
              <w:szCs w:val="18"/>
            </w:rPr>
            <w:t>Madrid</w:t>
          </w:r>
        </w:smartTag>
      </w:smartTag>
      <w:r w:rsidRPr="00AD6316">
        <w:rPr>
          <w:rFonts w:ascii="Arial" w:hAnsi="Arial" w:cs="Arial"/>
          <w:sz w:val="20"/>
          <w:szCs w:val="18"/>
        </w:rPr>
        <w:t xml:space="preserve"> Demand for International Registration</w:t>
      </w:r>
    </w:p>
    <w:p w14:paraId="041327A7" w14:textId="77777777" w:rsidR="00D7361F" w:rsidRPr="00E62B25" w:rsidRDefault="00D7361F" w:rsidP="005A7FDC">
      <w:pPr>
        <w:keepNext/>
        <w:keepLines/>
        <w:rPr>
          <w:rFonts w:ascii="Arial" w:hAnsi="Arial" w:cs="Arial"/>
          <w:sz w:val="20"/>
        </w:rPr>
      </w:pPr>
    </w:p>
    <w:p w14:paraId="6DE4E883" w14:textId="77777777" w:rsidR="00D7361F" w:rsidRPr="00E62B25" w:rsidRDefault="00D7361F" w:rsidP="005A7FDC">
      <w:pPr>
        <w:keepNext/>
        <w:keepLines/>
        <w:jc w:val="center"/>
        <w:rPr>
          <w:rFonts w:ascii="Arial" w:hAnsi="Arial" w:cs="Arial"/>
          <w:sz w:val="20"/>
        </w:rPr>
      </w:pPr>
      <w:r w:rsidRPr="00E62B25">
        <w:rPr>
          <w:rFonts w:ascii="Arial" w:hAnsi="Arial" w:cs="Arial"/>
          <w:noProof/>
          <w:sz w:val="20"/>
          <w:lang w:eastAsia="en-US"/>
        </w:rPr>
        <w:drawing>
          <wp:inline distT="0" distB="0" distL="0" distR="0" wp14:anchorId="2FD026B9" wp14:editId="5F6A5535">
            <wp:extent cx="4610100" cy="2615161"/>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608502" cy="2614255"/>
                    </a:xfrm>
                    <a:prstGeom prst="rect">
                      <a:avLst/>
                    </a:prstGeom>
                    <a:noFill/>
                  </pic:spPr>
                </pic:pic>
              </a:graphicData>
            </a:graphic>
          </wp:inline>
        </w:drawing>
      </w:r>
    </w:p>
    <w:p w14:paraId="01B8E84C" w14:textId="77777777" w:rsidR="00D7361F" w:rsidRPr="00E62B25" w:rsidRDefault="00D7361F" w:rsidP="005A1F7F">
      <w:pPr>
        <w:jc w:val="center"/>
        <w:rPr>
          <w:rFonts w:ascii="Arial" w:hAnsi="Arial" w:cs="Arial"/>
          <w:sz w:val="20"/>
        </w:rPr>
      </w:pPr>
      <w:r w:rsidRPr="00E62B25">
        <w:rPr>
          <w:rFonts w:ascii="Arial" w:hAnsi="Arial" w:cs="Arial"/>
          <w:noProof/>
          <w:lang w:eastAsia="en-US"/>
        </w:rPr>
        <w:drawing>
          <wp:inline distT="0" distB="0" distL="0" distR="0" wp14:anchorId="0D53AF78" wp14:editId="5E7F4092">
            <wp:extent cx="4543425" cy="721603"/>
            <wp:effectExtent l="0" t="0" r="0" b="254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543425" cy="721603"/>
                    </a:xfrm>
                    <a:prstGeom prst="rect">
                      <a:avLst/>
                    </a:prstGeom>
                    <a:noFill/>
                    <a:ln>
                      <a:noFill/>
                    </a:ln>
                  </pic:spPr>
                </pic:pic>
              </a:graphicData>
            </a:graphic>
          </wp:inline>
        </w:drawing>
      </w:r>
    </w:p>
    <w:p w14:paraId="2DB46515" w14:textId="77777777" w:rsidR="00D7361F" w:rsidRPr="00E62B25" w:rsidRDefault="00D7361F" w:rsidP="005A1F7F">
      <w:pPr>
        <w:rPr>
          <w:rFonts w:ascii="Arial" w:hAnsi="Arial" w:cs="Arial"/>
          <w:sz w:val="20"/>
        </w:rPr>
      </w:pPr>
    </w:p>
    <w:p w14:paraId="7C969651" w14:textId="77777777" w:rsidR="00D7361F" w:rsidRPr="00E62B25" w:rsidRDefault="00D7361F" w:rsidP="005A1F7F">
      <w:pPr>
        <w:rPr>
          <w:rFonts w:ascii="Arial" w:hAnsi="Arial" w:cs="Arial"/>
          <w:sz w:val="20"/>
        </w:rPr>
      </w:pPr>
    </w:p>
    <w:p w14:paraId="3811A167"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The above numbers were added to the results from the autoregressive models.  The registrations will likely be within a range with certain probabilities.  The following graph and table indicate the probabilistic distribution of applications.</w:t>
      </w:r>
    </w:p>
    <w:p w14:paraId="1769CF8D" w14:textId="77777777" w:rsidR="00D7361F" w:rsidRDefault="00D7361F" w:rsidP="005A1F7F">
      <w:pPr>
        <w:rPr>
          <w:rFonts w:ascii="Arial" w:hAnsi="Arial" w:cs="Arial"/>
          <w:sz w:val="20"/>
        </w:rPr>
      </w:pPr>
    </w:p>
    <w:p w14:paraId="585FF1F0" w14:textId="77777777" w:rsidR="005D3486" w:rsidRPr="00E62B25" w:rsidRDefault="005D3486" w:rsidP="005A1F7F">
      <w:pPr>
        <w:rPr>
          <w:rFonts w:ascii="Arial" w:hAnsi="Arial" w:cs="Arial"/>
          <w:sz w:val="20"/>
        </w:rPr>
      </w:pPr>
    </w:p>
    <w:p w14:paraId="514C139C" w14:textId="7777777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lastRenderedPageBreak/>
        <w:t>Application Probabilistic Distribution</w:t>
      </w:r>
    </w:p>
    <w:p w14:paraId="6E993B22" w14:textId="77777777" w:rsidR="00D7361F" w:rsidRPr="00E62B25"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52DD00CC" wp14:editId="03747133">
            <wp:extent cx="4076700" cy="2305444"/>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076700" cy="2305444"/>
                    </a:xfrm>
                    <a:prstGeom prst="rect">
                      <a:avLst/>
                    </a:prstGeom>
                    <a:noFill/>
                  </pic:spPr>
                </pic:pic>
              </a:graphicData>
            </a:graphic>
          </wp:inline>
        </w:drawing>
      </w:r>
    </w:p>
    <w:p w14:paraId="077E8409" w14:textId="77777777" w:rsidR="00D7361F" w:rsidRPr="00E62B25" w:rsidRDefault="00D7361F" w:rsidP="005D3486">
      <w:pPr>
        <w:rPr>
          <w:rFonts w:ascii="Arial" w:hAnsi="Arial" w:cs="Arial"/>
          <w:sz w:val="20"/>
        </w:rPr>
      </w:pPr>
    </w:p>
    <w:p w14:paraId="1B9C0A57" w14:textId="77777777" w:rsidR="00D7361F" w:rsidRPr="00AD6316" w:rsidRDefault="00D7361F" w:rsidP="005D3486">
      <w:pPr>
        <w:keepNext/>
        <w:keepLines/>
        <w:jc w:val="center"/>
        <w:rPr>
          <w:rFonts w:ascii="Arial" w:hAnsi="Arial" w:cs="Arial"/>
          <w:sz w:val="20"/>
          <w:szCs w:val="18"/>
        </w:rPr>
      </w:pPr>
      <w:r w:rsidRPr="00AD6316">
        <w:rPr>
          <w:rFonts w:ascii="Arial" w:hAnsi="Arial" w:cs="Arial"/>
          <w:sz w:val="20"/>
          <w:szCs w:val="18"/>
        </w:rPr>
        <w:t>Madrid application Scenarios</w:t>
      </w:r>
    </w:p>
    <w:p w14:paraId="4C456081" w14:textId="77777777" w:rsidR="00D7361F" w:rsidRPr="00AD6316" w:rsidRDefault="00D7361F" w:rsidP="005D3486">
      <w:pPr>
        <w:keepNext/>
        <w:keepLines/>
        <w:rPr>
          <w:rFonts w:ascii="Arial" w:hAnsi="Arial" w:cs="Arial"/>
        </w:rPr>
      </w:pPr>
    </w:p>
    <w:p w14:paraId="1C9417D9" w14:textId="77777777" w:rsidR="00D7361F" w:rsidRPr="00E62B25" w:rsidRDefault="00D7361F" w:rsidP="005D3486">
      <w:pPr>
        <w:keepNext/>
        <w:keepLines/>
        <w:jc w:val="center"/>
        <w:rPr>
          <w:rFonts w:ascii="Arial" w:hAnsi="Arial" w:cs="Arial"/>
        </w:rPr>
      </w:pPr>
      <w:r w:rsidRPr="00E62B25">
        <w:rPr>
          <w:rFonts w:ascii="Arial" w:hAnsi="Arial" w:cs="Arial"/>
          <w:noProof/>
          <w:lang w:eastAsia="en-US"/>
        </w:rPr>
        <w:drawing>
          <wp:inline distT="0" distB="0" distL="0" distR="0" wp14:anchorId="252751E6" wp14:editId="707DAA03">
            <wp:extent cx="3114675" cy="311467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3114675" cy="3114675"/>
                    </a:xfrm>
                    <a:prstGeom prst="rect">
                      <a:avLst/>
                    </a:prstGeom>
                    <a:noFill/>
                    <a:ln>
                      <a:noFill/>
                    </a:ln>
                  </pic:spPr>
                </pic:pic>
              </a:graphicData>
            </a:graphic>
          </wp:inline>
        </w:drawing>
      </w:r>
    </w:p>
    <w:p w14:paraId="78639148" w14:textId="77777777" w:rsidR="00D7361F" w:rsidRPr="00E62B25" w:rsidRDefault="00D7361F" w:rsidP="005D3486">
      <w:pPr>
        <w:keepNext/>
        <w:keepLines/>
        <w:rPr>
          <w:rFonts w:ascii="Arial" w:hAnsi="Arial" w:cs="Arial"/>
        </w:rPr>
      </w:pPr>
    </w:p>
    <w:p w14:paraId="1EC972DD" w14:textId="77777777" w:rsidR="00D7361F" w:rsidRPr="00E62B25" w:rsidRDefault="00D7361F" w:rsidP="005D3486">
      <w:pPr>
        <w:keepNext/>
        <w:keepLines/>
        <w:rPr>
          <w:rFonts w:ascii="Arial" w:hAnsi="Arial" w:cs="Arial"/>
        </w:rPr>
      </w:pPr>
    </w:p>
    <w:p w14:paraId="31485DEE" w14:textId="77777777" w:rsidR="00D7361F" w:rsidRPr="00E62B25" w:rsidRDefault="00D7361F" w:rsidP="005A1F7F">
      <w:pPr>
        <w:widowControl w:val="0"/>
        <w:rPr>
          <w:rFonts w:ascii="Arial" w:hAnsi="Arial" w:cs="Arial"/>
          <w:i/>
          <w:sz w:val="20"/>
        </w:rPr>
      </w:pPr>
      <w:smartTag w:uri="urn:schemas-microsoft-com:office:smarttags" w:element="place">
        <w:smartTag w:uri="urn:schemas-microsoft-com:office:smarttags" w:element="State">
          <w:r w:rsidRPr="00E62B25">
            <w:rPr>
              <w:rFonts w:ascii="Arial" w:hAnsi="Arial" w:cs="Arial"/>
              <w:i/>
              <w:sz w:val="20"/>
            </w:rPr>
            <w:t>Madrid</w:t>
          </w:r>
        </w:smartTag>
      </w:smartTag>
      <w:r w:rsidRPr="00E62B25">
        <w:rPr>
          <w:rFonts w:ascii="Arial" w:hAnsi="Arial" w:cs="Arial"/>
          <w:i/>
          <w:sz w:val="20"/>
        </w:rPr>
        <w:t xml:space="preserve"> - Forecast of Demand for Renewals</w:t>
      </w:r>
    </w:p>
    <w:p w14:paraId="40483E8A" w14:textId="77777777" w:rsidR="00D7361F" w:rsidRPr="00E62B25" w:rsidRDefault="00D7361F" w:rsidP="005A1F7F">
      <w:pPr>
        <w:widowControl w:val="0"/>
        <w:rPr>
          <w:rFonts w:ascii="Arial" w:hAnsi="Arial" w:cs="Arial"/>
          <w:sz w:val="20"/>
        </w:rPr>
      </w:pPr>
    </w:p>
    <w:p w14:paraId="2E940E20"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Chart 7 shows the forecast for the years 2015 to 2017.  Renewals are similarly forecasted based on regression models and the transfer model.  In addition to the autoregressive models on the renewal time series, we also used a regression model on both renewals and registrations.  This regression model assumes that first-time renewals depend on registrations with a ten-year lag, whereas subsequent renewals depend on past renewals with a ten-year lag.  The transfer model looks at the potential stock of registrations coming up for renewal, and applies a percentage that is calculated from past years.  Results from different models are then combined.</w:t>
      </w:r>
    </w:p>
    <w:p w14:paraId="00EE9AE0" w14:textId="77777777" w:rsidR="00D7361F" w:rsidRPr="00E62B25" w:rsidRDefault="00D7361F" w:rsidP="005A1F7F">
      <w:pPr>
        <w:rPr>
          <w:rFonts w:ascii="Arial" w:hAnsi="Arial" w:cs="Arial"/>
        </w:rPr>
      </w:pPr>
    </w:p>
    <w:p w14:paraId="5CB82E28" w14:textId="7E6400B6" w:rsidR="00D7361F" w:rsidRDefault="00D7361F" w:rsidP="005A1F7F">
      <w:pPr>
        <w:keepNext/>
        <w:keepLines/>
        <w:jc w:val="center"/>
        <w:rPr>
          <w:rFonts w:ascii="Arial" w:hAnsi="Arial" w:cs="Arial"/>
          <w:sz w:val="20"/>
          <w:szCs w:val="18"/>
        </w:rPr>
      </w:pPr>
      <w:r w:rsidRPr="00AD6316">
        <w:rPr>
          <w:rFonts w:ascii="Arial" w:hAnsi="Arial" w:cs="Arial"/>
          <w:sz w:val="20"/>
          <w:szCs w:val="18"/>
        </w:rPr>
        <w:lastRenderedPageBreak/>
        <w:t>Chart 7.  Madrid Renew</w:t>
      </w:r>
      <w:r w:rsidR="00CD4ED7">
        <w:rPr>
          <w:rFonts w:ascii="Arial" w:hAnsi="Arial" w:cs="Arial"/>
          <w:sz w:val="20"/>
          <w:szCs w:val="18"/>
        </w:rPr>
        <w:t>al</w:t>
      </w:r>
      <w:r w:rsidRPr="00AD6316">
        <w:rPr>
          <w:rFonts w:ascii="Arial" w:hAnsi="Arial" w:cs="Arial"/>
          <w:sz w:val="20"/>
          <w:szCs w:val="18"/>
        </w:rPr>
        <w:t xml:space="preserve"> Forecast</w:t>
      </w:r>
    </w:p>
    <w:p w14:paraId="1260DE3B" w14:textId="77777777" w:rsidR="00A6543C" w:rsidRPr="00AD6316" w:rsidRDefault="00A6543C" w:rsidP="005A1F7F">
      <w:pPr>
        <w:keepNext/>
        <w:keepLines/>
        <w:jc w:val="center"/>
        <w:rPr>
          <w:rFonts w:ascii="Arial" w:hAnsi="Arial" w:cs="Arial"/>
          <w:sz w:val="20"/>
          <w:szCs w:val="18"/>
        </w:rPr>
      </w:pPr>
    </w:p>
    <w:p w14:paraId="20CFA9DF" w14:textId="77777777" w:rsidR="00D7361F" w:rsidRPr="00E62B25"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1FF01D8B" wp14:editId="64CFC9A4">
            <wp:extent cx="4162425" cy="2151660"/>
            <wp:effectExtent l="0" t="0" r="0" b="127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9">
                      <a:extLst>
                        <a:ext uri="{28A0092B-C50C-407E-A947-70E740481C1C}">
                          <a14:useLocalDpi xmlns:a14="http://schemas.microsoft.com/office/drawing/2010/main" val="0"/>
                        </a:ext>
                      </a:extLst>
                    </a:blip>
                    <a:srcRect t="8874"/>
                    <a:stretch/>
                  </pic:blipFill>
                  <pic:spPr bwMode="auto">
                    <a:xfrm>
                      <a:off x="0" y="0"/>
                      <a:ext cx="4165793" cy="2153401"/>
                    </a:xfrm>
                    <a:prstGeom prst="rect">
                      <a:avLst/>
                    </a:prstGeom>
                    <a:noFill/>
                    <a:ln>
                      <a:noFill/>
                    </a:ln>
                    <a:extLst>
                      <a:ext uri="{53640926-AAD7-44D8-BBD7-CCE9431645EC}">
                        <a14:shadowObscured xmlns:a14="http://schemas.microsoft.com/office/drawing/2010/main"/>
                      </a:ext>
                    </a:extLst>
                  </pic:spPr>
                </pic:pic>
              </a:graphicData>
            </a:graphic>
          </wp:inline>
        </w:drawing>
      </w:r>
    </w:p>
    <w:p w14:paraId="59B4A02F"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6D8AA46B" wp14:editId="7AD28DC9">
            <wp:extent cx="4514850" cy="78758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514850" cy="787580"/>
                    </a:xfrm>
                    <a:prstGeom prst="rect">
                      <a:avLst/>
                    </a:prstGeom>
                    <a:noFill/>
                    <a:ln>
                      <a:noFill/>
                    </a:ln>
                  </pic:spPr>
                </pic:pic>
              </a:graphicData>
            </a:graphic>
          </wp:inline>
        </w:drawing>
      </w:r>
    </w:p>
    <w:p w14:paraId="0172128E" w14:textId="77777777" w:rsidR="00D7361F" w:rsidRDefault="00D7361F" w:rsidP="005A1F7F">
      <w:pPr>
        <w:keepNext/>
        <w:keepLines/>
        <w:rPr>
          <w:rFonts w:ascii="Arial" w:hAnsi="Arial" w:cs="Arial"/>
          <w:sz w:val="20"/>
        </w:rPr>
      </w:pPr>
    </w:p>
    <w:p w14:paraId="4AF41F48" w14:textId="77777777" w:rsidR="00A6543C" w:rsidRPr="00E62B25" w:rsidRDefault="00A6543C" w:rsidP="005A1F7F">
      <w:pPr>
        <w:keepNext/>
        <w:keepLines/>
        <w:rPr>
          <w:rFonts w:ascii="Arial" w:hAnsi="Arial" w:cs="Arial"/>
          <w:sz w:val="20"/>
        </w:rPr>
      </w:pPr>
    </w:p>
    <w:p w14:paraId="48A072B4" w14:textId="77777777" w:rsidR="00D7361F" w:rsidRPr="00AD6316" w:rsidRDefault="00D7361F" w:rsidP="005A1F7F">
      <w:pPr>
        <w:spacing w:after="60"/>
        <w:jc w:val="center"/>
        <w:rPr>
          <w:rFonts w:ascii="Arial" w:hAnsi="Arial" w:cs="Arial"/>
          <w:sz w:val="20"/>
          <w:szCs w:val="18"/>
        </w:rPr>
      </w:pPr>
      <w:r w:rsidRPr="00AD6316">
        <w:rPr>
          <w:rFonts w:ascii="Arial" w:hAnsi="Arial" w:cs="Arial"/>
          <w:sz w:val="20"/>
          <w:szCs w:val="18"/>
        </w:rPr>
        <w:t>Renewal Probabilistic Distribution</w:t>
      </w:r>
    </w:p>
    <w:p w14:paraId="4E5D3493" w14:textId="1277824E" w:rsidR="00D7361F" w:rsidRDefault="00D7361F" w:rsidP="00AD6316">
      <w:pPr>
        <w:jc w:val="center"/>
        <w:rPr>
          <w:rFonts w:ascii="Arial" w:hAnsi="Arial" w:cs="Arial"/>
          <w:sz w:val="20"/>
        </w:rPr>
      </w:pPr>
      <w:r w:rsidRPr="00E62B25">
        <w:rPr>
          <w:rFonts w:ascii="Arial" w:hAnsi="Arial" w:cs="Arial"/>
          <w:noProof/>
          <w:sz w:val="20"/>
          <w:lang w:eastAsia="en-US"/>
        </w:rPr>
        <w:drawing>
          <wp:inline distT="0" distB="0" distL="0" distR="0" wp14:anchorId="7A964E07" wp14:editId="3A414E1F">
            <wp:extent cx="4476750" cy="22764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1">
                      <a:extLst>
                        <a:ext uri="{28A0092B-C50C-407E-A947-70E740481C1C}">
                          <a14:useLocalDpi xmlns:a14="http://schemas.microsoft.com/office/drawing/2010/main" val="0"/>
                        </a:ext>
                      </a:extLst>
                    </a:blip>
                    <a:srcRect t="9470" r="-679"/>
                    <a:stretch/>
                  </pic:blipFill>
                  <pic:spPr bwMode="auto">
                    <a:xfrm>
                      <a:off x="0" y="0"/>
                      <a:ext cx="4476750" cy="2276475"/>
                    </a:xfrm>
                    <a:prstGeom prst="rect">
                      <a:avLst/>
                    </a:prstGeom>
                    <a:noFill/>
                    <a:ln>
                      <a:noFill/>
                    </a:ln>
                    <a:extLst>
                      <a:ext uri="{53640926-AAD7-44D8-BBD7-CCE9431645EC}">
                        <a14:shadowObscured xmlns:a14="http://schemas.microsoft.com/office/drawing/2010/main"/>
                      </a:ext>
                    </a:extLst>
                  </pic:spPr>
                </pic:pic>
              </a:graphicData>
            </a:graphic>
          </wp:inline>
        </w:drawing>
      </w:r>
    </w:p>
    <w:p w14:paraId="68B6D114" w14:textId="77777777" w:rsidR="00D7361F" w:rsidRPr="00AD6316" w:rsidRDefault="00D7361F" w:rsidP="00AD6316">
      <w:pPr>
        <w:keepNext/>
        <w:keepLines/>
        <w:spacing w:after="60"/>
        <w:jc w:val="center"/>
        <w:rPr>
          <w:rFonts w:ascii="Arial" w:hAnsi="Arial" w:cs="Arial"/>
        </w:rPr>
      </w:pPr>
      <w:r w:rsidRPr="00AD6316">
        <w:rPr>
          <w:rFonts w:ascii="Arial" w:hAnsi="Arial" w:cs="Arial"/>
          <w:sz w:val="20"/>
          <w:szCs w:val="18"/>
        </w:rPr>
        <w:lastRenderedPageBreak/>
        <w:t>Madrid Renewal Scenarios</w:t>
      </w:r>
    </w:p>
    <w:p w14:paraId="487FD8C3" w14:textId="77777777" w:rsidR="00D7361F" w:rsidRPr="00E62B25" w:rsidRDefault="00D7361F" w:rsidP="00AD6316">
      <w:pPr>
        <w:keepNext/>
        <w:keepLines/>
        <w:jc w:val="center"/>
        <w:rPr>
          <w:rFonts w:ascii="Arial" w:hAnsi="Arial" w:cs="Arial"/>
          <w:sz w:val="20"/>
        </w:rPr>
      </w:pPr>
      <w:r w:rsidRPr="00E62B25">
        <w:rPr>
          <w:rFonts w:ascii="Arial" w:hAnsi="Arial" w:cs="Arial"/>
          <w:noProof/>
          <w:lang w:eastAsia="en-US"/>
        </w:rPr>
        <w:drawing>
          <wp:inline distT="0" distB="0" distL="0" distR="0" wp14:anchorId="6F238571" wp14:editId="40C32AF9">
            <wp:extent cx="3095625" cy="3114675"/>
            <wp:effectExtent l="0" t="0" r="9525"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095625" cy="3114675"/>
                    </a:xfrm>
                    <a:prstGeom prst="rect">
                      <a:avLst/>
                    </a:prstGeom>
                    <a:noFill/>
                    <a:ln>
                      <a:noFill/>
                    </a:ln>
                  </pic:spPr>
                </pic:pic>
              </a:graphicData>
            </a:graphic>
          </wp:inline>
        </w:drawing>
      </w:r>
    </w:p>
    <w:p w14:paraId="6BAB8B47" w14:textId="77777777" w:rsidR="00D7361F" w:rsidRPr="00E62B25" w:rsidRDefault="00D7361F" w:rsidP="005A1F7F">
      <w:pPr>
        <w:jc w:val="center"/>
        <w:rPr>
          <w:rFonts w:ascii="Arial" w:hAnsi="Arial" w:cs="Arial"/>
          <w:sz w:val="20"/>
        </w:rPr>
      </w:pPr>
    </w:p>
    <w:p w14:paraId="2F0B05D9" w14:textId="77777777" w:rsidR="00D7361F" w:rsidRPr="00E62B25" w:rsidRDefault="00D7361F" w:rsidP="005A1F7F">
      <w:pPr>
        <w:jc w:val="center"/>
        <w:rPr>
          <w:rFonts w:ascii="Arial" w:hAnsi="Arial" w:cs="Arial"/>
          <w:sz w:val="20"/>
        </w:rPr>
      </w:pPr>
    </w:p>
    <w:p w14:paraId="54EC349E" w14:textId="77777777" w:rsidR="00D7361F" w:rsidRPr="00E62B25" w:rsidRDefault="00D7361F" w:rsidP="005A1F7F">
      <w:pPr>
        <w:widowControl w:val="0"/>
        <w:rPr>
          <w:rFonts w:ascii="Arial" w:hAnsi="Arial" w:cs="Arial"/>
          <w:sz w:val="20"/>
        </w:rPr>
      </w:pPr>
      <w:r w:rsidRPr="00E62B25">
        <w:rPr>
          <w:rFonts w:ascii="Arial" w:hAnsi="Arial" w:cs="Arial"/>
          <w:i/>
          <w:sz w:val="20"/>
        </w:rPr>
        <w:t xml:space="preserve">Expected Level of </w:t>
      </w:r>
      <w:smartTag w:uri="urn:schemas-microsoft-com:office:smarttags" w:element="place">
        <w:smartTag w:uri="urn:schemas-microsoft-com:office:smarttags" w:element="State">
          <w:r w:rsidRPr="00E62B25">
            <w:rPr>
              <w:rFonts w:ascii="Arial" w:hAnsi="Arial" w:cs="Arial"/>
              <w:i/>
              <w:sz w:val="20"/>
            </w:rPr>
            <w:t>Madrid</w:t>
          </w:r>
        </w:smartTag>
      </w:smartTag>
      <w:r w:rsidRPr="00E62B25">
        <w:rPr>
          <w:rFonts w:ascii="Arial" w:hAnsi="Arial" w:cs="Arial"/>
          <w:i/>
          <w:sz w:val="20"/>
        </w:rPr>
        <w:t xml:space="preserve"> Fee Income</w:t>
      </w:r>
      <w:r w:rsidRPr="00E62B25">
        <w:rPr>
          <w:rFonts w:ascii="Arial" w:hAnsi="Arial" w:cs="Arial"/>
          <w:i/>
          <w:sz w:val="20"/>
        </w:rPr>
        <w:br/>
      </w:r>
    </w:p>
    <w:p w14:paraId="04AB62A0"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Madrid fee income derives from three categories of services offered by WIPO under the Madrid System, namely:  (a) the recording of international registrations; </w:t>
      </w:r>
      <w:r>
        <w:rPr>
          <w:rFonts w:ascii="Arial" w:hAnsi="Arial" w:cs="Arial"/>
          <w:sz w:val="20"/>
        </w:rPr>
        <w:t xml:space="preserve"> </w:t>
      </w:r>
      <w:r w:rsidRPr="00E62B25">
        <w:rPr>
          <w:rFonts w:ascii="Arial" w:hAnsi="Arial" w:cs="Arial"/>
          <w:sz w:val="20"/>
        </w:rPr>
        <w:t xml:space="preserve">(b) the recording of renewals; </w:t>
      </w:r>
      <w:r>
        <w:rPr>
          <w:rFonts w:ascii="Arial" w:hAnsi="Arial" w:cs="Arial"/>
          <w:sz w:val="20"/>
        </w:rPr>
        <w:t xml:space="preserve"> </w:t>
      </w:r>
      <w:r w:rsidRPr="00E62B25">
        <w:rPr>
          <w:rFonts w:ascii="Arial" w:hAnsi="Arial" w:cs="Arial"/>
          <w:sz w:val="20"/>
        </w:rPr>
        <w:t xml:space="preserve">(c) the recording of subsequent designations and (d) other services, including different modifications and the issuance of extracts.  </w:t>
      </w:r>
    </w:p>
    <w:p w14:paraId="3DF343B4" w14:textId="77777777" w:rsidR="00D7361F" w:rsidRPr="00E62B25" w:rsidRDefault="00D7361F" w:rsidP="005A1F7F">
      <w:pPr>
        <w:tabs>
          <w:tab w:val="left" w:pos="540"/>
        </w:tabs>
        <w:jc w:val="both"/>
        <w:rPr>
          <w:rFonts w:ascii="Arial" w:hAnsi="Arial" w:cs="Arial"/>
          <w:sz w:val="20"/>
        </w:rPr>
      </w:pPr>
    </w:p>
    <w:p w14:paraId="38793758" w14:textId="77777777" w:rsidR="00D7361F" w:rsidRPr="00E62B25" w:rsidRDefault="00D7361F" w:rsidP="00B66A4A">
      <w:pPr>
        <w:numPr>
          <w:ilvl w:val="0"/>
          <w:numId w:val="38"/>
        </w:numPr>
        <w:tabs>
          <w:tab w:val="left" w:pos="540"/>
        </w:tabs>
        <w:jc w:val="both"/>
        <w:rPr>
          <w:rFonts w:ascii="Arial" w:hAnsi="Arial" w:cs="Arial"/>
          <w:sz w:val="18"/>
          <w:szCs w:val="18"/>
        </w:rPr>
      </w:pPr>
      <w:r w:rsidRPr="00E62B25">
        <w:rPr>
          <w:rFonts w:ascii="Arial" w:hAnsi="Arial" w:cs="Arial"/>
          <w:sz w:val="20"/>
        </w:rPr>
        <w:t>Chart 8 below shows the estimated figures of Madrid fee income for the period 2015 to 2017, attributable to each of the above</w:t>
      </w:r>
      <w:r w:rsidRPr="00E62B25">
        <w:rPr>
          <w:rFonts w:ascii="Arial" w:hAnsi="Arial" w:cs="Arial"/>
          <w:sz w:val="20"/>
        </w:rPr>
        <w:noBreakHyphen/>
        <w:t xml:space="preserve">mentioned categories of services.  Income estimates are based on the numbers of international registrations and renewals that are expected to get recorded from 2015 to 2017. </w:t>
      </w:r>
    </w:p>
    <w:p w14:paraId="1D4CF47A" w14:textId="77777777" w:rsidR="00D7361F" w:rsidRPr="00E62B25" w:rsidRDefault="00D7361F" w:rsidP="005A1F7F">
      <w:pPr>
        <w:tabs>
          <w:tab w:val="left" w:pos="540"/>
        </w:tabs>
        <w:jc w:val="both"/>
        <w:rPr>
          <w:rFonts w:ascii="Arial" w:hAnsi="Arial" w:cs="Arial"/>
          <w:sz w:val="18"/>
          <w:szCs w:val="18"/>
        </w:rPr>
      </w:pPr>
    </w:p>
    <w:p w14:paraId="13D1FFC8" w14:textId="77777777" w:rsidR="005D3486" w:rsidRDefault="005D3486" w:rsidP="005A1F7F">
      <w:pPr>
        <w:tabs>
          <w:tab w:val="left" w:pos="540"/>
        </w:tabs>
        <w:jc w:val="center"/>
        <w:rPr>
          <w:rFonts w:ascii="Arial" w:hAnsi="Arial" w:cs="Arial"/>
          <w:sz w:val="20"/>
          <w:szCs w:val="18"/>
        </w:rPr>
      </w:pPr>
    </w:p>
    <w:p w14:paraId="2C4BA711" w14:textId="77777777" w:rsidR="00D7361F" w:rsidRPr="00AD6316" w:rsidRDefault="00D7361F" w:rsidP="005A1F7F">
      <w:pPr>
        <w:tabs>
          <w:tab w:val="left" w:pos="540"/>
        </w:tabs>
        <w:jc w:val="center"/>
        <w:rPr>
          <w:rFonts w:ascii="Arial" w:hAnsi="Arial" w:cs="Arial"/>
          <w:sz w:val="20"/>
          <w:szCs w:val="18"/>
        </w:rPr>
      </w:pPr>
      <w:r w:rsidRPr="00AD6316">
        <w:rPr>
          <w:rFonts w:ascii="Arial" w:hAnsi="Arial" w:cs="Arial"/>
          <w:sz w:val="20"/>
          <w:szCs w:val="18"/>
        </w:rPr>
        <w:t xml:space="preserve">Chart 8.  Expected Level of </w:t>
      </w:r>
      <w:smartTag w:uri="urn:schemas-microsoft-com:office:smarttags" w:element="place">
        <w:smartTag w:uri="urn:schemas-microsoft-com:office:smarttags" w:element="State">
          <w:r w:rsidRPr="00AD6316">
            <w:rPr>
              <w:rFonts w:ascii="Arial" w:hAnsi="Arial" w:cs="Arial"/>
              <w:sz w:val="20"/>
              <w:szCs w:val="18"/>
            </w:rPr>
            <w:t>Madrid</w:t>
          </w:r>
        </w:smartTag>
      </w:smartTag>
      <w:r w:rsidRPr="00AD6316">
        <w:rPr>
          <w:rFonts w:ascii="Arial" w:hAnsi="Arial" w:cs="Arial"/>
          <w:sz w:val="20"/>
          <w:szCs w:val="18"/>
        </w:rPr>
        <w:t xml:space="preserve"> Fee Income, by Source</w:t>
      </w:r>
    </w:p>
    <w:p w14:paraId="6D54FA3C" w14:textId="77777777" w:rsidR="00D7361F" w:rsidRPr="00E62B25" w:rsidRDefault="00D7361F" w:rsidP="005A1F7F">
      <w:pPr>
        <w:tabs>
          <w:tab w:val="left" w:pos="540"/>
        </w:tabs>
        <w:jc w:val="center"/>
        <w:rPr>
          <w:rFonts w:ascii="Arial" w:hAnsi="Arial" w:cs="Arial"/>
          <w:sz w:val="18"/>
          <w:szCs w:val="18"/>
        </w:rPr>
      </w:pPr>
    </w:p>
    <w:p w14:paraId="7010BF70" w14:textId="77777777" w:rsidR="00D7361F" w:rsidRPr="00E62B25" w:rsidRDefault="00D7361F" w:rsidP="005A1F7F">
      <w:pPr>
        <w:jc w:val="center"/>
        <w:rPr>
          <w:rFonts w:ascii="Arial" w:hAnsi="Arial" w:cs="Arial"/>
          <w:sz w:val="20"/>
        </w:rPr>
      </w:pPr>
      <w:r w:rsidRPr="00E62B25">
        <w:rPr>
          <w:rFonts w:ascii="Arial" w:hAnsi="Arial" w:cs="Arial"/>
          <w:noProof/>
          <w:sz w:val="20"/>
          <w:lang w:eastAsia="en-US"/>
        </w:rPr>
        <w:drawing>
          <wp:inline distT="0" distB="0" distL="0" distR="0" wp14:anchorId="1A547417" wp14:editId="34F663D5">
            <wp:extent cx="4829175" cy="2739435"/>
            <wp:effectExtent l="0" t="0" r="0" b="381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827501" cy="2738485"/>
                    </a:xfrm>
                    <a:prstGeom prst="rect">
                      <a:avLst/>
                    </a:prstGeom>
                    <a:noFill/>
                  </pic:spPr>
                </pic:pic>
              </a:graphicData>
            </a:graphic>
          </wp:inline>
        </w:drawing>
      </w:r>
    </w:p>
    <w:p w14:paraId="4D8D1E41" w14:textId="77777777" w:rsidR="00D7361F" w:rsidRPr="00E62B25" w:rsidRDefault="00D7361F" w:rsidP="005A1F7F">
      <w:pPr>
        <w:jc w:val="center"/>
        <w:rPr>
          <w:rFonts w:ascii="Arial" w:hAnsi="Arial" w:cs="Arial"/>
          <w:sz w:val="20"/>
        </w:rPr>
      </w:pPr>
      <w:r w:rsidRPr="00E62B25">
        <w:rPr>
          <w:rFonts w:ascii="Arial" w:hAnsi="Arial" w:cs="Arial"/>
          <w:noProof/>
          <w:lang w:eastAsia="en-US"/>
        </w:rPr>
        <w:lastRenderedPageBreak/>
        <w:drawing>
          <wp:inline distT="0" distB="0" distL="0" distR="0" wp14:anchorId="6B60B52C" wp14:editId="78134E2B">
            <wp:extent cx="4560569" cy="120015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560569" cy="1200150"/>
                    </a:xfrm>
                    <a:prstGeom prst="rect">
                      <a:avLst/>
                    </a:prstGeom>
                    <a:noFill/>
                    <a:ln>
                      <a:noFill/>
                    </a:ln>
                  </pic:spPr>
                </pic:pic>
              </a:graphicData>
            </a:graphic>
          </wp:inline>
        </w:drawing>
      </w:r>
    </w:p>
    <w:p w14:paraId="39CE731D" w14:textId="6BE58BFA" w:rsidR="00D7361F" w:rsidRPr="00FB68E0" w:rsidRDefault="00E34525" w:rsidP="00FB68E0">
      <w:pPr>
        <w:spacing w:after="60"/>
        <w:ind w:left="851"/>
        <w:rPr>
          <w:rFonts w:ascii="Arial" w:hAnsi="Arial" w:cs="Arial"/>
          <w:sz w:val="18"/>
          <w:szCs w:val="18"/>
        </w:rPr>
      </w:pPr>
      <w:r w:rsidRPr="00E34525">
        <w:rPr>
          <w:rFonts w:ascii="Arial" w:hAnsi="Arial" w:cs="Arial"/>
          <w:sz w:val="18"/>
          <w:szCs w:val="18"/>
        </w:rPr>
        <w:t>*</w:t>
      </w:r>
      <w:r>
        <w:rPr>
          <w:rFonts w:ascii="Arial" w:hAnsi="Arial" w:cs="Arial"/>
          <w:sz w:val="18"/>
          <w:szCs w:val="18"/>
        </w:rPr>
        <w:t xml:space="preserve">  </w:t>
      </w:r>
      <w:r w:rsidRPr="00FB68E0">
        <w:rPr>
          <w:rFonts w:ascii="Arial" w:hAnsi="Arial" w:cs="Arial"/>
          <w:sz w:val="16"/>
          <w:szCs w:val="18"/>
        </w:rPr>
        <w:t>Forecast figures.</w:t>
      </w:r>
    </w:p>
    <w:p w14:paraId="4022EEA9" w14:textId="77777777" w:rsidR="00D7361F" w:rsidRPr="00E62B25" w:rsidRDefault="00D7361F" w:rsidP="005A1F7F">
      <w:pPr>
        <w:spacing w:after="60"/>
        <w:jc w:val="center"/>
        <w:rPr>
          <w:rFonts w:ascii="Arial" w:hAnsi="Arial" w:cs="Arial"/>
          <w:sz w:val="18"/>
          <w:szCs w:val="18"/>
        </w:rPr>
      </w:pPr>
    </w:p>
    <w:p w14:paraId="172A9C0B" w14:textId="77777777" w:rsidR="00D7361F" w:rsidRPr="00AD6316" w:rsidRDefault="00D7361F" w:rsidP="005A1F7F">
      <w:pPr>
        <w:spacing w:after="60"/>
        <w:jc w:val="center"/>
        <w:rPr>
          <w:rFonts w:ascii="Arial" w:hAnsi="Arial" w:cs="Arial"/>
          <w:sz w:val="20"/>
          <w:szCs w:val="18"/>
        </w:rPr>
      </w:pPr>
      <w:r w:rsidRPr="00AD6316">
        <w:rPr>
          <w:rFonts w:ascii="Arial" w:hAnsi="Arial" w:cs="Arial"/>
          <w:sz w:val="20"/>
          <w:szCs w:val="18"/>
        </w:rPr>
        <w:t>Income Probabilistic Distribution</w:t>
      </w:r>
    </w:p>
    <w:p w14:paraId="58B112E2" w14:textId="77777777" w:rsidR="00D7361F" w:rsidRPr="00E62B25" w:rsidRDefault="00D7361F" w:rsidP="005A1F7F">
      <w:pPr>
        <w:jc w:val="center"/>
        <w:rPr>
          <w:rFonts w:ascii="Arial" w:hAnsi="Arial" w:cs="Arial"/>
          <w:sz w:val="20"/>
        </w:rPr>
      </w:pPr>
    </w:p>
    <w:p w14:paraId="1C2E4D7B" w14:textId="77777777" w:rsidR="00D7361F" w:rsidRPr="00E62B25" w:rsidRDefault="00D7361F" w:rsidP="005A1F7F">
      <w:pPr>
        <w:jc w:val="center"/>
        <w:rPr>
          <w:rFonts w:ascii="Arial" w:hAnsi="Arial" w:cs="Arial"/>
          <w:sz w:val="20"/>
        </w:rPr>
      </w:pPr>
      <w:r w:rsidRPr="00E62B25">
        <w:rPr>
          <w:rFonts w:ascii="Arial" w:hAnsi="Arial" w:cs="Arial"/>
          <w:noProof/>
          <w:sz w:val="20"/>
          <w:lang w:eastAsia="en-US"/>
        </w:rPr>
        <w:drawing>
          <wp:inline distT="0" distB="0" distL="0" distR="0" wp14:anchorId="17AACB1F" wp14:editId="0E3F35B6">
            <wp:extent cx="4659465" cy="2385391"/>
            <wp:effectExtent l="0" t="0" r="825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5">
                      <a:extLst>
                        <a:ext uri="{28A0092B-C50C-407E-A947-70E740481C1C}">
                          <a14:useLocalDpi xmlns:a14="http://schemas.microsoft.com/office/drawing/2010/main" val="0"/>
                        </a:ext>
                      </a:extLst>
                    </a:blip>
                    <a:srcRect t="8814" r="-98"/>
                    <a:stretch/>
                  </pic:blipFill>
                  <pic:spPr bwMode="auto">
                    <a:xfrm>
                      <a:off x="0" y="0"/>
                      <a:ext cx="4663907" cy="2387665"/>
                    </a:xfrm>
                    <a:prstGeom prst="rect">
                      <a:avLst/>
                    </a:prstGeom>
                    <a:noFill/>
                    <a:ln>
                      <a:noFill/>
                    </a:ln>
                    <a:extLst>
                      <a:ext uri="{53640926-AAD7-44D8-BBD7-CCE9431645EC}">
                        <a14:shadowObscured xmlns:a14="http://schemas.microsoft.com/office/drawing/2010/main"/>
                      </a:ext>
                    </a:extLst>
                  </pic:spPr>
                </pic:pic>
              </a:graphicData>
            </a:graphic>
          </wp:inline>
        </w:drawing>
      </w:r>
    </w:p>
    <w:p w14:paraId="375F384F" w14:textId="77777777" w:rsidR="00D7361F" w:rsidRPr="00E62B25" w:rsidRDefault="00D7361F" w:rsidP="005A1F7F">
      <w:pPr>
        <w:jc w:val="center"/>
        <w:rPr>
          <w:rFonts w:ascii="Arial" w:hAnsi="Arial" w:cs="Arial"/>
          <w:sz w:val="20"/>
        </w:rPr>
      </w:pPr>
    </w:p>
    <w:p w14:paraId="5AFFF342" w14:textId="77777777" w:rsidR="00D7361F" w:rsidRPr="00AD6316" w:rsidRDefault="00D7361F" w:rsidP="005A1F7F">
      <w:pPr>
        <w:keepNext/>
        <w:keepLines/>
        <w:spacing w:after="60"/>
        <w:jc w:val="center"/>
        <w:rPr>
          <w:rFonts w:ascii="Arial" w:hAnsi="Arial" w:cs="Arial"/>
        </w:rPr>
      </w:pPr>
      <w:smartTag w:uri="urn:schemas-microsoft-com:office:smarttags" w:element="place">
        <w:smartTag w:uri="urn:schemas-microsoft-com:office:smarttags" w:element="State">
          <w:r w:rsidRPr="00AD6316">
            <w:rPr>
              <w:rFonts w:ascii="Arial" w:hAnsi="Arial" w:cs="Arial"/>
              <w:sz w:val="20"/>
              <w:szCs w:val="18"/>
            </w:rPr>
            <w:t>Madrid</w:t>
          </w:r>
        </w:smartTag>
      </w:smartTag>
      <w:r w:rsidRPr="00AD6316">
        <w:rPr>
          <w:rFonts w:ascii="Arial" w:hAnsi="Arial" w:cs="Arial"/>
          <w:sz w:val="20"/>
          <w:szCs w:val="18"/>
        </w:rPr>
        <w:t xml:space="preserve"> Income Scenarios</w:t>
      </w:r>
    </w:p>
    <w:p w14:paraId="28240C89"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29FC4B9A" wp14:editId="4EED2D88">
            <wp:extent cx="3219450" cy="3114675"/>
            <wp:effectExtent l="0" t="0" r="0"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3219450" cy="3114675"/>
                    </a:xfrm>
                    <a:prstGeom prst="rect">
                      <a:avLst/>
                    </a:prstGeom>
                    <a:noFill/>
                    <a:ln>
                      <a:noFill/>
                    </a:ln>
                  </pic:spPr>
                </pic:pic>
              </a:graphicData>
            </a:graphic>
          </wp:inline>
        </w:drawing>
      </w:r>
    </w:p>
    <w:p w14:paraId="0A01AA48" w14:textId="679668B5" w:rsidR="00A6543C" w:rsidRDefault="00A6543C">
      <w:pPr>
        <w:rPr>
          <w:rFonts w:ascii="Arial" w:hAnsi="Arial" w:cs="Arial"/>
          <w:sz w:val="20"/>
        </w:rPr>
      </w:pPr>
      <w:r>
        <w:rPr>
          <w:rFonts w:ascii="Arial" w:hAnsi="Arial" w:cs="Arial"/>
          <w:sz w:val="20"/>
        </w:rPr>
        <w:br w:type="page"/>
      </w:r>
    </w:p>
    <w:p w14:paraId="103BC917" w14:textId="77777777" w:rsidR="00D7361F" w:rsidRPr="00E62B25" w:rsidRDefault="00D7361F" w:rsidP="005A1F7F">
      <w:pPr>
        <w:keepNext/>
        <w:keepLines/>
        <w:jc w:val="center"/>
        <w:rPr>
          <w:rFonts w:ascii="Arial" w:hAnsi="Arial" w:cs="Arial"/>
          <w:sz w:val="20"/>
        </w:rPr>
      </w:pPr>
    </w:p>
    <w:p w14:paraId="7CEE3CB5"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The table below provides information on the actual and expected numbers of registrations and renewals for the period 2012 to 2017 and on the actual and expected evolution of the average fee during that period.  The average fee is calculated as the total </w:t>
      </w:r>
      <w:smartTag w:uri="urn:schemas-microsoft-com:office:smarttags" w:element="place">
        <w:smartTag w:uri="urn:schemas-microsoft-com:office:smarttags" w:element="State">
          <w:r w:rsidRPr="00E62B25">
            <w:rPr>
              <w:rFonts w:ascii="Arial" w:hAnsi="Arial" w:cs="Arial"/>
              <w:sz w:val="20"/>
            </w:rPr>
            <w:t>Madrid</w:t>
          </w:r>
        </w:smartTag>
      </w:smartTag>
      <w:r w:rsidRPr="00E62B25">
        <w:rPr>
          <w:rFonts w:ascii="Arial" w:hAnsi="Arial" w:cs="Arial"/>
          <w:sz w:val="20"/>
        </w:rPr>
        <w:t xml:space="preserve"> fee income divided by the total number of registrations and renewals in any given year.</w:t>
      </w:r>
    </w:p>
    <w:p w14:paraId="5A9BE091" w14:textId="77777777" w:rsidR="00D7361F" w:rsidRPr="00E62B25" w:rsidRDefault="00D7361F" w:rsidP="005A1F7F">
      <w:pPr>
        <w:widowControl w:val="0"/>
        <w:jc w:val="both"/>
        <w:rPr>
          <w:rFonts w:ascii="Arial" w:hAnsi="Arial" w:cs="Arial"/>
          <w:sz w:val="20"/>
        </w:rPr>
      </w:pPr>
    </w:p>
    <w:p w14:paraId="2902FB69" w14:textId="7706506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t>Table 1</w:t>
      </w:r>
      <w:r w:rsidR="00AD6316" w:rsidRPr="00AD6316">
        <w:rPr>
          <w:rFonts w:ascii="Arial" w:hAnsi="Arial" w:cs="Arial"/>
          <w:sz w:val="20"/>
          <w:szCs w:val="18"/>
        </w:rPr>
        <w:t>6</w:t>
      </w:r>
      <w:r w:rsidRPr="00AD6316">
        <w:rPr>
          <w:rFonts w:ascii="Arial" w:hAnsi="Arial" w:cs="Arial"/>
          <w:sz w:val="20"/>
          <w:szCs w:val="18"/>
        </w:rPr>
        <w:t xml:space="preserve">.  </w:t>
      </w:r>
      <w:smartTag w:uri="urn:schemas-microsoft-com:office:smarttags" w:element="place">
        <w:smartTag w:uri="urn:schemas-microsoft-com:office:smarttags" w:element="State">
          <w:r w:rsidRPr="00AD6316">
            <w:rPr>
              <w:rFonts w:ascii="Arial" w:hAnsi="Arial" w:cs="Arial"/>
              <w:sz w:val="20"/>
              <w:szCs w:val="18"/>
            </w:rPr>
            <w:t>Madrid</w:t>
          </w:r>
        </w:smartTag>
      </w:smartTag>
      <w:r w:rsidRPr="00AD6316">
        <w:rPr>
          <w:rFonts w:ascii="Arial" w:hAnsi="Arial" w:cs="Arial"/>
          <w:sz w:val="20"/>
          <w:szCs w:val="18"/>
        </w:rPr>
        <w:t xml:space="preserve"> Total Fee Income and Average Fee</w:t>
      </w:r>
    </w:p>
    <w:p w14:paraId="7273B1B9" w14:textId="77777777" w:rsidR="00D7361F" w:rsidRPr="00E62B25" w:rsidRDefault="00D7361F" w:rsidP="005A1F7F">
      <w:pPr>
        <w:keepNext/>
        <w:keepLines/>
        <w:jc w:val="center"/>
        <w:rPr>
          <w:rFonts w:ascii="Arial" w:hAnsi="Arial" w:cs="Arial"/>
          <w:sz w:val="20"/>
        </w:rPr>
      </w:pPr>
    </w:p>
    <w:p w14:paraId="5B760A74"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7BF8AB65" wp14:editId="0DD43E9A">
            <wp:extent cx="5203557" cy="97155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5220346" cy="974685"/>
                    </a:xfrm>
                    <a:prstGeom prst="rect">
                      <a:avLst/>
                    </a:prstGeom>
                    <a:noFill/>
                    <a:ln>
                      <a:noFill/>
                    </a:ln>
                  </pic:spPr>
                </pic:pic>
              </a:graphicData>
            </a:graphic>
          </wp:inline>
        </w:drawing>
      </w:r>
    </w:p>
    <w:p w14:paraId="5A7BF4E8" w14:textId="77777777" w:rsidR="00D7361F" w:rsidRPr="00E62B25" w:rsidRDefault="00D7361F" w:rsidP="005A1F7F">
      <w:pPr>
        <w:keepNext/>
        <w:keepLines/>
        <w:jc w:val="center"/>
        <w:rPr>
          <w:rFonts w:ascii="Arial" w:hAnsi="Arial" w:cs="Arial"/>
          <w:sz w:val="20"/>
        </w:rPr>
      </w:pPr>
    </w:p>
    <w:p w14:paraId="606F5048" w14:textId="77777777" w:rsidR="00D7361F" w:rsidRPr="00E62B25" w:rsidRDefault="00D7361F" w:rsidP="00B66A4A">
      <w:pPr>
        <w:pStyle w:val="ListParagraph"/>
        <w:keepNext/>
        <w:keepLines/>
        <w:numPr>
          <w:ilvl w:val="0"/>
          <w:numId w:val="38"/>
        </w:numPr>
        <w:jc w:val="both"/>
        <w:rPr>
          <w:rFonts w:ascii="Arial" w:hAnsi="Arial" w:cs="Arial"/>
          <w:sz w:val="20"/>
        </w:rPr>
      </w:pPr>
      <w:r w:rsidRPr="00E62B25">
        <w:rPr>
          <w:rFonts w:ascii="Arial" w:hAnsi="Arial" w:cs="Arial"/>
          <w:sz w:val="20"/>
        </w:rPr>
        <w:t>A new forecasting model, similar to the one used for the forecasting of PCT activities, was adopted, for the first time, for the 2014/15 biennium for the forecasting of Madrid and the Hague registration activities.  The more sophisticated model takes into account, not only earlier Madrid System activity, but also trademark application and registration activities in other offices, as well as economic forecasting data from IMF.  As the global economic uncertainty continues and until more experience is gained with the new forecasting model, a slightly lower forecast level for Madrid was felt more prudent by the concerned business area.  The lower forecast numbers are reflected in the table below and serve as a basis for the 2016/17 Program and Budget.</w:t>
      </w:r>
    </w:p>
    <w:p w14:paraId="2967B87E" w14:textId="77777777" w:rsidR="00D7361F" w:rsidRDefault="00D7361F" w:rsidP="005A1F7F">
      <w:pPr>
        <w:keepNext/>
        <w:keepLines/>
        <w:rPr>
          <w:rFonts w:ascii="Arial" w:hAnsi="Arial" w:cs="Arial"/>
          <w:sz w:val="20"/>
        </w:rPr>
      </w:pPr>
    </w:p>
    <w:p w14:paraId="0B1D878D" w14:textId="37E3273A" w:rsidR="00D7361F" w:rsidRPr="00AD6316" w:rsidRDefault="00AD6316" w:rsidP="005A1F7F">
      <w:pPr>
        <w:keepNext/>
        <w:keepLines/>
        <w:jc w:val="center"/>
        <w:rPr>
          <w:rFonts w:ascii="Arial" w:hAnsi="Arial" w:cs="Arial"/>
          <w:sz w:val="20"/>
          <w:szCs w:val="18"/>
        </w:rPr>
      </w:pPr>
      <w:r w:rsidRPr="00AD6316">
        <w:rPr>
          <w:rFonts w:ascii="Arial" w:hAnsi="Arial" w:cs="Arial"/>
          <w:sz w:val="20"/>
          <w:szCs w:val="18"/>
        </w:rPr>
        <w:t>Table 17</w:t>
      </w:r>
      <w:r w:rsidR="00D7361F" w:rsidRPr="00AD6316">
        <w:rPr>
          <w:rFonts w:ascii="Arial" w:hAnsi="Arial" w:cs="Arial"/>
          <w:sz w:val="20"/>
          <w:szCs w:val="18"/>
        </w:rPr>
        <w:t>.  Madrid Total Fee Income and Average Fee (Basis for PB 2016/17)</w:t>
      </w:r>
    </w:p>
    <w:p w14:paraId="06E5F488" w14:textId="77777777" w:rsidR="00D7361F" w:rsidRPr="00E62B25" w:rsidRDefault="00D7361F" w:rsidP="005A1F7F">
      <w:pPr>
        <w:keepNext/>
        <w:keepLines/>
        <w:rPr>
          <w:rFonts w:ascii="Arial" w:hAnsi="Arial" w:cs="Arial"/>
          <w:sz w:val="20"/>
        </w:rPr>
      </w:pPr>
    </w:p>
    <w:p w14:paraId="3EE2C3BF" w14:textId="77777777" w:rsidR="00D7361F" w:rsidRPr="00E62B25" w:rsidRDefault="00D7361F" w:rsidP="005A1F7F">
      <w:pPr>
        <w:pStyle w:val="ListParagraph"/>
        <w:keepNext/>
        <w:keepLines/>
        <w:ind w:left="0"/>
        <w:jc w:val="center"/>
        <w:rPr>
          <w:rFonts w:ascii="Arial" w:hAnsi="Arial" w:cs="Arial"/>
          <w:sz w:val="20"/>
        </w:rPr>
      </w:pPr>
      <w:r w:rsidRPr="00E62B25">
        <w:rPr>
          <w:rFonts w:ascii="Arial" w:hAnsi="Arial" w:cs="Arial"/>
          <w:noProof/>
          <w:lang w:eastAsia="en-US"/>
        </w:rPr>
        <w:drawing>
          <wp:inline distT="0" distB="0" distL="0" distR="0" wp14:anchorId="227245A1" wp14:editId="14E6075C">
            <wp:extent cx="5153025" cy="990321"/>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5151316" cy="989993"/>
                    </a:xfrm>
                    <a:prstGeom prst="rect">
                      <a:avLst/>
                    </a:prstGeom>
                    <a:noFill/>
                    <a:ln>
                      <a:noFill/>
                    </a:ln>
                  </pic:spPr>
                </pic:pic>
              </a:graphicData>
            </a:graphic>
          </wp:inline>
        </w:drawing>
      </w:r>
    </w:p>
    <w:p w14:paraId="1C7C5506" w14:textId="77777777" w:rsidR="00D7361F" w:rsidRPr="00E62B25" w:rsidRDefault="00D7361F" w:rsidP="005A1F7F">
      <w:pPr>
        <w:jc w:val="center"/>
        <w:rPr>
          <w:rFonts w:ascii="Arial" w:hAnsi="Arial" w:cs="Arial"/>
          <w:sz w:val="20"/>
        </w:rPr>
      </w:pPr>
    </w:p>
    <w:p w14:paraId="68D68A77" w14:textId="77777777" w:rsidR="00D7361F" w:rsidRPr="00E62B25" w:rsidRDefault="00D7361F" w:rsidP="005A1F7F">
      <w:pPr>
        <w:jc w:val="center"/>
        <w:rPr>
          <w:rFonts w:ascii="Arial" w:hAnsi="Arial" w:cs="Arial"/>
          <w:sz w:val="20"/>
        </w:rPr>
      </w:pPr>
    </w:p>
    <w:p w14:paraId="098AD56B" w14:textId="77777777" w:rsidR="00D7361F" w:rsidRPr="00E62B25" w:rsidRDefault="00D7361F" w:rsidP="005A1F7F">
      <w:pPr>
        <w:widowControl w:val="0"/>
        <w:rPr>
          <w:rFonts w:ascii="Arial" w:hAnsi="Arial" w:cs="Arial"/>
          <w:b/>
          <w:sz w:val="20"/>
        </w:rPr>
      </w:pPr>
      <w:r w:rsidRPr="00E62B25">
        <w:rPr>
          <w:rFonts w:ascii="Arial" w:hAnsi="Arial" w:cs="Arial"/>
          <w:b/>
          <w:sz w:val="20"/>
        </w:rPr>
        <w:t xml:space="preserve">Hague </w:t>
      </w:r>
    </w:p>
    <w:p w14:paraId="2E2A29B6" w14:textId="77777777" w:rsidR="00D7361F" w:rsidRPr="00E62B25" w:rsidRDefault="00D7361F" w:rsidP="005A1F7F">
      <w:pPr>
        <w:widowControl w:val="0"/>
        <w:rPr>
          <w:rFonts w:ascii="Arial" w:hAnsi="Arial" w:cs="Arial"/>
          <w:sz w:val="20"/>
        </w:rPr>
      </w:pPr>
    </w:p>
    <w:p w14:paraId="228EFBAB" w14:textId="77777777" w:rsidR="00D7361F" w:rsidRPr="00E62B25" w:rsidRDefault="00D7361F" w:rsidP="005A1F7F">
      <w:pPr>
        <w:widowControl w:val="0"/>
        <w:rPr>
          <w:rFonts w:ascii="Arial" w:hAnsi="Arial" w:cs="Arial"/>
          <w:sz w:val="20"/>
        </w:rPr>
      </w:pPr>
      <w:smartTag w:uri="urn:schemas-microsoft-com:office:smarttags" w:element="place">
        <w:smartTag w:uri="urn:schemas-microsoft-com:office:smarttags" w:element="City">
          <w:r w:rsidRPr="00E62B25">
            <w:rPr>
              <w:rFonts w:ascii="Arial" w:hAnsi="Arial" w:cs="Arial"/>
              <w:i/>
              <w:sz w:val="20"/>
            </w:rPr>
            <w:t>The Hague</w:t>
          </w:r>
        </w:smartTag>
      </w:smartTag>
      <w:r w:rsidRPr="00E62B25">
        <w:rPr>
          <w:rFonts w:ascii="Arial" w:hAnsi="Arial" w:cs="Arial"/>
          <w:i/>
          <w:sz w:val="20"/>
        </w:rPr>
        <w:t xml:space="preserve"> - Forecast of Demand for International Registration</w:t>
      </w:r>
      <w:r w:rsidRPr="00E62B25">
        <w:rPr>
          <w:rFonts w:ascii="Arial" w:hAnsi="Arial" w:cs="Arial"/>
          <w:i/>
          <w:sz w:val="20"/>
        </w:rPr>
        <w:br/>
      </w:r>
    </w:p>
    <w:p w14:paraId="62598CB6"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Chart 9 shows the forecast for the years 2015 to 2017.  The anticipated accession of China, Japan, Republic of Korea, Russian Federation and the United States to the Hague System will have considerable impact from 2015 onwards, resulting in a possible jump in filings and income.  The forecast of Hague registrations is based on multiple models, including autoregressive models, econometric models and transfer models.  The autoregressive models are performed on registrations.  The econometric models are based on actual GDP data and GDP forecasts released by the International Monetary Fund.  The results by different models are further combined to control for the uncertainty arising from the correct model specification. </w:t>
      </w:r>
    </w:p>
    <w:p w14:paraId="207807CC" w14:textId="77777777" w:rsidR="00D7361F" w:rsidRPr="00E62B25" w:rsidRDefault="00D7361F" w:rsidP="005A1F7F">
      <w:pPr>
        <w:tabs>
          <w:tab w:val="left" w:pos="540"/>
        </w:tabs>
        <w:jc w:val="both"/>
        <w:rPr>
          <w:rFonts w:ascii="Arial" w:hAnsi="Arial" w:cs="Arial"/>
          <w:sz w:val="20"/>
        </w:rPr>
      </w:pPr>
    </w:p>
    <w:p w14:paraId="37CFE33E" w14:textId="77777777" w:rsidR="00D7361F" w:rsidRPr="00AD6316" w:rsidRDefault="00D7361F" w:rsidP="005A1F7F">
      <w:pPr>
        <w:keepNext/>
        <w:keepLines/>
        <w:jc w:val="center"/>
        <w:rPr>
          <w:rFonts w:ascii="Arial" w:hAnsi="Arial" w:cs="Arial"/>
          <w:sz w:val="20"/>
          <w:szCs w:val="18"/>
        </w:rPr>
      </w:pPr>
      <w:r w:rsidRPr="00AD6316">
        <w:rPr>
          <w:rFonts w:ascii="Arial" w:hAnsi="Arial" w:cs="Arial"/>
          <w:sz w:val="20"/>
          <w:szCs w:val="18"/>
        </w:rPr>
        <w:lastRenderedPageBreak/>
        <w:t>Chart 9.  Hague Applications and Renewals</w:t>
      </w:r>
    </w:p>
    <w:p w14:paraId="3D4D9BF6" w14:textId="77777777" w:rsidR="00D7361F" w:rsidRPr="00E62B25" w:rsidRDefault="00D7361F" w:rsidP="005A1F7F">
      <w:pPr>
        <w:keepNext/>
        <w:keepLines/>
        <w:tabs>
          <w:tab w:val="left" w:pos="540"/>
        </w:tabs>
        <w:jc w:val="center"/>
        <w:rPr>
          <w:rFonts w:ascii="Arial" w:hAnsi="Arial" w:cs="Arial"/>
          <w:sz w:val="20"/>
        </w:rPr>
      </w:pPr>
      <w:r w:rsidRPr="00E62B25">
        <w:rPr>
          <w:rFonts w:ascii="Arial" w:hAnsi="Arial" w:cs="Arial"/>
          <w:noProof/>
          <w:sz w:val="20"/>
          <w:lang w:eastAsia="en-US"/>
        </w:rPr>
        <w:drawing>
          <wp:inline distT="0" distB="0" distL="0" distR="0" wp14:anchorId="57B50E0A" wp14:editId="40571391">
            <wp:extent cx="4476750" cy="2539516"/>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4477113" cy="2539722"/>
                    </a:xfrm>
                    <a:prstGeom prst="rect">
                      <a:avLst/>
                    </a:prstGeom>
                    <a:noFill/>
                  </pic:spPr>
                </pic:pic>
              </a:graphicData>
            </a:graphic>
          </wp:inline>
        </w:drawing>
      </w:r>
    </w:p>
    <w:p w14:paraId="65650F6C" w14:textId="77777777" w:rsidR="00D7361F" w:rsidRPr="00E62B25" w:rsidRDefault="00D7361F" w:rsidP="005A1F7F">
      <w:pPr>
        <w:keepNext/>
        <w:keepLines/>
        <w:jc w:val="center"/>
        <w:rPr>
          <w:rFonts w:ascii="Arial" w:hAnsi="Arial" w:cs="Arial"/>
          <w:sz w:val="20"/>
        </w:rPr>
      </w:pPr>
    </w:p>
    <w:p w14:paraId="710D8104"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0EF4797F" wp14:editId="53E5C3B8">
            <wp:extent cx="4448175" cy="777527"/>
            <wp:effectExtent l="0" t="0" r="0" b="381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4448175" cy="777527"/>
                    </a:xfrm>
                    <a:prstGeom prst="rect">
                      <a:avLst/>
                    </a:prstGeom>
                    <a:noFill/>
                    <a:ln>
                      <a:noFill/>
                    </a:ln>
                  </pic:spPr>
                </pic:pic>
              </a:graphicData>
            </a:graphic>
          </wp:inline>
        </w:drawing>
      </w:r>
    </w:p>
    <w:p w14:paraId="2E1B6E0A" w14:textId="77777777" w:rsidR="00D7361F" w:rsidRDefault="00D7361F" w:rsidP="005A1F7F">
      <w:pPr>
        <w:jc w:val="center"/>
        <w:rPr>
          <w:rFonts w:ascii="Arial" w:hAnsi="Arial" w:cs="Arial"/>
          <w:sz w:val="20"/>
        </w:rPr>
      </w:pPr>
    </w:p>
    <w:p w14:paraId="6D594B93" w14:textId="77777777" w:rsidR="00D7361F" w:rsidRPr="00E62B25" w:rsidRDefault="00D7361F" w:rsidP="005A1F7F">
      <w:pPr>
        <w:jc w:val="center"/>
        <w:rPr>
          <w:rFonts w:ascii="Arial" w:hAnsi="Arial" w:cs="Arial"/>
          <w:sz w:val="20"/>
        </w:rPr>
      </w:pPr>
    </w:p>
    <w:p w14:paraId="15B52D5B"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 xml:space="preserve">In light of the anticipated accessions of several new member states from 2014 onwards, a transfer model was used to assess the impact of accession events on registrations.  The model employs data on Paris-route “cross filings” between the existing Hague members and the new member states.  In particular, transfer rates are estimates to calculate the additional filings from the existing members due to accessions.  In addition, the average “transfer rates” of the existing Hague members are used to predict the filing potential from the new members.  It is noted that the true “transfer rates” are country-specific.  Using average transfer rates for new members is arguably the best approximation possible, but it introduces additional uncertainty to the forecast values.  The current estimation is based on the following assumptions of the timing of accessions.  </w:t>
      </w:r>
    </w:p>
    <w:p w14:paraId="6299C590" w14:textId="77777777" w:rsidR="00D7361F" w:rsidRPr="00E62B25" w:rsidRDefault="00D7361F" w:rsidP="005A1F7F">
      <w:pPr>
        <w:jc w:val="center"/>
        <w:rPr>
          <w:rFonts w:ascii="Arial" w:hAnsi="Arial" w:cs="Arial"/>
          <w:sz w:val="20"/>
        </w:rPr>
      </w:pPr>
    </w:p>
    <w:p w14:paraId="403D066B"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309247BB" wp14:editId="76D69B42">
            <wp:extent cx="2381250" cy="6477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2381250" cy="647700"/>
                    </a:xfrm>
                    <a:prstGeom prst="rect">
                      <a:avLst/>
                    </a:prstGeom>
                    <a:noFill/>
                    <a:ln>
                      <a:noFill/>
                    </a:ln>
                  </pic:spPr>
                </pic:pic>
              </a:graphicData>
            </a:graphic>
          </wp:inline>
        </w:drawing>
      </w:r>
    </w:p>
    <w:p w14:paraId="002C204D" w14:textId="77777777" w:rsidR="00D7361F" w:rsidRDefault="00D7361F" w:rsidP="005A1F7F">
      <w:pPr>
        <w:keepNext/>
        <w:keepLines/>
        <w:jc w:val="center"/>
        <w:rPr>
          <w:rFonts w:ascii="Arial" w:hAnsi="Arial" w:cs="Arial"/>
          <w:sz w:val="20"/>
        </w:rPr>
      </w:pPr>
    </w:p>
    <w:p w14:paraId="14DD9728" w14:textId="77777777" w:rsidR="0019359F" w:rsidRDefault="0019359F" w:rsidP="005A1F7F">
      <w:pPr>
        <w:keepNext/>
        <w:keepLines/>
        <w:jc w:val="center"/>
        <w:rPr>
          <w:rFonts w:ascii="Arial" w:hAnsi="Arial" w:cs="Arial"/>
          <w:sz w:val="20"/>
        </w:rPr>
      </w:pPr>
    </w:p>
    <w:p w14:paraId="13FCA177" w14:textId="77777777" w:rsidR="0019359F" w:rsidRPr="00E62B25" w:rsidRDefault="0019359F" w:rsidP="005A1F7F">
      <w:pPr>
        <w:keepNext/>
        <w:keepLines/>
        <w:jc w:val="center"/>
        <w:rPr>
          <w:rFonts w:ascii="Arial" w:hAnsi="Arial" w:cs="Arial"/>
          <w:sz w:val="20"/>
        </w:rPr>
      </w:pPr>
    </w:p>
    <w:p w14:paraId="0C9EF6F5"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220F3A60" wp14:editId="3D3F310B">
            <wp:extent cx="5732145" cy="63486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5732145" cy="634860"/>
                    </a:xfrm>
                    <a:prstGeom prst="rect">
                      <a:avLst/>
                    </a:prstGeom>
                    <a:noFill/>
                    <a:ln>
                      <a:noFill/>
                    </a:ln>
                  </pic:spPr>
                </pic:pic>
              </a:graphicData>
            </a:graphic>
          </wp:inline>
        </w:drawing>
      </w:r>
    </w:p>
    <w:p w14:paraId="4974DA50" w14:textId="77777777" w:rsidR="00D7361F" w:rsidRPr="00E62B25" w:rsidRDefault="00D7361F" w:rsidP="005A1F7F">
      <w:pPr>
        <w:keepNext/>
        <w:keepLines/>
        <w:jc w:val="center"/>
        <w:rPr>
          <w:rFonts w:ascii="Arial" w:hAnsi="Arial" w:cs="Arial"/>
          <w:sz w:val="20"/>
        </w:rPr>
      </w:pPr>
    </w:p>
    <w:p w14:paraId="22E80994"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The above numbers were added to the results from the autoregressive models.  The applications will likely be in a range with certain probabilities.  The following graph and table indicate the probabilistic distribution of the scenarios.</w:t>
      </w:r>
    </w:p>
    <w:p w14:paraId="3AC4366D" w14:textId="77777777" w:rsidR="00D7361F" w:rsidRPr="00E62B25" w:rsidRDefault="00D7361F" w:rsidP="005A1F7F">
      <w:pPr>
        <w:keepNext/>
        <w:keepLines/>
        <w:jc w:val="center"/>
        <w:rPr>
          <w:rFonts w:ascii="Arial" w:hAnsi="Arial" w:cs="Arial"/>
          <w:sz w:val="20"/>
        </w:rPr>
      </w:pPr>
    </w:p>
    <w:p w14:paraId="1468CE44" w14:textId="77777777" w:rsidR="00D7361F" w:rsidRPr="0019359F" w:rsidRDefault="00D7361F" w:rsidP="005A1F7F">
      <w:pPr>
        <w:keepNext/>
        <w:keepLines/>
        <w:jc w:val="center"/>
        <w:rPr>
          <w:rFonts w:ascii="Arial" w:hAnsi="Arial" w:cs="Arial"/>
          <w:sz w:val="20"/>
          <w:szCs w:val="18"/>
        </w:rPr>
      </w:pPr>
      <w:r w:rsidRPr="0019359F">
        <w:rPr>
          <w:rFonts w:ascii="Arial" w:hAnsi="Arial" w:cs="Arial"/>
          <w:sz w:val="20"/>
          <w:szCs w:val="18"/>
        </w:rPr>
        <w:t>Application Probabilistic Distribution</w:t>
      </w:r>
    </w:p>
    <w:p w14:paraId="13BDB1F1" w14:textId="77777777" w:rsidR="00D7361F" w:rsidRPr="00E62B25" w:rsidRDefault="00D7361F" w:rsidP="005A1F7F">
      <w:pPr>
        <w:keepNext/>
        <w:keepLines/>
        <w:jc w:val="center"/>
        <w:rPr>
          <w:rFonts w:ascii="Arial" w:hAnsi="Arial" w:cs="Arial"/>
          <w:sz w:val="18"/>
          <w:szCs w:val="18"/>
        </w:rPr>
      </w:pPr>
    </w:p>
    <w:p w14:paraId="6F60169B" w14:textId="77777777" w:rsidR="00D7361F" w:rsidRPr="00E62B25"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3C49475E" wp14:editId="6243A8DA">
            <wp:extent cx="4532243" cy="2361537"/>
            <wp:effectExtent l="0" t="0" r="1905" b="127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3">
                      <a:extLst>
                        <a:ext uri="{28A0092B-C50C-407E-A947-70E740481C1C}">
                          <a14:useLocalDpi xmlns:a14="http://schemas.microsoft.com/office/drawing/2010/main" val="0"/>
                        </a:ext>
                      </a:extLst>
                    </a:blip>
                    <a:srcRect t="8049" r="-74"/>
                    <a:stretch/>
                  </pic:blipFill>
                  <pic:spPr bwMode="auto">
                    <a:xfrm>
                      <a:off x="0" y="0"/>
                      <a:ext cx="4541945" cy="2366592"/>
                    </a:xfrm>
                    <a:prstGeom prst="rect">
                      <a:avLst/>
                    </a:prstGeom>
                    <a:noFill/>
                    <a:ln>
                      <a:noFill/>
                    </a:ln>
                    <a:extLst>
                      <a:ext uri="{53640926-AAD7-44D8-BBD7-CCE9431645EC}">
                        <a14:shadowObscured xmlns:a14="http://schemas.microsoft.com/office/drawing/2010/main"/>
                      </a:ext>
                    </a:extLst>
                  </pic:spPr>
                </pic:pic>
              </a:graphicData>
            </a:graphic>
          </wp:inline>
        </w:drawing>
      </w:r>
    </w:p>
    <w:p w14:paraId="54503104" w14:textId="77777777" w:rsidR="00D7361F" w:rsidRDefault="00D7361F" w:rsidP="005A1F7F">
      <w:pPr>
        <w:keepNext/>
        <w:keepLines/>
        <w:jc w:val="center"/>
        <w:rPr>
          <w:rFonts w:ascii="Arial" w:hAnsi="Arial" w:cs="Arial"/>
          <w:sz w:val="20"/>
        </w:rPr>
      </w:pPr>
    </w:p>
    <w:p w14:paraId="5DCB1417" w14:textId="77777777" w:rsidR="0019359F" w:rsidRPr="00E62B25" w:rsidRDefault="0019359F" w:rsidP="005A1F7F">
      <w:pPr>
        <w:keepNext/>
        <w:keepLines/>
        <w:jc w:val="center"/>
        <w:rPr>
          <w:rFonts w:ascii="Arial" w:hAnsi="Arial" w:cs="Arial"/>
          <w:sz w:val="20"/>
        </w:rPr>
      </w:pPr>
    </w:p>
    <w:p w14:paraId="23755845" w14:textId="77777777" w:rsidR="00D7361F" w:rsidRPr="0019359F" w:rsidRDefault="00D7361F" w:rsidP="005A1F7F">
      <w:pPr>
        <w:keepNext/>
        <w:keepLines/>
        <w:spacing w:after="120"/>
        <w:jc w:val="center"/>
        <w:rPr>
          <w:rFonts w:ascii="Arial" w:hAnsi="Arial" w:cs="Arial"/>
          <w:sz w:val="20"/>
          <w:szCs w:val="18"/>
        </w:rPr>
      </w:pPr>
      <w:r w:rsidRPr="0019359F">
        <w:rPr>
          <w:rFonts w:ascii="Arial" w:hAnsi="Arial" w:cs="Arial"/>
          <w:sz w:val="20"/>
          <w:szCs w:val="18"/>
        </w:rPr>
        <w:t>Hague Registration Scenarios</w:t>
      </w:r>
    </w:p>
    <w:p w14:paraId="67C82588" w14:textId="77777777" w:rsidR="00D7361F" w:rsidRPr="00E62B25" w:rsidRDefault="00D7361F" w:rsidP="005A1F7F">
      <w:pPr>
        <w:keepNext/>
        <w:keepLines/>
        <w:jc w:val="center"/>
        <w:rPr>
          <w:rFonts w:ascii="Arial" w:hAnsi="Arial" w:cs="Arial"/>
        </w:rPr>
      </w:pPr>
      <w:r w:rsidRPr="00E62B25">
        <w:rPr>
          <w:rFonts w:ascii="Arial" w:hAnsi="Arial" w:cs="Arial"/>
          <w:noProof/>
          <w:lang w:eastAsia="en-US"/>
        </w:rPr>
        <w:drawing>
          <wp:inline distT="0" distB="0" distL="0" distR="0" wp14:anchorId="58B1ACE1" wp14:editId="33420CFB">
            <wp:extent cx="3286125" cy="2695575"/>
            <wp:effectExtent l="0" t="0" r="9525"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286125" cy="2695575"/>
                    </a:xfrm>
                    <a:prstGeom prst="rect">
                      <a:avLst/>
                    </a:prstGeom>
                    <a:noFill/>
                    <a:ln>
                      <a:noFill/>
                    </a:ln>
                  </pic:spPr>
                </pic:pic>
              </a:graphicData>
            </a:graphic>
          </wp:inline>
        </w:drawing>
      </w:r>
    </w:p>
    <w:p w14:paraId="0454C3C7" w14:textId="77777777" w:rsidR="00D7361F" w:rsidRPr="00E62B25" w:rsidRDefault="00D7361F" w:rsidP="005A1F7F">
      <w:pPr>
        <w:keepNext/>
        <w:keepLines/>
        <w:jc w:val="center"/>
        <w:rPr>
          <w:rFonts w:ascii="Arial" w:hAnsi="Arial" w:cs="Arial"/>
        </w:rPr>
      </w:pPr>
    </w:p>
    <w:p w14:paraId="42E755F3" w14:textId="77777777" w:rsidR="00D7361F" w:rsidRPr="00E62B25" w:rsidRDefault="00D7361F" w:rsidP="005A1F7F">
      <w:pPr>
        <w:widowControl w:val="0"/>
        <w:rPr>
          <w:rFonts w:ascii="Arial" w:hAnsi="Arial" w:cs="Arial"/>
          <w:sz w:val="20"/>
        </w:rPr>
      </w:pPr>
      <w:r w:rsidRPr="00E62B25">
        <w:rPr>
          <w:rFonts w:ascii="Arial" w:hAnsi="Arial" w:cs="Arial"/>
          <w:i/>
          <w:sz w:val="20"/>
        </w:rPr>
        <w:t>Hague - Forecast of Demand for Renewals</w:t>
      </w:r>
      <w:r w:rsidRPr="00E62B25">
        <w:rPr>
          <w:rFonts w:ascii="Arial" w:hAnsi="Arial" w:cs="Arial"/>
          <w:i/>
          <w:sz w:val="20"/>
        </w:rPr>
        <w:br/>
      </w:r>
    </w:p>
    <w:p w14:paraId="3FD92F02"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Different regression models are employed to forecast registration renewals.  In addition to autoregressive models, use is made of the relationship between renewals and registrations with five</w:t>
      </w:r>
      <w:r w:rsidRPr="00E62B25">
        <w:rPr>
          <w:rFonts w:ascii="Arial" w:hAnsi="Arial" w:cs="Arial"/>
          <w:sz w:val="20"/>
        </w:rPr>
        <w:noBreakHyphen/>
        <w:t>year lags as well as past renewals with five</w:t>
      </w:r>
      <w:r w:rsidRPr="00E62B25">
        <w:rPr>
          <w:rFonts w:ascii="Arial" w:hAnsi="Arial" w:cs="Arial"/>
          <w:sz w:val="20"/>
        </w:rPr>
        <w:noBreakHyphen/>
        <w:t>year lags, since the registrations and renewals five years ago should contribute to the total renewals in the current year.</w:t>
      </w:r>
    </w:p>
    <w:p w14:paraId="09ED3081" w14:textId="77777777" w:rsidR="00D7361F" w:rsidRPr="00E62B25" w:rsidRDefault="00D7361F" w:rsidP="005A1F7F">
      <w:pPr>
        <w:tabs>
          <w:tab w:val="left" w:pos="540"/>
        </w:tabs>
        <w:jc w:val="both"/>
        <w:rPr>
          <w:rFonts w:ascii="Arial" w:hAnsi="Arial" w:cs="Arial"/>
          <w:sz w:val="20"/>
        </w:rPr>
      </w:pPr>
    </w:p>
    <w:p w14:paraId="6B6A70FE" w14:textId="77777777" w:rsidR="00D7361F" w:rsidRDefault="00D7361F" w:rsidP="005A1F7F">
      <w:pPr>
        <w:keepNext/>
        <w:keepLines/>
        <w:tabs>
          <w:tab w:val="left" w:pos="540"/>
        </w:tabs>
        <w:spacing w:after="60"/>
        <w:jc w:val="center"/>
        <w:rPr>
          <w:rFonts w:ascii="Arial" w:hAnsi="Arial" w:cs="Arial"/>
          <w:sz w:val="20"/>
          <w:szCs w:val="18"/>
        </w:rPr>
      </w:pPr>
      <w:r w:rsidRPr="0019359F">
        <w:rPr>
          <w:rFonts w:ascii="Arial" w:hAnsi="Arial" w:cs="Arial"/>
          <w:sz w:val="20"/>
          <w:szCs w:val="18"/>
        </w:rPr>
        <w:lastRenderedPageBreak/>
        <w:t>Chart 10.  Hague Renewal Forecast</w:t>
      </w:r>
    </w:p>
    <w:p w14:paraId="2837BECC" w14:textId="77777777" w:rsidR="00B44918" w:rsidRPr="0019359F" w:rsidRDefault="00B44918" w:rsidP="005A1F7F">
      <w:pPr>
        <w:keepNext/>
        <w:keepLines/>
        <w:tabs>
          <w:tab w:val="left" w:pos="540"/>
        </w:tabs>
        <w:spacing w:after="60"/>
        <w:jc w:val="center"/>
        <w:rPr>
          <w:rFonts w:ascii="Arial" w:hAnsi="Arial" w:cs="Arial"/>
        </w:rPr>
      </w:pPr>
    </w:p>
    <w:p w14:paraId="0C39BAE7" w14:textId="77777777" w:rsidR="00D7361F" w:rsidRPr="00E62B25"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07F8B97A" wp14:editId="6BF02AF3">
            <wp:extent cx="4638675" cy="2627725"/>
            <wp:effectExtent l="0" t="0" r="0" b="127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4631829" cy="2623847"/>
                    </a:xfrm>
                    <a:prstGeom prst="rect">
                      <a:avLst/>
                    </a:prstGeom>
                    <a:noFill/>
                  </pic:spPr>
                </pic:pic>
              </a:graphicData>
            </a:graphic>
          </wp:inline>
        </w:drawing>
      </w:r>
    </w:p>
    <w:p w14:paraId="1DC3D981"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77AC9DDE" wp14:editId="34313593">
            <wp:extent cx="4438650" cy="775862"/>
            <wp:effectExtent l="0" t="0" r="0" b="571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4438650" cy="775862"/>
                    </a:xfrm>
                    <a:prstGeom prst="rect">
                      <a:avLst/>
                    </a:prstGeom>
                    <a:noFill/>
                    <a:ln>
                      <a:noFill/>
                    </a:ln>
                  </pic:spPr>
                </pic:pic>
              </a:graphicData>
            </a:graphic>
          </wp:inline>
        </w:drawing>
      </w:r>
    </w:p>
    <w:p w14:paraId="7D7BFC6E" w14:textId="77777777" w:rsidR="00D7361F" w:rsidRDefault="00D7361F" w:rsidP="005A1F7F">
      <w:pPr>
        <w:keepNext/>
        <w:keepLines/>
        <w:jc w:val="center"/>
        <w:rPr>
          <w:rFonts w:ascii="Arial" w:hAnsi="Arial" w:cs="Arial"/>
          <w:sz w:val="20"/>
        </w:rPr>
      </w:pPr>
    </w:p>
    <w:p w14:paraId="18900E9C" w14:textId="77777777" w:rsidR="00D7361F" w:rsidRPr="00E62B25" w:rsidRDefault="00D7361F" w:rsidP="005A1F7F">
      <w:pPr>
        <w:keepNext/>
        <w:keepLines/>
        <w:jc w:val="center"/>
        <w:rPr>
          <w:rFonts w:ascii="Arial" w:hAnsi="Arial" w:cs="Arial"/>
          <w:sz w:val="20"/>
        </w:rPr>
      </w:pPr>
    </w:p>
    <w:p w14:paraId="698D39E1" w14:textId="77777777" w:rsidR="00D7361F" w:rsidRPr="0019359F" w:rsidRDefault="00D7361F" w:rsidP="005A1F7F">
      <w:pPr>
        <w:keepNext/>
        <w:keepLines/>
        <w:spacing w:after="120"/>
        <w:jc w:val="center"/>
        <w:rPr>
          <w:rFonts w:ascii="Arial" w:hAnsi="Arial" w:cs="Arial"/>
          <w:sz w:val="20"/>
          <w:szCs w:val="18"/>
        </w:rPr>
      </w:pPr>
      <w:r w:rsidRPr="0019359F">
        <w:rPr>
          <w:rFonts w:ascii="Arial" w:hAnsi="Arial" w:cs="Arial"/>
          <w:sz w:val="20"/>
          <w:szCs w:val="18"/>
        </w:rPr>
        <w:t>Renewal Probabilistic Distribution</w:t>
      </w:r>
    </w:p>
    <w:p w14:paraId="69F26A51" w14:textId="77777777" w:rsidR="00D7361F" w:rsidRPr="00E62B25"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5EE11FD8" wp14:editId="7D8F7A55">
            <wp:extent cx="4285753" cy="2245469"/>
            <wp:effectExtent l="0" t="0" r="635" b="254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7">
                      <a:extLst>
                        <a:ext uri="{28A0092B-C50C-407E-A947-70E740481C1C}">
                          <a14:useLocalDpi xmlns:a14="http://schemas.microsoft.com/office/drawing/2010/main" val="0"/>
                        </a:ext>
                      </a:extLst>
                    </a:blip>
                    <a:srcRect t="7832"/>
                    <a:stretch/>
                  </pic:blipFill>
                  <pic:spPr bwMode="auto">
                    <a:xfrm>
                      <a:off x="0" y="0"/>
                      <a:ext cx="4290928" cy="2248180"/>
                    </a:xfrm>
                    <a:prstGeom prst="rect">
                      <a:avLst/>
                    </a:prstGeom>
                    <a:noFill/>
                    <a:ln>
                      <a:noFill/>
                    </a:ln>
                    <a:extLst>
                      <a:ext uri="{53640926-AAD7-44D8-BBD7-CCE9431645EC}">
                        <a14:shadowObscured xmlns:a14="http://schemas.microsoft.com/office/drawing/2010/main"/>
                      </a:ext>
                    </a:extLst>
                  </pic:spPr>
                </pic:pic>
              </a:graphicData>
            </a:graphic>
          </wp:inline>
        </w:drawing>
      </w:r>
    </w:p>
    <w:p w14:paraId="13E58FC1" w14:textId="77777777" w:rsidR="00D7361F" w:rsidRPr="00E62B25" w:rsidRDefault="00D7361F" w:rsidP="005A1F7F">
      <w:pPr>
        <w:jc w:val="center"/>
        <w:rPr>
          <w:rFonts w:ascii="Arial" w:hAnsi="Arial" w:cs="Arial"/>
          <w:sz w:val="20"/>
        </w:rPr>
      </w:pPr>
    </w:p>
    <w:p w14:paraId="68C888EC" w14:textId="77777777" w:rsidR="00D7361F" w:rsidRPr="0019359F" w:rsidRDefault="00D7361F" w:rsidP="005A1F7F">
      <w:pPr>
        <w:keepNext/>
        <w:keepLines/>
        <w:spacing w:after="120"/>
        <w:jc w:val="center"/>
        <w:rPr>
          <w:rFonts w:ascii="Arial" w:hAnsi="Arial" w:cs="Arial"/>
          <w:sz w:val="20"/>
          <w:szCs w:val="18"/>
        </w:rPr>
      </w:pPr>
      <w:r w:rsidRPr="0019359F">
        <w:rPr>
          <w:rFonts w:ascii="Arial" w:hAnsi="Arial" w:cs="Arial"/>
          <w:sz w:val="20"/>
          <w:szCs w:val="18"/>
        </w:rPr>
        <w:lastRenderedPageBreak/>
        <w:t>Hague Renewal Scenarios</w:t>
      </w:r>
    </w:p>
    <w:p w14:paraId="7039AD35" w14:textId="77777777" w:rsidR="00D7361F" w:rsidRPr="00EE1E0F"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0454F90E" wp14:editId="4AE35066">
            <wp:extent cx="3124200" cy="269557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3124200" cy="2695575"/>
                    </a:xfrm>
                    <a:prstGeom prst="rect">
                      <a:avLst/>
                    </a:prstGeom>
                    <a:noFill/>
                    <a:ln>
                      <a:noFill/>
                    </a:ln>
                  </pic:spPr>
                </pic:pic>
              </a:graphicData>
            </a:graphic>
          </wp:inline>
        </w:drawing>
      </w:r>
    </w:p>
    <w:p w14:paraId="6FB6C489" w14:textId="77777777" w:rsidR="00D7361F" w:rsidRDefault="00D7361F" w:rsidP="005A1F7F">
      <w:pPr>
        <w:jc w:val="center"/>
        <w:rPr>
          <w:rFonts w:ascii="Arial" w:hAnsi="Arial" w:cs="Arial"/>
          <w:sz w:val="20"/>
        </w:rPr>
      </w:pPr>
    </w:p>
    <w:p w14:paraId="519EA664" w14:textId="77777777" w:rsidR="00D7361F" w:rsidRPr="00EE1E0F" w:rsidRDefault="00D7361F" w:rsidP="005A1F7F">
      <w:pPr>
        <w:jc w:val="center"/>
        <w:rPr>
          <w:rFonts w:ascii="Arial" w:hAnsi="Arial" w:cs="Arial"/>
          <w:sz w:val="20"/>
        </w:rPr>
      </w:pPr>
    </w:p>
    <w:p w14:paraId="4E623673" w14:textId="77777777" w:rsidR="00D7361F" w:rsidRPr="00EE1E0F" w:rsidRDefault="00D7361F" w:rsidP="005A1F7F">
      <w:pPr>
        <w:widowControl w:val="0"/>
        <w:rPr>
          <w:rFonts w:ascii="Arial" w:hAnsi="Arial" w:cs="Arial"/>
          <w:sz w:val="20"/>
        </w:rPr>
      </w:pPr>
      <w:r w:rsidRPr="00EE1E0F">
        <w:rPr>
          <w:rFonts w:ascii="Arial" w:hAnsi="Arial" w:cs="Arial"/>
          <w:i/>
          <w:sz w:val="20"/>
        </w:rPr>
        <w:t>Expected Level of Hague Income</w:t>
      </w:r>
      <w:r w:rsidRPr="00EE1E0F">
        <w:rPr>
          <w:rFonts w:ascii="Arial" w:hAnsi="Arial" w:cs="Arial"/>
          <w:i/>
          <w:sz w:val="20"/>
        </w:rPr>
        <w:br/>
      </w:r>
    </w:p>
    <w:p w14:paraId="28CFB7BD" w14:textId="77777777" w:rsidR="00D7361F" w:rsidRPr="00E62B25" w:rsidRDefault="00D7361F" w:rsidP="00B66A4A">
      <w:pPr>
        <w:keepNext/>
        <w:keepLines/>
        <w:numPr>
          <w:ilvl w:val="0"/>
          <w:numId w:val="38"/>
        </w:numPr>
        <w:tabs>
          <w:tab w:val="left" w:pos="540"/>
        </w:tabs>
        <w:jc w:val="both"/>
        <w:rPr>
          <w:rFonts w:ascii="Arial" w:hAnsi="Arial" w:cs="Arial"/>
          <w:sz w:val="20"/>
        </w:rPr>
      </w:pPr>
      <w:r w:rsidRPr="00E62B25">
        <w:rPr>
          <w:rFonts w:ascii="Arial" w:hAnsi="Arial" w:cs="Arial"/>
          <w:sz w:val="20"/>
        </w:rPr>
        <w:t>The income generated by the Hague System is calculated based on the current fee schedule.  The main components of this schedule are the basic fee and renewal fees.  These two parts cover about 90 per cent of the income.  Other fees are grouped as “Others”.</w:t>
      </w:r>
    </w:p>
    <w:p w14:paraId="43C89EF5" w14:textId="77777777" w:rsidR="00D7361F" w:rsidRPr="00E62B25" w:rsidRDefault="00D7361F" w:rsidP="005A1F7F">
      <w:pPr>
        <w:widowControl w:val="0"/>
        <w:rPr>
          <w:rFonts w:ascii="Arial" w:hAnsi="Arial" w:cs="Arial"/>
          <w:sz w:val="20"/>
        </w:rPr>
      </w:pPr>
    </w:p>
    <w:p w14:paraId="0286F9EB" w14:textId="77777777" w:rsidR="00D7361F" w:rsidRPr="00E62B25" w:rsidRDefault="00D7361F" w:rsidP="005A1F7F">
      <w:pPr>
        <w:widowControl w:val="0"/>
        <w:jc w:val="center"/>
        <w:rPr>
          <w:rFonts w:ascii="Arial" w:hAnsi="Arial" w:cs="Arial"/>
          <w:sz w:val="20"/>
        </w:rPr>
      </w:pPr>
      <w:r w:rsidRPr="00E62B25">
        <w:rPr>
          <w:rFonts w:ascii="Arial" w:hAnsi="Arial" w:cs="Arial"/>
          <w:sz w:val="20"/>
        </w:rPr>
        <w:t>Chart 11.  Expected Level of Hague Fee Income, by Source</w:t>
      </w:r>
    </w:p>
    <w:p w14:paraId="0F2E68D7" w14:textId="77777777" w:rsidR="00D7361F" w:rsidRPr="00E62B25" w:rsidRDefault="00D7361F" w:rsidP="005A1F7F">
      <w:pPr>
        <w:widowControl w:val="0"/>
        <w:rPr>
          <w:rFonts w:ascii="Arial" w:hAnsi="Arial" w:cs="Arial"/>
          <w:sz w:val="20"/>
        </w:rPr>
      </w:pPr>
    </w:p>
    <w:p w14:paraId="0278C9FE" w14:textId="77777777" w:rsidR="00D7361F" w:rsidRPr="00E62B25" w:rsidRDefault="00D7361F" w:rsidP="005A1F7F">
      <w:pPr>
        <w:jc w:val="center"/>
        <w:rPr>
          <w:rFonts w:ascii="Arial" w:hAnsi="Arial" w:cs="Arial"/>
          <w:sz w:val="20"/>
        </w:rPr>
      </w:pPr>
      <w:r w:rsidRPr="00E62B25">
        <w:rPr>
          <w:rFonts w:ascii="Arial" w:hAnsi="Arial" w:cs="Arial"/>
          <w:noProof/>
          <w:sz w:val="20"/>
          <w:lang w:eastAsia="en-US"/>
        </w:rPr>
        <w:drawing>
          <wp:inline distT="0" distB="0" distL="0" distR="0" wp14:anchorId="0D902962" wp14:editId="6E903D49">
            <wp:extent cx="3934546" cy="2228850"/>
            <wp:effectExtent l="0" t="0" r="889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3933611" cy="2228321"/>
                    </a:xfrm>
                    <a:prstGeom prst="rect">
                      <a:avLst/>
                    </a:prstGeom>
                    <a:noFill/>
                  </pic:spPr>
                </pic:pic>
              </a:graphicData>
            </a:graphic>
          </wp:inline>
        </w:drawing>
      </w:r>
    </w:p>
    <w:p w14:paraId="6EE9BD22" w14:textId="77777777" w:rsidR="00D7361F" w:rsidRPr="00E62B25" w:rsidRDefault="00D7361F" w:rsidP="005A1F7F">
      <w:pPr>
        <w:jc w:val="center"/>
        <w:rPr>
          <w:rFonts w:ascii="Arial" w:hAnsi="Arial" w:cs="Arial"/>
          <w:sz w:val="20"/>
        </w:rPr>
      </w:pPr>
    </w:p>
    <w:p w14:paraId="1809B379" w14:textId="77777777" w:rsidR="00D7361F" w:rsidRPr="00FB68E0" w:rsidRDefault="00D7361F" w:rsidP="005A1F7F">
      <w:pPr>
        <w:jc w:val="center"/>
        <w:rPr>
          <w:rFonts w:ascii="Arial" w:hAnsi="Arial" w:cs="Arial"/>
          <w:sz w:val="16"/>
        </w:rPr>
      </w:pPr>
      <w:r w:rsidRPr="00E62B25">
        <w:rPr>
          <w:rFonts w:ascii="Arial" w:hAnsi="Arial" w:cs="Arial"/>
          <w:noProof/>
          <w:lang w:eastAsia="en-US"/>
        </w:rPr>
        <w:drawing>
          <wp:inline distT="0" distB="0" distL="0" distR="0" wp14:anchorId="2E8C0B90" wp14:editId="4DA45852">
            <wp:extent cx="4448175" cy="1238618"/>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4448175" cy="1238618"/>
                    </a:xfrm>
                    <a:prstGeom prst="rect">
                      <a:avLst/>
                    </a:prstGeom>
                    <a:noFill/>
                    <a:ln>
                      <a:noFill/>
                    </a:ln>
                  </pic:spPr>
                </pic:pic>
              </a:graphicData>
            </a:graphic>
          </wp:inline>
        </w:drawing>
      </w:r>
    </w:p>
    <w:p w14:paraId="43F0B94B" w14:textId="77777777" w:rsidR="00E34525" w:rsidRDefault="00E34525" w:rsidP="00FB68E0">
      <w:pPr>
        <w:ind w:left="1134"/>
        <w:rPr>
          <w:rFonts w:ascii="Arial" w:hAnsi="Arial" w:cs="Arial"/>
          <w:sz w:val="16"/>
        </w:rPr>
      </w:pPr>
    </w:p>
    <w:p w14:paraId="4736E593" w14:textId="59AC5975" w:rsidR="00D7361F" w:rsidRPr="00FB68E0" w:rsidRDefault="00E34525" w:rsidP="00FB68E0">
      <w:pPr>
        <w:ind w:left="1134"/>
        <w:rPr>
          <w:rFonts w:ascii="Arial" w:hAnsi="Arial" w:cs="Arial"/>
          <w:sz w:val="16"/>
        </w:rPr>
      </w:pPr>
      <w:r w:rsidRPr="00FB68E0">
        <w:rPr>
          <w:rFonts w:ascii="Arial" w:hAnsi="Arial" w:cs="Arial"/>
          <w:sz w:val="16"/>
        </w:rPr>
        <w:t>*  Forecast figures</w:t>
      </w:r>
    </w:p>
    <w:p w14:paraId="20121038" w14:textId="77777777" w:rsidR="00D7361F" w:rsidRPr="00E62B25" w:rsidRDefault="00D7361F" w:rsidP="005A1F7F">
      <w:pPr>
        <w:jc w:val="center"/>
        <w:rPr>
          <w:rFonts w:ascii="Arial" w:hAnsi="Arial" w:cs="Arial"/>
          <w:sz w:val="20"/>
        </w:rPr>
      </w:pPr>
    </w:p>
    <w:p w14:paraId="700509AF" w14:textId="77777777" w:rsidR="00D7361F" w:rsidRPr="0019359F" w:rsidRDefault="00D7361F" w:rsidP="005A1F7F">
      <w:pPr>
        <w:keepNext/>
        <w:keepLines/>
        <w:spacing w:after="120"/>
        <w:jc w:val="center"/>
        <w:rPr>
          <w:rFonts w:ascii="Arial" w:hAnsi="Arial" w:cs="Arial"/>
          <w:sz w:val="20"/>
          <w:szCs w:val="18"/>
        </w:rPr>
      </w:pPr>
      <w:r w:rsidRPr="0019359F">
        <w:rPr>
          <w:rFonts w:ascii="Arial" w:hAnsi="Arial" w:cs="Arial"/>
          <w:sz w:val="20"/>
          <w:szCs w:val="18"/>
        </w:rPr>
        <w:lastRenderedPageBreak/>
        <w:t>Income Probabilistic Distribution</w:t>
      </w:r>
    </w:p>
    <w:p w14:paraId="0C517A82" w14:textId="77777777" w:rsidR="00D7361F" w:rsidRPr="00E62B25" w:rsidRDefault="00D7361F" w:rsidP="005A1F7F">
      <w:pPr>
        <w:keepNext/>
        <w:keepLines/>
        <w:spacing w:after="120"/>
        <w:jc w:val="center"/>
        <w:rPr>
          <w:rFonts w:ascii="Arial" w:hAnsi="Arial" w:cs="Arial"/>
          <w:sz w:val="20"/>
        </w:rPr>
      </w:pPr>
    </w:p>
    <w:p w14:paraId="2CD59156" w14:textId="77777777" w:rsidR="00D7361F" w:rsidRDefault="00D7361F" w:rsidP="005A1F7F">
      <w:pPr>
        <w:keepNext/>
        <w:keepLines/>
        <w:jc w:val="center"/>
        <w:rPr>
          <w:rFonts w:ascii="Arial" w:hAnsi="Arial" w:cs="Arial"/>
          <w:sz w:val="20"/>
        </w:rPr>
      </w:pPr>
      <w:r w:rsidRPr="00E62B25">
        <w:rPr>
          <w:rFonts w:ascii="Arial" w:hAnsi="Arial" w:cs="Arial"/>
          <w:noProof/>
          <w:sz w:val="20"/>
          <w:lang w:eastAsia="en-US"/>
        </w:rPr>
        <w:drawing>
          <wp:inline distT="0" distB="0" distL="0" distR="0" wp14:anchorId="34DD26CB" wp14:editId="23260DE5">
            <wp:extent cx="4468633" cy="2326518"/>
            <wp:effectExtent l="0" t="0" r="825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51">
                      <a:extLst>
                        <a:ext uri="{28A0092B-C50C-407E-A947-70E740481C1C}">
                          <a14:useLocalDpi xmlns:a14="http://schemas.microsoft.com/office/drawing/2010/main" val="0"/>
                        </a:ext>
                      </a:extLst>
                    </a:blip>
                    <a:srcRect t="8161"/>
                    <a:stretch/>
                  </pic:blipFill>
                  <pic:spPr bwMode="auto">
                    <a:xfrm>
                      <a:off x="0" y="0"/>
                      <a:ext cx="4469335" cy="2326883"/>
                    </a:xfrm>
                    <a:prstGeom prst="rect">
                      <a:avLst/>
                    </a:prstGeom>
                    <a:noFill/>
                    <a:ln>
                      <a:noFill/>
                    </a:ln>
                    <a:extLst>
                      <a:ext uri="{53640926-AAD7-44D8-BBD7-CCE9431645EC}">
                        <a14:shadowObscured xmlns:a14="http://schemas.microsoft.com/office/drawing/2010/main"/>
                      </a:ext>
                    </a:extLst>
                  </pic:spPr>
                </pic:pic>
              </a:graphicData>
            </a:graphic>
          </wp:inline>
        </w:drawing>
      </w:r>
    </w:p>
    <w:p w14:paraId="18356E5B" w14:textId="77777777" w:rsidR="00D7361F" w:rsidRPr="00E62B25" w:rsidRDefault="00D7361F" w:rsidP="005A1F7F">
      <w:pPr>
        <w:keepNext/>
        <w:keepLines/>
        <w:jc w:val="center"/>
        <w:rPr>
          <w:rFonts w:ascii="Arial" w:hAnsi="Arial" w:cs="Arial"/>
          <w:sz w:val="20"/>
        </w:rPr>
      </w:pPr>
    </w:p>
    <w:p w14:paraId="54D751EE" w14:textId="77777777" w:rsidR="00D7361F" w:rsidRPr="0019359F" w:rsidRDefault="00D7361F" w:rsidP="005A1F7F">
      <w:pPr>
        <w:keepNext/>
        <w:keepLines/>
        <w:spacing w:after="120"/>
        <w:jc w:val="center"/>
        <w:rPr>
          <w:rFonts w:ascii="Arial" w:hAnsi="Arial" w:cs="Arial"/>
        </w:rPr>
      </w:pPr>
      <w:r w:rsidRPr="0019359F">
        <w:rPr>
          <w:rFonts w:ascii="Arial" w:hAnsi="Arial" w:cs="Arial"/>
          <w:sz w:val="20"/>
          <w:szCs w:val="18"/>
        </w:rPr>
        <w:t>Hague Income Scenarios</w:t>
      </w:r>
    </w:p>
    <w:p w14:paraId="636EEC21" w14:textId="77777777" w:rsidR="00D7361F" w:rsidRPr="00E62B25" w:rsidRDefault="00D7361F" w:rsidP="005A1F7F">
      <w:pPr>
        <w:keepNext/>
        <w:keepLines/>
        <w:jc w:val="center"/>
        <w:rPr>
          <w:rFonts w:ascii="Arial" w:hAnsi="Arial" w:cs="Arial"/>
        </w:rPr>
      </w:pPr>
      <w:r w:rsidRPr="00E62B25">
        <w:rPr>
          <w:rFonts w:ascii="Arial" w:hAnsi="Arial" w:cs="Arial"/>
          <w:noProof/>
          <w:lang w:eastAsia="en-US"/>
        </w:rPr>
        <w:drawing>
          <wp:inline distT="0" distB="0" distL="0" distR="0" wp14:anchorId="05EFBCFF" wp14:editId="59323BF5">
            <wp:extent cx="3095625" cy="26955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3095625" cy="2695575"/>
                    </a:xfrm>
                    <a:prstGeom prst="rect">
                      <a:avLst/>
                    </a:prstGeom>
                    <a:noFill/>
                    <a:ln>
                      <a:noFill/>
                    </a:ln>
                  </pic:spPr>
                </pic:pic>
              </a:graphicData>
            </a:graphic>
          </wp:inline>
        </w:drawing>
      </w:r>
    </w:p>
    <w:p w14:paraId="31659192" w14:textId="77777777" w:rsidR="00D7361F" w:rsidRDefault="00D7361F" w:rsidP="005A1F7F">
      <w:pPr>
        <w:jc w:val="center"/>
        <w:rPr>
          <w:rFonts w:ascii="Arial" w:hAnsi="Arial" w:cs="Arial"/>
        </w:rPr>
      </w:pPr>
    </w:p>
    <w:p w14:paraId="208E50E1" w14:textId="77777777" w:rsidR="00D7361F" w:rsidRPr="00E62B25" w:rsidRDefault="00D7361F" w:rsidP="005A1F7F">
      <w:pPr>
        <w:jc w:val="center"/>
        <w:rPr>
          <w:rFonts w:ascii="Arial" w:hAnsi="Arial" w:cs="Arial"/>
        </w:rPr>
      </w:pPr>
    </w:p>
    <w:p w14:paraId="0EC17C1E" w14:textId="77777777" w:rsidR="00D7361F" w:rsidRPr="00E62B25" w:rsidRDefault="00D7361F" w:rsidP="00B66A4A">
      <w:pPr>
        <w:numPr>
          <w:ilvl w:val="0"/>
          <w:numId w:val="38"/>
        </w:numPr>
        <w:tabs>
          <w:tab w:val="left" w:pos="540"/>
        </w:tabs>
        <w:jc w:val="both"/>
        <w:rPr>
          <w:rFonts w:ascii="Arial" w:hAnsi="Arial" w:cs="Arial"/>
          <w:sz w:val="20"/>
        </w:rPr>
      </w:pPr>
      <w:r w:rsidRPr="00E62B25">
        <w:rPr>
          <w:rFonts w:ascii="Arial" w:hAnsi="Arial" w:cs="Arial"/>
          <w:sz w:val="20"/>
        </w:rPr>
        <w:t>Income estimates for 2015 to 2017 in the table below are based on the expected numbers of international registrations and renewals.  It should be noted that the income estimates given below are based on the assumption that no changes to the schedule of fees payable to the International Bureau under the Hague system will take place in the forthcoming years.</w:t>
      </w:r>
    </w:p>
    <w:p w14:paraId="2FC33D1A" w14:textId="77777777" w:rsidR="00D7361F" w:rsidRPr="00E62B25" w:rsidRDefault="00D7361F" w:rsidP="005A1F7F">
      <w:pPr>
        <w:tabs>
          <w:tab w:val="left" w:pos="540"/>
        </w:tabs>
        <w:jc w:val="both"/>
        <w:rPr>
          <w:rFonts w:ascii="Arial" w:hAnsi="Arial" w:cs="Arial"/>
          <w:sz w:val="20"/>
        </w:rPr>
      </w:pPr>
    </w:p>
    <w:p w14:paraId="700BDCBE" w14:textId="263DA770" w:rsidR="00D7361F" w:rsidRPr="00E62B25" w:rsidRDefault="00D7361F" w:rsidP="005A1F7F">
      <w:pPr>
        <w:keepNext/>
        <w:keepLines/>
        <w:jc w:val="center"/>
        <w:rPr>
          <w:rFonts w:ascii="Arial" w:hAnsi="Arial" w:cs="Arial"/>
          <w:sz w:val="20"/>
        </w:rPr>
      </w:pPr>
      <w:r w:rsidRPr="00E62B25">
        <w:rPr>
          <w:rFonts w:ascii="Arial" w:hAnsi="Arial" w:cs="Arial"/>
          <w:sz w:val="20"/>
        </w:rPr>
        <w:t>Table 1</w:t>
      </w:r>
      <w:r w:rsidR="000D2666">
        <w:rPr>
          <w:rFonts w:ascii="Arial" w:hAnsi="Arial" w:cs="Arial"/>
          <w:sz w:val="20"/>
        </w:rPr>
        <w:t>8</w:t>
      </w:r>
      <w:r w:rsidRPr="00E62B25">
        <w:rPr>
          <w:rFonts w:ascii="Arial" w:hAnsi="Arial" w:cs="Arial"/>
          <w:sz w:val="20"/>
        </w:rPr>
        <w:t>.  Hague Total Fee Income and Average Fee</w:t>
      </w:r>
    </w:p>
    <w:p w14:paraId="12205E1C" w14:textId="77777777" w:rsidR="00D7361F" w:rsidRPr="00E62B25" w:rsidRDefault="00D7361F" w:rsidP="005A1F7F">
      <w:pPr>
        <w:keepNext/>
        <w:keepLines/>
        <w:jc w:val="center"/>
        <w:rPr>
          <w:rFonts w:ascii="Arial" w:hAnsi="Arial" w:cs="Arial"/>
          <w:sz w:val="20"/>
        </w:rPr>
      </w:pPr>
    </w:p>
    <w:p w14:paraId="7EC72006" w14:textId="77777777" w:rsidR="00D7361F" w:rsidRPr="00E62B25" w:rsidRDefault="00D7361F" w:rsidP="005A1F7F">
      <w:pPr>
        <w:keepNext/>
        <w:keepLines/>
        <w:jc w:val="center"/>
        <w:rPr>
          <w:rFonts w:ascii="Arial" w:hAnsi="Arial" w:cs="Arial"/>
          <w:sz w:val="20"/>
        </w:rPr>
      </w:pPr>
      <w:r w:rsidRPr="00E62B25">
        <w:rPr>
          <w:rFonts w:ascii="Arial" w:hAnsi="Arial" w:cs="Arial"/>
          <w:noProof/>
          <w:lang w:eastAsia="en-US"/>
        </w:rPr>
        <w:drawing>
          <wp:inline distT="0" distB="0" distL="0" distR="0" wp14:anchorId="7732FE1E" wp14:editId="7A4BB61D">
            <wp:extent cx="5334000" cy="97281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5332228" cy="972493"/>
                    </a:xfrm>
                    <a:prstGeom prst="rect">
                      <a:avLst/>
                    </a:prstGeom>
                    <a:noFill/>
                    <a:ln>
                      <a:noFill/>
                    </a:ln>
                  </pic:spPr>
                </pic:pic>
              </a:graphicData>
            </a:graphic>
          </wp:inline>
        </w:drawing>
      </w:r>
    </w:p>
    <w:p w14:paraId="38248DCD" w14:textId="77777777" w:rsidR="00D7361F" w:rsidRPr="00E62B25" w:rsidRDefault="00D7361F" w:rsidP="005A1F7F">
      <w:pPr>
        <w:keepNext/>
        <w:keepLines/>
        <w:rPr>
          <w:rFonts w:ascii="Arial" w:hAnsi="Arial" w:cs="Arial"/>
          <w:sz w:val="20"/>
        </w:rPr>
      </w:pPr>
    </w:p>
    <w:p w14:paraId="5FB6F215" w14:textId="0871FEE7" w:rsidR="00592800" w:rsidRDefault="00592800" w:rsidP="008D3EC2">
      <w:pPr>
        <w:autoSpaceDE w:val="0"/>
        <w:autoSpaceDN w:val="0"/>
        <w:adjustRightInd w:val="0"/>
        <w:rPr>
          <w:rFonts w:ascii="Arial" w:hAnsi="Arial" w:cs="Arial"/>
          <w:sz w:val="20"/>
        </w:rPr>
      </w:pPr>
    </w:p>
    <w:p w14:paraId="792B0123" w14:textId="77777777" w:rsidR="00592800" w:rsidRDefault="00592800" w:rsidP="008D3EC2">
      <w:pPr>
        <w:autoSpaceDE w:val="0"/>
        <w:autoSpaceDN w:val="0"/>
        <w:adjustRightInd w:val="0"/>
        <w:rPr>
          <w:rFonts w:ascii="Arial" w:hAnsi="Arial" w:cs="Arial"/>
          <w:sz w:val="20"/>
        </w:rPr>
      </w:pPr>
    </w:p>
    <w:p w14:paraId="58A82738" w14:textId="264D39BF" w:rsidR="000D2666" w:rsidRDefault="000D2666">
      <w:pPr>
        <w:rPr>
          <w:rFonts w:ascii="Arial" w:hAnsi="Arial" w:cs="Arial"/>
          <w:sz w:val="20"/>
        </w:rPr>
      </w:pPr>
      <w:r>
        <w:rPr>
          <w:rFonts w:ascii="Arial" w:hAnsi="Arial" w:cs="Arial"/>
          <w:sz w:val="20"/>
        </w:rPr>
        <w:br w:type="page"/>
      </w:r>
    </w:p>
    <w:p w14:paraId="7BAD27DB" w14:textId="77777777" w:rsidR="00D7361F" w:rsidRDefault="00D7361F" w:rsidP="008D3EC2">
      <w:pPr>
        <w:autoSpaceDE w:val="0"/>
        <w:autoSpaceDN w:val="0"/>
        <w:adjustRightInd w:val="0"/>
        <w:rPr>
          <w:rFonts w:ascii="Arial" w:hAnsi="Arial" w:cs="Arial"/>
          <w:sz w:val="20"/>
        </w:rPr>
      </w:pPr>
    </w:p>
    <w:p w14:paraId="30263E8D" w14:textId="77777777" w:rsidR="00592800" w:rsidRPr="0069571C" w:rsidRDefault="00592800" w:rsidP="00592800">
      <w:pPr>
        <w:pStyle w:val="StyleHeading3ComplexItalic"/>
        <w:keepNext w:val="0"/>
        <w:tabs>
          <w:tab w:val="clear" w:pos="1985"/>
          <w:tab w:val="left" w:pos="1418"/>
        </w:tabs>
        <w:ind w:left="1418" w:hanging="1418"/>
      </w:pPr>
      <w:bookmarkStart w:id="103" w:name="_Toc293334845"/>
      <w:bookmarkStart w:id="104" w:name="_Toc298920427"/>
      <w:bookmarkStart w:id="105" w:name="_Toc356567790"/>
      <w:bookmarkStart w:id="106" w:name="_Toc367350616"/>
      <w:bookmarkStart w:id="107" w:name="_Toc427154438"/>
      <w:r w:rsidRPr="007F65E7">
        <w:rPr>
          <w:caps w:val="0"/>
        </w:rPr>
        <w:t>ANNEX V</w:t>
      </w:r>
      <w:r w:rsidRPr="007F65E7">
        <w:rPr>
          <w:caps w:val="0"/>
        </w:rPr>
        <w:tab/>
        <w:t>INDICATORS OF PCT OPERATIONS</w:t>
      </w:r>
      <w:bookmarkEnd w:id="103"/>
      <w:bookmarkEnd w:id="104"/>
      <w:bookmarkEnd w:id="105"/>
      <w:bookmarkEnd w:id="106"/>
      <w:bookmarkEnd w:id="107"/>
    </w:p>
    <w:p w14:paraId="463A802A" w14:textId="77777777" w:rsidR="00592800" w:rsidRDefault="00592800" w:rsidP="00592800">
      <w:pPr>
        <w:rPr>
          <w:rFonts w:ascii="Arial" w:hAnsi="Arial" w:cs="Arial"/>
          <w:sz w:val="20"/>
        </w:rPr>
      </w:pPr>
    </w:p>
    <w:p w14:paraId="0D02A8A6" w14:textId="77777777" w:rsidR="001A07FB" w:rsidRPr="000E46C3" w:rsidRDefault="001A07FB" w:rsidP="005A1F7F">
      <w:pPr>
        <w:rPr>
          <w:rFonts w:ascii="Arial" w:hAnsi="Arial" w:cs="Arial"/>
          <w:sz w:val="20"/>
        </w:rPr>
      </w:pPr>
    </w:p>
    <w:p w14:paraId="3A0C9A35" w14:textId="77777777" w:rsidR="001A07FB" w:rsidRPr="000E46C3" w:rsidRDefault="001A07FB" w:rsidP="005A1F7F">
      <w:pPr>
        <w:rPr>
          <w:rFonts w:ascii="Arial" w:hAnsi="Arial" w:cs="Arial"/>
          <w:sz w:val="20"/>
        </w:rPr>
      </w:pPr>
      <w:r w:rsidRPr="000E46C3">
        <w:rPr>
          <w:rFonts w:ascii="Arial" w:hAnsi="Arial" w:cs="Arial"/>
          <w:sz w:val="20"/>
        </w:rPr>
        <w:t>PERFORMANCE INDICATORS FOR THE EXPECTED RESULT</w:t>
      </w:r>
    </w:p>
    <w:p w14:paraId="1084BC0C" w14:textId="77777777" w:rsidR="001A07FB" w:rsidRPr="000E46C3" w:rsidRDefault="001A07FB" w:rsidP="005A1F7F">
      <w:pPr>
        <w:rPr>
          <w:rFonts w:ascii="Arial" w:hAnsi="Arial" w:cs="Arial"/>
          <w:sz w:val="20"/>
        </w:rPr>
      </w:pPr>
      <w:r w:rsidRPr="000E46C3">
        <w:rPr>
          <w:rFonts w:ascii="Arial" w:hAnsi="Arial" w:cs="Arial"/>
          <w:sz w:val="20"/>
        </w:rPr>
        <w:t>“IMPROVED PRODUCTIVITY AND SERVICE QUALITY OF PCT OPERATIONS”</w:t>
      </w:r>
    </w:p>
    <w:p w14:paraId="4F2ED533" w14:textId="77777777" w:rsidR="001A07FB" w:rsidRPr="000E46C3" w:rsidRDefault="001A07FB" w:rsidP="005A1F7F">
      <w:pPr>
        <w:jc w:val="center"/>
        <w:rPr>
          <w:rFonts w:ascii="Arial" w:hAnsi="Arial" w:cs="Arial"/>
          <w:bCs/>
          <w:sz w:val="28"/>
          <w:szCs w:val="28"/>
        </w:rPr>
      </w:pPr>
    </w:p>
    <w:p w14:paraId="52B5F23F" w14:textId="77777777" w:rsidR="001A07FB" w:rsidRPr="000E46C3" w:rsidRDefault="001A07FB" w:rsidP="005A1F7F">
      <w:pPr>
        <w:rPr>
          <w:rFonts w:ascii="Arial" w:hAnsi="Arial" w:cs="Arial"/>
          <w:b/>
          <w:sz w:val="20"/>
        </w:rPr>
      </w:pPr>
      <w:r w:rsidRPr="000E46C3">
        <w:rPr>
          <w:rFonts w:ascii="Arial" w:hAnsi="Arial" w:cs="Arial"/>
          <w:b/>
          <w:sz w:val="20"/>
        </w:rPr>
        <w:t>General</w:t>
      </w:r>
    </w:p>
    <w:p w14:paraId="291B4A3B" w14:textId="77777777" w:rsidR="001A07FB" w:rsidRPr="000E46C3" w:rsidRDefault="001A07FB" w:rsidP="005A1F7F">
      <w:pPr>
        <w:rPr>
          <w:rFonts w:ascii="Arial" w:hAnsi="Arial" w:cs="Arial"/>
          <w:b/>
          <w:sz w:val="20"/>
        </w:rPr>
      </w:pPr>
    </w:p>
    <w:p w14:paraId="16FB9021" w14:textId="77777777" w:rsidR="001A07FB" w:rsidRPr="000E46C3" w:rsidRDefault="001A07FB" w:rsidP="00B66A4A">
      <w:pPr>
        <w:numPr>
          <w:ilvl w:val="0"/>
          <w:numId w:val="41"/>
        </w:numPr>
        <w:rPr>
          <w:rFonts w:ascii="Arial" w:hAnsi="Arial"/>
          <w:sz w:val="20"/>
          <w:lang w:val="en-GB"/>
        </w:rPr>
      </w:pPr>
      <w:r w:rsidRPr="000E46C3">
        <w:rPr>
          <w:rFonts w:ascii="Arial" w:hAnsi="Arial"/>
          <w:sz w:val="20"/>
          <w:lang w:val="en-GB"/>
        </w:rPr>
        <w:t>As background for the performance indicators for the expected result “</w:t>
      </w:r>
      <w:r w:rsidRPr="000E46C3">
        <w:rPr>
          <w:rFonts w:ascii="Arial" w:hAnsi="Arial" w:cs="Arial"/>
          <w:sz w:val="20"/>
        </w:rPr>
        <w:t>improved productivity and service quality of PCT operations</w:t>
      </w:r>
      <w:r w:rsidRPr="000E46C3">
        <w:rPr>
          <w:rFonts w:ascii="Arial" w:hAnsi="Arial"/>
          <w:sz w:val="20"/>
          <w:lang w:val="en-GB"/>
        </w:rPr>
        <w:t>”, the evolution of</w:t>
      </w:r>
      <w:r>
        <w:rPr>
          <w:rFonts w:ascii="Arial" w:hAnsi="Arial"/>
          <w:sz w:val="20"/>
          <w:lang w:val="en-GB"/>
        </w:rPr>
        <w:t xml:space="preserve"> the following factors need to be considered</w:t>
      </w:r>
      <w:r w:rsidRPr="000E46C3">
        <w:rPr>
          <w:rFonts w:ascii="Arial" w:hAnsi="Arial"/>
          <w:sz w:val="20"/>
          <w:lang w:val="en-GB"/>
        </w:rPr>
        <w:t xml:space="preserve">:  </w:t>
      </w:r>
    </w:p>
    <w:p w14:paraId="4BD4FB88" w14:textId="77777777" w:rsidR="001A07FB" w:rsidRPr="000E46C3" w:rsidRDefault="001A07FB" w:rsidP="005A1F7F">
      <w:pPr>
        <w:rPr>
          <w:rFonts w:ascii="Arial" w:hAnsi="Arial"/>
          <w:sz w:val="20"/>
          <w:lang w:val="en-GB"/>
        </w:rPr>
      </w:pPr>
    </w:p>
    <w:p w14:paraId="44C27D6D" w14:textId="77777777" w:rsidR="001A07FB" w:rsidRPr="000E46C3" w:rsidRDefault="001A07FB" w:rsidP="00B66A4A">
      <w:pPr>
        <w:numPr>
          <w:ilvl w:val="0"/>
          <w:numId w:val="40"/>
        </w:numPr>
        <w:tabs>
          <w:tab w:val="clear" w:pos="720"/>
          <w:tab w:val="num" w:pos="1100"/>
        </w:tabs>
        <w:spacing w:after="60"/>
        <w:ind w:left="1208" w:hanging="658"/>
        <w:rPr>
          <w:rFonts w:ascii="Arial" w:hAnsi="Arial"/>
          <w:sz w:val="20"/>
          <w:lang w:val="en-GB"/>
        </w:rPr>
      </w:pPr>
      <w:r w:rsidRPr="000E46C3">
        <w:rPr>
          <w:rFonts w:ascii="Arial" w:hAnsi="Arial"/>
          <w:sz w:val="20"/>
          <w:lang w:val="en-GB"/>
        </w:rPr>
        <w:t>The PCT workloads;</w:t>
      </w:r>
    </w:p>
    <w:p w14:paraId="7452A373" w14:textId="77777777" w:rsidR="001A07FB" w:rsidRPr="000E46C3" w:rsidRDefault="001A07FB" w:rsidP="00B66A4A">
      <w:pPr>
        <w:numPr>
          <w:ilvl w:val="0"/>
          <w:numId w:val="40"/>
        </w:numPr>
        <w:tabs>
          <w:tab w:val="clear" w:pos="720"/>
          <w:tab w:val="num" w:pos="1100"/>
        </w:tabs>
        <w:spacing w:after="60"/>
        <w:ind w:left="1208" w:hanging="658"/>
        <w:rPr>
          <w:rFonts w:ascii="Arial" w:hAnsi="Arial"/>
          <w:sz w:val="20"/>
          <w:lang w:val="en-GB"/>
        </w:rPr>
      </w:pPr>
      <w:r w:rsidRPr="000E46C3">
        <w:rPr>
          <w:rFonts w:ascii="Arial" w:hAnsi="Arial"/>
          <w:sz w:val="20"/>
          <w:lang w:val="en-GB"/>
        </w:rPr>
        <w:t>The language distribution of those workloads;</w:t>
      </w:r>
    </w:p>
    <w:p w14:paraId="21555F5A" w14:textId="77777777" w:rsidR="001A07FB" w:rsidRDefault="001A07FB" w:rsidP="00B66A4A">
      <w:pPr>
        <w:numPr>
          <w:ilvl w:val="0"/>
          <w:numId w:val="40"/>
        </w:numPr>
        <w:tabs>
          <w:tab w:val="clear" w:pos="720"/>
          <w:tab w:val="num" w:pos="1100"/>
        </w:tabs>
        <w:spacing w:after="60"/>
        <w:ind w:left="1208" w:hanging="658"/>
        <w:rPr>
          <w:rFonts w:ascii="Arial" w:hAnsi="Arial"/>
          <w:sz w:val="20"/>
          <w:lang w:val="en-GB"/>
        </w:rPr>
      </w:pPr>
      <w:r w:rsidRPr="000E46C3">
        <w:rPr>
          <w:rFonts w:ascii="Arial" w:hAnsi="Arial"/>
          <w:sz w:val="20"/>
          <w:lang w:val="en-GB"/>
        </w:rPr>
        <w:t>The number of staff assigned to process those workloads</w:t>
      </w:r>
      <w:r>
        <w:rPr>
          <w:rFonts w:ascii="Arial" w:hAnsi="Arial"/>
          <w:sz w:val="20"/>
          <w:lang w:val="en-GB"/>
        </w:rPr>
        <w:t>; and</w:t>
      </w:r>
    </w:p>
    <w:p w14:paraId="6337BAD0" w14:textId="77777777" w:rsidR="001A07FB" w:rsidRPr="000E46C3" w:rsidRDefault="001A07FB" w:rsidP="00B66A4A">
      <w:pPr>
        <w:numPr>
          <w:ilvl w:val="0"/>
          <w:numId w:val="40"/>
        </w:numPr>
        <w:tabs>
          <w:tab w:val="clear" w:pos="720"/>
          <w:tab w:val="num" w:pos="1100"/>
        </w:tabs>
        <w:ind w:left="1210" w:hanging="660"/>
        <w:rPr>
          <w:rFonts w:ascii="Arial" w:hAnsi="Arial"/>
          <w:sz w:val="20"/>
          <w:lang w:val="en-GB"/>
        </w:rPr>
      </w:pPr>
      <w:r>
        <w:rPr>
          <w:rFonts w:ascii="Arial" w:hAnsi="Arial"/>
          <w:sz w:val="20"/>
          <w:lang w:val="en-GB"/>
        </w:rPr>
        <w:t>The level of automation.</w:t>
      </w:r>
    </w:p>
    <w:p w14:paraId="6C06A376" w14:textId="77777777" w:rsidR="001A07FB" w:rsidRDefault="001A07FB" w:rsidP="005A1F7F">
      <w:pPr>
        <w:tabs>
          <w:tab w:val="num" w:pos="1100"/>
        </w:tabs>
        <w:ind w:left="1210" w:hanging="660"/>
        <w:rPr>
          <w:rFonts w:ascii="Arial" w:hAnsi="Arial"/>
          <w:sz w:val="20"/>
          <w:lang w:val="en-GB"/>
        </w:rPr>
      </w:pPr>
    </w:p>
    <w:p w14:paraId="55B9E744" w14:textId="77777777" w:rsidR="001A07FB" w:rsidRPr="000E46C3" w:rsidRDefault="001A07FB" w:rsidP="005A1F7F">
      <w:pPr>
        <w:tabs>
          <w:tab w:val="num" w:pos="1100"/>
        </w:tabs>
        <w:ind w:left="1210" w:hanging="660"/>
        <w:rPr>
          <w:rFonts w:ascii="Arial" w:hAnsi="Arial"/>
          <w:sz w:val="20"/>
          <w:lang w:val="en-GB"/>
        </w:rPr>
      </w:pPr>
    </w:p>
    <w:p w14:paraId="57EA1037" w14:textId="77777777" w:rsidR="001A07FB" w:rsidRPr="000E46C3" w:rsidRDefault="001A07FB" w:rsidP="005A1F7F">
      <w:pPr>
        <w:rPr>
          <w:rFonts w:ascii="Arial" w:hAnsi="Arial"/>
          <w:i/>
          <w:sz w:val="20"/>
          <w:lang w:val="en-GB"/>
        </w:rPr>
      </w:pPr>
      <w:r w:rsidRPr="000E46C3">
        <w:rPr>
          <w:rFonts w:ascii="Arial" w:hAnsi="Arial"/>
          <w:i/>
          <w:sz w:val="20"/>
          <w:lang w:val="en-GB"/>
        </w:rPr>
        <w:t>Workloads</w:t>
      </w:r>
    </w:p>
    <w:p w14:paraId="497CF921" w14:textId="77777777" w:rsidR="001A07FB" w:rsidRPr="000E46C3" w:rsidRDefault="001A07FB" w:rsidP="005A1F7F">
      <w:pPr>
        <w:rPr>
          <w:rFonts w:ascii="Arial" w:hAnsi="Arial"/>
          <w:sz w:val="20"/>
          <w:lang w:val="en-GB"/>
        </w:rPr>
      </w:pPr>
    </w:p>
    <w:p w14:paraId="5A6E3716" w14:textId="77777777" w:rsidR="001A07FB" w:rsidRPr="000E46C3" w:rsidRDefault="001A07FB" w:rsidP="00B66A4A">
      <w:pPr>
        <w:numPr>
          <w:ilvl w:val="0"/>
          <w:numId w:val="41"/>
        </w:numPr>
        <w:rPr>
          <w:rFonts w:ascii="Arial" w:hAnsi="Arial"/>
          <w:sz w:val="20"/>
          <w:lang w:val="en-GB"/>
        </w:rPr>
      </w:pPr>
      <w:r w:rsidRPr="000E46C3">
        <w:rPr>
          <w:rFonts w:ascii="Arial" w:hAnsi="Arial"/>
          <w:sz w:val="20"/>
          <w:lang w:val="en-GB"/>
        </w:rPr>
        <w:t>The workloads are tracked on the basis of the yearly number of record copies received by the</w:t>
      </w:r>
      <w:r>
        <w:rPr>
          <w:rFonts w:ascii="Arial" w:hAnsi="Arial"/>
          <w:sz w:val="20"/>
          <w:lang w:val="en-GB"/>
        </w:rPr>
        <w:t> </w:t>
      </w:r>
      <w:r w:rsidRPr="000E46C3">
        <w:rPr>
          <w:rFonts w:ascii="Arial" w:hAnsi="Arial"/>
          <w:sz w:val="20"/>
          <w:lang w:val="en-GB"/>
        </w:rPr>
        <w:t>IB</w:t>
      </w:r>
      <w:r w:rsidRPr="000E46C3">
        <w:rPr>
          <w:rStyle w:val="FootnoteReference"/>
          <w:sz w:val="20"/>
          <w:lang w:val="en-GB"/>
        </w:rPr>
        <w:footnoteReference w:id="23"/>
      </w:r>
      <w:r w:rsidRPr="000E46C3">
        <w:rPr>
          <w:rFonts w:ascii="Arial" w:hAnsi="Arial"/>
          <w:sz w:val="20"/>
          <w:lang w:val="en-GB"/>
        </w:rPr>
        <w:t xml:space="preserve">. </w:t>
      </w:r>
    </w:p>
    <w:p w14:paraId="51442780" w14:textId="77777777" w:rsidR="001A07FB" w:rsidRDefault="001A07FB" w:rsidP="005A1F7F">
      <w:pPr>
        <w:jc w:val="center"/>
        <w:rPr>
          <w:rFonts w:ascii="Arial" w:hAnsi="Arial"/>
          <w:b/>
          <w:bCs/>
          <w:sz w:val="18"/>
          <w:szCs w:val="18"/>
          <w:lang w:val="en-GB"/>
        </w:rPr>
      </w:pPr>
    </w:p>
    <w:p w14:paraId="3EAC318B" w14:textId="77777777" w:rsidR="001A07FB" w:rsidRDefault="001A07FB" w:rsidP="005A1F7F">
      <w:pPr>
        <w:jc w:val="center"/>
        <w:rPr>
          <w:rFonts w:ascii="Arial" w:hAnsi="Arial"/>
          <w:b/>
          <w:bCs/>
          <w:sz w:val="18"/>
          <w:szCs w:val="18"/>
          <w:lang w:val="en-GB"/>
        </w:rPr>
      </w:pPr>
      <w:r w:rsidRPr="00B4173C">
        <w:rPr>
          <w:rFonts w:ascii="Arial" w:hAnsi="Arial"/>
          <w:b/>
          <w:bCs/>
          <w:sz w:val="18"/>
          <w:szCs w:val="18"/>
          <w:lang w:val="en-GB"/>
        </w:rPr>
        <w:t>Evolution of Record Copies by Medium of Filing</w:t>
      </w:r>
    </w:p>
    <w:p w14:paraId="6EF56561" w14:textId="77777777" w:rsidR="001A07FB" w:rsidRPr="00B4173C" w:rsidRDefault="001A07FB" w:rsidP="005A1F7F">
      <w:pPr>
        <w:jc w:val="center"/>
        <w:rPr>
          <w:rFonts w:ascii="Arial" w:hAnsi="Arial"/>
          <w:b/>
          <w:bCs/>
          <w:sz w:val="18"/>
          <w:szCs w:val="18"/>
          <w:lang w:val="en-GB"/>
        </w:rPr>
      </w:pPr>
      <w:r>
        <w:rPr>
          <w:rFonts w:ascii="Arial" w:hAnsi="Arial"/>
          <w:b/>
          <w:bCs/>
          <w:noProof/>
          <w:sz w:val="18"/>
          <w:szCs w:val="18"/>
          <w:lang w:eastAsia="en-US"/>
        </w:rPr>
        <w:drawing>
          <wp:inline distT="0" distB="0" distL="0" distR="0" wp14:anchorId="6EE6EFD4" wp14:editId="2C8B9080">
            <wp:extent cx="5678170" cy="2438400"/>
            <wp:effectExtent l="0" t="0" r="0" b="0"/>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5678170" cy="2438400"/>
                    </a:xfrm>
                    <a:prstGeom prst="rect">
                      <a:avLst/>
                    </a:prstGeom>
                    <a:noFill/>
                  </pic:spPr>
                </pic:pic>
              </a:graphicData>
            </a:graphic>
          </wp:inline>
        </w:drawing>
      </w:r>
    </w:p>
    <w:p w14:paraId="573F29CE" w14:textId="77777777" w:rsidR="001A07FB" w:rsidRPr="00B4173C" w:rsidRDefault="001A07FB" w:rsidP="005A1F7F">
      <w:pPr>
        <w:jc w:val="center"/>
        <w:rPr>
          <w:rFonts w:ascii="Arial" w:hAnsi="Arial"/>
          <w:b/>
          <w:bCs/>
          <w:sz w:val="18"/>
          <w:szCs w:val="18"/>
          <w:lang w:val="en-GB"/>
        </w:rPr>
      </w:pPr>
    </w:p>
    <w:p w14:paraId="2D33AF82" w14:textId="77777777" w:rsidR="001A07FB" w:rsidRPr="00241C08" w:rsidRDefault="001A07FB" w:rsidP="00B66A4A">
      <w:pPr>
        <w:pStyle w:val="BodyText2"/>
        <w:numPr>
          <w:ilvl w:val="0"/>
          <w:numId w:val="42"/>
        </w:numPr>
        <w:tabs>
          <w:tab w:val="clear" w:pos="720"/>
          <w:tab w:val="num" w:pos="1134"/>
        </w:tabs>
        <w:spacing w:after="60" w:line="240" w:lineRule="auto"/>
        <w:ind w:left="1134" w:hanging="567"/>
        <w:jc w:val="both"/>
        <w:rPr>
          <w:rFonts w:ascii="Arial" w:hAnsi="Arial" w:cs="Arial"/>
          <w:sz w:val="20"/>
          <w:szCs w:val="20"/>
        </w:rPr>
      </w:pPr>
      <w:r w:rsidRPr="00241C08">
        <w:rPr>
          <w:rFonts w:ascii="Arial" w:hAnsi="Arial" w:cs="Arial"/>
          <w:sz w:val="20"/>
          <w:szCs w:val="20"/>
        </w:rPr>
        <w:t xml:space="preserve">The IB received </w:t>
      </w:r>
      <w:r w:rsidRPr="00241C08">
        <w:rPr>
          <w:rFonts w:ascii="Arial" w:hAnsi="Arial" w:cs="Arial"/>
          <w:sz w:val="20"/>
          <w:szCs w:val="20"/>
          <w:lang w:eastAsia="zh-CN"/>
        </w:rPr>
        <w:t>approximately</w:t>
      </w:r>
      <w:r w:rsidRPr="00241C08">
        <w:rPr>
          <w:rFonts w:ascii="Arial" w:hAnsi="Arial" w:cs="Arial"/>
          <w:sz w:val="20"/>
          <w:szCs w:val="20"/>
        </w:rPr>
        <w:t xml:space="preserve"> 217,700 record copies in 2014, representing an increase of 7 per cent compared to 2013.  </w:t>
      </w:r>
    </w:p>
    <w:p w14:paraId="32E0E8BE" w14:textId="77777777" w:rsidR="001A07FB" w:rsidRPr="00241C08" w:rsidRDefault="001A07FB" w:rsidP="00B66A4A">
      <w:pPr>
        <w:pStyle w:val="BodyText2"/>
        <w:numPr>
          <w:ilvl w:val="0"/>
          <w:numId w:val="42"/>
        </w:numPr>
        <w:tabs>
          <w:tab w:val="clear" w:pos="720"/>
          <w:tab w:val="num" w:pos="1134"/>
        </w:tabs>
        <w:spacing w:after="0" w:line="240" w:lineRule="auto"/>
        <w:ind w:left="1134" w:hanging="567"/>
        <w:jc w:val="both"/>
        <w:rPr>
          <w:rFonts w:ascii="Arial" w:hAnsi="Arial" w:cs="Arial"/>
          <w:sz w:val="20"/>
          <w:szCs w:val="20"/>
        </w:rPr>
      </w:pPr>
      <w:r w:rsidRPr="00241C08">
        <w:rPr>
          <w:rFonts w:ascii="Arial" w:hAnsi="Arial" w:cs="Arial"/>
          <w:sz w:val="20"/>
          <w:szCs w:val="20"/>
        </w:rPr>
        <w:t>The share of fully electronic filing methods kept increasing in 2014 and now represents 91 per cent of total filings.</w:t>
      </w:r>
    </w:p>
    <w:p w14:paraId="794D84AE" w14:textId="77777777" w:rsidR="001A07FB" w:rsidRDefault="001A07FB" w:rsidP="005A1F7F">
      <w:pPr>
        <w:pStyle w:val="BodyText2"/>
        <w:spacing w:after="0" w:line="240" w:lineRule="auto"/>
        <w:ind w:left="1100"/>
        <w:jc w:val="both"/>
        <w:rPr>
          <w:rFonts w:ascii="Arial" w:hAnsi="Arial" w:cs="Arial"/>
          <w:sz w:val="20"/>
          <w:szCs w:val="20"/>
        </w:rPr>
      </w:pPr>
    </w:p>
    <w:p w14:paraId="2DE8083D" w14:textId="77777777" w:rsidR="001A07FB" w:rsidRPr="00B4173C" w:rsidRDefault="001A07FB" w:rsidP="005A1F7F">
      <w:pPr>
        <w:pStyle w:val="BodyText2"/>
        <w:spacing w:after="0" w:line="240" w:lineRule="auto"/>
        <w:ind w:left="1100"/>
        <w:jc w:val="both"/>
        <w:rPr>
          <w:rFonts w:cs="Arial"/>
          <w:sz w:val="18"/>
          <w:szCs w:val="18"/>
        </w:rPr>
      </w:pPr>
    </w:p>
    <w:p w14:paraId="3990DDC2" w14:textId="77777777" w:rsidR="001A07FB" w:rsidRPr="00EE0539" w:rsidRDefault="001A07FB" w:rsidP="005A1F7F">
      <w:pPr>
        <w:pStyle w:val="BodyText2"/>
        <w:keepLines/>
        <w:spacing w:after="0" w:line="240" w:lineRule="auto"/>
        <w:rPr>
          <w:rFonts w:ascii="Arial" w:hAnsi="Arial" w:cs="Arial"/>
          <w:i/>
          <w:sz w:val="20"/>
          <w:szCs w:val="20"/>
        </w:rPr>
      </w:pPr>
      <w:r w:rsidRPr="00EE0539">
        <w:rPr>
          <w:rFonts w:ascii="Arial" w:hAnsi="Arial" w:cs="Arial"/>
          <w:i/>
          <w:sz w:val="20"/>
          <w:szCs w:val="20"/>
        </w:rPr>
        <w:t>Language distribution</w:t>
      </w:r>
    </w:p>
    <w:p w14:paraId="05982DE7" w14:textId="77777777" w:rsidR="001A07FB" w:rsidRDefault="001A07FB" w:rsidP="005A1F7F">
      <w:pPr>
        <w:pStyle w:val="BodyText2"/>
        <w:keepLines/>
        <w:spacing w:after="0" w:line="240" w:lineRule="auto"/>
        <w:rPr>
          <w:rFonts w:ascii="Arial" w:hAnsi="Arial" w:cs="Arial"/>
          <w:sz w:val="20"/>
          <w:szCs w:val="20"/>
        </w:rPr>
      </w:pPr>
    </w:p>
    <w:p w14:paraId="3A25A2E7"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 xml:space="preserve">One fundamental development driving change in the IB is the increasing language diversity of filings, resulting, in particular, from continued increased usage of the PCT System in East Asian countries. </w:t>
      </w:r>
    </w:p>
    <w:p w14:paraId="50E7434C" w14:textId="77777777" w:rsidR="001A07FB" w:rsidRPr="000E46C3" w:rsidRDefault="001A07FB" w:rsidP="005A1F7F">
      <w:pPr>
        <w:keepNext/>
        <w:keepLines/>
        <w:jc w:val="both"/>
        <w:rPr>
          <w:highlight w:val="yellow"/>
        </w:rPr>
      </w:pPr>
    </w:p>
    <w:p w14:paraId="530D8A1C" w14:textId="77777777" w:rsidR="001A07FB" w:rsidRPr="00EE0539" w:rsidRDefault="001A07FB" w:rsidP="005A1F7F">
      <w:pPr>
        <w:keepNext/>
        <w:keepLines/>
        <w:spacing w:after="120"/>
        <w:jc w:val="center"/>
        <w:rPr>
          <w:rFonts w:ascii="Arial" w:hAnsi="Arial" w:cs="Arial"/>
          <w:i/>
          <w:sz w:val="20"/>
          <w:szCs w:val="20"/>
        </w:rPr>
      </w:pPr>
      <w:r w:rsidRPr="00564AC5">
        <w:rPr>
          <w:rFonts w:ascii="Arial" w:hAnsi="Arial" w:cs="Arial"/>
          <w:b/>
          <w:bCs/>
          <w:sz w:val="18"/>
          <w:szCs w:val="18"/>
        </w:rPr>
        <w:t>Languages of Filing</w:t>
      </w:r>
      <w:r>
        <w:rPr>
          <w:rFonts w:ascii="Arial" w:hAnsi="Arial" w:cs="Arial"/>
          <w:sz w:val="20"/>
          <w:szCs w:val="20"/>
        </w:rPr>
        <w:t xml:space="preserve"> </w:t>
      </w:r>
      <w:r w:rsidRPr="00EE0539">
        <w:rPr>
          <w:rFonts w:ascii="Arial" w:hAnsi="Arial" w:cs="Arial"/>
          <w:i/>
          <w:sz w:val="20"/>
          <w:szCs w:val="20"/>
        </w:rPr>
        <w:t>(all languages)</w:t>
      </w:r>
    </w:p>
    <w:p w14:paraId="4978234C" w14:textId="77777777" w:rsidR="001A07FB" w:rsidRPr="00EE0539" w:rsidRDefault="001A07FB" w:rsidP="005A1F7F">
      <w:pPr>
        <w:keepNext/>
        <w:keepLines/>
        <w:spacing w:after="120"/>
        <w:rPr>
          <w:rFonts w:ascii="Arial" w:hAnsi="Arial" w:cs="Arial"/>
          <w:sz w:val="20"/>
          <w:szCs w:val="20"/>
          <w:highlight w:val="yellow"/>
        </w:rPr>
      </w:pPr>
      <w:r>
        <w:rPr>
          <w:rFonts w:ascii="Arial" w:hAnsi="Arial" w:cs="Arial"/>
          <w:noProof/>
          <w:sz w:val="20"/>
          <w:szCs w:val="20"/>
          <w:lang w:eastAsia="en-US"/>
        </w:rPr>
        <w:drawing>
          <wp:inline distT="0" distB="0" distL="0" distR="0" wp14:anchorId="01335B57" wp14:editId="2A43CE1B">
            <wp:extent cx="5665470" cy="2941955"/>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5665470" cy="2941955"/>
                    </a:xfrm>
                    <a:prstGeom prst="rect">
                      <a:avLst/>
                    </a:prstGeom>
                    <a:noFill/>
                  </pic:spPr>
                </pic:pic>
              </a:graphicData>
            </a:graphic>
          </wp:inline>
        </w:drawing>
      </w:r>
    </w:p>
    <w:p w14:paraId="20EEED42"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As can be observed, while English accounts for the majority of filing, with 51.6</w:t>
      </w:r>
      <w:r>
        <w:rPr>
          <w:rFonts w:ascii="Arial" w:hAnsi="Arial" w:cs="Arial"/>
          <w:sz w:val="20"/>
          <w:szCs w:val="20"/>
        </w:rPr>
        <w:t xml:space="preserve"> per cent</w:t>
      </w:r>
      <w:r w:rsidRPr="00EE0539">
        <w:rPr>
          <w:rFonts w:ascii="Arial" w:hAnsi="Arial" w:cs="Arial"/>
          <w:sz w:val="20"/>
          <w:szCs w:val="20"/>
        </w:rPr>
        <w:t xml:space="preserve"> of filings in 2014, the shares of Asian languages have increased over the past decade.  </w:t>
      </w:r>
      <w:r w:rsidRPr="00EE0539">
        <w:rPr>
          <w:rFonts w:ascii="Arial" w:hAnsi="Arial" w:cs="Arial"/>
          <w:sz w:val="20"/>
          <w:szCs w:val="20"/>
          <w:lang w:val="en-GB"/>
        </w:rPr>
        <w:t>The combined share of the PCT applications filed in Japanese, Chinese and Korean has increased from 29.5</w:t>
      </w:r>
      <w:r>
        <w:rPr>
          <w:rFonts w:ascii="Arial" w:hAnsi="Arial" w:cs="Arial"/>
          <w:sz w:val="20"/>
          <w:szCs w:val="20"/>
          <w:lang w:val="en-GB"/>
        </w:rPr>
        <w:t xml:space="preserve"> per cent</w:t>
      </w:r>
      <w:r w:rsidRPr="00EE0539">
        <w:rPr>
          <w:rFonts w:ascii="Arial" w:hAnsi="Arial" w:cs="Arial"/>
          <w:sz w:val="20"/>
          <w:szCs w:val="20"/>
          <w:lang w:val="en-GB"/>
        </w:rPr>
        <w:t xml:space="preserve"> in 2009 to 34.5</w:t>
      </w:r>
      <w:r>
        <w:rPr>
          <w:rFonts w:ascii="Arial" w:hAnsi="Arial" w:cs="Arial"/>
          <w:sz w:val="20"/>
          <w:szCs w:val="20"/>
          <w:lang w:val="en-GB"/>
        </w:rPr>
        <w:t xml:space="preserve"> per cent</w:t>
      </w:r>
      <w:r w:rsidRPr="00EE0539">
        <w:rPr>
          <w:rFonts w:ascii="Arial" w:hAnsi="Arial" w:cs="Arial"/>
          <w:sz w:val="20"/>
          <w:szCs w:val="20"/>
          <w:lang w:val="en-GB"/>
        </w:rPr>
        <w:t xml:space="preserve"> in 2012. This share has rema</w:t>
      </w:r>
      <w:r>
        <w:rPr>
          <w:rFonts w:ascii="Arial" w:hAnsi="Arial" w:cs="Arial"/>
          <w:sz w:val="20"/>
          <w:szCs w:val="20"/>
          <w:lang w:val="en-GB"/>
        </w:rPr>
        <w:t xml:space="preserve">ined stable from 2012 to 2014. </w:t>
      </w:r>
      <w:r w:rsidRPr="00EE0539">
        <w:rPr>
          <w:rFonts w:ascii="Arial" w:hAnsi="Arial" w:cs="Arial"/>
          <w:sz w:val="20"/>
          <w:szCs w:val="20"/>
          <w:lang w:val="en-GB"/>
        </w:rPr>
        <w:t xml:space="preserve"> </w:t>
      </w:r>
      <w:r w:rsidRPr="00EE0539">
        <w:rPr>
          <w:rFonts w:ascii="Arial" w:hAnsi="Arial" w:cs="Arial"/>
          <w:sz w:val="20"/>
          <w:szCs w:val="20"/>
        </w:rPr>
        <w:t>Zooming in on languages other than English provides the following picture:</w:t>
      </w:r>
    </w:p>
    <w:p w14:paraId="0910BDDE" w14:textId="77777777" w:rsidR="001A07FB" w:rsidRPr="004005D3" w:rsidRDefault="001A07FB" w:rsidP="005A1F7F">
      <w:pPr>
        <w:pStyle w:val="BodyText2"/>
        <w:spacing w:after="0" w:line="240" w:lineRule="auto"/>
        <w:ind w:left="142"/>
        <w:jc w:val="both"/>
        <w:rPr>
          <w:rFonts w:cs="Arial"/>
        </w:rPr>
      </w:pPr>
    </w:p>
    <w:p w14:paraId="6250ACA9" w14:textId="77777777" w:rsidR="001A07FB" w:rsidRPr="004005D3" w:rsidRDefault="001A07FB" w:rsidP="005A1F7F">
      <w:pPr>
        <w:spacing w:after="120"/>
        <w:rPr>
          <w:rFonts w:ascii="Arial" w:hAnsi="Arial" w:cs="Arial"/>
          <w:sz w:val="18"/>
          <w:szCs w:val="18"/>
        </w:rPr>
      </w:pPr>
    </w:p>
    <w:p w14:paraId="4BFCC661" w14:textId="77777777" w:rsidR="001A07FB" w:rsidRPr="00EE0539" w:rsidRDefault="001A07FB" w:rsidP="005A1F7F">
      <w:pPr>
        <w:spacing w:after="120"/>
        <w:jc w:val="center"/>
        <w:rPr>
          <w:rFonts w:ascii="Arial" w:hAnsi="Arial" w:cs="Arial"/>
          <w:sz w:val="20"/>
          <w:szCs w:val="20"/>
        </w:rPr>
      </w:pPr>
      <w:r w:rsidRPr="004005D3">
        <w:rPr>
          <w:rFonts w:ascii="Arial" w:hAnsi="Arial" w:cs="Arial"/>
          <w:b/>
          <w:bCs/>
          <w:sz w:val="18"/>
          <w:szCs w:val="18"/>
        </w:rPr>
        <w:t>Languages of Filing</w:t>
      </w:r>
      <w:r>
        <w:rPr>
          <w:rFonts w:ascii="Arial" w:hAnsi="Arial" w:cs="Arial"/>
          <w:b/>
          <w:bCs/>
          <w:sz w:val="18"/>
          <w:szCs w:val="18"/>
        </w:rPr>
        <w:t xml:space="preserve"> </w:t>
      </w:r>
      <w:r w:rsidRPr="000D2666">
        <w:rPr>
          <w:rFonts w:ascii="Arial" w:hAnsi="Arial" w:cs="Arial"/>
          <w:sz w:val="18"/>
          <w:szCs w:val="20"/>
        </w:rPr>
        <w:t>(all languages except English)</w:t>
      </w:r>
    </w:p>
    <w:p w14:paraId="3B536229" w14:textId="77777777" w:rsidR="001A07FB" w:rsidRPr="004005D3" w:rsidRDefault="001A07FB" w:rsidP="005A1F7F">
      <w:pPr>
        <w:spacing w:after="120"/>
      </w:pPr>
      <w:r>
        <w:rPr>
          <w:noProof/>
          <w:lang w:eastAsia="en-US"/>
        </w:rPr>
        <w:drawing>
          <wp:inline distT="0" distB="0" distL="0" distR="0" wp14:anchorId="0646AFD0" wp14:editId="60D380E9">
            <wp:extent cx="5719445" cy="3319780"/>
            <wp:effectExtent l="0" t="0" r="0" b="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719445" cy="3319780"/>
                    </a:xfrm>
                    <a:prstGeom prst="rect">
                      <a:avLst/>
                    </a:prstGeom>
                    <a:noFill/>
                  </pic:spPr>
                </pic:pic>
              </a:graphicData>
            </a:graphic>
          </wp:inline>
        </w:drawing>
      </w:r>
    </w:p>
    <w:p w14:paraId="08E9A074" w14:textId="77777777" w:rsidR="001A07FB" w:rsidRPr="00EE0539" w:rsidRDefault="001A07FB" w:rsidP="00B66A4A">
      <w:pPr>
        <w:numPr>
          <w:ilvl w:val="0"/>
          <w:numId w:val="41"/>
        </w:numPr>
        <w:rPr>
          <w:rFonts w:ascii="Arial" w:hAnsi="Arial" w:cs="Arial"/>
          <w:sz w:val="20"/>
          <w:szCs w:val="20"/>
          <w:lang w:val="en-GB"/>
        </w:rPr>
      </w:pPr>
      <w:r w:rsidRPr="00EE0539">
        <w:rPr>
          <w:rFonts w:ascii="Arial" w:hAnsi="Arial"/>
          <w:sz w:val="20"/>
          <w:lang w:val="en-GB"/>
        </w:rPr>
        <w:t>The</w:t>
      </w:r>
      <w:r w:rsidRPr="00EE0539">
        <w:rPr>
          <w:rFonts w:ascii="Arial" w:hAnsi="Arial" w:cs="Arial"/>
          <w:sz w:val="20"/>
          <w:szCs w:val="20"/>
        </w:rPr>
        <w:t xml:space="preserve"> sharp increase of applications filed in Asian languages in the last </w:t>
      </w:r>
      <w:r>
        <w:rPr>
          <w:rFonts w:ascii="Arial" w:hAnsi="Arial" w:cs="Arial"/>
          <w:sz w:val="20"/>
          <w:szCs w:val="20"/>
        </w:rPr>
        <w:t>five</w:t>
      </w:r>
      <w:r w:rsidRPr="00EE0539">
        <w:rPr>
          <w:rFonts w:ascii="Arial" w:hAnsi="Arial" w:cs="Arial"/>
          <w:sz w:val="20"/>
          <w:szCs w:val="20"/>
        </w:rPr>
        <w:t xml:space="preserve"> years put a considerable strain on the IB due to the limited number of staff resources able to work in these languages. Mitigation for this issue is automation of certain tasks and recruitment of staff able to work in these languages</w:t>
      </w:r>
      <w:r w:rsidRPr="00EE0539">
        <w:rPr>
          <w:rFonts w:ascii="Arial" w:hAnsi="Arial" w:cs="Arial"/>
          <w:sz w:val="20"/>
          <w:szCs w:val="20"/>
          <w:lang w:val="en-GB"/>
        </w:rPr>
        <w:t>.</w:t>
      </w:r>
    </w:p>
    <w:p w14:paraId="05BD48A7" w14:textId="77777777" w:rsidR="001A07FB" w:rsidRPr="00EE0539" w:rsidRDefault="001A07FB" w:rsidP="005A1F7F">
      <w:pPr>
        <w:spacing w:after="120"/>
        <w:rPr>
          <w:rFonts w:ascii="Arial" w:hAnsi="Arial" w:cs="Arial"/>
          <w:i/>
          <w:sz w:val="20"/>
          <w:szCs w:val="20"/>
          <w:lang w:val="en-GB"/>
        </w:rPr>
      </w:pPr>
    </w:p>
    <w:p w14:paraId="4998DF39" w14:textId="77777777" w:rsidR="001A07FB" w:rsidRPr="00D77A7B" w:rsidRDefault="001A07FB" w:rsidP="005A1F7F">
      <w:pPr>
        <w:keepNext/>
        <w:keepLines/>
        <w:spacing w:after="120"/>
        <w:rPr>
          <w:rFonts w:ascii="Arial" w:hAnsi="Arial" w:cs="Arial"/>
          <w:i/>
          <w:sz w:val="20"/>
          <w:szCs w:val="20"/>
          <w:lang w:val="en-GB"/>
        </w:rPr>
      </w:pPr>
      <w:r w:rsidRPr="00D77A7B">
        <w:rPr>
          <w:rFonts w:ascii="Arial" w:hAnsi="Arial" w:cs="Arial"/>
          <w:i/>
          <w:sz w:val="20"/>
          <w:szCs w:val="20"/>
          <w:lang w:val="en-GB"/>
        </w:rPr>
        <w:lastRenderedPageBreak/>
        <w:t>Staff</w:t>
      </w:r>
    </w:p>
    <w:p w14:paraId="08B85C29" w14:textId="77777777" w:rsidR="001A07FB" w:rsidRDefault="001A07FB" w:rsidP="00B66A4A">
      <w:pPr>
        <w:keepNext/>
        <w:keepLines/>
        <w:numPr>
          <w:ilvl w:val="0"/>
          <w:numId w:val="41"/>
        </w:numPr>
        <w:rPr>
          <w:rFonts w:ascii="Arial" w:hAnsi="Arial" w:cs="Arial"/>
          <w:sz w:val="20"/>
          <w:szCs w:val="20"/>
        </w:rPr>
      </w:pPr>
      <w:r w:rsidRPr="00EE0539">
        <w:rPr>
          <w:rFonts w:ascii="Arial" w:hAnsi="Arial" w:cs="Arial"/>
          <w:sz w:val="20"/>
          <w:szCs w:val="20"/>
        </w:rPr>
        <w:t xml:space="preserve">The chart below shows the number of PCT Operations staff since 2001, in Full Time Staff Equivalent (FTSE </w:t>
      </w:r>
      <w:r w:rsidRPr="00EE0539">
        <w:rPr>
          <w:rFonts w:ascii="Arial" w:hAnsi="Arial" w:cs="Arial"/>
          <w:sz w:val="20"/>
          <w:szCs w:val="20"/>
        </w:rPr>
        <w:noBreakHyphen/>
        <w:t xml:space="preserve"> total number of full-time staff plus the full-time equivalent of part-time staff).</w:t>
      </w:r>
    </w:p>
    <w:p w14:paraId="23B44B31" w14:textId="77777777" w:rsidR="001A07FB" w:rsidRDefault="001A07FB" w:rsidP="005A1F7F">
      <w:pPr>
        <w:rPr>
          <w:rFonts w:ascii="Arial" w:hAnsi="Arial" w:cs="Arial"/>
          <w:sz w:val="20"/>
          <w:szCs w:val="20"/>
        </w:rPr>
      </w:pPr>
    </w:p>
    <w:p w14:paraId="4626B15E" w14:textId="556F4993" w:rsidR="000D2666" w:rsidRDefault="000D2666" w:rsidP="000D2666">
      <w:pPr>
        <w:jc w:val="center"/>
        <w:rPr>
          <w:rFonts w:ascii="Arial" w:hAnsi="Arial" w:cs="Arial"/>
          <w:b/>
          <w:sz w:val="18"/>
          <w:szCs w:val="20"/>
        </w:rPr>
      </w:pPr>
      <w:r w:rsidRPr="000D2666">
        <w:rPr>
          <w:rFonts w:ascii="Arial" w:hAnsi="Arial" w:cs="Arial"/>
          <w:b/>
          <w:sz w:val="18"/>
          <w:szCs w:val="20"/>
        </w:rPr>
        <w:t>Number of Personnel in PCT Operations</w:t>
      </w:r>
    </w:p>
    <w:p w14:paraId="515C3A3D" w14:textId="77777777" w:rsidR="000D2666" w:rsidRPr="000D2666" w:rsidRDefault="000D2666" w:rsidP="000D2666">
      <w:pPr>
        <w:jc w:val="center"/>
        <w:rPr>
          <w:rFonts w:ascii="Arial" w:hAnsi="Arial" w:cs="Arial"/>
          <w:b/>
          <w:sz w:val="18"/>
          <w:szCs w:val="20"/>
        </w:rPr>
      </w:pPr>
    </w:p>
    <w:p w14:paraId="56B5566A" w14:textId="77777777" w:rsidR="001A07FB" w:rsidRPr="00A744DD" w:rsidRDefault="001A07FB" w:rsidP="005A1F7F">
      <w:pPr>
        <w:rPr>
          <w:rFonts w:ascii="Arial" w:hAnsi="Arial"/>
          <w:sz w:val="20"/>
          <w:lang w:val="en-GB"/>
        </w:rPr>
      </w:pPr>
      <w:r>
        <w:rPr>
          <w:rFonts w:ascii="Arial" w:hAnsi="Arial"/>
          <w:noProof/>
          <w:sz w:val="20"/>
          <w:lang w:eastAsia="en-US"/>
        </w:rPr>
        <w:drawing>
          <wp:inline distT="0" distB="0" distL="0" distR="0" wp14:anchorId="2D0551A3" wp14:editId="339AB69B">
            <wp:extent cx="6021238" cy="2794958"/>
            <wp:effectExtent l="0" t="0" r="0" b="5715"/>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pic:cNvPicPr>
                      <a:picLocks noChangeAspect="1" noChangeArrowheads="1"/>
                    </pic:cNvPicPr>
                  </pic:nvPicPr>
                  <pic:blipFill rotWithShape="1">
                    <a:blip r:embed="rId257">
                      <a:extLst>
                        <a:ext uri="{28A0092B-C50C-407E-A947-70E740481C1C}">
                          <a14:useLocalDpi xmlns:a14="http://schemas.microsoft.com/office/drawing/2010/main" val="0"/>
                        </a:ext>
                      </a:extLst>
                    </a:blip>
                    <a:srcRect t="6087" r="-8"/>
                    <a:stretch/>
                  </pic:blipFill>
                  <pic:spPr bwMode="auto">
                    <a:xfrm>
                      <a:off x="0" y="0"/>
                      <a:ext cx="6024075" cy="2796275"/>
                    </a:xfrm>
                    <a:prstGeom prst="rect">
                      <a:avLst/>
                    </a:prstGeom>
                    <a:noFill/>
                    <a:ln>
                      <a:noFill/>
                    </a:ln>
                    <a:extLst>
                      <a:ext uri="{53640926-AAD7-44D8-BBD7-CCE9431645EC}">
                        <a14:shadowObscured xmlns:a14="http://schemas.microsoft.com/office/drawing/2010/main"/>
                      </a:ext>
                    </a:extLst>
                  </pic:spPr>
                </pic:pic>
              </a:graphicData>
            </a:graphic>
          </wp:inline>
        </w:drawing>
      </w:r>
    </w:p>
    <w:p w14:paraId="05C10285" w14:textId="77777777" w:rsidR="001A07FB" w:rsidRPr="00A744DD" w:rsidRDefault="001A07FB" w:rsidP="005A1F7F">
      <w:pPr>
        <w:rPr>
          <w:rFonts w:ascii="Arial" w:hAnsi="Arial"/>
          <w:sz w:val="20"/>
          <w:lang w:val="en-GB"/>
        </w:rPr>
      </w:pPr>
    </w:p>
    <w:p w14:paraId="588A4BE8" w14:textId="77777777" w:rsidR="001A07FB" w:rsidRPr="00A744DD" w:rsidRDefault="001A07FB" w:rsidP="00B66A4A">
      <w:pPr>
        <w:numPr>
          <w:ilvl w:val="0"/>
          <w:numId w:val="39"/>
        </w:numPr>
        <w:tabs>
          <w:tab w:val="clear" w:pos="720"/>
          <w:tab w:val="num" w:pos="1100"/>
        </w:tabs>
        <w:ind w:left="1100" w:hanging="550"/>
        <w:rPr>
          <w:rFonts w:ascii="Arial" w:hAnsi="Arial"/>
          <w:sz w:val="20"/>
          <w:lang w:val="en-GB"/>
        </w:rPr>
      </w:pPr>
      <w:r w:rsidRPr="00A744DD">
        <w:rPr>
          <w:rFonts w:ascii="Arial" w:hAnsi="Arial"/>
          <w:sz w:val="20"/>
          <w:lang w:val="en-GB"/>
        </w:rPr>
        <w:t xml:space="preserve">The PCT Operations Division’s personnel </w:t>
      </w:r>
      <w:r>
        <w:rPr>
          <w:rFonts w:ascii="Arial" w:hAnsi="Arial"/>
          <w:sz w:val="20"/>
          <w:lang w:val="en-GB"/>
        </w:rPr>
        <w:t>further decreased in 2014.</w:t>
      </w:r>
    </w:p>
    <w:p w14:paraId="4C8EE7D6" w14:textId="77777777" w:rsidR="001A07FB" w:rsidRPr="00A744DD" w:rsidRDefault="001A07FB" w:rsidP="005A1F7F">
      <w:pPr>
        <w:spacing w:after="120"/>
        <w:rPr>
          <w:rFonts w:ascii="Arial" w:hAnsi="Arial"/>
          <w:sz w:val="20"/>
          <w:u w:val="single"/>
          <w:lang w:val="en-GB"/>
        </w:rPr>
      </w:pPr>
    </w:p>
    <w:p w14:paraId="2160CD71" w14:textId="77777777" w:rsidR="001A07FB" w:rsidRPr="00EE0539" w:rsidRDefault="001A07FB" w:rsidP="005A1F7F">
      <w:pPr>
        <w:rPr>
          <w:rFonts w:ascii="Arial" w:hAnsi="Arial" w:cs="Arial"/>
          <w:i/>
          <w:sz w:val="20"/>
          <w:szCs w:val="20"/>
        </w:rPr>
      </w:pPr>
      <w:r w:rsidRPr="00EE0539">
        <w:rPr>
          <w:rFonts w:ascii="Arial" w:hAnsi="Arial" w:cs="Arial"/>
          <w:i/>
          <w:sz w:val="20"/>
          <w:szCs w:val="20"/>
        </w:rPr>
        <w:t>Unit cost of processing an application</w:t>
      </w:r>
    </w:p>
    <w:p w14:paraId="19B63395" w14:textId="77777777" w:rsidR="001A07FB" w:rsidRPr="00EE0539" w:rsidRDefault="001A07FB" w:rsidP="005A1F7F">
      <w:pPr>
        <w:rPr>
          <w:rFonts w:ascii="Arial" w:hAnsi="Arial" w:cs="Arial"/>
          <w:sz w:val="20"/>
          <w:szCs w:val="20"/>
        </w:rPr>
      </w:pPr>
    </w:p>
    <w:p w14:paraId="7DE59233"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 xml:space="preserve">The IB’s productivity in processing PCT applications can be measured by the unit cost of processing, defined as the average total cost of publishing a PCT application. Average total cost is determined by total </w:t>
      </w:r>
      <w:r>
        <w:rPr>
          <w:rFonts w:ascii="Arial" w:hAnsi="Arial" w:cs="Arial"/>
          <w:sz w:val="20"/>
          <w:szCs w:val="20"/>
        </w:rPr>
        <w:t xml:space="preserve">direct </w:t>
      </w:r>
      <w:r w:rsidRPr="00EE0539">
        <w:rPr>
          <w:rFonts w:ascii="Arial" w:hAnsi="Arial" w:cs="Arial"/>
          <w:sz w:val="20"/>
          <w:szCs w:val="20"/>
        </w:rPr>
        <w:t>PCT system expenditure</w:t>
      </w:r>
      <w:r w:rsidRPr="00D77A7B">
        <w:rPr>
          <w:rFonts w:ascii="Arial" w:hAnsi="Arial" w:cs="Arial"/>
          <w:sz w:val="20"/>
          <w:szCs w:val="20"/>
        </w:rPr>
        <w:t xml:space="preserve"> </w:t>
      </w:r>
      <w:r>
        <w:rPr>
          <w:rFonts w:ascii="Arial" w:hAnsi="Arial" w:cs="Arial"/>
          <w:sz w:val="20"/>
          <w:szCs w:val="20"/>
        </w:rPr>
        <w:t>(</w:t>
      </w:r>
      <w:r w:rsidRPr="0043008F">
        <w:rPr>
          <w:rFonts w:ascii="Arial" w:hAnsi="Arial" w:cs="Arial"/>
          <w:sz w:val="20"/>
          <w:szCs w:val="20"/>
        </w:rPr>
        <w:t>expenditure incurred by the IB in the administration of the PCT system and related Programs</w:t>
      </w:r>
      <w:r>
        <w:rPr>
          <w:rFonts w:ascii="Arial" w:hAnsi="Arial" w:cs="Arial"/>
          <w:sz w:val="20"/>
          <w:szCs w:val="20"/>
        </w:rPr>
        <w:t>)</w:t>
      </w:r>
      <w:r w:rsidRPr="00EE0539">
        <w:rPr>
          <w:rFonts w:ascii="Arial" w:hAnsi="Arial" w:cs="Arial"/>
          <w:sz w:val="20"/>
          <w:szCs w:val="20"/>
        </w:rPr>
        <w:t xml:space="preserve">, plus a proportion of </w:t>
      </w:r>
      <w:r>
        <w:rPr>
          <w:rFonts w:ascii="Arial" w:hAnsi="Arial" w:cs="Arial"/>
          <w:sz w:val="20"/>
          <w:szCs w:val="20"/>
        </w:rPr>
        <w:t xml:space="preserve">indirect </w:t>
      </w:r>
      <w:r w:rsidRPr="00EE0539">
        <w:rPr>
          <w:rFonts w:ascii="Arial" w:hAnsi="Arial" w:cs="Arial"/>
          <w:sz w:val="20"/>
          <w:szCs w:val="20"/>
        </w:rPr>
        <w:t>expenditure on support and management activities</w:t>
      </w:r>
      <w:r>
        <w:rPr>
          <w:rFonts w:ascii="Arial" w:hAnsi="Arial" w:cs="Arial"/>
          <w:sz w:val="20"/>
          <w:szCs w:val="20"/>
        </w:rPr>
        <w:t xml:space="preserve"> </w:t>
      </w:r>
      <w:r w:rsidRPr="00C560ED">
        <w:rPr>
          <w:rFonts w:ascii="Arial" w:hAnsi="Arial" w:cs="Arial"/>
          <w:sz w:val="20"/>
          <w:szCs w:val="20"/>
        </w:rPr>
        <w:t>(e.g., buildings and information technology, among others)</w:t>
      </w:r>
      <w:r w:rsidRPr="00EE0539">
        <w:rPr>
          <w:rFonts w:ascii="Arial" w:hAnsi="Arial" w:cs="Arial"/>
          <w:sz w:val="20"/>
          <w:szCs w:val="20"/>
        </w:rPr>
        <w:t xml:space="preserve">. </w:t>
      </w:r>
      <w:r w:rsidRPr="002C1953">
        <w:rPr>
          <w:rFonts w:ascii="Arial" w:hAnsi="Arial" w:cs="Arial"/>
          <w:sz w:val="20"/>
          <w:szCs w:val="20"/>
        </w:rPr>
        <w:t>Indirect costs are weighted to take into account only the share attributable to the PCT system.</w:t>
      </w:r>
      <w:r>
        <w:rPr>
          <w:rFonts w:ascii="Arial" w:hAnsi="Arial" w:cs="Arial"/>
          <w:sz w:val="20"/>
          <w:szCs w:val="20"/>
        </w:rPr>
        <w:t xml:space="preserve"> </w:t>
      </w:r>
      <w:r w:rsidRPr="00EE0539">
        <w:rPr>
          <w:rFonts w:ascii="Arial" w:hAnsi="Arial" w:cs="Arial"/>
          <w:sz w:val="20"/>
          <w:szCs w:val="20"/>
        </w:rPr>
        <w:t>The unit cost thus includes the cost of all PCT activities, including translation, communication, management and others.</w:t>
      </w:r>
    </w:p>
    <w:p w14:paraId="6B269BC5" w14:textId="77777777" w:rsidR="001A07FB" w:rsidRPr="00EE0539" w:rsidRDefault="001A07FB" w:rsidP="005A1F7F">
      <w:pPr>
        <w:jc w:val="both"/>
        <w:rPr>
          <w:rFonts w:ascii="Arial" w:hAnsi="Arial" w:cs="Arial"/>
          <w:sz w:val="20"/>
          <w:szCs w:val="20"/>
        </w:rPr>
      </w:pPr>
    </w:p>
    <w:p w14:paraId="4332CE53"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t>The</w:t>
      </w:r>
      <w:r w:rsidRPr="00EE0539">
        <w:rPr>
          <w:rFonts w:ascii="Arial" w:hAnsi="Arial" w:cs="Arial"/>
          <w:sz w:val="20"/>
          <w:szCs w:val="20"/>
        </w:rPr>
        <w:t xml:space="preserve"> methodology to compute the unit cost was revised in 2013 in order to align it with other WIPO unit/union cost calculations and to better capture a fast changing environment. For example, the old method, which was designed in 2007, included a cost of storage (over 30 years) in warehouses, whereas paper filings (including PCT EASY filings) accounted for less than 10</w:t>
      </w:r>
      <w:r>
        <w:rPr>
          <w:rFonts w:ascii="Arial" w:hAnsi="Arial" w:cs="Arial"/>
          <w:sz w:val="20"/>
          <w:szCs w:val="20"/>
        </w:rPr>
        <w:t xml:space="preserve"> per cent</w:t>
      </w:r>
      <w:r w:rsidRPr="00EE0539">
        <w:rPr>
          <w:rFonts w:ascii="Arial" w:hAnsi="Arial" w:cs="Arial"/>
          <w:sz w:val="20"/>
          <w:szCs w:val="20"/>
        </w:rPr>
        <w:t xml:space="preserve"> of filings in 2013. The 2012 PCT unit cost has been calculated using both methods. The 2012 unit cost amounted to 680 Swiss francs using the old method and to 712 Swiss francs using the new method. The 32 Swiss francs difference is due to the new method for allocating indirect costs.</w:t>
      </w:r>
    </w:p>
    <w:p w14:paraId="0F222670" w14:textId="77777777" w:rsidR="001A07FB" w:rsidRPr="00EE0539" w:rsidRDefault="001A07FB" w:rsidP="005A1F7F">
      <w:pPr>
        <w:jc w:val="both"/>
        <w:rPr>
          <w:rFonts w:ascii="Arial" w:hAnsi="Arial" w:cs="Arial"/>
          <w:sz w:val="20"/>
          <w:szCs w:val="20"/>
        </w:rPr>
      </w:pPr>
    </w:p>
    <w:p w14:paraId="2C2959D3" w14:textId="77777777" w:rsidR="001A07FB" w:rsidRDefault="001A07FB" w:rsidP="00B66A4A">
      <w:pPr>
        <w:numPr>
          <w:ilvl w:val="0"/>
          <w:numId w:val="41"/>
        </w:numPr>
        <w:rPr>
          <w:rFonts w:ascii="Arial" w:hAnsi="Arial" w:cs="Arial"/>
          <w:sz w:val="20"/>
          <w:szCs w:val="20"/>
        </w:rPr>
      </w:pPr>
      <w:r w:rsidRPr="00EE0539">
        <w:rPr>
          <w:rFonts w:ascii="Arial" w:hAnsi="Arial" w:cs="Arial"/>
          <w:sz w:val="20"/>
          <w:szCs w:val="20"/>
        </w:rPr>
        <w:t>Formally, unit cost is defined as:</w:t>
      </w:r>
    </w:p>
    <w:p w14:paraId="4967C3E6" w14:textId="77777777" w:rsidR="001A07FB" w:rsidRDefault="001A07FB" w:rsidP="005A1F7F">
      <w:pPr>
        <w:rPr>
          <w:rFonts w:ascii="Arial" w:hAnsi="Arial" w:cs="Arial"/>
          <w:sz w:val="20"/>
          <w:szCs w:val="20"/>
        </w:rPr>
      </w:pPr>
    </w:p>
    <w:p w14:paraId="2CD33D00" w14:textId="77777777" w:rsidR="001A07FB" w:rsidRDefault="001A07FB" w:rsidP="005A1F7F">
      <w:pPr>
        <w:jc w:val="center"/>
        <w:rPr>
          <w:rFonts w:ascii="Arial" w:hAnsi="Arial" w:cs="Arial"/>
          <w:sz w:val="20"/>
          <w:szCs w:val="20"/>
        </w:rPr>
      </w:pPr>
      <w:r>
        <w:rPr>
          <w:noProof/>
          <w:lang w:eastAsia="en-US"/>
        </w:rPr>
        <w:drawing>
          <wp:inline distT="0" distB="0" distL="0" distR="0" wp14:anchorId="3051E5FB" wp14:editId="50F0A28D">
            <wp:extent cx="2047875" cy="342900"/>
            <wp:effectExtent l="0" t="0" r="952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2047875" cy="342900"/>
                    </a:xfrm>
                    <a:prstGeom prst="rect">
                      <a:avLst/>
                    </a:prstGeom>
                    <a:noFill/>
                    <a:ln>
                      <a:noFill/>
                    </a:ln>
                  </pic:spPr>
                </pic:pic>
              </a:graphicData>
            </a:graphic>
          </wp:inline>
        </w:drawing>
      </w:r>
    </w:p>
    <w:p w14:paraId="3ED7F8CD" w14:textId="77777777" w:rsidR="001A07FB" w:rsidRPr="00EE0539" w:rsidRDefault="001A07FB" w:rsidP="005A1F7F">
      <w:pPr>
        <w:rPr>
          <w:rFonts w:ascii="Arial" w:hAnsi="Arial" w:cs="Arial"/>
          <w:sz w:val="20"/>
          <w:szCs w:val="20"/>
          <w:highlight w:val="yellow"/>
          <w:lang w:val="en-GB"/>
        </w:rPr>
      </w:pPr>
    </w:p>
    <w:p w14:paraId="7E70951A" w14:textId="77777777" w:rsidR="001A07FB" w:rsidRPr="00EE0539" w:rsidRDefault="001A07FB" w:rsidP="00B66A4A">
      <w:pPr>
        <w:numPr>
          <w:ilvl w:val="0"/>
          <w:numId w:val="41"/>
        </w:numPr>
        <w:rPr>
          <w:rFonts w:ascii="Arial" w:hAnsi="Arial" w:cs="Arial"/>
          <w:sz w:val="20"/>
          <w:szCs w:val="20"/>
          <w:lang w:val="en-GB"/>
        </w:rPr>
      </w:pPr>
      <w:r w:rsidRPr="00EE0539">
        <w:rPr>
          <w:rFonts w:ascii="Arial" w:hAnsi="Arial" w:cs="Arial"/>
          <w:sz w:val="20"/>
          <w:szCs w:val="20"/>
          <w:lang w:val="en-GB"/>
        </w:rPr>
        <w:t>The graphs below depict the evolution of the unit cost of processing from 2004 to 2012 using the old method and from 2012 to 2014 using the new method, including a breakdown of the contribution of direct and indirect costs.</w:t>
      </w:r>
    </w:p>
    <w:p w14:paraId="40151555" w14:textId="77777777" w:rsidR="001A07FB" w:rsidRPr="00EE0539" w:rsidRDefault="001A07FB" w:rsidP="005A1F7F">
      <w:pPr>
        <w:rPr>
          <w:rFonts w:ascii="Arial" w:hAnsi="Arial" w:cs="Arial"/>
          <w:sz w:val="20"/>
          <w:szCs w:val="20"/>
          <w:lang w:val="en-GB"/>
        </w:rPr>
      </w:pPr>
    </w:p>
    <w:p w14:paraId="03E046B5" w14:textId="77777777" w:rsidR="001A07FB" w:rsidRPr="000D2666" w:rsidRDefault="001A07FB" w:rsidP="005A1F7F">
      <w:pPr>
        <w:keepNext/>
        <w:keepLines/>
        <w:jc w:val="center"/>
        <w:rPr>
          <w:rFonts w:ascii="Arial" w:hAnsi="Arial" w:cs="Arial"/>
          <w:b/>
          <w:sz w:val="18"/>
          <w:szCs w:val="20"/>
          <w:lang w:val="en-GB"/>
        </w:rPr>
      </w:pPr>
      <w:r w:rsidRPr="000D2666">
        <w:rPr>
          <w:rFonts w:ascii="Arial" w:hAnsi="Arial" w:cs="Arial"/>
          <w:b/>
          <w:sz w:val="18"/>
          <w:szCs w:val="20"/>
          <w:lang w:val="en-GB"/>
        </w:rPr>
        <w:lastRenderedPageBreak/>
        <w:t>Unit Cost of Processing a Published PCT Application</w:t>
      </w:r>
    </w:p>
    <w:p w14:paraId="4E0545A6" w14:textId="77777777" w:rsidR="001A07FB" w:rsidRPr="00E34675" w:rsidRDefault="001A07FB" w:rsidP="005A1F7F">
      <w:pPr>
        <w:keepNext/>
        <w:keepLines/>
        <w:ind w:left="720"/>
        <w:rPr>
          <w:b/>
          <w:highlight w:val="yellow"/>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4"/>
      </w:tblGrid>
      <w:tr w:rsidR="001A07FB" w:rsidRPr="00D17F3C" w14:paraId="417515B7" w14:textId="77777777" w:rsidTr="005A1F7F">
        <w:tc>
          <w:tcPr>
            <w:tcW w:w="4644" w:type="dxa"/>
            <w:shd w:val="clear" w:color="auto" w:fill="auto"/>
          </w:tcPr>
          <w:p w14:paraId="3B4DDE7A" w14:textId="77777777" w:rsidR="001A07FB" w:rsidRPr="0054556A" w:rsidRDefault="001A07FB" w:rsidP="005A1F7F">
            <w:pPr>
              <w:keepNext/>
              <w:keepLines/>
              <w:jc w:val="center"/>
              <w:rPr>
                <w:rFonts w:ascii="Arial" w:hAnsi="Arial" w:cs="Arial"/>
                <w:sz w:val="20"/>
              </w:rPr>
            </w:pPr>
            <w:r w:rsidRPr="0054556A">
              <w:rPr>
                <w:rFonts w:ascii="Arial" w:hAnsi="Arial" w:cs="Arial"/>
                <w:sz w:val="20"/>
              </w:rPr>
              <w:t>Old method</w:t>
            </w:r>
          </w:p>
        </w:tc>
        <w:tc>
          <w:tcPr>
            <w:tcW w:w="4645" w:type="dxa"/>
            <w:shd w:val="clear" w:color="auto" w:fill="auto"/>
          </w:tcPr>
          <w:p w14:paraId="355CBAC0" w14:textId="77777777" w:rsidR="001A07FB" w:rsidRPr="0054556A" w:rsidRDefault="001A07FB" w:rsidP="005A1F7F">
            <w:pPr>
              <w:keepNext/>
              <w:keepLines/>
              <w:jc w:val="center"/>
              <w:rPr>
                <w:rFonts w:ascii="Arial" w:hAnsi="Arial" w:cs="Arial"/>
                <w:sz w:val="20"/>
              </w:rPr>
            </w:pPr>
            <w:r w:rsidRPr="0054556A">
              <w:rPr>
                <w:rFonts w:ascii="Arial" w:hAnsi="Arial" w:cs="Arial"/>
                <w:sz w:val="20"/>
              </w:rPr>
              <w:t>New method</w:t>
            </w:r>
          </w:p>
        </w:tc>
      </w:tr>
      <w:tr w:rsidR="001A07FB" w:rsidRPr="00AF1C55" w14:paraId="54C5A01F" w14:textId="77777777" w:rsidTr="005A1F7F">
        <w:tc>
          <w:tcPr>
            <w:tcW w:w="4644" w:type="dxa"/>
            <w:shd w:val="clear" w:color="auto" w:fill="auto"/>
          </w:tcPr>
          <w:p w14:paraId="43CEEFA3" w14:textId="77777777" w:rsidR="001A07FB" w:rsidRPr="00AF1C55" w:rsidRDefault="001A07FB" w:rsidP="005A1F7F">
            <w:pPr>
              <w:keepNext/>
              <w:keepLines/>
              <w:rPr>
                <w:lang w:val="fr-CH"/>
              </w:rPr>
            </w:pPr>
            <w:r>
              <w:rPr>
                <w:noProof/>
                <w:lang w:eastAsia="en-US"/>
              </w:rPr>
              <w:drawing>
                <wp:inline distT="0" distB="0" distL="0" distR="0" wp14:anchorId="3A98E94B" wp14:editId="173AB592">
                  <wp:extent cx="3057525" cy="2038350"/>
                  <wp:effectExtent l="0" t="0" r="9525" b="0"/>
                  <wp:docPr id="13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3057525" cy="2038350"/>
                          </a:xfrm>
                          <a:prstGeom prst="rect">
                            <a:avLst/>
                          </a:prstGeom>
                          <a:noFill/>
                          <a:ln>
                            <a:noFill/>
                          </a:ln>
                        </pic:spPr>
                      </pic:pic>
                    </a:graphicData>
                  </a:graphic>
                </wp:inline>
              </w:drawing>
            </w:r>
          </w:p>
        </w:tc>
        <w:tc>
          <w:tcPr>
            <w:tcW w:w="4645" w:type="dxa"/>
            <w:shd w:val="clear" w:color="auto" w:fill="auto"/>
          </w:tcPr>
          <w:p w14:paraId="74CC181A" w14:textId="77777777" w:rsidR="001A07FB" w:rsidRPr="00AF1C55" w:rsidRDefault="001A07FB" w:rsidP="005A1F7F">
            <w:pPr>
              <w:keepNext/>
              <w:keepLines/>
              <w:rPr>
                <w:lang w:val="fr-CH"/>
              </w:rPr>
            </w:pPr>
            <w:r>
              <w:rPr>
                <w:noProof/>
                <w:lang w:eastAsia="en-US"/>
              </w:rPr>
              <w:drawing>
                <wp:inline distT="0" distB="0" distL="0" distR="0" wp14:anchorId="425454EA" wp14:editId="384A7BA9">
                  <wp:extent cx="3064510" cy="1913255"/>
                  <wp:effectExtent l="0" t="0" r="254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3064510" cy="1913255"/>
                          </a:xfrm>
                          <a:prstGeom prst="rect">
                            <a:avLst/>
                          </a:prstGeom>
                          <a:noFill/>
                        </pic:spPr>
                      </pic:pic>
                    </a:graphicData>
                  </a:graphic>
                </wp:inline>
              </w:drawing>
            </w:r>
          </w:p>
        </w:tc>
      </w:tr>
    </w:tbl>
    <w:p w14:paraId="3C9C96B6" w14:textId="77777777" w:rsidR="001A07FB" w:rsidRDefault="001A07FB" w:rsidP="005A1F7F"/>
    <w:p w14:paraId="5E4E889A" w14:textId="77777777" w:rsidR="001A07FB" w:rsidRPr="00EE0539" w:rsidRDefault="001A07FB" w:rsidP="00B66A4A">
      <w:pPr>
        <w:numPr>
          <w:ilvl w:val="0"/>
          <w:numId w:val="39"/>
        </w:numPr>
        <w:tabs>
          <w:tab w:val="clear" w:pos="720"/>
          <w:tab w:val="num" w:pos="1134"/>
        </w:tabs>
        <w:ind w:left="1134" w:hanging="567"/>
        <w:jc w:val="both"/>
        <w:rPr>
          <w:rFonts w:ascii="Arial" w:hAnsi="Arial" w:cs="Arial"/>
          <w:sz w:val="20"/>
          <w:szCs w:val="20"/>
        </w:rPr>
      </w:pPr>
      <w:r w:rsidRPr="00EE0539">
        <w:rPr>
          <w:rFonts w:ascii="Arial" w:hAnsi="Arial" w:cs="Arial"/>
          <w:sz w:val="20"/>
          <w:szCs w:val="20"/>
        </w:rPr>
        <w:t xml:space="preserve">The average cost of processing a published PCT application was 662 Swiss </w:t>
      </w:r>
      <w:r>
        <w:rPr>
          <w:rFonts w:ascii="Arial" w:hAnsi="Arial" w:cs="Arial"/>
          <w:sz w:val="20"/>
          <w:szCs w:val="20"/>
        </w:rPr>
        <w:t>f</w:t>
      </w:r>
      <w:r w:rsidRPr="00EE0539">
        <w:rPr>
          <w:rFonts w:ascii="Arial" w:hAnsi="Arial" w:cs="Arial"/>
          <w:sz w:val="20"/>
          <w:szCs w:val="20"/>
        </w:rPr>
        <w:t xml:space="preserve">rancs in 2014, </w:t>
      </w:r>
      <w:r>
        <w:rPr>
          <w:rFonts w:ascii="Arial" w:hAnsi="Arial" w:cs="Arial"/>
          <w:sz w:val="20"/>
          <w:szCs w:val="20"/>
        </w:rPr>
        <w:t xml:space="preserve">representing a decrease of </w:t>
      </w:r>
      <w:r w:rsidRPr="00EE0539">
        <w:rPr>
          <w:rFonts w:ascii="Arial" w:hAnsi="Arial" w:cs="Arial"/>
          <w:sz w:val="20"/>
          <w:szCs w:val="20"/>
        </w:rPr>
        <w:t>8.3</w:t>
      </w:r>
      <w:r>
        <w:rPr>
          <w:rFonts w:ascii="Arial" w:hAnsi="Arial" w:cs="Arial"/>
          <w:sz w:val="20"/>
          <w:szCs w:val="20"/>
        </w:rPr>
        <w:t xml:space="preserve"> per cent</w:t>
      </w:r>
      <w:r w:rsidRPr="00EE0539">
        <w:rPr>
          <w:rFonts w:ascii="Arial" w:hAnsi="Arial" w:cs="Arial"/>
          <w:sz w:val="20"/>
          <w:szCs w:val="20"/>
        </w:rPr>
        <w:t xml:space="preserve"> </w:t>
      </w:r>
      <w:r>
        <w:rPr>
          <w:rFonts w:ascii="Arial" w:hAnsi="Arial" w:cs="Arial"/>
          <w:sz w:val="20"/>
          <w:szCs w:val="20"/>
        </w:rPr>
        <w:t>compared to</w:t>
      </w:r>
      <w:r w:rsidRPr="00EE0539">
        <w:rPr>
          <w:rFonts w:ascii="Arial" w:hAnsi="Arial" w:cs="Arial"/>
          <w:sz w:val="20"/>
          <w:szCs w:val="20"/>
        </w:rPr>
        <w:t xml:space="preserve"> 2013. </w:t>
      </w:r>
      <w:r>
        <w:rPr>
          <w:rFonts w:ascii="Arial" w:hAnsi="Arial" w:cs="Arial"/>
          <w:sz w:val="20"/>
          <w:szCs w:val="20"/>
        </w:rPr>
        <w:t xml:space="preserve"> </w:t>
      </w:r>
      <w:r w:rsidRPr="00EE0539">
        <w:rPr>
          <w:rFonts w:ascii="Arial" w:hAnsi="Arial" w:cs="Arial"/>
          <w:sz w:val="20"/>
          <w:szCs w:val="20"/>
        </w:rPr>
        <w:t>This decrease is due to various efficiency measures including automation.</w:t>
      </w:r>
    </w:p>
    <w:p w14:paraId="05DB568A" w14:textId="77777777" w:rsidR="001A07FB" w:rsidRPr="00EE0539" w:rsidRDefault="001A07FB" w:rsidP="005A1F7F">
      <w:pPr>
        <w:pStyle w:val="ListParagraph"/>
        <w:tabs>
          <w:tab w:val="num" w:pos="1134"/>
        </w:tabs>
        <w:ind w:left="1134" w:hanging="567"/>
        <w:rPr>
          <w:rFonts w:ascii="Arial" w:hAnsi="Arial"/>
          <w:sz w:val="20"/>
          <w:szCs w:val="20"/>
        </w:rPr>
      </w:pPr>
    </w:p>
    <w:p w14:paraId="4A939066" w14:textId="77777777" w:rsidR="001A07FB" w:rsidRPr="00EE0539" w:rsidRDefault="001A07FB" w:rsidP="00B66A4A">
      <w:pPr>
        <w:pStyle w:val="ListParagraph"/>
        <w:numPr>
          <w:ilvl w:val="0"/>
          <w:numId w:val="39"/>
        </w:numPr>
        <w:tabs>
          <w:tab w:val="clear" w:pos="720"/>
          <w:tab w:val="num" w:pos="1134"/>
        </w:tabs>
        <w:spacing w:after="200"/>
        <w:ind w:left="1134" w:hanging="567"/>
        <w:jc w:val="both"/>
        <w:rPr>
          <w:rFonts w:ascii="Arial" w:hAnsi="Arial"/>
          <w:sz w:val="20"/>
          <w:szCs w:val="20"/>
        </w:rPr>
      </w:pPr>
      <w:r w:rsidRPr="00EE0539">
        <w:rPr>
          <w:rFonts w:ascii="Arial" w:hAnsi="Arial"/>
          <w:sz w:val="20"/>
          <w:szCs w:val="20"/>
        </w:rPr>
        <w:t xml:space="preserve">The average cost of processing a published PCT application calculated by the old method decreased by </w:t>
      </w:r>
      <w:r>
        <w:rPr>
          <w:rFonts w:ascii="Arial" w:hAnsi="Arial"/>
          <w:sz w:val="20"/>
          <w:szCs w:val="20"/>
        </w:rPr>
        <w:t xml:space="preserve">an </w:t>
      </w:r>
      <w:r w:rsidRPr="00EE0539">
        <w:rPr>
          <w:rFonts w:ascii="Arial" w:hAnsi="Arial"/>
          <w:sz w:val="20"/>
          <w:szCs w:val="20"/>
        </w:rPr>
        <w:t xml:space="preserve">average </w:t>
      </w:r>
      <w:r>
        <w:rPr>
          <w:rFonts w:ascii="Arial" w:hAnsi="Arial"/>
          <w:sz w:val="20"/>
          <w:szCs w:val="20"/>
        </w:rPr>
        <w:t xml:space="preserve">of </w:t>
      </w:r>
      <w:r w:rsidRPr="00EE0539">
        <w:rPr>
          <w:rFonts w:ascii="Arial" w:hAnsi="Arial"/>
          <w:sz w:val="20"/>
          <w:szCs w:val="20"/>
        </w:rPr>
        <w:t>5</w:t>
      </w:r>
      <w:r>
        <w:rPr>
          <w:rFonts w:ascii="Arial" w:hAnsi="Arial"/>
          <w:sz w:val="20"/>
          <w:szCs w:val="20"/>
        </w:rPr>
        <w:t xml:space="preserve"> per cent</w:t>
      </w:r>
      <w:r w:rsidRPr="00EE0539">
        <w:rPr>
          <w:rFonts w:ascii="Arial" w:hAnsi="Arial"/>
          <w:sz w:val="20"/>
          <w:szCs w:val="20"/>
        </w:rPr>
        <w:t xml:space="preserve"> per year from 1,042 Swiss </w:t>
      </w:r>
      <w:r>
        <w:rPr>
          <w:rFonts w:ascii="Arial" w:hAnsi="Arial"/>
          <w:sz w:val="20"/>
          <w:szCs w:val="20"/>
        </w:rPr>
        <w:t>f</w:t>
      </w:r>
      <w:r w:rsidRPr="00EE0539">
        <w:rPr>
          <w:rFonts w:ascii="Arial" w:hAnsi="Arial"/>
          <w:sz w:val="20"/>
          <w:szCs w:val="20"/>
        </w:rPr>
        <w:t xml:space="preserve">rancs in 2004 to 680 Swiss </w:t>
      </w:r>
      <w:r>
        <w:rPr>
          <w:rFonts w:ascii="Arial" w:hAnsi="Arial"/>
          <w:sz w:val="20"/>
          <w:szCs w:val="20"/>
        </w:rPr>
        <w:t>f</w:t>
      </w:r>
      <w:r w:rsidRPr="00EE0539">
        <w:rPr>
          <w:rFonts w:ascii="Arial" w:hAnsi="Arial"/>
          <w:sz w:val="20"/>
          <w:szCs w:val="20"/>
        </w:rPr>
        <w:t xml:space="preserve">rancs in 2012. </w:t>
      </w:r>
    </w:p>
    <w:p w14:paraId="1A176F99" w14:textId="77777777" w:rsidR="001A07FB" w:rsidRPr="000E46C3" w:rsidRDefault="001A07FB" w:rsidP="005A1F7F">
      <w:pPr>
        <w:rPr>
          <w:rFonts w:ascii="Arial" w:hAnsi="Arial"/>
          <w:i/>
          <w:sz w:val="20"/>
          <w:highlight w:val="yellow"/>
        </w:rPr>
      </w:pPr>
    </w:p>
    <w:p w14:paraId="1021128F" w14:textId="77777777" w:rsidR="001A07FB" w:rsidRPr="00EE19F7" w:rsidRDefault="001A07FB" w:rsidP="005A1F7F">
      <w:pPr>
        <w:rPr>
          <w:rFonts w:ascii="Arial" w:hAnsi="Arial"/>
          <w:i/>
          <w:sz w:val="20"/>
          <w:lang w:val="en-GB"/>
        </w:rPr>
      </w:pPr>
      <w:r w:rsidRPr="00EE19F7">
        <w:rPr>
          <w:rFonts w:ascii="Arial" w:hAnsi="Arial"/>
          <w:i/>
          <w:sz w:val="20"/>
        </w:rPr>
        <w:t>Productivity of formalities examination</w:t>
      </w:r>
    </w:p>
    <w:p w14:paraId="5FD1A07C" w14:textId="77777777" w:rsidR="001A07FB" w:rsidRPr="00EE19F7" w:rsidRDefault="001A07FB" w:rsidP="005A1F7F">
      <w:pPr>
        <w:rPr>
          <w:rFonts w:ascii="Arial" w:hAnsi="Arial"/>
          <w:sz w:val="20"/>
          <w:lang w:val="en-GB"/>
        </w:rPr>
      </w:pPr>
    </w:p>
    <w:p w14:paraId="08069928" w14:textId="77777777" w:rsidR="001A07FB" w:rsidRPr="00EE0539" w:rsidRDefault="001A07FB" w:rsidP="00B66A4A">
      <w:pPr>
        <w:numPr>
          <w:ilvl w:val="0"/>
          <w:numId w:val="41"/>
        </w:numPr>
        <w:rPr>
          <w:rFonts w:ascii="Arial" w:hAnsi="Arial"/>
          <w:sz w:val="20"/>
          <w:lang w:val="en-GB"/>
        </w:rPr>
      </w:pPr>
      <w:r w:rsidRPr="00EE0539">
        <w:rPr>
          <w:rFonts w:ascii="Arial" w:hAnsi="Arial"/>
          <w:sz w:val="20"/>
          <w:lang w:val="en-GB"/>
        </w:rPr>
        <w:t>The definition of staff productivity is output (i.e., the number of PCT publications) divided by the number of staff for formalities examination.</w:t>
      </w:r>
    </w:p>
    <w:p w14:paraId="002E3A6C" w14:textId="77777777" w:rsidR="001A07FB" w:rsidRDefault="001A07FB" w:rsidP="005A1F7F">
      <w:pPr>
        <w:rPr>
          <w:rFonts w:ascii="Arial" w:hAnsi="Arial"/>
          <w:sz w:val="20"/>
          <w:lang w:val="en-GB"/>
        </w:rPr>
      </w:pPr>
    </w:p>
    <w:p w14:paraId="0883FF21" w14:textId="77777777" w:rsidR="001A07FB" w:rsidRPr="000D2666" w:rsidRDefault="001A07FB" w:rsidP="005A1F7F">
      <w:pPr>
        <w:jc w:val="center"/>
        <w:rPr>
          <w:rFonts w:ascii="Arial" w:hAnsi="Arial"/>
          <w:b/>
          <w:sz w:val="18"/>
          <w:lang w:val="en-GB"/>
        </w:rPr>
      </w:pPr>
      <w:r w:rsidRPr="000D2666">
        <w:rPr>
          <w:rFonts w:ascii="Arial" w:hAnsi="Arial"/>
          <w:b/>
          <w:sz w:val="18"/>
          <w:lang w:val="en-GB"/>
        </w:rPr>
        <w:t>Productivity of Formality Examination</w:t>
      </w:r>
    </w:p>
    <w:p w14:paraId="4ADF49D0" w14:textId="77777777" w:rsidR="001A07FB" w:rsidRPr="00EE19F7" w:rsidRDefault="001A07FB" w:rsidP="005A1F7F">
      <w:pPr>
        <w:rPr>
          <w:rFonts w:ascii="Arial" w:hAnsi="Arial"/>
          <w:b/>
          <w:bCs/>
          <w:sz w:val="18"/>
          <w:szCs w:val="18"/>
          <w:lang w:val="en-GB"/>
        </w:rPr>
      </w:pPr>
      <w:r>
        <w:rPr>
          <w:rFonts w:ascii="Arial" w:hAnsi="Arial"/>
          <w:b/>
          <w:bCs/>
          <w:noProof/>
          <w:sz w:val="18"/>
          <w:szCs w:val="18"/>
          <w:lang w:eastAsia="en-US"/>
        </w:rPr>
        <w:drawing>
          <wp:inline distT="0" distB="0" distL="0" distR="0" wp14:anchorId="1C76D664" wp14:editId="160B858F">
            <wp:extent cx="5538470" cy="2714625"/>
            <wp:effectExtent l="0" t="0" r="5080" b="9525"/>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5538470" cy="2714625"/>
                    </a:xfrm>
                    <a:prstGeom prst="rect">
                      <a:avLst/>
                    </a:prstGeom>
                    <a:noFill/>
                  </pic:spPr>
                </pic:pic>
              </a:graphicData>
            </a:graphic>
          </wp:inline>
        </w:drawing>
      </w:r>
    </w:p>
    <w:p w14:paraId="731F9AF3" w14:textId="77777777" w:rsidR="001A07FB" w:rsidRPr="00EE0539" w:rsidRDefault="001A07FB" w:rsidP="00B66A4A">
      <w:pPr>
        <w:pStyle w:val="ListParagraph"/>
        <w:numPr>
          <w:ilvl w:val="0"/>
          <w:numId w:val="39"/>
        </w:numPr>
        <w:tabs>
          <w:tab w:val="clear" w:pos="720"/>
          <w:tab w:val="num" w:pos="1134"/>
        </w:tabs>
        <w:spacing w:after="200"/>
        <w:ind w:left="1134" w:hanging="567"/>
        <w:jc w:val="both"/>
        <w:rPr>
          <w:rFonts w:ascii="Arial" w:hAnsi="Arial"/>
          <w:sz w:val="20"/>
          <w:szCs w:val="20"/>
        </w:rPr>
      </w:pPr>
      <w:r w:rsidRPr="00EE0539">
        <w:rPr>
          <w:rFonts w:ascii="Arial" w:hAnsi="Arial"/>
          <w:sz w:val="20"/>
          <w:szCs w:val="20"/>
        </w:rPr>
        <w:t>Historically, productivity of formalities examination has increased, mainly due to automation which has permitted the processing of much larger workloads with less or equal staff.</w:t>
      </w:r>
    </w:p>
    <w:p w14:paraId="1E884A80" w14:textId="77777777" w:rsidR="001A07FB" w:rsidRPr="00EE0539" w:rsidRDefault="001A07FB" w:rsidP="005A1F7F">
      <w:pPr>
        <w:pStyle w:val="ListParagraph"/>
        <w:spacing w:after="200"/>
        <w:ind w:left="1134"/>
        <w:jc w:val="both"/>
        <w:rPr>
          <w:rFonts w:ascii="Arial" w:hAnsi="Arial"/>
          <w:sz w:val="20"/>
          <w:szCs w:val="20"/>
        </w:rPr>
      </w:pPr>
    </w:p>
    <w:p w14:paraId="6D9ECB77" w14:textId="77777777" w:rsidR="001A07FB" w:rsidRPr="00EE19F7" w:rsidRDefault="001A07FB" w:rsidP="005A1F7F">
      <w:pPr>
        <w:rPr>
          <w:rFonts w:ascii="Arial" w:hAnsi="Arial" w:cs="Arial"/>
          <w:b/>
          <w:lang w:val="en-GB"/>
        </w:rPr>
      </w:pPr>
    </w:p>
    <w:p w14:paraId="7FF0928E" w14:textId="77777777" w:rsidR="001A07FB" w:rsidRPr="008823D0" w:rsidRDefault="001A07FB" w:rsidP="005A1F7F">
      <w:pPr>
        <w:keepNext/>
        <w:keepLines/>
        <w:rPr>
          <w:rFonts w:ascii="Arial" w:hAnsi="Arial" w:cs="Arial"/>
          <w:i/>
          <w:sz w:val="20"/>
          <w:lang w:val="en-GB"/>
        </w:rPr>
      </w:pPr>
      <w:r w:rsidRPr="008823D0">
        <w:rPr>
          <w:rFonts w:ascii="Arial" w:hAnsi="Arial" w:cs="Arial"/>
          <w:i/>
          <w:sz w:val="20"/>
          <w:lang w:val="en-GB"/>
        </w:rPr>
        <w:lastRenderedPageBreak/>
        <w:t>Aggregate quality of formalities examination</w:t>
      </w:r>
    </w:p>
    <w:p w14:paraId="4B335B3B" w14:textId="77777777" w:rsidR="001A07FB" w:rsidRPr="008823D0" w:rsidRDefault="001A07FB" w:rsidP="005A1F7F">
      <w:pPr>
        <w:keepNext/>
        <w:keepLines/>
        <w:rPr>
          <w:rFonts w:ascii="Arial" w:hAnsi="Arial" w:cs="Arial"/>
          <w:sz w:val="20"/>
          <w:lang w:val="en-GB"/>
        </w:rPr>
      </w:pPr>
    </w:p>
    <w:p w14:paraId="0C3FB3D7" w14:textId="77777777" w:rsidR="001A07FB" w:rsidRPr="0054556A" w:rsidRDefault="001A07FB" w:rsidP="00B66A4A">
      <w:pPr>
        <w:numPr>
          <w:ilvl w:val="0"/>
          <w:numId w:val="41"/>
        </w:numPr>
        <w:rPr>
          <w:rFonts w:ascii="Arial" w:hAnsi="Arial" w:cs="Arial"/>
          <w:sz w:val="20"/>
          <w:szCs w:val="20"/>
          <w:lang w:val="en-GB"/>
        </w:rPr>
      </w:pPr>
      <w:r w:rsidRPr="00EE0539">
        <w:rPr>
          <w:rFonts w:ascii="Arial" w:hAnsi="Arial" w:cs="Arial"/>
          <w:sz w:val="20"/>
          <w:szCs w:val="20"/>
          <w:lang w:val="en-GB"/>
        </w:rPr>
        <w:t>In order to measure the quality of the work performed by the IB in a simple and comprehensive manner, the IB has developed an aggregate quality index, calculated as the average of four lead quality indicators.  Three</w:t>
      </w:r>
      <w:r w:rsidRPr="00EE0539">
        <w:rPr>
          <w:rFonts w:ascii="Arial" w:hAnsi="Arial" w:cs="Arial"/>
          <w:sz w:val="20"/>
          <w:szCs w:val="20"/>
        </w:rPr>
        <w:t xml:space="preserve"> of these indicators are based on the timeliness of key transactions: acknowledgement of receipt of the PCT application, publication, and republication.  The fourth indicator reflects errors made during the processing of PCT applications.</w:t>
      </w:r>
    </w:p>
    <w:p w14:paraId="02E2E493" w14:textId="77777777" w:rsidR="001A07FB" w:rsidRPr="00EE0539" w:rsidRDefault="001A07FB" w:rsidP="005A1F7F">
      <w:pPr>
        <w:rPr>
          <w:rFonts w:ascii="Arial" w:hAnsi="Arial" w:cs="Arial"/>
          <w:sz w:val="20"/>
          <w:szCs w:val="20"/>
          <w:lang w:val="en-GB"/>
        </w:rPr>
      </w:pPr>
    </w:p>
    <w:p w14:paraId="556787FC" w14:textId="77777777" w:rsidR="001A07FB" w:rsidRPr="000D2666" w:rsidRDefault="001A07FB" w:rsidP="005A1F7F">
      <w:pPr>
        <w:pStyle w:val="BodyText2"/>
        <w:keepLines/>
        <w:spacing w:line="240" w:lineRule="auto"/>
        <w:jc w:val="center"/>
        <w:rPr>
          <w:rFonts w:cs="Arial"/>
          <w:b/>
          <w:bCs/>
          <w:sz w:val="16"/>
          <w:szCs w:val="18"/>
          <w:lang w:val="en-GB"/>
        </w:rPr>
      </w:pPr>
      <w:r w:rsidRPr="000D2666">
        <w:rPr>
          <w:rFonts w:ascii="Arial" w:hAnsi="Arial" w:cs="Arial"/>
          <w:b/>
          <w:bCs/>
          <w:sz w:val="18"/>
          <w:szCs w:val="18"/>
          <w:lang w:val="en-GB"/>
        </w:rPr>
        <w:t>Quality Index of Formalities Examination</w:t>
      </w:r>
    </w:p>
    <w:p w14:paraId="7FD8AB4F" w14:textId="77777777" w:rsidR="001A07FB" w:rsidRPr="008823D0" w:rsidRDefault="001A07FB" w:rsidP="005A1F7F">
      <w:pPr>
        <w:pStyle w:val="BodyText2"/>
        <w:keepLines/>
        <w:spacing w:line="240" w:lineRule="auto"/>
        <w:rPr>
          <w:rFonts w:cs="Arial"/>
          <w:b/>
          <w:bCs/>
          <w:sz w:val="18"/>
          <w:szCs w:val="18"/>
          <w:lang w:val="en-GB"/>
        </w:rPr>
      </w:pPr>
      <w:r>
        <w:rPr>
          <w:rFonts w:cs="Arial"/>
          <w:b/>
          <w:bCs/>
          <w:noProof/>
          <w:sz w:val="18"/>
          <w:szCs w:val="18"/>
          <w:lang w:eastAsia="en-US"/>
        </w:rPr>
        <w:drawing>
          <wp:inline distT="0" distB="0" distL="0" distR="0" wp14:anchorId="530F8083" wp14:editId="14C1F8F6">
            <wp:extent cx="5652770" cy="2566670"/>
            <wp:effectExtent l="0" t="0" r="5080" b="508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5652770" cy="2566670"/>
                    </a:xfrm>
                    <a:prstGeom prst="rect">
                      <a:avLst/>
                    </a:prstGeom>
                    <a:noFill/>
                  </pic:spPr>
                </pic:pic>
              </a:graphicData>
            </a:graphic>
          </wp:inline>
        </w:drawing>
      </w:r>
    </w:p>
    <w:p w14:paraId="3630E199" w14:textId="77777777" w:rsidR="001A07FB" w:rsidRDefault="001A07FB" w:rsidP="00B66A4A">
      <w:pPr>
        <w:numPr>
          <w:ilvl w:val="0"/>
          <w:numId w:val="43"/>
        </w:numPr>
        <w:ind w:left="1134" w:hanging="584"/>
        <w:jc w:val="both"/>
        <w:rPr>
          <w:rFonts w:ascii="Arial" w:hAnsi="Arial" w:cs="Arial"/>
          <w:sz w:val="20"/>
        </w:rPr>
      </w:pPr>
      <w:r w:rsidRPr="008823D0">
        <w:rPr>
          <w:rFonts w:ascii="Arial" w:hAnsi="Arial" w:cs="Arial"/>
          <w:sz w:val="20"/>
        </w:rPr>
        <w:t>The overall quality, as measured by the aggregate index, improved markedly from</w:t>
      </w:r>
      <w:r>
        <w:rPr>
          <w:rFonts w:ascii="Arial" w:hAnsi="Arial" w:cs="Arial"/>
          <w:sz w:val="20"/>
        </w:rPr>
        <w:t xml:space="preserve"> an average of 81 per cent in</w:t>
      </w:r>
      <w:r w:rsidRPr="008823D0">
        <w:rPr>
          <w:rFonts w:ascii="Arial" w:hAnsi="Arial" w:cs="Arial"/>
          <w:sz w:val="20"/>
        </w:rPr>
        <w:t xml:space="preserve"> 2007 to</w:t>
      </w:r>
      <w:r>
        <w:rPr>
          <w:rFonts w:ascii="Arial" w:hAnsi="Arial" w:cs="Arial"/>
          <w:sz w:val="20"/>
        </w:rPr>
        <w:t xml:space="preserve"> 93.1 per cent in</w:t>
      </w:r>
      <w:r w:rsidRPr="008823D0">
        <w:rPr>
          <w:rFonts w:ascii="Arial" w:hAnsi="Arial" w:cs="Arial"/>
          <w:sz w:val="20"/>
        </w:rPr>
        <w:t xml:space="preserve"> 2014.</w:t>
      </w:r>
    </w:p>
    <w:p w14:paraId="0C4B73A4" w14:textId="77777777" w:rsidR="001A07FB" w:rsidRDefault="001A07FB" w:rsidP="005A1F7F">
      <w:pPr>
        <w:ind w:left="1134" w:hanging="584"/>
        <w:jc w:val="both"/>
        <w:rPr>
          <w:rFonts w:ascii="Arial" w:hAnsi="Arial" w:cs="Arial"/>
          <w:sz w:val="20"/>
        </w:rPr>
      </w:pPr>
    </w:p>
    <w:p w14:paraId="45A011E0" w14:textId="77777777" w:rsidR="001A07FB" w:rsidRPr="00481C55" w:rsidRDefault="001A07FB" w:rsidP="00B66A4A">
      <w:pPr>
        <w:numPr>
          <w:ilvl w:val="0"/>
          <w:numId w:val="43"/>
        </w:numPr>
        <w:ind w:left="1134" w:hanging="584"/>
        <w:jc w:val="both"/>
        <w:rPr>
          <w:rFonts w:ascii="Arial" w:hAnsi="Arial" w:cs="Arial"/>
          <w:sz w:val="20"/>
        </w:rPr>
      </w:pPr>
      <w:r w:rsidRPr="00481C55">
        <w:rPr>
          <w:rFonts w:ascii="Arial" w:hAnsi="Arial" w:cs="Arial"/>
          <w:sz w:val="20"/>
        </w:rPr>
        <w:t xml:space="preserve">The </w:t>
      </w:r>
      <w:r>
        <w:rPr>
          <w:rFonts w:ascii="Arial" w:hAnsi="Arial" w:cs="Arial"/>
          <w:sz w:val="20"/>
        </w:rPr>
        <w:t>remarkable</w:t>
      </w:r>
      <w:r w:rsidRPr="00481C55">
        <w:rPr>
          <w:rFonts w:ascii="Arial" w:hAnsi="Arial" w:cs="Arial"/>
          <w:sz w:val="20"/>
        </w:rPr>
        <w:t xml:space="preserve"> increase of the quality index </w:t>
      </w:r>
      <w:r>
        <w:rPr>
          <w:rFonts w:ascii="Arial" w:hAnsi="Arial" w:cs="Arial"/>
          <w:sz w:val="20"/>
        </w:rPr>
        <w:t>in</w:t>
      </w:r>
      <w:r w:rsidRPr="00481C55">
        <w:rPr>
          <w:rFonts w:ascii="Arial" w:hAnsi="Arial" w:cs="Arial"/>
          <w:sz w:val="20"/>
        </w:rPr>
        <w:t xml:space="preserve"> 201</w:t>
      </w:r>
      <w:r>
        <w:rPr>
          <w:rFonts w:ascii="Arial" w:hAnsi="Arial" w:cs="Arial"/>
          <w:sz w:val="20"/>
        </w:rPr>
        <w:t>4</w:t>
      </w:r>
      <w:r w:rsidRPr="00481C55">
        <w:rPr>
          <w:rFonts w:ascii="Arial" w:hAnsi="Arial" w:cs="Arial"/>
          <w:sz w:val="20"/>
        </w:rPr>
        <w:t xml:space="preserve"> is mainly due to </w:t>
      </w:r>
      <w:r>
        <w:rPr>
          <w:rFonts w:ascii="Arial" w:hAnsi="Arial" w:cs="Arial"/>
          <w:sz w:val="20"/>
        </w:rPr>
        <w:t xml:space="preserve">improved timeliness in performing formalities examination as well as </w:t>
      </w:r>
      <w:r w:rsidRPr="00481C55">
        <w:rPr>
          <w:rFonts w:ascii="Arial" w:hAnsi="Arial" w:cs="Arial"/>
          <w:sz w:val="20"/>
        </w:rPr>
        <w:t>reduced delay</w:t>
      </w:r>
      <w:r>
        <w:rPr>
          <w:rFonts w:ascii="Arial" w:hAnsi="Arial" w:cs="Arial"/>
          <w:sz w:val="20"/>
        </w:rPr>
        <w:t>s</w:t>
      </w:r>
      <w:r w:rsidRPr="00481C55">
        <w:rPr>
          <w:rFonts w:ascii="Arial" w:hAnsi="Arial" w:cs="Arial"/>
          <w:sz w:val="20"/>
        </w:rPr>
        <w:t xml:space="preserve"> in republishing applications with the ISR.</w:t>
      </w:r>
      <w:r>
        <w:rPr>
          <w:rFonts w:ascii="Arial" w:hAnsi="Arial" w:cs="Arial"/>
          <w:sz w:val="20"/>
        </w:rPr>
        <w:t xml:space="preserve"> The delay in formalities examination and republication mainly explained the decrease of the quality index observed during the 2010–2013 period.</w:t>
      </w:r>
    </w:p>
    <w:p w14:paraId="28DA9A2A" w14:textId="77777777" w:rsidR="001A07FB" w:rsidRPr="008823D0" w:rsidRDefault="001A07FB" w:rsidP="005A1F7F">
      <w:pPr>
        <w:jc w:val="both"/>
        <w:rPr>
          <w:rFonts w:ascii="Arial" w:hAnsi="Arial" w:cs="Arial"/>
          <w:sz w:val="20"/>
        </w:rPr>
      </w:pPr>
    </w:p>
    <w:p w14:paraId="6559044A" w14:textId="77777777" w:rsidR="001A07FB" w:rsidRDefault="001A07FB" w:rsidP="005A1F7F">
      <w:pPr>
        <w:pStyle w:val="ListParagraph"/>
        <w:rPr>
          <w:rFonts w:ascii="Arial" w:hAnsi="Arial" w:cs="Arial"/>
          <w:sz w:val="20"/>
        </w:rPr>
      </w:pPr>
    </w:p>
    <w:p w14:paraId="23066C37" w14:textId="77777777" w:rsidR="001A07FB" w:rsidRPr="005F6BFD" w:rsidRDefault="001A07FB" w:rsidP="005A1F7F">
      <w:pPr>
        <w:rPr>
          <w:rFonts w:ascii="Arial" w:hAnsi="Arial" w:cs="Arial"/>
          <w:i/>
          <w:sz w:val="20"/>
        </w:rPr>
      </w:pPr>
      <w:r w:rsidRPr="005F6BFD">
        <w:rPr>
          <w:rFonts w:ascii="Arial" w:hAnsi="Arial" w:cs="Arial"/>
          <w:i/>
          <w:sz w:val="20"/>
        </w:rPr>
        <w:t>Timeliness of formalities examination</w:t>
      </w:r>
    </w:p>
    <w:p w14:paraId="487251F2" w14:textId="77777777" w:rsidR="001A07FB" w:rsidRPr="005F6BFD" w:rsidRDefault="001A07FB" w:rsidP="005A1F7F">
      <w:pPr>
        <w:rPr>
          <w:rFonts w:ascii="Arial" w:hAnsi="Arial" w:cs="Arial"/>
          <w:b/>
          <w:sz w:val="20"/>
        </w:rPr>
      </w:pPr>
    </w:p>
    <w:p w14:paraId="64BE9431" w14:textId="77777777" w:rsidR="001A07FB" w:rsidRPr="00EE0539" w:rsidRDefault="001A07FB" w:rsidP="00B66A4A">
      <w:pPr>
        <w:numPr>
          <w:ilvl w:val="0"/>
          <w:numId w:val="41"/>
        </w:numPr>
        <w:rPr>
          <w:rFonts w:ascii="Arial" w:hAnsi="Arial" w:cs="Arial"/>
          <w:b/>
          <w:sz w:val="20"/>
          <w:szCs w:val="20"/>
        </w:rPr>
      </w:pPr>
      <w:r w:rsidRPr="00EE0539">
        <w:rPr>
          <w:rFonts w:ascii="Arial" w:hAnsi="Arial" w:cs="Arial"/>
          <w:sz w:val="20"/>
          <w:szCs w:val="20"/>
        </w:rPr>
        <w:t>This indicator reflects in more detail one of the components of the aggregate quality indicator, namely the time required by the IB to issue Form 301.  This form is issued after the formality examination of the application has been completed. Applicants appreciate receiving this Form as soon as possible because it acknowledges receipt of the application at the IB and allows them to know whether their application has any formal defects.</w:t>
      </w:r>
    </w:p>
    <w:p w14:paraId="7E480F7D" w14:textId="77777777" w:rsidR="001A07FB" w:rsidRPr="00D37EBA" w:rsidRDefault="001A07FB" w:rsidP="005A1F7F">
      <w:pPr>
        <w:rPr>
          <w:rFonts w:ascii="Arial" w:hAnsi="Arial" w:cs="Arial"/>
          <w:b/>
          <w:sz w:val="20"/>
          <w:szCs w:val="20"/>
        </w:rPr>
      </w:pPr>
    </w:p>
    <w:p w14:paraId="2D8719A2" w14:textId="77777777" w:rsidR="001A07FB" w:rsidRPr="005F6BFD" w:rsidRDefault="001A07FB" w:rsidP="005A1F7F">
      <w:r>
        <w:rPr>
          <w:noProof/>
          <w:lang w:eastAsia="en-US"/>
        </w:rPr>
        <w:drawing>
          <wp:inline distT="0" distB="0" distL="0" distR="0" wp14:anchorId="7078A0E6" wp14:editId="5EC185D9">
            <wp:extent cx="5742940" cy="2488565"/>
            <wp:effectExtent l="0" t="0" r="0" b="6985"/>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5742940" cy="2488565"/>
                    </a:xfrm>
                    <a:prstGeom prst="rect">
                      <a:avLst/>
                    </a:prstGeom>
                    <a:noFill/>
                  </pic:spPr>
                </pic:pic>
              </a:graphicData>
            </a:graphic>
          </wp:inline>
        </w:drawing>
      </w:r>
    </w:p>
    <w:p w14:paraId="32EF32FF" w14:textId="77777777" w:rsidR="001A07FB" w:rsidRPr="005F6BFD" w:rsidRDefault="001A07FB" w:rsidP="005A1F7F">
      <w:pPr>
        <w:rPr>
          <w:rFonts w:ascii="Arial" w:hAnsi="Arial" w:cs="Arial"/>
          <w:i/>
          <w:sz w:val="20"/>
        </w:rPr>
      </w:pPr>
      <w:r w:rsidRPr="005F6BFD">
        <w:rPr>
          <w:rFonts w:ascii="Arial" w:hAnsi="Arial" w:cs="Arial"/>
          <w:i/>
          <w:sz w:val="20"/>
        </w:rPr>
        <w:lastRenderedPageBreak/>
        <w:t>Timeliness of publication</w:t>
      </w:r>
    </w:p>
    <w:p w14:paraId="1D841DA1" w14:textId="77777777" w:rsidR="001A07FB" w:rsidRPr="005F6BFD" w:rsidRDefault="001A07FB" w:rsidP="005A1F7F">
      <w:pPr>
        <w:rPr>
          <w:rFonts w:ascii="Arial" w:hAnsi="Arial" w:cs="Arial"/>
          <w:sz w:val="18"/>
          <w:szCs w:val="18"/>
        </w:rPr>
      </w:pPr>
    </w:p>
    <w:p w14:paraId="70717DC8"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This indicator reflects in more detail one of the components of the aggregate quality indicator, namely the time required by the IB to publish the application.  Article 21 (2) (a) of the PCT states that the “… international publication of the international application shall be effected promptly after the expiration of 18 months from the priority date of that application.”</w:t>
      </w:r>
    </w:p>
    <w:p w14:paraId="4CF348C2" w14:textId="77777777" w:rsidR="001A07FB" w:rsidRPr="005F6BFD" w:rsidRDefault="001A07FB" w:rsidP="005A1F7F">
      <w:pPr>
        <w:pStyle w:val="BodyText2"/>
        <w:spacing w:line="240" w:lineRule="auto"/>
        <w:rPr>
          <w:rFonts w:cs="Arial"/>
        </w:rPr>
      </w:pPr>
    </w:p>
    <w:p w14:paraId="2C3B11EB" w14:textId="77777777" w:rsidR="001A07FB" w:rsidRPr="000E46C3" w:rsidRDefault="001A07FB" w:rsidP="005A1F7F">
      <w:pPr>
        <w:pStyle w:val="BodyText2"/>
        <w:spacing w:line="240" w:lineRule="auto"/>
        <w:jc w:val="center"/>
        <w:rPr>
          <w:rFonts w:cs="Arial"/>
          <w:b/>
          <w:bCs/>
          <w:sz w:val="16"/>
          <w:szCs w:val="16"/>
          <w:highlight w:val="yellow"/>
        </w:rPr>
      </w:pPr>
      <w:r>
        <w:rPr>
          <w:rFonts w:cs="Arial"/>
          <w:b/>
          <w:bCs/>
          <w:noProof/>
          <w:sz w:val="16"/>
          <w:szCs w:val="16"/>
          <w:lang w:eastAsia="en-US"/>
        </w:rPr>
        <w:drawing>
          <wp:inline distT="0" distB="0" distL="0" distR="0" wp14:anchorId="4138BE0F" wp14:editId="38E01254">
            <wp:extent cx="5566410" cy="255524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5566410" cy="2555240"/>
                    </a:xfrm>
                    <a:prstGeom prst="rect">
                      <a:avLst/>
                    </a:prstGeom>
                    <a:noFill/>
                  </pic:spPr>
                </pic:pic>
              </a:graphicData>
            </a:graphic>
          </wp:inline>
        </w:drawing>
      </w:r>
    </w:p>
    <w:p w14:paraId="712B3D3C" w14:textId="77777777" w:rsidR="001A07FB" w:rsidRPr="00D65AC8" w:rsidRDefault="001A07FB" w:rsidP="005A1F7F">
      <w:pPr>
        <w:rPr>
          <w:rFonts w:ascii="Arial" w:hAnsi="Arial" w:cs="Arial"/>
          <w:i/>
          <w:sz w:val="20"/>
        </w:rPr>
      </w:pPr>
      <w:r w:rsidRPr="00D65AC8">
        <w:rPr>
          <w:rFonts w:ascii="Arial" w:hAnsi="Arial" w:cs="Arial"/>
          <w:i/>
          <w:sz w:val="20"/>
        </w:rPr>
        <w:t>Timeliness of republication</w:t>
      </w:r>
    </w:p>
    <w:p w14:paraId="22D910F9" w14:textId="77777777" w:rsidR="001A07FB" w:rsidRPr="00D65AC8" w:rsidRDefault="001A07FB" w:rsidP="005A1F7F">
      <w:pPr>
        <w:rPr>
          <w:rFonts w:ascii="Arial" w:hAnsi="Arial" w:cs="Arial"/>
          <w:sz w:val="18"/>
          <w:szCs w:val="18"/>
        </w:rPr>
      </w:pPr>
    </w:p>
    <w:p w14:paraId="7C6CE2C4"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This indicator reflects in more detail one of the components of the aggregate quality indicator, namely the time required by the IB to republish the application with the ISR.  Due to delays in the communication of ISRs by ISAs, a number of international applications are published without the ISR.  When the ISR becomes available, the international application needs to be republished with the ISR as soon as possible, so as to complete the international publication.</w:t>
      </w:r>
    </w:p>
    <w:p w14:paraId="78446FE3" w14:textId="77777777" w:rsidR="001A07FB" w:rsidRPr="00EE0539" w:rsidRDefault="001A07FB" w:rsidP="005A1F7F">
      <w:pPr>
        <w:rPr>
          <w:rFonts w:ascii="Arial" w:hAnsi="Arial" w:cs="Arial"/>
          <w:sz w:val="20"/>
          <w:szCs w:val="20"/>
        </w:rPr>
      </w:pPr>
    </w:p>
    <w:p w14:paraId="74854CE0" w14:textId="77777777" w:rsidR="001A07FB" w:rsidRPr="00D65AC8" w:rsidRDefault="001A07FB" w:rsidP="005A1F7F">
      <w:pPr>
        <w:rPr>
          <w:rFonts w:ascii="Arial" w:eastAsia="SimSun" w:hAnsi="Arial" w:cs="Arial"/>
          <w:b/>
          <w:szCs w:val="18"/>
          <w:lang w:eastAsia="zh-CN"/>
        </w:rPr>
      </w:pPr>
      <w:r>
        <w:rPr>
          <w:rFonts w:ascii="Arial" w:eastAsia="SimSun" w:hAnsi="Arial" w:cs="Arial"/>
          <w:b/>
          <w:noProof/>
          <w:szCs w:val="18"/>
          <w:lang w:eastAsia="en-US"/>
        </w:rPr>
        <w:drawing>
          <wp:inline distT="0" distB="0" distL="0" distR="0" wp14:anchorId="072BE1EF" wp14:editId="398730E4">
            <wp:extent cx="5836285" cy="2677160"/>
            <wp:effectExtent l="0" t="0" r="0" b="889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5836285" cy="2677160"/>
                    </a:xfrm>
                    <a:prstGeom prst="rect">
                      <a:avLst/>
                    </a:prstGeom>
                    <a:noFill/>
                  </pic:spPr>
                </pic:pic>
              </a:graphicData>
            </a:graphic>
          </wp:inline>
        </w:drawing>
      </w:r>
    </w:p>
    <w:p w14:paraId="38E31F7E" w14:textId="77777777" w:rsidR="001A07FB" w:rsidRDefault="001A07FB" w:rsidP="005A1F7F">
      <w:pPr>
        <w:rPr>
          <w:rFonts w:ascii="Arial" w:hAnsi="Arial" w:cs="Arial"/>
          <w:i/>
          <w:sz w:val="20"/>
        </w:rPr>
      </w:pPr>
    </w:p>
    <w:p w14:paraId="7C3BF0D3" w14:textId="77777777" w:rsidR="001A07FB" w:rsidRPr="00E34675" w:rsidRDefault="001A07FB" w:rsidP="005A1F7F">
      <w:pPr>
        <w:rPr>
          <w:rFonts w:ascii="Arial" w:hAnsi="Arial" w:cs="Arial"/>
          <w:i/>
          <w:sz w:val="20"/>
        </w:rPr>
      </w:pPr>
      <w:r w:rsidRPr="00E34675">
        <w:rPr>
          <w:rFonts w:ascii="Arial" w:hAnsi="Arial" w:cs="Arial"/>
          <w:i/>
          <w:sz w:val="20"/>
        </w:rPr>
        <w:t xml:space="preserve">Quality of translation </w:t>
      </w:r>
    </w:p>
    <w:p w14:paraId="2292B681" w14:textId="77777777" w:rsidR="001A07FB" w:rsidRPr="00E34675" w:rsidRDefault="001A07FB" w:rsidP="005A1F7F">
      <w:pPr>
        <w:rPr>
          <w:rFonts w:ascii="Arial" w:hAnsi="Arial" w:cs="Arial"/>
          <w:b/>
          <w:szCs w:val="18"/>
        </w:rPr>
      </w:pPr>
    </w:p>
    <w:p w14:paraId="71704342"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 xml:space="preserve">Statistically calculated numbers of documents are selected at random from translations of abstracts and patentability reports prepared under the responsibility of the IB for quality control.  The evaluation determines whether a translation is “acceptable” or “not acceptable”.  This indicator aggregates the results of such quality control performed by the IB across all language combinations and document types.  Relationships with any agencies that consistently have less than 80 per cent of their translations deemed “acceptable” are discontinued. </w:t>
      </w:r>
    </w:p>
    <w:p w14:paraId="7AD1375B" w14:textId="77777777" w:rsidR="001A07FB" w:rsidRDefault="001A07FB" w:rsidP="005A1F7F">
      <w:pPr>
        <w:jc w:val="center"/>
        <w:rPr>
          <w:rFonts w:ascii="Arial" w:hAnsi="Arial"/>
          <w:highlight w:val="yellow"/>
        </w:rPr>
      </w:pPr>
    </w:p>
    <w:p w14:paraId="47458BFA" w14:textId="77777777" w:rsidR="001A07FB" w:rsidRPr="000D2666" w:rsidRDefault="001A07FB" w:rsidP="005A1F7F">
      <w:pPr>
        <w:keepNext/>
        <w:keepLines/>
        <w:jc w:val="center"/>
        <w:rPr>
          <w:rFonts w:ascii="Arial" w:hAnsi="Arial"/>
          <w:b/>
          <w:sz w:val="18"/>
          <w:szCs w:val="20"/>
        </w:rPr>
      </w:pPr>
      <w:r w:rsidRPr="000D2666">
        <w:rPr>
          <w:rFonts w:ascii="Arial" w:hAnsi="Arial"/>
          <w:b/>
          <w:sz w:val="18"/>
          <w:szCs w:val="20"/>
        </w:rPr>
        <w:lastRenderedPageBreak/>
        <w:t>Quality of PCT Translation</w:t>
      </w:r>
    </w:p>
    <w:p w14:paraId="5217E1A4" w14:textId="77777777" w:rsidR="001A07FB" w:rsidRPr="00664E37" w:rsidRDefault="001A07FB" w:rsidP="005A1F7F">
      <w:pPr>
        <w:keepNext/>
        <w:keepLines/>
        <w:jc w:val="center"/>
        <w:rPr>
          <w:rFonts w:ascii="Arial" w:hAnsi="Arial"/>
          <w:b/>
          <w:sz w:val="20"/>
          <w:szCs w:val="20"/>
        </w:rPr>
      </w:pPr>
    </w:p>
    <w:p w14:paraId="79383906" w14:textId="77777777" w:rsidR="001A07FB" w:rsidRPr="004005D3" w:rsidRDefault="001A07FB" w:rsidP="005A1F7F">
      <w:pPr>
        <w:keepNext/>
        <w:keepLines/>
        <w:jc w:val="center"/>
        <w:rPr>
          <w:rFonts w:ascii="Arial" w:hAnsi="Arial"/>
        </w:rPr>
      </w:pPr>
      <w:r>
        <w:rPr>
          <w:rFonts w:ascii="Arial" w:hAnsi="Arial"/>
          <w:noProof/>
          <w:lang w:eastAsia="en-US"/>
        </w:rPr>
        <w:drawing>
          <wp:inline distT="0" distB="0" distL="0" distR="0" wp14:anchorId="126B74F8" wp14:editId="76FAE26F">
            <wp:extent cx="5606718" cy="3162300"/>
            <wp:effectExtent l="0" t="0" r="0"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614215" cy="3166528"/>
                    </a:xfrm>
                    <a:prstGeom prst="rect">
                      <a:avLst/>
                    </a:prstGeom>
                    <a:noFill/>
                  </pic:spPr>
                </pic:pic>
              </a:graphicData>
            </a:graphic>
          </wp:inline>
        </w:drawing>
      </w:r>
    </w:p>
    <w:p w14:paraId="7CF0A352" w14:textId="77777777" w:rsidR="001A07FB" w:rsidRPr="004005D3" w:rsidRDefault="001A07FB" w:rsidP="005A1F7F">
      <w:pPr>
        <w:keepNext/>
        <w:keepLines/>
        <w:jc w:val="center"/>
        <w:rPr>
          <w:rFonts w:ascii="Arial" w:hAnsi="Arial"/>
        </w:rPr>
      </w:pPr>
    </w:p>
    <w:p w14:paraId="764CA6E6" w14:textId="1FC2E2FD" w:rsidR="000D2666" w:rsidRDefault="000D2666">
      <w:pPr>
        <w:rPr>
          <w:rFonts w:ascii="Arial" w:hAnsi="Arial" w:cs="Arial"/>
          <w:i/>
          <w:sz w:val="20"/>
          <w:szCs w:val="20"/>
        </w:rPr>
      </w:pPr>
    </w:p>
    <w:p w14:paraId="12BE9F2E" w14:textId="5A331F82" w:rsidR="001A07FB" w:rsidRPr="00EE0539" w:rsidRDefault="001A07FB" w:rsidP="005A1F7F">
      <w:pPr>
        <w:keepNext/>
        <w:keepLines/>
        <w:rPr>
          <w:rFonts w:ascii="Arial" w:hAnsi="Arial" w:cs="Arial"/>
          <w:i/>
          <w:sz w:val="20"/>
          <w:szCs w:val="20"/>
        </w:rPr>
      </w:pPr>
      <w:r w:rsidRPr="00EE0539">
        <w:rPr>
          <w:rFonts w:ascii="Arial" w:hAnsi="Arial" w:cs="Arial"/>
          <w:i/>
          <w:sz w:val="20"/>
          <w:szCs w:val="20"/>
        </w:rPr>
        <w:t>Timeliness of report translation</w:t>
      </w:r>
    </w:p>
    <w:p w14:paraId="35ED53C5" w14:textId="77777777" w:rsidR="001A07FB" w:rsidRPr="00EE0539" w:rsidRDefault="001A07FB" w:rsidP="005A1F7F">
      <w:pPr>
        <w:rPr>
          <w:rFonts w:ascii="Arial" w:hAnsi="Arial" w:cs="Arial"/>
          <w:sz w:val="20"/>
          <w:szCs w:val="20"/>
        </w:rPr>
      </w:pPr>
    </w:p>
    <w:p w14:paraId="6CB37EE9"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This indicator provides information on the timeliness with which patentability report translations are made available by the IB to applicants and Offices.  The share of patentability report translations delivered at 30 months from the priority date of the international application has steadily increased since 2010. In 2014, 82.5</w:t>
      </w:r>
      <w:r>
        <w:rPr>
          <w:rFonts w:ascii="Arial" w:hAnsi="Arial" w:cs="Arial"/>
          <w:sz w:val="20"/>
          <w:szCs w:val="20"/>
        </w:rPr>
        <w:t xml:space="preserve"> per cent</w:t>
      </w:r>
      <w:r w:rsidRPr="00EE0539">
        <w:rPr>
          <w:rFonts w:ascii="Arial" w:hAnsi="Arial" w:cs="Arial"/>
          <w:sz w:val="20"/>
          <w:szCs w:val="20"/>
        </w:rPr>
        <w:t xml:space="preserve"> of patentability report translations were delivered at 30 months from the priority date.</w:t>
      </w:r>
    </w:p>
    <w:p w14:paraId="3D18A263" w14:textId="77777777" w:rsidR="001A07FB" w:rsidRDefault="001A07FB" w:rsidP="005A1F7F">
      <w:pPr>
        <w:ind w:left="142"/>
        <w:jc w:val="both"/>
      </w:pPr>
    </w:p>
    <w:p w14:paraId="751A7F76" w14:textId="77777777" w:rsidR="001A07FB" w:rsidRPr="000D2666" w:rsidRDefault="001A07FB" w:rsidP="005A1F7F">
      <w:pPr>
        <w:ind w:left="142"/>
        <w:jc w:val="center"/>
        <w:rPr>
          <w:rFonts w:ascii="Arial" w:hAnsi="Arial" w:cs="Arial"/>
          <w:b/>
          <w:sz w:val="18"/>
          <w:szCs w:val="20"/>
        </w:rPr>
      </w:pPr>
      <w:r w:rsidRPr="000D2666">
        <w:rPr>
          <w:rFonts w:ascii="Arial" w:hAnsi="Arial" w:cs="Arial"/>
          <w:b/>
          <w:sz w:val="18"/>
          <w:szCs w:val="20"/>
        </w:rPr>
        <w:t>Timeliness of Report Translation</w:t>
      </w:r>
    </w:p>
    <w:p w14:paraId="1498C75C" w14:textId="77777777" w:rsidR="001A07FB" w:rsidRPr="004005D3" w:rsidRDefault="001A07FB" w:rsidP="005A1F7F">
      <w:pPr>
        <w:pStyle w:val="BodyText2"/>
        <w:keepNext/>
        <w:keepLines/>
        <w:spacing w:after="0" w:line="240" w:lineRule="auto"/>
        <w:ind w:left="142"/>
        <w:jc w:val="both"/>
      </w:pPr>
      <w:r>
        <w:rPr>
          <w:noProof/>
          <w:lang w:eastAsia="en-US"/>
        </w:rPr>
        <w:drawing>
          <wp:inline distT="0" distB="0" distL="0" distR="0" wp14:anchorId="3D040DB3" wp14:editId="7072E7DB">
            <wp:extent cx="5838825" cy="2591554"/>
            <wp:effectExtent l="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847136" cy="2595243"/>
                    </a:xfrm>
                    <a:prstGeom prst="rect">
                      <a:avLst/>
                    </a:prstGeom>
                    <a:noFill/>
                  </pic:spPr>
                </pic:pic>
              </a:graphicData>
            </a:graphic>
          </wp:inline>
        </w:drawing>
      </w:r>
    </w:p>
    <w:p w14:paraId="4424C0B4" w14:textId="77777777" w:rsidR="001A07FB" w:rsidRDefault="001A07FB" w:rsidP="005A1F7F">
      <w:pPr>
        <w:rPr>
          <w:rFonts w:ascii="Arial" w:hAnsi="Arial" w:cs="Arial"/>
          <w:i/>
          <w:sz w:val="20"/>
        </w:rPr>
      </w:pPr>
    </w:p>
    <w:p w14:paraId="5101A0A4" w14:textId="77777777" w:rsidR="001A07FB" w:rsidRPr="009915C4" w:rsidRDefault="001A07FB" w:rsidP="005A1F7F">
      <w:pPr>
        <w:rPr>
          <w:rFonts w:ascii="Arial" w:hAnsi="Arial" w:cs="Arial"/>
          <w:i/>
          <w:sz w:val="20"/>
          <w:szCs w:val="20"/>
        </w:rPr>
      </w:pPr>
      <w:r w:rsidRPr="00F6583F">
        <w:rPr>
          <w:rFonts w:ascii="Arial" w:hAnsi="Arial" w:cs="Arial"/>
          <w:i/>
          <w:sz w:val="20"/>
          <w:szCs w:val="20"/>
        </w:rPr>
        <w:t xml:space="preserve">Quality of software </w:t>
      </w:r>
      <w:r w:rsidRPr="009915C4">
        <w:rPr>
          <w:rFonts w:ascii="Arial" w:hAnsi="Arial" w:cs="Arial"/>
          <w:i/>
          <w:sz w:val="20"/>
          <w:szCs w:val="20"/>
        </w:rPr>
        <w:t>development</w:t>
      </w:r>
    </w:p>
    <w:p w14:paraId="467C98F5" w14:textId="77777777" w:rsidR="001A07FB" w:rsidRPr="00EE0539" w:rsidRDefault="001A07FB" w:rsidP="005A1F7F">
      <w:pPr>
        <w:jc w:val="both"/>
        <w:rPr>
          <w:rFonts w:ascii="Arial" w:hAnsi="Arial" w:cs="Arial"/>
          <w:b/>
          <w:sz w:val="20"/>
          <w:szCs w:val="20"/>
        </w:rPr>
      </w:pPr>
    </w:p>
    <w:p w14:paraId="3504BFA1"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t>The</w:t>
      </w:r>
      <w:r w:rsidRPr="00EE0539">
        <w:rPr>
          <w:rFonts w:ascii="Arial" w:hAnsi="Arial" w:cs="Arial"/>
          <w:sz w:val="20"/>
          <w:szCs w:val="20"/>
        </w:rPr>
        <w:t xml:space="preserve"> quality of software development (QSD) indicator provides a measure of the quality of major software releases for eDossier and ePCT projects. </w:t>
      </w:r>
      <w:r w:rsidRPr="00F6583F">
        <w:rPr>
          <w:rFonts w:ascii="Arial" w:hAnsi="Arial" w:cs="Arial"/>
          <w:sz w:val="20"/>
          <w:szCs w:val="20"/>
        </w:rPr>
        <w:t xml:space="preserve"> </w:t>
      </w:r>
      <w:r w:rsidRPr="00EE0539">
        <w:rPr>
          <w:rFonts w:ascii="Arial" w:hAnsi="Arial" w:cs="Arial"/>
          <w:sz w:val="20"/>
          <w:szCs w:val="20"/>
        </w:rPr>
        <w:t xml:space="preserve">The QSD reflects the share of the time spent delivering new functionality in the release (i.e. work) out of the total time spent (i.e. work + rework). Rework is the time spent correcting defective work that was detected in the production environment.  </w:t>
      </w:r>
    </w:p>
    <w:p w14:paraId="1238480D" w14:textId="77777777" w:rsidR="001A07FB" w:rsidRPr="00EE0539" w:rsidRDefault="001A07FB" w:rsidP="005A1F7F">
      <w:pPr>
        <w:jc w:val="both"/>
        <w:rPr>
          <w:rFonts w:ascii="Arial" w:hAnsi="Arial" w:cs="Arial"/>
          <w:sz w:val="20"/>
          <w:szCs w:val="20"/>
        </w:rPr>
      </w:pPr>
    </w:p>
    <w:p w14:paraId="1430D5EB"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lastRenderedPageBreak/>
        <w:t>Under</w:t>
      </w:r>
      <w:r w:rsidRPr="00EE0539">
        <w:rPr>
          <w:rFonts w:ascii="Arial" w:hAnsi="Arial" w:cs="Arial"/>
          <w:sz w:val="20"/>
          <w:szCs w:val="20"/>
        </w:rPr>
        <w:t xml:space="preserve"> this approach, development outputs that contain low levels of rework are deemed high quality as it reflects the extent of value added to the product through the delivery of new features. </w:t>
      </w:r>
    </w:p>
    <w:p w14:paraId="308B5EE1" w14:textId="77777777" w:rsidR="001A07FB" w:rsidRPr="00EE0539" w:rsidRDefault="001A07FB" w:rsidP="005A1F7F">
      <w:pPr>
        <w:jc w:val="both"/>
        <w:rPr>
          <w:rFonts w:ascii="Arial" w:hAnsi="Arial" w:cs="Arial"/>
          <w:sz w:val="20"/>
          <w:szCs w:val="20"/>
        </w:rPr>
      </w:pPr>
    </w:p>
    <w:p w14:paraId="6DC3B4A7"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t>The</w:t>
      </w:r>
      <w:r w:rsidRPr="00EE0539">
        <w:rPr>
          <w:rFonts w:ascii="Arial" w:hAnsi="Arial" w:cs="Arial"/>
          <w:sz w:val="20"/>
          <w:szCs w:val="20"/>
        </w:rPr>
        <w:t xml:space="preserve"> QSD is defined as:</w:t>
      </w:r>
    </w:p>
    <w:p w14:paraId="07F65F7C" w14:textId="77777777" w:rsidR="001A07FB" w:rsidRDefault="001A07FB" w:rsidP="005A1F7F">
      <w:pPr>
        <w:pStyle w:val="BodyText2"/>
        <w:spacing w:after="0" w:line="240" w:lineRule="auto"/>
        <w:jc w:val="both"/>
        <w:rPr>
          <w:rFonts w:ascii="Arial" w:hAnsi="Arial" w:cs="Arial"/>
          <w:sz w:val="20"/>
          <w:szCs w:val="20"/>
        </w:rPr>
      </w:pPr>
    </w:p>
    <w:p w14:paraId="11B9D26B" w14:textId="77777777" w:rsidR="001A07FB" w:rsidRDefault="001A07FB" w:rsidP="005A1F7F">
      <w:pPr>
        <w:pStyle w:val="BodyText2"/>
        <w:spacing w:after="0" w:line="240" w:lineRule="auto"/>
        <w:jc w:val="center"/>
        <w:rPr>
          <w:rFonts w:ascii="Arial" w:hAnsi="Arial" w:cs="Arial"/>
          <w:sz w:val="20"/>
          <w:szCs w:val="20"/>
        </w:rPr>
      </w:pPr>
      <w:r>
        <w:rPr>
          <w:noProof/>
          <w:lang w:eastAsia="en-US"/>
        </w:rPr>
        <w:drawing>
          <wp:inline distT="0" distB="0" distL="0" distR="0" wp14:anchorId="7362B8C7" wp14:editId="2D5796F1">
            <wp:extent cx="3267075" cy="352425"/>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3267075" cy="352425"/>
                    </a:xfrm>
                    <a:prstGeom prst="rect">
                      <a:avLst/>
                    </a:prstGeom>
                    <a:noFill/>
                    <a:ln>
                      <a:noFill/>
                    </a:ln>
                  </pic:spPr>
                </pic:pic>
              </a:graphicData>
            </a:graphic>
          </wp:inline>
        </w:drawing>
      </w:r>
    </w:p>
    <w:p w14:paraId="20CA1975" w14:textId="77777777" w:rsidR="001A07FB" w:rsidRPr="00EE0539" w:rsidRDefault="001A07FB" w:rsidP="005A1F7F">
      <w:pPr>
        <w:pStyle w:val="BodyText2"/>
        <w:spacing w:after="0" w:line="240" w:lineRule="auto"/>
        <w:jc w:val="both"/>
        <w:rPr>
          <w:rFonts w:ascii="Arial" w:hAnsi="Arial" w:cs="Arial"/>
          <w:sz w:val="20"/>
          <w:szCs w:val="20"/>
        </w:rPr>
      </w:pPr>
    </w:p>
    <w:p w14:paraId="043F5508"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In 2014, the quality of major releases, as defined by the QSD, was 94.3</w:t>
      </w:r>
      <w:r>
        <w:rPr>
          <w:rFonts w:ascii="Arial" w:hAnsi="Arial" w:cs="Arial"/>
          <w:sz w:val="20"/>
          <w:szCs w:val="20"/>
        </w:rPr>
        <w:t xml:space="preserve"> per cent</w:t>
      </w:r>
      <w:r w:rsidRPr="00EE0539">
        <w:rPr>
          <w:rFonts w:ascii="Arial" w:hAnsi="Arial" w:cs="Arial"/>
          <w:sz w:val="20"/>
          <w:szCs w:val="20"/>
        </w:rPr>
        <w:t xml:space="preserve">. This share is nearly five percentage points higher than </w:t>
      </w:r>
      <w:r>
        <w:rPr>
          <w:rFonts w:ascii="Arial" w:hAnsi="Arial" w:cs="Arial"/>
          <w:sz w:val="20"/>
          <w:szCs w:val="20"/>
        </w:rPr>
        <w:t>in</w:t>
      </w:r>
      <w:r w:rsidRPr="00EE0539">
        <w:rPr>
          <w:rFonts w:ascii="Arial" w:hAnsi="Arial" w:cs="Arial"/>
          <w:sz w:val="20"/>
          <w:szCs w:val="20"/>
        </w:rPr>
        <w:t xml:space="preserve"> 2013.</w:t>
      </w:r>
    </w:p>
    <w:p w14:paraId="0CADB7E0" w14:textId="77777777" w:rsidR="001A07FB" w:rsidRDefault="001A07FB" w:rsidP="005A1F7F"/>
    <w:p w14:paraId="7F73C70A" w14:textId="77777777" w:rsidR="001A07FB" w:rsidRDefault="001A07FB" w:rsidP="005A1F7F">
      <w:pPr>
        <w:jc w:val="center"/>
        <w:rPr>
          <w:rFonts w:ascii="Arial" w:hAnsi="Arial" w:cs="Arial"/>
          <w:b/>
          <w:sz w:val="20"/>
        </w:rPr>
      </w:pPr>
    </w:p>
    <w:p w14:paraId="17A7D374" w14:textId="77777777" w:rsidR="001A07FB" w:rsidRPr="000D2666" w:rsidRDefault="001A07FB" w:rsidP="000D2666">
      <w:pPr>
        <w:keepNext/>
        <w:keepLines/>
        <w:jc w:val="center"/>
        <w:rPr>
          <w:rFonts w:ascii="Arial" w:hAnsi="Arial" w:cs="Arial"/>
          <w:b/>
          <w:sz w:val="18"/>
        </w:rPr>
      </w:pPr>
      <w:r w:rsidRPr="000D2666">
        <w:rPr>
          <w:rFonts w:ascii="Arial" w:hAnsi="Arial" w:cs="Arial"/>
          <w:b/>
          <w:sz w:val="18"/>
        </w:rPr>
        <w:t>Quality of Software Development</w:t>
      </w:r>
    </w:p>
    <w:p w14:paraId="1C67D68B" w14:textId="77777777" w:rsidR="001A07FB" w:rsidRDefault="001A07FB" w:rsidP="00F02482">
      <w:pPr>
        <w:keepNext/>
        <w:keepLines/>
        <w:jc w:val="center"/>
      </w:pPr>
      <w:r>
        <w:rPr>
          <w:noProof/>
          <w:lang w:eastAsia="en-US"/>
        </w:rPr>
        <w:drawing>
          <wp:inline distT="0" distB="0" distL="0" distR="0" wp14:anchorId="14465D91" wp14:editId="0A938AEA">
            <wp:extent cx="4791075" cy="2820112"/>
            <wp:effectExtent l="0" t="0" r="0" b="0"/>
            <wp:docPr id="1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4800846" cy="2825864"/>
                    </a:xfrm>
                    <a:prstGeom prst="rect">
                      <a:avLst/>
                    </a:prstGeom>
                    <a:noFill/>
                    <a:ln>
                      <a:noFill/>
                    </a:ln>
                  </pic:spPr>
                </pic:pic>
              </a:graphicData>
            </a:graphic>
          </wp:inline>
        </w:drawing>
      </w:r>
    </w:p>
    <w:p w14:paraId="569E5E53" w14:textId="77777777" w:rsidR="001A07FB" w:rsidRDefault="001A07FB" w:rsidP="000D2666">
      <w:pPr>
        <w:keepNext/>
        <w:keepLines/>
      </w:pPr>
    </w:p>
    <w:p w14:paraId="1495691A" w14:textId="77777777" w:rsidR="001A07FB" w:rsidRPr="004853B3" w:rsidRDefault="001A07FB" w:rsidP="005A1F7F">
      <w:pPr>
        <w:rPr>
          <w:rFonts w:ascii="Arial" w:hAnsi="Arial" w:cs="Arial"/>
          <w:i/>
          <w:sz w:val="20"/>
        </w:rPr>
      </w:pPr>
      <w:r w:rsidRPr="004853B3">
        <w:rPr>
          <w:rFonts w:ascii="Arial" w:hAnsi="Arial" w:cs="Arial"/>
          <w:i/>
          <w:sz w:val="20"/>
        </w:rPr>
        <w:t>Information systems service levels</w:t>
      </w:r>
    </w:p>
    <w:p w14:paraId="42EDC0D8" w14:textId="77777777" w:rsidR="001A07FB" w:rsidRDefault="001A07FB" w:rsidP="005A1F7F">
      <w:pPr>
        <w:pStyle w:val="BodyText2"/>
        <w:spacing w:after="0" w:line="240" w:lineRule="auto"/>
        <w:jc w:val="both"/>
        <w:rPr>
          <w:rFonts w:cs="Arial"/>
        </w:rPr>
      </w:pPr>
    </w:p>
    <w:p w14:paraId="360BF35D" w14:textId="77777777" w:rsidR="001A07FB" w:rsidRPr="00EE0539" w:rsidRDefault="001A07FB" w:rsidP="00B66A4A">
      <w:pPr>
        <w:numPr>
          <w:ilvl w:val="0"/>
          <w:numId w:val="41"/>
        </w:numPr>
        <w:rPr>
          <w:rFonts w:ascii="Arial" w:eastAsia="Times New Roman" w:hAnsi="Arial" w:cs="Arial"/>
          <w:color w:val="000000"/>
          <w:sz w:val="20"/>
          <w:szCs w:val="20"/>
          <w:lang w:val="en-GB" w:eastAsia="en-GB"/>
        </w:rPr>
      </w:pPr>
      <w:r w:rsidRPr="00EE0539">
        <w:rPr>
          <w:rFonts w:ascii="Arial" w:hAnsi="Arial"/>
          <w:sz w:val="20"/>
          <w:lang w:val="en-GB"/>
        </w:rPr>
        <w:t>The</w:t>
      </w:r>
      <w:r w:rsidRPr="00EE0539">
        <w:rPr>
          <w:rFonts w:ascii="Arial" w:hAnsi="Arial" w:cs="Arial"/>
          <w:sz w:val="20"/>
          <w:szCs w:val="20"/>
        </w:rPr>
        <w:t xml:space="preserve"> performance indicator entitled information systems service levels (ISSL) </w:t>
      </w:r>
      <w:r w:rsidRPr="00EE0539">
        <w:rPr>
          <w:rFonts w:ascii="Arial" w:eastAsia="Times New Roman" w:hAnsi="Arial" w:cs="Arial"/>
          <w:color w:val="000000"/>
          <w:sz w:val="20"/>
          <w:szCs w:val="20"/>
          <w:lang w:val="en-GB" w:eastAsia="en-GB"/>
        </w:rPr>
        <w:t>reflects the performance of the service provided by the PCT information systems service to users, based on its ability to meet agreed targets.</w:t>
      </w:r>
    </w:p>
    <w:p w14:paraId="038408E9" w14:textId="77777777" w:rsidR="001A07FB" w:rsidRPr="00EE0539" w:rsidRDefault="001A07FB" w:rsidP="005A1F7F">
      <w:pPr>
        <w:pStyle w:val="BodyText2"/>
        <w:spacing w:after="0" w:line="240" w:lineRule="auto"/>
        <w:jc w:val="both"/>
        <w:rPr>
          <w:rFonts w:ascii="Arial" w:hAnsi="Arial" w:cs="Arial"/>
          <w:sz w:val="20"/>
          <w:szCs w:val="20"/>
        </w:rPr>
      </w:pPr>
    </w:p>
    <w:p w14:paraId="7B56891D" w14:textId="77777777" w:rsidR="001A07FB" w:rsidRPr="00EE0539" w:rsidRDefault="001A07FB" w:rsidP="00B66A4A">
      <w:pPr>
        <w:numPr>
          <w:ilvl w:val="0"/>
          <w:numId w:val="41"/>
        </w:numPr>
        <w:rPr>
          <w:rFonts w:ascii="Arial" w:eastAsia="Times New Roman" w:hAnsi="Arial" w:cs="Arial"/>
          <w:color w:val="000000"/>
          <w:sz w:val="20"/>
          <w:szCs w:val="20"/>
          <w:lang w:val="en-GB" w:eastAsia="en-GB"/>
        </w:rPr>
      </w:pPr>
      <w:r w:rsidRPr="00EE0539">
        <w:rPr>
          <w:rFonts w:ascii="Arial" w:hAnsi="Arial"/>
          <w:sz w:val="20"/>
          <w:lang w:val="en-GB"/>
        </w:rPr>
        <w:t>This</w:t>
      </w:r>
      <w:r w:rsidRPr="00EE0539">
        <w:rPr>
          <w:rFonts w:ascii="Arial" w:eastAsia="Times New Roman" w:hAnsi="Arial" w:cs="Arial"/>
          <w:color w:val="000000"/>
          <w:sz w:val="20"/>
          <w:szCs w:val="20"/>
          <w:lang w:val="en-GB" w:eastAsia="en-GB"/>
        </w:rPr>
        <w:t xml:space="preserve"> composite indicator is calculated using the weighted average of five target-based performance indicators</w:t>
      </w:r>
      <w:r w:rsidRPr="00EE0539">
        <w:rPr>
          <w:rStyle w:val="FootnoteReference"/>
          <w:sz w:val="20"/>
          <w:szCs w:val="20"/>
        </w:rPr>
        <w:footnoteReference w:id="24"/>
      </w:r>
      <w:r w:rsidRPr="00EE0539">
        <w:rPr>
          <w:rFonts w:ascii="Arial" w:eastAsia="Times New Roman" w:hAnsi="Arial" w:cs="Arial"/>
          <w:color w:val="000000"/>
          <w:sz w:val="20"/>
          <w:szCs w:val="20"/>
          <w:lang w:val="en-GB" w:eastAsia="en-GB"/>
        </w:rPr>
        <w:t xml:space="preserve">.  Each indicator is expressed as the percentage of the target actually attained.  </w:t>
      </w:r>
    </w:p>
    <w:p w14:paraId="41D71FC3" w14:textId="77777777" w:rsidR="001A07FB" w:rsidRPr="00EE0539" w:rsidRDefault="001A07FB" w:rsidP="005A1F7F">
      <w:pPr>
        <w:autoSpaceDE w:val="0"/>
        <w:autoSpaceDN w:val="0"/>
        <w:adjustRightInd w:val="0"/>
        <w:jc w:val="both"/>
        <w:rPr>
          <w:rFonts w:ascii="Arial" w:eastAsia="Times New Roman" w:hAnsi="Arial" w:cs="Arial"/>
          <w:color w:val="000000"/>
          <w:sz w:val="20"/>
          <w:szCs w:val="20"/>
          <w:lang w:val="en-GB" w:eastAsia="en-GB"/>
        </w:rPr>
      </w:pPr>
      <w:r w:rsidRPr="00EE0539">
        <w:rPr>
          <w:rFonts w:ascii="Arial" w:eastAsia="Times New Roman" w:hAnsi="Arial" w:cs="Arial"/>
          <w:color w:val="000000"/>
          <w:sz w:val="20"/>
          <w:szCs w:val="20"/>
          <w:lang w:val="en-GB" w:eastAsia="en-GB"/>
        </w:rPr>
        <w:t xml:space="preserve"> </w:t>
      </w:r>
    </w:p>
    <w:p w14:paraId="74EA49D6" w14:textId="77777777" w:rsidR="001A07FB" w:rsidRPr="00EE0539" w:rsidRDefault="001A07FB" w:rsidP="00B66A4A">
      <w:pPr>
        <w:numPr>
          <w:ilvl w:val="0"/>
          <w:numId w:val="41"/>
        </w:numPr>
        <w:rPr>
          <w:rFonts w:ascii="Arial" w:hAnsi="Arial" w:cs="Arial"/>
          <w:sz w:val="20"/>
          <w:szCs w:val="20"/>
        </w:rPr>
      </w:pPr>
      <w:r w:rsidRPr="00EE0539">
        <w:rPr>
          <w:rFonts w:ascii="Arial" w:hAnsi="Arial" w:cs="Arial"/>
          <w:sz w:val="20"/>
          <w:szCs w:val="20"/>
        </w:rPr>
        <w:t>In 2014, overall service level was 95.3</w:t>
      </w:r>
      <w:r>
        <w:rPr>
          <w:rFonts w:ascii="Arial" w:hAnsi="Arial" w:cs="Arial"/>
          <w:sz w:val="20"/>
          <w:szCs w:val="20"/>
        </w:rPr>
        <w:t xml:space="preserve"> per cent</w:t>
      </w:r>
      <w:r w:rsidRPr="00EE0539">
        <w:rPr>
          <w:rFonts w:ascii="Arial" w:hAnsi="Arial" w:cs="Arial"/>
          <w:sz w:val="20"/>
          <w:szCs w:val="20"/>
        </w:rPr>
        <w:t xml:space="preserve"> towards meeting the target performance levels. </w:t>
      </w:r>
    </w:p>
    <w:p w14:paraId="5B1F9A51" w14:textId="77777777" w:rsidR="001A07FB" w:rsidRDefault="001A07FB" w:rsidP="005A1F7F">
      <w:pPr>
        <w:autoSpaceDE w:val="0"/>
        <w:autoSpaceDN w:val="0"/>
        <w:adjustRightInd w:val="0"/>
        <w:jc w:val="both"/>
        <w:rPr>
          <w:rFonts w:cs="Arial"/>
        </w:rPr>
      </w:pPr>
    </w:p>
    <w:p w14:paraId="666FEDC4" w14:textId="77777777" w:rsidR="001A07FB" w:rsidRDefault="001A07FB" w:rsidP="005A1F7F">
      <w:pPr>
        <w:jc w:val="center"/>
        <w:rPr>
          <w:rFonts w:ascii="Arial" w:hAnsi="Arial" w:cs="Arial"/>
          <w:b/>
          <w:sz w:val="20"/>
        </w:rPr>
      </w:pPr>
    </w:p>
    <w:p w14:paraId="6F0157F5" w14:textId="77777777" w:rsidR="001A07FB" w:rsidRPr="000E0146" w:rsidRDefault="001A07FB" w:rsidP="005A1F7F">
      <w:pPr>
        <w:jc w:val="center"/>
        <w:rPr>
          <w:rFonts w:ascii="Arial" w:hAnsi="Arial" w:cs="Arial"/>
          <w:b/>
          <w:sz w:val="20"/>
        </w:rPr>
      </w:pPr>
      <w:r>
        <w:rPr>
          <w:rFonts w:ascii="Arial" w:hAnsi="Arial" w:cs="Arial"/>
          <w:b/>
          <w:sz w:val="20"/>
        </w:rPr>
        <w:br w:type="page"/>
      </w:r>
      <w:r w:rsidRPr="000E0146">
        <w:rPr>
          <w:rFonts w:ascii="Arial" w:hAnsi="Arial" w:cs="Arial"/>
          <w:b/>
          <w:sz w:val="20"/>
        </w:rPr>
        <w:lastRenderedPageBreak/>
        <w:t xml:space="preserve">Information </w:t>
      </w:r>
      <w:r>
        <w:rPr>
          <w:rFonts w:ascii="Arial" w:hAnsi="Arial" w:cs="Arial"/>
          <w:b/>
          <w:sz w:val="20"/>
        </w:rPr>
        <w:t>S</w:t>
      </w:r>
      <w:r w:rsidRPr="000E0146">
        <w:rPr>
          <w:rFonts w:ascii="Arial" w:hAnsi="Arial" w:cs="Arial"/>
          <w:b/>
          <w:sz w:val="20"/>
        </w:rPr>
        <w:t xml:space="preserve">ystems </w:t>
      </w:r>
      <w:r>
        <w:rPr>
          <w:rFonts w:ascii="Arial" w:hAnsi="Arial" w:cs="Arial"/>
          <w:b/>
          <w:sz w:val="20"/>
        </w:rPr>
        <w:t>S</w:t>
      </w:r>
      <w:r w:rsidRPr="000E0146">
        <w:rPr>
          <w:rFonts w:ascii="Arial" w:hAnsi="Arial" w:cs="Arial"/>
          <w:b/>
          <w:sz w:val="20"/>
        </w:rPr>
        <w:t xml:space="preserve">ervice </w:t>
      </w:r>
      <w:r>
        <w:rPr>
          <w:rFonts w:ascii="Arial" w:hAnsi="Arial" w:cs="Arial"/>
          <w:b/>
          <w:sz w:val="20"/>
        </w:rPr>
        <w:t>Le</w:t>
      </w:r>
      <w:r w:rsidRPr="000E0146">
        <w:rPr>
          <w:rFonts w:ascii="Arial" w:hAnsi="Arial" w:cs="Arial"/>
          <w:b/>
          <w:sz w:val="20"/>
        </w:rPr>
        <w:t>vels</w:t>
      </w:r>
    </w:p>
    <w:p w14:paraId="21985774" w14:textId="77777777" w:rsidR="001A07FB" w:rsidRDefault="001A07FB" w:rsidP="005A1F7F">
      <w:pPr>
        <w:autoSpaceDE w:val="0"/>
        <w:autoSpaceDN w:val="0"/>
        <w:adjustRightInd w:val="0"/>
        <w:rPr>
          <w:rFonts w:eastAsia="Times New Roman"/>
          <w:color w:val="000000"/>
          <w:lang w:val="en-GB" w:eastAsia="en-GB"/>
        </w:rPr>
      </w:pP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34"/>
        <w:gridCol w:w="2002"/>
        <w:gridCol w:w="1984"/>
        <w:gridCol w:w="1134"/>
        <w:gridCol w:w="1101"/>
      </w:tblGrid>
      <w:tr w:rsidR="001A07FB" w:rsidRPr="00EE0539" w14:paraId="0B864AF5" w14:textId="77777777" w:rsidTr="005A1F7F">
        <w:trPr>
          <w:jc w:val="center"/>
        </w:trPr>
        <w:tc>
          <w:tcPr>
            <w:tcW w:w="534" w:type="dxa"/>
            <w:shd w:val="clear" w:color="auto" w:fill="auto"/>
            <w:tcMar>
              <w:top w:w="85" w:type="dxa"/>
              <w:bottom w:w="85" w:type="dxa"/>
            </w:tcMar>
          </w:tcPr>
          <w:p w14:paraId="6C5FC3F2"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sidRPr="00EE0539">
              <w:rPr>
                <w:rFonts w:ascii="Arial" w:eastAsia="Times New Roman" w:hAnsi="Arial" w:cs="Arial"/>
                <w:b/>
                <w:color w:val="000000"/>
                <w:sz w:val="20"/>
                <w:szCs w:val="20"/>
                <w:lang w:val="en-GB" w:eastAsia="en-GB"/>
              </w:rPr>
              <w:t>Id</w:t>
            </w:r>
          </w:p>
        </w:tc>
        <w:tc>
          <w:tcPr>
            <w:tcW w:w="2534" w:type="dxa"/>
            <w:shd w:val="clear" w:color="auto" w:fill="auto"/>
            <w:tcMar>
              <w:top w:w="85" w:type="dxa"/>
              <w:bottom w:w="85" w:type="dxa"/>
            </w:tcMar>
          </w:tcPr>
          <w:p w14:paraId="30ED0DB5"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sidRPr="00EE0539">
              <w:rPr>
                <w:rFonts w:ascii="Arial" w:eastAsia="Times New Roman" w:hAnsi="Arial" w:cs="Arial"/>
                <w:b/>
                <w:color w:val="000000"/>
                <w:sz w:val="20"/>
                <w:szCs w:val="20"/>
                <w:lang w:val="en-GB" w:eastAsia="en-GB"/>
              </w:rPr>
              <w:t xml:space="preserve">Performance Indicator </w:t>
            </w:r>
          </w:p>
          <w:p w14:paraId="113396B9" w14:textId="77777777" w:rsidR="001A07FB" w:rsidRPr="00EE0539" w:rsidRDefault="001A07FB" w:rsidP="005A1F7F">
            <w:pPr>
              <w:autoSpaceDE w:val="0"/>
              <w:autoSpaceDN w:val="0"/>
              <w:adjustRightInd w:val="0"/>
              <w:jc w:val="center"/>
              <w:rPr>
                <w:rFonts w:ascii="Arial" w:eastAsia="Times New Roman" w:hAnsi="Arial" w:cs="Arial"/>
                <w:b/>
                <w:i/>
                <w:color w:val="000000"/>
                <w:sz w:val="20"/>
                <w:szCs w:val="20"/>
                <w:lang w:val="en-GB" w:eastAsia="en-GB"/>
              </w:rPr>
            </w:pPr>
            <w:r w:rsidRPr="00EE0539">
              <w:rPr>
                <w:rFonts w:ascii="Arial" w:eastAsia="Times New Roman" w:hAnsi="Arial" w:cs="Arial"/>
                <w:b/>
                <w:i/>
                <w:color w:val="000000"/>
                <w:sz w:val="20"/>
                <w:szCs w:val="20"/>
                <w:lang w:val="en-GB" w:eastAsia="en-GB"/>
              </w:rPr>
              <w:t>Short description</w:t>
            </w:r>
          </w:p>
        </w:tc>
        <w:tc>
          <w:tcPr>
            <w:tcW w:w="2002" w:type="dxa"/>
            <w:shd w:val="clear" w:color="auto" w:fill="auto"/>
            <w:tcMar>
              <w:top w:w="85" w:type="dxa"/>
              <w:bottom w:w="85" w:type="dxa"/>
            </w:tcMar>
          </w:tcPr>
          <w:p w14:paraId="0329F301"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sidRPr="00EE0539">
              <w:rPr>
                <w:rFonts w:ascii="Arial" w:eastAsia="Times New Roman" w:hAnsi="Arial" w:cs="Arial"/>
                <w:b/>
                <w:color w:val="000000"/>
                <w:sz w:val="20"/>
                <w:szCs w:val="20"/>
                <w:lang w:val="en-GB" w:eastAsia="en-GB"/>
              </w:rPr>
              <w:t>Target</w:t>
            </w:r>
          </w:p>
        </w:tc>
        <w:tc>
          <w:tcPr>
            <w:tcW w:w="1984" w:type="dxa"/>
            <w:shd w:val="clear" w:color="auto" w:fill="auto"/>
            <w:tcMar>
              <w:top w:w="85" w:type="dxa"/>
              <w:bottom w:w="85" w:type="dxa"/>
            </w:tcMar>
          </w:tcPr>
          <w:p w14:paraId="7B5C1EE3"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sidRPr="00EE0539">
              <w:rPr>
                <w:rFonts w:ascii="Arial" w:eastAsia="Times New Roman" w:hAnsi="Arial" w:cs="Arial"/>
                <w:b/>
                <w:color w:val="000000"/>
                <w:sz w:val="20"/>
                <w:szCs w:val="20"/>
                <w:lang w:val="en-GB" w:eastAsia="en-GB"/>
              </w:rPr>
              <w:t>Conditions</w:t>
            </w:r>
          </w:p>
        </w:tc>
        <w:tc>
          <w:tcPr>
            <w:tcW w:w="1134" w:type="dxa"/>
            <w:tcMar>
              <w:top w:w="85" w:type="dxa"/>
              <w:bottom w:w="85" w:type="dxa"/>
            </w:tcMar>
          </w:tcPr>
          <w:p w14:paraId="1819ED25"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Pr>
                <w:rFonts w:ascii="Arial" w:hAnsi="Arial" w:cs="Arial"/>
                <w:b/>
                <w:sz w:val="20"/>
                <w:szCs w:val="20"/>
              </w:rPr>
              <w:t xml:space="preserve">2013 </w:t>
            </w:r>
            <w:r w:rsidRPr="009915C4">
              <w:rPr>
                <w:rFonts w:ascii="Arial" w:hAnsi="Arial" w:cs="Arial"/>
                <w:b/>
                <w:sz w:val="20"/>
                <w:szCs w:val="20"/>
              </w:rPr>
              <w:t>Result</w:t>
            </w:r>
          </w:p>
        </w:tc>
        <w:tc>
          <w:tcPr>
            <w:tcW w:w="1101" w:type="dxa"/>
            <w:tcMar>
              <w:top w:w="85" w:type="dxa"/>
              <w:bottom w:w="85" w:type="dxa"/>
            </w:tcMar>
          </w:tcPr>
          <w:p w14:paraId="35AB6674" w14:textId="77777777" w:rsidR="001A07FB" w:rsidRPr="00EE0539" w:rsidRDefault="001A07FB" w:rsidP="005A1F7F">
            <w:pPr>
              <w:autoSpaceDE w:val="0"/>
              <w:autoSpaceDN w:val="0"/>
              <w:adjustRightInd w:val="0"/>
              <w:jc w:val="center"/>
              <w:rPr>
                <w:rFonts w:ascii="Arial" w:eastAsia="Times New Roman" w:hAnsi="Arial" w:cs="Arial"/>
                <w:b/>
                <w:color w:val="000000"/>
                <w:sz w:val="20"/>
                <w:szCs w:val="20"/>
                <w:lang w:val="en-GB" w:eastAsia="en-GB"/>
              </w:rPr>
            </w:pPr>
            <w:r>
              <w:rPr>
                <w:rFonts w:ascii="Arial" w:hAnsi="Arial" w:cs="Arial"/>
                <w:b/>
                <w:sz w:val="20"/>
                <w:szCs w:val="20"/>
              </w:rPr>
              <w:t xml:space="preserve">2014 </w:t>
            </w:r>
            <w:r w:rsidRPr="009915C4">
              <w:rPr>
                <w:rFonts w:ascii="Arial" w:hAnsi="Arial" w:cs="Arial"/>
                <w:b/>
                <w:sz w:val="20"/>
                <w:szCs w:val="20"/>
              </w:rPr>
              <w:t>Result</w:t>
            </w:r>
          </w:p>
        </w:tc>
      </w:tr>
      <w:tr w:rsidR="001A07FB" w14:paraId="6687D6C0" w14:textId="77777777" w:rsidTr="005A1F7F">
        <w:trPr>
          <w:jc w:val="center"/>
        </w:trPr>
        <w:tc>
          <w:tcPr>
            <w:tcW w:w="534" w:type="dxa"/>
            <w:shd w:val="clear" w:color="auto" w:fill="auto"/>
            <w:tcMar>
              <w:top w:w="85" w:type="dxa"/>
              <w:bottom w:w="85" w:type="dxa"/>
            </w:tcMar>
          </w:tcPr>
          <w:p w14:paraId="39F6522D" w14:textId="77777777" w:rsidR="001A07FB" w:rsidRPr="00EE0539" w:rsidRDefault="001A07FB" w:rsidP="005A1F7F">
            <w:pPr>
              <w:rPr>
                <w:rFonts w:ascii="Arial" w:hAnsi="Arial" w:cs="Arial"/>
                <w:sz w:val="16"/>
                <w:szCs w:val="16"/>
                <w:lang w:val="en-GB" w:eastAsia="en-GB"/>
              </w:rPr>
            </w:pPr>
            <w:r w:rsidRPr="00EE0539">
              <w:rPr>
                <w:rFonts w:ascii="Arial" w:hAnsi="Arial" w:cs="Arial"/>
                <w:sz w:val="16"/>
                <w:szCs w:val="16"/>
                <w:lang w:val="en-GB" w:eastAsia="en-GB"/>
              </w:rPr>
              <w:t xml:space="preserve">(1) </w:t>
            </w:r>
          </w:p>
        </w:tc>
        <w:tc>
          <w:tcPr>
            <w:tcW w:w="2534" w:type="dxa"/>
            <w:shd w:val="clear" w:color="auto" w:fill="auto"/>
            <w:tcMar>
              <w:top w:w="85" w:type="dxa"/>
              <w:bottom w:w="85" w:type="dxa"/>
            </w:tcMar>
          </w:tcPr>
          <w:p w14:paraId="39BB5287" w14:textId="77777777" w:rsidR="001A07FB" w:rsidRPr="00EE0539" w:rsidRDefault="001A07FB" w:rsidP="005A1F7F">
            <w:pPr>
              <w:rPr>
                <w:rFonts w:ascii="Arial" w:hAnsi="Arial" w:cs="Arial"/>
                <w:sz w:val="16"/>
                <w:szCs w:val="16"/>
                <w:lang w:val="en-GB" w:eastAsia="en-GB"/>
              </w:rPr>
            </w:pPr>
            <w:r w:rsidRPr="00EE0539">
              <w:rPr>
                <w:rFonts w:ascii="Arial" w:hAnsi="Arial" w:cs="Arial"/>
                <w:sz w:val="16"/>
                <w:szCs w:val="16"/>
                <w:lang w:val="en-GB" w:eastAsia="en-GB"/>
              </w:rPr>
              <w:t>Incident resolution time</w:t>
            </w:r>
          </w:p>
          <w:p w14:paraId="6259D823" w14:textId="77777777" w:rsidR="001A07FB" w:rsidRPr="00EE0539" w:rsidRDefault="001A07FB" w:rsidP="005A1F7F">
            <w:pPr>
              <w:rPr>
                <w:rFonts w:ascii="Arial" w:hAnsi="Arial" w:cs="Arial"/>
                <w:i/>
                <w:sz w:val="16"/>
                <w:szCs w:val="16"/>
                <w:lang w:val="en-GB" w:eastAsia="en-GB"/>
              </w:rPr>
            </w:pPr>
            <w:r w:rsidRPr="00EE0539">
              <w:rPr>
                <w:rFonts w:ascii="Arial" w:hAnsi="Arial" w:cs="Arial"/>
                <w:i/>
                <w:sz w:val="16"/>
                <w:szCs w:val="16"/>
                <w:lang w:val="en-GB" w:eastAsia="en-GB"/>
              </w:rPr>
              <w:t xml:space="preserve">Working time (7am-7pm on WIPO working days) between a ticket being created and resolved. </w:t>
            </w:r>
          </w:p>
        </w:tc>
        <w:tc>
          <w:tcPr>
            <w:tcW w:w="2002" w:type="dxa"/>
            <w:shd w:val="clear" w:color="auto" w:fill="auto"/>
            <w:tcMar>
              <w:top w:w="85" w:type="dxa"/>
              <w:bottom w:w="85" w:type="dxa"/>
            </w:tcMar>
          </w:tcPr>
          <w:p w14:paraId="2BC5A16A"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Severity 1: 4 hours</w:t>
            </w:r>
          </w:p>
          <w:p w14:paraId="57CE2C29"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Severity 2: 2 days</w:t>
            </w:r>
          </w:p>
          <w:p w14:paraId="1B80F3C5"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Severity 3: 5 days</w:t>
            </w:r>
          </w:p>
          <w:p w14:paraId="3D147BFF"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Severity 4: 10 days</w:t>
            </w:r>
          </w:p>
        </w:tc>
        <w:tc>
          <w:tcPr>
            <w:tcW w:w="1984" w:type="dxa"/>
            <w:shd w:val="clear" w:color="auto" w:fill="auto"/>
            <w:tcMar>
              <w:top w:w="85" w:type="dxa"/>
              <w:bottom w:w="85" w:type="dxa"/>
            </w:tcMar>
          </w:tcPr>
          <w:p w14:paraId="55E5BEA7"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Production and Support tickets resolved by the support team</w:t>
            </w:r>
          </w:p>
        </w:tc>
        <w:tc>
          <w:tcPr>
            <w:tcW w:w="1134" w:type="dxa"/>
            <w:tcMar>
              <w:top w:w="85" w:type="dxa"/>
              <w:bottom w:w="85" w:type="dxa"/>
            </w:tcMar>
          </w:tcPr>
          <w:p w14:paraId="69CFDE6A"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85.5%</w:t>
            </w:r>
          </w:p>
        </w:tc>
        <w:tc>
          <w:tcPr>
            <w:tcW w:w="1101" w:type="dxa"/>
            <w:tcMar>
              <w:top w:w="85" w:type="dxa"/>
              <w:bottom w:w="85" w:type="dxa"/>
            </w:tcMar>
          </w:tcPr>
          <w:p w14:paraId="669468DD"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88.8%</w:t>
            </w:r>
          </w:p>
        </w:tc>
      </w:tr>
      <w:tr w:rsidR="001A07FB" w14:paraId="5C3CAF7E" w14:textId="77777777" w:rsidTr="005A1F7F">
        <w:trPr>
          <w:jc w:val="center"/>
        </w:trPr>
        <w:tc>
          <w:tcPr>
            <w:tcW w:w="534" w:type="dxa"/>
            <w:shd w:val="clear" w:color="auto" w:fill="auto"/>
            <w:tcMar>
              <w:top w:w="85" w:type="dxa"/>
              <w:bottom w:w="85" w:type="dxa"/>
            </w:tcMar>
          </w:tcPr>
          <w:p w14:paraId="0446763F" w14:textId="77777777" w:rsidR="001A07FB" w:rsidRPr="00EE0539" w:rsidRDefault="001A07FB" w:rsidP="005A1F7F">
            <w:pPr>
              <w:rPr>
                <w:rFonts w:ascii="Arial" w:hAnsi="Arial" w:cs="Arial"/>
                <w:sz w:val="16"/>
                <w:szCs w:val="16"/>
                <w:lang w:val="en-GB" w:eastAsia="en-GB"/>
              </w:rPr>
            </w:pPr>
            <w:r w:rsidRPr="00EE0539">
              <w:rPr>
                <w:rFonts w:ascii="Arial" w:hAnsi="Arial" w:cs="Arial"/>
                <w:sz w:val="16"/>
                <w:szCs w:val="16"/>
                <w:lang w:val="en-GB" w:eastAsia="en-GB"/>
              </w:rPr>
              <w:t xml:space="preserve">(2) </w:t>
            </w:r>
          </w:p>
        </w:tc>
        <w:tc>
          <w:tcPr>
            <w:tcW w:w="2534" w:type="dxa"/>
            <w:shd w:val="clear" w:color="auto" w:fill="auto"/>
            <w:tcMar>
              <w:top w:w="85" w:type="dxa"/>
              <w:bottom w:w="85" w:type="dxa"/>
            </w:tcMar>
          </w:tcPr>
          <w:p w14:paraId="1E32F0FB" w14:textId="77777777" w:rsidR="001A07FB" w:rsidRPr="00EE0539" w:rsidRDefault="001A07FB" w:rsidP="005A1F7F">
            <w:pPr>
              <w:rPr>
                <w:rFonts w:ascii="Arial" w:hAnsi="Arial" w:cs="Arial"/>
                <w:sz w:val="16"/>
                <w:szCs w:val="16"/>
                <w:lang w:val="en-GB" w:eastAsia="en-GB"/>
              </w:rPr>
            </w:pPr>
            <w:r w:rsidRPr="00EE0539">
              <w:rPr>
                <w:rFonts w:ascii="Arial" w:hAnsi="Arial" w:cs="Arial"/>
                <w:sz w:val="16"/>
                <w:szCs w:val="16"/>
                <w:lang w:val="en-GB" w:eastAsia="en-GB"/>
              </w:rPr>
              <w:t>Document load time</w:t>
            </w:r>
          </w:p>
          <w:p w14:paraId="23539976" w14:textId="77777777" w:rsidR="001A07FB" w:rsidRPr="00EE0539" w:rsidRDefault="001A07FB" w:rsidP="005A1F7F">
            <w:pPr>
              <w:rPr>
                <w:rFonts w:ascii="Arial" w:hAnsi="Arial" w:cs="Arial"/>
                <w:sz w:val="16"/>
                <w:szCs w:val="16"/>
                <w:lang w:val="en-GB" w:eastAsia="en-GB"/>
              </w:rPr>
            </w:pPr>
            <w:r w:rsidRPr="00EE0539">
              <w:rPr>
                <w:rFonts w:ascii="Arial" w:hAnsi="Arial" w:cs="Arial"/>
                <w:i/>
                <w:sz w:val="16"/>
                <w:szCs w:val="16"/>
                <w:lang w:val="en-GB" w:eastAsia="en-GB"/>
              </w:rPr>
              <w:t>elapsed time between receipt of document at IB and its availability in eDossier</w:t>
            </w:r>
          </w:p>
        </w:tc>
        <w:tc>
          <w:tcPr>
            <w:tcW w:w="2002" w:type="dxa"/>
            <w:shd w:val="clear" w:color="auto" w:fill="auto"/>
            <w:tcMar>
              <w:top w:w="85" w:type="dxa"/>
              <w:bottom w:w="85" w:type="dxa"/>
            </w:tcMar>
          </w:tcPr>
          <w:p w14:paraId="59331A42"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8 hours</w:t>
            </w:r>
          </w:p>
        </w:tc>
        <w:tc>
          <w:tcPr>
            <w:tcW w:w="1984" w:type="dxa"/>
            <w:shd w:val="clear" w:color="auto" w:fill="auto"/>
            <w:tcMar>
              <w:top w:w="85" w:type="dxa"/>
              <w:bottom w:w="85" w:type="dxa"/>
            </w:tcMar>
          </w:tcPr>
          <w:p w14:paraId="18834061"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Documents loaded by a semi or fully automated process</w:t>
            </w:r>
          </w:p>
        </w:tc>
        <w:tc>
          <w:tcPr>
            <w:tcW w:w="1134" w:type="dxa"/>
            <w:tcMar>
              <w:top w:w="85" w:type="dxa"/>
              <w:bottom w:w="85" w:type="dxa"/>
            </w:tcMar>
          </w:tcPr>
          <w:p w14:paraId="7E497A03"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80.0%</w:t>
            </w:r>
          </w:p>
        </w:tc>
        <w:tc>
          <w:tcPr>
            <w:tcW w:w="1101" w:type="dxa"/>
            <w:tcMar>
              <w:top w:w="85" w:type="dxa"/>
              <w:bottom w:w="85" w:type="dxa"/>
            </w:tcMar>
          </w:tcPr>
          <w:p w14:paraId="63DACECE"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88.2%</w:t>
            </w:r>
          </w:p>
        </w:tc>
      </w:tr>
      <w:tr w:rsidR="001A07FB" w14:paraId="134120FF" w14:textId="77777777" w:rsidTr="005A1F7F">
        <w:trPr>
          <w:jc w:val="center"/>
        </w:trPr>
        <w:tc>
          <w:tcPr>
            <w:tcW w:w="534" w:type="dxa"/>
            <w:shd w:val="clear" w:color="auto" w:fill="auto"/>
            <w:tcMar>
              <w:top w:w="85" w:type="dxa"/>
              <w:bottom w:w="85" w:type="dxa"/>
            </w:tcMar>
          </w:tcPr>
          <w:p w14:paraId="1F255BE1"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 xml:space="preserve">(3) </w:t>
            </w:r>
          </w:p>
        </w:tc>
        <w:tc>
          <w:tcPr>
            <w:tcW w:w="2534" w:type="dxa"/>
            <w:shd w:val="clear" w:color="auto" w:fill="auto"/>
            <w:tcMar>
              <w:top w:w="85" w:type="dxa"/>
              <w:bottom w:w="85" w:type="dxa"/>
            </w:tcMar>
          </w:tcPr>
          <w:p w14:paraId="774277D0"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Batch job processing success rate</w:t>
            </w:r>
          </w:p>
        </w:tc>
        <w:tc>
          <w:tcPr>
            <w:tcW w:w="2002" w:type="dxa"/>
            <w:shd w:val="clear" w:color="auto" w:fill="auto"/>
            <w:tcMar>
              <w:top w:w="85" w:type="dxa"/>
              <w:bottom w:w="85" w:type="dxa"/>
            </w:tcMar>
          </w:tcPr>
          <w:p w14:paraId="4BFB65CA"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100%</w:t>
            </w:r>
          </w:p>
        </w:tc>
        <w:tc>
          <w:tcPr>
            <w:tcW w:w="1984" w:type="dxa"/>
            <w:shd w:val="clear" w:color="auto" w:fill="auto"/>
            <w:tcMar>
              <w:top w:w="85" w:type="dxa"/>
              <w:bottom w:w="85" w:type="dxa"/>
            </w:tcMar>
          </w:tcPr>
          <w:p w14:paraId="067CE08F"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Batch jobs to be completed successfully by the close of business on the scheduled date</w:t>
            </w:r>
          </w:p>
        </w:tc>
        <w:tc>
          <w:tcPr>
            <w:tcW w:w="1134" w:type="dxa"/>
            <w:tcMar>
              <w:top w:w="85" w:type="dxa"/>
              <w:bottom w:w="85" w:type="dxa"/>
            </w:tcMar>
          </w:tcPr>
          <w:p w14:paraId="7FBF902F"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99.6%</w:t>
            </w:r>
          </w:p>
        </w:tc>
        <w:tc>
          <w:tcPr>
            <w:tcW w:w="1101" w:type="dxa"/>
            <w:tcMar>
              <w:top w:w="85" w:type="dxa"/>
              <w:bottom w:w="85" w:type="dxa"/>
            </w:tcMar>
          </w:tcPr>
          <w:p w14:paraId="730B4ACA"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99.5%</w:t>
            </w:r>
          </w:p>
        </w:tc>
      </w:tr>
      <w:tr w:rsidR="001A07FB" w14:paraId="083105A3" w14:textId="77777777" w:rsidTr="005A1F7F">
        <w:trPr>
          <w:jc w:val="center"/>
        </w:trPr>
        <w:tc>
          <w:tcPr>
            <w:tcW w:w="534" w:type="dxa"/>
            <w:shd w:val="clear" w:color="auto" w:fill="auto"/>
            <w:tcMar>
              <w:top w:w="85" w:type="dxa"/>
              <w:bottom w:w="85" w:type="dxa"/>
            </w:tcMar>
          </w:tcPr>
          <w:p w14:paraId="449B829F"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(4)</w:t>
            </w:r>
          </w:p>
        </w:tc>
        <w:tc>
          <w:tcPr>
            <w:tcW w:w="2534" w:type="dxa"/>
            <w:shd w:val="clear" w:color="auto" w:fill="auto"/>
            <w:tcMar>
              <w:top w:w="85" w:type="dxa"/>
              <w:bottom w:w="85" w:type="dxa"/>
            </w:tcMar>
          </w:tcPr>
          <w:p w14:paraId="1CEED924"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eDossier system availability</w:t>
            </w:r>
          </w:p>
        </w:tc>
        <w:tc>
          <w:tcPr>
            <w:tcW w:w="2002" w:type="dxa"/>
            <w:shd w:val="clear" w:color="auto" w:fill="auto"/>
            <w:tcMar>
              <w:top w:w="85" w:type="dxa"/>
              <w:bottom w:w="85" w:type="dxa"/>
            </w:tcMar>
          </w:tcPr>
          <w:p w14:paraId="120D0995"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99%</w:t>
            </w:r>
          </w:p>
        </w:tc>
        <w:tc>
          <w:tcPr>
            <w:tcW w:w="1984" w:type="dxa"/>
            <w:shd w:val="clear" w:color="auto" w:fill="auto"/>
            <w:tcMar>
              <w:top w:w="85" w:type="dxa"/>
              <w:bottom w:w="85" w:type="dxa"/>
            </w:tcMar>
          </w:tcPr>
          <w:p w14:paraId="193541E5"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7am-7pm on working days</w:t>
            </w:r>
          </w:p>
        </w:tc>
        <w:tc>
          <w:tcPr>
            <w:tcW w:w="1134" w:type="dxa"/>
            <w:tcMar>
              <w:top w:w="85" w:type="dxa"/>
              <w:bottom w:w="85" w:type="dxa"/>
            </w:tcMar>
          </w:tcPr>
          <w:p w14:paraId="2B2D9A7A"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100.0%</w:t>
            </w:r>
          </w:p>
        </w:tc>
        <w:tc>
          <w:tcPr>
            <w:tcW w:w="1101" w:type="dxa"/>
            <w:tcMar>
              <w:top w:w="85" w:type="dxa"/>
              <w:bottom w:w="85" w:type="dxa"/>
            </w:tcMar>
          </w:tcPr>
          <w:p w14:paraId="0F8BFB36"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100.0%</w:t>
            </w:r>
          </w:p>
        </w:tc>
      </w:tr>
      <w:tr w:rsidR="001A07FB" w14:paraId="30B74EBC" w14:textId="77777777" w:rsidTr="005A1F7F">
        <w:trPr>
          <w:jc w:val="center"/>
        </w:trPr>
        <w:tc>
          <w:tcPr>
            <w:tcW w:w="534" w:type="dxa"/>
            <w:shd w:val="clear" w:color="auto" w:fill="auto"/>
            <w:tcMar>
              <w:top w:w="85" w:type="dxa"/>
              <w:bottom w:w="85" w:type="dxa"/>
            </w:tcMar>
          </w:tcPr>
          <w:p w14:paraId="5BB1E879"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 xml:space="preserve">(5) </w:t>
            </w:r>
          </w:p>
        </w:tc>
        <w:tc>
          <w:tcPr>
            <w:tcW w:w="2534" w:type="dxa"/>
            <w:shd w:val="clear" w:color="auto" w:fill="auto"/>
            <w:tcMar>
              <w:top w:w="85" w:type="dxa"/>
              <w:bottom w:w="85" w:type="dxa"/>
            </w:tcMar>
          </w:tcPr>
          <w:p w14:paraId="533054E1"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ePCT system availability</w:t>
            </w:r>
          </w:p>
        </w:tc>
        <w:tc>
          <w:tcPr>
            <w:tcW w:w="2002" w:type="dxa"/>
            <w:shd w:val="clear" w:color="auto" w:fill="auto"/>
            <w:tcMar>
              <w:top w:w="85" w:type="dxa"/>
              <w:bottom w:w="85" w:type="dxa"/>
            </w:tcMar>
          </w:tcPr>
          <w:p w14:paraId="00351D4D"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99%</w:t>
            </w:r>
          </w:p>
        </w:tc>
        <w:tc>
          <w:tcPr>
            <w:tcW w:w="1984" w:type="dxa"/>
            <w:shd w:val="clear" w:color="auto" w:fill="auto"/>
            <w:tcMar>
              <w:top w:w="85" w:type="dxa"/>
              <w:bottom w:w="85" w:type="dxa"/>
            </w:tcMar>
          </w:tcPr>
          <w:p w14:paraId="10B1B31F" w14:textId="77777777" w:rsidR="001A07FB" w:rsidRPr="00EE0539" w:rsidRDefault="001A07FB" w:rsidP="005A1F7F">
            <w:pPr>
              <w:autoSpaceDE w:val="0"/>
              <w:autoSpaceDN w:val="0"/>
              <w:adjustRightInd w:val="0"/>
              <w:rPr>
                <w:rFonts w:ascii="Arial" w:eastAsia="Times New Roman" w:hAnsi="Arial" w:cs="Arial"/>
                <w:color w:val="000000"/>
                <w:sz w:val="16"/>
                <w:szCs w:val="16"/>
                <w:lang w:val="en-GB" w:eastAsia="en-GB"/>
              </w:rPr>
            </w:pPr>
            <w:r w:rsidRPr="00EE0539">
              <w:rPr>
                <w:rFonts w:ascii="Arial" w:eastAsia="Times New Roman" w:hAnsi="Arial" w:cs="Arial"/>
                <w:color w:val="000000"/>
                <w:sz w:val="16"/>
                <w:szCs w:val="16"/>
                <w:lang w:val="en-GB" w:eastAsia="en-GB"/>
              </w:rPr>
              <w:t>24 hours</w:t>
            </w:r>
          </w:p>
        </w:tc>
        <w:tc>
          <w:tcPr>
            <w:tcW w:w="1134" w:type="dxa"/>
            <w:tcMar>
              <w:top w:w="85" w:type="dxa"/>
              <w:bottom w:w="85" w:type="dxa"/>
            </w:tcMar>
          </w:tcPr>
          <w:p w14:paraId="0C315CD2"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100.0%</w:t>
            </w:r>
          </w:p>
        </w:tc>
        <w:tc>
          <w:tcPr>
            <w:tcW w:w="1101" w:type="dxa"/>
            <w:tcMar>
              <w:top w:w="85" w:type="dxa"/>
              <w:bottom w:w="85" w:type="dxa"/>
            </w:tcMar>
          </w:tcPr>
          <w:p w14:paraId="5CC29ABE" w14:textId="77777777" w:rsidR="001A07FB" w:rsidRPr="00EE0539" w:rsidRDefault="001A07FB" w:rsidP="005A1F7F">
            <w:pPr>
              <w:autoSpaceDE w:val="0"/>
              <w:autoSpaceDN w:val="0"/>
              <w:adjustRightInd w:val="0"/>
              <w:jc w:val="right"/>
              <w:rPr>
                <w:rFonts w:ascii="Arial" w:eastAsia="Times New Roman" w:hAnsi="Arial" w:cs="Arial"/>
                <w:color w:val="000000"/>
                <w:sz w:val="16"/>
                <w:szCs w:val="16"/>
                <w:lang w:val="en-GB" w:eastAsia="en-GB"/>
              </w:rPr>
            </w:pPr>
            <w:r w:rsidRPr="00EE0539">
              <w:rPr>
                <w:rFonts w:ascii="Arial" w:hAnsi="Arial" w:cs="Arial"/>
                <w:sz w:val="16"/>
                <w:szCs w:val="16"/>
              </w:rPr>
              <w:t>100.0%</w:t>
            </w:r>
          </w:p>
        </w:tc>
      </w:tr>
      <w:tr w:rsidR="001A07FB" w:rsidRPr="00171DDB" w14:paraId="16B200CB" w14:textId="77777777" w:rsidTr="005A1F7F">
        <w:trPr>
          <w:jc w:val="center"/>
        </w:trPr>
        <w:tc>
          <w:tcPr>
            <w:tcW w:w="534" w:type="dxa"/>
            <w:shd w:val="clear" w:color="auto" w:fill="auto"/>
            <w:tcMar>
              <w:top w:w="85" w:type="dxa"/>
              <w:bottom w:w="85" w:type="dxa"/>
            </w:tcMar>
          </w:tcPr>
          <w:p w14:paraId="03545AF1" w14:textId="77777777" w:rsidR="001A07FB" w:rsidRPr="00EE0539" w:rsidRDefault="001A07FB" w:rsidP="005A1F7F">
            <w:pPr>
              <w:autoSpaceDE w:val="0"/>
              <w:autoSpaceDN w:val="0"/>
              <w:adjustRightInd w:val="0"/>
              <w:rPr>
                <w:rFonts w:ascii="Arial" w:eastAsia="Times New Roman" w:hAnsi="Arial" w:cs="Arial"/>
                <w:b/>
                <w:color w:val="000000"/>
                <w:sz w:val="16"/>
                <w:szCs w:val="16"/>
                <w:lang w:val="en-GB" w:eastAsia="en-GB"/>
              </w:rPr>
            </w:pPr>
          </w:p>
        </w:tc>
        <w:tc>
          <w:tcPr>
            <w:tcW w:w="2534" w:type="dxa"/>
            <w:shd w:val="clear" w:color="auto" w:fill="auto"/>
            <w:tcMar>
              <w:top w:w="85" w:type="dxa"/>
              <w:bottom w:w="85" w:type="dxa"/>
            </w:tcMar>
          </w:tcPr>
          <w:p w14:paraId="56317E74" w14:textId="77777777" w:rsidR="001A07FB" w:rsidRPr="00EE0539" w:rsidRDefault="001A07FB" w:rsidP="005A1F7F">
            <w:pPr>
              <w:autoSpaceDE w:val="0"/>
              <w:autoSpaceDN w:val="0"/>
              <w:adjustRightInd w:val="0"/>
              <w:rPr>
                <w:rFonts w:ascii="Arial" w:eastAsia="Times New Roman" w:hAnsi="Arial" w:cs="Arial"/>
                <w:b/>
                <w:color w:val="000000"/>
                <w:sz w:val="16"/>
                <w:szCs w:val="16"/>
                <w:lang w:val="en-GB" w:eastAsia="en-GB"/>
              </w:rPr>
            </w:pPr>
            <w:r w:rsidRPr="00EE0539">
              <w:rPr>
                <w:rFonts w:ascii="Arial" w:eastAsia="Times New Roman" w:hAnsi="Arial" w:cs="Arial"/>
                <w:b/>
                <w:color w:val="000000"/>
                <w:sz w:val="16"/>
                <w:szCs w:val="16"/>
                <w:lang w:val="en-GB" w:eastAsia="en-GB"/>
              </w:rPr>
              <w:t>Information systems service levels (ISSL)</w:t>
            </w:r>
          </w:p>
          <w:p w14:paraId="43CD1D1B" w14:textId="77777777" w:rsidR="001A07FB" w:rsidRPr="00EE0539" w:rsidRDefault="001A07FB" w:rsidP="005A1F7F">
            <w:pPr>
              <w:autoSpaceDE w:val="0"/>
              <w:autoSpaceDN w:val="0"/>
              <w:adjustRightInd w:val="0"/>
              <w:rPr>
                <w:rFonts w:ascii="Arial" w:eastAsia="Times New Roman" w:hAnsi="Arial" w:cs="Arial"/>
                <w:b/>
                <w:i/>
                <w:color w:val="000000"/>
                <w:sz w:val="16"/>
                <w:szCs w:val="16"/>
                <w:lang w:val="en-GB" w:eastAsia="en-GB"/>
              </w:rPr>
            </w:pPr>
            <w:r w:rsidRPr="00EE0539">
              <w:rPr>
                <w:rFonts w:ascii="Arial" w:eastAsia="Times New Roman" w:hAnsi="Arial" w:cs="Arial"/>
                <w:b/>
                <w:i/>
                <w:color w:val="000000"/>
                <w:sz w:val="16"/>
                <w:szCs w:val="16"/>
                <w:lang w:val="en-GB" w:eastAsia="en-GB"/>
              </w:rPr>
              <w:t>Weighted average of the above indicators: (1): 20% (2): 20% (3) 20% (4) 20% (5) 20%.</w:t>
            </w:r>
          </w:p>
        </w:tc>
        <w:tc>
          <w:tcPr>
            <w:tcW w:w="2002" w:type="dxa"/>
            <w:shd w:val="clear" w:color="auto" w:fill="auto"/>
            <w:tcMar>
              <w:top w:w="85" w:type="dxa"/>
              <w:bottom w:w="85" w:type="dxa"/>
            </w:tcMar>
          </w:tcPr>
          <w:p w14:paraId="2EE2740B" w14:textId="77777777" w:rsidR="001A07FB" w:rsidRPr="00EE0539" w:rsidRDefault="001A07FB" w:rsidP="005A1F7F">
            <w:pPr>
              <w:autoSpaceDE w:val="0"/>
              <w:autoSpaceDN w:val="0"/>
              <w:adjustRightInd w:val="0"/>
              <w:rPr>
                <w:rFonts w:ascii="Arial" w:eastAsia="Times New Roman" w:hAnsi="Arial" w:cs="Arial"/>
                <w:b/>
                <w:color w:val="000000"/>
                <w:sz w:val="16"/>
                <w:szCs w:val="16"/>
                <w:lang w:val="en-GB" w:eastAsia="en-GB"/>
              </w:rPr>
            </w:pPr>
          </w:p>
        </w:tc>
        <w:tc>
          <w:tcPr>
            <w:tcW w:w="1984" w:type="dxa"/>
            <w:shd w:val="clear" w:color="auto" w:fill="auto"/>
            <w:tcMar>
              <w:top w:w="85" w:type="dxa"/>
              <w:bottom w:w="85" w:type="dxa"/>
            </w:tcMar>
          </w:tcPr>
          <w:p w14:paraId="408A9EAA" w14:textId="77777777" w:rsidR="001A07FB" w:rsidRPr="00EE0539" w:rsidRDefault="001A07FB" w:rsidP="005A1F7F">
            <w:pPr>
              <w:autoSpaceDE w:val="0"/>
              <w:autoSpaceDN w:val="0"/>
              <w:adjustRightInd w:val="0"/>
              <w:rPr>
                <w:rFonts w:ascii="Arial" w:eastAsia="Times New Roman" w:hAnsi="Arial" w:cs="Arial"/>
                <w:b/>
                <w:color w:val="000000"/>
                <w:sz w:val="16"/>
                <w:szCs w:val="16"/>
                <w:lang w:val="en-GB" w:eastAsia="en-GB"/>
              </w:rPr>
            </w:pPr>
          </w:p>
        </w:tc>
        <w:tc>
          <w:tcPr>
            <w:tcW w:w="1134" w:type="dxa"/>
            <w:tcMar>
              <w:top w:w="85" w:type="dxa"/>
              <w:bottom w:w="85" w:type="dxa"/>
            </w:tcMar>
          </w:tcPr>
          <w:p w14:paraId="20F5C357" w14:textId="77777777" w:rsidR="001A07FB" w:rsidRPr="00EE0539" w:rsidRDefault="001A07FB" w:rsidP="005A1F7F">
            <w:pPr>
              <w:autoSpaceDE w:val="0"/>
              <w:autoSpaceDN w:val="0"/>
              <w:adjustRightInd w:val="0"/>
              <w:jc w:val="right"/>
              <w:rPr>
                <w:rFonts w:ascii="Arial" w:hAnsi="Arial" w:cs="Arial"/>
                <w:b/>
                <w:sz w:val="16"/>
                <w:szCs w:val="16"/>
              </w:rPr>
            </w:pPr>
            <w:r w:rsidRPr="00EE0539">
              <w:rPr>
                <w:rFonts w:ascii="Arial" w:hAnsi="Arial" w:cs="Arial"/>
                <w:b/>
                <w:sz w:val="16"/>
                <w:szCs w:val="16"/>
              </w:rPr>
              <w:t>93.0%</w:t>
            </w:r>
          </w:p>
        </w:tc>
        <w:tc>
          <w:tcPr>
            <w:tcW w:w="1101" w:type="dxa"/>
            <w:tcMar>
              <w:top w:w="85" w:type="dxa"/>
              <w:bottom w:w="85" w:type="dxa"/>
            </w:tcMar>
          </w:tcPr>
          <w:p w14:paraId="0F53A372" w14:textId="77777777" w:rsidR="001A07FB" w:rsidRPr="00EE0539" w:rsidRDefault="001A07FB" w:rsidP="005A1F7F">
            <w:pPr>
              <w:autoSpaceDE w:val="0"/>
              <w:autoSpaceDN w:val="0"/>
              <w:adjustRightInd w:val="0"/>
              <w:jc w:val="right"/>
              <w:rPr>
                <w:rFonts w:ascii="Arial" w:hAnsi="Arial" w:cs="Arial"/>
                <w:b/>
                <w:sz w:val="16"/>
                <w:szCs w:val="16"/>
              </w:rPr>
            </w:pPr>
            <w:r w:rsidRPr="00EE0539">
              <w:rPr>
                <w:rFonts w:ascii="Arial" w:hAnsi="Arial" w:cs="Arial"/>
                <w:b/>
                <w:sz w:val="16"/>
                <w:szCs w:val="16"/>
              </w:rPr>
              <w:t>95.3%</w:t>
            </w:r>
          </w:p>
        </w:tc>
      </w:tr>
    </w:tbl>
    <w:p w14:paraId="45D51DF3" w14:textId="77777777" w:rsidR="001A07FB" w:rsidRDefault="001A07FB" w:rsidP="005A1F7F">
      <w:pPr>
        <w:autoSpaceDE w:val="0"/>
        <w:autoSpaceDN w:val="0"/>
        <w:adjustRightInd w:val="0"/>
        <w:rPr>
          <w:rFonts w:eastAsia="Times New Roman"/>
          <w:color w:val="000000"/>
          <w:lang w:val="en-GB" w:eastAsia="en-GB"/>
        </w:rPr>
      </w:pPr>
    </w:p>
    <w:p w14:paraId="1BEAC194" w14:textId="77777777" w:rsidR="001A07FB" w:rsidRPr="000E46C3" w:rsidRDefault="001A07FB" w:rsidP="005A1F7F">
      <w:pPr>
        <w:rPr>
          <w:rFonts w:ascii="Arial" w:hAnsi="Arial" w:cs="Arial"/>
          <w:b/>
          <w:sz w:val="20"/>
          <w:szCs w:val="16"/>
          <w:highlight w:val="yellow"/>
        </w:rPr>
      </w:pPr>
    </w:p>
    <w:p w14:paraId="18111D7D" w14:textId="77777777" w:rsidR="001A07FB" w:rsidRPr="00E34675" w:rsidRDefault="001A07FB" w:rsidP="005A1F7F">
      <w:pPr>
        <w:rPr>
          <w:rFonts w:ascii="Arial" w:hAnsi="Arial" w:cs="Arial"/>
          <w:b/>
          <w:sz w:val="20"/>
          <w:szCs w:val="16"/>
        </w:rPr>
      </w:pPr>
      <w:r w:rsidRPr="00E34675">
        <w:rPr>
          <w:rFonts w:ascii="Arial" w:hAnsi="Arial" w:cs="Arial"/>
          <w:b/>
          <w:sz w:val="20"/>
          <w:szCs w:val="16"/>
        </w:rPr>
        <w:t>Receiving Office at the International Bureau (RO/IB)</w:t>
      </w:r>
    </w:p>
    <w:p w14:paraId="63A50C44" w14:textId="77777777" w:rsidR="001A07FB" w:rsidRPr="00E34675" w:rsidRDefault="001A07FB" w:rsidP="005A1F7F">
      <w:pPr>
        <w:rPr>
          <w:rFonts w:ascii="Arial" w:hAnsi="Arial" w:cs="Arial"/>
          <w:b/>
          <w:sz w:val="20"/>
          <w:szCs w:val="16"/>
        </w:rPr>
      </w:pPr>
    </w:p>
    <w:p w14:paraId="4DD46DF6" w14:textId="77777777" w:rsidR="001A07FB" w:rsidRPr="00E34675" w:rsidRDefault="001A07FB" w:rsidP="005A1F7F">
      <w:pPr>
        <w:rPr>
          <w:rFonts w:ascii="Arial" w:hAnsi="Arial" w:cs="Arial"/>
          <w:i/>
          <w:sz w:val="20"/>
        </w:rPr>
      </w:pPr>
      <w:r w:rsidRPr="00E34675">
        <w:rPr>
          <w:rFonts w:ascii="Arial" w:hAnsi="Arial" w:cs="Arial"/>
          <w:i/>
          <w:sz w:val="20"/>
        </w:rPr>
        <w:t xml:space="preserve">Filings </w:t>
      </w:r>
    </w:p>
    <w:p w14:paraId="698B475D" w14:textId="77777777" w:rsidR="001A07FB" w:rsidRPr="00E34675" w:rsidRDefault="001A07FB" w:rsidP="005A1F7F">
      <w:pPr>
        <w:rPr>
          <w:rFonts w:ascii="Arial" w:hAnsi="Arial" w:cs="Arial"/>
          <w:b/>
          <w:szCs w:val="18"/>
        </w:rPr>
      </w:pPr>
    </w:p>
    <w:p w14:paraId="1F3DA230"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t>This</w:t>
      </w:r>
      <w:r w:rsidRPr="00EE0539">
        <w:rPr>
          <w:rFonts w:ascii="Arial" w:hAnsi="Arial" w:cs="Arial"/>
          <w:sz w:val="20"/>
          <w:szCs w:val="20"/>
        </w:rPr>
        <w:t xml:space="preserve"> table presents PCT filings by the top ten receiving offices over the past five years to 2014.  In principle, a PCT application is filed at the national patent office of the applicant’s home country or at a regional patent office acting for the applicant’s home jurisdiction.  The IB is a competent receiving office (RO/IB) for applicants from all PCT contracting states.  The evolution of the filings at the RO/IB, its ranking in terms of the number of filings among other receiving offices, as well as its market share can be observed in this table.</w:t>
      </w:r>
    </w:p>
    <w:p w14:paraId="1A83D864" w14:textId="77777777" w:rsidR="001A07FB" w:rsidRDefault="001A07FB" w:rsidP="005A1F7F">
      <w:pPr>
        <w:jc w:val="both"/>
        <w:rPr>
          <w:rFonts w:ascii="Arial" w:hAnsi="Arial"/>
          <w:sz w:val="18"/>
          <w:highlight w:val="yellow"/>
        </w:rPr>
      </w:pPr>
    </w:p>
    <w:p w14:paraId="4F113CB5" w14:textId="77777777" w:rsidR="001A07FB" w:rsidRPr="00E34675" w:rsidRDefault="001A07FB" w:rsidP="005A1F7F">
      <w:pPr>
        <w:jc w:val="both"/>
        <w:rPr>
          <w:rFonts w:ascii="Arial" w:hAnsi="Arial"/>
          <w:sz w:val="18"/>
        </w:rPr>
      </w:pPr>
      <w:r>
        <w:rPr>
          <w:noProof/>
          <w:lang w:eastAsia="en-US"/>
        </w:rPr>
        <w:drawing>
          <wp:inline distT="0" distB="0" distL="0" distR="0" wp14:anchorId="53F60328" wp14:editId="1FE40613">
            <wp:extent cx="5753100" cy="2809875"/>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5753100" cy="2809875"/>
                    </a:xfrm>
                    <a:prstGeom prst="rect">
                      <a:avLst/>
                    </a:prstGeom>
                    <a:noFill/>
                    <a:ln>
                      <a:noFill/>
                    </a:ln>
                  </pic:spPr>
                </pic:pic>
              </a:graphicData>
            </a:graphic>
          </wp:inline>
        </w:drawing>
      </w:r>
    </w:p>
    <w:p w14:paraId="6352D76D" w14:textId="77777777" w:rsidR="001A07FB" w:rsidRPr="000E46C3" w:rsidRDefault="001A07FB" w:rsidP="005A1F7F">
      <w:pPr>
        <w:rPr>
          <w:rFonts w:ascii="Arial" w:hAnsi="Arial"/>
          <w:sz w:val="18"/>
          <w:highlight w:val="yellow"/>
        </w:rPr>
      </w:pPr>
    </w:p>
    <w:p w14:paraId="7C1F4B1C" w14:textId="77777777" w:rsidR="001A07FB" w:rsidRPr="00EE0539" w:rsidRDefault="001A07FB" w:rsidP="00B66A4A">
      <w:pPr>
        <w:numPr>
          <w:ilvl w:val="0"/>
          <w:numId w:val="41"/>
        </w:numPr>
        <w:rPr>
          <w:rFonts w:ascii="Arial" w:hAnsi="Arial" w:cs="Arial"/>
          <w:sz w:val="20"/>
          <w:szCs w:val="20"/>
        </w:rPr>
      </w:pPr>
      <w:r>
        <w:rPr>
          <w:rFonts w:ascii="Arial" w:hAnsi="Arial" w:cs="Arial"/>
          <w:sz w:val="20"/>
          <w:szCs w:val="20"/>
        </w:rPr>
        <w:t>I</w:t>
      </w:r>
      <w:r w:rsidRPr="00EE0539">
        <w:rPr>
          <w:rFonts w:ascii="Arial" w:hAnsi="Arial" w:cs="Arial"/>
          <w:sz w:val="20"/>
          <w:szCs w:val="20"/>
        </w:rPr>
        <w:t xml:space="preserve">n the </w:t>
      </w:r>
      <w:r>
        <w:rPr>
          <w:rFonts w:ascii="Arial" w:hAnsi="Arial" w:cs="Arial"/>
          <w:sz w:val="20"/>
          <w:szCs w:val="20"/>
        </w:rPr>
        <w:t xml:space="preserve">Program and Budget </w:t>
      </w:r>
      <w:r w:rsidRPr="00EE0539">
        <w:rPr>
          <w:rFonts w:ascii="Arial" w:hAnsi="Arial" w:cs="Arial"/>
          <w:sz w:val="20"/>
          <w:szCs w:val="20"/>
        </w:rPr>
        <w:t xml:space="preserve">2014/15, the following two performance indicators were added for the RO/IB:  </w:t>
      </w:r>
    </w:p>
    <w:p w14:paraId="57915B32" w14:textId="77777777" w:rsidR="001A07FB" w:rsidRPr="0054556A" w:rsidRDefault="001A07FB" w:rsidP="005A1F7F">
      <w:pPr>
        <w:pStyle w:val="PlainText"/>
        <w:rPr>
          <w:rFonts w:ascii="Arial" w:hAnsi="Arial" w:cs="Arial"/>
          <w:color w:val="auto"/>
        </w:rPr>
      </w:pPr>
    </w:p>
    <w:p w14:paraId="7E6467E6" w14:textId="77777777" w:rsidR="001A07FB" w:rsidRPr="0054556A" w:rsidRDefault="001A07FB" w:rsidP="005A1F7F">
      <w:pPr>
        <w:pStyle w:val="PlainText"/>
        <w:rPr>
          <w:rFonts w:ascii="Arial" w:hAnsi="Arial" w:cs="Arial"/>
          <w:color w:val="auto"/>
        </w:rPr>
      </w:pPr>
      <w:r w:rsidRPr="0054556A">
        <w:rPr>
          <w:rFonts w:ascii="Arial" w:hAnsi="Arial" w:cs="Arial"/>
          <w:i/>
          <w:color w:val="auto"/>
        </w:rPr>
        <w:t>Timeliness of notification of international filing date</w:t>
      </w:r>
    </w:p>
    <w:p w14:paraId="6CF2E17B" w14:textId="77777777" w:rsidR="001A07FB" w:rsidRPr="0054556A" w:rsidRDefault="001A07FB" w:rsidP="005A1F7F">
      <w:pPr>
        <w:pStyle w:val="PlainText"/>
        <w:rPr>
          <w:rFonts w:ascii="Arial" w:hAnsi="Arial" w:cs="Arial"/>
          <w:color w:val="auto"/>
        </w:rPr>
      </w:pPr>
    </w:p>
    <w:p w14:paraId="3CC12059" w14:textId="77777777" w:rsidR="001A07FB" w:rsidRPr="00EE0539" w:rsidRDefault="001A07FB" w:rsidP="00B66A4A">
      <w:pPr>
        <w:numPr>
          <w:ilvl w:val="0"/>
          <w:numId w:val="41"/>
        </w:numPr>
        <w:rPr>
          <w:rFonts w:ascii="Arial" w:hAnsi="Arial" w:cs="Arial"/>
          <w:sz w:val="20"/>
          <w:szCs w:val="20"/>
        </w:rPr>
      </w:pPr>
      <w:r w:rsidRPr="00EE0539">
        <w:rPr>
          <w:rFonts w:ascii="Arial" w:hAnsi="Arial"/>
          <w:sz w:val="20"/>
          <w:lang w:val="en-GB"/>
        </w:rPr>
        <w:t>This</w:t>
      </w:r>
      <w:r w:rsidRPr="00EE0539">
        <w:rPr>
          <w:rFonts w:ascii="Arial" w:hAnsi="Arial" w:cs="Arial"/>
          <w:sz w:val="20"/>
          <w:szCs w:val="20"/>
        </w:rPr>
        <w:t xml:space="preserve"> indicator reflects the time required by the RO/IB to issue Form 105.  This form is issued after the international filing date has been accorded.  Applicants appreciate receiving this form as soon as possible, because an international application has the effect of a regular national application in each designated State as of the international filing date, which date shall be considered to be the actual filing date in each designated State.</w:t>
      </w:r>
    </w:p>
    <w:p w14:paraId="5802C920" w14:textId="77777777" w:rsidR="001A07FB" w:rsidRPr="00EE0539" w:rsidRDefault="001A07FB" w:rsidP="005A1F7F">
      <w:pPr>
        <w:pStyle w:val="BodyText2"/>
        <w:spacing w:after="0" w:line="240" w:lineRule="auto"/>
        <w:jc w:val="both"/>
        <w:rPr>
          <w:rFonts w:ascii="Arial" w:hAnsi="Arial" w:cs="Arial"/>
          <w:sz w:val="20"/>
          <w:szCs w:val="20"/>
        </w:rPr>
      </w:pPr>
    </w:p>
    <w:p w14:paraId="7DEAC5CF" w14:textId="77777777" w:rsidR="001A07FB" w:rsidRPr="000D2666" w:rsidRDefault="001A07FB" w:rsidP="005A1F7F">
      <w:pPr>
        <w:pStyle w:val="PlainText"/>
        <w:jc w:val="center"/>
        <w:rPr>
          <w:rFonts w:ascii="Arial" w:hAnsi="Arial" w:cs="Arial"/>
          <w:b/>
          <w:color w:val="auto"/>
          <w:sz w:val="18"/>
        </w:rPr>
      </w:pPr>
      <w:r w:rsidRPr="000D2666">
        <w:rPr>
          <w:rFonts w:ascii="Arial" w:hAnsi="Arial" w:cs="Arial"/>
          <w:b/>
          <w:color w:val="auto"/>
          <w:sz w:val="18"/>
        </w:rPr>
        <w:t>Timeliness of Notification of International Filing Date</w:t>
      </w:r>
    </w:p>
    <w:p w14:paraId="32B399B3" w14:textId="77777777" w:rsidR="001A07FB" w:rsidRPr="0054556A" w:rsidRDefault="001A07FB" w:rsidP="005A1F7F">
      <w:pPr>
        <w:pStyle w:val="PlainText"/>
        <w:ind w:left="567"/>
        <w:rPr>
          <w:rFonts w:ascii="Arial" w:hAnsi="Arial" w:cs="Arial"/>
          <w:color w:val="auto"/>
        </w:rPr>
      </w:pPr>
      <w:r>
        <w:rPr>
          <w:rFonts w:cs="Arial"/>
          <w:noProof/>
          <w:lang w:eastAsia="en-US"/>
        </w:rPr>
        <w:drawing>
          <wp:inline distT="0" distB="0" distL="0" distR="0" wp14:anchorId="09C9DA00" wp14:editId="1FBCF656">
            <wp:extent cx="5757545" cy="2534920"/>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5757545" cy="2534920"/>
                    </a:xfrm>
                    <a:prstGeom prst="rect">
                      <a:avLst/>
                    </a:prstGeom>
                    <a:noFill/>
                  </pic:spPr>
                </pic:pic>
              </a:graphicData>
            </a:graphic>
          </wp:inline>
        </w:drawing>
      </w:r>
    </w:p>
    <w:p w14:paraId="2F1C397A" w14:textId="77777777" w:rsidR="001A07FB" w:rsidRPr="0054556A" w:rsidRDefault="001A07FB" w:rsidP="005A1F7F">
      <w:pPr>
        <w:pStyle w:val="PlainText"/>
        <w:ind w:left="567"/>
        <w:rPr>
          <w:rFonts w:ascii="Arial" w:hAnsi="Arial" w:cs="Arial"/>
          <w:color w:val="auto"/>
        </w:rPr>
      </w:pPr>
    </w:p>
    <w:p w14:paraId="68D5C1CD" w14:textId="77777777" w:rsidR="001A07FB" w:rsidRPr="0054556A" w:rsidRDefault="001A07FB" w:rsidP="005A1F7F">
      <w:pPr>
        <w:pStyle w:val="PlainText"/>
        <w:ind w:left="567"/>
        <w:rPr>
          <w:rFonts w:ascii="Arial" w:hAnsi="Arial" w:cs="Arial"/>
          <w:i/>
          <w:color w:val="auto"/>
        </w:rPr>
      </w:pPr>
      <w:r w:rsidRPr="0054556A">
        <w:rPr>
          <w:rFonts w:ascii="Arial" w:hAnsi="Arial" w:cs="Arial"/>
          <w:color w:val="auto"/>
        </w:rPr>
        <w:t> </w:t>
      </w:r>
    </w:p>
    <w:p w14:paraId="6B78D66C" w14:textId="77777777" w:rsidR="001A07FB" w:rsidRPr="0054556A" w:rsidRDefault="001A07FB" w:rsidP="005A1F7F">
      <w:pPr>
        <w:pStyle w:val="PlainText"/>
        <w:rPr>
          <w:rFonts w:ascii="Arial" w:hAnsi="Arial" w:cs="Arial"/>
          <w:i/>
          <w:color w:val="auto"/>
        </w:rPr>
      </w:pPr>
      <w:r w:rsidRPr="0054556A">
        <w:rPr>
          <w:rFonts w:ascii="Arial" w:hAnsi="Arial" w:cs="Arial"/>
          <w:i/>
          <w:color w:val="auto"/>
        </w:rPr>
        <w:t>Timeliness of transmittal of search copy</w:t>
      </w:r>
    </w:p>
    <w:p w14:paraId="15C6DE3B" w14:textId="77777777" w:rsidR="001A07FB" w:rsidRPr="0054556A" w:rsidRDefault="001A07FB" w:rsidP="005A1F7F">
      <w:pPr>
        <w:pStyle w:val="PlainText"/>
        <w:rPr>
          <w:rFonts w:ascii="Arial" w:hAnsi="Arial" w:cs="Arial"/>
          <w:color w:val="auto"/>
        </w:rPr>
      </w:pPr>
    </w:p>
    <w:p w14:paraId="09482D9E" w14:textId="77777777" w:rsidR="001A07FB" w:rsidRPr="00EE0539" w:rsidRDefault="001A07FB" w:rsidP="00B66A4A">
      <w:pPr>
        <w:numPr>
          <w:ilvl w:val="0"/>
          <w:numId w:val="41"/>
        </w:numPr>
        <w:rPr>
          <w:rFonts w:ascii="Arial" w:hAnsi="Arial" w:cs="Arial"/>
          <w:sz w:val="20"/>
          <w:szCs w:val="20"/>
        </w:rPr>
      </w:pPr>
      <w:r w:rsidRPr="0054556A">
        <w:rPr>
          <w:rFonts w:ascii="Arial" w:hAnsi="Arial"/>
          <w:sz w:val="20"/>
          <w:lang w:val="en-GB"/>
        </w:rPr>
        <w:t>This</w:t>
      </w:r>
      <w:r w:rsidRPr="0054556A">
        <w:rPr>
          <w:rFonts w:ascii="Arial" w:hAnsi="Arial" w:cs="Arial"/>
          <w:sz w:val="20"/>
          <w:szCs w:val="20"/>
        </w:rPr>
        <w:t xml:space="preserve"> indicator reflects the time required by the RO/IB to transmit the search copies to the ISAs.</w:t>
      </w:r>
      <w:r w:rsidRPr="00EE0539">
        <w:rPr>
          <w:rFonts w:ascii="Arial" w:hAnsi="Arial" w:cs="Arial"/>
          <w:sz w:val="20"/>
          <w:szCs w:val="20"/>
        </w:rPr>
        <w:t xml:space="preserve"> The search copy is to be transmitted promptly after payment of the search fee, so that the ISA can establish the ISR within the deadlines stipulated by the PCT regulatory framework.  Delays in paying the fee will delay the transmission of the search copies to the ISAs and therefore negatively impact upon the ability of ISAs to meet these deadlines.</w:t>
      </w:r>
    </w:p>
    <w:p w14:paraId="310AB202" w14:textId="77777777" w:rsidR="001A07FB" w:rsidRPr="00245747" w:rsidRDefault="001A07FB" w:rsidP="005A1F7F">
      <w:pPr>
        <w:rPr>
          <w:rFonts w:ascii="Arial" w:hAnsi="Arial" w:cs="Arial"/>
          <w:sz w:val="20"/>
          <w:szCs w:val="20"/>
        </w:rPr>
      </w:pPr>
    </w:p>
    <w:p w14:paraId="025BC5A1" w14:textId="77777777" w:rsidR="001A07FB" w:rsidRPr="000D2666" w:rsidRDefault="001A07FB" w:rsidP="005A1F7F">
      <w:pPr>
        <w:pStyle w:val="PlainText"/>
        <w:jc w:val="center"/>
        <w:rPr>
          <w:rFonts w:ascii="Arial" w:hAnsi="Arial" w:cs="Arial"/>
          <w:b/>
          <w:color w:val="auto"/>
          <w:sz w:val="18"/>
        </w:rPr>
      </w:pPr>
      <w:r w:rsidRPr="000D2666">
        <w:rPr>
          <w:rFonts w:ascii="Arial" w:hAnsi="Arial" w:cs="Arial"/>
          <w:b/>
          <w:color w:val="auto"/>
          <w:sz w:val="18"/>
        </w:rPr>
        <w:t>Timeliness of Transmittal of Search Copy</w:t>
      </w:r>
    </w:p>
    <w:p w14:paraId="15B96F3B" w14:textId="77777777" w:rsidR="001A07FB" w:rsidRPr="0054556A" w:rsidRDefault="001A07FB" w:rsidP="005A1F7F">
      <w:pPr>
        <w:rPr>
          <w:rFonts w:ascii="Arial" w:hAnsi="Arial" w:cs="Arial"/>
          <w:b/>
          <w:sz w:val="20"/>
        </w:rPr>
      </w:pPr>
      <w:r>
        <w:rPr>
          <w:noProof/>
          <w:lang w:eastAsia="en-US"/>
        </w:rPr>
        <w:drawing>
          <wp:inline distT="0" distB="0" distL="0" distR="0" wp14:anchorId="2F430DE5" wp14:editId="3A78DD10">
            <wp:extent cx="5311775" cy="2436495"/>
            <wp:effectExtent l="0" t="0" r="3175" b="1905"/>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5311775" cy="2436495"/>
                    </a:xfrm>
                    <a:prstGeom prst="rect">
                      <a:avLst/>
                    </a:prstGeom>
                    <a:noFill/>
                  </pic:spPr>
                </pic:pic>
              </a:graphicData>
            </a:graphic>
          </wp:inline>
        </w:drawing>
      </w:r>
    </w:p>
    <w:p w14:paraId="05ECF7B1" w14:textId="77777777" w:rsidR="001A07FB" w:rsidRPr="0054556A" w:rsidRDefault="001A07FB" w:rsidP="005A1F7F">
      <w:pPr>
        <w:rPr>
          <w:rFonts w:ascii="Arial" w:hAnsi="Arial" w:cs="Arial"/>
        </w:rPr>
      </w:pPr>
    </w:p>
    <w:p w14:paraId="72BD0650" w14:textId="07667BF3" w:rsidR="000D2666" w:rsidRDefault="000D2666">
      <w:pPr>
        <w:rPr>
          <w:rFonts w:ascii="Arial" w:hAnsi="Arial" w:cs="Arial"/>
          <w:sz w:val="20"/>
        </w:rPr>
      </w:pPr>
      <w:r>
        <w:rPr>
          <w:rFonts w:ascii="Arial" w:hAnsi="Arial" w:cs="Arial"/>
          <w:sz w:val="20"/>
        </w:rPr>
        <w:br w:type="page"/>
      </w:r>
    </w:p>
    <w:p w14:paraId="01ADBDFF" w14:textId="77777777" w:rsidR="00D7361F" w:rsidRDefault="00D7361F" w:rsidP="00592800">
      <w:pPr>
        <w:rPr>
          <w:rFonts w:ascii="Arial" w:hAnsi="Arial" w:cs="Arial"/>
          <w:sz w:val="20"/>
        </w:rPr>
      </w:pPr>
    </w:p>
    <w:p w14:paraId="18BDA0F5" w14:textId="4166DF5D" w:rsidR="00592800" w:rsidRPr="0069571C" w:rsidRDefault="00592800" w:rsidP="00592800">
      <w:pPr>
        <w:pStyle w:val="StyleHeading3ComplexItalic"/>
        <w:keepNext w:val="0"/>
        <w:tabs>
          <w:tab w:val="clear" w:pos="1985"/>
          <w:tab w:val="left" w:pos="1418"/>
        </w:tabs>
        <w:ind w:left="1418" w:hanging="1418"/>
      </w:pPr>
      <w:bookmarkStart w:id="108" w:name="_Toc356567791"/>
      <w:bookmarkStart w:id="109" w:name="_Toc367350617"/>
      <w:bookmarkStart w:id="110" w:name="_Toc427154439"/>
      <w:r w:rsidRPr="007F65E7">
        <w:rPr>
          <w:caps w:val="0"/>
        </w:rPr>
        <w:t>ANNEX V</w:t>
      </w:r>
      <w:r>
        <w:rPr>
          <w:caps w:val="0"/>
        </w:rPr>
        <w:t>I</w:t>
      </w:r>
      <w:r w:rsidRPr="007F65E7">
        <w:rPr>
          <w:caps w:val="0"/>
        </w:rPr>
        <w:tab/>
        <w:t xml:space="preserve">INDICATORS OF </w:t>
      </w:r>
      <w:r>
        <w:rPr>
          <w:caps w:val="0"/>
        </w:rPr>
        <w:t xml:space="preserve">MADRID </w:t>
      </w:r>
      <w:r w:rsidRPr="007F65E7">
        <w:rPr>
          <w:caps w:val="0"/>
        </w:rPr>
        <w:t>OPERATIONS</w:t>
      </w:r>
      <w:bookmarkEnd w:id="108"/>
      <w:bookmarkEnd w:id="109"/>
      <w:bookmarkEnd w:id="110"/>
    </w:p>
    <w:p w14:paraId="3DD498A4" w14:textId="77777777" w:rsidR="00592800" w:rsidRDefault="00592800" w:rsidP="00592800">
      <w:pPr>
        <w:rPr>
          <w:rFonts w:ascii="Arial" w:hAnsi="Arial" w:cs="Arial"/>
          <w:sz w:val="20"/>
        </w:rPr>
      </w:pPr>
    </w:p>
    <w:p w14:paraId="2264BC8F" w14:textId="77777777" w:rsidR="000877C4" w:rsidRPr="00990B8A" w:rsidRDefault="000877C4" w:rsidP="005A1F7F">
      <w:pPr>
        <w:rPr>
          <w:rFonts w:ascii="Arial" w:hAnsi="Arial" w:cs="Arial"/>
          <w:b/>
        </w:rPr>
      </w:pPr>
    </w:p>
    <w:p w14:paraId="0DA27EF6" w14:textId="77777777" w:rsidR="000877C4" w:rsidRPr="00990B8A" w:rsidRDefault="000877C4" w:rsidP="005A1F7F">
      <w:pPr>
        <w:rPr>
          <w:rFonts w:ascii="Arial" w:hAnsi="Arial" w:cs="Arial"/>
          <w:lang w:eastAsia="zh-CN" w:bidi="th-TH"/>
        </w:rPr>
      </w:pPr>
      <w:r w:rsidRPr="00990B8A">
        <w:rPr>
          <w:rFonts w:ascii="Arial" w:hAnsi="Arial" w:cs="Arial"/>
          <w:lang w:eastAsia="zh-CN" w:bidi="th-TH"/>
        </w:rPr>
        <w:t>PERFORMANCE INDICATORS FOR THE EXPECTED RESULT</w:t>
      </w:r>
    </w:p>
    <w:p w14:paraId="2DED6202" w14:textId="77777777" w:rsidR="000877C4" w:rsidRPr="00990B8A" w:rsidRDefault="000877C4" w:rsidP="005A1F7F">
      <w:pPr>
        <w:tabs>
          <w:tab w:val="left" w:pos="1525"/>
          <w:tab w:val="right" w:pos="2835"/>
        </w:tabs>
        <w:spacing w:after="60"/>
        <w:rPr>
          <w:rFonts w:ascii="Arial" w:hAnsi="Arial" w:cs="Arial"/>
        </w:rPr>
      </w:pPr>
      <w:r w:rsidRPr="00990B8A">
        <w:rPr>
          <w:rFonts w:ascii="Arial" w:hAnsi="Arial" w:cs="Arial"/>
        </w:rPr>
        <w:t>“</w:t>
      </w:r>
      <w:r w:rsidRPr="00990B8A">
        <w:rPr>
          <w:rFonts w:ascii="Arial" w:hAnsi="Arial" w:cs="Arial"/>
          <w:lang w:eastAsia="zh-CN" w:bidi="th-TH"/>
        </w:rPr>
        <w:t>IMPROVED PRODUCTIVITY AND SERVICE QUALITY OF</w:t>
      </w:r>
      <w:r w:rsidRPr="00990B8A">
        <w:rPr>
          <w:rFonts w:ascii="Arial" w:hAnsi="Arial" w:cs="Arial"/>
        </w:rPr>
        <w:t xml:space="preserve"> MADRID OPERATIONS”</w:t>
      </w:r>
    </w:p>
    <w:p w14:paraId="06D5BAE0" w14:textId="77777777" w:rsidR="000877C4" w:rsidRPr="00990B8A" w:rsidRDefault="000877C4" w:rsidP="005A1F7F">
      <w:pPr>
        <w:rPr>
          <w:rFonts w:ascii="Arial" w:hAnsi="Arial" w:cs="Arial"/>
          <w:b/>
        </w:rPr>
      </w:pPr>
    </w:p>
    <w:p w14:paraId="506ED62D"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As background for the performance indicators for the expected result “</w:t>
      </w:r>
      <w:r w:rsidRPr="00990B8A">
        <w:rPr>
          <w:rFonts w:ascii="Arial" w:hAnsi="Arial" w:cs="Arial"/>
          <w:sz w:val="20"/>
          <w:szCs w:val="20"/>
          <w:lang w:eastAsia="zh-CN" w:bidi="th-TH"/>
        </w:rPr>
        <w:t>improved productivity and service quality of</w:t>
      </w:r>
      <w:r w:rsidRPr="00990B8A">
        <w:rPr>
          <w:rFonts w:ascii="Arial" w:hAnsi="Arial" w:cs="Arial"/>
          <w:sz w:val="20"/>
          <w:szCs w:val="20"/>
        </w:rPr>
        <w:t xml:space="preserve"> Madrid operations”, the evolution of the following factors needs to be considered:</w:t>
      </w:r>
    </w:p>
    <w:p w14:paraId="471B5C08" w14:textId="77777777" w:rsidR="000877C4" w:rsidRPr="00990B8A" w:rsidRDefault="000877C4" w:rsidP="005A1F7F">
      <w:pPr>
        <w:jc w:val="both"/>
        <w:rPr>
          <w:rFonts w:ascii="Arial" w:hAnsi="Arial" w:cs="Arial"/>
          <w:sz w:val="20"/>
          <w:szCs w:val="20"/>
        </w:rPr>
      </w:pPr>
    </w:p>
    <w:p w14:paraId="7FA67705" w14:textId="77777777" w:rsidR="000877C4" w:rsidRPr="00990B8A" w:rsidRDefault="000877C4" w:rsidP="00B66A4A">
      <w:pPr>
        <w:numPr>
          <w:ilvl w:val="0"/>
          <w:numId w:val="45"/>
        </w:numPr>
        <w:tabs>
          <w:tab w:val="clear" w:pos="720"/>
          <w:tab w:val="num" w:pos="1701"/>
        </w:tabs>
        <w:spacing w:after="120"/>
        <w:ind w:left="1701" w:hanging="567"/>
        <w:jc w:val="both"/>
        <w:rPr>
          <w:rFonts w:ascii="Arial" w:hAnsi="Arial" w:cs="Arial"/>
          <w:sz w:val="20"/>
          <w:szCs w:val="20"/>
        </w:rPr>
      </w:pPr>
      <w:r w:rsidRPr="00990B8A">
        <w:rPr>
          <w:rFonts w:ascii="Arial" w:hAnsi="Arial" w:cs="Arial"/>
          <w:sz w:val="20"/>
          <w:szCs w:val="20"/>
        </w:rPr>
        <w:t>Madrid workloads;</w:t>
      </w:r>
    </w:p>
    <w:p w14:paraId="3030EC09" w14:textId="77777777" w:rsidR="000877C4" w:rsidRPr="00990B8A" w:rsidRDefault="000877C4" w:rsidP="00B66A4A">
      <w:pPr>
        <w:numPr>
          <w:ilvl w:val="0"/>
          <w:numId w:val="45"/>
        </w:numPr>
        <w:tabs>
          <w:tab w:val="clear" w:pos="720"/>
          <w:tab w:val="num" w:pos="1701"/>
        </w:tabs>
        <w:spacing w:after="120"/>
        <w:ind w:left="1701" w:hanging="567"/>
        <w:jc w:val="both"/>
        <w:rPr>
          <w:rFonts w:ascii="Arial" w:hAnsi="Arial" w:cs="Arial"/>
          <w:sz w:val="20"/>
          <w:szCs w:val="20"/>
        </w:rPr>
      </w:pPr>
      <w:r w:rsidRPr="00990B8A">
        <w:rPr>
          <w:rFonts w:ascii="Arial" w:hAnsi="Arial" w:cs="Arial"/>
          <w:sz w:val="20"/>
          <w:szCs w:val="20"/>
        </w:rPr>
        <w:t>Composition of those workloads;</w:t>
      </w:r>
    </w:p>
    <w:p w14:paraId="5FDBDA6D" w14:textId="77777777" w:rsidR="000877C4" w:rsidRPr="00990B8A" w:rsidRDefault="000877C4" w:rsidP="00B66A4A">
      <w:pPr>
        <w:numPr>
          <w:ilvl w:val="0"/>
          <w:numId w:val="45"/>
        </w:numPr>
        <w:tabs>
          <w:tab w:val="clear" w:pos="720"/>
          <w:tab w:val="num" w:pos="1701"/>
        </w:tabs>
        <w:spacing w:after="120"/>
        <w:ind w:left="1701" w:hanging="567"/>
        <w:jc w:val="both"/>
        <w:rPr>
          <w:rFonts w:ascii="Arial" w:hAnsi="Arial" w:cs="Arial"/>
          <w:sz w:val="20"/>
          <w:szCs w:val="20"/>
        </w:rPr>
      </w:pPr>
      <w:r w:rsidRPr="00990B8A">
        <w:rPr>
          <w:rFonts w:ascii="Arial" w:hAnsi="Arial" w:cs="Arial"/>
          <w:sz w:val="20"/>
          <w:szCs w:val="20"/>
        </w:rPr>
        <w:t>Number of staff assigned to process those workloads;</w:t>
      </w:r>
    </w:p>
    <w:p w14:paraId="10577A8A" w14:textId="77777777" w:rsidR="000877C4" w:rsidRPr="00990B8A" w:rsidRDefault="000877C4" w:rsidP="00B66A4A">
      <w:pPr>
        <w:numPr>
          <w:ilvl w:val="0"/>
          <w:numId w:val="45"/>
        </w:numPr>
        <w:tabs>
          <w:tab w:val="clear" w:pos="720"/>
          <w:tab w:val="num" w:pos="1701"/>
        </w:tabs>
        <w:spacing w:after="120"/>
        <w:ind w:left="1701" w:hanging="567"/>
        <w:jc w:val="both"/>
        <w:rPr>
          <w:rFonts w:ascii="Arial" w:hAnsi="Arial" w:cs="Arial"/>
          <w:sz w:val="20"/>
          <w:szCs w:val="20"/>
        </w:rPr>
      </w:pPr>
      <w:r w:rsidRPr="00990B8A">
        <w:rPr>
          <w:rFonts w:ascii="Arial" w:hAnsi="Arial" w:cs="Arial"/>
          <w:sz w:val="20"/>
          <w:szCs w:val="20"/>
        </w:rPr>
        <w:t>Level of automation;  and</w:t>
      </w:r>
    </w:p>
    <w:p w14:paraId="0704CC0A" w14:textId="77777777" w:rsidR="000877C4" w:rsidRPr="00990B8A" w:rsidRDefault="000877C4" w:rsidP="00B66A4A">
      <w:pPr>
        <w:numPr>
          <w:ilvl w:val="0"/>
          <w:numId w:val="45"/>
        </w:numPr>
        <w:tabs>
          <w:tab w:val="clear" w:pos="720"/>
          <w:tab w:val="num" w:pos="1701"/>
        </w:tabs>
        <w:ind w:left="1701" w:hanging="567"/>
        <w:jc w:val="both"/>
        <w:rPr>
          <w:rFonts w:ascii="Arial" w:hAnsi="Arial" w:cs="Arial"/>
          <w:sz w:val="20"/>
          <w:szCs w:val="20"/>
        </w:rPr>
      </w:pPr>
      <w:r w:rsidRPr="00990B8A">
        <w:rPr>
          <w:rFonts w:ascii="Arial" w:hAnsi="Arial" w:cs="Arial"/>
          <w:sz w:val="20"/>
          <w:szCs w:val="20"/>
        </w:rPr>
        <w:t>Total cost of production.</w:t>
      </w:r>
    </w:p>
    <w:p w14:paraId="5E144F2F" w14:textId="77777777" w:rsidR="000877C4" w:rsidRPr="00990B8A" w:rsidRDefault="000877C4" w:rsidP="005A1F7F">
      <w:pPr>
        <w:ind w:left="360"/>
        <w:jc w:val="both"/>
        <w:rPr>
          <w:rFonts w:ascii="Arial" w:hAnsi="Arial" w:cs="Arial"/>
          <w:sz w:val="20"/>
          <w:szCs w:val="20"/>
        </w:rPr>
      </w:pPr>
    </w:p>
    <w:p w14:paraId="4C2E96B7" w14:textId="77777777" w:rsidR="000877C4" w:rsidRPr="00990B8A" w:rsidRDefault="000877C4" w:rsidP="00B66A4A">
      <w:pPr>
        <w:pStyle w:val="ListParagraph"/>
        <w:numPr>
          <w:ilvl w:val="0"/>
          <w:numId w:val="44"/>
        </w:numPr>
        <w:ind w:left="360" w:hanging="360"/>
        <w:jc w:val="both"/>
        <w:rPr>
          <w:rFonts w:ascii="Arial" w:hAnsi="Arial" w:cs="Arial"/>
          <w:b/>
          <w:sz w:val="20"/>
          <w:szCs w:val="20"/>
        </w:rPr>
      </w:pPr>
      <w:r w:rsidRPr="00990B8A">
        <w:rPr>
          <w:rFonts w:ascii="Arial" w:hAnsi="Arial" w:cs="Arial"/>
          <w:b/>
          <w:sz w:val="20"/>
          <w:szCs w:val="20"/>
        </w:rPr>
        <w:t>Incoming documents</w:t>
      </w:r>
    </w:p>
    <w:p w14:paraId="3258BFC0" w14:textId="77777777" w:rsidR="000877C4" w:rsidRPr="00990B8A" w:rsidRDefault="000877C4" w:rsidP="005A1F7F">
      <w:pPr>
        <w:pStyle w:val="ListParagraph"/>
        <w:ind w:left="1080"/>
        <w:jc w:val="both"/>
        <w:rPr>
          <w:rFonts w:ascii="Arial" w:hAnsi="Arial" w:cs="Arial"/>
          <w:sz w:val="20"/>
          <w:szCs w:val="20"/>
        </w:rPr>
      </w:pPr>
    </w:p>
    <w:p w14:paraId="11C0F75A"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International Bureau (IB) receives six different categories of documents, namely international applications, renewals, subsequent designations, modifications, decisions and corrections. The latest trend for each of these documents is presented below. Additional information on applications, such as their average number of classes and average number of words is also provided. For technical reasons, some indicators show data based on processed documents rather than on incoming documents. Backlogs in processing may therefore affect some indicators.</w:t>
      </w:r>
    </w:p>
    <w:p w14:paraId="32DDFFED" w14:textId="77777777" w:rsidR="000877C4" w:rsidRPr="00990B8A" w:rsidRDefault="000877C4" w:rsidP="005A1F7F">
      <w:pPr>
        <w:pStyle w:val="ListParagraph"/>
        <w:ind w:left="0"/>
        <w:jc w:val="both"/>
        <w:rPr>
          <w:rFonts w:ascii="Arial" w:hAnsi="Arial" w:cs="Arial"/>
        </w:rPr>
      </w:pPr>
    </w:p>
    <w:p w14:paraId="09B004D6" w14:textId="77777777" w:rsidR="000877C4" w:rsidRPr="009049DD" w:rsidRDefault="000877C4" w:rsidP="005A1F7F">
      <w:pPr>
        <w:pStyle w:val="ListParagraph"/>
        <w:ind w:left="0"/>
        <w:jc w:val="both"/>
        <w:rPr>
          <w:rFonts w:ascii="Arial" w:hAnsi="Arial" w:cs="Arial"/>
          <w:sz w:val="20"/>
          <w:u w:val="single"/>
        </w:rPr>
      </w:pPr>
      <w:r w:rsidRPr="009049DD">
        <w:rPr>
          <w:rFonts w:ascii="Arial" w:hAnsi="Arial" w:cs="Arial"/>
          <w:sz w:val="20"/>
          <w:u w:val="single"/>
        </w:rPr>
        <w:t xml:space="preserve">International applications </w:t>
      </w:r>
    </w:p>
    <w:p w14:paraId="40B64222"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3083A20A" wp14:editId="5C96B1F1">
            <wp:extent cx="5029200" cy="2275503"/>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5033219" cy="2277321"/>
                    </a:xfrm>
                    <a:prstGeom prst="rect">
                      <a:avLst/>
                    </a:prstGeom>
                    <a:noFill/>
                  </pic:spPr>
                </pic:pic>
              </a:graphicData>
            </a:graphic>
          </wp:inline>
        </w:drawing>
      </w:r>
    </w:p>
    <w:p w14:paraId="2B13FBA1" w14:textId="77777777" w:rsidR="000877C4" w:rsidRPr="00990B8A" w:rsidRDefault="000877C4" w:rsidP="005A1F7F">
      <w:pPr>
        <w:pStyle w:val="ListParagraph"/>
        <w:tabs>
          <w:tab w:val="left" w:pos="993"/>
        </w:tabs>
        <w:ind w:left="567"/>
        <w:jc w:val="both"/>
        <w:rPr>
          <w:rFonts w:ascii="Arial" w:hAnsi="Arial" w:cs="Arial"/>
          <w:sz w:val="20"/>
          <w:szCs w:val="20"/>
        </w:rPr>
      </w:pPr>
    </w:p>
    <w:p w14:paraId="38A90AD5" w14:textId="77777777" w:rsidR="000877C4" w:rsidRPr="00990B8A" w:rsidRDefault="000877C4" w:rsidP="00B66A4A">
      <w:pPr>
        <w:numPr>
          <w:ilvl w:val="0"/>
          <w:numId w:val="45"/>
        </w:numPr>
        <w:tabs>
          <w:tab w:val="clear" w:pos="720"/>
          <w:tab w:val="num" w:pos="1560"/>
        </w:tabs>
        <w:spacing w:after="120"/>
        <w:ind w:left="993" w:hanging="426"/>
        <w:jc w:val="both"/>
        <w:rPr>
          <w:rFonts w:ascii="Arial" w:hAnsi="Arial" w:cs="Arial"/>
          <w:sz w:val="20"/>
          <w:szCs w:val="20"/>
        </w:rPr>
      </w:pPr>
      <w:r w:rsidRPr="00990B8A">
        <w:rPr>
          <w:rFonts w:ascii="Arial" w:hAnsi="Arial" w:cs="Arial"/>
          <w:sz w:val="20"/>
          <w:szCs w:val="20"/>
        </w:rPr>
        <w:t xml:space="preserve">The IB received 47,885 applications in 2014, representing an increase of 2.3 per cent compared to 2013. </w:t>
      </w:r>
    </w:p>
    <w:p w14:paraId="481161D3" w14:textId="77777777" w:rsidR="000877C4" w:rsidRPr="00990B8A" w:rsidRDefault="000877C4" w:rsidP="00B66A4A">
      <w:pPr>
        <w:numPr>
          <w:ilvl w:val="0"/>
          <w:numId w:val="45"/>
        </w:numPr>
        <w:tabs>
          <w:tab w:val="clear" w:pos="720"/>
          <w:tab w:val="num" w:pos="1560"/>
        </w:tabs>
        <w:spacing w:after="120"/>
        <w:ind w:left="993" w:hanging="426"/>
        <w:jc w:val="both"/>
        <w:rPr>
          <w:rFonts w:ascii="Arial" w:hAnsi="Arial" w:cs="Arial"/>
          <w:sz w:val="20"/>
          <w:szCs w:val="20"/>
        </w:rPr>
      </w:pPr>
      <w:r w:rsidRPr="00990B8A">
        <w:rPr>
          <w:rFonts w:ascii="Arial" w:hAnsi="Arial" w:cs="Arial"/>
          <w:sz w:val="20"/>
          <w:szCs w:val="20"/>
        </w:rPr>
        <w:t>The numbers of applications received have increased continuously since 2010.</w:t>
      </w:r>
    </w:p>
    <w:p w14:paraId="5DE2AA53" w14:textId="77777777" w:rsidR="000877C4" w:rsidRPr="00990B8A" w:rsidRDefault="000877C4" w:rsidP="005A1F7F">
      <w:pPr>
        <w:pStyle w:val="ListParagraph"/>
        <w:ind w:left="1418"/>
        <w:jc w:val="both"/>
        <w:rPr>
          <w:rFonts w:ascii="Arial" w:hAnsi="Arial" w:cs="Arial"/>
          <w:sz w:val="20"/>
          <w:szCs w:val="20"/>
        </w:rPr>
      </w:pPr>
    </w:p>
    <w:p w14:paraId="5BAD27B7"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lastRenderedPageBreak/>
        <w:t>Distribution of applications by language of filing</w:t>
      </w:r>
    </w:p>
    <w:p w14:paraId="5CD488D9" w14:textId="0E4476F6" w:rsidR="000877C4" w:rsidRPr="00990B8A" w:rsidRDefault="000877C4" w:rsidP="005A1F7F">
      <w:pPr>
        <w:keepNext/>
        <w:keepLines/>
        <w:jc w:val="center"/>
        <w:rPr>
          <w:rFonts w:ascii="Arial" w:hAnsi="Arial" w:cs="Arial"/>
        </w:rPr>
      </w:pPr>
      <w:r w:rsidRPr="00990B8A">
        <w:rPr>
          <w:rFonts w:ascii="Arial" w:hAnsi="Arial" w:cs="Arial"/>
          <w:noProof/>
          <w:lang w:eastAsia="en-US"/>
        </w:rPr>
        <w:drawing>
          <wp:inline distT="0" distB="0" distL="0" distR="0" wp14:anchorId="355CD0AC" wp14:editId="6405288D">
            <wp:extent cx="5133975" cy="22574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4">
                      <a:extLst>
                        <a:ext uri="{28A0092B-C50C-407E-A947-70E740481C1C}">
                          <a14:useLocalDpi xmlns:a14="http://schemas.microsoft.com/office/drawing/2010/main" val="0"/>
                        </a:ext>
                      </a:extLst>
                    </a:blip>
                    <a:srcRect t="10902" r="-106"/>
                    <a:stretch/>
                  </pic:blipFill>
                  <pic:spPr bwMode="auto">
                    <a:xfrm>
                      <a:off x="0" y="0"/>
                      <a:ext cx="5148228" cy="2263692"/>
                    </a:xfrm>
                    <a:prstGeom prst="rect">
                      <a:avLst/>
                    </a:prstGeom>
                    <a:noFill/>
                    <a:ln>
                      <a:noFill/>
                    </a:ln>
                    <a:extLst>
                      <a:ext uri="{53640926-AAD7-44D8-BBD7-CCE9431645EC}">
                        <a14:shadowObscured xmlns:a14="http://schemas.microsoft.com/office/drawing/2010/main"/>
                      </a:ext>
                    </a:extLst>
                  </pic:spPr>
                </pic:pic>
              </a:graphicData>
            </a:graphic>
          </wp:inline>
        </w:drawing>
      </w:r>
    </w:p>
    <w:p w14:paraId="6092D295" w14:textId="77777777" w:rsidR="000877C4" w:rsidRPr="00990B8A" w:rsidRDefault="000877C4" w:rsidP="00B66A4A">
      <w:pPr>
        <w:keepNext/>
        <w:keepLines/>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In 2014, 80 per cent of all applications were filed in English. </w:t>
      </w:r>
      <w:r>
        <w:rPr>
          <w:rFonts w:ascii="Arial" w:hAnsi="Arial" w:cs="Arial"/>
          <w:sz w:val="20"/>
          <w:szCs w:val="20"/>
        </w:rPr>
        <w:t xml:space="preserve"> </w:t>
      </w:r>
      <w:r w:rsidRPr="00990B8A">
        <w:rPr>
          <w:rFonts w:ascii="Arial" w:hAnsi="Arial" w:cs="Arial"/>
          <w:sz w:val="20"/>
          <w:szCs w:val="20"/>
        </w:rPr>
        <w:t>This share grew by 15</w:t>
      </w:r>
      <w:r>
        <w:rPr>
          <w:rFonts w:ascii="Arial" w:hAnsi="Arial" w:cs="Arial"/>
          <w:sz w:val="20"/>
          <w:szCs w:val="20"/>
        </w:rPr>
        <w:t> </w:t>
      </w:r>
      <w:r w:rsidRPr="00990B8A">
        <w:rPr>
          <w:rFonts w:ascii="Arial" w:hAnsi="Arial" w:cs="Arial"/>
          <w:sz w:val="20"/>
          <w:szCs w:val="20"/>
        </w:rPr>
        <w:t>percentage points from 65 per cent in 2008 to 80 per cent in 2014.</w:t>
      </w:r>
    </w:p>
    <w:p w14:paraId="7BA59197" w14:textId="77777777" w:rsidR="000877C4" w:rsidRDefault="000877C4" w:rsidP="005A1F7F">
      <w:pPr>
        <w:jc w:val="both"/>
        <w:rPr>
          <w:rFonts w:ascii="Arial" w:hAnsi="Arial" w:cs="Arial"/>
          <w:sz w:val="20"/>
          <w:szCs w:val="20"/>
        </w:rPr>
      </w:pPr>
    </w:p>
    <w:p w14:paraId="19CF4A8A" w14:textId="77777777" w:rsidR="000877C4" w:rsidRPr="00990B8A" w:rsidRDefault="000877C4" w:rsidP="005A1F7F">
      <w:pPr>
        <w:jc w:val="both"/>
        <w:rPr>
          <w:rFonts w:ascii="Arial" w:hAnsi="Arial" w:cs="Arial"/>
          <w:sz w:val="20"/>
          <w:szCs w:val="20"/>
        </w:rPr>
      </w:pPr>
    </w:p>
    <w:p w14:paraId="406B4D33"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t>Average</w:t>
      </w:r>
      <w:r w:rsidRPr="00990B8A">
        <w:rPr>
          <w:rFonts w:ascii="Arial" w:hAnsi="Arial" w:cs="Arial"/>
          <w:sz w:val="20"/>
          <w:szCs w:val="20"/>
        </w:rPr>
        <w:t xml:space="preserve"> </w:t>
      </w:r>
      <w:r w:rsidRPr="009049DD">
        <w:rPr>
          <w:rFonts w:ascii="Arial" w:hAnsi="Arial" w:cs="Arial"/>
          <w:i/>
          <w:sz w:val="20"/>
          <w:szCs w:val="20"/>
        </w:rPr>
        <w:t>number of designations per registration</w:t>
      </w:r>
    </w:p>
    <w:p w14:paraId="6F7D78CA"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4DAFE493" wp14:editId="31E5CB73">
            <wp:extent cx="5372100" cy="227416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75">
                      <a:extLst>
                        <a:ext uri="{28A0092B-C50C-407E-A947-70E740481C1C}">
                          <a14:useLocalDpi xmlns:a14="http://schemas.microsoft.com/office/drawing/2010/main" val="0"/>
                        </a:ext>
                      </a:extLst>
                    </a:blip>
                    <a:srcRect t="11818"/>
                    <a:stretch/>
                  </pic:blipFill>
                  <pic:spPr bwMode="auto">
                    <a:xfrm>
                      <a:off x="0" y="0"/>
                      <a:ext cx="5380397" cy="2277672"/>
                    </a:xfrm>
                    <a:prstGeom prst="rect">
                      <a:avLst/>
                    </a:prstGeom>
                    <a:noFill/>
                    <a:ln>
                      <a:noFill/>
                    </a:ln>
                    <a:extLst>
                      <a:ext uri="{53640926-AAD7-44D8-BBD7-CCE9431645EC}">
                        <a14:shadowObscured xmlns:a14="http://schemas.microsoft.com/office/drawing/2010/main"/>
                      </a:ext>
                    </a:extLst>
                  </pic:spPr>
                </pic:pic>
              </a:graphicData>
            </a:graphic>
          </wp:inline>
        </w:drawing>
      </w:r>
    </w:p>
    <w:p w14:paraId="3B8FC05D" w14:textId="77777777" w:rsidR="000877C4" w:rsidRPr="00990B8A" w:rsidRDefault="000877C4" w:rsidP="00B66A4A">
      <w:pPr>
        <w:numPr>
          <w:ilvl w:val="0"/>
          <w:numId w:val="45"/>
        </w:numPr>
        <w:tabs>
          <w:tab w:val="clear" w:pos="720"/>
          <w:tab w:val="num" w:pos="1134"/>
        </w:tabs>
        <w:spacing w:after="120"/>
        <w:ind w:left="993" w:hanging="426"/>
        <w:jc w:val="both"/>
        <w:rPr>
          <w:rFonts w:ascii="Arial" w:hAnsi="Arial" w:cs="Arial"/>
          <w:sz w:val="20"/>
          <w:szCs w:val="20"/>
        </w:rPr>
      </w:pPr>
      <w:r w:rsidRPr="00990B8A">
        <w:rPr>
          <w:rFonts w:ascii="Arial" w:hAnsi="Arial" w:cs="Arial"/>
          <w:sz w:val="20"/>
          <w:szCs w:val="20"/>
        </w:rPr>
        <w:t>An average 6.9 designations were made in applications registered in 2014.</w:t>
      </w:r>
    </w:p>
    <w:p w14:paraId="14D387AE" w14:textId="77777777" w:rsidR="000877C4" w:rsidRDefault="000877C4" w:rsidP="00B66A4A">
      <w:pPr>
        <w:numPr>
          <w:ilvl w:val="0"/>
          <w:numId w:val="45"/>
        </w:numPr>
        <w:tabs>
          <w:tab w:val="clear" w:pos="720"/>
          <w:tab w:val="num" w:pos="1134"/>
        </w:tabs>
        <w:spacing w:after="120"/>
        <w:ind w:left="993" w:hanging="426"/>
        <w:jc w:val="both"/>
        <w:rPr>
          <w:rFonts w:ascii="Arial" w:hAnsi="Arial" w:cs="Arial"/>
          <w:sz w:val="20"/>
          <w:szCs w:val="20"/>
        </w:rPr>
      </w:pPr>
      <w:r w:rsidRPr="00990B8A">
        <w:rPr>
          <w:rFonts w:ascii="Arial" w:hAnsi="Arial" w:cs="Arial"/>
          <w:sz w:val="20"/>
          <w:szCs w:val="20"/>
        </w:rPr>
        <w:t>The average number of designations per registration has remained almost unchanged since 2010.</w:t>
      </w:r>
    </w:p>
    <w:p w14:paraId="00FD31CC" w14:textId="77777777" w:rsidR="00E37749" w:rsidRDefault="00E37749" w:rsidP="008D4CE9">
      <w:pPr>
        <w:spacing w:after="120"/>
        <w:ind w:left="993"/>
        <w:jc w:val="both"/>
        <w:rPr>
          <w:rFonts w:ascii="Arial" w:hAnsi="Arial" w:cs="Arial"/>
          <w:sz w:val="20"/>
          <w:szCs w:val="20"/>
        </w:rPr>
      </w:pPr>
    </w:p>
    <w:p w14:paraId="77BFFA57"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t>Average number of classes per registration</w:t>
      </w:r>
    </w:p>
    <w:p w14:paraId="1AF3C675" w14:textId="77777777" w:rsidR="000877C4" w:rsidRPr="00990B8A" w:rsidRDefault="000877C4" w:rsidP="005A1F7F">
      <w:pPr>
        <w:keepNext/>
        <w:keepLines/>
        <w:jc w:val="center"/>
        <w:rPr>
          <w:rFonts w:ascii="Arial" w:hAnsi="Arial" w:cs="Arial"/>
        </w:rPr>
      </w:pPr>
      <w:r w:rsidRPr="00990B8A">
        <w:rPr>
          <w:rFonts w:ascii="Arial" w:hAnsi="Arial" w:cs="Arial"/>
          <w:noProof/>
          <w:lang w:eastAsia="en-US"/>
        </w:rPr>
        <w:drawing>
          <wp:inline distT="0" distB="0" distL="0" distR="0" wp14:anchorId="1DD497D3" wp14:editId="028DFDCB">
            <wp:extent cx="5353050" cy="2152139"/>
            <wp:effectExtent l="0" t="0" r="0" b="63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6">
                      <a:extLst>
                        <a:ext uri="{28A0092B-C50C-407E-A947-70E740481C1C}">
                          <a14:useLocalDpi xmlns:a14="http://schemas.microsoft.com/office/drawing/2010/main" val="0"/>
                        </a:ext>
                      </a:extLst>
                    </a:blip>
                    <a:srcRect t="13412" r="1404"/>
                    <a:stretch/>
                  </pic:blipFill>
                  <pic:spPr bwMode="auto">
                    <a:xfrm>
                      <a:off x="0" y="0"/>
                      <a:ext cx="5362032" cy="2155750"/>
                    </a:xfrm>
                    <a:prstGeom prst="rect">
                      <a:avLst/>
                    </a:prstGeom>
                    <a:noFill/>
                    <a:ln>
                      <a:noFill/>
                    </a:ln>
                    <a:extLst>
                      <a:ext uri="{53640926-AAD7-44D8-BBD7-CCE9431645EC}">
                        <a14:shadowObscured xmlns:a14="http://schemas.microsoft.com/office/drawing/2010/main"/>
                      </a:ext>
                    </a:extLst>
                  </pic:spPr>
                </pic:pic>
              </a:graphicData>
            </a:graphic>
          </wp:inline>
        </w:drawing>
      </w:r>
    </w:p>
    <w:p w14:paraId="15112ABB" w14:textId="77777777" w:rsidR="000877C4" w:rsidRPr="00990B8A" w:rsidRDefault="000877C4" w:rsidP="00B66A4A">
      <w:pPr>
        <w:keepNext/>
        <w:keepLines/>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On average, 2.5 classes were specified in all applications registered in 2014. </w:t>
      </w:r>
    </w:p>
    <w:p w14:paraId="4EA11290" w14:textId="77777777" w:rsidR="000877C4" w:rsidRPr="00990B8A" w:rsidRDefault="000877C4" w:rsidP="005A1F7F">
      <w:pPr>
        <w:jc w:val="both"/>
        <w:rPr>
          <w:rFonts w:ascii="Arial" w:hAnsi="Arial" w:cs="Arial"/>
          <w:sz w:val="20"/>
          <w:szCs w:val="20"/>
        </w:rPr>
      </w:pPr>
    </w:p>
    <w:p w14:paraId="1451F4DC" w14:textId="77777777" w:rsidR="000877C4" w:rsidRPr="009049DD" w:rsidRDefault="000877C4" w:rsidP="005A1F7F">
      <w:pPr>
        <w:pStyle w:val="ListParagraph"/>
        <w:tabs>
          <w:tab w:val="left" w:pos="1701"/>
        </w:tabs>
        <w:ind w:left="567"/>
        <w:jc w:val="both"/>
        <w:rPr>
          <w:rFonts w:ascii="Arial" w:hAnsi="Arial" w:cs="Arial"/>
          <w:i/>
          <w:sz w:val="20"/>
          <w:szCs w:val="20"/>
        </w:rPr>
      </w:pPr>
      <w:r w:rsidRPr="009049DD">
        <w:rPr>
          <w:rFonts w:ascii="Arial" w:hAnsi="Arial" w:cs="Arial"/>
          <w:i/>
          <w:sz w:val="20"/>
          <w:szCs w:val="20"/>
        </w:rPr>
        <w:lastRenderedPageBreak/>
        <w:t xml:space="preserve">Average length of applications </w:t>
      </w:r>
    </w:p>
    <w:p w14:paraId="272B4788" w14:textId="77777777" w:rsidR="000877C4" w:rsidRPr="00990B8A" w:rsidRDefault="000877C4" w:rsidP="005A1F7F">
      <w:pPr>
        <w:pStyle w:val="ListParagraph"/>
        <w:ind w:left="1980"/>
        <w:jc w:val="both"/>
        <w:rPr>
          <w:rFonts w:ascii="Arial" w:hAnsi="Arial" w:cs="Arial"/>
          <w:sz w:val="20"/>
          <w:szCs w:val="20"/>
        </w:rPr>
      </w:pPr>
    </w:p>
    <w:p w14:paraId="4263FB4E"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 xml:space="preserve">The length of an application is determined by the total number of words used by applicants to describe their mark, by the basic list of goods and services and by any accompanying limitations. These three elements are translated by the IB into two languages (English, French or Spanish). </w:t>
      </w:r>
    </w:p>
    <w:p w14:paraId="10ACC371" w14:textId="77777777" w:rsidR="000877C4" w:rsidRPr="00990B8A" w:rsidRDefault="000877C4" w:rsidP="005A1F7F">
      <w:pPr>
        <w:jc w:val="both"/>
        <w:rPr>
          <w:rFonts w:ascii="Arial" w:hAnsi="Arial" w:cs="Arial"/>
          <w:sz w:val="20"/>
          <w:szCs w:val="20"/>
        </w:rPr>
      </w:pPr>
    </w:p>
    <w:p w14:paraId="4ED2934D"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 xml:space="preserve">The length of applications has an impact on the workload of examiners, which includes classifying the goods and/or services in the application according to the Nice Classification. </w:t>
      </w:r>
    </w:p>
    <w:p w14:paraId="7F69D539" w14:textId="77777777" w:rsidR="000877C4" w:rsidRPr="00990B8A" w:rsidRDefault="000877C4" w:rsidP="005A1F7F">
      <w:pPr>
        <w:jc w:val="both"/>
        <w:rPr>
          <w:rFonts w:ascii="Arial" w:hAnsi="Arial" w:cs="Arial"/>
          <w:sz w:val="20"/>
          <w:szCs w:val="20"/>
        </w:rPr>
      </w:pPr>
    </w:p>
    <w:p w14:paraId="1A25ED43"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average length of an application is determined by the total number of words in basic lists of goods and services, limitations and descriptions divided by the number of applications registered.</w:t>
      </w:r>
    </w:p>
    <w:p w14:paraId="3C0BD910" w14:textId="77777777" w:rsidR="000877C4" w:rsidRPr="00990B8A" w:rsidRDefault="000877C4" w:rsidP="005A1F7F">
      <w:pPr>
        <w:jc w:val="center"/>
        <w:rPr>
          <w:rFonts w:ascii="Arial" w:hAnsi="Arial" w:cs="Arial"/>
          <w:sz w:val="20"/>
          <w:szCs w:val="20"/>
        </w:rPr>
      </w:pPr>
      <w:r w:rsidRPr="00990B8A">
        <w:rPr>
          <w:rFonts w:ascii="Arial" w:hAnsi="Arial" w:cs="Arial"/>
          <w:noProof/>
          <w:sz w:val="20"/>
          <w:szCs w:val="20"/>
          <w:lang w:eastAsia="en-US"/>
        </w:rPr>
        <w:drawing>
          <wp:inline distT="0" distB="0" distL="0" distR="0" wp14:anchorId="166CA049" wp14:editId="604DC3D8">
            <wp:extent cx="5461695" cy="2695492"/>
            <wp:effectExtent l="0" t="0" r="571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5460766" cy="2695033"/>
                    </a:xfrm>
                    <a:prstGeom prst="rect">
                      <a:avLst/>
                    </a:prstGeom>
                    <a:noFill/>
                  </pic:spPr>
                </pic:pic>
              </a:graphicData>
            </a:graphic>
          </wp:inline>
        </w:drawing>
      </w:r>
    </w:p>
    <w:p w14:paraId="2D931DB8" w14:textId="77777777" w:rsidR="000877C4" w:rsidRPr="00990B8A" w:rsidRDefault="000877C4" w:rsidP="005A1F7F">
      <w:pPr>
        <w:jc w:val="both"/>
        <w:rPr>
          <w:rFonts w:ascii="Arial" w:hAnsi="Arial" w:cs="Arial"/>
          <w:sz w:val="20"/>
          <w:szCs w:val="20"/>
        </w:rPr>
      </w:pPr>
    </w:p>
    <w:p w14:paraId="7FE7ECB0"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In 2014, the average length of an application was 239 words. This represents an increase of 12 per cent compared to 2013.</w:t>
      </w:r>
    </w:p>
    <w:p w14:paraId="7F701BC3"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While certain aspects of the translation and classification work are automated, significant increases in the length of applications has a large impact on the workload of the IB.</w:t>
      </w:r>
    </w:p>
    <w:p w14:paraId="0AE60366" w14:textId="77777777" w:rsidR="000877C4" w:rsidRPr="00990B8A" w:rsidRDefault="000877C4" w:rsidP="005A1F7F">
      <w:pPr>
        <w:pStyle w:val="ListParagraph"/>
        <w:jc w:val="both"/>
        <w:rPr>
          <w:rFonts w:ascii="Arial" w:hAnsi="Arial" w:cs="Arial"/>
          <w:sz w:val="20"/>
          <w:szCs w:val="20"/>
        </w:rPr>
      </w:pPr>
    </w:p>
    <w:p w14:paraId="351D27C3" w14:textId="77777777" w:rsidR="000877C4" w:rsidRPr="00990B8A" w:rsidRDefault="000877C4" w:rsidP="005A1F7F">
      <w:pPr>
        <w:pStyle w:val="ListParagraph"/>
        <w:jc w:val="both"/>
        <w:rPr>
          <w:rFonts w:ascii="Arial" w:hAnsi="Arial" w:cs="Arial"/>
          <w:sz w:val="20"/>
          <w:szCs w:val="20"/>
        </w:rPr>
      </w:pPr>
    </w:p>
    <w:p w14:paraId="3A8B3729"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t xml:space="preserve">Distribution of regular and irregular applications </w:t>
      </w:r>
    </w:p>
    <w:p w14:paraId="09CFF923" w14:textId="77777777" w:rsidR="000877C4" w:rsidRPr="00990B8A" w:rsidRDefault="000877C4" w:rsidP="005A1F7F">
      <w:pPr>
        <w:jc w:val="center"/>
        <w:rPr>
          <w:rFonts w:ascii="Arial" w:hAnsi="Arial" w:cs="Arial"/>
          <w:sz w:val="20"/>
          <w:szCs w:val="20"/>
        </w:rPr>
      </w:pPr>
      <w:r w:rsidRPr="00990B8A">
        <w:rPr>
          <w:rFonts w:ascii="Arial" w:hAnsi="Arial" w:cs="Arial"/>
          <w:noProof/>
          <w:sz w:val="20"/>
          <w:szCs w:val="20"/>
          <w:lang w:eastAsia="en-US"/>
        </w:rPr>
        <w:drawing>
          <wp:inline distT="0" distB="0" distL="0" distR="0" wp14:anchorId="225F1F92" wp14:editId="309C2AB5">
            <wp:extent cx="5762625" cy="2624301"/>
            <wp:effectExtent l="0" t="0" r="0" b="508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78">
                      <a:extLst>
                        <a:ext uri="{28A0092B-C50C-407E-A947-70E740481C1C}">
                          <a14:useLocalDpi xmlns:a14="http://schemas.microsoft.com/office/drawing/2010/main" val="0"/>
                        </a:ext>
                      </a:extLst>
                    </a:blip>
                    <a:srcRect t="9225"/>
                    <a:stretch/>
                  </pic:blipFill>
                  <pic:spPr bwMode="auto">
                    <a:xfrm>
                      <a:off x="0" y="0"/>
                      <a:ext cx="5769370" cy="2627373"/>
                    </a:xfrm>
                    <a:prstGeom prst="rect">
                      <a:avLst/>
                    </a:prstGeom>
                    <a:noFill/>
                    <a:ln>
                      <a:noFill/>
                    </a:ln>
                    <a:extLst>
                      <a:ext uri="{53640926-AAD7-44D8-BBD7-CCE9431645EC}">
                        <a14:shadowObscured xmlns:a14="http://schemas.microsoft.com/office/drawing/2010/main"/>
                      </a:ext>
                    </a:extLst>
                  </pic:spPr>
                </pic:pic>
              </a:graphicData>
            </a:graphic>
          </wp:inline>
        </w:drawing>
      </w:r>
    </w:p>
    <w:p w14:paraId="0A957402"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The share of regular applications has remained more or less the same since 2011. </w:t>
      </w:r>
    </w:p>
    <w:p w14:paraId="22901E5C" w14:textId="721F1E8E" w:rsidR="00E37749" w:rsidRDefault="00E37749">
      <w:pPr>
        <w:rPr>
          <w:rFonts w:ascii="Arial" w:hAnsi="Arial" w:cs="Arial"/>
          <w:sz w:val="20"/>
          <w:szCs w:val="20"/>
        </w:rPr>
      </w:pPr>
      <w:r>
        <w:rPr>
          <w:rFonts w:ascii="Arial" w:hAnsi="Arial" w:cs="Arial"/>
          <w:sz w:val="20"/>
          <w:szCs w:val="20"/>
        </w:rPr>
        <w:br w:type="page"/>
      </w:r>
    </w:p>
    <w:p w14:paraId="2EE42A01" w14:textId="77777777" w:rsidR="000877C4" w:rsidRPr="00990B8A" w:rsidRDefault="000877C4" w:rsidP="005A1F7F">
      <w:pPr>
        <w:jc w:val="both"/>
        <w:rPr>
          <w:rFonts w:ascii="Arial" w:hAnsi="Arial" w:cs="Arial"/>
          <w:sz w:val="20"/>
          <w:szCs w:val="20"/>
        </w:rPr>
      </w:pPr>
    </w:p>
    <w:p w14:paraId="0DE97AA7" w14:textId="77777777" w:rsidR="000877C4" w:rsidRPr="009049DD" w:rsidRDefault="000877C4" w:rsidP="005A1F7F">
      <w:pPr>
        <w:pStyle w:val="ListParagraph"/>
        <w:ind w:left="0"/>
        <w:jc w:val="both"/>
        <w:rPr>
          <w:rFonts w:ascii="Arial" w:hAnsi="Arial" w:cs="Arial"/>
          <w:sz w:val="20"/>
          <w:u w:val="single"/>
        </w:rPr>
      </w:pPr>
      <w:r w:rsidRPr="009049DD">
        <w:rPr>
          <w:rFonts w:ascii="Arial" w:hAnsi="Arial" w:cs="Arial"/>
          <w:sz w:val="20"/>
          <w:u w:val="single"/>
        </w:rPr>
        <w:t xml:space="preserve">Renewals </w:t>
      </w:r>
    </w:p>
    <w:p w14:paraId="51131A3B" w14:textId="77777777" w:rsidR="000877C4" w:rsidRPr="00990B8A" w:rsidRDefault="000877C4" w:rsidP="005A1F7F">
      <w:pPr>
        <w:jc w:val="center"/>
        <w:rPr>
          <w:rFonts w:ascii="Arial" w:hAnsi="Arial" w:cs="Arial"/>
          <w:sz w:val="20"/>
          <w:szCs w:val="20"/>
        </w:rPr>
      </w:pPr>
      <w:r w:rsidRPr="00990B8A">
        <w:rPr>
          <w:rFonts w:ascii="Arial" w:hAnsi="Arial" w:cs="Arial"/>
          <w:noProof/>
          <w:sz w:val="20"/>
          <w:szCs w:val="20"/>
          <w:lang w:eastAsia="en-US"/>
        </w:rPr>
        <w:drawing>
          <wp:inline distT="0" distB="0" distL="0" distR="0" wp14:anchorId="7165A72C" wp14:editId="63CB3C24">
            <wp:extent cx="5390984" cy="2639730"/>
            <wp:effectExtent l="0" t="0" r="635" b="825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5390352" cy="2639420"/>
                    </a:xfrm>
                    <a:prstGeom prst="rect">
                      <a:avLst/>
                    </a:prstGeom>
                    <a:noFill/>
                  </pic:spPr>
                </pic:pic>
              </a:graphicData>
            </a:graphic>
          </wp:inline>
        </w:drawing>
      </w:r>
    </w:p>
    <w:p w14:paraId="64E220CC" w14:textId="77777777" w:rsidR="000877C4" w:rsidRPr="00990B8A" w:rsidRDefault="000877C4" w:rsidP="00B66A4A">
      <w:pPr>
        <w:numPr>
          <w:ilvl w:val="0"/>
          <w:numId w:val="45"/>
        </w:numPr>
        <w:tabs>
          <w:tab w:val="clear" w:pos="720"/>
          <w:tab w:val="num" w:pos="1560"/>
        </w:tabs>
        <w:spacing w:after="120"/>
        <w:ind w:left="993" w:hanging="426"/>
        <w:jc w:val="both"/>
        <w:rPr>
          <w:rFonts w:ascii="Arial" w:hAnsi="Arial" w:cs="Arial"/>
          <w:sz w:val="20"/>
          <w:szCs w:val="20"/>
        </w:rPr>
      </w:pPr>
      <w:r w:rsidRPr="00990B8A">
        <w:rPr>
          <w:rFonts w:ascii="Arial" w:hAnsi="Arial" w:cs="Arial"/>
          <w:sz w:val="20"/>
          <w:szCs w:val="20"/>
        </w:rPr>
        <w:t xml:space="preserve">In 2014, the IB registered 25,729 renewals, up 12 per cent from 2013. </w:t>
      </w:r>
    </w:p>
    <w:p w14:paraId="52112A5E" w14:textId="77777777" w:rsidR="000877C4" w:rsidRDefault="000877C4" w:rsidP="00B66A4A">
      <w:pPr>
        <w:numPr>
          <w:ilvl w:val="0"/>
          <w:numId w:val="45"/>
        </w:numPr>
        <w:tabs>
          <w:tab w:val="clear" w:pos="720"/>
          <w:tab w:val="num" w:pos="1560"/>
        </w:tabs>
        <w:spacing w:after="120"/>
        <w:ind w:left="993" w:hanging="426"/>
        <w:jc w:val="both"/>
        <w:rPr>
          <w:rFonts w:ascii="Arial" w:hAnsi="Arial" w:cs="Arial"/>
          <w:sz w:val="20"/>
          <w:szCs w:val="20"/>
        </w:rPr>
      </w:pPr>
      <w:r w:rsidRPr="00990B8A">
        <w:rPr>
          <w:rFonts w:ascii="Arial" w:hAnsi="Arial" w:cs="Arial"/>
          <w:sz w:val="20"/>
          <w:szCs w:val="20"/>
        </w:rPr>
        <w:t>Despite the increase in renewals between 2009 and 2014, the numbers of renewals processed manually have remained relatively stable. In 2014, 59 per cent of renewals were processed automatically.</w:t>
      </w:r>
    </w:p>
    <w:p w14:paraId="77934671" w14:textId="77777777" w:rsidR="000877C4" w:rsidRPr="00990B8A" w:rsidRDefault="000877C4" w:rsidP="005A1F7F">
      <w:pPr>
        <w:spacing w:after="120"/>
        <w:ind w:left="993" w:hanging="426"/>
        <w:jc w:val="both"/>
        <w:rPr>
          <w:rFonts w:ascii="Arial" w:hAnsi="Arial" w:cs="Arial"/>
          <w:sz w:val="20"/>
          <w:szCs w:val="20"/>
        </w:rPr>
      </w:pPr>
    </w:p>
    <w:p w14:paraId="68024546" w14:textId="77777777" w:rsidR="000877C4" w:rsidRPr="009049DD" w:rsidRDefault="000877C4" w:rsidP="005A1F7F">
      <w:pPr>
        <w:pStyle w:val="ListParagraph"/>
        <w:keepNext/>
        <w:keepLines/>
        <w:ind w:left="0"/>
        <w:jc w:val="both"/>
        <w:rPr>
          <w:rFonts w:ascii="Arial" w:hAnsi="Arial" w:cs="Arial"/>
          <w:sz w:val="20"/>
          <w:u w:val="single"/>
        </w:rPr>
      </w:pPr>
      <w:r w:rsidRPr="009049DD">
        <w:rPr>
          <w:rFonts w:ascii="Arial" w:hAnsi="Arial" w:cs="Arial"/>
          <w:sz w:val="20"/>
          <w:u w:val="single"/>
        </w:rPr>
        <w:t xml:space="preserve">Subsequent Designations </w:t>
      </w:r>
    </w:p>
    <w:p w14:paraId="3A2881BF" w14:textId="77777777" w:rsidR="000877C4" w:rsidRPr="00BF43CC" w:rsidRDefault="000877C4" w:rsidP="005A1F7F">
      <w:pPr>
        <w:keepNext/>
        <w:keepLines/>
        <w:jc w:val="center"/>
        <w:rPr>
          <w:rFonts w:ascii="Arial" w:hAnsi="Arial" w:cs="Arial"/>
          <w:sz w:val="20"/>
          <w:szCs w:val="20"/>
          <w:highlight w:val="yellow"/>
        </w:rPr>
      </w:pPr>
      <w:r w:rsidRPr="00990B8A">
        <w:rPr>
          <w:rFonts w:ascii="Arial" w:hAnsi="Arial" w:cs="Arial"/>
          <w:noProof/>
          <w:color w:val="FF0000"/>
          <w:sz w:val="20"/>
          <w:szCs w:val="20"/>
          <w:lang w:eastAsia="en-US"/>
        </w:rPr>
        <w:drawing>
          <wp:inline distT="0" distB="0" distL="0" distR="0" wp14:anchorId="06CF2658" wp14:editId="779B4F0F">
            <wp:extent cx="5276850" cy="2773976"/>
            <wp:effectExtent l="0" t="0" r="0" b="762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283262" cy="2777347"/>
                    </a:xfrm>
                    <a:prstGeom prst="rect">
                      <a:avLst/>
                    </a:prstGeom>
                    <a:noFill/>
                  </pic:spPr>
                </pic:pic>
              </a:graphicData>
            </a:graphic>
          </wp:inline>
        </w:drawing>
      </w:r>
    </w:p>
    <w:p w14:paraId="3F0644C5" w14:textId="77777777" w:rsidR="000877C4" w:rsidRPr="00460795" w:rsidRDefault="000877C4" w:rsidP="005A1F7F">
      <w:pPr>
        <w:keepNext/>
        <w:keepLines/>
        <w:jc w:val="both"/>
        <w:rPr>
          <w:rFonts w:ascii="Arial" w:hAnsi="Arial" w:cs="Arial"/>
          <w:sz w:val="20"/>
          <w:szCs w:val="20"/>
          <w:highlight w:val="yellow"/>
        </w:rPr>
      </w:pPr>
    </w:p>
    <w:p w14:paraId="6E88FEDF" w14:textId="77777777" w:rsidR="000877C4" w:rsidRPr="0043175E" w:rsidRDefault="000877C4" w:rsidP="00B66A4A">
      <w:pPr>
        <w:keepNext/>
        <w:keepLines/>
        <w:numPr>
          <w:ilvl w:val="0"/>
          <w:numId w:val="45"/>
        </w:numPr>
        <w:tabs>
          <w:tab w:val="clear" w:pos="720"/>
          <w:tab w:val="num" w:pos="993"/>
        </w:tabs>
        <w:spacing w:after="120"/>
        <w:ind w:left="993" w:hanging="426"/>
        <w:jc w:val="both"/>
        <w:rPr>
          <w:rFonts w:ascii="Arial" w:hAnsi="Arial" w:cs="Arial"/>
          <w:sz w:val="20"/>
          <w:szCs w:val="20"/>
        </w:rPr>
      </w:pPr>
      <w:r w:rsidRPr="0043175E">
        <w:rPr>
          <w:rFonts w:ascii="Arial" w:hAnsi="Arial" w:cs="Arial"/>
          <w:sz w:val="20"/>
          <w:szCs w:val="20"/>
        </w:rPr>
        <w:t xml:space="preserve">In 2014, the IB recorded 17,316 subsequent designations, down 2.5 per cent from 2013. </w:t>
      </w:r>
    </w:p>
    <w:p w14:paraId="18A6B1E4" w14:textId="77777777" w:rsidR="000877C4" w:rsidRPr="0043175E" w:rsidRDefault="000877C4" w:rsidP="00B66A4A">
      <w:pPr>
        <w:keepNext/>
        <w:keepLines/>
        <w:numPr>
          <w:ilvl w:val="0"/>
          <w:numId w:val="45"/>
        </w:numPr>
        <w:tabs>
          <w:tab w:val="clear" w:pos="720"/>
          <w:tab w:val="num" w:pos="993"/>
        </w:tabs>
        <w:ind w:left="993" w:hanging="426"/>
        <w:jc w:val="both"/>
        <w:rPr>
          <w:rFonts w:ascii="Arial" w:hAnsi="Arial" w:cs="Arial"/>
          <w:b/>
          <w:sz w:val="20"/>
          <w:szCs w:val="20"/>
        </w:rPr>
      </w:pPr>
      <w:r w:rsidRPr="0043175E">
        <w:rPr>
          <w:rFonts w:ascii="Arial" w:hAnsi="Arial" w:cs="Arial"/>
          <w:sz w:val="20"/>
          <w:szCs w:val="20"/>
        </w:rPr>
        <w:t xml:space="preserve">In 2014, a new web form called E-Subsequent Designation was made available to applicants. </w:t>
      </w:r>
      <w:r>
        <w:rPr>
          <w:rFonts w:ascii="Arial" w:hAnsi="Arial" w:cs="Arial"/>
          <w:sz w:val="20"/>
          <w:szCs w:val="20"/>
        </w:rPr>
        <w:t xml:space="preserve"> </w:t>
      </w:r>
      <w:r w:rsidRPr="0043175E">
        <w:rPr>
          <w:rFonts w:ascii="Arial" w:hAnsi="Arial" w:cs="Arial"/>
          <w:sz w:val="20"/>
          <w:szCs w:val="20"/>
        </w:rPr>
        <w:t xml:space="preserve">This electronic form enabled the IB to process 14 per cent of all subsequent designations automatically. </w:t>
      </w:r>
    </w:p>
    <w:p w14:paraId="4E033B7D" w14:textId="77777777" w:rsidR="000877C4" w:rsidRDefault="000877C4" w:rsidP="005A1F7F">
      <w:pPr>
        <w:pStyle w:val="ListParagraph"/>
        <w:ind w:left="1418"/>
        <w:jc w:val="both"/>
        <w:rPr>
          <w:rFonts w:ascii="Arial" w:hAnsi="Arial" w:cs="Arial"/>
          <w:b/>
          <w:sz w:val="20"/>
          <w:szCs w:val="20"/>
        </w:rPr>
      </w:pPr>
    </w:p>
    <w:p w14:paraId="6D0E0512" w14:textId="77777777" w:rsidR="000877C4" w:rsidRPr="0043175E" w:rsidRDefault="000877C4" w:rsidP="005A1F7F">
      <w:pPr>
        <w:pStyle w:val="ListParagraph"/>
        <w:ind w:left="1418"/>
        <w:jc w:val="both"/>
        <w:rPr>
          <w:rFonts w:ascii="Arial" w:hAnsi="Arial" w:cs="Arial"/>
          <w:b/>
          <w:sz w:val="20"/>
          <w:szCs w:val="20"/>
        </w:rPr>
      </w:pPr>
    </w:p>
    <w:p w14:paraId="4DE57B80" w14:textId="77777777" w:rsidR="000877C4" w:rsidRPr="009049DD" w:rsidRDefault="000877C4" w:rsidP="008D4CE9">
      <w:pPr>
        <w:pStyle w:val="ListParagraph"/>
        <w:keepNext/>
        <w:keepLines/>
        <w:ind w:left="0"/>
        <w:jc w:val="both"/>
        <w:rPr>
          <w:rFonts w:ascii="Arial" w:hAnsi="Arial" w:cs="Arial"/>
          <w:sz w:val="20"/>
          <w:u w:val="single"/>
        </w:rPr>
      </w:pPr>
      <w:r w:rsidRPr="009049DD">
        <w:rPr>
          <w:rFonts w:ascii="Arial" w:hAnsi="Arial" w:cs="Arial"/>
          <w:sz w:val="20"/>
          <w:u w:val="single"/>
        </w:rPr>
        <w:lastRenderedPageBreak/>
        <w:t>Modifications</w:t>
      </w:r>
    </w:p>
    <w:p w14:paraId="77BFAFFE" w14:textId="77777777" w:rsidR="000877C4" w:rsidRPr="00990B8A" w:rsidRDefault="000877C4" w:rsidP="008D4CE9">
      <w:pPr>
        <w:keepNext/>
        <w:keepLines/>
        <w:ind w:left="360"/>
        <w:jc w:val="center"/>
        <w:rPr>
          <w:rFonts w:ascii="Arial" w:hAnsi="Arial" w:cs="Arial"/>
        </w:rPr>
      </w:pPr>
      <w:r w:rsidRPr="00990B8A">
        <w:rPr>
          <w:rFonts w:ascii="Arial" w:hAnsi="Arial" w:cs="Arial"/>
          <w:noProof/>
          <w:lang w:eastAsia="en-US"/>
        </w:rPr>
        <w:drawing>
          <wp:inline distT="0" distB="0" distL="0" distR="0" wp14:anchorId="6E74025E" wp14:editId="33759A1F">
            <wp:extent cx="4876800" cy="2340016"/>
            <wp:effectExtent l="0" t="0" r="0" b="317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81">
                      <a:extLst>
                        <a:ext uri="{28A0092B-C50C-407E-A947-70E740481C1C}">
                          <a14:useLocalDpi xmlns:a14="http://schemas.microsoft.com/office/drawing/2010/main" val="0"/>
                        </a:ext>
                      </a:extLst>
                    </a:blip>
                    <a:srcRect t="4466"/>
                    <a:stretch/>
                  </pic:blipFill>
                  <pic:spPr bwMode="auto">
                    <a:xfrm>
                      <a:off x="0" y="0"/>
                      <a:ext cx="4877977" cy="2340581"/>
                    </a:xfrm>
                    <a:prstGeom prst="rect">
                      <a:avLst/>
                    </a:prstGeom>
                    <a:noFill/>
                    <a:ln>
                      <a:noFill/>
                    </a:ln>
                    <a:extLst>
                      <a:ext uri="{53640926-AAD7-44D8-BBD7-CCE9431645EC}">
                        <a14:shadowObscured xmlns:a14="http://schemas.microsoft.com/office/drawing/2010/main"/>
                      </a:ext>
                    </a:extLst>
                  </pic:spPr>
                </pic:pic>
              </a:graphicData>
            </a:graphic>
          </wp:inline>
        </w:drawing>
      </w:r>
    </w:p>
    <w:p w14:paraId="0FCFA2F4" w14:textId="77777777" w:rsidR="000877C4"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In 2014, the IB received 38,817 requests for modification, up 5.5 per cent from 2013. </w:t>
      </w:r>
    </w:p>
    <w:p w14:paraId="2BAB31E6" w14:textId="77777777" w:rsidR="000877C4" w:rsidRPr="00990B8A" w:rsidRDefault="000877C4" w:rsidP="005A1F7F">
      <w:pPr>
        <w:spacing w:after="120"/>
        <w:ind w:left="1560"/>
        <w:jc w:val="both"/>
        <w:rPr>
          <w:rFonts w:ascii="Arial" w:hAnsi="Arial" w:cs="Arial"/>
          <w:sz w:val="20"/>
          <w:szCs w:val="20"/>
        </w:rPr>
      </w:pPr>
    </w:p>
    <w:p w14:paraId="61A6146D" w14:textId="77777777" w:rsidR="000877C4" w:rsidRPr="009049DD" w:rsidRDefault="000877C4" w:rsidP="005A1F7F">
      <w:pPr>
        <w:pStyle w:val="ListParagraph"/>
        <w:keepNext/>
        <w:keepLines/>
        <w:ind w:left="0"/>
        <w:jc w:val="both"/>
        <w:rPr>
          <w:rFonts w:ascii="Arial" w:hAnsi="Arial" w:cs="Arial"/>
          <w:sz w:val="20"/>
          <w:u w:val="single"/>
        </w:rPr>
      </w:pPr>
      <w:r w:rsidRPr="009049DD">
        <w:rPr>
          <w:rFonts w:ascii="Arial" w:hAnsi="Arial" w:cs="Arial"/>
          <w:sz w:val="20"/>
          <w:u w:val="single"/>
        </w:rPr>
        <w:t>Decisions</w:t>
      </w:r>
    </w:p>
    <w:p w14:paraId="3B6A8B90" w14:textId="77777777" w:rsidR="000877C4" w:rsidRPr="00990B8A" w:rsidRDefault="000877C4" w:rsidP="005A1F7F">
      <w:pPr>
        <w:keepNext/>
        <w:keepLines/>
        <w:jc w:val="center"/>
        <w:rPr>
          <w:rFonts w:ascii="Arial" w:hAnsi="Arial" w:cs="Arial"/>
        </w:rPr>
      </w:pPr>
      <w:r w:rsidRPr="00990B8A">
        <w:rPr>
          <w:rFonts w:ascii="Arial" w:hAnsi="Arial" w:cs="Arial"/>
          <w:noProof/>
          <w:lang w:eastAsia="en-US"/>
        </w:rPr>
        <w:drawing>
          <wp:inline distT="0" distB="0" distL="0" distR="0" wp14:anchorId="5194AE9B" wp14:editId="356999BB">
            <wp:extent cx="5343525" cy="2600768"/>
            <wp:effectExtent l="0" t="0" r="0"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82">
                      <a:extLst>
                        <a:ext uri="{28A0092B-C50C-407E-A947-70E740481C1C}">
                          <a14:useLocalDpi xmlns:a14="http://schemas.microsoft.com/office/drawing/2010/main" val="0"/>
                        </a:ext>
                      </a:extLst>
                    </a:blip>
                    <a:srcRect t="4717"/>
                    <a:stretch/>
                  </pic:blipFill>
                  <pic:spPr bwMode="auto">
                    <a:xfrm>
                      <a:off x="0" y="0"/>
                      <a:ext cx="5345262" cy="2601613"/>
                    </a:xfrm>
                    <a:prstGeom prst="rect">
                      <a:avLst/>
                    </a:prstGeom>
                    <a:noFill/>
                    <a:ln>
                      <a:noFill/>
                    </a:ln>
                    <a:extLst>
                      <a:ext uri="{53640926-AAD7-44D8-BBD7-CCE9431645EC}">
                        <a14:shadowObscured xmlns:a14="http://schemas.microsoft.com/office/drawing/2010/main"/>
                      </a:ext>
                    </a:extLst>
                  </pic:spPr>
                </pic:pic>
              </a:graphicData>
            </a:graphic>
          </wp:inline>
        </w:drawing>
      </w:r>
    </w:p>
    <w:p w14:paraId="0178F7B8" w14:textId="77777777" w:rsidR="000877C4" w:rsidRPr="00990B8A" w:rsidRDefault="000877C4" w:rsidP="00B66A4A">
      <w:pPr>
        <w:keepNext/>
        <w:keepLines/>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In 2014, the number of decisions registered decreased by 0.3 per cent compared to 2013, totaling 521,208. </w:t>
      </w:r>
      <w:r>
        <w:rPr>
          <w:rFonts w:ascii="Arial" w:hAnsi="Arial" w:cs="Arial"/>
          <w:sz w:val="20"/>
          <w:szCs w:val="20"/>
        </w:rPr>
        <w:t xml:space="preserve"> </w:t>
      </w:r>
      <w:r w:rsidRPr="00990B8A">
        <w:rPr>
          <w:rFonts w:ascii="Arial" w:hAnsi="Arial" w:cs="Arial"/>
          <w:sz w:val="20"/>
          <w:szCs w:val="20"/>
        </w:rPr>
        <w:t>The number of decisions processed has rapidly increased since 2010.</w:t>
      </w:r>
    </w:p>
    <w:p w14:paraId="18C4109C"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In 2014, 62 per cent of decisions were processed automatically. </w:t>
      </w:r>
      <w:r>
        <w:rPr>
          <w:rFonts w:ascii="Arial" w:hAnsi="Arial" w:cs="Arial"/>
          <w:sz w:val="20"/>
          <w:szCs w:val="20"/>
        </w:rPr>
        <w:t xml:space="preserve"> </w:t>
      </w:r>
      <w:r w:rsidRPr="00990B8A">
        <w:rPr>
          <w:rFonts w:ascii="Arial" w:hAnsi="Arial" w:cs="Arial"/>
          <w:sz w:val="20"/>
          <w:szCs w:val="20"/>
        </w:rPr>
        <w:t>The majority of decisions have been processed automatically since 2011.</w:t>
      </w:r>
    </w:p>
    <w:p w14:paraId="34BDDE15" w14:textId="77777777" w:rsidR="000877C4" w:rsidRPr="00990B8A" w:rsidRDefault="000877C4" w:rsidP="005A1F7F">
      <w:pPr>
        <w:jc w:val="both"/>
        <w:rPr>
          <w:rFonts w:ascii="Arial" w:hAnsi="Arial" w:cs="Arial"/>
        </w:rPr>
      </w:pPr>
    </w:p>
    <w:p w14:paraId="72FD8D73" w14:textId="77777777" w:rsidR="000877C4" w:rsidRPr="009049DD" w:rsidRDefault="000877C4" w:rsidP="005A1F7F">
      <w:pPr>
        <w:pStyle w:val="ListParagraph"/>
        <w:ind w:left="0"/>
        <w:jc w:val="both"/>
        <w:rPr>
          <w:rFonts w:ascii="Arial" w:hAnsi="Arial" w:cs="Arial"/>
          <w:sz w:val="20"/>
          <w:u w:val="single"/>
        </w:rPr>
      </w:pPr>
      <w:r w:rsidRPr="009049DD">
        <w:rPr>
          <w:rFonts w:ascii="Arial" w:hAnsi="Arial" w:cs="Arial"/>
          <w:sz w:val="20"/>
          <w:u w:val="single"/>
        </w:rPr>
        <w:t>Corrections</w:t>
      </w:r>
    </w:p>
    <w:p w14:paraId="042877B8"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76AEA198" wp14:editId="383C196B">
            <wp:extent cx="4933950" cy="2228819"/>
            <wp:effectExtent l="0" t="0" r="0" b="63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3">
                      <a:extLst>
                        <a:ext uri="{28A0092B-C50C-407E-A947-70E740481C1C}">
                          <a14:useLocalDpi xmlns:a14="http://schemas.microsoft.com/office/drawing/2010/main" val="0"/>
                        </a:ext>
                      </a:extLst>
                    </a:blip>
                    <a:srcRect t="3944"/>
                    <a:stretch/>
                  </pic:blipFill>
                  <pic:spPr bwMode="auto">
                    <a:xfrm>
                      <a:off x="0" y="0"/>
                      <a:ext cx="4932738" cy="2228271"/>
                    </a:xfrm>
                    <a:prstGeom prst="rect">
                      <a:avLst/>
                    </a:prstGeom>
                    <a:noFill/>
                    <a:ln>
                      <a:noFill/>
                    </a:ln>
                    <a:extLst>
                      <a:ext uri="{53640926-AAD7-44D8-BBD7-CCE9431645EC}">
                        <a14:shadowObscured xmlns:a14="http://schemas.microsoft.com/office/drawing/2010/main"/>
                      </a:ext>
                    </a:extLst>
                  </pic:spPr>
                </pic:pic>
              </a:graphicData>
            </a:graphic>
          </wp:inline>
        </w:drawing>
      </w:r>
    </w:p>
    <w:p w14:paraId="1F857E2D"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lastRenderedPageBreak/>
        <w:t xml:space="preserve">In 2014, the IB recorded approximately 6,000 corrections. </w:t>
      </w:r>
      <w:r>
        <w:rPr>
          <w:rFonts w:ascii="Arial" w:hAnsi="Arial" w:cs="Arial"/>
          <w:sz w:val="20"/>
          <w:szCs w:val="20"/>
        </w:rPr>
        <w:t xml:space="preserve"> </w:t>
      </w:r>
      <w:r w:rsidRPr="00990B8A">
        <w:rPr>
          <w:rFonts w:ascii="Arial" w:hAnsi="Arial" w:cs="Arial"/>
          <w:sz w:val="20"/>
          <w:szCs w:val="20"/>
        </w:rPr>
        <w:t>This represents an increase of 17 per cent compared to 2013.</w:t>
      </w:r>
    </w:p>
    <w:p w14:paraId="5F463DE4" w14:textId="77777777" w:rsidR="000877C4" w:rsidRPr="00460795" w:rsidRDefault="000877C4" w:rsidP="00B66A4A">
      <w:pPr>
        <w:pStyle w:val="ListParagraph"/>
        <w:keepNext/>
        <w:keepLines/>
        <w:numPr>
          <w:ilvl w:val="0"/>
          <w:numId w:val="44"/>
        </w:numPr>
        <w:ind w:left="540" w:hanging="540"/>
        <w:jc w:val="both"/>
        <w:rPr>
          <w:rFonts w:ascii="Arial" w:hAnsi="Arial" w:cs="Arial"/>
          <w:b/>
          <w:sz w:val="20"/>
          <w:szCs w:val="20"/>
        </w:rPr>
      </w:pPr>
      <w:r w:rsidRPr="00460795">
        <w:rPr>
          <w:rFonts w:ascii="Arial" w:hAnsi="Arial" w:cs="Arial"/>
          <w:b/>
          <w:sz w:val="20"/>
          <w:szCs w:val="20"/>
        </w:rPr>
        <w:t>Total workload</w:t>
      </w:r>
    </w:p>
    <w:p w14:paraId="24C140DA" w14:textId="77777777" w:rsidR="000877C4" w:rsidRPr="00990B8A" w:rsidRDefault="000877C4" w:rsidP="005A1F7F">
      <w:pPr>
        <w:keepNext/>
        <w:keepLines/>
        <w:jc w:val="both"/>
        <w:rPr>
          <w:rFonts w:ascii="Arial" w:hAnsi="Arial" w:cs="Arial"/>
          <w:sz w:val="20"/>
          <w:szCs w:val="20"/>
        </w:rPr>
      </w:pPr>
    </w:p>
    <w:p w14:paraId="24E1A9B0" w14:textId="77777777" w:rsidR="000877C4" w:rsidRPr="00990B8A" w:rsidRDefault="000877C4" w:rsidP="00B66A4A">
      <w:pPr>
        <w:pStyle w:val="ListParagraph"/>
        <w:keepNext/>
        <w:keepLines/>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 xml:space="preserve">The total workload represents the weighted total number of documents processed by the IB. </w:t>
      </w:r>
      <w:r>
        <w:rPr>
          <w:rFonts w:ascii="Arial" w:hAnsi="Arial" w:cs="Arial"/>
          <w:sz w:val="20"/>
          <w:szCs w:val="20"/>
        </w:rPr>
        <w:t xml:space="preserve"> </w:t>
      </w:r>
      <w:r w:rsidRPr="00990B8A">
        <w:rPr>
          <w:rFonts w:ascii="Arial" w:hAnsi="Arial" w:cs="Arial"/>
          <w:sz w:val="20"/>
          <w:szCs w:val="20"/>
        </w:rPr>
        <w:t>All six categories of documents are included (applications, renewals, subsequent designations, modifications, decisions and corrections).</w:t>
      </w:r>
    </w:p>
    <w:p w14:paraId="00378B26" w14:textId="77777777" w:rsidR="000877C4" w:rsidRPr="00990B8A" w:rsidRDefault="000877C4" w:rsidP="005A1F7F">
      <w:pPr>
        <w:keepNext/>
        <w:keepLines/>
        <w:jc w:val="both"/>
        <w:rPr>
          <w:rFonts w:ascii="Arial" w:hAnsi="Arial" w:cs="Arial"/>
          <w:sz w:val="20"/>
          <w:szCs w:val="20"/>
        </w:rPr>
      </w:pPr>
    </w:p>
    <w:p w14:paraId="6DE1EBD9" w14:textId="77777777" w:rsidR="000877C4" w:rsidRPr="00990B8A" w:rsidRDefault="000877C4" w:rsidP="00B66A4A">
      <w:pPr>
        <w:pStyle w:val="ListParagraph"/>
        <w:keepNext/>
        <w:keepLines/>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As processing these types of documents do not require equal resources, they are each weighted differently.  According to this weighted system, during the time required to process an international application, an examiner can process 1.6 renewals, 1.8 subsequent designat</w:t>
      </w:r>
      <w:r>
        <w:rPr>
          <w:rFonts w:ascii="Arial" w:hAnsi="Arial" w:cs="Arial"/>
          <w:sz w:val="20"/>
          <w:szCs w:val="20"/>
        </w:rPr>
        <w:t>ions, 1.8 </w:t>
      </w:r>
      <w:r w:rsidRPr="00990B8A">
        <w:rPr>
          <w:rFonts w:ascii="Arial" w:hAnsi="Arial" w:cs="Arial"/>
          <w:sz w:val="20"/>
          <w:szCs w:val="20"/>
        </w:rPr>
        <w:t>modifications or 10 decisions. Similarly, during the time required to process an international application, an employee involved in the automation process can be deemed to process 17</w:t>
      </w:r>
      <w:r>
        <w:rPr>
          <w:rFonts w:ascii="Arial" w:hAnsi="Arial" w:cs="Arial"/>
          <w:sz w:val="20"/>
          <w:szCs w:val="20"/>
        </w:rPr>
        <w:t> </w:t>
      </w:r>
      <w:r w:rsidRPr="00990B8A">
        <w:rPr>
          <w:rFonts w:ascii="Arial" w:hAnsi="Arial" w:cs="Arial"/>
          <w:sz w:val="20"/>
          <w:szCs w:val="20"/>
        </w:rPr>
        <w:t xml:space="preserve">documents. </w:t>
      </w:r>
    </w:p>
    <w:p w14:paraId="0F21C2C5" w14:textId="77777777" w:rsidR="000877C4" w:rsidRPr="00990B8A" w:rsidRDefault="000877C4" w:rsidP="005A1F7F">
      <w:pPr>
        <w:jc w:val="both"/>
        <w:rPr>
          <w:rFonts w:ascii="Arial" w:hAnsi="Arial" w:cs="Arial"/>
          <w:sz w:val="16"/>
          <w:szCs w:val="16"/>
        </w:rPr>
      </w:pPr>
    </w:p>
    <w:p w14:paraId="1D39C6AD"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0046C481" wp14:editId="35ED3EAA">
            <wp:extent cx="5210132" cy="2259106"/>
            <wp:effectExtent l="0" t="0" r="0" b="825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5218726" cy="2262832"/>
                    </a:xfrm>
                    <a:prstGeom prst="rect">
                      <a:avLst/>
                    </a:prstGeom>
                    <a:noFill/>
                  </pic:spPr>
                </pic:pic>
              </a:graphicData>
            </a:graphic>
          </wp:inline>
        </w:drawing>
      </w:r>
    </w:p>
    <w:p w14:paraId="4C879CC9"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In 2014, the total workload remained stable compared to 2013. Applications, decisions and modifications represented nearly 80 per cent of the total workload.</w:t>
      </w:r>
    </w:p>
    <w:p w14:paraId="09969EDE"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rPr>
      </w:pPr>
      <w:r w:rsidRPr="00990B8A">
        <w:rPr>
          <w:rFonts w:ascii="Arial" w:hAnsi="Arial" w:cs="Arial"/>
          <w:sz w:val="20"/>
          <w:szCs w:val="20"/>
        </w:rPr>
        <w:t>Between 2011 and 2013, the workload increased sharply, mainly due to the increasing number of decisions.</w:t>
      </w:r>
    </w:p>
    <w:p w14:paraId="725967F0" w14:textId="77777777" w:rsidR="000877C4" w:rsidRPr="00990B8A" w:rsidRDefault="000877C4" w:rsidP="005A1F7F">
      <w:pPr>
        <w:pStyle w:val="ListParagraph"/>
        <w:ind w:left="1080"/>
        <w:jc w:val="both"/>
        <w:rPr>
          <w:rFonts w:ascii="Arial" w:hAnsi="Arial" w:cs="Arial"/>
          <w:sz w:val="16"/>
          <w:szCs w:val="16"/>
        </w:rPr>
      </w:pPr>
    </w:p>
    <w:p w14:paraId="6AF5525A" w14:textId="77777777" w:rsidR="000877C4" w:rsidRPr="00990B8A" w:rsidRDefault="000877C4" w:rsidP="005A1F7F">
      <w:pPr>
        <w:pStyle w:val="ListParagraph"/>
        <w:ind w:left="1080"/>
        <w:jc w:val="both"/>
        <w:rPr>
          <w:rFonts w:ascii="Arial" w:hAnsi="Arial" w:cs="Arial"/>
          <w:sz w:val="16"/>
          <w:szCs w:val="16"/>
        </w:rPr>
      </w:pPr>
    </w:p>
    <w:p w14:paraId="606543C0" w14:textId="77777777" w:rsidR="000877C4" w:rsidRDefault="000877C4" w:rsidP="00B66A4A">
      <w:pPr>
        <w:pStyle w:val="ListParagraph"/>
        <w:numPr>
          <w:ilvl w:val="0"/>
          <w:numId w:val="44"/>
        </w:numPr>
        <w:ind w:left="567" w:hanging="567"/>
        <w:jc w:val="both"/>
        <w:rPr>
          <w:rFonts w:ascii="Arial" w:hAnsi="Arial" w:cs="Arial"/>
          <w:b/>
          <w:sz w:val="20"/>
          <w:szCs w:val="20"/>
        </w:rPr>
      </w:pPr>
      <w:r w:rsidRPr="00460795">
        <w:rPr>
          <w:rFonts w:ascii="Arial" w:hAnsi="Arial" w:cs="Arial"/>
          <w:b/>
          <w:sz w:val="20"/>
          <w:szCs w:val="20"/>
        </w:rPr>
        <w:t xml:space="preserve">Medium of Transmission of Incoming Documents </w:t>
      </w:r>
    </w:p>
    <w:p w14:paraId="27E4FCBC" w14:textId="77777777" w:rsidR="000877C4" w:rsidRPr="00460795" w:rsidRDefault="000877C4" w:rsidP="005A1F7F">
      <w:pPr>
        <w:pStyle w:val="ListParagraph"/>
        <w:ind w:left="1080"/>
        <w:jc w:val="both"/>
        <w:rPr>
          <w:rFonts w:ascii="Arial" w:hAnsi="Arial" w:cs="Arial"/>
          <w:b/>
          <w:sz w:val="20"/>
          <w:szCs w:val="20"/>
        </w:rPr>
      </w:pPr>
    </w:p>
    <w:p w14:paraId="16C085ED" w14:textId="77777777" w:rsidR="000877C4" w:rsidRPr="00990B8A" w:rsidRDefault="000877C4" w:rsidP="005A1F7F">
      <w:pPr>
        <w:jc w:val="center"/>
        <w:rPr>
          <w:rFonts w:ascii="Arial" w:hAnsi="Arial" w:cs="Arial"/>
          <w:noProof/>
        </w:rPr>
      </w:pPr>
      <w:r w:rsidRPr="00990B8A">
        <w:rPr>
          <w:rFonts w:ascii="Arial" w:hAnsi="Arial" w:cs="Arial"/>
          <w:noProof/>
          <w:lang w:eastAsia="en-US"/>
        </w:rPr>
        <w:drawing>
          <wp:inline distT="0" distB="0" distL="0" distR="0" wp14:anchorId="6989C344" wp14:editId="6515092D">
            <wp:extent cx="5335325" cy="2450539"/>
            <wp:effectExtent l="0" t="0" r="0" b="698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339261" cy="2452347"/>
                    </a:xfrm>
                    <a:prstGeom prst="rect">
                      <a:avLst/>
                    </a:prstGeom>
                    <a:noFill/>
                  </pic:spPr>
                </pic:pic>
              </a:graphicData>
            </a:graphic>
          </wp:inline>
        </w:drawing>
      </w:r>
    </w:p>
    <w:p w14:paraId="72DE8F77" w14:textId="77777777" w:rsidR="000877C4" w:rsidRPr="00990B8A" w:rsidRDefault="000877C4" w:rsidP="00B66A4A">
      <w:pPr>
        <w:numPr>
          <w:ilvl w:val="0"/>
          <w:numId w:val="45"/>
        </w:numPr>
        <w:tabs>
          <w:tab w:val="clear" w:pos="720"/>
          <w:tab w:val="num" w:pos="993"/>
        </w:tabs>
        <w:spacing w:after="120"/>
        <w:ind w:left="993" w:hanging="426"/>
        <w:jc w:val="both"/>
        <w:rPr>
          <w:rFonts w:ascii="Arial" w:hAnsi="Arial" w:cs="Arial"/>
          <w:sz w:val="20"/>
          <w:szCs w:val="20"/>
        </w:rPr>
      </w:pPr>
      <w:r w:rsidRPr="00990B8A">
        <w:rPr>
          <w:rFonts w:ascii="Arial" w:hAnsi="Arial" w:cs="Arial"/>
          <w:sz w:val="20"/>
          <w:szCs w:val="20"/>
        </w:rPr>
        <w:t xml:space="preserve">In 2014, 66 per cent of all incoming documents were transmitted electronically to the IB. </w:t>
      </w:r>
    </w:p>
    <w:p w14:paraId="5F32B52D" w14:textId="77777777" w:rsidR="000877C4" w:rsidRDefault="000877C4" w:rsidP="00B66A4A">
      <w:pPr>
        <w:pStyle w:val="ListParagraph"/>
        <w:numPr>
          <w:ilvl w:val="0"/>
          <w:numId w:val="47"/>
        </w:numPr>
        <w:tabs>
          <w:tab w:val="num" w:pos="993"/>
        </w:tabs>
        <w:spacing w:after="200"/>
        <w:ind w:left="993" w:hanging="426"/>
        <w:jc w:val="both"/>
        <w:rPr>
          <w:rFonts w:ascii="Arial" w:hAnsi="Arial" w:cs="Arial"/>
          <w:sz w:val="20"/>
          <w:szCs w:val="20"/>
        </w:rPr>
      </w:pPr>
      <w:r w:rsidRPr="00990B8A">
        <w:rPr>
          <w:rFonts w:ascii="Arial" w:hAnsi="Arial" w:cs="Arial"/>
          <w:sz w:val="20"/>
          <w:szCs w:val="20"/>
        </w:rPr>
        <w:t>The share of documents transmitted electronically has been stable since 2012.</w:t>
      </w:r>
    </w:p>
    <w:p w14:paraId="375D5D3C" w14:textId="77777777" w:rsidR="000877C4" w:rsidRPr="00372816" w:rsidRDefault="000877C4" w:rsidP="005A1F7F">
      <w:pPr>
        <w:tabs>
          <w:tab w:val="num" w:pos="993"/>
        </w:tabs>
        <w:jc w:val="both"/>
        <w:rPr>
          <w:rFonts w:ascii="Arial" w:hAnsi="Arial" w:cs="Arial"/>
          <w:sz w:val="20"/>
          <w:szCs w:val="20"/>
        </w:rPr>
      </w:pPr>
    </w:p>
    <w:p w14:paraId="13CE9121" w14:textId="77777777" w:rsidR="000877C4" w:rsidRPr="0006197C" w:rsidRDefault="000877C4" w:rsidP="00B66A4A">
      <w:pPr>
        <w:pStyle w:val="ListParagraph"/>
        <w:keepNext/>
        <w:keepLines/>
        <w:numPr>
          <w:ilvl w:val="0"/>
          <w:numId w:val="44"/>
        </w:numPr>
        <w:ind w:left="567" w:hanging="567"/>
        <w:jc w:val="both"/>
        <w:rPr>
          <w:rFonts w:ascii="Arial" w:hAnsi="Arial" w:cs="Arial"/>
          <w:b/>
          <w:sz w:val="20"/>
          <w:szCs w:val="20"/>
        </w:rPr>
      </w:pPr>
      <w:r w:rsidRPr="0006197C">
        <w:rPr>
          <w:rFonts w:ascii="Arial" w:hAnsi="Arial" w:cs="Arial"/>
          <w:b/>
          <w:sz w:val="20"/>
          <w:szCs w:val="20"/>
        </w:rPr>
        <w:lastRenderedPageBreak/>
        <w:t>Processing</w:t>
      </w:r>
    </w:p>
    <w:p w14:paraId="76A259A7" w14:textId="77777777" w:rsidR="000877C4" w:rsidRPr="00990B8A" w:rsidRDefault="000877C4" w:rsidP="005A1F7F">
      <w:pPr>
        <w:keepNext/>
        <w:keepLines/>
        <w:jc w:val="both"/>
        <w:rPr>
          <w:rFonts w:ascii="Arial" w:hAnsi="Arial" w:cs="Arial"/>
          <w:sz w:val="20"/>
          <w:szCs w:val="20"/>
        </w:rPr>
      </w:pPr>
    </w:p>
    <w:p w14:paraId="4D56647D" w14:textId="77777777" w:rsidR="000877C4" w:rsidRPr="009049DD" w:rsidRDefault="000877C4" w:rsidP="005A1F7F">
      <w:pPr>
        <w:pStyle w:val="ListParagraph"/>
        <w:ind w:left="0"/>
        <w:jc w:val="both"/>
        <w:rPr>
          <w:rFonts w:ascii="Arial" w:hAnsi="Arial" w:cs="Arial"/>
          <w:sz w:val="20"/>
          <w:u w:val="single"/>
        </w:rPr>
      </w:pPr>
      <w:r w:rsidRPr="009049DD">
        <w:rPr>
          <w:rFonts w:ascii="Arial" w:hAnsi="Arial" w:cs="Arial"/>
          <w:sz w:val="20"/>
          <w:u w:val="single"/>
        </w:rPr>
        <w:t>Total cost of production</w:t>
      </w:r>
    </w:p>
    <w:p w14:paraId="0659DCD1" w14:textId="77777777" w:rsidR="000877C4" w:rsidRPr="0043175E" w:rsidRDefault="000877C4" w:rsidP="005A1F7F">
      <w:pPr>
        <w:pStyle w:val="ListParagraph"/>
        <w:keepNext/>
        <w:keepLines/>
        <w:ind w:left="1440"/>
        <w:jc w:val="both"/>
        <w:rPr>
          <w:rFonts w:ascii="Arial" w:hAnsi="Arial" w:cs="Arial"/>
          <w:b/>
          <w:i/>
          <w:sz w:val="20"/>
          <w:szCs w:val="20"/>
        </w:rPr>
      </w:pPr>
    </w:p>
    <w:p w14:paraId="4078E364" w14:textId="77777777" w:rsidR="000877C4" w:rsidRPr="00990B8A" w:rsidRDefault="000877C4" w:rsidP="00B66A4A">
      <w:pPr>
        <w:pStyle w:val="ListParagraph"/>
        <w:keepNext/>
        <w:keepLines/>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total cost of production has direct and indirect components.</w:t>
      </w:r>
      <w:r>
        <w:rPr>
          <w:rFonts w:ascii="Arial" w:hAnsi="Arial" w:cs="Arial"/>
          <w:sz w:val="20"/>
          <w:szCs w:val="20"/>
        </w:rPr>
        <w:t xml:space="preserve"> </w:t>
      </w:r>
      <w:r w:rsidRPr="00990B8A">
        <w:rPr>
          <w:rFonts w:ascii="Arial" w:hAnsi="Arial" w:cs="Arial"/>
          <w:sz w:val="20"/>
          <w:szCs w:val="20"/>
        </w:rPr>
        <w:t xml:space="preserve"> Direct costs reflect expenditure incurred by the IB in administering the Madrid System (such as management, translation and registration). Indirect costs reflect expenditure for supporting activities (such as those associated with buildings and information technology). Indirect costs are weighted to take into account only the share attributable to the Madrid System.</w:t>
      </w:r>
    </w:p>
    <w:p w14:paraId="78B84645"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730DFEC0" wp14:editId="27765954">
            <wp:extent cx="4895850" cy="2766738"/>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4902478" cy="2770483"/>
                    </a:xfrm>
                    <a:prstGeom prst="rect">
                      <a:avLst/>
                    </a:prstGeom>
                    <a:noFill/>
                  </pic:spPr>
                </pic:pic>
              </a:graphicData>
            </a:graphic>
          </wp:inline>
        </w:drawing>
      </w:r>
    </w:p>
    <w:p w14:paraId="506CC831" w14:textId="6F2CDEB5" w:rsidR="000877C4" w:rsidRPr="00990B8A" w:rsidRDefault="000877C4" w:rsidP="00B66A4A">
      <w:pPr>
        <w:pStyle w:val="ListParagraph"/>
        <w:numPr>
          <w:ilvl w:val="0"/>
          <w:numId w:val="48"/>
        </w:numPr>
        <w:spacing w:after="200"/>
        <w:ind w:left="1134" w:hanging="567"/>
        <w:jc w:val="both"/>
        <w:rPr>
          <w:rFonts w:ascii="Arial" w:hAnsi="Arial" w:cs="Arial"/>
          <w:sz w:val="20"/>
          <w:szCs w:val="20"/>
        </w:rPr>
      </w:pPr>
      <w:r w:rsidRPr="00990B8A">
        <w:rPr>
          <w:rFonts w:ascii="Arial" w:hAnsi="Arial" w:cs="Arial"/>
          <w:sz w:val="20"/>
          <w:szCs w:val="20"/>
        </w:rPr>
        <w:t xml:space="preserve">The total cost of production is estimated at 41.8 million Swiss </w:t>
      </w:r>
      <w:r>
        <w:rPr>
          <w:rFonts w:ascii="Arial" w:hAnsi="Arial" w:cs="Arial"/>
          <w:sz w:val="20"/>
          <w:szCs w:val="20"/>
        </w:rPr>
        <w:t>f</w:t>
      </w:r>
      <w:r w:rsidRPr="00990B8A">
        <w:rPr>
          <w:rFonts w:ascii="Arial" w:hAnsi="Arial" w:cs="Arial"/>
          <w:sz w:val="20"/>
          <w:szCs w:val="20"/>
        </w:rPr>
        <w:t>rancs in 2014.</w:t>
      </w:r>
      <w:r>
        <w:rPr>
          <w:rFonts w:ascii="Arial" w:hAnsi="Arial" w:cs="Arial"/>
          <w:sz w:val="20"/>
          <w:szCs w:val="20"/>
        </w:rPr>
        <w:t xml:space="preserve"> </w:t>
      </w:r>
      <w:r w:rsidRPr="00990B8A">
        <w:rPr>
          <w:rFonts w:ascii="Arial" w:hAnsi="Arial" w:cs="Arial"/>
          <w:sz w:val="20"/>
          <w:szCs w:val="20"/>
        </w:rPr>
        <w:t xml:space="preserve"> This represents a slight increase of 0.1 per cent compared to 2013. </w:t>
      </w:r>
    </w:p>
    <w:p w14:paraId="7848D4B1" w14:textId="77777777" w:rsidR="000877C4" w:rsidRPr="00990B8A" w:rsidRDefault="000877C4" w:rsidP="005A1F7F">
      <w:pPr>
        <w:pStyle w:val="ListParagraph"/>
        <w:ind w:left="1134" w:hanging="567"/>
        <w:jc w:val="both"/>
        <w:rPr>
          <w:rFonts w:ascii="Arial" w:hAnsi="Arial" w:cs="Arial"/>
          <w:sz w:val="20"/>
          <w:szCs w:val="20"/>
        </w:rPr>
      </w:pPr>
    </w:p>
    <w:p w14:paraId="1D1482CA" w14:textId="77777777" w:rsidR="000877C4" w:rsidRPr="00990B8A" w:rsidRDefault="000877C4" w:rsidP="00B66A4A">
      <w:pPr>
        <w:pStyle w:val="ListParagraph"/>
        <w:numPr>
          <w:ilvl w:val="0"/>
          <w:numId w:val="48"/>
        </w:numPr>
        <w:ind w:left="1134" w:hanging="567"/>
        <w:jc w:val="both"/>
        <w:rPr>
          <w:rFonts w:ascii="Arial" w:hAnsi="Arial" w:cs="Arial"/>
          <w:sz w:val="20"/>
          <w:szCs w:val="20"/>
        </w:rPr>
      </w:pPr>
      <w:r w:rsidRPr="00990B8A">
        <w:rPr>
          <w:rFonts w:ascii="Arial" w:hAnsi="Arial" w:cs="Arial"/>
          <w:sz w:val="20"/>
          <w:szCs w:val="20"/>
        </w:rPr>
        <w:t xml:space="preserve">In 2014, the direct costs accounted for 61 per cent of total costs. </w:t>
      </w:r>
    </w:p>
    <w:p w14:paraId="36EA35DB" w14:textId="77777777" w:rsidR="000877C4" w:rsidRPr="00990B8A" w:rsidRDefault="000877C4" w:rsidP="005A1F7F">
      <w:pPr>
        <w:ind w:left="1134" w:hanging="567"/>
        <w:jc w:val="both"/>
        <w:rPr>
          <w:rFonts w:ascii="Arial" w:hAnsi="Arial" w:cs="Arial"/>
          <w:sz w:val="20"/>
          <w:szCs w:val="20"/>
        </w:rPr>
      </w:pPr>
    </w:p>
    <w:p w14:paraId="5220EE6B" w14:textId="77777777" w:rsidR="000877C4" w:rsidRPr="00990B8A" w:rsidRDefault="000877C4" w:rsidP="005A1F7F">
      <w:pPr>
        <w:ind w:left="1080"/>
        <w:jc w:val="both"/>
        <w:rPr>
          <w:rFonts w:ascii="Arial" w:hAnsi="Arial" w:cs="Arial"/>
          <w:sz w:val="20"/>
          <w:szCs w:val="20"/>
        </w:rPr>
      </w:pPr>
    </w:p>
    <w:p w14:paraId="5467733C" w14:textId="77777777" w:rsidR="000877C4" w:rsidRPr="009049DD" w:rsidRDefault="000877C4" w:rsidP="005A1F7F">
      <w:pPr>
        <w:pStyle w:val="ListParagraph"/>
        <w:ind w:left="0"/>
        <w:jc w:val="both"/>
        <w:rPr>
          <w:rFonts w:ascii="Arial" w:hAnsi="Arial" w:cs="Arial"/>
          <w:sz w:val="20"/>
          <w:u w:val="single"/>
        </w:rPr>
      </w:pPr>
      <w:r w:rsidRPr="009049DD">
        <w:rPr>
          <w:rFonts w:ascii="Arial" w:hAnsi="Arial" w:cs="Arial"/>
          <w:sz w:val="20"/>
          <w:u w:val="single"/>
        </w:rPr>
        <w:t xml:space="preserve">Unit cost </w:t>
      </w:r>
    </w:p>
    <w:p w14:paraId="1FBCA203" w14:textId="77777777" w:rsidR="000877C4" w:rsidRPr="00990B8A" w:rsidRDefault="000877C4" w:rsidP="005A1F7F">
      <w:pPr>
        <w:jc w:val="both"/>
        <w:rPr>
          <w:rFonts w:ascii="Arial" w:hAnsi="Arial" w:cs="Arial"/>
          <w:sz w:val="20"/>
          <w:szCs w:val="20"/>
        </w:rPr>
      </w:pPr>
    </w:p>
    <w:p w14:paraId="229FFF12"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IB’s efficiency in processing transactions can be measured by the unit cost, defined as the average cost of producing one unit of output.</w:t>
      </w:r>
    </w:p>
    <w:p w14:paraId="6F090EEE" w14:textId="77777777" w:rsidR="000877C4" w:rsidRPr="00990B8A" w:rsidRDefault="000877C4" w:rsidP="005A1F7F">
      <w:pPr>
        <w:contextualSpacing/>
        <w:jc w:val="both"/>
        <w:rPr>
          <w:rFonts w:ascii="Arial" w:hAnsi="Arial" w:cs="Arial"/>
          <w:sz w:val="20"/>
          <w:szCs w:val="20"/>
        </w:rPr>
      </w:pPr>
    </w:p>
    <w:p w14:paraId="498EC5E8" w14:textId="77777777" w:rsidR="000877C4"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As the IB registers new applications and maintains existing registrations, it is relevant to have a unit of output which includes a set of transactions.</w:t>
      </w:r>
      <w:r>
        <w:rPr>
          <w:rFonts w:ascii="Arial" w:hAnsi="Arial" w:cs="Arial"/>
          <w:sz w:val="20"/>
          <w:szCs w:val="20"/>
        </w:rPr>
        <w:t xml:space="preserve"> </w:t>
      </w:r>
      <w:r w:rsidRPr="00990B8A">
        <w:rPr>
          <w:rFonts w:ascii="Arial" w:hAnsi="Arial" w:cs="Arial"/>
          <w:sz w:val="20"/>
          <w:szCs w:val="20"/>
        </w:rPr>
        <w:t xml:space="preserve"> Two unit cost indicators are presented below using two different units of output.</w:t>
      </w:r>
    </w:p>
    <w:p w14:paraId="054B4275" w14:textId="77777777" w:rsidR="000877C4" w:rsidRPr="00990B8A" w:rsidRDefault="000877C4" w:rsidP="005A1F7F">
      <w:pPr>
        <w:pStyle w:val="ListParagraph"/>
        <w:tabs>
          <w:tab w:val="left" w:pos="567"/>
        </w:tabs>
        <w:ind w:left="0"/>
        <w:jc w:val="both"/>
        <w:rPr>
          <w:rFonts w:ascii="Arial" w:hAnsi="Arial" w:cs="Arial"/>
          <w:sz w:val="20"/>
          <w:szCs w:val="20"/>
        </w:rPr>
      </w:pPr>
    </w:p>
    <w:p w14:paraId="33412892" w14:textId="77777777" w:rsidR="000877C4"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As part of the IB’s efforts to continuously refine the methodology for calculating unit costs, the methodology has been revised in the Program and Budget 2016/17 to reflect more accurately the cost of processing Madrid workloads at the IB:</w:t>
      </w:r>
    </w:p>
    <w:p w14:paraId="65BE2701" w14:textId="77777777" w:rsidR="000877C4" w:rsidRPr="00990B8A" w:rsidRDefault="000877C4" w:rsidP="005A1F7F">
      <w:pPr>
        <w:pStyle w:val="ListParagraph"/>
        <w:tabs>
          <w:tab w:val="left" w:pos="567"/>
        </w:tabs>
        <w:ind w:left="0"/>
        <w:jc w:val="both"/>
        <w:rPr>
          <w:rFonts w:ascii="Arial" w:hAnsi="Arial" w:cs="Arial"/>
          <w:sz w:val="20"/>
          <w:szCs w:val="20"/>
        </w:rPr>
      </w:pPr>
    </w:p>
    <w:p w14:paraId="4AEB3385" w14:textId="77777777" w:rsidR="000877C4" w:rsidRPr="00990B8A" w:rsidRDefault="000877C4" w:rsidP="00B66A4A">
      <w:pPr>
        <w:pStyle w:val="ListParagraph"/>
        <w:numPr>
          <w:ilvl w:val="0"/>
          <w:numId w:val="46"/>
        </w:numPr>
        <w:spacing w:after="200"/>
        <w:ind w:left="1134" w:hanging="567"/>
        <w:jc w:val="both"/>
        <w:rPr>
          <w:rFonts w:ascii="Arial" w:hAnsi="Arial" w:cs="Arial"/>
          <w:sz w:val="20"/>
          <w:szCs w:val="20"/>
        </w:rPr>
      </w:pPr>
      <w:r w:rsidRPr="00990B8A">
        <w:rPr>
          <w:rFonts w:ascii="Arial" w:hAnsi="Arial" w:cs="Arial"/>
          <w:sz w:val="20"/>
          <w:szCs w:val="20"/>
        </w:rPr>
        <w:t>The methodology for calculating direct and indirect Madrid costs have been aligned with the methodologies for calculating PCT and the Hague unit costs.</w:t>
      </w:r>
    </w:p>
    <w:p w14:paraId="3C244D35" w14:textId="77777777" w:rsidR="000877C4" w:rsidRPr="00990B8A" w:rsidRDefault="000877C4" w:rsidP="005A1F7F">
      <w:pPr>
        <w:pStyle w:val="ListParagraph"/>
        <w:ind w:left="1134" w:hanging="567"/>
        <w:jc w:val="both"/>
        <w:rPr>
          <w:rFonts w:ascii="Arial" w:hAnsi="Arial" w:cs="Arial"/>
          <w:sz w:val="20"/>
          <w:szCs w:val="20"/>
        </w:rPr>
      </w:pPr>
    </w:p>
    <w:p w14:paraId="57B2C690" w14:textId="77777777" w:rsidR="000877C4" w:rsidRPr="00990B8A" w:rsidRDefault="000877C4" w:rsidP="00B66A4A">
      <w:pPr>
        <w:pStyle w:val="ListParagraph"/>
        <w:numPr>
          <w:ilvl w:val="0"/>
          <w:numId w:val="46"/>
        </w:numPr>
        <w:spacing w:after="200"/>
        <w:ind w:left="1134" w:hanging="567"/>
        <w:jc w:val="both"/>
        <w:rPr>
          <w:rFonts w:ascii="Arial" w:hAnsi="Arial" w:cs="Arial"/>
          <w:sz w:val="20"/>
          <w:szCs w:val="20"/>
        </w:rPr>
      </w:pPr>
      <w:r w:rsidRPr="00990B8A">
        <w:rPr>
          <w:rFonts w:ascii="Arial" w:hAnsi="Arial" w:cs="Arial"/>
          <w:sz w:val="20"/>
          <w:szCs w:val="20"/>
        </w:rPr>
        <w:t>A weighted system has been introduced to better approximate the actual work required to process the six categories of documents, taking into account that certain of these documents are more labor-intensive than others.</w:t>
      </w:r>
      <w:r w:rsidRPr="00990B8A">
        <w:rPr>
          <w:rStyle w:val="FootnoteReference"/>
          <w:rFonts w:ascii="Arial" w:hAnsi="Arial" w:cs="Arial"/>
          <w:sz w:val="20"/>
          <w:szCs w:val="20"/>
        </w:rPr>
        <w:footnoteReference w:id="25"/>
      </w:r>
    </w:p>
    <w:p w14:paraId="00787A21" w14:textId="77777777" w:rsidR="000877C4" w:rsidRPr="00990B8A" w:rsidRDefault="000877C4" w:rsidP="005A1F7F">
      <w:pPr>
        <w:pStyle w:val="ListParagraph"/>
        <w:ind w:left="1134" w:hanging="567"/>
        <w:jc w:val="both"/>
        <w:rPr>
          <w:rFonts w:ascii="Arial" w:hAnsi="Arial" w:cs="Arial"/>
          <w:sz w:val="20"/>
          <w:szCs w:val="20"/>
        </w:rPr>
      </w:pPr>
    </w:p>
    <w:p w14:paraId="28F1E21C" w14:textId="77777777" w:rsidR="000877C4" w:rsidRPr="00990B8A" w:rsidRDefault="000877C4" w:rsidP="00B66A4A">
      <w:pPr>
        <w:pStyle w:val="ListParagraph"/>
        <w:numPr>
          <w:ilvl w:val="0"/>
          <w:numId w:val="46"/>
        </w:numPr>
        <w:spacing w:after="200"/>
        <w:ind w:left="1134" w:hanging="567"/>
        <w:jc w:val="both"/>
        <w:rPr>
          <w:rFonts w:ascii="Arial" w:hAnsi="Arial" w:cs="Arial"/>
          <w:sz w:val="20"/>
          <w:szCs w:val="20"/>
        </w:rPr>
      </w:pPr>
      <w:r w:rsidRPr="00990B8A">
        <w:rPr>
          <w:rFonts w:ascii="Arial" w:hAnsi="Arial" w:cs="Arial"/>
          <w:sz w:val="20"/>
          <w:szCs w:val="20"/>
        </w:rPr>
        <w:t xml:space="preserve">The first unit cost has been redefined to include only new international registrations and renewals (the unit cost in the Program and Budget 2014/15 also included subsequent designations). </w:t>
      </w:r>
      <w:r>
        <w:rPr>
          <w:rFonts w:ascii="Arial" w:hAnsi="Arial" w:cs="Arial"/>
          <w:sz w:val="20"/>
          <w:szCs w:val="20"/>
        </w:rPr>
        <w:t xml:space="preserve"> </w:t>
      </w:r>
      <w:r w:rsidRPr="00990B8A">
        <w:rPr>
          <w:rFonts w:ascii="Arial" w:hAnsi="Arial" w:cs="Arial"/>
          <w:sz w:val="20"/>
          <w:szCs w:val="20"/>
        </w:rPr>
        <w:t xml:space="preserve">The rationale for removing subsequent designations as a component of this unit cost is a sharper focus on the core Madrid outputs, namely the international registration and its renewal. </w:t>
      </w:r>
      <w:r>
        <w:rPr>
          <w:rFonts w:ascii="Arial" w:hAnsi="Arial" w:cs="Arial"/>
          <w:sz w:val="20"/>
          <w:szCs w:val="20"/>
        </w:rPr>
        <w:t xml:space="preserve"> </w:t>
      </w:r>
      <w:r w:rsidRPr="00990B8A">
        <w:rPr>
          <w:rFonts w:ascii="Arial" w:hAnsi="Arial" w:cs="Arial"/>
          <w:sz w:val="20"/>
          <w:szCs w:val="20"/>
        </w:rPr>
        <w:t xml:space="preserve">All other Madrid transactions (subsequent designations, </w:t>
      </w:r>
      <w:r w:rsidRPr="00990B8A">
        <w:rPr>
          <w:rFonts w:ascii="Arial" w:hAnsi="Arial" w:cs="Arial"/>
          <w:sz w:val="20"/>
          <w:szCs w:val="20"/>
        </w:rPr>
        <w:lastRenderedPageBreak/>
        <w:t>modifications, decisions and corrections) can be considered secondary to these two core transactions.  Furthermore, there is no real justification for including one of these secondary transactions as a component of unit costs, while not including the others.</w:t>
      </w:r>
    </w:p>
    <w:p w14:paraId="627C26C2" w14:textId="77777777" w:rsidR="000877C4" w:rsidRPr="00990B8A" w:rsidRDefault="000877C4" w:rsidP="005A1F7F">
      <w:pPr>
        <w:pStyle w:val="ListParagraph"/>
        <w:ind w:left="1134" w:hanging="567"/>
        <w:rPr>
          <w:rFonts w:ascii="Arial" w:hAnsi="Arial" w:cs="Arial"/>
          <w:sz w:val="20"/>
          <w:szCs w:val="20"/>
        </w:rPr>
      </w:pPr>
    </w:p>
    <w:p w14:paraId="4FE7DCF8" w14:textId="77777777" w:rsidR="000877C4" w:rsidRDefault="000877C4" w:rsidP="00B66A4A">
      <w:pPr>
        <w:pStyle w:val="ListParagraph"/>
        <w:numPr>
          <w:ilvl w:val="0"/>
          <w:numId w:val="46"/>
        </w:numPr>
        <w:ind w:left="1134" w:hanging="567"/>
        <w:jc w:val="both"/>
        <w:rPr>
          <w:rFonts w:ascii="Arial" w:hAnsi="Arial" w:cs="Arial"/>
          <w:sz w:val="20"/>
          <w:szCs w:val="20"/>
        </w:rPr>
      </w:pPr>
      <w:r w:rsidRPr="00990B8A">
        <w:rPr>
          <w:rFonts w:ascii="Arial" w:hAnsi="Arial" w:cs="Arial"/>
          <w:sz w:val="20"/>
          <w:szCs w:val="20"/>
        </w:rPr>
        <w:t>The second unit cost is based on the number of documents inscribed in the register rather than the number of inscriptions due to the different levels of efforts required to process the various documents.</w:t>
      </w:r>
    </w:p>
    <w:p w14:paraId="0D14FB53" w14:textId="77777777" w:rsidR="000877C4" w:rsidRPr="0043175E" w:rsidRDefault="000877C4" w:rsidP="005A1F7F">
      <w:pPr>
        <w:jc w:val="both"/>
        <w:rPr>
          <w:rFonts w:ascii="Arial" w:hAnsi="Arial" w:cs="Arial"/>
          <w:sz w:val="20"/>
          <w:szCs w:val="20"/>
        </w:rPr>
      </w:pPr>
    </w:p>
    <w:p w14:paraId="78FA61D6"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For ease of comparison, the graphs below depict the evolution of the two unit costs from 2008 to 2014 using the old methodology and from 2012 to 2014 using the new methodology, including a breakdown of the contribution of direct and indirect costs.</w:t>
      </w:r>
    </w:p>
    <w:p w14:paraId="388841E8" w14:textId="77777777" w:rsidR="000877C4" w:rsidRPr="00990B8A" w:rsidRDefault="000877C4" w:rsidP="005A1F7F">
      <w:pPr>
        <w:jc w:val="both"/>
        <w:rPr>
          <w:rFonts w:ascii="Arial" w:hAnsi="Arial" w:cs="Arial"/>
          <w:sz w:val="20"/>
          <w:szCs w:val="20"/>
        </w:rPr>
      </w:pPr>
    </w:p>
    <w:p w14:paraId="5E554229"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t>Unit cost per new/renewed international registration</w:t>
      </w:r>
    </w:p>
    <w:p w14:paraId="07D819C8" w14:textId="77777777" w:rsidR="000877C4" w:rsidRPr="00990B8A" w:rsidRDefault="000877C4" w:rsidP="005A1F7F">
      <w:pPr>
        <w:jc w:val="both"/>
        <w:rPr>
          <w:rFonts w:ascii="Arial" w:hAnsi="Arial" w:cs="Arial"/>
          <w:sz w:val="20"/>
          <w:szCs w:val="20"/>
        </w:rPr>
      </w:pPr>
    </w:p>
    <w:p w14:paraId="0861BCF1"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New international registrations consist of applications that are registered within a given year, and renewed international registrations consist of existing registrations that are renewed within a given year. Combined, these two types of transactions reflect the core business of the IB.</w:t>
      </w:r>
    </w:p>
    <w:p w14:paraId="289A0E44" w14:textId="77777777" w:rsidR="000877C4" w:rsidRPr="00990B8A" w:rsidRDefault="000877C4" w:rsidP="005A1F7F">
      <w:pPr>
        <w:jc w:val="both"/>
        <w:rPr>
          <w:rFonts w:ascii="Arial" w:hAnsi="Arial" w:cs="Arial"/>
          <w:sz w:val="20"/>
          <w:szCs w:val="20"/>
        </w:rPr>
      </w:pPr>
    </w:p>
    <w:p w14:paraId="392220B1"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As processing these two types of transactions do not require equal resources, they are each weighted differently.</w:t>
      </w:r>
      <w:r w:rsidRPr="00990B8A">
        <w:rPr>
          <w:rStyle w:val="FootnoteReference"/>
          <w:rFonts w:ascii="Arial" w:hAnsi="Arial" w:cs="Arial"/>
          <w:sz w:val="20"/>
          <w:szCs w:val="20"/>
        </w:rPr>
        <w:t xml:space="preserve"> </w:t>
      </w:r>
      <w:r w:rsidRPr="00990B8A">
        <w:rPr>
          <w:rStyle w:val="FootnoteReference"/>
          <w:rFonts w:ascii="Arial" w:hAnsi="Arial" w:cs="Arial"/>
          <w:sz w:val="20"/>
          <w:szCs w:val="20"/>
        </w:rPr>
        <w:footnoteReference w:id="26"/>
      </w:r>
      <w:r w:rsidRPr="00990B8A">
        <w:rPr>
          <w:rFonts w:ascii="Arial" w:hAnsi="Arial" w:cs="Arial"/>
          <w:sz w:val="20"/>
          <w:szCs w:val="20"/>
        </w:rPr>
        <w:t xml:space="preserve"> The unit cost is calculated by dividing the total cost of production by the number of new/renewed international registrations.  </w:t>
      </w:r>
    </w:p>
    <w:p w14:paraId="6D4D05E8" w14:textId="77777777" w:rsidR="000877C4" w:rsidRPr="00990B8A" w:rsidRDefault="000877C4" w:rsidP="005A1F7F">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331"/>
      </w:tblGrid>
      <w:tr w:rsidR="000877C4" w:rsidRPr="00990B8A" w14:paraId="6C6D5BC9" w14:textId="77777777" w:rsidTr="00976F9F">
        <w:trPr>
          <w:cantSplit/>
        </w:trPr>
        <w:tc>
          <w:tcPr>
            <w:tcW w:w="4788" w:type="dxa"/>
            <w:tcBorders>
              <w:top w:val="single" w:sz="4" w:space="0" w:color="auto"/>
              <w:left w:val="single" w:sz="4" w:space="0" w:color="auto"/>
              <w:bottom w:val="single" w:sz="4" w:space="0" w:color="auto"/>
              <w:right w:val="single" w:sz="4" w:space="0" w:color="auto"/>
            </w:tcBorders>
          </w:tcPr>
          <w:p w14:paraId="3EE88CCB" w14:textId="77777777" w:rsidR="000877C4" w:rsidRPr="00990B8A" w:rsidRDefault="000877C4" w:rsidP="005A1F7F">
            <w:pPr>
              <w:jc w:val="center"/>
              <w:rPr>
                <w:rFonts w:ascii="Arial" w:hAnsi="Arial" w:cs="Arial"/>
              </w:rPr>
            </w:pPr>
            <w:r w:rsidRPr="00990B8A">
              <w:rPr>
                <w:rFonts w:ascii="Arial" w:hAnsi="Arial" w:cs="Arial"/>
              </w:rPr>
              <w:t>Old method</w:t>
            </w:r>
          </w:p>
        </w:tc>
        <w:tc>
          <w:tcPr>
            <w:tcW w:w="4788" w:type="dxa"/>
            <w:tcBorders>
              <w:top w:val="single" w:sz="4" w:space="0" w:color="auto"/>
              <w:left w:val="single" w:sz="4" w:space="0" w:color="auto"/>
              <w:bottom w:val="single" w:sz="4" w:space="0" w:color="auto"/>
              <w:right w:val="single" w:sz="4" w:space="0" w:color="auto"/>
            </w:tcBorders>
          </w:tcPr>
          <w:p w14:paraId="7A6E16CB" w14:textId="77777777" w:rsidR="000877C4" w:rsidRPr="00990B8A" w:rsidRDefault="000877C4" w:rsidP="005A1F7F">
            <w:pPr>
              <w:jc w:val="center"/>
              <w:rPr>
                <w:rFonts w:ascii="Arial" w:hAnsi="Arial" w:cs="Arial"/>
              </w:rPr>
            </w:pPr>
            <w:r w:rsidRPr="00990B8A">
              <w:rPr>
                <w:rFonts w:ascii="Arial" w:hAnsi="Arial" w:cs="Arial"/>
              </w:rPr>
              <w:t>New method</w:t>
            </w:r>
          </w:p>
        </w:tc>
      </w:tr>
      <w:tr w:rsidR="000877C4" w:rsidRPr="00990B8A" w14:paraId="370ACEE5" w14:textId="77777777" w:rsidTr="00976F9F">
        <w:trPr>
          <w:cantSplit/>
        </w:trPr>
        <w:tc>
          <w:tcPr>
            <w:tcW w:w="4788" w:type="dxa"/>
            <w:tcBorders>
              <w:top w:val="single" w:sz="4" w:space="0" w:color="auto"/>
              <w:bottom w:val="single" w:sz="4" w:space="0" w:color="auto"/>
            </w:tcBorders>
          </w:tcPr>
          <w:p w14:paraId="3A671964" w14:textId="77777777" w:rsidR="000877C4" w:rsidRPr="00990B8A" w:rsidRDefault="000877C4" w:rsidP="005A1F7F">
            <w:pPr>
              <w:jc w:val="center"/>
              <w:rPr>
                <w:rFonts w:ascii="Arial" w:hAnsi="Arial" w:cs="Arial"/>
              </w:rPr>
            </w:pPr>
            <w:r w:rsidRPr="00990B8A">
              <w:rPr>
                <w:rFonts w:ascii="Arial" w:hAnsi="Arial" w:cs="Arial"/>
                <w:noProof/>
              </w:rPr>
              <w:drawing>
                <wp:inline distT="0" distB="0" distL="0" distR="0" wp14:anchorId="5A0CF694" wp14:editId="3E5C6874">
                  <wp:extent cx="3096666" cy="1999654"/>
                  <wp:effectExtent l="0" t="0" r="8890"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3097809" cy="2000392"/>
                          </a:xfrm>
                          <a:prstGeom prst="rect">
                            <a:avLst/>
                          </a:prstGeom>
                          <a:noFill/>
                        </pic:spPr>
                      </pic:pic>
                    </a:graphicData>
                  </a:graphic>
                </wp:inline>
              </w:drawing>
            </w:r>
          </w:p>
        </w:tc>
        <w:tc>
          <w:tcPr>
            <w:tcW w:w="4788" w:type="dxa"/>
            <w:tcBorders>
              <w:top w:val="single" w:sz="4" w:space="0" w:color="auto"/>
              <w:bottom w:val="single" w:sz="4" w:space="0" w:color="auto"/>
            </w:tcBorders>
          </w:tcPr>
          <w:p w14:paraId="2045F669" w14:textId="77777777" w:rsidR="000877C4" w:rsidRPr="00990B8A" w:rsidRDefault="000877C4" w:rsidP="005A1F7F">
            <w:pPr>
              <w:jc w:val="center"/>
              <w:rPr>
                <w:rFonts w:ascii="Arial" w:hAnsi="Arial" w:cs="Arial"/>
              </w:rPr>
            </w:pPr>
            <w:r w:rsidRPr="00990B8A">
              <w:rPr>
                <w:rFonts w:ascii="Arial" w:hAnsi="Arial" w:cs="Arial"/>
                <w:noProof/>
              </w:rPr>
              <w:drawing>
                <wp:inline distT="0" distB="0" distL="0" distR="0" wp14:anchorId="7A1FF810" wp14:editId="0AB4E07E">
                  <wp:extent cx="2695575" cy="2073083"/>
                  <wp:effectExtent l="0" t="0" r="0" b="381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2705200" cy="2080485"/>
                          </a:xfrm>
                          <a:prstGeom prst="rect">
                            <a:avLst/>
                          </a:prstGeom>
                          <a:noFill/>
                        </pic:spPr>
                      </pic:pic>
                    </a:graphicData>
                  </a:graphic>
                </wp:inline>
              </w:drawing>
            </w:r>
          </w:p>
        </w:tc>
      </w:tr>
    </w:tbl>
    <w:p w14:paraId="34AFFC3C" w14:textId="77777777" w:rsidR="000877C4" w:rsidRPr="00990B8A" w:rsidRDefault="000877C4" w:rsidP="005A1F7F">
      <w:pPr>
        <w:rPr>
          <w:rFonts w:ascii="Arial" w:hAnsi="Arial" w:cs="Arial"/>
        </w:rPr>
      </w:pPr>
    </w:p>
    <w:p w14:paraId="5E6C69DA" w14:textId="2768C595" w:rsidR="000877C4" w:rsidRPr="00990B8A" w:rsidRDefault="000877C4" w:rsidP="00B66A4A">
      <w:pPr>
        <w:pStyle w:val="ListParagraph"/>
        <w:numPr>
          <w:ilvl w:val="0"/>
          <w:numId w:val="49"/>
        </w:numPr>
        <w:ind w:left="851" w:hanging="284"/>
        <w:jc w:val="both"/>
        <w:rPr>
          <w:rFonts w:ascii="Arial" w:hAnsi="Arial" w:cs="Arial"/>
          <w:sz w:val="20"/>
          <w:szCs w:val="20"/>
        </w:rPr>
      </w:pPr>
      <w:r w:rsidRPr="00990B8A">
        <w:rPr>
          <w:rFonts w:ascii="Arial" w:hAnsi="Arial" w:cs="Arial"/>
          <w:sz w:val="20"/>
          <w:szCs w:val="20"/>
        </w:rPr>
        <w:t xml:space="preserve">The average cost of processing a new/renewed international registration was 837 Swiss </w:t>
      </w:r>
      <w:r>
        <w:rPr>
          <w:rFonts w:ascii="Arial" w:hAnsi="Arial" w:cs="Arial"/>
          <w:sz w:val="20"/>
          <w:szCs w:val="20"/>
        </w:rPr>
        <w:t>f</w:t>
      </w:r>
      <w:r w:rsidRPr="00990B8A">
        <w:rPr>
          <w:rFonts w:ascii="Arial" w:hAnsi="Arial" w:cs="Arial"/>
          <w:sz w:val="20"/>
          <w:szCs w:val="20"/>
        </w:rPr>
        <w:t>rancs in 2014. This represents an increase of 2.6 per cent compared to 2013. The increase was mainly due to a processing cost that remained relatively stable, combined with a decrease of 4.5 per cent in the number of international applications registered.</w:t>
      </w:r>
    </w:p>
    <w:p w14:paraId="0025CB28" w14:textId="77777777" w:rsidR="000877C4" w:rsidRPr="00990B8A" w:rsidRDefault="000877C4" w:rsidP="005A1F7F">
      <w:pPr>
        <w:keepNext/>
        <w:keepLines/>
        <w:jc w:val="center"/>
        <w:rPr>
          <w:rFonts w:ascii="Arial" w:hAnsi="Arial" w:cs="Arial"/>
          <w:sz w:val="20"/>
          <w:szCs w:val="20"/>
        </w:rPr>
      </w:pPr>
    </w:p>
    <w:p w14:paraId="44EF73C8" w14:textId="77777777" w:rsidR="000877C4" w:rsidRPr="009049DD" w:rsidRDefault="000877C4" w:rsidP="005A1F7F">
      <w:pPr>
        <w:pStyle w:val="ListParagraph"/>
        <w:keepNext/>
        <w:keepLines/>
        <w:tabs>
          <w:tab w:val="left" w:pos="1701"/>
        </w:tabs>
        <w:ind w:left="567"/>
        <w:jc w:val="both"/>
        <w:rPr>
          <w:rFonts w:ascii="Arial" w:hAnsi="Arial" w:cs="Arial"/>
          <w:i/>
          <w:sz w:val="20"/>
          <w:szCs w:val="20"/>
        </w:rPr>
      </w:pPr>
      <w:r w:rsidRPr="009049DD">
        <w:rPr>
          <w:rFonts w:ascii="Arial" w:hAnsi="Arial" w:cs="Arial"/>
          <w:i/>
          <w:sz w:val="20"/>
          <w:szCs w:val="20"/>
        </w:rPr>
        <w:t>Unit cost per document inscribed in the register</w:t>
      </w:r>
    </w:p>
    <w:p w14:paraId="3139869E" w14:textId="77777777" w:rsidR="000877C4" w:rsidRPr="00990B8A" w:rsidRDefault="000877C4" w:rsidP="005A1F7F">
      <w:pPr>
        <w:keepNext/>
        <w:keepLines/>
        <w:jc w:val="both"/>
        <w:rPr>
          <w:rFonts w:ascii="Arial" w:hAnsi="Arial" w:cs="Arial"/>
          <w:sz w:val="20"/>
          <w:szCs w:val="20"/>
        </w:rPr>
      </w:pPr>
    </w:p>
    <w:p w14:paraId="06EE1DCA" w14:textId="77777777" w:rsidR="000877C4" w:rsidRPr="00990B8A" w:rsidRDefault="000877C4" w:rsidP="00B66A4A">
      <w:pPr>
        <w:pStyle w:val="ListParagraph"/>
        <w:keepNext/>
        <w:keepLines/>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 xml:space="preserve">The documents inscribed in the register correspond to the total volume of workload (see “Total volume of workload” above). </w:t>
      </w:r>
    </w:p>
    <w:p w14:paraId="77F97F4F" w14:textId="77777777" w:rsidR="000877C4" w:rsidRPr="00990B8A" w:rsidRDefault="000877C4" w:rsidP="005A1F7F">
      <w:pPr>
        <w:keepNext/>
        <w:keepLines/>
        <w:jc w:val="center"/>
        <w:rPr>
          <w:rFonts w:ascii="Arial" w:hAnsi="Arial" w:cs="Arial"/>
        </w:rPr>
      </w:pPr>
    </w:p>
    <w:tbl>
      <w:tblPr>
        <w:tblStyle w:val="TableGrid"/>
        <w:tblW w:w="9606"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77"/>
        <w:gridCol w:w="4429"/>
      </w:tblGrid>
      <w:tr w:rsidR="000877C4" w:rsidRPr="00990B8A" w14:paraId="03B1FE02" w14:textId="77777777" w:rsidTr="00976F9F">
        <w:trPr>
          <w:cantSplit/>
          <w:trHeight w:val="273"/>
        </w:trPr>
        <w:tc>
          <w:tcPr>
            <w:tcW w:w="5177" w:type="dxa"/>
            <w:tcBorders>
              <w:top w:val="single" w:sz="4" w:space="0" w:color="auto"/>
              <w:left w:val="single" w:sz="4" w:space="0" w:color="auto"/>
              <w:bottom w:val="single" w:sz="4" w:space="0" w:color="auto"/>
              <w:right w:val="single" w:sz="4" w:space="0" w:color="auto"/>
            </w:tcBorders>
          </w:tcPr>
          <w:p w14:paraId="3995EAFE" w14:textId="77777777" w:rsidR="000877C4" w:rsidRPr="00990B8A" w:rsidRDefault="000877C4" w:rsidP="005A1F7F">
            <w:pPr>
              <w:keepNext/>
              <w:keepLines/>
              <w:jc w:val="center"/>
              <w:rPr>
                <w:rFonts w:ascii="Arial" w:hAnsi="Arial" w:cs="Arial"/>
              </w:rPr>
            </w:pPr>
            <w:r w:rsidRPr="00990B8A">
              <w:rPr>
                <w:rFonts w:ascii="Arial" w:hAnsi="Arial" w:cs="Arial"/>
              </w:rPr>
              <w:t>Old method</w:t>
            </w:r>
          </w:p>
        </w:tc>
        <w:tc>
          <w:tcPr>
            <w:tcW w:w="4429" w:type="dxa"/>
            <w:tcBorders>
              <w:top w:val="single" w:sz="4" w:space="0" w:color="auto"/>
              <w:left w:val="single" w:sz="4" w:space="0" w:color="auto"/>
              <w:bottom w:val="single" w:sz="4" w:space="0" w:color="auto"/>
              <w:right w:val="single" w:sz="4" w:space="0" w:color="auto"/>
            </w:tcBorders>
          </w:tcPr>
          <w:p w14:paraId="4764DE53" w14:textId="77777777" w:rsidR="000877C4" w:rsidRPr="00990B8A" w:rsidRDefault="000877C4" w:rsidP="005A1F7F">
            <w:pPr>
              <w:keepNext/>
              <w:keepLines/>
              <w:jc w:val="center"/>
              <w:rPr>
                <w:rFonts w:ascii="Arial" w:hAnsi="Arial" w:cs="Arial"/>
              </w:rPr>
            </w:pPr>
            <w:r w:rsidRPr="00990B8A">
              <w:rPr>
                <w:rFonts w:ascii="Arial" w:hAnsi="Arial" w:cs="Arial"/>
              </w:rPr>
              <w:t>New method</w:t>
            </w:r>
          </w:p>
        </w:tc>
      </w:tr>
      <w:tr w:rsidR="000877C4" w:rsidRPr="00990B8A" w14:paraId="0B3DF17B" w14:textId="77777777" w:rsidTr="00976F9F">
        <w:trPr>
          <w:cantSplit/>
          <w:trHeight w:val="3013"/>
        </w:trPr>
        <w:tc>
          <w:tcPr>
            <w:tcW w:w="5177" w:type="dxa"/>
            <w:tcBorders>
              <w:top w:val="single" w:sz="4" w:space="0" w:color="auto"/>
            </w:tcBorders>
          </w:tcPr>
          <w:p w14:paraId="5E6A3CC3" w14:textId="77777777" w:rsidR="000877C4" w:rsidRPr="00990B8A" w:rsidRDefault="000877C4" w:rsidP="005A1F7F">
            <w:pPr>
              <w:keepNext/>
              <w:keepLines/>
              <w:jc w:val="center"/>
              <w:rPr>
                <w:rFonts w:ascii="Arial" w:hAnsi="Arial" w:cs="Arial"/>
              </w:rPr>
            </w:pPr>
            <w:r w:rsidRPr="00990B8A">
              <w:rPr>
                <w:rFonts w:ascii="Arial" w:hAnsi="Arial" w:cs="Arial"/>
                <w:noProof/>
              </w:rPr>
              <w:drawing>
                <wp:inline distT="0" distB="0" distL="0" distR="0" wp14:anchorId="3D713768" wp14:editId="3B677722">
                  <wp:extent cx="3150454" cy="2014416"/>
                  <wp:effectExtent l="0" t="0" r="0"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3154922" cy="2017273"/>
                          </a:xfrm>
                          <a:prstGeom prst="rect">
                            <a:avLst/>
                          </a:prstGeom>
                          <a:noFill/>
                        </pic:spPr>
                      </pic:pic>
                    </a:graphicData>
                  </a:graphic>
                </wp:inline>
              </w:drawing>
            </w:r>
          </w:p>
        </w:tc>
        <w:tc>
          <w:tcPr>
            <w:tcW w:w="4429" w:type="dxa"/>
            <w:tcBorders>
              <w:top w:val="single" w:sz="4" w:space="0" w:color="auto"/>
            </w:tcBorders>
          </w:tcPr>
          <w:p w14:paraId="2CA9DADC" w14:textId="77777777" w:rsidR="000877C4" w:rsidRPr="00990B8A" w:rsidRDefault="000877C4" w:rsidP="005A1F7F">
            <w:pPr>
              <w:keepNext/>
              <w:keepLines/>
              <w:jc w:val="center"/>
              <w:rPr>
                <w:rFonts w:ascii="Arial" w:hAnsi="Arial" w:cs="Arial"/>
              </w:rPr>
            </w:pPr>
            <w:r w:rsidRPr="00990B8A">
              <w:rPr>
                <w:rFonts w:ascii="Arial" w:hAnsi="Arial" w:cs="Arial"/>
                <w:noProof/>
              </w:rPr>
              <w:drawing>
                <wp:inline distT="0" distB="0" distL="0" distR="0" wp14:anchorId="0B5231D7" wp14:editId="6B4EBA74">
                  <wp:extent cx="2723279" cy="2036125"/>
                  <wp:effectExtent l="0" t="0" r="1270" b="254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731244" cy="2042080"/>
                          </a:xfrm>
                          <a:prstGeom prst="rect">
                            <a:avLst/>
                          </a:prstGeom>
                          <a:noFill/>
                        </pic:spPr>
                      </pic:pic>
                    </a:graphicData>
                  </a:graphic>
                </wp:inline>
              </w:drawing>
            </w:r>
          </w:p>
        </w:tc>
      </w:tr>
    </w:tbl>
    <w:p w14:paraId="6265C111" w14:textId="77777777" w:rsidR="000877C4" w:rsidRPr="00990B8A" w:rsidRDefault="000877C4" w:rsidP="005A1F7F">
      <w:pPr>
        <w:keepNext/>
        <w:keepLines/>
        <w:jc w:val="center"/>
        <w:rPr>
          <w:rFonts w:ascii="Arial" w:hAnsi="Arial" w:cs="Arial"/>
        </w:rPr>
      </w:pPr>
    </w:p>
    <w:p w14:paraId="74AC8AA8" w14:textId="77777777" w:rsidR="000877C4" w:rsidRPr="00990B8A" w:rsidRDefault="000877C4" w:rsidP="00B66A4A">
      <w:pPr>
        <w:pStyle w:val="ListParagraph"/>
        <w:keepNext/>
        <w:keepLines/>
        <w:numPr>
          <w:ilvl w:val="0"/>
          <w:numId w:val="49"/>
        </w:numPr>
        <w:jc w:val="both"/>
        <w:rPr>
          <w:rFonts w:ascii="Arial" w:hAnsi="Arial" w:cs="Arial"/>
          <w:sz w:val="20"/>
          <w:szCs w:val="20"/>
        </w:rPr>
      </w:pPr>
      <w:r w:rsidRPr="00990B8A">
        <w:rPr>
          <w:rFonts w:ascii="Arial" w:hAnsi="Arial" w:cs="Arial"/>
          <w:sz w:val="20"/>
          <w:szCs w:val="20"/>
        </w:rPr>
        <w:t xml:space="preserve">The average cost of inscribing a document in the register increased slightly from 320 </w:t>
      </w:r>
      <w:r>
        <w:rPr>
          <w:rFonts w:ascii="Arial" w:hAnsi="Arial" w:cs="Arial"/>
          <w:sz w:val="20"/>
          <w:szCs w:val="20"/>
        </w:rPr>
        <w:t>Swiss francs</w:t>
      </w:r>
      <w:r w:rsidRPr="00990B8A">
        <w:rPr>
          <w:rFonts w:ascii="Arial" w:hAnsi="Arial" w:cs="Arial"/>
          <w:sz w:val="20"/>
          <w:szCs w:val="20"/>
        </w:rPr>
        <w:t xml:space="preserve"> in 2012 to 322 </w:t>
      </w:r>
      <w:r>
        <w:rPr>
          <w:rFonts w:ascii="Arial" w:hAnsi="Arial" w:cs="Arial"/>
          <w:sz w:val="20"/>
          <w:szCs w:val="20"/>
        </w:rPr>
        <w:t>Swiss francs</w:t>
      </w:r>
      <w:r w:rsidRPr="00990B8A">
        <w:rPr>
          <w:rFonts w:ascii="Arial" w:hAnsi="Arial" w:cs="Arial"/>
          <w:sz w:val="20"/>
          <w:szCs w:val="20"/>
        </w:rPr>
        <w:t xml:space="preserve"> in 2014. </w:t>
      </w:r>
    </w:p>
    <w:p w14:paraId="1A5034F0" w14:textId="77777777" w:rsidR="000877C4" w:rsidRPr="00990B8A" w:rsidRDefault="000877C4" w:rsidP="005A1F7F">
      <w:pPr>
        <w:pStyle w:val="ListParagraph"/>
        <w:ind w:left="1417"/>
        <w:jc w:val="both"/>
        <w:rPr>
          <w:rFonts w:ascii="Arial" w:hAnsi="Arial" w:cs="Arial"/>
          <w:sz w:val="20"/>
          <w:szCs w:val="20"/>
        </w:rPr>
      </w:pPr>
    </w:p>
    <w:p w14:paraId="120B8FDD" w14:textId="77777777" w:rsidR="000877C4" w:rsidRPr="00990B8A" w:rsidRDefault="000877C4" w:rsidP="005A1F7F">
      <w:pPr>
        <w:jc w:val="both"/>
        <w:rPr>
          <w:rFonts w:ascii="Arial" w:hAnsi="Arial" w:cs="Arial"/>
          <w:sz w:val="20"/>
          <w:szCs w:val="20"/>
        </w:rPr>
      </w:pPr>
    </w:p>
    <w:p w14:paraId="609ADF5C" w14:textId="77777777" w:rsidR="000877C4" w:rsidRPr="00641133" w:rsidRDefault="000877C4" w:rsidP="00B66A4A">
      <w:pPr>
        <w:pStyle w:val="ListParagraph"/>
        <w:numPr>
          <w:ilvl w:val="0"/>
          <w:numId w:val="44"/>
        </w:numPr>
        <w:ind w:left="567" w:hanging="567"/>
        <w:jc w:val="both"/>
        <w:rPr>
          <w:rFonts w:ascii="Arial" w:hAnsi="Arial" w:cs="Arial"/>
          <w:b/>
          <w:sz w:val="20"/>
          <w:szCs w:val="20"/>
        </w:rPr>
      </w:pPr>
      <w:r w:rsidRPr="00641133">
        <w:rPr>
          <w:rFonts w:ascii="Arial" w:hAnsi="Arial" w:cs="Arial"/>
          <w:b/>
          <w:sz w:val="20"/>
          <w:szCs w:val="20"/>
        </w:rPr>
        <w:t>Productivity of examination</w:t>
      </w:r>
    </w:p>
    <w:p w14:paraId="3077B09A" w14:textId="77777777" w:rsidR="000877C4" w:rsidRPr="00990B8A" w:rsidRDefault="000877C4" w:rsidP="005A1F7F">
      <w:pPr>
        <w:jc w:val="both"/>
        <w:rPr>
          <w:rFonts w:ascii="Arial" w:hAnsi="Arial" w:cs="Arial"/>
          <w:sz w:val="20"/>
          <w:szCs w:val="20"/>
        </w:rPr>
      </w:pPr>
    </w:p>
    <w:p w14:paraId="7ABED829"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definition of examination productivity is the number of new/renewed international registrations processed by examiners divided by the number of personnel involved in examination.</w:t>
      </w:r>
      <w:r w:rsidRPr="00990B8A">
        <w:rPr>
          <w:rStyle w:val="FootnoteReference"/>
          <w:rFonts w:ascii="Arial" w:hAnsi="Arial" w:cs="Arial"/>
          <w:sz w:val="20"/>
          <w:szCs w:val="20"/>
        </w:rPr>
        <w:t xml:space="preserve"> </w:t>
      </w:r>
      <w:r>
        <w:rPr>
          <w:rFonts w:ascii="Arial" w:hAnsi="Arial" w:cs="Arial"/>
          <w:sz w:val="20"/>
          <w:szCs w:val="20"/>
        </w:rPr>
        <w:t xml:space="preserve"> </w:t>
      </w:r>
      <w:r w:rsidRPr="00990B8A">
        <w:rPr>
          <w:rFonts w:ascii="Arial" w:hAnsi="Arial" w:cs="Arial"/>
          <w:sz w:val="20"/>
          <w:szCs w:val="20"/>
        </w:rPr>
        <w:t xml:space="preserve">The number of personnel includes fellows, interns and external contractors. </w:t>
      </w:r>
    </w:p>
    <w:p w14:paraId="0677A365" w14:textId="77777777" w:rsidR="000877C4" w:rsidRPr="00990B8A" w:rsidRDefault="000877C4" w:rsidP="005A1F7F">
      <w:pPr>
        <w:jc w:val="both"/>
        <w:rPr>
          <w:rFonts w:ascii="Arial" w:hAnsi="Arial" w:cs="Arial"/>
          <w:noProof/>
        </w:rPr>
      </w:pPr>
    </w:p>
    <w:p w14:paraId="36C40EF7" w14:textId="77777777" w:rsidR="000877C4" w:rsidRPr="00990B8A" w:rsidRDefault="000877C4" w:rsidP="005A1F7F">
      <w:pPr>
        <w:jc w:val="center"/>
        <w:rPr>
          <w:rFonts w:ascii="Arial" w:hAnsi="Arial" w:cs="Arial"/>
        </w:rPr>
      </w:pPr>
      <w:r w:rsidRPr="00990B8A">
        <w:rPr>
          <w:rFonts w:ascii="Arial" w:hAnsi="Arial" w:cs="Arial"/>
          <w:noProof/>
          <w:lang w:eastAsia="en-US"/>
        </w:rPr>
        <w:drawing>
          <wp:inline distT="0" distB="0" distL="0" distR="0" wp14:anchorId="4653DA91" wp14:editId="11EE226A">
            <wp:extent cx="5362575" cy="259896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5368058" cy="2601618"/>
                    </a:xfrm>
                    <a:prstGeom prst="rect">
                      <a:avLst/>
                    </a:prstGeom>
                    <a:noFill/>
                  </pic:spPr>
                </pic:pic>
              </a:graphicData>
            </a:graphic>
          </wp:inline>
        </w:drawing>
      </w:r>
    </w:p>
    <w:p w14:paraId="1A7EF931" w14:textId="77777777" w:rsidR="000877C4" w:rsidRPr="00990B8A" w:rsidRDefault="000877C4" w:rsidP="005A1F7F">
      <w:pPr>
        <w:jc w:val="both"/>
        <w:rPr>
          <w:rFonts w:ascii="Arial" w:hAnsi="Arial" w:cs="Arial"/>
        </w:rPr>
      </w:pPr>
    </w:p>
    <w:p w14:paraId="142A9004" w14:textId="77777777" w:rsidR="000877C4" w:rsidRPr="00990B8A" w:rsidRDefault="000877C4" w:rsidP="00B66A4A">
      <w:pPr>
        <w:pStyle w:val="ListParagraph"/>
        <w:numPr>
          <w:ilvl w:val="0"/>
          <w:numId w:val="49"/>
        </w:numPr>
        <w:ind w:left="1134" w:hanging="567"/>
        <w:jc w:val="both"/>
        <w:rPr>
          <w:rFonts w:ascii="Arial" w:hAnsi="Arial" w:cs="Arial"/>
          <w:sz w:val="20"/>
          <w:szCs w:val="20"/>
        </w:rPr>
      </w:pPr>
      <w:r w:rsidRPr="00990B8A">
        <w:rPr>
          <w:rFonts w:ascii="Arial" w:hAnsi="Arial" w:cs="Arial"/>
          <w:sz w:val="20"/>
          <w:szCs w:val="20"/>
        </w:rPr>
        <w:t>The productivity of examination remained relatively stable in 2014 compared to 2013.</w:t>
      </w:r>
    </w:p>
    <w:p w14:paraId="3FE39A4F" w14:textId="77777777" w:rsidR="000877C4" w:rsidRPr="00990B8A" w:rsidRDefault="000877C4" w:rsidP="005A1F7F">
      <w:pPr>
        <w:pStyle w:val="ListParagraph"/>
        <w:jc w:val="both"/>
        <w:rPr>
          <w:rFonts w:ascii="Arial" w:hAnsi="Arial" w:cs="Arial"/>
          <w:sz w:val="20"/>
          <w:szCs w:val="20"/>
        </w:rPr>
      </w:pPr>
    </w:p>
    <w:p w14:paraId="19A38CA9" w14:textId="77777777" w:rsidR="000877C4" w:rsidRPr="00990B8A" w:rsidRDefault="000877C4" w:rsidP="005A1F7F">
      <w:pPr>
        <w:pStyle w:val="ListParagraph"/>
        <w:keepNext/>
        <w:keepLines/>
        <w:jc w:val="both"/>
        <w:rPr>
          <w:rFonts w:ascii="Arial" w:hAnsi="Arial" w:cs="Arial"/>
          <w:sz w:val="20"/>
          <w:szCs w:val="20"/>
        </w:rPr>
      </w:pPr>
    </w:p>
    <w:p w14:paraId="3257FF92" w14:textId="77777777" w:rsidR="000877C4" w:rsidRPr="00641133" w:rsidRDefault="000877C4" w:rsidP="00B66A4A">
      <w:pPr>
        <w:pStyle w:val="ListParagraph"/>
        <w:keepNext/>
        <w:keepLines/>
        <w:numPr>
          <w:ilvl w:val="0"/>
          <w:numId w:val="44"/>
        </w:numPr>
        <w:ind w:left="567" w:hanging="567"/>
        <w:jc w:val="both"/>
        <w:rPr>
          <w:rFonts w:ascii="Arial" w:hAnsi="Arial" w:cs="Arial"/>
          <w:b/>
          <w:sz w:val="20"/>
          <w:szCs w:val="20"/>
        </w:rPr>
      </w:pPr>
      <w:r w:rsidRPr="00641133">
        <w:rPr>
          <w:rFonts w:ascii="Arial" w:hAnsi="Arial" w:cs="Arial"/>
          <w:b/>
          <w:sz w:val="20"/>
          <w:szCs w:val="20"/>
        </w:rPr>
        <w:t>Personnel</w:t>
      </w:r>
    </w:p>
    <w:p w14:paraId="74F44526" w14:textId="77777777" w:rsidR="000877C4" w:rsidRPr="00990B8A" w:rsidRDefault="000877C4" w:rsidP="005A1F7F">
      <w:pPr>
        <w:pStyle w:val="ListParagraph"/>
        <w:keepNext/>
        <w:keepLines/>
        <w:ind w:left="1440"/>
        <w:jc w:val="both"/>
        <w:rPr>
          <w:rFonts w:ascii="Arial" w:hAnsi="Arial" w:cs="Arial"/>
          <w:sz w:val="20"/>
          <w:szCs w:val="20"/>
        </w:rPr>
      </w:pPr>
    </w:p>
    <w:p w14:paraId="5C1BDF9D" w14:textId="7E5D06D1" w:rsidR="000877C4" w:rsidRPr="00990B8A" w:rsidRDefault="000877C4" w:rsidP="008D4CE9">
      <w:pPr>
        <w:keepNext/>
        <w:keepLines/>
        <w:jc w:val="center"/>
        <w:rPr>
          <w:rFonts w:ascii="Arial" w:hAnsi="Arial" w:cs="Arial"/>
        </w:rPr>
      </w:pPr>
      <w:r w:rsidRPr="00990B8A">
        <w:rPr>
          <w:rFonts w:ascii="Arial" w:hAnsi="Arial" w:cs="Arial"/>
          <w:noProof/>
          <w:color w:val="FF0000"/>
          <w:lang w:eastAsia="en-US"/>
        </w:rPr>
        <w:drawing>
          <wp:inline distT="0" distB="0" distL="0" distR="0" wp14:anchorId="6030F373" wp14:editId="78E4AF95">
            <wp:extent cx="5143500" cy="2392748"/>
            <wp:effectExtent l="0" t="0" r="0" b="762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5146448" cy="2394119"/>
                    </a:xfrm>
                    <a:prstGeom prst="rect">
                      <a:avLst/>
                    </a:prstGeom>
                    <a:noFill/>
                  </pic:spPr>
                </pic:pic>
              </a:graphicData>
            </a:graphic>
          </wp:inline>
        </w:drawing>
      </w:r>
    </w:p>
    <w:p w14:paraId="345E7615" w14:textId="77777777" w:rsidR="000877C4" w:rsidRPr="00990B8A" w:rsidRDefault="000877C4" w:rsidP="00B66A4A">
      <w:pPr>
        <w:pStyle w:val="ListParagraph"/>
        <w:numPr>
          <w:ilvl w:val="0"/>
          <w:numId w:val="49"/>
        </w:numPr>
        <w:spacing w:after="120"/>
        <w:ind w:left="993" w:hanging="426"/>
        <w:contextualSpacing w:val="0"/>
        <w:jc w:val="both"/>
        <w:rPr>
          <w:rFonts w:ascii="Arial" w:hAnsi="Arial" w:cs="Arial"/>
          <w:sz w:val="20"/>
          <w:szCs w:val="20"/>
        </w:rPr>
      </w:pPr>
      <w:r w:rsidRPr="00990B8A">
        <w:rPr>
          <w:rFonts w:ascii="Arial" w:hAnsi="Arial" w:cs="Arial"/>
          <w:sz w:val="20"/>
          <w:szCs w:val="20"/>
        </w:rPr>
        <w:t>The number of staff has remained relatively stable since 2010, while the number of flexible resources has increased from 1 in 2012 to 12 in 2014.</w:t>
      </w:r>
    </w:p>
    <w:p w14:paraId="26E4DA9F" w14:textId="77777777" w:rsidR="000877C4" w:rsidRPr="00990B8A" w:rsidRDefault="000877C4" w:rsidP="00B66A4A">
      <w:pPr>
        <w:pStyle w:val="ListParagraph"/>
        <w:numPr>
          <w:ilvl w:val="0"/>
          <w:numId w:val="49"/>
        </w:numPr>
        <w:spacing w:after="120"/>
        <w:ind w:left="993" w:hanging="426"/>
        <w:contextualSpacing w:val="0"/>
        <w:jc w:val="both"/>
        <w:rPr>
          <w:rFonts w:ascii="Arial" w:hAnsi="Arial" w:cs="Arial"/>
          <w:sz w:val="20"/>
          <w:szCs w:val="20"/>
        </w:rPr>
      </w:pPr>
      <w:r w:rsidRPr="00990B8A">
        <w:rPr>
          <w:rFonts w:ascii="Arial" w:hAnsi="Arial" w:cs="Arial"/>
          <w:sz w:val="20"/>
          <w:szCs w:val="20"/>
        </w:rPr>
        <w:t>Personnel of outsourcing companies not working on WIPO premises are not included in this indicator.</w:t>
      </w:r>
    </w:p>
    <w:p w14:paraId="34A3DB2E" w14:textId="77777777" w:rsidR="000877C4" w:rsidRPr="00990B8A" w:rsidRDefault="000877C4" w:rsidP="005A1F7F">
      <w:pPr>
        <w:ind w:left="567" w:hanging="567"/>
        <w:rPr>
          <w:rFonts w:ascii="Arial" w:hAnsi="Arial" w:cs="Arial"/>
          <w:b/>
          <w:sz w:val="20"/>
          <w:szCs w:val="20"/>
          <w:u w:val="single"/>
        </w:rPr>
      </w:pPr>
    </w:p>
    <w:p w14:paraId="0D1C5040" w14:textId="77777777" w:rsidR="000877C4" w:rsidRPr="009565B7" w:rsidRDefault="000877C4" w:rsidP="00B66A4A">
      <w:pPr>
        <w:pStyle w:val="ListParagraph"/>
        <w:numPr>
          <w:ilvl w:val="0"/>
          <w:numId w:val="44"/>
        </w:numPr>
        <w:ind w:left="567" w:hanging="567"/>
        <w:jc w:val="both"/>
        <w:rPr>
          <w:rFonts w:ascii="Arial" w:hAnsi="Arial" w:cs="Arial"/>
          <w:b/>
          <w:sz w:val="20"/>
          <w:szCs w:val="20"/>
        </w:rPr>
      </w:pPr>
      <w:r w:rsidRPr="009565B7">
        <w:rPr>
          <w:rFonts w:ascii="Arial" w:hAnsi="Arial" w:cs="Arial"/>
          <w:b/>
          <w:sz w:val="20"/>
          <w:szCs w:val="20"/>
        </w:rPr>
        <w:t>Pendency</w:t>
      </w:r>
    </w:p>
    <w:p w14:paraId="123F673E" w14:textId="77777777" w:rsidR="000877C4" w:rsidRPr="00990B8A" w:rsidRDefault="000877C4" w:rsidP="005A1F7F">
      <w:pPr>
        <w:pStyle w:val="ListParagraph"/>
        <w:ind w:left="567" w:hanging="567"/>
        <w:jc w:val="both"/>
        <w:rPr>
          <w:rFonts w:ascii="Arial" w:hAnsi="Arial" w:cs="Arial"/>
          <w:sz w:val="20"/>
          <w:szCs w:val="20"/>
        </w:rPr>
      </w:pPr>
    </w:p>
    <w:p w14:paraId="25686DA6" w14:textId="77777777" w:rsidR="000877C4" w:rsidRPr="00990B8A" w:rsidRDefault="000877C4" w:rsidP="00B66A4A">
      <w:pPr>
        <w:pStyle w:val="ListParagraph"/>
        <w:numPr>
          <w:ilvl w:val="0"/>
          <w:numId w:val="51"/>
        </w:numPr>
        <w:tabs>
          <w:tab w:val="left" w:pos="567"/>
        </w:tabs>
        <w:ind w:left="0" w:firstLine="0"/>
        <w:jc w:val="both"/>
        <w:rPr>
          <w:rFonts w:ascii="Arial" w:hAnsi="Arial" w:cs="Arial"/>
          <w:sz w:val="20"/>
          <w:szCs w:val="20"/>
        </w:rPr>
      </w:pPr>
      <w:r w:rsidRPr="00990B8A">
        <w:rPr>
          <w:rFonts w:ascii="Arial" w:hAnsi="Arial" w:cs="Arial"/>
          <w:sz w:val="20"/>
          <w:szCs w:val="20"/>
        </w:rPr>
        <w:t>The average pendency for each of the six transactions performed by the IB is shown below. The pendency is calculated from the date a document is received to the date it is inscribed.</w:t>
      </w:r>
    </w:p>
    <w:p w14:paraId="32432EA8" w14:textId="77777777" w:rsidR="000877C4" w:rsidRPr="00990B8A" w:rsidRDefault="000877C4" w:rsidP="005A1F7F">
      <w:pPr>
        <w:pStyle w:val="ListParagraph"/>
        <w:ind w:left="0"/>
        <w:jc w:val="both"/>
        <w:rPr>
          <w:rFonts w:ascii="Arial" w:hAnsi="Arial"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8"/>
        <w:gridCol w:w="4659"/>
      </w:tblGrid>
      <w:tr w:rsidR="000877C4" w:rsidRPr="00990B8A" w14:paraId="67C53093" w14:textId="77777777" w:rsidTr="00976F9F">
        <w:trPr>
          <w:trHeight w:val="3298"/>
          <w:jc w:val="center"/>
        </w:trPr>
        <w:tc>
          <w:tcPr>
            <w:tcW w:w="4560" w:type="dxa"/>
          </w:tcPr>
          <w:p w14:paraId="5661A318" w14:textId="77777777" w:rsidR="000877C4" w:rsidRPr="00990B8A" w:rsidRDefault="000877C4" w:rsidP="005A1F7F">
            <w:pPr>
              <w:jc w:val="both"/>
              <w:rPr>
                <w:rFonts w:ascii="Arial" w:hAnsi="Arial" w:cs="Arial"/>
              </w:rPr>
            </w:pPr>
            <w:r w:rsidRPr="00990B8A">
              <w:rPr>
                <w:rFonts w:ascii="Arial" w:hAnsi="Arial" w:cs="Arial"/>
                <w:noProof/>
              </w:rPr>
              <w:drawing>
                <wp:inline distT="0" distB="0" distL="0" distR="0" wp14:anchorId="64591BCF" wp14:editId="498CBA07">
                  <wp:extent cx="2886323" cy="2195565"/>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2885407" cy="2194869"/>
                          </a:xfrm>
                          <a:prstGeom prst="rect">
                            <a:avLst/>
                          </a:prstGeom>
                          <a:noFill/>
                        </pic:spPr>
                      </pic:pic>
                    </a:graphicData>
                  </a:graphic>
                </wp:inline>
              </w:drawing>
            </w:r>
          </w:p>
        </w:tc>
        <w:tc>
          <w:tcPr>
            <w:tcW w:w="4591" w:type="dxa"/>
          </w:tcPr>
          <w:p w14:paraId="7ABAB52B" w14:textId="77777777" w:rsidR="000877C4" w:rsidRPr="00990B8A" w:rsidRDefault="000877C4" w:rsidP="005A1F7F">
            <w:pPr>
              <w:jc w:val="both"/>
              <w:rPr>
                <w:rFonts w:ascii="Arial" w:hAnsi="Arial" w:cs="Arial"/>
              </w:rPr>
            </w:pPr>
            <w:r w:rsidRPr="00990B8A">
              <w:rPr>
                <w:rFonts w:ascii="Arial" w:hAnsi="Arial" w:cs="Arial"/>
                <w:noProof/>
              </w:rPr>
              <w:drawing>
                <wp:inline distT="0" distB="0" distL="0" distR="0" wp14:anchorId="36C9729D" wp14:editId="69626AC7">
                  <wp:extent cx="2949934" cy="2181805"/>
                  <wp:effectExtent l="0" t="0" r="3175" b="9525"/>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2949934" cy="2181805"/>
                          </a:xfrm>
                          <a:prstGeom prst="rect">
                            <a:avLst/>
                          </a:prstGeom>
                          <a:noFill/>
                        </pic:spPr>
                      </pic:pic>
                    </a:graphicData>
                  </a:graphic>
                </wp:inline>
              </w:drawing>
            </w:r>
          </w:p>
        </w:tc>
      </w:tr>
      <w:tr w:rsidR="000877C4" w:rsidRPr="00990B8A" w14:paraId="3FFA1587" w14:textId="77777777" w:rsidTr="00976F9F">
        <w:trPr>
          <w:trHeight w:val="3418"/>
          <w:jc w:val="center"/>
        </w:trPr>
        <w:tc>
          <w:tcPr>
            <w:tcW w:w="4560" w:type="dxa"/>
          </w:tcPr>
          <w:p w14:paraId="12E55E48" w14:textId="77777777" w:rsidR="000877C4" w:rsidRPr="00990B8A" w:rsidRDefault="000877C4" w:rsidP="005A1F7F">
            <w:pPr>
              <w:jc w:val="both"/>
              <w:rPr>
                <w:rFonts w:ascii="Arial" w:hAnsi="Arial" w:cs="Arial"/>
              </w:rPr>
            </w:pPr>
            <w:r w:rsidRPr="00990B8A">
              <w:rPr>
                <w:rFonts w:ascii="Arial" w:hAnsi="Arial" w:cs="Arial"/>
                <w:noProof/>
              </w:rPr>
              <w:drawing>
                <wp:inline distT="0" distB="0" distL="0" distR="0" wp14:anchorId="27D4923D" wp14:editId="20FB05E7">
                  <wp:extent cx="3013544" cy="2162755"/>
                  <wp:effectExtent l="0" t="0" r="0" b="9525"/>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3015879" cy="2164431"/>
                          </a:xfrm>
                          <a:prstGeom prst="rect">
                            <a:avLst/>
                          </a:prstGeom>
                          <a:noFill/>
                        </pic:spPr>
                      </pic:pic>
                    </a:graphicData>
                  </a:graphic>
                </wp:inline>
              </w:drawing>
            </w:r>
          </w:p>
        </w:tc>
        <w:tc>
          <w:tcPr>
            <w:tcW w:w="4591" w:type="dxa"/>
          </w:tcPr>
          <w:p w14:paraId="045EB2B2" w14:textId="77777777" w:rsidR="000877C4" w:rsidRPr="00990B8A" w:rsidRDefault="000877C4" w:rsidP="005A1F7F">
            <w:pPr>
              <w:jc w:val="both"/>
              <w:rPr>
                <w:rFonts w:ascii="Arial" w:hAnsi="Arial" w:cs="Arial"/>
                <w:color w:val="FF0000"/>
              </w:rPr>
            </w:pPr>
            <w:r w:rsidRPr="00990B8A">
              <w:rPr>
                <w:rFonts w:ascii="Arial" w:hAnsi="Arial" w:cs="Arial"/>
                <w:noProof/>
                <w:color w:val="FF0000"/>
              </w:rPr>
              <w:drawing>
                <wp:inline distT="0" distB="0" distL="0" distR="0" wp14:anchorId="591E3D4B" wp14:editId="78223FEF">
                  <wp:extent cx="2933802" cy="2162755"/>
                  <wp:effectExtent l="0" t="0" r="0" b="9525"/>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2944753" cy="2170828"/>
                          </a:xfrm>
                          <a:prstGeom prst="rect">
                            <a:avLst/>
                          </a:prstGeom>
                          <a:noFill/>
                        </pic:spPr>
                      </pic:pic>
                    </a:graphicData>
                  </a:graphic>
                </wp:inline>
              </w:drawing>
            </w:r>
          </w:p>
        </w:tc>
      </w:tr>
      <w:tr w:rsidR="000877C4" w:rsidRPr="00990B8A" w14:paraId="6EF72D32" w14:textId="77777777" w:rsidTr="00976F9F">
        <w:trPr>
          <w:trHeight w:val="3194"/>
          <w:jc w:val="center"/>
        </w:trPr>
        <w:tc>
          <w:tcPr>
            <w:tcW w:w="4560" w:type="dxa"/>
          </w:tcPr>
          <w:p w14:paraId="7818C517" w14:textId="77777777" w:rsidR="000877C4" w:rsidRPr="00990B8A" w:rsidRDefault="000877C4" w:rsidP="005A1F7F">
            <w:pPr>
              <w:jc w:val="both"/>
              <w:rPr>
                <w:rFonts w:ascii="Arial" w:hAnsi="Arial" w:cs="Arial"/>
              </w:rPr>
            </w:pPr>
            <w:r w:rsidRPr="00990B8A">
              <w:rPr>
                <w:rFonts w:ascii="Arial" w:hAnsi="Arial" w:cs="Arial"/>
                <w:noProof/>
              </w:rPr>
              <w:lastRenderedPageBreak/>
              <w:drawing>
                <wp:inline distT="0" distB="0" distL="0" distR="0" wp14:anchorId="54FB9DEC" wp14:editId="53E6485D">
                  <wp:extent cx="3010418" cy="2075291"/>
                  <wp:effectExtent l="0" t="0" r="0" b="127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3012419" cy="2076671"/>
                          </a:xfrm>
                          <a:prstGeom prst="rect">
                            <a:avLst/>
                          </a:prstGeom>
                          <a:noFill/>
                        </pic:spPr>
                      </pic:pic>
                    </a:graphicData>
                  </a:graphic>
                </wp:inline>
              </w:drawing>
            </w:r>
          </w:p>
        </w:tc>
        <w:tc>
          <w:tcPr>
            <w:tcW w:w="4591" w:type="dxa"/>
          </w:tcPr>
          <w:p w14:paraId="694DF685" w14:textId="77777777" w:rsidR="000877C4" w:rsidRPr="00990B8A" w:rsidRDefault="000877C4" w:rsidP="005A1F7F">
            <w:pPr>
              <w:jc w:val="both"/>
              <w:rPr>
                <w:rFonts w:ascii="Arial" w:hAnsi="Arial" w:cs="Arial"/>
              </w:rPr>
            </w:pPr>
            <w:r w:rsidRPr="00990B8A">
              <w:rPr>
                <w:rFonts w:ascii="Arial" w:hAnsi="Arial" w:cs="Arial"/>
                <w:noProof/>
              </w:rPr>
              <w:drawing>
                <wp:inline distT="0" distB="0" distL="0" distR="0" wp14:anchorId="44730BA0" wp14:editId="0C91CBED">
                  <wp:extent cx="3034221" cy="2075291"/>
                  <wp:effectExtent l="0" t="0" r="0" b="127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3041191" cy="2080058"/>
                          </a:xfrm>
                          <a:prstGeom prst="rect">
                            <a:avLst/>
                          </a:prstGeom>
                          <a:noFill/>
                        </pic:spPr>
                      </pic:pic>
                    </a:graphicData>
                  </a:graphic>
                </wp:inline>
              </w:drawing>
            </w:r>
          </w:p>
        </w:tc>
      </w:tr>
    </w:tbl>
    <w:p w14:paraId="1B8DD20D" w14:textId="77777777" w:rsidR="000877C4" w:rsidRPr="00990B8A" w:rsidRDefault="000877C4" w:rsidP="005A1F7F">
      <w:pPr>
        <w:jc w:val="both"/>
        <w:rPr>
          <w:rFonts w:ascii="Arial" w:hAnsi="Arial" w:cs="Arial"/>
        </w:rPr>
      </w:pPr>
    </w:p>
    <w:p w14:paraId="2ABFEC01" w14:textId="77777777" w:rsidR="000877C4" w:rsidRPr="00990B8A" w:rsidRDefault="000877C4" w:rsidP="00B66A4A">
      <w:pPr>
        <w:pStyle w:val="ListParagraph"/>
        <w:numPr>
          <w:ilvl w:val="0"/>
          <w:numId w:val="50"/>
        </w:numPr>
        <w:spacing w:after="120"/>
        <w:ind w:left="993" w:hanging="426"/>
        <w:contextualSpacing w:val="0"/>
        <w:jc w:val="both"/>
        <w:rPr>
          <w:rFonts w:ascii="Arial" w:hAnsi="Arial" w:cs="Arial"/>
          <w:sz w:val="20"/>
          <w:szCs w:val="20"/>
        </w:rPr>
      </w:pPr>
      <w:r w:rsidRPr="00990B8A">
        <w:rPr>
          <w:rFonts w:ascii="Arial" w:hAnsi="Arial" w:cs="Arial"/>
          <w:sz w:val="20"/>
          <w:szCs w:val="20"/>
        </w:rPr>
        <w:t xml:space="preserve">Compared to 2013, the average pendency in 2014 increased for applications, corrections, modifications and subsequent designations. </w:t>
      </w:r>
      <w:r>
        <w:rPr>
          <w:rFonts w:ascii="Arial" w:hAnsi="Arial" w:cs="Arial"/>
          <w:sz w:val="20"/>
          <w:szCs w:val="20"/>
        </w:rPr>
        <w:t xml:space="preserve"> </w:t>
      </w:r>
      <w:r w:rsidRPr="00990B8A">
        <w:rPr>
          <w:rFonts w:ascii="Arial" w:hAnsi="Arial" w:cs="Arial"/>
          <w:sz w:val="20"/>
          <w:szCs w:val="20"/>
        </w:rPr>
        <w:t>The average pendency time for renewals remained stable, whereas that for decisions decreased for the second consecutive year.</w:t>
      </w:r>
    </w:p>
    <w:p w14:paraId="1FCDAD72" w14:textId="77777777" w:rsidR="000877C4" w:rsidRPr="00990B8A" w:rsidRDefault="000877C4" w:rsidP="00B66A4A">
      <w:pPr>
        <w:pStyle w:val="ListParagraph"/>
        <w:numPr>
          <w:ilvl w:val="0"/>
          <w:numId w:val="50"/>
        </w:numPr>
        <w:spacing w:after="200"/>
        <w:ind w:left="993" w:hanging="426"/>
        <w:jc w:val="both"/>
        <w:rPr>
          <w:rFonts w:ascii="Arial" w:hAnsi="Arial" w:cs="Arial"/>
          <w:sz w:val="20"/>
          <w:szCs w:val="20"/>
        </w:rPr>
      </w:pPr>
      <w:r w:rsidRPr="00990B8A">
        <w:rPr>
          <w:rFonts w:ascii="Arial" w:hAnsi="Arial" w:cs="Arial"/>
          <w:sz w:val="20"/>
          <w:szCs w:val="20"/>
        </w:rPr>
        <w:t>Improving and stabilizing pendency across all transactions is a major objective of the IB.</w:t>
      </w:r>
    </w:p>
    <w:p w14:paraId="4D539609" w14:textId="1AAFBBC0" w:rsidR="00592800" w:rsidRDefault="00592800" w:rsidP="008D3EC2">
      <w:pPr>
        <w:autoSpaceDE w:val="0"/>
        <w:autoSpaceDN w:val="0"/>
        <w:adjustRightInd w:val="0"/>
        <w:rPr>
          <w:rFonts w:ascii="Arial" w:hAnsi="Arial" w:cs="Arial"/>
          <w:sz w:val="20"/>
        </w:rPr>
      </w:pPr>
    </w:p>
    <w:p w14:paraId="1FF0A9EA" w14:textId="77777777" w:rsidR="00592800" w:rsidRDefault="00592800" w:rsidP="008D3EC2">
      <w:pPr>
        <w:autoSpaceDE w:val="0"/>
        <w:autoSpaceDN w:val="0"/>
        <w:adjustRightInd w:val="0"/>
        <w:rPr>
          <w:rFonts w:ascii="Arial" w:hAnsi="Arial" w:cs="Arial"/>
          <w:sz w:val="20"/>
        </w:rPr>
      </w:pPr>
    </w:p>
    <w:p w14:paraId="182FDAEF" w14:textId="77777777" w:rsidR="00592800" w:rsidRDefault="00592800" w:rsidP="008D3EC2">
      <w:pPr>
        <w:autoSpaceDE w:val="0"/>
        <w:autoSpaceDN w:val="0"/>
        <w:adjustRightInd w:val="0"/>
        <w:rPr>
          <w:rFonts w:ascii="Arial" w:hAnsi="Arial" w:cs="Arial"/>
          <w:sz w:val="20"/>
        </w:rPr>
        <w:sectPr w:rsidR="00592800" w:rsidSect="00FB68E0">
          <w:pgSz w:w="11907" w:h="16839" w:code="9"/>
          <w:pgMar w:top="624" w:right="1418" w:bottom="1361" w:left="1418" w:header="567" w:footer="851" w:gutter="0"/>
          <w:cols w:space="720"/>
          <w:docGrid w:linePitch="360"/>
        </w:sectPr>
      </w:pPr>
    </w:p>
    <w:p w14:paraId="4FC0E30E" w14:textId="77777777" w:rsidR="00592800" w:rsidRPr="0069571C" w:rsidRDefault="00592800" w:rsidP="00592800">
      <w:pPr>
        <w:pStyle w:val="StyleHeading3ComplexItalic"/>
        <w:keepNext w:val="0"/>
        <w:tabs>
          <w:tab w:val="clear" w:pos="1985"/>
          <w:tab w:val="left" w:pos="1418"/>
        </w:tabs>
        <w:ind w:left="1418" w:hanging="1418"/>
      </w:pPr>
      <w:bookmarkStart w:id="111" w:name="_Toc356567792"/>
      <w:bookmarkStart w:id="112" w:name="_Toc367350618"/>
      <w:bookmarkStart w:id="113" w:name="_Toc427154440"/>
      <w:r w:rsidRPr="007F65E7">
        <w:rPr>
          <w:caps w:val="0"/>
        </w:rPr>
        <w:lastRenderedPageBreak/>
        <w:t>ANNEX V</w:t>
      </w:r>
      <w:r>
        <w:rPr>
          <w:caps w:val="0"/>
        </w:rPr>
        <w:t>II</w:t>
      </w:r>
      <w:r w:rsidRPr="007F65E7">
        <w:rPr>
          <w:caps w:val="0"/>
        </w:rPr>
        <w:tab/>
        <w:t xml:space="preserve">INDICATORS OF </w:t>
      </w:r>
      <w:smartTag w:uri="urn:schemas-microsoft-com:office:smarttags" w:element="place">
        <w:smartTag w:uri="urn:schemas-microsoft-com:office:smarttags" w:element="City">
          <w:r>
            <w:rPr>
              <w:caps w:val="0"/>
            </w:rPr>
            <w:t>THE HAGUE</w:t>
          </w:r>
        </w:smartTag>
      </w:smartTag>
      <w:r>
        <w:rPr>
          <w:caps w:val="0"/>
        </w:rPr>
        <w:t xml:space="preserve"> SYSTEM</w:t>
      </w:r>
      <w:r w:rsidRPr="007F65E7">
        <w:rPr>
          <w:caps w:val="0"/>
        </w:rPr>
        <w:t xml:space="preserve"> OPERATIONS</w:t>
      </w:r>
      <w:bookmarkEnd w:id="111"/>
      <w:bookmarkEnd w:id="112"/>
      <w:bookmarkEnd w:id="113"/>
    </w:p>
    <w:p w14:paraId="35D37324" w14:textId="77777777" w:rsidR="00592800" w:rsidRDefault="00592800" w:rsidP="00592800">
      <w:pPr>
        <w:rPr>
          <w:rFonts w:ascii="Arial" w:hAnsi="Arial" w:cs="Arial"/>
          <w:sz w:val="20"/>
        </w:rPr>
      </w:pPr>
    </w:p>
    <w:p w14:paraId="6EB343C8" w14:textId="6E3C3E53" w:rsidR="00592800" w:rsidRDefault="00592800" w:rsidP="008D3EC2">
      <w:pPr>
        <w:autoSpaceDE w:val="0"/>
        <w:autoSpaceDN w:val="0"/>
        <w:adjustRightInd w:val="0"/>
        <w:rPr>
          <w:rFonts w:ascii="Arial" w:hAnsi="Arial" w:cs="Arial"/>
          <w:sz w:val="20"/>
        </w:rPr>
      </w:pPr>
    </w:p>
    <w:p w14:paraId="0A2295D3" w14:textId="77777777" w:rsidR="007F0669" w:rsidRPr="00DC6A4E" w:rsidRDefault="007F0669" w:rsidP="005A1F7F">
      <w:pPr>
        <w:rPr>
          <w:rFonts w:ascii="Arial" w:hAnsi="Arial" w:cs="Arial"/>
        </w:rPr>
      </w:pPr>
      <w:r w:rsidRPr="00DC6A4E">
        <w:rPr>
          <w:rFonts w:ascii="Arial" w:hAnsi="Arial" w:cs="Arial"/>
        </w:rPr>
        <w:t>PERFORMANCE INDICATORS FOR THE EXPECTED RESULT</w:t>
      </w:r>
    </w:p>
    <w:p w14:paraId="6BDA7693" w14:textId="77777777" w:rsidR="007F0669" w:rsidRPr="00DC6A4E" w:rsidRDefault="007F0669" w:rsidP="005A1F7F">
      <w:pPr>
        <w:rPr>
          <w:rFonts w:ascii="Arial" w:hAnsi="Arial" w:cs="Arial"/>
        </w:rPr>
      </w:pPr>
      <w:r w:rsidRPr="00DC6A4E">
        <w:rPr>
          <w:rFonts w:ascii="Arial" w:hAnsi="Arial" w:cs="Arial"/>
        </w:rPr>
        <w:t>“IMPROVED PRODUCTIVITY AND SERVICE QUALITY OF THE HAGUE OPERATIONS”</w:t>
      </w:r>
    </w:p>
    <w:p w14:paraId="3703C4B6" w14:textId="77777777" w:rsidR="007F0669" w:rsidRPr="00DC6A4E" w:rsidRDefault="007F0669" w:rsidP="005A1F7F">
      <w:pPr>
        <w:rPr>
          <w:rFonts w:ascii="Arial" w:hAnsi="Arial" w:cs="Arial"/>
          <w:b/>
          <w:sz w:val="20"/>
          <w:szCs w:val="20"/>
        </w:rPr>
      </w:pPr>
    </w:p>
    <w:p w14:paraId="269E55C2" w14:textId="77777777" w:rsidR="007F0669" w:rsidRPr="00DC6A4E" w:rsidRDefault="007F0669" w:rsidP="005A1F7F">
      <w:pPr>
        <w:rPr>
          <w:rFonts w:ascii="Arial" w:hAnsi="Arial" w:cs="Arial"/>
          <w:sz w:val="20"/>
          <w:szCs w:val="20"/>
        </w:rPr>
      </w:pPr>
    </w:p>
    <w:p w14:paraId="234CAC93"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As background for the performance indicators for the expected result “improved productivity and service quality of the Hague operations”, the evolution of the following factors needs to be considered:</w:t>
      </w:r>
    </w:p>
    <w:p w14:paraId="4F85469D" w14:textId="77777777" w:rsidR="007F0669" w:rsidRPr="00DC6A4E" w:rsidRDefault="007F0669" w:rsidP="005A1F7F">
      <w:pPr>
        <w:pStyle w:val="ListParagraph"/>
        <w:tabs>
          <w:tab w:val="left" w:pos="0"/>
          <w:tab w:val="left" w:pos="567"/>
        </w:tabs>
        <w:ind w:left="0"/>
        <w:jc w:val="both"/>
        <w:rPr>
          <w:rFonts w:ascii="Arial" w:hAnsi="Arial" w:cs="Arial"/>
          <w:sz w:val="20"/>
          <w:szCs w:val="20"/>
        </w:rPr>
      </w:pPr>
    </w:p>
    <w:p w14:paraId="46F2CC40" w14:textId="77777777" w:rsidR="007F0669" w:rsidRPr="00DC6A4E" w:rsidRDefault="007F0669" w:rsidP="00B66A4A">
      <w:pPr>
        <w:numPr>
          <w:ilvl w:val="0"/>
          <w:numId w:val="45"/>
        </w:numPr>
        <w:spacing w:after="120"/>
        <w:ind w:left="1134" w:firstLine="0"/>
        <w:jc w:val="both"/>
        <w:rPr>
          <w:rFonts w:ascii="Arial" w:hAnsi="Arial" w:cs="Arial"/>
          <w:sz w:val="20"/>
          <w:szCs w:val="20"/>
        </w:rPr>
      </w:pPr>
      <w:r w:rsidRPr="00DC6A4E">
        <w:rPr>
          <w:rFonts w:ascii="Arial" w:hAnsi="Arial" w:cs="Arial"/>
          <w:sz w:val="20"/>
          <w:szCs w:val="20"/>
        </w:rPr>
        <w:t>The Hague System workloads;</w:t>
      </w:r>
    </w:p>
    <w:p w14:paraId="6B929D92" w14:textId="77777777" w:rsidR="007F0669" w:rsidRPr="00DC6A4E" w:rsidRDefault="007F0669" w:rsidP="00B66A4A">
      <w:pPr>
        <w:numPr>
          <w:ilvl w:val="0"/>
          <w:numId w:val="45"/>
        </w:numPr>
        <w:spacing w:after="120"/>
        <w:ind w:left="1134" w:firstLine="0"/>
        <w:jc w:val="both"/>
        <w:rPr>
          <w:rFonts w:ascii="Arial" w:hAnsi="Arial" w:cs="Arial"/>
          <w:sz w:val="20"/>
          <w:szCs w:val="20"/>
        </w:rPr>
      </w:pPr>
      <w:r w:rsidRPr="00DC6A4E">
        <w:rPr>
          <w:rFonts w:ascii="Arial" w:hAnsi="Arial" w:cs="Arial"/>
          <w:sz w:val="20"/>
          <w:szCs w:val="20"/>
        </w:rPr>
        <w:t>The composition of those workloads;</w:t>
      </w:r>
    </w:p>
    <w:p w14:paraId="72B3E093" w14:textId="77777777" w:rsidR="007F0669" w:rsidRPr="00DC6A4E" w:rsidRDefault="007F0669" w:rsidP="00B66A4A">
      <w:pPr>
        <w:numPr>
          <w:ilvl w:val="0"/>
          <w:numId w:val="45"/>
        </w:numPr>
        <w:spacing w:after="120"/>
        <w:ind w:left="1134" w:firstLine="0"/>
        <w:jc w:val="both"/>
        <w:rPr>
          <w:rFonts w:ascii="Arial" w:hAnsi="Arial" w:cs="Arial"/>
          <w:sz w:val="20"/>
          <w:szCs w:val="20"/>
        </w:rPr>
      </w:pPr>
      <w:r w:rsidRPr="00DC6A4E">
        <w:rPr>
          <w:rFonts w:ascii="Arial" w:hAnsi="Arial" w:cs="Arial"/>
          <w:sz w:val="20"/>
          <w:szCs w:val="20"/>
        </w:rPr>
        <w:t>The level of automation; and</w:t>
      </w:r>
    </w:p>
    <w:p w14:paraId="79BB4EE0" w14:textId="77777777" w:rsidR="007F0669" w:rsidRPr="00DC6A4E" w:rsidRDefault="007F0669" w:rsidP="00B66A4A">
      <w:pPr>
        <w:numPr>
          <w:ilvl w:val="0"/>
          <w:numId w:val="45"/>
        </w:numPr>
        <w:ind w:left="1134" w:firstLine="0"/>
        <w:jc w:val="both"/>
        <w:rPr>
          <w:rFonts w:ascii="Arial" w:hAnsi="Arial" w:cs="Arial"/>
          <w:sz w:val="20"/>
          <w:szCs w:val="20"/>
        </w:rPr>
      </w:pPr>
      <w:r w:rsidRPr="00DC6A4E">
        <w:rPr>
          <w:rFonts w:ascii="Arial" w:hAnsi="Arial" w:cs="Arial"/>
          <w:sz w:val="20"/>
          <w:szCs w:val="20"/>
        </w:rPr>
        <w:t>The resources assigned to cope with the workload.</w:t>
      </w:r>
    </w:p>
    <w:p w14:paraId="21CDE1BC" w14:textId="77777777" w:rsidR="007F0669" w:rsidRPr="00DC6A4E" w:rsidRDefault="007F0669" w:rsidP="005A1F7F">
      <w:pPr>
        <w:jc w:val="both"/>
        <w:rPr>
          <w:rFonts w:ascii="Arial" w:hAnsi="Arial" w:cs="Arial"/>
          <w:sz w:val="20"/>
          <w:szCs w:val="20"/>
        </w:rPr>
      </w:pPr>
    </w:p>
    <w:p w14:paraId="7259B499"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The International Bureau (IB) receives four main types of documents, namely international applications, renewals, changes and decisions. </w:t>
      </w:r>
      <w:r>
        <w:rPr>
          <w:rFonts w:ascii="Arial" w:hAnsi="Arial" w:cs="Arial"/>
          <w:sz w:val="20"/>
          <w:szCs w:val="20"/>
        </w:rPr>
        <w:t xml:space="preserve"> </w:t>
      </w:r>
      <w:r w:rsidRPr="00DC6A4E">
        <w:rPr>
          <w:rFonts w:ascii="Arial" w:hAnsi="Arial" w:cs="Arial"/>
          <w:sz w:val="20"/>
          <w:szCs w:val="20"/>
        </w:rPr>
        <w:t xml:space="preserve">The latest trend for each of these documents is presented below. </w:t>
      </w:r>
      <w:r>
        <w:rPr>
          <w:rFonts w:ascii="Arial" w:hAnsi="Arial" w:cs="Arial"/>
          <w:sz w:val="20"/>
          <w:szCs w:val="20"/>
        </w:rPr>
        <w:t xml:space="preserve"> </w:t>
      </w:r>
      <w:r w:rsidRPr="00DC6A4E">
        <w:rPr>
          <w:rFonts w:ascii="Arial" w:hAnsi="Arial" w:cs="Arial"/>
          <w:sz w:val="20"/>
          <w:szCs w:val="20"/>
        </w:rPr>
        <w:t xml:space="preserve">Additional information on the applications received, such as their average number of designs, are also provided. For technical reasons, the indicator on the irregularities issued shows data based on processed documents rather than on incoming documents. </w:t>
      </w:r>
    </w:p>
    <w:p w14:paraId="76724079" w14:textId="77777777" w:rsidR="007F0669" w:rsidRDefault="007F0669" w:rsidP="005A1F7F">
      <w:pPr>
        <w:pStyle w:val="ListParagraph"/>
        <w:tabs>
          <w:tab w:val="left" w:pos="0"/>
          <w:tab w:val="left" w:pos="567"/>
        </w:tabs>
        <w:ind w:left="0"/>
        <w:jc w:val="both"/>
        <w:rPr>
          <w:rFonts w:ascii="Arial" w:hAnsi="Arial" w:cs="Arial"/>
          <w:sz w:val="20"/>
          <w:szCs w:val="20"/>
        </w:rPr>
      </w:pPr>
    </w:p>
    <w:p w14:paraId="18205B92" w14:textId="77777777" w:rsidR="007F0669" w:rsidRPr="007138E9" w:rsidRDefault="007F0669" w:rsidP="005A1F7F">
      <w:pPr>
        <w:tabs>
          <w:tab w:val="left" w:pos="567"/>
        </w:tabs>
        <w:spacing w:before="120" w:after="240"/>
        <w:rPr>
          <w:rFonts w:ascii="Arial" w:hAnsi="Arial" w:cs="Arial"/>
          <w:b/>
          <w:sz w:val="20"/>
          <w:szCs w:val="20"/>
        </w:rPr>
      </w:pPr>
      <w:r>
        <w:rPr>
          <w:rFonts w:ascii="Arial" w:hAnsi="Arial" w:cs="Arial"/>
          <w:b/>
          <w:sz w:val="20"/>
          <w:szCs w:val="20"/>
        </w:rPr>
        <w:t>I.</w:t>
      </w:r>
      <w:r>
        <w:rPr>
          <w:rFonts w:ascii="Arial" w:hAnsi="Arial" w:cs="Arial"/>
          <w:b/>
          <w:sz w:val="20"/>
          <w:szCs w:val="20"/>
        </w:rPr>
        <w:tab/>
      </w:r>
      <w:r w:rsidRPr="007138E9">
        <w:rPr>
          <w:rFonts w:ascii="Arial" w:hAnsi="Arial" w:cs="Arial"/>
          <w:b/>
          <w:sz w:val="20"/>
          <w:szCs w:val="20"/>
        </w:rPr>
        <w:t>Incoming Documents</w:t>
      </w:r>
    </w:p>
    <w:p w14:paraId="2C659C06" w14:textId="77777777" w:rsidR="007F0669" w:rsidRPr="007138E9" w:rsidRDefault="007F0669" w:rsidP="005A1F7F">
      <w:pPr>
        <w:spacing w:before="120" w:after="240"/>
        <w:rPr>
          <w:rFonts w:ascii="Arial" w:hAnsi="Arial" w:cs="Arial"/>
          <w:sz w:val="20"/>
          <w:szCs w:val="20"/>
          <w:u w:val="single"/>
        </w:rPr>
      </w:pPr>
      <w:r w:rsidRPr="007138E9">
        <w:rPr>
          <w:rFonts w:ascii="Arial" w:hAnsi="Arial" w:cs="Arial"/>
          <w:sz w:val="20"/>
          <w:szCs w:val="20"/>
          <w:u w:val="single"/>
        </w:rPr>
        <w:t xml:space="preserve">Applications received </w:t>
      </w:r>
    </w:p>
    <w:p w14:paraId="511F5D8F" w14:textId="77777777" w:rsidR="007F0669" w:rsidRPr="00DC6A4E" w:rsidRDefault="007F0669" w:rsidP="005A1F7F">
      <w:pPr>
        <w:spacing w:before="120" w:after="240"/>
        <w:jc w:val="center"/>
        <w:rPr>
          <w:rFonts w:ascii="Arial" w:hAnsi="Arial" w:cs="Arial"/>
          <w:sz w:val="20"/>
          <w:szCs w:val="20"/>
        </w:rPr>
      </w:pPr>
      <w:r w:rsidRPr="00DC6A4E">
        <w:rPr>
          <w:rFonts w:ascii="Arial" w:hAnsi="Arial" w:cs="Arial"/>
          <w:noProof/>
          <w:lang w:eastAsia="en-US"/>
        </w:rPr>
        <w:drawing>
          <wp:inline distT="0" distB="0" distL="0" distR="0" wp14:anchorId="6A87DB5E" wp14:editId="7B413584">
            <wp:extent cx="4340707" cy="2838450"/>
            <wp:effectExtent l="0" t="0" r="3175" b="0"/>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4348681" cy="2843665"/>
                    </a:xfrm>
                    <a:prstGeom prst="rect">
                      <a:avLst/>
                    </a:prstGeom>
                    <a:noFill/>
                  </pic:spPr>
                </pic:pic>
              </a:graphicData>
            </a:graphic>
          </wp:inline>
        </w:drawing>
      </w:r>
    </w:p>
    <w:p w14:paraId="3B550673" w14:textId="77777777" w:rsidR="007F0669" w:rsidRPr="00DC6A4E" w:rsidRDefault="007F0669" w:rsidP="00B66A4A">
      <w:pPr>
        <w:pStyle w:val="ListParagraph"/>
        <w:numPr>
          <w:ilvl w:val="0"/>
          <w:numId w:val="52"/>
        </w:numPr>
        <w:spacing w:after="120"/>
        <w:ind w:left="992" w:hanging="425"/>
        <w:contextualSpacing w:val="0"/>
        <w:jc w:val="both"/>
        <w:rPr>
          <w:rFonts w:ascii="Arial" w:hAnsi="Arial" w:cs="Arial"/>
          <w:sz w:val="20"/>
          <w:szCs w:val="20"/>
        </w:rPr>
      </w:pPr>
      <w:r w:rsidRPr="00DC6A4E">
        <w:rPr>
          <w:rFonts w:ascii="Arial" w:hAnsi="Arial" w:cs="Arial"/>
          <w:sz w:val="20"/>
          <w:szCs w:val="20"/>
        </w:rPr>
        <w:t xml:space="preserve">In 2014, the IB received 2,924 international applications, down 2.2 per cent from 2013. </w:t>
      </w:r>
      <w:r>
        <w:rPr>
          <w:rFonts w:ascii="Arial" w:hAnsi="Arial" w:cs="Arial"/>
          <w:sz w:val="20"/>
          <w:szCs w:val="20"/>
        </w:rPr>
        <w:t xml:space="preserve"> </w:t>
      </w:r>
      <w:r w:rsidRPr="00DC6A4E">
        <w:rPr>
          <w:rFonts w:ascii="Arial" w:hAnsi="Arial" w:cs="Arial"/>
          <w:sz w:val="20"/>
          <w:szCs w:val="20"/>
        </w:rPr>
        <w:t>In</w:t>
      </w:r>
      <w:r>
        <w:rPr>
          <w:rFonts w:ascii="Arial" w:hAnsi="Arial" w:cs="Arial"/>
          <w:sz w:val="20"/>
          <w:szCs w:val="20"/>
        </w:rPr>
        <w:t> </w:t>
      </w:r>
      <w:r w:rsidRPr="00DC6A4E">
        <w:rPr>
          <w:rFonts w:ascii="Arial" w:hAnsi="Arial" w:cs="Arial"/>
          <w:sz w:val="20"/>
          <w:szCs w:val="20"/>
        </w:rPr>
        <w:t>2013, applications received sharply grew by 15 per cent.</w:t>
      </w:r>
    </w:p>
    <w:p w14:paraId="47E538E7" w14:textId="77777777" w:rsidR="007F0669" w:rsidRPr="00DC6A4E" w:rsidRDefault="007F0669" w:rsidP="00B66A4A">
      <w:pPr>
        <w:pStyle w:val="ListParagraph"/>
        <w:numPr>
          <w:ilvl w:val="0"/>
          <w:numId w:val="52"/>
        </w:numPr>
        <w:spacing w:after="200"/>
        <w:ind w:left="993" w:hanging="426"/>
        <w:jc w:val="both"/>
        <w:rPr>
          <w:rFonts w:ascii="Arial" w:hAnsi="Arial" w:cs="Arial"/>
          <w:sz w:val="20"/>
          <w:szCs w:val="20"/>
        </w:rPr>
      </w:pPr>
      <w:r w:rsidRPr="00DC6A4E">
        <w:rPr>
          <w:rFonts w:ascii="Arial" w:hAnsi="Arial" w:cs="Arial"/>
          <w:sz w:val="20"/>
          <w:szCs w:val="20"/>
        </w:rPr>
        <w:t>In 2014, 89 per cent of applications were filed electronically. The share of electronic filings increased by 10 percentage points from 2011 to 2014, from 79 per cent in 2011 to 89 per cent in 2014.</w:t>
      </w:r>
    </w:p>
    <w:p w14:paraId="3FC4C890" w14:textId="77777777" w:rsidR="007F0669" w:rsidRPr="00DC6A4E" w:rsidRDefault="007F0669" w:rsidP="005A1F7F">
      <w:pPr>
        <w:rPr>
          <w:rFonts w:ascii="Arial" w:hAnsi="Arial" w:cs="Arial"/>
          <w:sz w:val="20"/>
          <w:szCs w:val="20"/>
        </w:rPr>
      </w:pPr>
    </w:p>
    <w:p w14:paraId="7B4F238F" w14:textId="77777777" w:rsidR="007F0669" w:rsidRPr="007138E9" w:rsidRDefault="007F0669" w:rsidP="005A1F7F">
      <w:pPr>
        <w:pStyle w:val="ListParagraph"/>
        <w:keepNext/>
        <w:keepLines/>
        <w:ind w:left="567"/>
        <w:rPr>
          <w:rFonts w:ascii="Arial" w:hAnsi="Arial" w:cs="Arial"/>
          <w:i/>
          <w:sz w:val="20"/>
          <w:szCs w:val="20"/>
        </w:rPr>
      </w:pPr>
      <w:r w:rsidRPr="007138E9">
        <w:rPr>
          <w:rFonts w:ascii="Arial" w:hAnsi="Arial" w:cs="Arial"/>
          <w:i/>
          <w:sz w:val="20"/>
          <w:szCs w:val="20"/>
        </w:rPr>
        <w:lastRenderedPageBreak/>
        <w:t>Average number of designs per application</w:t>
      </w:r>
    </w:p>
    <w:p w14:paraId="261430B1" w14:textId="77777777" w:rsidR="007F0669" w:rsidRPr="00DC6A4E" w:rsidRDefault="007F0669" w:rsidP="005A1F7F">
      <w:pPr>
        <w:keepNext/>
        <w:keepLines/>
        <w:spacing w:before="120" w:after="240"/>
        <w:jc w:val="center"/>
        <w:rPr>
          <w:rFonts w:ascii="Arial" w:hAnsi="Arial" w:cs="Arial"/>
          <w:sz w:val="20"/>
          <w:szCs w:val="20"/>
        </w:rPr>
      </w:pPr>
      <w:r w:rsidRPr="00DC6A4E">
        <w:rPr>
          <w:rFonts w:ascii="Arial" w:hAnsi="Arial" w:cs="Arial"/>
          <w:noProof/>
          <w:sz w:val="20"/>
          <w:szCs w:val="20"/>
          <w:lang w:eastAsia="en-US"/>
        </w:rPr>
        <w:drawing>
          <wp:inline distT="0" distB="0" distL="0" distR="0" wp14:anchorId="4B259231" wp14:editId="7B664394">
            <wp:extent cx="4030675" cy="2635716"/>
            <wp:effectExtent l="0" t="0" r="8255"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4034368" cy="2638131"/>
                    </a:xfrm>
                    <a:prstGeom prst="rect">
                      <a:avLst/>
                    </a:prstGeom>
                    <a:noFill/>
                  </pic:spPr>
                </pic:pic>
              </a:graphicData>
            </a:graphic>
          </wp:inline>
        </w:drawing>
      </w:r>
    </w:p>
    <w:p w14:paraId="6F9CC6FF" w14:textId="77777777" w:rsidR="007F0669" w:rsidRPr="00DC6A4E" w:rsidRDefault="007F0669" w:rsidP="00B66A4A">
      <w:pPr>
        <w:pStyle w:val="ListParagraph"/>
        <w:numPr>
          <w:ilvl w:val="0"/>
          <w:numId w:val="53"/>
        </w:numPr>
        <w:spacing w:after="200"/>
        <w:ind w:left="993" w:hanging="426"/>
        <w:jc w:val="both"/>
        <w:rPr>
          <w:rFonts w:ascii="Arial" w:hAnsi="Arial" w:cs="Arial"/>
          <w:sz w:val="20"/>
          <w:szCs w:val="20"/>
        </w:rPr>
      </w:pPr>
      <w:r w:rsidRPr="00DC6A4E">
        <w:rPr>
          <w:rFonts w:ascii="Arial" w:hAnsi="Arial" w:cs="Arial"/>
          <w:sz w:val="20"/>
          <w:szCs w:val="20"/>
        </w:rPr>
        <w:t>In 2014, an application contained, on average, nearly five designs. Between 2011 and 2014, the average number of designs per application varied between 4.5 and 5 designs.</w:t>
      </w:r>
    </w:p>
    <w:p w14:paraId="6C8B1686" w14:textId="77777777" w:rsidR="007F0669" w:rsidRDefault="007F0669" w:rsidP="005A1F7F">
      <w:pPr>
        <w:pStyle w:val="ListParagraph"/>
        <w:ind w:left="1418"/>
        <w:jc w:val="both"/>
        <w:rPr>
          <w:rFonts w:ascii="Arial" w:hAnsi="Arial" w:cs="Arial"/>
          <w:sz w:val="20"/>
          <w:szCs w:val="20"/>
        </w:rPr>
      </w:pPr>
    </w:p>
    <w:p w14:paraId="2EEC167B" w14:textId="77777777" w:rsidR="007F0669" w:rsidRPr="00DC6A4E" w:rsidRDefault="007F0669" w:rsidP="005A1F7F">
      <w:pPr>
        <w:pStyle w:val="ListParagraph"/>
        <w:ind w:left="1418"/>
        <w:jc w:val="both"/>
        <w:rPr>
          <w:rFonts w:ascii="Arial" w:hAnsi="Arial" w:cs="Arial"/>
          <w:sz w:val="20"/>
          <w:szCs w:val="20"/>
        </w:rPr>
      </w:pPr>
    </w:p>
    <w:p w14:paraId="322733A4" w14:textId="77777777" w:rsidR="007F0669" w:rsidRPr="00CD5999" w:rsidRDefault="007F0669" w:rsidP="005A1F7F">
      <w:pPr>
        <w:pStyle w:val="ListParagraph"/>
        <w:keepNext/>
        <w:keepLines/>
        <w:ind w:left="567"/>
        <w:rPr>
          <w:rFonts w:ascii="Arial" w:hAnsi="Arial" w:cs="Arial"/>
          <w:i/>
          <w:sz w:val="20"/>
          <w:szCs w:val="20"/>
        </w:rPr>
      </w:pPr>
      <w:r w:rsidRPr="00CD5999">
        <w:rPr>
          <w:rFonts w:ascii="Arial" w:hAnsi="Arial" w:cs="Arial"/>
          <w:i/>
          <w:sz w:val="20"/>
          <w:szCs w:val="20"/>
        </w:rPr>
        <w:t>Average number of designations per application</w:t>
      </w:r>
    </w:p>
    <w:p w14:paraId="24F4F4F2" w14:textId="77777777" w:rsidR="007F0669" w:rsidRPr="00DC6A4E" w:rsidRDefault="007F0669" w:rsidP="005A1F7F">
      <w:pPr>
        <w:spacing w:before="120" w:after="240"/>
        <w:jc w:val="center"/>
        <w:rPr>
          <w:rFonts w:ascii="Arial" w:hAnsi="Arial" w:cs="Arial"/>
          <w:sz w:val="20"/>
          <w:szCs w:val="20"/>
        </w:rPr>
      </w:pPr>
      <w:r w:rsidRPr="00DC6A4E">
        <w:rPr>
          <w:rFonts w:ascii="Arial" w:hAnsi="Arial" w:cs="Arial"/>
          <w:noProof/>
          <w:sz w:val="20"/>
          <w:szCs w:val="20"/>
          <w:lang w:eastAsia="en-US"/>
        </w:rPr>
        <w:drawing>
          <wp:inline distT="0" distB="0" distL="0" distR="0" wp14:anchorId="1D3B868B" wp14:editId="0FA54D0E">
            <wp:extent cx="3920947" cy="2563963"/>
            <wp:effectExtent l="0" t="0" r="3810" b="8255"/>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3929634" cy="2569644"/>
                    </a:xfrm>
                    <a:prstGeom prst="rect">
                      <a:avLst/>
                    </a:prstGeom>
                    <a:noFill/>
                  </pic:spPr>
                </pic:pic>
              </a:graphicData>
            </a:graphic>
          </wp:inline>
        </w:drawing>
      </w:r>
    </w:p>
    <w:p w14:paraId="64659DA3" w14:textId="77777777" w:rsidR="007F0669" w:rsidRDefault="007F0669" w:rsidP="00B66A4A">
      <w:pPr>
        <w:pStyle w:val="ListParagraph"/>
        <w:numPr>
          <w:ilvl w:val="0"/>
          <w:numId w:val="53"/>
        </w:numPr>
        <w:spacing w:after="200"/>
        <w:ind w:left="993" w:hanging="426"/>
        <w:jc w:val="both"/>
        <w:rPr>
          <w:rFonts w:ascii="Arial" w:hAnsi="Arial" w:cs="Arial"/>
          <w:sz w:val="20"/>
          <w:szCs w:val="20"/>
        </w:rPr>
      </w:pPr>
      <w:r w:rsidRPr="00DC6A4E">
        <w:rPr>
          <w:rFonts w:ascii="Arial" w:hAnsi="Arial" w:cs="Arial"/>
          <w:sz w:val="20"/>
          <w:szCs w:val="20"/>
        </w:rPr>
        <w:t>In 2014, an application contained, on average, nearly five designations.</w:t>
      </w:r>
    </w:p>
    <w:p w14:paraId="295D591F" w14:textId="77777777" w:rsidR="007F0669" w:rsidRPr="007138E9" w:rsidRDefault="007F0669" w:rsidP="005A1F7F">
      <w:pPr>
        <w:jc w:val="both"/>
        <w:rPr>
          <w:rFonts w:ascii="Arial" w:hAnsi="Arial" w:cs="Arial"/>
          <w:sz w:val="20"/>
          <w:szCs w:val="20"/>
        </w:rPr>
      </w:pPr>
    </w:p>
    <w:p w14:paraId="7D30CB1B" w14:textId="77777777" w:rsidR="007F0669" w:rsidRPr="007138E9" w:rsidRDefault="007F0669" w:rsidP="005A1F7F">
      <w:pPr>
        <w:pStyle w:val="ListParagraph"/>
        <w:keepNext/>
        <w:keepLines/>
        <w:spacing w:before="120" w:after="240"/>
        <w:ind w:left="567"/>
        <w:rPr>
          <w:rFonts w:ascii="Arial" w:hAnsi="Arial" w:cs="Arial"/>
          <w:i/>
          <w:sz w:val="20"/>
          <w:szCs w:val="20"/>
        </w:rPr>
      </w:pPr>
      <w:r w:rsidRPr="007138E9">
        <w:rPr>
          <w:rFonts w:ascii="Arial" w:hAnsi="Arial" w:cs="Arial"/>
          <w:i/>
          <w:sz w:val="20"/>
          <w:szCs w:val="20"/>
        </w:rPr>
        <w:lastRenderedPageBreak/>
        <w:t>Trend of irregularities in applications</w:t>
      </w:r>
    </w:p>
    <w:p w14:paraId="53ECCAA3" w14:textId="77777777" w:rsidR="007F0669" w:rsidRPr="00DC6A4E" w:rsidRDefault="007F0669" w:rsidP="005A1F7F">
      <w:pPr>
        <w:pStyle w:val="ListParagraph"/>
        <w:keepNext/>
        <w:keepLines/>
        <w:spacing w:before="120" w:after="240"/>
        <w:ind w:left="1080"/>
        <w:rPr>
          <w:rFonts w:ascii="Arial" w:hAnsi="Arial" w:cs="Arial"/>
          <w:sz w:val="20"/>
          <w:szCs w:val="20"/>
        </w:rPr>
      </w:pPr>
    </w:p>
    <w:p w14:paraId="3E26A469" w14:textId="77777777" w:rsidR="007F0669" w:rsidRPr="00DC6A4E" w:rsidRDefault="007F0669" w:rsidP="00B66A4A">
      <w:pPr>
        <w:pStyle w:val="ListParagraph"/>
        <w:keepNext/>
        <w:keepLines/>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Irregularities in applications are grouped among the ten categories shown below. </w:t>
      </w:r>
    </w:p>
    <w:p w14:paraId="6B7E17C6" w14:textId="77777777" w:rsidR="007F0669" w:rsidRPr="00DC6A4E" w:rsidRDefault="007F0669" w:rsidP="005A1F7F">
      <w:pPr>
        <w:keepNext/>
        <w:keepLines/>
        <w:spacing w:before="120" w:after="240"/>
        <w:jc w:val="center"/>
        <w:rPr>
          <w:rFonts w:ascii="Arial" w:hAnsi="Arial" w:cs="Arial"/>
          <w:sz w:val="20"/>
          <w:szCs w:val="20"/>
        </w:rPr>
      </w:pPr>
      <w:r w:rsidRPr="00DC6A4E">
        <w:rPr>
          <w:rFonts w:ascii="Arial" w:hAnsi="Arial" w:cs="Arial"/>
          <w:noProof/>
          <w:sz w:val="20"/>
          <w:szCs w:val="20"/>
          <w:lang w:eastAsia="en-US"/>
        </w:rPr>
        <w:drawing>
          <wp:inline distT="0" distB="0" distL="0" distR="0" wp14:anchorId="5389BB4C" wp14:editId="65E328B3">
            <wp:extent cx="4746929" cy="2901976"/>
            <wp:effectExtent l="0" t="0" r="0" b="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4746601" cy="2901776"/>
                    </a:xfrm>
                    <a:prstGeom prst="rect">
                      <a:avLst/>
                    </a:prstGeom>
                    <a:noFill/>
                  </pic:spPr>
                </pic:pic>
              </a:graphicData>
            </a:graphic>
          </wp:inline>
        </w:drawing>
      </w:r>
    </w:p>
    <w:p w14:paraId="5F62F9A5" w14:textId="77777777" w:rsidR="007F0669" w:rsidRPr="00DC6A4E" w:rsidRDefault="007F0669" w:rsidP="00B66A4A">
      <w:pPr>
        <w:pStyle w:val="ListParagraph"/>
        <w:numPr>
          <w:ilvl w:val="0"/>
          <w:numId w:val="53"/>
        </w:numPr>
        <w:spacing w:after="120"/>
        <w:ind w:left="992" w:hanging="425"/>
        <w:contextualSpacing w:val="0"/>
        <w:jc w:val="both"/>
        <w:rPr>
          <w:rFonts w:ascii="Arial" w:hAnsi="Arial" w:cs="Arial"/>
          <w:sz w:val="20"/>
          <w:szCs w:val="20"/>
        </w:rPr>
      </w:pPr>
      <w:r w:rsidRPr="00DC6A4E">
        <w:rPr>
          <w:rFonts w:ascii="Arial" w:hAnsi="Arial" w:cs="Arial"/>
          <w:sz w:val="20"/>
          <w:szCs w:val="20"/>
        </w:rPr>
        <w:t xml:space="preserve">In 2014, the IB identified 1,557 irregularities in applications, down 14 per cent over 2013. </w:t>
      </w:r>
    </w:p>
    <w:p w14:paraId="73100C60" w14:textId="77777777" w:rsidR="007F0669" w:rsidRPr="00DC6A4E" w:rsidRDefault="007F0669" w:rsidP="00B66A4A">
      <w:pPr>
        <w:pStyle w:val="ListParagraph"/>
        <w:numPr>
          <w:ilvl w:val="0"/>
          <w:numId w:val="53"/>
        </w:numPr>
        <w:spacing w:after="200"/>
        <w:ind w:left="993" w:hanging="426"/>
        <w:jc w:val="both"/>
        <w:rPr>
          <w:rFonts w:ascii="Arial" w:hAnsi="Arial" w:cs="Arial"/>
          <w:sz w:val="20"/>
          <w:szCs w:val="20"/>
        </w:rPr>
      </w:pPr>
      <w:r w:rsidRPr="00DC6A4E">
        <w:rPr>
          <w:rFonts w:ascii="Arial" w:hAnsi="Arial" w:cs="Arial"/>
          <w:sz w:val="20"/>
          <w:szCs w:val="20"/>
        </w:rPr>
        <w:t xml:space="preserve">Despite this sharp decrease, the irregularities related to product indications increased for the third consecutive year. </w:t>
      </w:r>
      <w:r>
        <w:rPr>
          <w:rFonts w:ascii="Arial" w:hAnsi="Arial" w:cs="Arial"/>
          <w:sz w:val="20"/>
          <w:szCs w:val="20"/>
        </w:rPr>
        <w:t xml:space="preserve"> </w:t>
      </w:r>
      <w:r w:rsidRPr="00DC6A4E">
        <w:rPr>
          <w:rFonts w:ascii="Arial" w:hAnsi="Arial" w:cs="Arial"/>
          <w:sz w:val="20"/>
          <w:szCs w:val="20"/>
        </w:rPr>
        <w:t>Together with irregularities of payment, they nearly accounted for half of total irregularities in 2014.</w:t>
      </w:r>
    </w:p>
    <w:p w14:paraId="49B7AC1F" w14:textId="77777777" w:rsidR="007F0669" w:rsidRPr="00DC6A4E" w:rsidRDefault="007F0669" w:rsidP="005A1F7F">
      <w:pPr>
        <w:spacing w:before="120"/>
        <w:rPr>
          <w:rFonts w:ascii="Arial" w:hAnsi="Arial" w:cs="Arial"/>
          <w:sz w:val="20"/>
          <w:szCs w:val="20"/>
        </w:rPr>
      </w:pPr>
    </w:p>
    <w:p w14:paraId="2652F4A9" w14:textId="77777777" w:rsidR="007F0669" w:rsidRPr="007138E9" w:rsidRDefault="007F0669" w:rsidP="005A1F7F">
      <w:pPr>
        <w:spacing w:before="120"/>
        <w:rPr>
          <w:rFonts w:ascii="Arial" w:hAnsi="Arial" w:cs="Arial"/>
          <w:sz w:val="20"/>
          <w:szCs w:val="20"/>
          <w:u w:val="single"/>
        </w:rPr>
      </w:pPr>
      <w:r w:rsidRPr="007138E9">
        <w:rPr>
          <w:rFonts w:ascii="Arial" w:hAnsi="Arial" w:cs="Arial"/>
          <w:sz w:val="20"/>
          <w:szCs w:val="20"/>
          <w:u w:val="single"/>
        </w:rPr>
        <w:t xml:space="preserve">Renewals </w:t>
      </w:r>
    </w:p>
    <w:p w14:paraId="5780B13D" w14:textId="77777777" w:rsidR="007F0669" w:rsidRPr="00DC6A4E" w:rsidRDefault="007F0669" w:rsidP="005A1F7F">
      <w:pPr>
        <w:spacing w:before="120" w:after="240"/>
        <w:jc w:val="center"/>
        <w:rPr>
          <w:rFonts w:ascii="Arial" w:hAnsi="Arial" w:cs="Arial"/>
          <w:sz w:val="20"/>
          <w:szCs w:val="20"/>
        </w:rPr>
      </w:pPr>
      <w:r w:rsidRPr="00DC6A4E">
        <w:rPr>
          <w:rFonts w:ascii="Arial" w:hAnsi="Arial" w:cs="Arial"/>
          <w:noProof/>
          <w:sz w:val="20"/>
          <w:szCs w:val="20"/>
          <w:lang w:eastAsia="en-US"/>
        </w:rPr>
        <w:drawing>
          <wp:inline distT="0" distB="0" distL="0" distR="0" wp14:anchorId="569D4FEA" wp14:editId="6C0FABA2">
            <wp:extent cx="4067251" cy="2655585"/>
            <wp:effectExtent l="0" t="0" r="9525" b="0"/>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4067611" cy="2655820"/>
                    </a:xfrm>
                    <a:prstGeom prst="rect">
                      <a:avLst/>
                    </a:prstGeom>
                    <a:noFill/>
                  </pic:spPr>
                </pic:pic>
              </a:graphicData>
            </a:graphic>
          </wp:inline>
        </w:drawing>
      </w:r>
    </w:p>
    <w:p w14:paraId="7F1C53B0" w14:textId="74A8C9C8" w:rsidR="007F0669" w:rsidRPr="00DC6A4E" w:rsidRDefault="007F0669" w:rsidP="00B66A4A">
      <w:pPr>
        <w:pStyle w:val="ListParagraph"/>
        <w:numPr>
          <w:ilvl w:val="0"/>
          <w:numId w:val="54"/>
        </w:numPr>
        <w:spacing w:after="120"/>
        <w:ind w:left="992" w:hanging="425"/>
        <w:contextualSpacing w:val="0"/>
        <w:jc w:val="both"/>
        <w:rPr>
          <w:rFonts w:ascii="Arial" w:hAnsi="Arial" w:cs="Arial"/>
          <w:sz w:val="20"/>
          <w:szCs w:val="20"/>
        </w:rPr>
      </w:pPr>
      <w:r w:rsidRPr="00DC6A4E">
        <w:rPr>
          <w:rFonts w:ascii="Arial" w:hAnsi="Arial" w:cs="Arial"/>
          <w:sz w:val="20"/>
          <w:szCs w:val="20"/>
        </w:rPr>
        <w:t xml:space="preserve">The number of renewals decreased </w:t>
      </w:r>
      <w:r>
        <w:rPr>
          <w:rFonts w:ascii="Arial" w:hAnsi="Arial" w:cs="Arial"/>
          <w:sz w:val="20"/>
          <w:szCs w:val="20"/>
        </w:rPr>
        <w:t>for the second consecutive year</w:t>
      </w:r>
      <w:r w:rsidRPr="00DC6A4E">
        <w:rPr>
          <w:rFonts w:ascii="Arial" w:hAnsi="Arial" w:cs="Arial"/>
          <w:sz w:val="20"/>
          <w:szCs w:val="20"/>
        </w:rPr>
        <w:t xml:space="preserve"> to </w:t>
      </w:r>
      <w:r w:rsidR="00235AAC">
        <w:rPr>
          <w:rFonts w:ascii="Arial" w:hAnsi="Arial" w:cs="Arial"/>
          <w:sz w:val="20"/>
          <w:szCs w:val="20"/>
        </w:rPr>
        <w:t>2,703</w:t>
      </w:r>
      <w:r w:rsidRPr="00DC6A4E">
        <w:rPr>
          <w:rFonts w:ascii="Arial" w:hAnsi="Arial" w:cs="Arial"/>
          <w:sz w:val="20"/>
          <w:szCs w:val="20"/>
        </w:rPr>
        <w:t xml:space="preserve"> renewals in</w:t>
      </w:r>
      <w:r>
        <w:rPr>
          <w:rFonts w:ascii="Arial" w:hAnsi="Arial" w:cs="Arial"/>
          <w:sz w:val="20"/>
          <w:szCs w:val="20"/>
        </w:rPr>
        <w:t> </w:t>
      </w:r>
      <w:r w:rsidRPr="00DC6A4E">
        <w:rPr>
          <w:rFonts w:ascii="Arial" w:hAnsi="Arial" w:cs="Arial"/>
          <w:sz w:val="20"/>
          <w:szCs w:val="20"/>
        </w:rPr>
        <w:t xml:space="preserve">2014. </w:t>
      </w:r>
      <w:r>
        <w:rPr>
          <w:rFonts w:ascii="Arial" w:hAnsi="Arial" w:cs="Arial"/>
          <w:sz w:val="20"/>
          <w:szCs w:val="20"/>
        </w:rPr>
        <w:t xml:space="preserve"> </w:t>
      </w:r>
      <w:r w:rsidRPr="00DC6A4E">
        <w:rPr>
          <w:rFonts w:ascii="Arial" w:hAnsi="Arial" w:cs="Arial"/>
          <w:sz w:val="20"/>
          <w:szCs w:val="20"/>
        </w:rPr>
        <w:t xml:space="preserve">This represented a </w:t>
      </w:r>
      <w:r w:rsidR="00235AAC">
        <w:rPr>
          <w:rFonts w:ascii="Arial" w:hAnsi="Arial" w:cs="Arial"/>
          <w:sz w:val="20"/>
          <w:szCs w:val="20"/>
        </w:rPr>
        <w:t xml:space="preserve">5 </w:t>
      </w:r>
      <w:r w:rsidRPr="00DC6A4E">
        <w:rPr>
          <w:rFonts w:ascii="Arial" w:hAnsi="Arial" w:cs="Arial"/>
          <w:sz w:val="20"/>
          <w:szCs w:val="20"/>
        </w:rPr>
        <w:t xml:space="preserve">per cent drop on 2013. </w:t>
      </w:r>
    </w:p>
    <w:p w14:paraId="3850AF27" w14:textId="77777777" w:rsidR="000D2666" w:rsidRPr="000D2666" w:rsidRDefault="007F0669" w:rsidP="00B66A4A">
      <w:pPr>
        <w:pStyle w:val="ListParagraph"/>
        <w:numPr>
          <w:ilvl w:val="0"/>
          <w:numId w:val="54"/>
        </w:numPr>
        <w:spacing w:after="200"/>
        <w:ind w:left="993" w:hanging="426"/>
        <w:jc w:val="both"/>
        <w:rPr>
          <w:rFonts w:ascii="Arial" w:hAnsi="Arial" w:cs="Arial"/>
          <w:sz w:val="20"/>
          <w:szCs w:val="20"/>
          <w:u w:val="single"/>
        </w:rPr>
      </w:pPr>
      <w:r w:rsidRPr="000D2666">
        <w:rPr>
          <w:rFonts w:ascii="Arial" w:hAnsi="Arial" w:cs="Arial"/>
          <w:sz w:val="20"/>
          <w:szCs w:val="20"/>
        </w:rPr>
        <w:t>Since 2013, a majority of renewals were processed automatically.  They accounted for 60 per cent of total renewals in 2014</w:t>
      </w:r>
    </w:p>
    <w:p w14:paraId="3BE70A32" w14:textId="635F3B38" w:rsidR="007F0669" w:rsidRPr="000D2666" w:rsidRDefault="007F0669" w:rsidP="000D2666">
      <w:pPr>
        <w:spacing w:after="200"/>
        <w:jc w:val="both"/>
        <w:rPr>
          <w:rFonts w:ascii="Arial" w:hAnsi="Arial" w:cs="Arial"/>
          <w:sz w:val="20"/>
          <w:szCs w:val="20"/>
          <w:u w:val="single"/>
        </w:rPr>
      </w:pPr>
    </w:p>
    <w:p w14:paraId="297F0073" w14:textId="77777777" w:rsidR="007F0669" w:rsidRPr="007138E9" w:rsidRDefault="007F0669" w:rsidP="00FB68E0">
      <w:pPr>
        <w:keepNext/>
        <w:keepLines/>
        <w:spacing w:before="120"/>
        <w:rPr>
          <w:rFonts w:ascii="Arial" w:hAnsi="Arial" w:cs="Arial"/>
          <w:sz w:val="20"/>
          <w:szCs w:val="20"/>
          <w:u w:val="single"/>
        </w:rPr>
      </w:pPr>
      <w:r w:rsidRPr="007138E9">
        <w:rPr>
          <w:rFonts w:ascii="Arial" w:hAnsi="Arial" w:cs="Arial"/>
          <w:sz w:val="20"/>
          <w:szCs w:val="20"/>
          <w:u w:val="single"/>
        </w:rPr>
        <w:lastRenderedPageBreak/>
        <w:t xml:space="preserve">Changes </w:t>
      </w:r>
    </w:p>
    <w:p w14:paraId="0840FEEB" w14:textId="77777777" w:rsidR="007F0669" w:rsidRPr="007138E9" w:rsidRDefault="007F0669" w:rsidP="00FB68E0">
      <w:pPr>
        <w:keepNext/>
        <w:keepLines/>
        <w:spacing w:before="120" w:after="240"/>
        <w:jc w:val="center"/>
        <w:rPr>
          <w:rFonts w:ascii="Arial" w:hAnsi="Arial" w:cs="Arial"/>
          <w:sz w:val="18"/>
          <w:szCs w:val="20"/>
        </w:rPr>
      </w:pPr>
      <w:r w:rsidRPr="00DC6A4E">
        <w:rPr>
          <w:rFonts w:ascii="Arial" w:hAnsi="Arial" w:cs="Arial"/>
          <w:noProof/>
          <w:sz w:val="20"/>
          <w:szCs w:val="20"/>
          <w:lang w:eastAsia="en-US"/>
        </w:rPr>
        <w:drawing>
          <wp:inline distT="0" distB="0" distL="0" distR="0" wp14:anchorId="303847B6" wp14:editId="7A23CD22">
            <wp:extent cx="4476902" cy="2927510"/>
            <wp:effectExtent l="0" t="0" r="0" b="6350"/>
            <wp:docPr id="810" name="Picture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4480114" cy="2929610"/>
                    </a:xfrm>
                    <a:prstGeom prst="rect">
                      <a:avLst/>
                    </a:prstGeom>
                    <a:noFill/>
                  </pic:spPr>
                </pic:pic>
              </a:graphicData>
            </a:graphic>
          </wp:inline>
        </w:drawing>
      </w:r>
    </w:p>
    <w:p w14:paraId="40802742" w14:textId="77777777" w:rsidR="007F0669" w:rsidRPr="00DC6A4E" w:rsidRDefault="007F0669" w:rsidP="00B66A4A">
      <w:pPr>
        <w:pStyle w:val="ListParagraph"/>
        <w:keepNext/>
        <w:keepLines/>
        <w:numPr>
          <w:ilvl w:val="0"/>
          <w:numId w:val="54"/>
        </w:numPr>
        <w:ind w:left="992" w:hanging="425"/>
        <w:contextualSpacing w:val="0"/>
        <w:jc w:val="both"/>
        <w:rPr>
          <w:rFonts w:ascii="Arial" w:hAnsi="Arial" w:cs="Arial"/>
          <w:sz w:val="20"/>
          <w:szCs w:val="20"/>
        </w:rPr>
      </w:pPr>
      <w:r w:rsidRPr="00DC6A4E">
        <w:rPr>
          <w:rFonts w:ascii="Arial" w:hAnsi="Arial" w:cs="Arial"/>
          <w:sz w:val="20"/>
          <w:szCs w:val="20"/>
        </w:rPr>
        <w:t xml:space="preserve">Applicants requested 1,063 changes in international registrations in 2014, up </w:t>
      </w:r>
      <w:r>
        <w:rPr>
          <w:rFonts w:ascii="Arial" w:hAnsi="Arial" w:cs="Arial"/>
          <w:sz w:val="20"/>
          <w:szCs w:val="20"/>
        </w:rPr>
        <w:t>8</w:t>
      </w:r>
      <w:r w:rsidRPr="00DC6A4E">
        <w:rPr>
          <w:rFonts w:ascii="Arial" w:hAnsi="Arial" w:cs="Arial"/>
          <w:sz w:val="20"/>
          <w:szCs w:val="20"/>
        </w:rPr>
        <w:t xml:space="preserve"> per cent from 2013. </w:t>
      </w:r>
    </w:p>
    <w:p w14:paraId="0F6ED710" w14:textId="77777777" w:rsidR="007F0669" w:rsidRPr="00DC6A4E" w:rsidRDefault="007F0669" w:rsidP="005A1F7F">
      <w:pPr>
        <w:rPr>
          <w:rFonts w:ascii="Arial" w:hAnsi="Arial" w:cs="Arial"/>
          <w:sz w:val="20"/>
          <w:szCs w:val="20"/>
        </w:rPr>
      </w:pPr>
    </w:p>
    <w:p w14:paraId="2A3D2A40" w14:textId="77777777" w:rsidR="007F0669" w:rsidRPr="007138E9" w:rsidRDefault="007F0669" w:rsidP="005A1F7F">
      <w:pPr>
        <w:rPr>
          <w:rFonts w:ascii="Arial" w:hAnsi="Arial" w:cs="Arial"/>
          <w:sz w:val="20"/>
          <w:szCs w:val="20"/>
          <w:u w:val="single"/>
        </w:rPr>
      </w:pPr>
      <w:r w:rsidRPr="007138E9">
        <w:rPr>
          <w:rFonts w:ascii="Arial" w:hAnsi="Arial" w:cs="Arial"/>
          <w:sz w:val="20"/>
          <w:szCs w:val="20"/>
          <w:u w:val="single"/>
        </w:rPr>
        <w:t xml:space="preserve">Decisions </w:t>
      </w:r>
    </w:p>
    <w:p w14:paraId="078A9DE3" w14:textId="77777777" w:rsidR="007F0669" w:rsidRPr="007138E9" w:rsidRDefault="007F0669" w:rsidP="005A1F7F">
      <w:pPr>
        <w:spacing w:before="120" w:after="240"/>
        <w:jc w:val="center"/>
        <w:rPr>
          <w:rFonts w:ascii="Arial" w:hAnsi="Arial" w:cs="Arial"/>
          <w:sz w:val="18"/>
          <w:szCs w:val="20"/>
        </w:rPr>
      </w:pPr>
      <w:r w:rsidRPr="00DC6A4E">
        <w:rPr>
          <w:rFonts w:ascii="Arial" w:hAnsi="Arial" w:cs="Arial"/>
          <w:noProof/>
          <w:sz w:val="20"/>
          <w:szCs w:val="20"/>
          <w:lang w:eastAsia="en-US"/>
        </w:rPr>
        <w:drawing>
          <wp:inline distT="0" distB="0" distL="0" distR="0" wp14:anchorId="4A817E26" wp14:editId="64D147C0">
            <wp:extent cx="4169664" cy="2726603"/>
            <wp:effectExtent l="0" t="0" r="2540"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4172655" cy="2728559"/>
                    </a:xfrm>
                    <a:prstGeom prst="rect">
                      <a:avLst/>
                    </a:prstGeom>
                    <a:noFill/>
                  </pic:spPr>
                </pic:pic>
              </a:graphicData>
            </a:graphic>
          </wp:inline>
        </w:drawing>
      </w:r>
    </w:p>
    <w:p w14:paraId="6BD7CFA0" w14:textId="77777777" w:rsidR="007F0669" w:rsidRPr="00DC6A4E" w:rsidRDefault="007F0669" w:rsidP="00B66A4A">
      <w:pPr>
        <w:pStyle w:val="ListParagraph"/>
        <w:numPr>
          <w:ilvl w:val="0"/>
          <w:numId w:val="58"/>
        </w:numPr>
        <w:spacing w:after="120"/>
        <w:ind w:left="992" w:hanging="425"/>
        <w:contextualSpacing w:val="0"/>
        <w:rPr>
          <w:rFonts w:ascii="Arial" w:hAnsi="Arial" w:cs="Arial"/>
          <w:sz w:val="20"/>
          <w:szCs w:val="20"/>
        </w:rPr>
      </w:pPr>
      <w:r w:rsidRPr="00DC6A4E">
        <w:rPr>
          <w:rFonts w:ascii="Arial" w:hAnsi="Arial" w:cs="Arial"/>
          <w:sz w:val="20"/>
          <w:szCs w:val="20"/>
        </w:rPr>
        <w:t xml:space="preserve">The number of decisions received in 2014 increased by 10 per cent, to 3,169 decisions. </w:t>
      </w:r>
    </w:p>
    <w:p w14:paraId="514515E0" w14:textId="77777777" w:rsidR="007F0669" w:rsidRPr="00DC6A4E" w:rsidRDefault="007F0669" w:rsidP="00B66A4A">
      <w:pPr>
        <w:pStyle w:val="ListParagraph"/>
        <w:numPr>
          <w:ilvl w:val="0"/>
          <w:numId w:val="58"/>
        </w:numPr>
        <w:spacing w:after="200"/>
        <w:ind w:left="993" w:hanging="426"/>
        <w:rPr>
          <w:rFonts w:ascii="Arial" w:hAnsi="Arial" w:cs="Arial"/>
          <w:sz w:val="20"/>
          <w:szCs w:val="20"/>
        </w:rPr>
      </w:pPr>
      <w:r w:rsidRPr="00DC6A4E">
        <w:rPr>
          <w:rFonts w:ascii="Arial" w:hAnsi="Arial" w:cs="Arial"/>
          <w:sz w:val="20"/>
          <w:szCs w:val="20"/>
        </w:rPr>
        <w:t>Between 68 per cent and 72 per cent of decisions were processed automatically since</w:t>
      </w:r>
      <w:r>
        <w:rPr>
          <w:rFonts w:ascii="Arial" w:hAnsi="Arial" w:cs="Arial"/>
          <w:sz w:val="20"/>
          <w:szCs w:val="20"/>
        </w:rPr>
        <w:t> </w:t>
      </w:r>
      <w:r w:rsidRPr="00DC6A4E">
        <w:rPr>
          <w:rFonts w:ascii="Arial" w:hAnsi="Arial" w:cs="Arial"/>
          <w:sz w:val="20"/>
          <w:szCs w:val="20"/>
        </w:rPr>
        <w:t>2011.</w:t>
      </w:r>
    </w:p>
    <w:p w14:paraId="626509AA" w14:textId="77777777" w:rsidR="007F0669" w:rsidRDefault="007F0669" w:rsidP="005A1F7F">
      <w:pPr>
        <w:pStyle w:val="ListParagraph"/>
        <w:spacing w:before="120" w:after="240"/>
        <w:rPr>
          <w:rFonts w:ascii="Arial" w:hAnsi="Arial" w:cs="Arial"/>
          <w:sz w:val="20"/>
          <w:szCs w:val="20"/>
        </w:rPr>
      </w:pPr>
    </w:p>
    <w:p w14:paraId="5930B00C" w14:textId="77777777" w:rsidR="007F0669" w:rsidRPr="00DC6A4E" w:rsidRDefault="007F0669" w:rsidP="005A1F7F">
      <w:pPr>
        <w:pStyle w:val="ListParagraph"/>
        <w:rPr>
          <w:rFonts w:ascii="Arial" w:hAnsi="Arial" w:cs="Arial"/>
          <w:sz w:val="20"/>
          <w:szCs w:val="20"/>
        </w:rPr>
      </w:pPr>
    </w:p>
    <w:p w14:paraId="3BDEAEC7" w14:textId="77777777" w:rsidR="007F0669" w:rsidRPr="00CD5999" w:rsidRDefault="007F0669" w:rsidP="005A1F7F">
      <w:pPr>
        <w:tabs>
          <w:tab w:val="left" w:pos="567"/>
        </w:tabs>
        <w:rPr>
          <w:rFonts w:ascii="Arial" w:hAnsi="Arial" w:cs="Arial"/>
          <w:b/>
          <w:sz w:val="20"/>
          <w:szCs w:val="20"/>
        </w:rPr>
      </w:pPr>
      <w:r w:rsidRPr="00CD5999">
        <w:rPr>
          <w:rFonts w:ascii="Arial" w:hAnsi="Arial" w:cs="Arial"/>
          <w:b/>
          <w:sz w:val="20"/>
          <w:szCs w:val="20"/>
        </w:rPr>
        <w:t>II.</w:t>
      </w:r>
      <w:r w:rsidRPr="00CD5999">
        <w:rPr>
          <w:rFonts w:ascii="Arial" w:hAnsi="Arial" w:cs="Arial"/>
          <w:b/>
          <w:sz w:val="20"/>
          <w:szCs w:val="20"/>
        </w:rPr>
        <w:tab/>
        <w:t xml:space="preserve">Total workload </w:t>
      </w:r>
    </w:p>
    <w:p w14:paraId="68E3C9C7" w14:textId="77777777" w:rsidR="007F0669" w:rsidRPr="00DC6A4E" w:rsidRDefault="007F0669" w:rsidP="005A1F7F">
      <w:pPr>
        <w:pStyle w:val="ListParagraph"/>
        <w:ind w:left="1080"/>
        <w:jc w:val="both"/>
        <w:rPr>
          <w:rFonts w:ascii="Arial" w:hAnsi="Arial" w:cs="Arial"/>
          <w:sz w:val="20"/>
          <w:szCs w:val="20"/>
        </w:rPr>
      </w:pPr>
    </w:p>
    <w:p w14:paraId="05C0CE0F"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The total workload represents the weighted total number of documents received at the IB. </w:t>
      </w:r>
      <w:r>
        <w:rPr>
          <w:rFonts w:ascii="Arial" w:hAnsi="Arial" w:cs="Arial"/>
          <w:sz w:val="20"/>
          <w:szCs w:val="20"/>
        </w:rPr>
        <w:t xml:space="preserve"> </w:t>
      </w:r>
      <w:r w:rsidRPr="00DC6A4E">
        <w:rPr>
          <w:rFonts w:ascii="Arial" w:hAnsi="Arial" w:cs="Arial"/>
          <w:sz w:val="20"/>
          <w:szCs w:val="20"/>
        </w:rPr>
        <w:t>All four categories of documents are included (applications, renewals, changes and decisions).</w:t>
      </w:r>
    </w:p>
    <w:p w14:paraId="50ADC51A" w14:textId="77777777" w:rsidR="007F0669" w:rsidRPr="00DC6A4E" w:rsidRDefault="007F0669" w:rsidP="005A1F7F">
      <w:pPr>
        <w:jc w:val="both"/>
        <w:rPr>
          <w:rFonts w:ascii="Arial" w:hAnsi="Arial" w:cs="Arial"/>
          <w:sz w:val="20"/>
          <w:szCs w:val="20"/>
        </w:rPr>
      </w:pPr>
    </w:p>
    <w:p w14:paraId="356F645E"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As processing these types of documents does not require equal resources, they are each weighted differently.  According to this weighting, during the time required to process an international application, an examiner can process eight renewals, four changes or four decisions. </w:t>
      </w:r>
      <w:r>
        <w:rPr>
          <w:rFonts w:ascii="Arial" w:hAnsi="Arial" w:cs="Arial"/>
          <w:sz w:val="20"/>
          <w:szCs w:val="20"/>
        </w:rPr>
        <w:t xml:space="preserve"> </w:t>
      </w:r>
      <w:r w:rsidRPr="00DC6A4E">
        <w:rPr>
          <w:rFonts w:ascii="Arial" w:hAnsi="Arial" w:cs="Arial"/>
          <w:sz w:val="20"/>
          <w:szCs w:val="20"/>
        </w:rPr>
        <w:t xml:space="preserve">Similarly, during </w:t>
      </w:r>
      <w:r w:rsidRPr="00DC6A4E">
        <w:rPr>
          <w:rFonts w:ascii="Arial" w:hAnsi="Arial" w:cs="Arial"/>
          <w:sz w:val="20"/>
          <w:szCs w:val="20"/>
        </w:rPr>
        <w:lastRenderedPageBreak/>
        <w:t xml:space="preserve">the time required to process an international application, an employee involved in the automation process can be deemed to process 13 documents. </w:t>
      </w:r>
    </w:p>
    <w:p w14:paraId="0D6A2F89" w14:textId="77777777" w:rsidR="007F0669" w:rsidRPr="00DC6A4E" w:rsidRDefault="007F0669" w:rsidP="005A1F7F">
      <w:pPr>
        <w:jc w:val="center"/>
        <w:rPr>
          <w:rFonts w:ascii="Arial" w:hAnsi="Arial" w:cs="Arial"/>
          <w:sz w:val="20"/>
          <w:szCs w:val="20"/>
        </w:rPr>
      </w:pPr>
      <w:r w:rsidRPr="00DC6A4E">
        <w:rPr>
          <w:rFonts w:ascii="Arial" w:hAnsi="Arial" w:cs="Arial"/>
          <w:noProof/>
          <w:sz w:val="20"/>
          <w:szCs w:val="20"/>
          <w:lang w:eastAsia="en-US"/>
        </w:rPr>
        <w:drawing>
          <wp:inline distT="0" distB="0" distL="0" distR="0" wp14:anchorId="4BBA89AF" wp14:editId="4E40DEDB">
            <wp:extent cx="5297460" cy="2296972"/>
            <wp:effectExtent l="0" t="0" r="0" b="8255"/>
            <wp:docPr id="812" name="Picture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5293943" cy="2295447"/>
                    </a:xfrm>
                    <a:prstGeom prst="rect">
                      <a:avLst/>
                    </a:prstGeom>
                    <a:noFill/>
                  </pic:spPr>
                </pic:pic>
              </a:graphicData>
            </a:graphic>
          </wp:inline>
        </w:drawing>
      </w:r>
    </w:p>
    <w:p w14:paraId="3DAE55E3" w14:textId="77777777" w:rsidR="007F0669" w:rsidRPr="00DC6A4E" w:rsidRDefault="007F0669" w:rsidP="00B66A4A">
      <w:pPr>
        <w:pStyle w:val="ListParagraph"/>
        <w:numPr>
          <w:ilvl w:val="0"/>
          <w:numId w:val="55"/>
        </w:numPr>
        <w:spacing w:after="120"/>
        <w:ind w:left="992" w:hanging="425"/>
        <w:contextualSpacing w:val="0"/>
        <w:jc w:val="both"/>
        <w:rPr>
          <w:rFonts w:ascii="Arial" w:hAnsi="Arial" w:cs="Arial"/>
          <w:sz w:val="20"/>
          <w:szCs w:val="20"/>
        </w:rPr>
      </w:pPr>
      <w:r w:rsidRPr="00DC6A4E">
        <w:rPr>
          <w:rFonts w:ascii="Arial" w:hAnsi="Arial" w:cs="Arial"/>
          <w:sz w:val="20"/>
          <w:szCs w:val="20"/>
        </w:rPr>
        <w:t>In 2014, the total workload remained stable compared to 2013. In 2014, applications alone represented 76 per cent of the total workload.</w:t>
      </w:r>
    </w:p>
    <w:p w14:paraId="6421CB5E" w14:textId="77777777" w:rsidR="007F0669" w:rsidRPr="00DC6A4E" w:rsidRDefault="007F0669" w:rsidP="00B66A4A">
      <w:pPr>
        <w:pStyle w:val="ListParagraph"/>
        <w:numPr>
          <w:ilvl w:val="0"/>
          <w:numId w:val="55"/>
        </w:numPr>
        <w:spacing w:after="200"/>
        <w:ind w:left="993" w:hanging="426"/>
        <w:jc w:val="both"/>
        <w:rPr>
          <w:rFonts w:ascii="Arial" w:hAnsi="Arial" w:cs="Arial"/>
          <w:sz w:val="20"/>
          <w:szCs w:val="20"/>
        </w:rPr>
      </w:pPr>
      <w:r w:rsidRPr="00DC6A4E">
        <w:rPr>
          <w:rFonts w:ascii="Arial" w:hAnsi="Arial" w:cs="Arial"/>
          <w:sz w:val="20"/>
          <w:szCs w:val="20"/>
        </w:rPr>
        <w:t>Between 2011 and 2013, the increase in workload was mainly due to the increase in the number of applications received.</w:t>
      </w:r>
    </w:p>
    <w:p w14:paraId="7F83B02F" w14:textId="77777777" w:rsidR="007F0669" w:rsidRPr="00DC6A4E" w:rsidRDefault="007F0669" w:rsidP="005A1F7F">
      <w:pPr>
        <w:rPr>
          <w:rFonts w:ascii="Arial" w:hAnsi="Arial" w:cs="Arial"/>
          <w:sz w:val="20"/>
          <w:szCs w:val="20"/>
        </w:rPr>
      </w:pPr>
    </w:p>
    <w:p w14:paraId="7A0AEF82" w14:textId="77777777" w:rsidR="007F0669" w:rsidRPr="00613F8E" w:rsidRDefault="007F0669" w:rsidP="005A1F7F">
      <w:pPr>
        <w:tabs>
          <w:tab w:val="left" w:pos="567"/>
        </w:tabs>
        <w:rPr>
          <w:rFonts w:ascii="Arial" w:hAnsi="Arial" w:cs="Arial"/>
          <w:b/>
          <w:sz w:val="20"/>
          <w:szCs w:val="20"/>
        </w:rPr>
      </w:pPr>
      <w:r>
        <w:rPr>
          <w:rFonts w:ascii="Arial" w:hAnsi="Arial" w:cs="Arial"/>
          <w:b/>
          <w:sz w:val="20"/>
          <w:szCs w:val="20"/>
        </w:rPr>
        <w:t>III.</w:t>
      </w:r>
      <w:r>
        <w:rPr>
          <w:rFonts w:ascii="Arial" w:hAnsi="Arial" w:cs="Arial"/>
          <w:b/>
          <w:sz w:val="20"/>
          <w:szCs w:val="20"/>
        </w:rPr>
        <w:tab/>
      </w:r>
      <w:r w:rsidRPr="00613F8E">
        <w:rPr>
          <w:rFonts w:ascii="Arial" w:hAnsi="Arial" w:cs="Arial"/>
          <w:b/>
          <w:sz w:val="20"/>
          <w:szCs w:val="20"/>
        </w:rPr>
        <w:t>Cost of Processing</w:t>
      </w:r>
    </w:p>
    <w:p w14:paraId="109358C6" w14:textId="77777777" w:rsidR="007F0669" w:rsidRPr="00DC6A4E" w:rsidRDefault="007F0669" w:rsidP="005A1F7F">
      <w:pPr>
        <w:pStyle w:val="ListParagraph"/>
        <w:ind w:left="1080"/>
        <w:rPr>
          <w:rFonts w:ascii="Arial" w:hAnsi="Arial" w:cs="Arial"/>
          <w:sz w:val="20"/>
          <w:szCs w:val="20"/>
        </w:rPr>
      </w:pPr>
    </w:p>
    <w:p w14:paraId="7FC151DB" w14:textId="77777777" w:rsidR="007F0669" w:rsidRPr="00613F8E" w:rsidRDefault="007F0669" w:rsidP="005A1F7F">
      <w:pPr>
        <w:rPr>
          <w:rFonts w:ascii="Arial" w:hAnsi="Arial" w:cs="Arial"/>
          <w:sz w:val="20"/>
          <w:szCs w:val="20"/>
          <w:u w:val="single"/>
        </w:rPr>
      </w:pPr>
      <w:r w:rsidRPr="00613F8E">
        <w:rPr>
          <w:rFonts w:ascii="Arial" w:hAnsi="Arial" w:cs="Arial"/>
          <w:sz w:val="20"/>
          <w:szCs w:val="20"/>
          <w:u w:val="single"/>
        </w:rPr>
        <w:t>Total cost of production</w:t>
      </w:r>
    </w:p>
    <w:p w14:paraId="366E4C06" w14:textId="77777777" w:rsidR="007F0669" w:rsidRPr="00DC6A4E" w:rsidRDefault="007F0669" w:rsidP="005A1F7F">
      <w:pPr>
        <w:pStyle w:val="ListParagraph"/>
        <w:ind w:left="1080"/>
        <w:jc w:val="both"/>
        <w:rPr>
          <w:rFonts w:ascii="Arial" w:hAnsi="Arial" w:cs="Arial"/>
          <w:sz w:val="20"/>
          <w:szCs w:val="20"/>
        </w:rPr>
      </w:pPr>
    </w:p>
    <w:p w14:paraId="4067599F"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The total cost of production is the total Hague System expenditure, plus a proportion of expenditure on support and management activities.</w:t>
      </w:r>
      <w:r>
        <w:rPr>
          <w:rFonts w:ascii="Arial" w:hAnsi="Arial" w:cs="Arial"/>
          <w:sz w:val="20"/>
          <w:szCs w:val="20"/>
        </w:rPr>
        <w:t xml:space="preserve"> </w:t>
      </w:r>
      <w:r w:rsidRPr="00DC6A4E">
        <w:rPr>
          <w:rFonts w:ascii="Arial" w:hAnsi="Arial" w:cs="Arial"/>
          <w:sz w:val="20"/>
          <w:szCs w:val="20"/>
        </w:rPr>
        <w:t xml:space="preserve"> It has direct and indirect components. Direct costs reflect expenditure incurred by the IB in administering the Hague System.</w:t>
      </w:r>
      <w:r w:rsidRPr="00DC6A4E">
        <w:rPr>
          <w:rStyle w:val="FootnoteReference"/>
          <w:rFonts w:ascii="Arial" w:hAnsi="Arial" w:cs="Arial"/>
          <w:sz w:val="20"/>
          <w:szCs w:val="20"/>
        </w:rPr>
        <w:footnoteReference w:id="27"/>
      </w:r>
      <w:r w:rsidRPr="00DC6A4E">
        <w:rPr>
          <w:rFonts w:ascii="Arial" w:hAnsi="Arial" w:cs="Arial"/>
          <w:sz w:val="20"/>
          <w:szCs w:val="20"/>
        </w:rPr>
        <w:t xml:space="preserve"> </w:t>
      </w:r>
      <w:r>
        <w:rPr>
          <w:rFonts w:ascii="Arial" w:hAnsi="Arial" w:cs="Arial"/>
          <w:sz w:val="20"/>
          <w:szCs w:val="20"/>
        </w:rPr>
        <w:t xml:space="preserve"> </w:t>
      </w:r>
      <w:r w:rsidRPr="00DC6A4E">
        <w:rPr>
          <w:rFonts w:ascii="Arial" w:hAnsi="Arial" w:cs="Arial"/>
          <w:sz w:val="20"/>
          <w:szCs w:val="20"/>
        </w:rPr>
        <w:t>Indirect costs reflect expenditure for supporting activities (such as buildings and information technology). Indirect costs are weighted to take into account only the share attributable to the Hague System.</w:t>
      </w:r>
    </w:p>
    <w:p w14:paraId="57E601A0" w14:textId="77777777" w:rsidR="007F0669" w:rsidRPr="00DC6A4E" w:rsidRDefault="007F0669" w:rsidP="005A1F7F">
      <w:pPr>
        <w:pStyle w:val="ListParagraph"/>
        <w:ind w:left="1080"/>
        <w:jc w:val="both"/>
        <w:rPr>
          <w:rFonts w:ascii="Arial" w:hAnsi="Arial" w:cs="Arial"/>
          <w:sz w:val="20"/>
          <w:szCs w:val="20"/>
        </w:rPr>
      </w:pPr>
    </w:p>
    <w:p w14:paraId="2DD9414D" w14:textId="77777777" w:rsidR="007F0669" w:rsidRPr="00613F8E" w:rsidRDefault="007F0669" w:rsidP="005A1F7F">
      <w:pPr>
        <w:pStyle w:val="ListParagraph"/>
        <w:ind w:left="1080"/>
        <w:rPr>
          <w:rFonts w:ascii="Arial" w:hAnsi="Arial" w:cs="Arial"/>
          <w:sz w:val="20"/>
          <w:szCs w:val="20"/>
        </w:rPr>
      </w:pPr>
      <w:r w:rsidRPr="00DC6A4E">
        <w:rPr>
          <w:rFonts w:ascii="Arial" w:hAnsi="Arial" w:cs="Arial"/>
          <w:noProof/>
          <w:color w:val="FF0000"/>
          <w:sz w:val="20"/>
          <w:szCs w:val="20"/>
          <w:lang w:eastAsia="en-US"/>
        </w:rPr>
        <w:drawing>
          <wp:inline distT="0" distB="0" distL="0" distR="0" wp14:anchorId="29B2610F" wp14:editId="3B424CB3">
            <wp:extent cx="4452730" cy="2665951"/>
            <wp:effectExtent l="0" t="0" r="5080" b="1270"/>
            <wp:docPr id="813" name="Picture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4455224" cy="2667444"/>
                    </a:xfrm>
                    <a:prstGeom prst="rect">
                      <a:avLst/>
                    </a:prstGeom>
                    <a:noFill/>
                  </pic:spPr>
                </pic:pic>
              </a:graphicData>
            </a:graphic>
          </wp:inline>
        </w:drawing>
      </w:r>
    </w:p>
    <w:p w14:paraId="02AAE937" w14:textId="0A51F060" w:rsidR="007F0669" w:rsidRPr="00DC6A4E" w:rsidRDefault="007F0669" w:rsidP="00B66A4A">
      <w:pPr>
        <w:pStyle w:val="ListParagraph"/>
        <w:numPr>
          <w:ilvl w:val="0"/>
          <w:numId w:val="56"/>
        </w:numPr>
        <w:spacing w:after="120"/>
        <w:ind w:left="992" w:hanging="425"/>
        <w:contextualSpacing w:val="0"/>
        <w:jc w:val="both"/>
        <w:rPr>
          <w:rFonts w:ascii="Arial" w:hAnsi="Arial" w:cs="Arial"/>
          <w:sz w:val="20"/>
          <w:szCs w:val="20"/>
        </w:rPr>
      </w:pPr>
      <w:r w:rsidRPr="00DC6A4E">
        <w:rPr>
          <w:rFonts w:ascii="Arial" w:hAnsi="Arial" w:cs="Arial"/>
          <w:sz w:val="20"/>
          <w:szCs w:val="20"/>
        </w:rPr>
        <w:t>The total expenditures related to the processing of the Hague System are estimated at 5.7</w:t>
      </w:r>
      <w:r>
        <w:rPr>
          <w:rFonts w:ascii="Arial" w:hAnsi="Arial" w:cs="Arial"/>
          <w:sz w:val="20"/>
          <w:szCs w:val="20"/>
        </w:rPr>
        <w:t> </w:t>
      </w:r>
      <w:r w:rsidRPr="00DC6A4E">
        <w:rPr>
          <w:rFonts w:ascii="Arial" w:hAnsi="Arial" w:cs="Arial"/>
          <w:sz w:val="20"/>
          <w:szCs w:val="20"/>
        </w:rPr>
        <w:t xml:space="preserve">million Swiss </w:t>
      </w:r>
      <w:r>
        <w:rPr>
          <w:rFonts w:ascii="Arial" w:hAnsi="Arial" w:cs="Arial"/>
          <w:sz w:val="20"/>
          <w:szCs w:val="20"/>
        </w:rPr>
        <w:t>f</w:t>
      </w:r>
      <w:r w:rsidRPr="00DC6A4E">
        <w:rPr>
          <w:rFonts w:ascii="Arial" w:hAnsi="Arial" w:cs="Arial"/>
          <w:sz w:val="20"/>
          <w:szCs w:val="20"/>
        </w:rPr>
        <w:t xml:space="preserve">rancs in 2014. </w:t>
      </w:r>
      <w:r>
        <w:rPr>
          <w:rFonts w:ascii="Arial" w:hAnsi="Arial" w:cs="Arial"/>
          <w:sz w:val="20"/>
          <w:szCs w:val="20"/>
        </w:rPr>
        <w:t xml:space="preserve"> </w:t>
      </w:r>
      <w:r w:rsidRPr="00DC6A4E">
        <w:rPr>
          <w:rFonts w:ascii="Arial" w:hAnsi="Arial" w:cs="Arial"/>
          <w:sz w:val="20"/>
          <w:szCs w:val="20"/>
        </w:rPr>
        <w:t>This represents a decrease of 5.7 per cent on 2013. Direct and indirect costs have decreased, by respectively 8.1 per cent and 2 per cent.</w:t>
      </w:r>
    </w:p>
    <w:p w14:paraId="71C185F8" w14:textId="77777777" w:rsidR="007F0669" w:rsidRPr="00DC6A4E" w:rsidRDefault="007F0669" w:rsidP="00B66A4A">
      <w:pPr>
        <w:pStyle w:val="ListParagraph"/>
        <w:numPr>
          <w:ilvl w:val="0"/>
          <w:numId w:val="56"/>
        </w:numPr>
        <w:spacing w:after="200"/>
        <w:ind w:left="993" w:hanging="426"/>
        <w:jc w:val="both"/>
        <w:rPr>
          <w:rFonts w:ascii="Arial" w:hAnsi="Arial" w:cs="Arial"/>
          <w:sz w:val="20"/>
          <w:szCs w:val="20"/>
        </w:rPr>
      </w:pPr>
      <w:r w:rsidRPr="00DC6A4E">
        <w:rPr>
          <w:rFonts w:ascii="Arial" w:hAnsi="Arial" w:cs="Arial"/>
          <w:sz w:val="20"/>
          <w:szCs w:val="20"/>
        </w:rPr>
        <w:t xml:space="preserve">In 2014, the direct costs accounted for 60 per cent of total expenditures. </w:t>
      </w:r>
    </w:p>
    <w:p w14:paraId="283D74A2" w14:textId="77777777" w:rsidR="007F0669" w:rsidRPr="00DC6A4E" w:rsidRDefault="007F0669" w:rsidP="005A1F7F">
      <w:pPr>
        <w:pStyle w:val="ListParagraph"/>
        <w:ind w:left="993" w:hanging="426"/>
        <w:rPr>
          <w:rFonts w:ascii="Arial" w:hAnsi="Arial" w:cs="Arial"/>
          <w:sz w:val="20"/>
          <w:szCs w:val="20"/>
        </w:rPr>
      </w:pPr>
    </w:p>
    <w:p w14:paraId="58B026B8" w14:textId="77777777" w:rsidR="007F0669" w:rsidRDefault="007F0669" w:rsidP="005A1F7F">
      <w:pPr>
        <w:rPr>
          <w:rFonts w:ascii="Arial" w:hAnsi="Arial" w:cs="Arial"/>
          <w:sz w:val="20"/>
          <w:szCs w:val="20"/>
          <w:u w:val="single"/>
        </w:rPr>
      </w:pPr>
      <w:r w:rsidRPr="00613F8E">
        <w:rPr>
          <w:rFonts w:ascii="Arial" w:hAnsi="Arial" w:cs="Arial"/>
          <w:sz w:val="20"/>
          <w:szCs w:val="20"/>
          <w:u w:val="single"/>
        </w:rPr>
        <w:lastRenderedPageBreak/>
        <w:t xml:space="preserve">Unit cost </w:t>
      </w:r>
    </w:p>
    <w:p w14:paraId="78CA3FB3" w14:textId="77777777" w:rsidR="007F0669" w:rsidRPr="00613F8E" w:rsidRDefault="007F0669" w:rsidP="005A1F7F">
      <w:pPr>
        <w:rPr>
          <w:rFonts w:ascii="Arial" w:hAnsi="Arial" w:cs="Arial"/>
          <w:sz w:val="20"/>
          <w:szCs w:val="20"/>
          <w:u w:val="single"/>
        </w:rPr>
      </w:pPr>
    </w:p>
    <w:p w14:paraId="01FAB496"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The IB’s efficiency in processing transactions can be measured by the unit cost, defined as the average cost of producing one unit of output.</w:t>
      </w:r>
    </w:p>
    <w:p w14:paraId="09EE8A07" w14:textId="77777777" w:rsidR="007F0669" w:rsidRPr="00DC6A4E" w:rsidRDefault="007F0669" w:rsidP="005A1F7F">
      <w:pPr>
        <w:contextualSpacing/>
        <w:jc w:val="both"/>
        <w:rPr>
          <w:rFonts w:ascii="Arial" w:hAnsi="Arial" w:cs="Arial"/>
          <w:sz w:val="20"/>
          <w:szCs w:val="20"/>
        </w:rPr>
      </w:pPr>
    </w:p>
    <w:p w14:paraId="1F31F67B"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As the IB registers new applications and maintains existing registrations, it is relevant to have a unit of output which includes a set of transactions. </w:t>
      </w:r>
      <w:r>
        <w:rPr>
          <w:rFonts w:ascii="Arial" w:hAnsi="Arial" w:cs="Arial"/>
          <w:sz w:val="20"/>
          <w:szCs w:val="20"/>
        </w:rPr>
        <w:t xml:space="preserve"> </w:t>
      </w:r>
      <w:r w:rsidRPr="00DC6A4E">
        <w:rPr>
          <w:rFonts w:ascii="Arial" w:hAnsi="Arial" w:cs="Arial"/>
          <w:sz w:val="20"/>
          <w:szCs w:val="20"/>
        </w:rPr>
        <w:t>Two unit cost indicators are presented below using two different units of output.</w:t>
      </w:r>
    </w:p>
    <w:p w14:paraId="5AC97F2D" w14:textId="77777777" w:rsidR="007F0669" w:rsidRPr="00DC6A4E" w:rsidRDefault="007F0669" w:rsidP="005A1F7F">
      <w:pPr>
        <w:pStyle w:val="ListParagraph"/>
        <w:tabs>
          <w:tab w:val="left" w:pos="0"/>
          <w:tab w:val="left" w:pos="567"/>
        </w:tabs>
        <w:ind w:left="0"/>
        <w:jc w:val="both"/>
        <w:rPr>
          <w:rFonts w:ascii="Arial" w:hAnsi="Arial" w:cs="Arial"/>
          <w:sz w:val="20"/>
          <w:szCs w:val="20"/>
        </w:rPr>
      </w:pPr>
    </w:p>
    <w:p w14:paraId="7F20BC45"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As part of the IB’s efforts to continuously refine the methodology for calculating unit costs, the methodology has been revised in the Program and Budget to reflect more accurately the cost of processing Hague workloads at the IB. </w:t>
      </w:r>
    </w:p>
    <w:p w14:paraId="25E3A046" w14:textId="77777777" w:rsidR="007F0669" w:rsidRPr="00DC6A4E" w:rsidRDefault="007F0669" w:rsidP="005A1F7F">
      <w:pPr>
        <w:pStyle w:val="ListParagraph"/>
        <w:tabs>
          <w:tab w:val="left" w:pos="0"/>
          <w:tab w:val="left" w:pos="567"/>
        </w:tabs>
        <w:ind w:left="0"/>
        <w:jc w:val="both"/>
        <w:rPr>
          <w:rFonts w:ascii="Arial" w:hAnsi="Arial" w:cs="Arial"/>
          <w:sz w:val="20"/>
          <w:szCs w:val="20"/>
        </w:rPr>
      </w:pPr>
    </w:p>
    <w:p w14:paraId="288864FD"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The revisions in question are the following:</w:t>
      </w:r>
    </w:p>
    <w:p w14:paraId="1397034C" w14:textId="77777777" w:rsidR="007F0669" w:rsidRPr="00DC6A4E" w:rsidRDefault="007F0669" w:rsidP="005A1F7F">
      <w:pPr>
        <w:pStyle w:val="ListParagraph"/>
        <w:tabs>
          <w:tab w:val="left" w:pos="0"/>
          <w:tab w:val="left" w:pos="567"/>
        </w:tabs>
        <w:spacing w:after="120"/>
        <w:ind w:left="0"/>
        <w:jc w:val="both"/>
        <w:rPr>
          <w:rFonts w:ascii="Arial" w:hAnsi="Arial" w:cs="Arial"/>
          <w:sz w:val="20"/>
          <w:szCs w:val="20"/>
        </w:rPr>
      </w:pPr>
    </w:p>
    <w:p w14:paraId="236635BB" w14:textId="77777777" w:rsidR="007F0669" w:rsidRPr="00DC6A4E" w:rsidRDefault="007F0669" w:rsidP="00B66A4A">
      <w:pPr>
        <w:pStyle w:val="ListParagraph"/>
        <w:numPr>
          <w:ilvl w:val="0"/>
          <w:numId w:val="59"/>
        </w:numPr>
        <w:spacing w:after="120"/>
        <w:ind w:left="1134" w:hanging="567"/>
        <w:contextualSpacing w:val="0"/>
        <w:jc w:val="both"/>
        <w:rPr>
          <w:rFonts w:ascii="Arial" w:hAnsi="Arial" w:cs="Arial"/>
          <w:sz w:val="20"/>
          <w:szCs w:val="20"/>
        </w:rPr>
      </w:pPr>
      <w:r w:rsidRPr="00DC6A4E">
        <w:rPr>
          <w:rFonts w:ascii="Arial" w:hAnsi="Arial" w:cs="Arial"/>
          <w:sz w:val="20"/>
          <w:szCs w:val="20"/>
        </w:rPr>
        <w:t xml:space="preserve">The methodology for calculating direct and indirect costs for </w:t>
      </w:r>
      <w:r w:rsidRPr="00DC6A4E">
        <w:rPr>
          <w:rFonts w:ascii="Arial" w:hAnsi="Arial" w:cs="Arial"/>
          <w:bCs/>
          <w:sz w:val="20"/>
          <w:szCs w:val="20"/>
        </w:rPr>
        <w:t>the Hague</w:t>
      </w:r>
      <w:r w:rsidRPr="00DC6A4E">
        <w:rPr>
          <w:rFonts w:ascii="Arial" w:hAnsi="Arial" w:cs="Arial"/>
          <w:sz w:val="20"/>
          <w:szCs w:val="20"/>
        </w:rPr>
        <w:t xml:space="preserve"> have been aligned with the methodologies for calculating PCT and Madrid unit costs.</w:t>
      </w:r>
    </w:p>
    <w:p w14:paraId="2328067A" w14:textId="77777777" w:rsidR="007F0669" w:rsidRPr="00DC6A4E" w:rsidRDefault="007F0669" w:rsidP="00B66A4A">
      <w:pPr>
        <w:pStyle w:val="ListParagraph"/>
        <w:numPr>
          <w:ilvl w:val="0"/>
          <w:numId w:val="46"/>
        </w:numPr>
        <w:spacing w:after="120"/>
        <w:ind w:left="1134" w:hanging="567"/>
        <w:contextualSpacing w:val="0"/>
        <w:jc w:val="both"/>
        <w:rPr>
          <w:rFonts w:ascii="Arial" w:hAnsi="Arial" w:cs="Arial"/>
          <w:sz w:val="20"/>
          <w:szCs w:val="20"/>
        </w:rPr>
      </w:pPr>
      <w:r w:rsidRPr="00DC6A4E">
        <w:rPr>
          <w:rFonts w:ascii="Arial" w:hAnsi="Arial" w:cs="Arial"/>
          <w:sz w:val="20"/>
          <w:szCs w:val="20"/>
        </w:rPr>
        <w:t>A weighted System has been introduced to better approximate the actual work required to process the four categories of documents, taking into account that certain of these documents are more labor-intensive than others.</w:t>
      </w:r>
      <w:r w:rsidRPr="00DC6A4E">
        <w:rPr>
          <w:rStyle w:val="FootnoteReference"/>
          <w:rFonts w:ascii="Arial" w:hAnsi="Arial" w:cs="Arial"/>
          <w:sz w:val="20"/>
          <w:szCs w:val="20"/>
        </w:rPr>
        <w:footnoteReference w:id="28"/>
      </w:r>
    </w:p>
    <w:p w14:paraId="518D2AFF" w14:textId="77777777" w:rsidR="007F0669" w:rsidRPr="00DC6A4E" w:rsidRDefault="007F0669" w:rsidP="00B66A4A">
      <w:pPr>
        <w:pStyle w:val="ListParagraph"/>
        <w:numPr>
          <w:ilvl w:val="0"/>
          <w:numId w:val="46"/>
        </w:numPr>
        <w:spacing w:after="120"/>
        <w:ind w:left="1134" w:hanging="567"/>
        <w:contextualSpacing w:val="0"/>
        <w:jc w:val="both"/>
        <w:rPr>
          <w:rFonts w:ascii="Arial" w:hAnsi="Arial" w:cs="Arial"/>
          <w:sz w:val="20"/>
          <w:szCs w:val="20"/>
        </w:rPr>
      </w:pPr>
      <w:r w:rsidRPr="00DC6A4E">
        <w:rPr>
          <w:rFonts w:ascii="Arial" w:hAnsi="Arial" w:cs="Arial"/>
          <w:sz w:val="20"/>
          <w:szCs w:val="20"/>
        </w:rPr>
        <w:t xml:space="preserve">The first unit cost has been redefined to include designs contained in new international registrations and in renewals (the unit cost in the Program and Budget 2014/15 included only designs contained in new international registrations). </w:t>
      </w:r>
      <w:r>
        <w:rPr>
          <w:rFonts w:ascii="Arial" w:hAnsi="Arial" w:cs="Arial"/>
          <w:sz w:val="20"/>
          <w:szCs w:val="20"/>
        </w:rPr>
        <w:t xml:space="preserve"> </w:t>
      </w:r>
      <w:r w:rsidRPr="00DC6A4E">
        <w:rPr>
          <w:rFonts w:ascii="Arial" w:hAnsi="Arial" w:cs="Arial"/>
          <w:sz w:val="20"/>
          <w:szCs w:val="20"/>
        </w:rPr>
        <w:t xml:space="preserve">The rationale for adding designs contained in renewals as a component of this unit cost is a sharper focus on the core Hague outputs, namely the international registration and its renewal. </w:t>
      </w:r>
    </w:p>
    <w:p w14:paraId="2FB746B7" w14:textId="77777777" w:rsidR="007F0669" w:rsidRDefault="007F0669" w:rsidP="00B66A4A">
      <w:pPr>
        <w:pStyle w:val="ListParagraph"/>
        <w:numPr>
          <w:ilvl w:val="0"/>
          <w:numId w:val="46"/>
        </w:numPr>
        <w:spacing w:after="200"/>
        <w:ind w:left="1134" w:hanging="567"/>
        <w:jc w:val="both"/>
        <w:rPr>
          <w:rFonts w:ascii="Arial" w:hAnsi="Arial" w:cs="Arial"/>
          <w:sz w:val="20"/>
          <w:szCs w:val="20"/>
        </w:rPr>
      </w:pPr>
      <w:r w:rsidRPr="00DC6A4E">
        <w:rPr>
          <w:rFonts w:ascii="Arial" w:hAnsi="Arial" w:cs="Arial"/>
          <w:sz w:val="20"/>
          <w:szCs w:val="20"/>
        </w:rPr>
        <w:t>The second unit cost is based on the number of documents processed and recorded in the register rather than the number of recordings due to the different levels of efforts required to process the various documents.</w:t>
      </w:r>
    </w:p>
    <w:p w14:paraId="2520984C" w14:textId="77777777" w:rsidR="007F0669" w:rsidRPr="00DC6A4E" w:rsidRDefault="007F0669" w:rsidP="005A1F7F">
      <w:pPr>
        <w:pStyle w:val="ListParagraph"/>
        <w:jc w:val="both"/>
        <w:rPr>
          <w:rFonts w:ascii="Arial" w:hAnsi="Arial" w:cs="Arial"/>
          <w:sz w:val="20"/>
          <w:szCs w:val="20"/>
        </w:rPr>
      </w:pPr>
    </w:p>
    <w:p w14:paraId="6E7F6FD4" w14:textId="77777777" w:rsidR="007F0669"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For ease of comparison, the graphs below depict the evolution of the two unit costs from 2008 to 2014 using the old methodology and from 2012 to 2014 using the new methodology, including a breakdown of the contribution of direct and indirect costs.</w:t>
      </w:r>
    </w:p>
    <w:p w14:paraId="29F1F826" w14:textId="77777777" w:rsidR="007F0669" w:rsidRPr="00DC6A4E" w:rsidRDefault="007F0669" w:rsidP="005A1F7F">
      <w:pPr>
        <w:pStyle w:val="ListParagraph"/>
        <w:tabs>
          <w:tab w:val="left" w:pos="0"/>
          <w:tab w:val="left" w:pos="567"/>
        </w:tabs>
        <w:ind w:left="0"/>
        <w:jc w:val="both"/>
        <w:rPr>
          <w:rFonts w:ascii="Arial" w:hAnsi="Arial" w:cs="Arial"/>
          <w:sz w:val="20"/>
          <w:szCs w:val="20"/>
        </w:rPr>
      </w:pPr>
    </w:p>
    <w:p w14:paraId="42C9A571" w14:textId="77777777" w:rsidR="007F0669" w:rsidRPr="00613F8E" w:rsidRDefault="007F0669" w:rsidP="005A1F7F">
      <w:pPr>
        <w:jc w:val="both"/>
        <w:rPr>
          <w:rFonts w:ascii="Arial" w:hAnsi="Arial" w:cs="Arial"/>
          <w:i/>
          <w:sz w:val="20"/>
          <w:szCs w:val="20"/>
        </w:rPr>
      </w:pPr>
      <w:r w:rsidRPr="00613F8E">
        <w:rPr>
          <w:rFonts w:ascii="Arial" w:hAnsi="Arial" w:cs="Arial"/>
          <w:i/>
          <w:sz w:val="20"/>
          <w:szCs w:val="20"/>
        </w:rPr>
        <w:t>Unit cost per new/renewed design</w:t>
      </w:r>
    </w:p>
    <w:p w14:paraId="4CDCBF82" w14:textId="77777777" w:rsidR="007F0669" w:rsidRPr="00DC6A4E" w:rsidRDefault="007F0669" w:rsidP="005A1F7F">
      <w:pPr>
        <w:jc w:val="both"/>
        <w:rPr>
          <w:rFonts w:ascii="Arial" w:hAnsi="Arial" w:cs="Arial"/>
          <w:sz w:val="20"/>
          <w:szCs w:val="20"/>
        </w:rPr>
      </w:pPr>
    </w:p>
    <w:p w14:paraId="4BABC7CD"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New designs consist of designs in international applications that are registered within a given year, and renewed designs consist of existing designs in international registrations that are renewed within a given year. </w:t>
      </w:r>
      <w:r>
        <w:rPr>
          <w:rFonts w:ascii="Arial" w:hAnsi="Arial" w:cs="Arial"/>
          <w:sz w:val="20"/>
          <w:szCs w:val="20"/>
        </w:rPr>
        <w:t xml:space="preserve"> </w:t>
      </w:r>
      <w:r w:rsidRPr="00DC6A4E">
        <w:rPr>
          <w:rFonts w:ascii="Arial" w:hAnsi="Arial" w:cs="Arial"/>
          <w:sz w:val="20"/>
          <w:szCs w:val="20"/>
        </w:rPr>
        <w:t>Combined, designs contained in these two types of transactions reflect the core business of the IB.</w:t>
      </w:r>
    </w:p>
    <w:p w14:paraId="181CDAB1" w14:textId="77777777" w:rsidR="007F0669" w:rsidRPr="00DC6A4E" w:rsidRDefault="007F0669" w:rsidP="005A1F7F">
      <w:pPr>
        <w:jc w:val="both"/>
        <w:rPr>
          <w:rFonts w:ascii="Arial" w:hAnsi="Arial" w:cs="Arial"/>
          <w:sz w:val="20"/>
          <w:szCs w:val="20"/>
        </w:rPr>
      </w:pPr>
    </w:p>
    <w:p w14:paraId="25FE7C43"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As processing designs contained in these two types of documents do not require equal resources, they are each weighted differently.</w:t>
      </w:r>
      <w:r w:rsidRPr="00DC6A4E">
        <w:rPr>
          <w:rStyle w:val="FootnoteReference"/>
          <w:rFonts w:ascii="Arial" w:hAnsi="Arial" w:cs="Arial"/>
          <w:sz w:val="20"/>
          <w:szCs w:val="20"/>
        </w:rPr>
        <w:footnoteReference w:id="29"/>
      </w:r>
      <w:r w:rsidRPr="00DC6A4E">
        <w:rPr>
          <w:rFonts w:ascii="Arial" w:hAnsi="Arial" w:cs="Arial"/>
          <w:sz w:val="20"/>
          <w:szCs w:val="20"/>
        </w:rPr>
        <w:t xml:space="preserve"> </w:t>
      </w:r>
      <w:r>
        <w:rPr>
          <w:rFonts w:ascii="Arial" w:hAnsi="Arial" w:cs="Arial"/>
          <w:sz w:val="20"/>
          <w:szCs w:val="20"/>
        </w:rPr>
        <w:t xml:space="preserve"> </w:t>
      </w:r>
      <w:r w:rsidRPr="00DC6A4E">
        <w:rPr>
          <w:rFonts w:ascii="Arial" w:hAnsi="Arial" w:cs="Arial"/>
          <w:sz w:val="20"/>
          <w:szCs w:val="20"/>
        </w:rPr>
        <w:t xml:space="preserve">The unit cost is calculated by dividing the total cost of production by the number of new/renewed designs.  </w:t>
      </w:r>
    </w:p>
    <w:p w14:paraId="2EF1E684" w14:textId="77777777" w:rsidR="007F0669" w:rsidRPr="00DC6A4E" w:rsidRDefault="007F0669" w:rsidP="005A1F7F">
      <w:pPr>
        <w:rPr>
          <w:rFonts w:ascii="Arial" w:hAnsi="Arial" w:cs="Arial"/>
          <w:sz w:val="20"/>
          <w:szCs w:val="20"/>
        </w:rPr>
      </w:pPr>
    </w:p>
    <w:p w14:paraId="11251712" w14:textId="77777777" w:rsidR="007F0669" w:rsidRPr="00DC6A4E" w:rsidRDefault="007F0669" w:rsidP="005A1F7F">
      <w:pPr>
        <w:spacing w:before="120" w:after="120"/>
        <w:jc w:val="both"/>
        <w:rPr>
          <w:rFonts w:ascii="Arial" w:hAnsi="Arial" w:cs="Arial"/>
          <w:sz w:val="20"/>
          <w:szCs w:val="20"/>
        </w:rPr>
      </w:pP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4350"/>
        <w:gridCol w:w="4937"/>
      </w:tblGrid>
      <w:tr w:rsidR="007F0669" w:rsidRPr="00DC6A4E" w14:paraId="612F5FA6" w14:textId="77777777" w:rsidTr="00976F9F">
        <w:tc>
          <w:tcPr>
            <w:tcW w:w="4788" w:type="dxa"/>
            <w:tcBorders>
              <w:left w:val="single" w:sz="4" w:space="0" w:color="auto"/>
              <w:right w:val="single" w:sz="4" w:space="0" w:color="auto"/>
            </w:tcBorders>
          </w:tcPr>
          <w:p w14:paraId="56F2BB18" w14:textId="77777777" w:rsidR="007F0669" w:rsidRPr="00DC6A4E" w:rsidRDefault="007F0669" w:rsidP="005A1F7F">
            <w:pPr>
              <w:keepNext/>
              <w:keepLines/>
              <w:spacing w:after="200" w:line="276" w:lineRule="auto"/>
              <w:jc w:val="center"/>
              <w:rPr>
                <w:rFonts w:ascii="Arial" w:hAnsi="Arial" w:cs="Arial"/>
                <w:sz w:val="20"/>
                <w:szCs w:val="20"/>
              </w:rPr>
            </w:pPr>
            <w:r w:rsidRPr="00DC6A4E">
              <w:rPr>
                <w:rFonts w:ascii="Arial" w:hAnsi="Arial" w:cs="Arial"/>
                <w:sz w:val="20"/>
                <w:szCs w:val="20"/>
              </w:rPr>
              <w:lastRenderedPageBreak/>
              <w:t>Old method</w:t>
            </w:r>
          </w:p>
        </w:tc>
        <w:tc>
          <w:tcPr>
            <w:tcW w:w="4788" w:type="dxa"/>
            <w:tcBorders>
              <w:left w:val="single" w:sz="4" w:space="0" w:color="auto"/>
              <w:right w:val="single" w:sz="4" w:space="0" w:color="auto"/>
            </w:tcBorders>
          </w:tcPr>
          <w:p w14:paraId="39007258" w14:textId="77777777" w:rsidR="007F0669" w:rsidRPr="00DC6A4E" w:rsidRDefault="007F0669" w:rsidP="005A1F7F">
            <w:pPr>
              <w:keepNext/>
              <w:keepLines/>
              <w:spacing w:after="200" w:line="276" w:lineRule="auto"/>
              <w:jc w:val="center"/>
              <w:rPr>
                <w:rFonts w:ascii="Arial" w:hAnsi="Arial" w:cs="Arial"/>
                <w:sz w:val="20"/>
                <w:szCs w:val="20"/>
              </w:rPr>
            </w:pPr>
            <w:r w:rsidRPr="00DC6A4E">
              <w:rPr>
                <w:rFonts w:ascii="Arial" w:hAnsi="Arial" w:cs="Arial"/>
                <w:sz w:val="20"/>
                <w:szCs w:val="20"/>
              </w:rPr>
              <w:t>New method</w:t>
            </w:r>
          </w:p>
        </w:tc>
      </w:tr>
      <w:tr w:rsidR="007F0669" w:rsidRPr="00DC6A4E" w14:paraId="7F00F018" w14:textId="77777777" w:rsidTr="00976F9F">
        <w:tc>
          <w:tcPr>
            <w:tcW w:w="4788" w:type="dxa"/>
          </w:tcPr>
          <w:p w14:paraId="717560A8" w14:textId="77777777" w:rsidR="007F0669" w:rsidRPr="00DC6A4E" w:rsidRDefault="007F0669" w:rsidP="005A1F7F">
            <w:pPr>
              <w:keepNext/>
              <w:keepLines/>
              <w:spacing w:after="200" w:line="276" w:lineRule="auto"/>
              <w:jc w:val="center"/>
              <w:rPr>
                <w:rFonts w:ascii="Arial" w:hAnsi="Arial" w:cs="Arial"/>
                <w:sz w:val="20"/>
                <w:szCs w:val="20"/>
              </w:rPr>
            </w:pPr>
            <w:r w:rsidRPr="00DC6A4E">
              <w:rPr>
                <w:rFonts w:ascii="Arial" w:hAnsi="Arial" w:cs="Arial"/>
                <w:noProof/>
                <w:sz w:val="20"/>
                <w:szCs w:val="20"/>
              </w:rPr>
              <w:drawing>
                <wp:inline distT="0" distB="0" distL="0" distR="0" wp14:anchorId="7985371B" wp14:editId="069FFCF9">
                  <wp:extent cx="2743200" cy="1911578"/>
                  <wp:effectExtent l="0" t="0" r="0" b="0"/>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2744985" cy="1912822"/>
                          </a:xfrm>
                          <a:prstGeom prst="rect">
                            <a:avLst/>
                          </a:prstGeom>
                          <a:noFill/>
                        </pic:spPr>
                      </pic:pic>
                    </a:graphicData>
                  </a:graphic>
                </wp:inline>
              </w:drawing>
            </w:r>
          </w:p>
        </w:tc>
        <w:tc>
          <w:tcPr>
            <w:tcW w:w="4788" w:type="dxa"/>
          </w:tcPr>
          <w:p w14:paraId="3F0A08D0" w14:textId="77777777" w:rsidR="007F0669" w:rsidRPr="00DC6A4E" w:rsidRDefault="007F0669" w:rsidP="005A1F7F">
            <w:pPr>
              <w:keepNext/>
              <w:keepLines/>
              <w:spacing w:after="200" w:line="276" w:lineRule="auto"/>
              <w:jc w:val="center"/>
              <w:rPr>
                <w:rFonts w:ascii="Arial" w:hAnsi="Arial" w:cs="Arial"/>
                <w:sz w:val="20"/>
                <w:szCs w:val="20"/>
              </w:rPr>
            </w:pPr>
            <w:r w:rsidRPr="00DC6A4E">
              <w:rPr>
                <w:rFonts w:ascii="Arial" w:hAnsi="Arial" w:cs="Arial"/>
                <w:noProof/>
                <w:sz w:val="20"/>
                <w:szCs w:val="20"/>
              </w:rPr>
              <w:drawing>
                <wp:inline distT="0" distB="0" distL="0" distR="0" wp14:anchorId="42B8A12B" wp14:editId="400BB7C0">
                  <wp:extent cx="3132814" cy="1985526"/>
                  <wp:effectExtent l="0" t="0" r="0" b="0"/>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3139448" cy="1989730"/>
                          </a:xfrm>
                          <a:prstGeom prst="rect">
                            <a:avLst/>
                          </a:prstGeom>
                          <a:noFill/>
                        </pic:spPr>
                      </pic:pic>
                    </a:graphicData>
                  </a:graphic>
                </wp:inline>
              </w:drawing>
            </w:r>
          </w:p>
        </w:tc>
      </w:tr>
    </w:tbl>
    <w:p w14:paraId="6207D56F" w14:textId="77777777" w:rsidR="007F0669" w:rsidRPr="006A0DF9" w:rsidRDefault="007F0669" w:rsidP="005A1F7F">
      <w:pPr>
        <w:pStyle w:val="ListParagraph"/>
        <w:spacing w:before="120" w:after="120"/>
        <w:ind w:left="1080"/>
        <w:jc w:val="center"/>
        <w:rPr>
          <w:rFonts w:ascii="Arial" w:hAnsi="Arial" w:cs="Arial"/>
          <w:sz w:val="20"/>
          <w:szCs w:val="20"/>
        </w:rPr>
      </w:pPr>
    </w:p>
    <w:p w14:paraId="6193E1CF" w14:textId="047F49F4" w:rsidR="007F0669" w:rsidRPr="00DC6A4E" w:rsidRDefault="007F0669" w:rsidP="00B66A4A">
      <w:pPr>
        <w:pStyle w:val="ListParagraph"/>
        <w:numPr>
          <w:ilvl w:val="0"/>
          <w:numId w:val="57"/>
        </w:numPr>
        <w:ind w:left="993" w:hanging="426"/>
        <w:jc w:val="both"/>
        <w:rPr>
          <w:rFonts w:ascii="Arial" w:hAnsi="Arial" w:cs="Arial"/>
          <w:sz w:val="20"/>
          <w:szCs w:val="20"/>
        </w:rPr>
      </w:pPr>
      <w:r w:rsidRPr="00DC6A4E">
        <w:rPr>
          <w:rFonts w:ascii="Arial" w:hAnsi="Arial" w:cs="Arial"/>
          <w:sz w:val="20"/>
          <w:szCs w:val="20"/>
        </w:rPr>
        <w:t xml:space="preserve">The average cost of processing a new/renewed design was of 366 Swiss </w:t>
      </w:r>
      <w:r>
        <w:rPr>
          <w:rFonts w:ascii="Arial" w:hAnsi="Arial" w:cs="Arial"/>
          <w:sz w:val="20"/>
          <w:szCs w:val="20"/>
        </w:rPr>
        <w:t>f</w:t>
      </w:r>
      <w:r w:rsidRPr="00DC6A4E">
        <w:rPr>
          <w:rFonts w:ascii="Arial" w:hAnsi="Arial" w:cs="Arial"/>
          <w:sz w:val="20"/>
          <w:szCs w:val="20"/>
        </w:rPr>
        <w:t xml:space="preserve">rancs in 2014, down 12.8 per cent from 2013. </w:t>
      </w:r>
      <w:r>
        <w:rPr>
          <w:rFonts w:ascii="Arial" w:hAnsi="Arial" w:cs="Arial"/>
          <w:sz w:val="20"/>
          <w:szCs w:val="20"/>
        </w:rPr>
        <w:t xml:space="preserve"> </w:t>
      </w:r>
      <w:r w:rsidRPr="00DC6A4E">
        <w:rPr>
          <w:rFonts w:ascii="Arial" w:hAnsi="Arial" w:cs="Arial"/>
          <w:sz w:val="20"/>
          <w:szCs w:val="20"/>
        </w:rPr>
        <w:t>This decrease was mainly due to a decrease of 5.7 per cent of the cost of production combined with an increase of 8.2 per cent of the number of new/renewed designs.</w:t>
      </w:r>
    </w:p>
    <w:p w14:paraId="014A9DEA" w14:textId="77777777" w:rsidR="007F0669" w:rsidRPr="00DC6A4E" w:rsidRDefault="007F0669" w:rsidP="005A1F7F">
      <w:pPr>
        <w:jc w:val="center"/>
        <w:rPr>
          <w:rFonts w:ascii="Arial" w:hAnsi="Arial" w:cs="Arial"/>
          <w:sz w:val="20"/>
          <w:szCs w:val="20"/>
        </w:rPr>
      </w:pPr>
    </w:p>
    <w:p w14:paraId="2698DA13" w14:textId="77777777" w:rsidR="007F0669" w:rsidRPr="00613F8E" w:rsidRDefault="007F0669" w:rsidP="005A1F7F">
      <w:pPr>
        <w:jc w:val="both"/>
        <w:rPr>
          <w:rFonts w:ascii="Arial" w:hAnsi="Arial" w:cs="Arial"/>
          <w:i/>
          <w:sz w:val="20"/>
          <w:szCs w:val="20"/>
        </w:rPr>
      </w:pPr>
      <w:r w:rsidRPr="00613F8E">
        <w:rPr>
          <w:rFonts w:ascii="Arial" w:hAnsi="Arial" w:cs="Arial"/>
          <w:i/>
          <w:sz w:val="20"/>
          <w:szCs w:val="20"/>
        </w:rPr>
        <w:t>Unit cost per document recorded in the register</w:t>
      </w:r>
    </w:p>
    <w:p w14:paraId="50F2C9FE" w14:textId="77777777" w:rsidR="007F0669" w:rsidRPr="00DC6A4E" w:rsidRDefault="007F0669" w:rsidP="005A1F7F">
      <w:pPr>
        <w:jc w:val="both"/>
        <w:rPr>
          <w:rFonts w:ascii="Arial" w:hAnsi="Arial" w:cs="Arial"/>
          <w:sz w:val="20"/>
          <w:szCs w:val="20"/>
        </w:rPr>
      </w:pPr>
    </w:p>
    <w:p w14:paraId="0D3BF85F"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 xml:space="preserve">The documents recorded in the register correspond to the total workload (see “Total workload” above). </w:t>
      </w:r>
    </w:p>
    <w:p w14:paraId="50B3FD46" w14:textId="77777777" w:rsidR="007F0669" w:rsidRPr="00DC6A4E" w:rsidRDefault="007F0669" w:rsidP="000D2666">
      <w:pPr>
        <w:keepNext/>
        <w:keepLines/>
        <w:jc w:val="both"/>
        <w:rPr>
          <w:rFonts w:ascii="Arial" w:hAnsi="Arial" w:cs="Arial"/>
          <w:sz w:val="20"/>
          <w:szCs w:val="20"/>
        </w:rPr>
      </w:pP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4457"/>
        <w:gridCol w:w="4830"/>
      </w:tblGrid>
      <w:tr w:rsidR="007F0669" w:rsidRPr="00DC6A4E" w14:paraId="29D53E8C" w14:textId="77777777" w:rsidTr="00976F9F">
        <w:tc>
          <w:tcPr>
            <w:tcW w:w="4788" w:type="dxa"/>
            <w:tcBorders>
              <w:left w:val="single" w:sz="4" w:space="0" w:color="auto"/>
              <w:right w:val="single" w:sz="4" w:space="0" w:color="auto"/>
            </w:tcBorders>
          </w:tcPr>
          <w:p w14:paraId="24083914" w14:textId="77777777" w:rsidR="007F0669" w:rsidRPr="00DC6A4E" w:rsidRDefault="007F0669" w:rsidP="000D2666">
            <w:pPr>
              <w:keepNext/>
              <w:keepLines/>
              <w:spacing w:after="200" w:line="276" w:lineRule="auto"/>
              <w:jc w:val="center"/>
              <w:rPr>
                <w:rFonts w:ascii="Arial" w:hAnsi="Arial" w:cs="Arial"/>
                <w:sz w:val="20"/>
                <w:szCs w:val="20"/>
              </w:rPr>
            </w:pPr>
            <w:r w:rsidRPr="00DC6A4E">
              <w:rPr>
                <w:rFonts w:ascii="Arial" w:hAnsi="Arial" w:cs="Arial"/>
                <w:sz w:val="20"/>
                <w:szCs w:val="20"/>
              </w:rPr>
              <w:t>Old method</w:t>
            </w:r>
          </w:p>
        </w:tc>
        <w:tc>
          <w:tcPr>
            <w:tcW w:w="4788" w:type="dxa"/>
            <w:tcBorders>
              <w:left w:val="single" w:sz="4" w:space="0" w:color="auto"/>
              <w:right w:val="single" w:sz="4" w:space="0" w:color="auto"/>
            </w:tcBorders>
          </w:tcPr>
          <w:p w14:paraId="6A827527" w14:textId="77777777" w:rsidR="007F0669" w:rsidRPr="00DC6A4E" w:rsidRDefault="007F0669" w:rsidP="000D2666">
            <w:pPr>
              <w:keepNext/>
              <w:keepLines/>
              <w:spacing w:after="200" w:line="276" w:lineRule="auto"/>
              <w:jc w:val="center"/>
              <w:rPr>
                <w:rFonts w:ascii="Arial" w:hAnsi="Arial" w:cs="Arial"/>
                <w:sz w:val="20"/>
                <w:szCs w:val="20"/>
              </w:rPr>
            </w:pPr>
            <w:r w:rsidRPr="00DC6A4E">
              <w:rPr>
                <w:rFonts w:ascii="Arial" w:hAnsi="Arial" w:cs="Arial"/>
                <w:sz w:val="20"/>
                <w:szCs w:val="20"/>
              </w:rPr>
              <w:t>New method</w:t>
            </w:r>
          </w:p>
        </w:tc>
      </w:tr>
      <w:tr w:rsidR="007F0669" w:rsidRPr="00DC6A4E" w14:paraId="55BF09F0" w14:textId="77777777" w:rsidTr="00976F9F">
        <w:tc>
          <w:tcPr>
            <w:tcW w:w="4788" w:type="dxa"/>
          </w:tcPr>
          <w:p w14:paraId="74CD517B" w14:textId="77777777" w:rsidR="007F0669" w:rsidRPr="00DC6A4E" w:rsidRDefault="007F0669" w:rsidP="000D2666">
            <w:pPr>
              <w:keepNext/>
              <w:keepLines/>
              <w:spacing w:after="200" w:line="276" w:lineRule="auto"/>
              <w:jc w:val="center"/>
              <w:rPr>
                <w:rFonts w:ascii="Arial" w:hAnsi="Arial" w:cs="Arial"/>
                <w:sz w:val="20"/>
                <w:szCs w:val="20"/>
              </w:rPr>
            </w:pPr>
            <w:r w:rsidRPr="00DC6A4E">
              <w:rPr>
                <w:rFonts w:ascii="Arial" w:hAnsi="Arial" w:cs="Arial"/>
                <w:noProof/>
                <w:sz w:val="20"/>
                <w:szCs w:val="20"/>
              </w:rPr>
              <w:drawing>
                <wp:inline distT="0" distB="0" distL="0" distR="0" wp14:anchorId="1C952562" wp14:editId="20C7D1E8">
                  <wp:extent cx="2806979" cy="1956021"/>
                  <wp:effectExtent l="0" t="0" r="0" b="6350"/>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2807895" cy="1956660"/>
                          </a:xfrm>
                          <a:prstGeom prst="rect">
                            <a:avLst/>
                          </a:prstGeom>
                          <a:noFill/>
                        </pic:spPr>
                      </pic:pic>
                    </a:graphicData>
                  </a:graphic>
                </wp:inline>
              </w:drawing>
            </w:r>
          </w:p>
        </w:tc>
        <w:tc>
          <w:tcPr>
            <w:tcW w:w="4788" w:type="dxa"/>
          </w:tcPr>
          <w:p w14:paraId="03BBC69C" w14:textId="77777777" w:rsidR="007F0669" w:rsidRPr="00DC6A4E" w:rsidRDefault="007F0669" w:rsidP="000D2666">
            <w:pPr>
              <w:keepNext/>
              <w:keepLines/>
              <w:spacing w:after="200" w:line="276" w:lineRule="auto"/>
              <w:jc w:val="center"/>
              <w:rPr>
                <w:rFonts w:ascii="Arial" w:hAnsi="Arial" w:cs="Arial"/>
                <w:sz w:val="20"/>
                <w:szCs w:val="20"/>
              </w:rPr>
            </w:pPr>
            <w:r w:rsidRPr="00DC6A4E">
              <w:rPr>
                <w:rFonts w:ascii="Arial" w:hAnsi="Arial" w:cs="Arial"/>
                <w:noProof/>
                <w:sz w:val="20"/>
                <w:szCs w:val="20"/>
              </w:rPr>
              <w:drawing>
                <wp:inline distT="0" distB="0" distL="0" distR="0" wp14:anchorId="2CCC78B0" wp14:editId="3B3ED5C0">
                  <wp:extent cx="3053301" cy="2002299"/>
                  <wp:effectExtent l="0" t="0" r="0" b="0"/>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3059480" cy="2006351"/>
                          </a:xfrm>
                          <a:prstGeom prst="rect">
                            <a:avLst/>
                          </a:prstGeom>
                          <a:noFill/>
                        </pic:spPr>
                      </pic:pic>
                    </a:graphicData>
                  </a:graphic>
                </wp:inline>
              </w:drawing>
            </w:r>
          </w:p>
        </w:tc>
      </w:tr>
    </w:tbl>
    <w:p w14:paraId="1CED3007" w14:textId="77777777" w:rsidR="007F0669" w:rsidRPr="00DC6A4E" w:rsidRDefault="007F0669" w:rsidP="000D2666">
      <w:pPr>
        <w:keepNext/>
        <w:keepLines/>
        <w:jc w:val="center"/>
        <w:rPr>
          <w:rFonts w:ascii="Arial" w:hAnsi="Arial" w:cs="Arial"/>
          <w:sz w:val="20"/>
          <w:szCs w:val="20"/>
        </w:rPr>
      </w:pPr>
    </w:p>
    <w:p w14:paraId="52584F57" w14:textId="2244B629" w:rsidR="007F0669" w:rsidRPr="00DC6A4E" w:rsidRDefault="007F0669" w:rsidP="00B66A4A">
      <w:pPr>
        <w:pStyle w:val="ListParagraph"/>
        <w:keepNext/>
        <w:keepLines/>
        <w:numPr>
          <w:ilvl w:val="0"/>
          <w:numId w:val="57"/>
        </w:numPr>
        <w:ind w:left="993" w:hanging="426"/>
        <w:jc w:val="both"/>
        <w:rPr>
          <w:rFonts w:ascii="Arial" w:hAnsi="Arial" w:cs="Arial"/>
          <w:sz w:val="20"/>
          <w:szCs w:val="20"/>
        </w:rPr>
      </w:pPr>
      <w:r w:rsidRPr="00DC6A4E">
        <w:rPr>
          <w:rFonts w:ascii="Arial" w:hAnsi="Arial" w:cs="Arial"/>
          <w:sz w:val="20"/>
          <w:szCs w:val="20"/>
        </w:rPr>
        <w:t xml:space="preserve">The average cost of recording a document in the register decreased to 1,483 Swiss </w:t>
      </w:r>
      <w:r>
        <w:rPr>
          <w:rFonts w:ascii="Arial" w:hAnsi="Arial" w:cs="Arial"/>
          <w:sz w:val="20"/>
          <w:szCs w:val="20"/>
        </w:rPr>
        <w:t>f</w:t>
      </w:r>
      <w:r w:rsidRPr="00DC6A4E">
        <w:rPr>
          <w:rFonts w:ascii="Arial" w:hAnsi="Arial" w:cs="Arial"/>
          <w:sz w:val="20"/>
          <w:szCs w:val="20"/>
        </w:rPr>
        <w:t>rancs in 2014. This is due to the decrease of 5.7 per cent of the cost of production.</w:t>
      </w:r>
    </w:p>
    <w:p w14:paraId="20E88B6F" w14:textId="77777777" w:rsidR="007F0669" w:rsidRPr="00DC6A4E" w:rsidRDefault="007F0669" w:rsidP="005A1F7F">
      <w:pPr>
        <w:pStyle w:val="ListParagraph"/>
        <w:ind w:left="0"/>
        <w:jc w:val="both"/>
        <w:rPr>
          <w:rFonts w:ascii="Arial" w:hAnsi="Arial" w:cs="Arial"/>
          <w:sz w:val="20"/>
          <w:szCs w:val="20"/>
        </w:rPr>
      </w:pPr>
    </w:p>
    <w:p w14:paraId="1439D81A" w14:textId="77777777" w:rsidR="007F0669" w:rsidRPr="00DC6A4E" w:rsidRDefault="007F0669" w:rsidP="005A1F7F">
      <w:pPr>
        <w:pStyle w:val="ListParagraph"/>
        <w:ind w:left="0"/>
        <w:rPr>
          <w:rFonts w:ascii="Arial" w:hAnsi="Arial" w:cs="Arial"/>
          <w:sz w:val="20"/>
          <w:szCs w:val="20"/>
        </w:rPr>
      </w:pPr>
    </w:p>
    <w:p w14:paraId="0A240875" w14:textId="77777777" w:rsidR="007F0669" w:rsidRPr="00CD5999" w:rsidRDefault="007F0669" w:rsidP="005A1F7F">
      <w:pPr>
        <w:tabs>
          <w:tab w:val="left" w:pos="567"/>
        </w:tabs>
        <w:spacing w:before="120" w:after="240"/>
        <w:rPr>
          <w:rFonts w:ascii="Arial" w:hAnsi="Arial" w:cs="Arial"/>
          <w:b/>
          <w:sz w:val="20"/>
          <w:szCs w:val="20"/>
        </w:rPr>
      </w:pPr>
      <w:r w:rsidRPr="00CD5999">
        <w:rPr>
          <w:rFonts w:ascii="Arial" w:hAnsi="Arial" w:cs="Arial"/>
          <w:b/>
          <w:sz w:val="20"/>
          <w:szCs w:val="20"/>
        </w:rPr>
        <w:t>III.</w:t>
      </w:r>
      <w:r w:rsidRPr="00CD5999">
        <w:rPr>
          <w:rFonts w:ascii="Arial" w:hAnsi="Arial" w:cs="Arial"/>
          <w:b/>
          <w:sz w:val="20"/>
          <w:szCs w:val="20"/>
        </w:rPr>
        <w:tab/>
        <w:t>Timeliness to process international applications</w:t>
      </w:r>
    </w:p>
    <w:p w14:paraId="23652E06" w14:textId="77777777" w:rsidR="007F0669" w:rsidRPr="00DC6A4E" w:rsidRDefault="007F0669" w:rsidP="00B66A4A">
      <w:pPr>
        <w:pStyle w:val="ListParagraph"/>
        <w:numPr>
          <w:ilvl w:val="0"/>
          <w:numId w:val="60"/>
        </w:numPr>
        <w:tabs>
          <w:tab w:val="left" w:pos="0"/>
          <w:tab w:val="left" w:pos="567"/>
        </w:tabs>
        <w:ind w:left="0" w:firstLine="0"/>
        <w:jc w:val="both"/>
        <w:rPr>
          <w:rFonts w:ascii="Arial" w:hAnsi="Arial" w:cs="Arial"/>
          <w:sz w:val="20"/>
          <w:szCs w:val="20"/>
        </w:rPr>
      </w:pPr>
      <w:r w:rsidRPr="00DC6A4E">
        <w:rPr>
          <w:rFonts w:ascii="Arial" w:hAnsi="Arial" w:cs="Arial"/>
          <w:sz w:val="20"/>
          <w:szCs w:val="20"/>
        </w:rPr>
        <w:t>This indicator reflects the time required by the IB to process regular applications. The timeliness is calculated between the time elapsed between the date of receipt of an application and the date it was registered.</w:t>
      </w:r>
    </w:p>
    <w:p w14:paraId="7BA35486" w14:textId="77777777" w:rsidR="007F0669" w:rsidRPr="00DC6A4E" w:rsidRDefault="007F0669" w:rsidP="005A1F7F">
      <w:pPr>
        <w:spacing w:before="120" w:after="240"/>
        <w:jc w:val="center"/>
        <w:rPr>
          <w:rFonts w:ascii="Arial" w:hAnsi="Arial" w:cs="Arial"/>
          <w:sz w:val="20"/>
          <w:szCs w:val="20"/>
        </w:rPr>
      </w:pPr>
      <w:r w:rsidRPr="00DC6A4E">
        <w:rPr>
          <w:rFonts w:ascii="Arial" w:hAnsi="Arial" w:cs="Arial"/>
          <w:noProof/>
          <w:sz w:val="20"/>
          <w:szCs w:val="20"/>
          <w:lang w:eastAsia="en-US"/>
        </w:rPr>
        <w:lastRenderedPageBreak/>
        <w:drawing>
          <wp:inline distT="0" distB="0" distL="0" distR="0" wp14:anchorId="749AEA1C" wp14:editId="76141952">
            <wp:extent cx="5077398" cy="2941070"/>
            <wp:effectExtent l="0" t="0" r="0" b="0"/>
            <wp:docPr id="818" name="Picture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5086370" cy="2946267"/>
                    </a:xfrm>
                    <a:prstGeom prst="rect">
                      <a:avLst/>
                    </a:prstGeom>
                    <a:noFill/>
                  </pic:spPr>
                </pic:pic>
              </a:graphicData>
            </a:graphic>
          </wp:inline>
        </w:drawing>
      </w:r>
    </w:p>
    <w:p w14:paraId="43EE894C" w14:textId="77777777" w:rsidR="007F0669" w:rsidRPr="00DC6A4E" w:rsidRDefault="007F0669" w:rsidP="00B66A4A">
      <w:pPr>
        <w:pStyle w:val="ListParagraph"/>
        <w:numPr>
          <w:ilvl w:val="0"/>
          <w:numId w:val="57"/>
        </w:numPr>
        <w:spacing w:after="120"/>
        <w:ind w:left="992" w:hanging="425"/>
        <w:contextualSpacing w:val="0"/>
        <w:jc w:val="both"/>
        <w:rPr>
          <w:rFonts w:ascii="Arial" w:hAnsi="Arial" w:cs="Arial"/>
          <w:sz w:val="20"/>
          <w:szCs w:val="20"/>
        </w:rPr>
      </w:pPr>
      <w:r w:rsidRPr="00DC6A4E">
        <w:rPr>
          <w:rFonts w:ascii="Arial" w:hAnsi="Arial" w:cs="Arial"/>
          <w:sz w:val="20"/>
          <w:szCs w:val="20"/>
        </w:rPr>
        <w:t>The share of applications processed within less than one week constantly increased since</w:t>
      </w:r>
      <w:r>
        <w:rPr>
          <w:rFonts w:ascii="Arial" w:hAnsi="Arial" w:cs="Arial"/>
          <w:sz w:val="20"/>
          <w:szCs w:val="20"/>
        </w:rPr>
        <w:t> </w:t>
      </w:r>
      <w:r w:rsidRPr="00DC6A4E">
        <w:rPr>
          <w:rFonts w:ascii="Arial" w:hAnsi="Arial" w:cs="Arial"/>
          <w:sz w:val="20"/>
          <w:szCs w:val="20"/>
        </w:rPr>
        <w:t>2011, to 45 per cent of applications in 2014.</w:t>
      </w:r>
    </w:p>
    <w:p w14:paraId="311602C0" w14:textId="77777777" w:rsidR="007F0669" w:rsidRDefault="007F0669" w:rsidP="00B66A4A">
      <w:pPr>
        <w:pStyle w:val="ListParagraph"/>
        <w:numPr>
          <w:ilvl w:val="0"/>
          <w:numId w:val="57"/>
        </w:numPr>
        <w:spacing w:after="120"/>
        <w:ind w:left="993" w:hanging="426"/>
        <w:contextualSpacing w:val="0"/>
        <w:jc w:val="both"/>
        <w:rPr>
          <w:rFonts w:ascii="Arial" w:hAnsi="Arial" w:cs="Arial"/>
          <w:sz w:val="20"/>
          <w:szCs w:val="20"/>
        </w:rPr>
      </w:pPr>
      <w:r w:rsidRPr="00DC6A4E">
        <w:rPr>
          <w:rFonts w:ascii="Arial" w:hAnsi="Arial" w:cs="Arial"/>
          <w:sz w:val="20"/>
          <w:szCs w:val="20"/>
        </w:rPr>
        <w:t>In 2014, 85 per cent of applications were processed within 2 weeks from the date of receipt at the IB.</w:t>
      </w:r>
    </w:p>
    <w:p w14:paraId="0BF50ADE" w14:textId="77777777" w:rsidR="00592800" w:rsidRDefault="00592800" w:rsidP="008D3EC2">
      <w:pPr>
        <w:autoSpaceDE w:val="0"/>
        <w:autoSpaceDN w:val="0"/>
        <w:adjustRightInd w:val="0"/>
        <w:rPr>
          <w:rFonts w:ascii="Arial" w:hAnsi="Arial" w:cs="Arial"/>
          <w:sz w:val="20"/>
        </w:rPr>
      </w:pPr>
    </w:p>
    <w:p w14:paraId="25E5BDF6" w14:textId="77777777" w:rsidR="007F0669" w:rsidRDefault="007F0669" w:rsidP="008D3EC2">
      <w:pPr>
        <w:autoSpaceDE w:val="0"/>
        <w:autoSpaceDN w:val="0"/>
        <w:adjustRightInd w:val="0"/>
        <w:rPr>
          <w:rFonts w:ascii="Arial" w:hAnsi="Arial" w:cs="Arial"/>
          <w:sz w:val="20"/>
        </w:rPr>
      </w:pPr>
    </w:p>
    <w:p w14:paraId="3CF39E93" w14:textId="77777777" w:rsidR="00592800" w:rsidRDefault="00592800" w:rsidP="008D3EC2">
      <w:pPr>
        <w:autoSpaceDE w:val="0"/>
        <w:autoSpaceDN w:val="0"/>
        <w:adjustRightInd w:val="0"/>
        <w:rPr>
          <w:rFonts w:ascii="Arial" w:hAnsi="Arial" w:cs="Arial"/>
          <w:sz w:val="20"/>
        </w:rPr>
        <w:sectPr w:rsidR="00592800" w:rsidSect="00FB68E0">
          <w:pgSz w:w="11907" w:h="16839" w:code="9"/>
          <w:pgMar w:top="624" w:right="1418" w:bottom="1361" w:left="1418" w:header="567" w:footer="851" w:gutter="0"/>
          <w:cols w:space="720"/>
          <w:docGrid w:linePitch="360"/>
        </w:sectPr>
      </w:pPr>
    </w:p>
    <w:p w14:paraId="6467C39B" w14:textId="12EF2528" w:rsidR="00592800" w:rsidRPr="0069571C" w:rsidRDefault="00592800" w:rsidP="00592800">
      <w:pPr>
        <w:pStyle w:val="StyleHeading3ComplexItalic"/>
        <w:keepNext w:val="0"/>
        <w:tabs>
          <w:tab w:val="clear" w:pos="1985"/>
          <w:tab w:val="left" w:pos="1418"/>
        </w:tabs>
        <w:ind w:left="1418" w:hanging="1418"/>
      </w:pPr>
      <w:bookmarkStart w:id="114" w:name="_Toc293334844"/>
      <w:bookmarkStart w:id="115" w:name="_Toc298920426"/>
      <w:bookmarkStart w:id="116" w:name="_Toc356567793"/>
      <w:bookmarkStart w:id="117" w:name="_Toc367350619"/>
      <w:bookmarkStart w:id="118" w:name="_Toc427154441"/>
      <w:r w:rsidRPr="007F65E7">
        <w:rPr>
          <w:caps w:val="0"/>
        </w:rPr>
        <w:lastRenderedPageBreak/>
        <w:t>ANNEX V</w:t>
      </w:r>
      <w:r>
        <w:rPr>
          <w:caps w:val="0"/>
        </w:rPr>
        <w:t>III</w:t>
      </w:r>
      <w:r w:rsidRPr="007F65E7">
        <w:rPr>
          <w:caps w:val="0"/>
        </w:rPr>
        <w:tab/>
        <w:t>FUNDS IN TRUST RESOURCES POTENTIALLY AVAILABLE FOR</w:t>
      </w:r>
      <w:r w:rsidR="004807F0">
        <w:rPr>
          <w:caps w:val="0"/>
        </w:rPr>
        <w:t> </w:t>
      </w:r>
      <w:r w:rsidRPr="007F65E7">
        <w:rPr>
          <w:caps w:val="0"/>
        </w:rPr>
        <w:t>PROGRAMMIN</w:t>
      </w:r>
      <w:r>
        <w:rPr>
          <w:caps w:val="0"/>
        </w:rPr>
        <w:t>G</w:t>
      </w:r>
      <w:bookmarkEnd w:id="114"/>
      <w:bookmarkEnd w:id="115"/>
      <w:bookmarkEnd w:id="116"/>
      <w:bookmarkEnd w:id="117"/>
      <w:bookmarkEnd w:id="118"/>
    </w:p>
    <w:p w14:paraId="7BC803DF" w14:textId="77777777" w:rsidR="00592800" w:rsidRDefault="00592800" w:rsidP="00592800">
      <w:pPr>
        <w:rPr>
          <w:rFonts w:ascii="Arial" w:hAnsi="Arial" w:cs="Arial"/>
          <w:sz w:val="20"/>
        </w:rPr>
      </w:pPr>
    </w:p>
    <w:p w14:paraId="78EF5B60" w14:textId="77777777" w:rsidR="004807F0" w:rsidRDefault="004807F0" w:rsidP="00592800">
      <w:pPr>
        <w:rPr>
          <w:rFonts w:ascii="Arial" w:hAnsi="Arial" w:cs="Arial"/>
          <w:sz w:val="20"/>
        </w:rPr>
      </w:pPr>
    </w:p>
    <w:p w14:paraId="1C83D21C" w14:textId="54D0D9A7" w:rsidR="004807F0" w:rsidRPr="004807F0" w:rsidRDefault="004807F0" w:rsidP="005A1F7F">
      <w:pPr>
        <w:jc w:val="center"/>
        <w:rPr>
          <w:rFonts w:ascii="Arial" w:hAnsi="Arial" w:cs="Arial"/>
          <w:b/>
          <w:sz w:val="20"/>
          <w:szCs w:val="16"/>
        </w:rPr>
      </w:pPr>
      <w:r w:rsidRPr="004807F0">
        <w:rPr>
          <w:rFonts w:ascii="Arial" w:hAnsi="Arial" w:cs="Arial"/>
          <w:b/>
          <w:sz w:val="20"/>
          <w:szCs w:val="16"/>
        </w:rPr>
        <w:t xml:space="preserve">Table </w:t>
      </w:r>
      <w:r w:rsidR="000D2666">
        <w:rPr>
          <w:rFonts w:ascii="Arial" w:hAnsi="Arial" w:cs="Arial"/>
          <w:b/>
          <w:sz w:val="20"/>
          <w:szCs w:val="16"/>
        </w:rPr>
        <w:t>19</w:t>
      </w:r>
      <w:r w:rsidRPr="004807F0">
        <w:rPr>
          <w:rFonts w:ascii="Arial" w:hAnsi="Arial" w:cs="Arial"/>
          <w:b/>
          <w:sz w:val="20"/>
          <w:szCs w:val="16"/>
        </w:rPr>
        <w:t>.  Funds in Trust Potentially Available for Programming in 2016/17</w:t>
      </w:r>
      <w:r w:rsidRPr="004807F0">
        <w:rPr>
          <w:rFonts w:ascii="Arial" w:hAnsi="Arial" w:cs="Arial"/>
          <w:sz w:val="20"/>
          <w:szCs w:val="16"/>
          <w:vertAlign w:val="superscript"/>
        </w:rPr>
        <w:t>1</w:t>
      </w:r>
      <w:r w:rsidRPr="004807F0">
        <w:rPr>
          <w:rFonts w:ascii="Arial" w:hAnsi="Arial" w:cs="Arial"/>
          <w:b/>
          <w:sz w:val="20"/>
          <w:szCs w:val="16"/>
        </w:rPr>
        <w:t xml:space="preserve"> </w:t>
      </w:r>
    </w:p>
    <w:p w14:paraId="0820332C" w14:textId="77777777" w:rsidR="004807F0" w:rsidRDefault="004807F0" w:rsidP="005A1F7F">
      <w:pPr>
        <w:jc w:val="center"/>
        <w:rPr>
          <w:rFonts w:ascii="Arial" w:hAnsi="Arial" w:cs="Arial"/>
          <w:i/>
          <w:sz w:val="20"/>
          <w:szCs w:val="16"/>
        </w:rPr>
      </w:pPr>
      <w:r w:rsidRPr="004807F0">
        <w:rPr>
          <w:rFonts w:ascii="Arial" w:hAnsi="Arial" w:cs="Arial"/>
          <w:i/>
          <w:sz w:val="20"/>
          <w:szCs w:val="16"/>
        </w:rPr>
        <w:t>(in thousands of Swiss francs)</w:t>
      </w:r>
    </w:p>
    <w:p w14:paraId="320E60BC" w14:textId="77777777" w:rsidR="00F0548F" w:rsidRDefault="00F0548F" w:rsidP="005A1F7F">
      <w:pPr>
        <w:jc w:val="center"/>
        <w:rPr>
          <w:rFonts w:ascii="Arial" w:hAnsi="Arial" w:cs="Arial"/>
          <w:i/>
          <w:sz w:val="20"/>
          <w:szCs w:val="16"/>
        </w:rPr>
      </w:pPr>
    </w:p>
    <w:p w14:paraId="6CA1CD55" w14:textId="6B3ACADC" w:rsidR="00F0548F" w:rsidRDefault="008C21BB" w:rsidP="005A1F7F">
      <w:pPr>
        <w:jc w:val="center"/>
        <w:rPr>
          <w:rFonts w:ascii="Arial" w:hAnsi="Arial" w:cs="Arial"/>
          <w:i/>
          <w:sz w:val="20"/>
          <w:szCs w:val="16"/>
        </w:rPr>
      </w:pPr>
      <w:r w:rsidRPr="008C21BB">
        <w:rPr>
          <w:noProof/>
          <w:lang w:eastAsia="en-US"/>
        </w:rPr>
        <w:drawing>
          <wp:inline distT="0" distB="0" distL="0" distR="0" wp14:anchorId="2E7AA447" wp14:editId="684513A9">
            <wp:extent cx="5896340" cy="3305175"/>
            <wp:effectExtent l="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5896017" cy="3304994"/>
                    </a:xfrm>
                    <a:prstGeom prst="rect">
                      <a:avLst/>
                    </a:prstGeom>
                    <a:noFill/>
                    <a:ln>
                      <a:noFill/>
                    </a:ln>
                  </pic:spPr>
                </pic:pic>
              </a:graphicData>
            </a:graphic>
          </wp:inline>
        </w:drawing>
      </w:r>
    </w:p>
    <w:p w14:paraId="411355F9" w14:textId="77777777" w:rsidR="004807F0" w:rsidRDefault="004807F0" w:rsidP="005A1F7F">
      <w:pPr>
        <w:jc w:val="center"/>
        <w:rPr>
          <w:rFonts w:ascii="Arial" w:hAnsi="Arial" w:cs="Arial"/>
          <w:sz w:val="20"/>
          <w:szCs w:val="20"/>
        </w:rPr>
      </w:pPr>
    </w:p>
    <w:p w14:paraId="040EF513" w14:textId="77777777" w:rsidR="004807F0" w:rsidRDefault="004807F0">
      <w:pPr>
        <w:rPr>
          <w:rFonts w:ascii="Arial" w:hAnsi="Arial" w:cs="Arial"/>
          <w:i/>
          <w:sz w:val="16"/>
          <w:szCs w:val="14"/>
        </w:rPr>
      </w:pPr>
      <w:r w:rsidRPr="003A1160">
        <w:rPr>
          <w:rFonts w:ascii="Arial" w:hAnsi="Arial" w:cs="Arial"/>
          <w:i/>
          <w:sz w:val="16"/>
          <w:szCs w:val="14"/>
          <w:vertAlign w:val="superscript"/>
        </w:rPr>
        <w:t>1</w:t>
      </w:r>
      <w:r w:rsidRPr="003A1160">
        <w:rPr>
          <w:rFonts w:ascii="Arial" w:hAnsi="Arial" w:cs="Arial"/>
          <w:i/>
          <w:sz w:val="16"/>
          <w:szCs w:val="14"/>
        </w:rPr>
        <w:t>The figures do not include interest and exchange rate adjustments.  It should also be noted that these funds generally provide for activities spanning a period of time exceeding or overlapping a single biennium, as income is received and expenditure incurred.</w:t>
      </w:r>
    </w:p>
    <w:p w14:paraId="1DD606F4" w14:textId="77777777" w:rsidR="004807F0" w:rsidRPr="003A1160" w:rsidRDefault="004807F0">
      <w:pPr>
        <w:rPr>
          <w:rFonts w:ascii="Arial" w:hAnsi="Arial" w:cs="Arial"/>
          <w:i/>
          <w:sz w:val="16"/>
          <w:szCs w:val="14"/>
        </w:rPr>
      </w:pPr>
    </w:p>
    <w:p w14:paraId="4CDC935F" w14:textId="77777777" w:rsidR="004807F0" w:rsidRDefault="004807F0">
      <w:pPr>
        <w:rPr>
          <w:rFonts w:ascii="Arial" w:hAnsi="Arial" w:cs="Arial"/>
          <w:i/>
          <w:sz w:val="16"/>
          <w:szCs w:val="14"/>
        </w:rPr>
      </w:pPr>
      <w:r w:rsidRPr="003A1160">
        <w:rPr>
          <w:rFonts w:ascii="Arial" w:hAnsi="Arial" w:cs="Arial"/>
          <w:i/>
          <w:sz w:val="16"/>
          <w:szCs w:val="14"/>
          <w:vertAlign w:val="superscript"/>
        </w:rPr>
        <w:t>2</w:t>
      </w:r>
      <w:r w:rsidRPr="003A1160">
        <w:rPr>
          <w:rFonts w:ascii="Arial" w:hAnsi="Arial" w:cs="Arial"/>
          <w:i/>
          <w:sz w:val="16"/>
          <w:szCs w:val="14"/>
        </w:rPr>
        <w:t>These figures are purely indicative and are based on previous funding patterns.  They do not represent Member States' commitments except in those cases where the FIT Agreement includes such a commitment.</w:t>
      </w:r>
    </w:p>
    <w:p w14:paraId="36D57BC8" w14:textId="77777777" w:rsidR="004807F0" w:rsidRPr="003A1160" w:rsidRDefault="004807F0">
      <w:pPr>
        <w:rPr>
          <w:rFonts w:ascii="Arial" w:hAnsi="Arial" w:cs="Arial"/>
          <w:i/>
          <w:sz w:val="16"/>
          <w:szCs w:val="14"/>
        </w:rPr>
      </w:pPr>
    </w:p>
    <w:p w14:paraId="450E8990" w14:textId="77777777" w:rsidR="004807F0" w:rsidRDefault="004807F0">
      <w:pPr>
        <w:rPr>
          <w:rFonts w:ascii="Arial" w:hAnsi="Arial" w:cs="Arial"/>
          <w:i/>
          <w:sz w:val="16"/>
          <w:szCs w:val="14"/>
        </w:rPr>
      </w:pPr>
      <w:r w:rsidRPr="003A1160">
        <w:rPr>
          <w:rFonts w:ascii="Arial" w:hAnsi="Arial" w:cs="Arial"/>
          <w:i/>
          <w:sz w:val="16"/>
          <w:szCs w:val="14"/>
          <w:vertAlign w:val="superscript"/>
        </w:rPr>
        <w:t>3</w:t>
      </w:r>
      <w:r w:rsidRPr="003A1160">
        <w:rPr>
          <w:rFonts w:ascii="Arial" w:hAnsi="Arial" w:cs="Arial"/>
          <w:i/>
          <w:sz w:val="16"/>
          <w:szCs w:val="14"/>
        </w:rPr>
        <w:t>Annual contributions vary and fluctuations have been observed from one year to another.</w:t>
      </w:r>
    </w:p>
    <w:p w14:paraId="36FA89E3" w14:textId="77777777" w:rsidR="004807F0" w:rsidRPr="003A1160" w:rsidRDefault="004807F0">
      <w:pPr>
        <w:rPr>
          <w:rFonts w:ascii="Arial" w:hAnsi="Arial" w:cs="Arial"/>
          <w:i/>
          <w:sz w:val="16"/>
          <w:szCs w:val="14"/>
        </w:rPr>
      </w:pPr>
    </w:p>
    <w:p w14:paraId="4488A853" w14:textId="77777777" w:rsidR="004807F0" w:rsidRDefault="004807F0" w:rsidP="005A1F7F">
      <w:pPr>
        <w:rPr>
          <w:rFonts w:ascii="Arial" w:hAnsi="Arial" w:cs="Arial"/>
          <w:i/>
          <w:sz w:val="16"/>
          <w:szCs w:val="14"/>
        </w:rPr>
      </w:pPr>
      <w:r w:rsidRPr="003A1160">
        <w:rPr>
          <w:rFonts w:ascii="Arial" w:hAnsi="Arial" w:cs="Arial"/>
          <w:i/>
          <w:sz w:val="16"/>
          <w:szCs w:val="14"/>
          <w:vertAlign w:val="superscript"/>
        </w:rPr>
        <w:t>4</w:t>
      </w:r>
      <w:r w:rsidRPr="003A1160">
        <w:rPr>
          <w:rFonts w:ascii="Arial" w:hAnsi="Arial" w:cs="Arial"/>
          <w:i/>
          <w:sz w:val="16"/>
          <w:szCs w:val="14"/>
        </w:rPr>
        <w:t>Republic of Korea (Education) - Expected Balance end 2015 takes into account encumbrances and obligations</w:t>
      </w:r>
    </w:p>
    <w:p w14:paraId="3F4D11CA" w14:textId="77777777" w:rsidR="004807F0" w:rsidRDefault="004807F0" w:rsidP="005A1F7F">
      <w:pPr>
        <w:rPr>
          <w:rFonts w:ascii="Arial" w:hAnsi="Arial" w:cs="Arial"/>
          <w:i/>
          <w:sz w:val="16"/>
          <w:szCs w:val="14"/>
        </w:rPr>
      </w:pPr>
    </w:p>
    <w:p w14:paraId="434977CD" w14:textId="5E48DEAE" w:rsidR="00592800" w:rsidRDefault="004807F0" w:rsidP="00592800">
      <w:pPr>
        <w:rPr>
          <w:rFonts w:ascii="Arial" w:hAnsi="Arial" w:cs="Arial"/>
          <w:sz w:val="20"/>
        </w:rPr>
      </w:pPr>
      <w:r w:rsidRPr="0086144F">
        <w:rPr>
          <w:rFonts w:ascii="Arial" w:hAnsi="Arial" w:cs="Arial"/>
          <w:i/>
          <w:sz w:val="14"/>
          <w:szCs w:val="14"/>
        </w:rPr>
        <w:t>.</w:t>
      </w:r>
    </w:p>
    <w:p w14:paraId="497BE641" w14:textId="77777777" w:rsidR="00592800" w:rsidRDefault="00592800" w:rsidP="008D3EC2">
      <w:pPr>
        <w:autoSpaceDE w:val="0"/>
        <w:autoSpaceDN w:val="0"/>
        <w:adjustRightInd w:val="0"/>
        <w:rPr>
          <w:rFonts w:ascii="Arial" w:hAnsi="Arial" w:cs="Arial"/>
          <w:sz w:val="20"/>
        </w:rPr>
        <w:sectPr w:rsidR="00592800" w:rsidSect="00FB68E0">
          <w:pgSz w:w="11907" w:h="16839" w:code="9"/>
          <w:pgMar w:top="624" w:right="1418" w:bottom="1361" w:left="1418" w:header="567" w:footer="851" w:gutter="0"/>
          <w:cols w:space="720"/>
          <w:docGrid w:linePitch="360"/>
        </w:sectPr>
      </w:pPr>
    </w:p>
    <w:p w14:paraId="4CE591ED" w14:textId="77777777" w:rsidR="00592800" w:rsidRPr="0069571C" w:rsidRDefault="00592800" w:rsidP="00592800">
      <w:pPr>
        <w:pStyle w:val="StyleHeading3ComplexItalic"/>
        <w:keepNext w:val="0"/>
        <w:tabs>
          <w:tab w:val="clear" w:pos="1985"/>
          <w:tab w:val="left" w:pos="1418"/>
        </w:tabs>
        <w:ind w:left="1418" w:hanging="1418"/>
      </w:pPr>
      <w:bookmarkStart w:id="119" w:name="_Toc293334847"/>
      <w:bookmarkStart w:id="120" w:name="_Toc298920429"/>
      <w:bookmarkStart w:id="121" w:name="_Toc356567794"/>
      <w:bookmarkStart w:id="122" w:name="_Toc367350620"/>
      <w:bookmarkStart w:id="123" w:name="_Toc427154442"/>
      <w:r w:rsidRPr="007F65E7">
        <w:rPr>
          <w:caps w:val="0"/>
        </w:rPr>
        <w:lastRenderedPageBreak/>
        <w:t xml:space="preserve">ANNEX </w:t>
      </w:r>
      <w:r>
        <w:rPr>
          <w:caps w:val="0"/>
        </w:rPr>
        <w:t>IX</w:t>
      </w:r>
      <w:r w:rsidRPr="007F65E7">
        <w:rPr>
          <w:caps w:val="0"/>
        </w:rPr>
        <w:tab/>
        <w:t>ANNUAL BUDGET TABLES FOR IPSAS REPORTING</w:t>
      </w:r>
      <w:bookmarkEnd w:id="119"/>
      <w:bookmarkEnd w:id="120"/>
      <w:bookmarkEnd w:id="121"/>
      <w:bookmarkEnd w:id="122"/>
      <w:bookmarkEnd w:id="123"/>
    </w:p>
    <w:p w14:paraId="1E1C1A26" w14:textId="77777777" w:rsidR="00592800" w:rsidRDefault="00592800" w:rsidP="00592800">
      <w:pPr>
        <w:rPr>
          <w:rFonts w:ascii="Arial" w:hAnsi="Arial" w:cs="Arial"/>
          <w:sz w:val="20"/>
        </w:rPr>
      </w:pPr>
    </w:p>
    <w:p w14:paraId="52AE9182" w14:textId="7485BBA0" w:rsidR="00592800" w:rsidRDefault="00592800" w:rsidP="008D3EC2">
      <w:pPr>
        <w:autoSpaceDE w:val="0"/>
        <w:autoSpaceDN w:val="0"/>
        <w:adjustRightInd w:val="0"/>
        <w:rPr>
          <w:rFonts w:ascii="Arial" w:hAnsi="Arial" w:cs="Arial"/>
          <w:sz w:val="20"/>
        </w:rPr>
      </w:pPr>
    </w:p>
    <w:p w14:paraId="26257E71" w14:textId="77777777" w:rsidR="004439C9" w:rsidRPr="00136426" w:rsidRDefault="004439C9" w:rsidP="00B66A4A">
      <w:pPr>
        <w:numPr>
          <w:ilvl w:val="0"/>
          <w:numId w:val="61"/>
        </w:numPr>
        <w:jc w:val="both"/>
        <w:rPr>
          <w:rFonts w:ascii="Arial" w:hAnsi="Arial" w:cs="Arial"/>
          <w:sz w:val="20"/>
          <w:szCs w:val="20"/>
        </w:rPr>
      </w:pPr>
      <w:r w:rsidRPr="00136426">
        <w:rPr>
          <w:rFonts w:ascii="Arial" w:hAnsi="Arial" w:cs="Arial"/>
          <w:sz w:val="20"/>
          <w:szCs w:val="20"/>
        </w:rPr>
        <w:t xml:space="preserve">At the forty-third session of the Assemblies from September 24 to October 3, 2007, Member States </w:t>
      </w:r>
      <w:r>
        <w:rPr>
          <w:rFonts w:ascii="Arial" w:hAnsi="Arial" w:cs="Arial"/>
          <w:sz w:val="20"/>
          <w:szCs w:val="20"/>
        </w:rPr>
        <w:t>approved the principle of</w:t>
      </w:r>
      <w:r w:rsidRPr="00136426">
        <w:rPr>
          <w:rFonts w:ascii="Arial" w:hAnsi="Arial" w:cs="Arial"/>
          <w:sz w:val="20"/>
          <w:szCs w:val="20"/>
        </w:rPr>
        <w:t xml:space="preserve"> the adoption by WIPO of IPSAS by 2010 (reference document</w:t>
      </w:r>
      <w:r>
        <w:rPr>
          <w:rFonts w:ascii="Arial" w:hAnsi="Arial" w:cs="Arial"/>
          <w:sz w:val="20"/>
          <w:szCs w:val="20"/>
        </w:rPr>
        <w:t>s</w:t>
      </w:r>
      <w:r w:rsidRPr="00136426">
        <w:rPr>
          <w:rFonts w:ascii="Arial" w:hAnsi="Arial" w:cs="Arial"/>
          <w:sz w:val="20"/>
          <w:szCs w:val="20"/>
        </w:rPr>
        <w:t xml:space="preserve"> A/43/5</w:t>
      </w:r>
      <w:r>
        <w:rPr>
          <w:rFonts w:ascii="Arial" w:hAnsi="Arial" w:cs="Arial"/>
          <w:sz w:val="20"/>
          <w:szCs w:val="20"/>
        </w:rPr>
        <w:t xml:space="preserve"> and A/43/16</w:t>
      </w:r>
      <w:r w:rsidRPr="00136426">
        <w:rPr>
          <w:rFonts w:ascii="Arial" w:hAnsi="Arial" w:cs="Arial"/>
          <w:sz w:val="20"/>
          <w:szCs w:val="20"/>
        </w:rPr>
        <w:t xml:space="preserve">).  This </w:t>
      </w:r>
      <w:r>
        <w:rPr>
          <w:rFonts w:ascii="Arial" w:hAnsi="Arial" w:cs="Arial"/>
          <w:sz w:val="20"/>
          <w:szCs w:val="20"/>
        </w:rPr>
        <w:t>approval</w:t>
      </w:r>
      <w:r w:rsidRPr="00136426">
        <w:rPr>
          <w:rFonts w:ascii="Arial" w:hAnsi="Arial" w:cs="Arial"/>
          <w:sz w:val="20"/>
          <w:szCs w:val="20"/>
        </w:rPr>
        <w:t xml:space="preserve"> </w:t>
      </w:r>
      <w:r>
        <w:rPr>
          <w:rFonts w:ascii="Arial" w:hAnsi="Arial" w:cs="Arial"/>
          <w:sz w:val="20"/>
          <w:szCs w:val="20"/>
        </w:rPr>
        <w:t>was related to the</w:t>
      </w:r>
      <w:r w:rsidRPr="00136426">
        <w:rPr>
          <w:rFonts w:ascii="Arial" w:hAnsi="Arial" w:cs="Arial"/>
          <w:sz w:val="20"/>
          <w:szCs w:val="20"/>
        </w:rPr>
        <w:t xml:space="preserve"> United Nations system-wide initiative endorsed by the General Assembly (A/RES/60/283(IV)I) to replace the existing United Nations Systems Accounting Standards (UNSAS) with IPSAS, which are internationally recognized. Accordingly, WIPO’s financial statements from the year 2010 are prepared in accordance with IPSAS. </w:t>
      </w:r>
    </w:p>
    <w:p w14:paraId="07707E1A" w14:textId="77777777" w:rsidR="004439C9" w:rsidRPr="00136426" w:rsidRDefault="004439C9" w:rsidP="005A1F7F">
      <w:pPr>
        <w:ind w:left="1"/>
        <w:jc w:val="both"/>
        <w:rPr>
          <w:rFonts w:ascii="Arial" w:hAnsi="Arial" w:cs="Arial"/>
          <w:sz w:val="20"/>
          <w:szCs w:val="20"/>
        </w:rPr>
      </w:pPr>
    </w:p>
    <w:p w14:paraId="01A25380" w14:textId="77777777" w:rsidR="004439C9" w:rsidRPr="00136426" w:rsidRDefault="004439C9" w:rsidP="00B66A4A">
      <w:pPr>
        <w:numPr>
          <w:ilvl w:val="0"/>
          <w:numId w:val="61"/>
        </w:numPr>
        <w:jc w:val="both"/>
        <w:rPr>
          <w:rFonts w:ascii="Arial" w:hAnsi="Arial" w:cs="Arial"/>
          <w:sz w:val="20"/>
          <w:szCs w:val="20"/>
        </w:rPr>
      </w:pPr>
      <w:r w:rsidRPr="00136426">
        <w:rPr>
          <w:rFonts w:ascii="Arial" w:hAnsi="Arial" w:cs="Arial"/>
          <w:sz w:val="20"/>
          <w:szCs w:val="20"/>
        </w:rPr>
        <w:t xml:space="preserve">WIPO’s budget continues to be adopted by the Assemblies on a biennial basis.  In compliance with IPSAS, the Organization must present financial statements on an annual basis.  For this purpose, annual budget figures are provided for both income and expenditure. </w:t>
      </w:r>
    </w:p>
    <w:p w14:paraId="4B69F921" w14:textId="77777777" w:rsidR="004439C9" w:rsidRPr="00136426" w:rsidRDefault="004439C9" w:rsidP="005A1F7F">
      <w:pPr>
        <w:jc w:val="both"/>
        <w:rPr>
          <w:rFonts w:ascii="Arial" w:hAnsi="Arial" w:cs="Arial"/>
          <w:sz w:val="20"/>
          <w:szCs w:val="20"/>
        </w:rPr>
      </w:pPr>
    </w:p>
    <w:p w14:paraId="3B873BD9" w14:textId="77777777" w:rsidR="004439C9" w:rsidRPr="00136426" w:rsidRDefault="004439C9" w:rsidP="00B66A4A">
      <w:pPr>
        <w:numPr>
          <w:ilvl w:val="0"/>
          <w:numId w:val="61"/>
        </w:numPr>
        <w:jc w:val="both"/>
        <w:rPr>
          <w:rFonts w:ascii="Arial" w:hAnsi="Arial" w:cs="Arial"/>
          <w:sz w:val="20"/>
          <w:szCs w:val="20"/>
        </w:rPr>
      </w:pPr>
      <w:r w:rsidRPr="00136426">
        <w:rPr>
          <w:rFonts w:ascii="Arial" w:hAnsi="Arial" w:cs="Arial"/>
          <w:sz w:val="20"/>
          <w:szCs w:val="20"/>
        </w:rPr>
        <w:t xml:space="preserve">It is recalled that, within the context of the approval of the 2010/11 Program and Budget, the Member States approved the methodology for the annual presentation for WIPO’s biennial approved budget.  The table below provides the estimated annual income amounts in accordance with this methodology for the </w:t>
      </w:r>
      <w:r>
        <w:rPr>
          <w:rFonts w:ascii="Arial" w:hAnsi="Arial" w:cs="Arial"/>
          <w:sz w:val="20"/>
          <w:szCs w:val="20"/>
        </w:rPr>
        <w:t>2016/17</w:t>
      </w:r>
      <w:r w:rsidRPr="00136426">
        <w:rPr>
          <w:rFonts w:ascii="Arial" w:hAnsi="Arial" w:cs="Arial"/>
          <w:sz w:val="20"/>
          <w:szCs w:val="20"/>
        </w:rPr>
        <w:t xml:space="preserve"> Program and Budget. </w:t>
      </w:r>
    </w:p>
    <w:p w14:paraId="4E0FBACA" w14:textId="77777777" w:rsidR="004439C9" w:rsidRPr="00136426" w:rsidRDefault="004439C9" w:rsidP="005A1F7F">
      <w:pPr>
        <w:rPr>
          <w:rFonts w:ascii="Arial" w:hAnsi="Arial" w:cs="Arial"/>
          <w:sz w:val="20"/>
          <w:szCs w:val="20"/>
        </w:rPr>
      </w:pPr>
    </w:p>
    <w:p w14:paraId="4C7DB1BF" w14:textId="4457A9C4" w:rsidR="004439C9" w:rsidRPr="00B05CA6" w:rsidRDefault="00B05CA6" w:rsidP="005A1F7F">
      <w:pPr>
        <w:jc w:val="center"/>
        <w:rPr>
          <w:rFonts w:ascii="Arial" w:hAnsi="Arial" w:cs="Arial"/>
          <w:b/>
          <w:sz w:val="20"/>
          <w:szCs w:val="16"/>
        </w:rPr>
      </w:pPr>
      <w:r>
        <w:rPr>
          <w:rFonts w:ascii="Arial" w:hAnsi="Arial" w:cs="Arial"/>
          <w:b/>
          <w:sz w:val="20"/>
          <w:szCs w:val="16"/>
        </w:rPr>
        <w:t>Table 20</w:t>
      </w:r>
      <w:r w:rsidR="004439C9" w:rsidRPr="00B05CA6">
        <w:rPr>
          <w:rFonts w:ascii="Arial" w:hAnsi="Arial" w:cs="Arial"/>
          <w:b/>
          <w:sz w:val="20"/>
          <w:szCs w:val="16"/>
        </w:rPr>
        <w:t>.  Annual Income 200</w:t>
      </w:r>
      <w:r w:rsidR="00CD4ED7">
        <w:rPr>
          <w:rFonts w:ascii="Arial" w:hAnsi="Arial" w:cs="Arial"/>
          <w:b/>
          <w:sz w:val="20"/>
          <w:szCs w:val="16"/>
        </w:rPr>
        <w:t>6</w:t>
      </w:r>
      <w:r w:rsidR="004439C9" w:rsidRPr="00B05CA6">
        <w:rPr>
          <w:rFonts w:ascii="Arial" w:hAnsi="Arial" w:cs="Arial"/>
          <w:b/>
          <w:sz w:val="20"/>
          <w:szCs w:val="16"/>
        </w:rPr>
        <w:t>-2017</w:t>
      </w:r>
    </w:p>
    <w:p w14:paraId="0D18C87A" w14:textId="77777777" w:rsidR="004439C9" w:rsidRPr="00B05CA6" w:rsidRDefault="004439C9" w:rsidP="005A1F7F">
      <w:pPr>
        <w:jc w:val="center"/>
        <w:rPr>
          <w:rFonts w:ascii="Arial" w:hAnsi="Arial" w:cs="Arial"/>
          <w:i/>
          <w:iCs/>
          <w:sz w:val="20"/>
          <w:szCs w:val="20"/>
        </w:rPr>
      </w:pPr>
      <w:r w:rsidRPr="00B05CA6">
        <w:rPr>
          <w:rFonts w:ascii="Arial" w:hAnsi="Arial" w:cs="Arial"/>
          <w:i/>
          <w:iCs/>
          <w:sz w:val="20"/>
          <w:szCs w:val="16"/>
        </w:rPr>
        <w:t>(in millions of Swiss francs)</w:t>
      </w:r>
    </w:p>
    <w:p w14:paraId="0ACFACDE" w14:textId="77777777" w:rsidR="004439C9" w:rsidRPr="004439C9" w:rsidRDefault="004439C9" w:rsidP="005A1F7F">
      <w:pPr>
        <w:rPr>
          <w:rFonts w:ascii="Arial" w:hAnsi="Arial" w:cs="Arial"/>
          <w:sz w:val="18"/>
          <w:szCs w:val="20"/>
        </w:rPr>
      </w:pPr>
    </w:p>
    <w:p w14:paraId="5C276B22" w14:textId="3BC91C0B" w:rsidR="004439C9" w:rsidRDefault="0033554A" w:rsidP="0033554A">
      <w:pPr>
        <w:jc w:val="center"/>
        <w:rPr>
          <w:rFonts w:ascii="Arial" w:hAnsi="Arial" w:cs="Arial"/>
          <w:sz w:val="20"/>
          <w:szCs w:val="20"/>
        </w:rPr>
      </w:pPr>
      <w:r w:rsidRPr="0033554A">
        <w:rPr>
          <w:noProof/>
          <w:lang w:eastAsia="en-US"/>
        </w:rPr>
        <w:drawing>
          <wp:inline distT="0" distB="0" distL="0" distR="0" wp14:anchorId="45EB00CE" wp14:editId="4AFDCEDA">
            <wp:extent cx="5971540" cy="1866494"/>
            <wp:effectExtent l="0" t="0" r="0" b="635"/>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5971540" cy="1866494"/>
                    </a:xfrm>
                    <a:prstGeom prst="rect">
                      <a:avLst/>
                    </a:prstGeom>
                    <a:noFill/>
                    <a:ln>
                      <a:noFill/>
                    </a:ln>
                  </pic:spPr>
                </pic:pic>
              </a:graphicData>
            </a:graphic>
          </wp:inline>
        </w:drawing>
      </w:r>
    </w:p>
    <w:p w14:paraId="6F45D0D0" w14:textId="77777777" w:rsidR="004439C9" w:rsidRPr="0033554A" w:rsidRDefault="004439C9" w:rsidP="005A1F7F">
      <w:pPr>
        <w:rPr>
          <w:rFonts w:ascii="Arial" w:hAnsi="Arial" w:cs="Arial"/>
          <w:i/>
          <w:sz w:val="16"/>
          <w:szCs w:val="14"/>
        </w:rPr>
      </w:pPr>
      <w:r w:rsidRPr="0033554A">
        <w:rPr>
          <w:rFonts w:ascii="Arial" w:hAnsi="Arial" w:cs="Arial"/>
          <w:i/>
          <w:sz w:val="16"/>
          <w:szCs w:val="14"/>
        </w:rPr>
        <w:t>*previously, Interest Income (up to the 2014/15 biennium)</w:t>
      </w:r>
    </w:p>
    <w:p w14:paraId="6468B71E" w14:textId="6D36BF14" w:rsidR="004439C9" w:rsidRPr="00136426" w:rsidRDefault="00D50719" w:rsidP="005A1F7F">
      <w:pPr>
        <w:rPr>
          <w:rFonts w:ascii="Arial" w:hAnsi="Arial" w:cs="Arial"/>
          <w:sz w:val="20"/>
          <w:szCs w:val="20"/>
        </w:rPr>
      </w:pPr>
      <w:r w:rsidRPr="006459EA">
        <w:rPr>
          <w:rFonts w:ascii="Arial" w:hAnsi="Arial" w:cs="Arial"/>
          <w:i/>
          <w:sz w:val="16"/>
          <w:szCs w:val="16"/>
        </w:rPr>
        <w:t xml:space="preserve">Note: Lisbon fee income (2014/15 budgeted </w:t>
      </w:r>
      <w:r w:rsidRPr="00104E6F">
        <w:rPr>
          <w:rFonts w:ascii="Arial" w:hAnsi="Arial" w:cs="Arial"/>
          <w:i/>
          <w:sz w:val="16"/>
          <w:szCs w:val="16"/>
        </w:rPr>
        <w:t>estimate:</w:t>
      </w:r>
      <w:r w:rsidRPr="006459EA">
        <w:rPr>
          <w:rFonts w:ascii="Arial" w:hAnsi="Arial" w:cs="Arial"/>
          <w:i/>
          <w:sz w:val="16"/>
          <w:szCs w:val="16"/>
        </w:rPr>
        <w:t xml:space="preserve"> 8,000 </w:t>
      </w:r>
      <w:r w:rsidR="003736E0">
        <w:rPr>
          <w:rFonts w:ascii="Arial" w:hAnsi="Arial" w:cs="Arial"/>
          <w:i/>
          <w:sz w:val="16"/>
          <w:szCs w:val="16"/>
        </w:rPr>
        <w:t>Swiss francs</w:t>
      </w:r>
      <w:r w:rsidRPr="006459EA">
        <w:rPr>
          <w:rFonts w:ascii="Arial" w:hAnsi="Arial" w:cs="Arial"/>
          <w:i/>
          <w:sz w:val="16"/>
          <w:szCs w:val="16"/>
        </w:rPr>
        <w:t xml:space="preserve">; 2016/17: 30,000 </w:t>
      </w:r>
      <w:r w:rsidR="003736E0">
        <w:rPr>
          <w:rFonts w:ascii="Arial" w:hAnsi="Arial" w:cs="Arial"/>
          <w:i/>
          <w:sz w:val="16"/>
          <w:szCs w:val="16"/>
        </w:rPr>
        <w:t>Swiss francs</w:t>
      </w:r>
      <w:r w:rsidRPr="006459EA">
        <w:rPr>
          <w:rFonts w:ascii="Arial" w:hAnsi="Arial" w:cs="Arial"/>
          <w:i/>
          <w:sz w:val="16"/>
          <w:szCs w:val="16"/>
        </w:rPr>
        <w:t>)</w:t>
      </w:r>
    </w:p>
    <w:p w14:paraId="2045E7F8" w14:textId="103E78E3" w:rsidR="004439C9" w:rsidRDefault="004439C9">
      <w:pPr>
        <w:rPr>
          <w:rFonts w:ascii="Arial" w:eastAsia="Times New Roman" w:hAnsi="Arial" w:cs="Arial"/>
          <w:sz w:val="20"/>
          <w:szCs w:val="20"/>
          <w:lang w:eastAsia="en-US"/>
        </w:rPr>
      </w:pPr>
      <w:r>
        <w:rPr>
          <w:rFonts w:ascii="Arial" w:hAnsi="Arial" w:cs="Arial"/>
          <w:sz w:val="20"/>
        </w:rPr>
        <w:br w:type="page"/>
      </w:r>
    </w:p>
    <w:p w14:paraId="47B06033" w14:textId="77777777" w:rsidR="004439C9" w:rsidRPr="00136426" w:rsidRDefault="004439C9" w:rsidP="005A1F7F">
      <w:pPr>
        <w:pStyle w:val="Endofdocument"/>
        <w:ind w:left="0"/>
        <w:jc w:val="left"/>
        <w:rPr>
          <w:rFonts w:ascii="Arial" w:hAnsi="Arial" w:cs="Arial"/>
          <w:sz w:val="20"/>
        </w:rPr>
      </w:pPr>
    </w:p>
    <w:p w14:paraId="34E0E86A" w14:textId="77777777" w:rsidR="004439C9" w:rsidRPr="00136426" w:rsidRDefault="004439C9" w:rsidP="00B66A4A">
      <w:pPr>
        <w:numPr>
          <w:ilvl w:val="0"/>
          <w:numId w:val="61"/>
        </w:numPr>
        <w:jc w:val="both"/>
        <w:rPr>
          <w:rFonts w:ascii="Arial" w:hAnsi="Arial" w:cs="Arial"/>
          <w:sz w:val="20"/>
          <w:szCs w:val="20"/>
        </w:rPr>
      </w:pPr>
      <w:r w:rsidRPr="00136426">
        <w:rPr>
          <w:rFonts w:ascii="Arial" w:hAnsi="Arial" w:cs="Arial"/>
          <w:sz w:val="20"/>
          <w:szCs w:val="20"/>
        </w:rPr>
        <w:t>In respect of WIPO’s 201</w:t>
      </w:r>
      <w:r>
        <w:rPr>
          <w:rFonts w:ascii="Arial" w:hAnsi="Arial" w:cs="Arial"/>
          <w:sz w:val="20"/>
          <w:szCs w:val="20"/>
        </w:rPr>
        <w:t>6</w:t>
      </w:r>
      <w:r w:rsidRPr="00136426">
        <w:rPr>
          <w:rFonts w:ascii="Arial" w:hAnsi="Arial" w:cs="Arial"/>
          <w:sz w:val="20"/>
          <w:szCs w:val="20"/>
        </w:rPr>
        <w:t>/1</w:t>
      </w:r>
      <w:r>
        <w:rPr>
          <w:rFonts w:ascii="Arial" w:hAnsi="Arial" w:cs="Arial"/>
          <w:sz w:val="20"/>
          <w:szCs w:val="20"/>
        </w:rPr>
        <w:t>7</w:t>
      </w:r>
      <w:r w:rsidRPr="00136426">
        <w:rPr>
          <w:rFonts w:ascii="Arial" w:hAnsi="Arial" w:cs="Arial"/>
          <w:sz w:val="20"/>
          <w:szCs w:val="20"/>
        </w:rPr>
        <w:t xml:space="preserve"> expenditure budget, a 50/50 split has been applied to the biennial </w:t>
      </w:r>
      <w:r>
        <w:rPr>
          <w:rFonts w:ascii="Arial" w:hAnsi="Arial" w:cs="Arial"/>
          <w:sz w:val="20"/>
          <w:szCs w:val="20"/>
        </w:rPr>
        <w:t xml:space="preserve">non-personnel </w:t>
      </w:r>
      <w:r w:rsidRPr="00136426">
        <w:rPr>
          <w:rFonts w:ascii="Arial" w:hAnsi="Arial" w:cs="Arial"/>
          <w:sz w:val="20"/>
          <w:szCs w:val="20"/>
        </w:rPr>
        <w:t xml:space="preserve">budget figures in order to establish the annual budget view.  </w:t>
      </w:r>
      <w:r>
        <w:rPr>
          <w:rFonts w:ascii="Arial" w:hAnsi="Arial" w:cs="Arial"/>
          <w:sz w:val="20"/>
          <w:szCs w:val="20"/>
        </w:rPr>
        <w:t>T</w:t>
      </w:r>
      <w:r w:rsidRPr="00136426">
        <w:rPr>
          <w:rFonts w:ascii="Arial" w:hAnsi="Arial" w:cs="Arial"/>
          <w:sz w:val="20"/>
          <w:szCs w:val="20"/>
        </w:rPr>
        <w:t xml:space="preserve">he personnel budget has been </w:t>
      </w:r>
      <w:r>
        <w:rPr>
          <w:rFonts w:ascii="Arial" w:hAnsi="Arial" w:cs="Arial"/>
          <w:sz w:val="20"/>
          <w:szCs w:val="20"/>
        </w:rPr>
        <w:t xml:space="preserve">split on an annual basis based on the calculated costs for the two years respectively. </w:t>
      </w:r>
      <w:r w:rsidRPr="00136426">
        <w:rPr>
          <w:rFonts w:ascii="Arial" w:hAnsi="Arial" w:cs="Arial"/>
          <w:sz w:val="20"/>
          <w:szCs w:val="20"/>
        </w:rPr>
        <w:t xml:space="preserve">The table below provides the annual expenditure amounts accordingly. </w:t>
      </w:r>
    </w:p>
    <w:p w14:paraId="334103C0" w14:textId="77777777" w:rsidR="004439C9" w:rsidRPr="00136426" w:rsidRDefault="004439C9" w:rsidP="005A1F7F">
      <w:pPr>
        <w:pStyle w:val="Endofdocument"/>
        <w:ind w:left="0"/>
        <w:jc w:val="left"/>
        <w:rPr>
          <w:rFonts w:ascii="Arial" w:hAnsi="Arial" w:cs="Arial"/>
          <w:sz w:val="20"/>
        </w:rPr>
      </w:pPr>
    </w:p>
    <w:p w14:paraId="387FF4C2" w14:textId="1FDD84DB" w:rsidR="004439C9" w:rsidRDefault="004439C9">
      <w:pPr>
        <w:rPr>
          <w:rFonts w:ascii="Arial" w:hAnsi="Arial" w:cs="Arial"/>
          <w:b/>
          <w:sz w:val="20"/>
          <w:szCs w:val="16"/>
        </w:rPr>
      </w:pPr>
    </w:p>
    <w:p w14:paraId="60399D09" w14:textId="4D23E4FC" w:rsidR="004439C9" w:rsidRPr="00B05CA6" w:rsidRDefault="00B05CA6" w:rsidP="005A1F7F">
      <w:pPr>
        <w:jc w:val="center"/>
        <w:rPr>
          <w:rFonts w:ascii="Arial" w:hAnsi="Arial" w:cs="Arial"/>
          <w:b/>
          <w:sz w:val="20"/>
          <w:szCs w:val="16"/>
        </w:rPr>
      </w:pPr>
      <w:r>
        <w:rPr>
          <w:rFonts w:ascii="Arial" w:hAnsi="Arial" w:cs="Arial"/>
          <w:b/>
          <w:sz w:val="20"/>
          <w:szCs w:val="16"/>
        </w:rPr>
        <w:t>Table 21</w:t>
      </w:r>
      <w:r w:rsidR="004439C9" w:rsidRPr="00B05CA6">
        <w:rPr>
          <w:rFonts w:ascii="Arial" w:hAnsi="Arial" w:cs="Arial"/>
          <w:b/>
          <w:sz w:val="20"/>
          <w:szCs w:val="16"/>
        </w:rPr>
        <w:t xml:space="preserve">.  Annual Expenditure </w:t>
      </w:r>
      <w:r w:rsidR="00CD4ED7" w:rsidRPr="00B05CA6">
        <w:rPr>
          <w:rFonts w:ascii="Arial" w:hAnsi="Arial" w:cs="Arial"/>
          <w:b/>
          <w:sz w:val="20"/>
          <w:szCs w:val="16"/>
        </w:rPr>
        <w:t>200</w:t>
      </w:r>
      <w:r w:rsidR="00CD4ED7">
        <w:rPr>
          <w:rFonts w:ascii="Arial" w:hAnsi="Arial" w:cs="Arial"/>
          <w:b/>
          <w:sz w:val="20"/>
          <w:szCs w:val="16"/>
        </w:rPr>
        <w:t>6</w:t>
      </w:r>
      <w:r w:rsidR="004439C9" w:rsidRPr="00B05CA6">
        <w:rPr>
          <w:rFonts w:ascii="Arial" w:hAnsi="Arial" w:cs="Arial"/>
          <w:b/>
          <w:sz w:val="20"/>
          <w:szCs w:val="16"/>
        </w:rPr>
        <w:t>-2017</w:t>
      </w:r>
    </w:p>
    <w:p w14:paraId="1D4A5CA1" w14:textId="77777777" w:rsidR="004439C9" w:rsidRPr="00B05CA6" w:rsidRDefault="004439C9" w:rsidP="005A1F7F">
      <w:pPr>
        <w:jc w:val="center"/>
        <w:rPr>
          <w:rFonts w:ascii="Arial" w:hAnsi="Arial" w:cs="Arial"/>
          <w:sz w:val="20"/>
          <w:szCs w:val="16"/>
        </w:rPr>
      </w:pPr>
      <w:r w:rsidRPr="00B05CA6">
        <w:rPr>
          <w:rFonts w:ascii="Arial" w:hAnsi="Arial" w:cs="Arial"/>
          <w:i/>
          <w:iCs/>
          <w:sz w:val="20"/>
          <w:szCs w:val="16"/>
        </w:rPr>
        <w:t>(in millions of Swiss francs)</w:t>
      </w:r>
      <w:r w:rsidRPr="00B05CA6">
        <w:rPr>
          <w:rFonts w:ascii="Arial" w:hAnsi="Arial" w:cs="Arial"/>
          <w:sz w:val="20"/>
          <w:szCs w:val="16"/>
        </w:rPr>
        <w:t xml:space="preserve"> </w:t>
      </w:r>
    </w:p>
    <w:p w14:paraId="48D057B7" w14:textId="77777777" w:rsidR="004439C9" w:rsidRPr="00B05CA6" w:rsidRDefault="004439C9" w:rsidP="00FB68E0">
      <w:pPr>
        <w:pStyle w:val="Endofdocument"/>
        <w:ind w:left="-284"/>
        <w:jc w:val="left"/>
        <w:rPr>
          <w:rFonts w:ascii="Arial" w:hAnsi="Arial" w:cs="Arial"/>
          <w:sz w:val="18"/>
        </w:rPr>
      </w:pPr>
    </w:p>
    <w:p w14:paraId="7BC1EF67" w14:textId="77777777" w:rsidR="004439C9" w:rsidRDefault="004439C9" w:rsidP="00FB68E0">
      <w:pPr>
        <w:pStyle w:val="Endofdocument"/>
        <w:ind w:left="-284"/>
        <w:rPr>
          <w:rFonts w:ascii="Arial" w:hAnsi="Arial" w:cs="Arial"/>
          <w:sz w:val="20"/>
        </w:rPr>
      </w:pPr>
      <w:r w:rsidRPr="00712B30">
        <w:rPr>
          <w:noProof/>
        </w:rPr>
        <w:drawing>
          <wp:inline distT="0" distB="0" distL="0" distR="0" wp14:anchorId="00D44ADC" wp14:editId="6B489CFB">
            <wp:extent cx="6322131" cy="2806810"/>
            <wp:effectExtent l="0" t="0" r="254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6319549" cy="2805664"/>
                    </a:xfrm>
                    <a:prstGeom prst="rect">
                      <a:avLst/>
                    </a:prstGeom>
                    <a:noFill/>
                    <a:ln>
                      <a:noFill/>
                    </a:ln>
                  </pic:spPr>
                </pic:pic>
              </a:graphicData>
            </a:graphic>
          </wp:inline>
        </w:drawing>
      </w:r>
    </w:p>
    <w:p w14:paraId="05F56CDF" w14:textId="77777777" w:rsidR="0033554A" w:rsidRPr="0033554A" w:rsidRDefault="0033554A" w:rsidP="00FB68E0">
      <w:pPr>
        <w:pStyle w:val="Endofdocument"/>
        <w:ind w:left="-284"/>
        <w:rPr>
          <w:rFonts w:ascii="Arial" w:hAnsi="Arial" w:cs="Arial"/>
          <w:sz w:val="18"/>
        </w:rPr>
      </w:pPr>
    </w:p>
    <w:p w14:paraId="5A0A4025" w14:textId="77777777" w:rsidR="004439C9" w:rsidRDefault="004439C9" w:rsidP="00FB68E0">
      <w:pPr>
        <w:ind w:left="-284"/>
        <w:rPr>
          <w:rFonts w:ascii="Arial" w:hAnsi="Arial" w:cs="Arial"/>
          <w:i/>
          <w:sz w:val="16"/>
          <w:szCs w:val="14"/>
        </w:rPr>
      </w:pPr>
      <w:r w:rsidRPr="0033554A">
        <w:rPr>
          <w:rFonts w:ascii="Arial" w:hAnsi="Arial" w:cs="Arial"/>
          <w:i/>
          <w:sz w:val="16"/>
          <w:szCs w:val="14"/>
        </w:rPr>
        <w:t>*previously, Travel and Course Fellowships (up to the 2014/15 biennium)</w:t>
      </w:r>
    </w:p>
    <w:p w14:paraId="335E5B2A" w14:textId="77777777" w:rsidR="0033554A" w:rsidRPr="0033554A" w:rsidRDefault="0033554A" w:rsidP="00FB68E0">
      <w:pPr>
        <w:ind w:left="-284"/>
        <w:rPr>
          <w:rFonts w:ascii="Arial" w:hAnsi="Arial" w:cs="Arial"/>
          <w:i/>
          <w:sz w:val="16"/>
          <w:szCs w:val="14"/>
        </w:rPr>
      </w:pPr>
    </w:p>
    <w:p w14:paraId="564BC3B3" w14:textId="77777777" w:rsidR="004439C9" w:rsidRDefault="004439C9" w:rsidP="00FB68E0">
      <w:pPr>
        <w:ind w:left="-284"/>
        <w:rPr>
          <w:rFonts w:ascii="Arial" w:hAnsi="Arial" w:cs="Arial"/>
          <w:i/>
          <w:sz w:val="16"/>
          <w:szCs w:val="14"/>
        </w:rPr>
      </w:pPr>
      <w:r w:rsidRPr="0033554A">
        <w:rPr>
          <w:rFonts w:ascii="Arial" w:hAnsi="Arial" w:cs="Arial"/>
          <w:i/>
          <w:sz w:val="16"/>
          <w:szCs w:val="14"/>
        </w:rPr>
        <w:t>**Contractual Services were restated for years 2004-2009 to include SSAs due to the change introduced in April 2010</w:t>
      </w:r>
    </w:p>
    <w:p w14:paraId="45DC1DEB" w14:textId="77777777" w:rsidR="0033554A" w:rsidRPr="0033554A" w:rsidRDefault="0033554A" w:rsidP="00FB68E0">
      <w:pPr>
        <w:ind w:left="-284"/>
        <w:rPr>
          <w:rFonts w:ascii="Arial" w:hAnsi="Arial" w:cs="Arial"/>
          <w:i/>
          <w:sz w:val="16"/>
          <w:szCs w:val="14"/>
        </w:rPr>
      </w:pPr>
    </w:p>
    <w:p w14:paraId="339F9853" w14:textId="77777777" w:rsidR="004439C9" w:rsidRPr="0033554A" w:rsidRDefault="004439C9" w:rsidP="00FB68E0">
      <w:pPr>
        <w:ind w:left="-284"/>
        <w:rPr>
          <w:rFonts w:ascii="Arial" w:hAnsi="Arial" w:cs="Arial"/>
          <w:i/>
          <w:sz w:val="16"/>
          <w:szCs w:val="14"/>
        </w:rPr>
      </w:pPr>
      <w:r w:rsidRPr="0033554A">
        <w:rPr>
          <w:rFonts w:ascii="Arial" w:hAnsi="Arial" w:cs="Arial"/>
          <w:i/>
          <w:sz w:val="16"/>
          <w:szCs w:val="14"/>
        </w:rPr>
        <w:t>***previously, included under Operating Expenses (up to the 2014/15 biennium)</w:t>
      </w:r>
    </w:p>
    <w:p w14:paraId="0CA36A05" w14:textId="77777777" w:rsidR="004439C9" w:rsidRPr="00136426" w:rsidRDefault="004439C9" w:rsidP="00FB68E0">
      <w:pPr>
        <w:pStyle w:val="Endofdocument"/>
        <w:ind w:left="-284"/>
        <w:jc w:val="left"/>
        <w:rPr>
          <w:rFonts w:ascii="Arial" w:hAnsi="Arial" w:cs="Arial"/>
          <w:sz w:val="20"/>
        </w:rPr>
      </w:pPr>
    </w:p>
    <w:p w14:paraId="7426E854" w14:textId="77777777" w:rsidR="004439C9" w:rsidRPr="00136426" w:rsidRDefault="004439C9" w:rsidP="00FB68E0">
      <w:pPr>
        <w:ind w:left="-284"/>
        <w:rPr>
          <w:rFonts w:ascii="Arial" w:hAnsi="Arial" w:cs="Arial"/>
          <w:sz w:val="20"/>
          <w:szCs w:val="20"/>
        </w:rPr>
      </w:pPr>
    </w:p>
    <w:p w14:paraId="3988A962" w14:textId="77777777" w:rsidR="00383169" w:rsidRDefault="00383169" w:rsidP="008D3EC2">
      <w:pPr>
        <w:autoSpaceDE w:val="0"/>
        <w:autoSpaceDN w:val="0"/>
        <w:adjustRightInd w:val="0"/>
        <w:rPr>
          <w:rFonts w:ascii="Arial" w:hAnsi="Arial" w:cs="Arial"/>
          <w:sz w:val="20"/>
        </w:rPr>
      </w:pPr>
    </w:p>
    <w:p w14:paraId="4AD6F5A2" w14:textId="77777777" w:rsidR="00383169" w:rsidRDefault="00383169" w:rsidP="008D3EC2">
      <w:pPr>
        <w:autoSpaceDE w:val="0"/>
        <w:autoSpaceDN w:val="0"/>
        <w:adjustRightInd w:val="0"/>
        <w:rPr>
          <w:rFonts w:ascii="Arial" w:hAnsi="Arial" w:cs="Arial"/>
          <w:sz w:val="20"/>
        </w:rPr>
      </w:pPr>
    </w:p>
    <w:p w14:paraId="36988B73" w14:textId="77777777" w:rsidR="00592800" w:rsidRDefault="00592800" w:rsidP="008D3EC2">
      <w:pPr>
        <w:autoSpaceDE w:val="0"/>
        <w:autoSpaceDN w:val="0"/>
        <w:adjustRightInd w:val="0"/>
        <w:rPr>
          <w:rFonts w:ascii="Arial" w:hAnsi="Arial" w:cs="Arial"/>
          <w:sz w:val="20"/>
        </w:rPr>
        <w:sectPr w:rsidR="00592800" w:rsidSect="00FB68E0">
          <w:pgSz w:w="11907" w:h="16839" w:code="9"/>
          <w:pgMar w:top="624" w:right="1418" w:bottom="1361" w:left="1418" w:header="567" w:footer="851" w:gutter="0"/>
          <w:cols w:space="720"/>
          <w:docGrid w:linePitch="360"/>
        </w:sectPr>
      </w:pPr>
    </w:p>
    <w:p w14:paraId="5BDDE2ED" w14:textId="574B205E" w:rsidR="00592800" w:rsidRDefault="00592800" w:rsidP="00592800">
      <w:pPr>
        <w:pStyle w:val="StyleHeading3ComplexItalic"/>
        <w:keepNext w:val="0"/>
        <w:tabs>
          <w:tab w:val="clear" w:pos="1985"/>
          <w:tab w:val="left" w:pos="1418"/>
        </w:tabs>
        <w:ind w:left="1418" w:hanging="1418"/>
        <w:rPr>
          <w:caps w:val="0"/>
        </w:rPr>
      </w:pPr>
      <w:bookmarkStart w:id="124" w:name="_Toc293334848"/>
      <w:bookmarkStart w:id="125" w:name="_Toc298920430"/>
      <w:bookmarkStart w:id="126" w:name="_Toc356567795"/>
      <w:bookmarkStart w:id="127" w:name="_Toc367350621"/>
      <w:bookmarkStart w:id="128" w:name="_Toc427154443"/>
      <w:r>
        <w:rPr>
          <w:caps w:val="0"/>
        </w:rPr>
        <w:lastRenderedPageBreak/>
        <w:t xml:space="preserve">ANNEX </w:t>
      </w:r>
      <w:r w:rsidRPr="007F65E7">
        <w:rPr>
          <w:caps w:val="0"/>
        </w:rPr>
        <w:t>X</w:t>
      </w:r>
      <w:r w:rsidRPr="007F65E7">
        <w:rPr>
          <w:caps w:val="0"/>
        </w:rPr>
        <w:tab/>
      </w:r>
      <w:r>
        <w:rPr>
          <w:caps w:val="0"/>
        </w:rPr>
        <w:t>2016/17 BUDGET BY EXPECTED RESULT AND PROGRAM</w:t>
      </w:r>
      <w:bookmarkEnd w:id="124"/>
      <w:bookmarkEnd w:id="125"/>
      <w:bookmarkEnd w:id="126"/>
      <w:bookmarkEnd w:id="127"/>
      <w:bookmarkEnd w:id="128"/>
    </w:p>
    <w:p w14:paraId="736222A8" w14:textId="5DF30CD8" w:rsidR="00DB67E7" w:rsidRDefault="00DB67E7" w:rsidP="005A1F7F">
      <w:pPr>
        <w:rPr>
          <w:rFonts w:ascii="Arial" w:hAnsi="Arial" w:cs="Arial"/>
          <w:b/>
          <w:sz w:val="20"/>
          <w:szCs w:val="20"/>
        </w:rPr>
      </w:pPr>
    </w:p>
    <w:p w14:paraId="16D86D89" w14:textId="684D47B7" w:rsidR="00DB67E7" w:rsidRDefault="000159A3" w:rsidP="000159A3">
      <w:pPr>
        <w:ind w:left="-142"/>
        <w:rPr>
          <w:rFonts w:ascii="Arial" w:hAnsi="Arial" w:cs="Arial"/>
          <w:sz w:val="18"/>
          <w:szCs w:val="18"/>
        </w:rPr>
      </w:pPr>
      <w:r w:rsidRPr="000159A3">
        <w:rPr>
          <w:rFonts w:ascii="Arial" w:hAnsi="Arial" w:cs="Arial"/>
          <w:sz w:val="18"/>
          <w:szCs w:val="18"/>
        </w:rPr>
        <w:t xml:space="preserve"> </w:t>
      </w:r>
      <w:r w:rsidRPr="000159A3">
        <w:rPr>
          <w:noProof/>
          <w:lang w:eastAsia="en-US"/>
        </w:rPr>
        <w:drawing>
          <wp:inline distT="0" distB="0" distL="0" distR="0" wp14:anchorId="1EBA1E2C" wp14:editId="7853B5D2">
            <wp:extent cx="9720249" cy="4333875"/>
            <wp:effectExtent l="0" t="0" r="0" b="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9721979" cy="4334647"/>
                    </a:xfrm>
                    <a:prstGeom prst="rect">
                      <a:avLst/>
                    </a:prstGeom>
                    <a:noFill/>
                    <a:ln>
                      <a:noFill/>
                    </a:ln>
                  </pic:spPr>
                </pic:pic>
              </a:graphicData>
            </a:graphic>
          </wp:inline>
        </w:drawing>
      </w:r>
    </w:p>
    <w:p w14:paraId="167F00EF" w14:textId="77777777" w:rsidR="001A05EB" w:rsidRDefault="001A05EB" w:rsidP="00C84440">
      <w:pPr>
        <w:rPr>
          <w:rFonts w:ascii="Arial" w:hAnsi="Arial" w:cs="Arial"/>
          <w:sz w:val="18"/>
          <w:szCs w:val="18"/>
        </w:rPr>
      </w:pPr>
    </w:p>
    <w:p w14:paraId="617AE6F8" w14:textId="77777777" w:rsidR="000159A3" w:rsidRDefault="000159A3" w:rsidP="00C84440">
      <w:pPr>
        <w:rPr>
          <w:rFonts w:ascii="Arial" w:hAnsi="Arial" w:cs="Arial"/>
          <w:sz w:val="18"/>
          <w:szCs w:val="18"/>
        </w:rPr>
      </w:pPr>
    </w:p>
    <w:p w14:paraId="42FBA005" w14:textId="77777777" w:rsidR="000159A3" w:rsidRDefault="000159A3" w:rsidP="00C84440">
      <w:pPr>
        <w:rPr>
          <w:rFonts w:ascii="Arial" w:hAnsi="Arial" w:cs="Arial"/>
          <w:sz w:val="18"/>
          <w:szCs w:val="18"/>
        </w:rPr>
      </w:pPr>
    </w:p>
    <w:p w14:paraId="4A36B72F" w14:textId="77777777" w:rsidR="000159A3" w:rsidRDefault="000159A3" w:rsidP="00C84440">
      <w:pPr>
        <w:rPr>
          <w:rFonts w:ascii="Arial" w:hAnsi="Arial" w:cs="Arial"/>
          <w:sz w:val="18"/>
          <w:szCs w:val="18"/>
        </w:rPr>
      </w:pPr>
    </w:p>
    <w:p w14:paraId="301E57F9" w14:textId="77777777" w:rsidR="000159A3" w:rsidRDefault="000159A3" w:rsidP="00C84440">
      <w:pPr>
        <w:rPr>
          <w:rFonts w:ascii="Arial" w:hAnsi="Arial" w:cs="Arial"/>
          <w:sz w:val="18"/>
          <w:szCs w:val="18"/>
        </w:rPr>
      </w:pPr>
    </w:p>
    <w:p w14:paraId="1721B364" w14:textId="77777777" w:rsidR="000159A3" w:rsidRDefault="000159A3" w:rsidP="00C84440">
      <w:pPr>
        <w:rPr>
          <w:rFonts w:ascii="Arial" w:hAnsi="Arial" w:cs="Arial"/>
          <w:sz w:val="18"/>
          <w:szCs w:val="18"/>
        </w:rPr>
      </w:pPr>
    </w:p>
    <w:p w14:paraId="02EBC532" w14:textId="77777777" w:rsidR="000159A3" w:rsidRDefault="000159A3" w:rsidP="00C84440">
      <w:pPr>
        <w:rPr>
          <w:rFonts w:ascii="Arial" w:hAnsi="Arial" w:cs="Arial"/>
          <w:sz w:val="18"/>
          <w:szCs w:val="18"/>
        </w:rPr>
      </w:pPr>
    </w:p>
    <w:p w14:paraId="29F8B5AE" w14:textId="77777777" w:rsidR="000159A3" w:rsidRDefault="000159A3" w:rsidP="00C84440">
      <w:pPr>
        <w:rPr>
          <w:rFonts w:ascii="Arial" w:hAnsi="Arial" w:cs="Arial"/>
          <w:sz w:val="18"/>
          <w:szCs w:val="18"/>
        </w:rPr>
      </w:pPr>
    </w:p>
    <w:p w14:paraId="455E95A0" w14:textId="3E732171" w:rsidR="000159A3" w:rsidRDefault="000159A3">
      <w:pPr>
        <w:rPr>
          <w:rFonts w:ascii="Arial" w:hAnsi="Arial" w:cs="Arial"/>
          <w:sz w:val="18"/>
          <w:szCs w:val="18"/>
        </w:rPr>
      </w:pPr>
      <w:r>
        <w:rPr>
          <w:rFonts w:ascii="Arial" w:hAnsi="Arial" w:cs="Arial"/>
          <w:sz w:val="18"/>
          <w:szCs w:val="18"/>
        </w:rPr>
        <w:br w:type="page"/>
      </w:r>
    </w:p>
    <w:p w14:paraId="29834B31" w14:textId="77777777" w:rsidR="00DB67E7" w:rsidRPr="005F279C" w:rsidRDefault="00DB67E7" w:rsidP="005A1F7F">
      <w:pPr>
        <w:ind w:left="-360"/>
        <w:rPr>
          <w:rFonts w:ascii="Arial" w:hAnsi="Arial" w:cs="Arial"/>
          <w:b/>
          <w:sz w:val="18"/>
          <w:szCs w:val="18"/>
        </w:rPr>
      </w:pPr>
      <w:r>
        <w:rPr>
          <w:rFonts w:ascii="Arial" w:hAnsi="Arial" w:cs="Arial"/>
          <w:b/>
          <w:sz w:val="18"/>
          <w:szCs w:val="18"/>
        </w:rPr>
        <w:lastRenderedPageBreak/>
        <w:t>ANNEX X (CONT.)</w:t>
      </w:r>
    </w:p>
    <w:p w14:paraId="18744A05" w14:textId="68A17BA8" w:rsidR="00DB67E7" w:rsidRDefault="001C3BF3" w:rsidP="000159A3">
      <w:pPr>
        <w:rPr>
          <w:rFonts w:ascii="Arial" w:hAnsi="Arial" w:cs="Arial"/>
          <w:sz w:val="20"/>
        </w:rPr>
      </w:pPr>
      <w:r w:rsidRPr="001C3BF3">
        <w:rPr>
          <w:noProof/>
          <w:lang w:eastAsia="en-US"/>
        </w:rPr>
        <w:drawing>
          <wp:inline distT="0" distB="0" distL="0" distR="0" wp14:anchorId="106745AB" wp14:editId="2E0D01AE">
            <wp:extent cx="9416370" cy="5857336"/>
            <wp:effectExtent l="0" t="0" r="0" b="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9425315" cy="5862900"/>
                    </a:xfrm>
                    <a:prstGeom prst="rect">
                      <a:avLst/>
                    </a:prstGeom>
                    <a:noFill/>
                    <a:ln>
                      <a:noFill/>
                    </a:ln>
                  </pic:spPr>
                </pic:pic>
              </a:graphicData>
            </a:graphic>
          </wp:inline>
        </w:drawing>
      </w:r>
    </w:p>
    <w:p w14:paraId="15015878" w14:textId="77777777" w:rsidR="00FB583B" w:rsidRDefault="00FB583B" w:rsidP="00DB67E7">
      <w:pPr>
        <w:autoSpaceDE w:val="0"/>
        <w:autoSpaceDN w:val="0"/>
        <w:adjustRightInd w:val="0"/>
        <w:ind w:left="-142"/>
        <w:rPr>
          <w:rFonts w:ascii="Arial" w:hAnsi="Arial" w:cs="Arial"/>
          <w:sz w:val="20"/>
        </w:rPr>
        <w:sectPr w:rsidR="00FB583B" w:rsidSect="00FB68E0">
          <w:pgSz w:w="16839" w:h="11907" w:orient="landscape" w:code="9"/>
          <w:pgMar w:top="737" w:right="851" w:bottom="907" w:left="794" w:header="567" w:footer="851" w:gutter="0"/>
          <w:cols w:space="720"/>
          <w:docGrid w:linePitch="360"/>
        </w:sectPr>
      </w:pPr>
    </w:p>
    <w:p w14:paraId="6FABA784" w14:textId="191CB990" w:rsidR="00FB583B" w:rsidRPr="009D39E7" w:rsidRDefault="00FB583B" w:rsidP="00FB583B">
      <w:pPr>
        <w:pStyle w:val="StyleHeading3ComplexItalic"/>
        <w:keepNext w:val="0"/>
        <w:tabs>
          <w:tab w:val="clear" w:pos="1985"/>
          <w:tab w:val="left" w:pos="1418"/>
        </w:tabs>
        <w:ind w:left="1418" w:hanging="1418"/>
        <w:rPr>
          <w:caps w:val="0"/>
        </w:rPr>
      </w:pPr>
      <w:bookmarkStart w:id="129" w:name="_Toc356567796"/>
      <w:bookmarkStart w:id="130" w:name="_Toc367350622"/>
      <w:bookmarkStart w:id="131" w:name="_Toc427154444"/>
      <w:r w:rsidRPr="009D39E7">
        <w:rPr>
          <w:caps w:val="0"/>
        </w:rPr>
        <w:lastRenderedPageBreak/>
        <w:t>ANNEX XI</w:t>
      </w:r>
      <w:r w:rsidR="00414DB1">
        <w:rPr>
          <w:caps w:val="0"/>
        </w:rPr>
        <w:tab/>
        <w:t>2016</w:t>
      </w:r>
      <w:r>
        <w:rPr>
          <w:caps w:val="0"/>
        </w:rPr>
        <w:t>/1</w:t>
      </w:r>
      <w:r w:rsidR="00414DB1">
        <w:rPr>
          <w:caps w:val="0"/>
        </w:rPr>
        <w:t>7</w:t>
      </w:r>
      <w:r>
        <w:rPr>
          <w:caps w:val="0"/>
        </w:rPr>
        <w:t xml:space="preserve"> BUDGET BY EXPECTED RESULT</w:t>
      </w:r>
      <w:bookmarkEnd w:id="129"/>
      <w:bookmarkEnd w:id="130"/>
      <w:bookmarkEnd w:id="131"/>
    </w:p>
    <w:p w14:paraId="27466E70" w14:textId="02C4C83C" w:rsidR="00FB583B" w:rsidRPr="001C3BF3" w:rsidRDefault="001C3BF3" w:rsidP="00FB583B">
      <w:pPr>
        <w:ind w:left="851" w:firstLine="567"/>
        <w:rPr>
          <w:rFonts w:ascii="Arial" w:hAnsi="Arial" w:cs="Arial"/>
          <w:i/>
          <w:sz w:val="20"/>
        </w:rPr>
      </w:pPr>
      <w:r w:rsidRPr="001C3BF3">
        <w:rPr>
          <w:rFonts w:ascii="Arial" w:hAnsi="Arial" w:cs="Arial"/>
          <w:i/>
          <w:sz w:val="20"/>
        </w:rPr>
        <w:t>(in thousand</w:t>
      </w:r>
      <w:r w:rsidR="00FB583B" w:rsidRPr="001C3BF3">
        <w:rPr>
          <w:rFonts w:ascii="Arial" w:hAnsi="Arial" w:cs="Arial"/>
          <w:i/>
          <w:sz w:val="20"/>
        </w:rPr>
        <w:t>s of Swiss francs)</w:t>
      </w:r>
    </w:p>
    <w:p w14:paraId="0CCD65BC" w14:textId="3EC48A7B" w:rsidR="00FB583B" w:rsidRDefault="00FB583B" w:rsidP="008D3EC2">
      <w:pPr>
        <w:autoSpaceDE w:val="0"/>
        <w:autoSpaceDN w:val="0"/>
        <w:adjustRightInd w:val="0"/>
        <w:rPr>
          <w:rFonts w:ascii="Arial" w:hAnsi="Arial" w:cs="Arial"/>
          <w:sz w:val="20"/>
        </w:rPr>
      </w:pPr>
    </w:p>
    <w:p w14:paraId="54077F5A" w14:textId="77777777" w:rsidR="00FB583B" w:rsidRDefault="00FB583B" w:rsidP="008D3EC2">
      <w:pPr>
        <w:autoSpaceDE w:val="0"/>
        <w:autoSpaceDN w:val="0"/>
        <w:adjustRightInd w:val="0"/>
        <w:rPr>
          <w:rFonts w:ascii="Arial" w:hAnsi="Arial" w:cs="Arial"/>
          <w:sz w:val="20"/>
        </w:rPr>
      </w:pPr>
    </w:p>
    <w:p w14:paraId="20986A1C" w14:textId="77C5356F" w:rsidR="005A1F7F" w:rsidRDefault="005544D2" w:rsidP="008D3EC2">
      <w:pPr>
        <w:autoSpaceDE w:val="0"/>
        <w:autoSpaceDN w:val="0"/>
        <w:adjustRightInd w:val="0"/>
        <w:rPr>
          <w:rFonts w:ascii="Arial" w:hAnsi="Arial" w:cs="Arial"/>
          <w:sz w:val="20"/>
        </w:rPr>
      </w:pPr>
      <w:r w:rsidRPr="005544D2">
        <w:rPr>
          <w:rFonts w:ascii="Arial" w:hAnsi="Arial" w:cs="Arial"/>
          <w:sz w:val="20"/>
        </w:rPr>
        <w:t xml:space="preserve"> </w:t>
      </w:r>
      <w:r w:rsidRPr="005544D2">
        <w:rPr>
          <w:noProof/>
          <w:lang w:eastAsia="en-US"/>
        </w:rPr>
        <w:drawing>
          <wp:inline distT="0" distB="0" distL="0" distR="0" wp14:anchorId="47759F9B" wp14:editId="36E3FE99">
            <wp:extent cx="5760085" cy="7138096"/>
            <wp:effectExtent l="0" t="0" r="0" b="5715"/>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5760085" cy="7138096"/>
                    </a:xfrm>
                    <a:prstGeom prst="rect">
                      <a:avLst/>
                    </a:prstGeom>
                    <a:noFill/>
                    <a:ln>
                      <a:noFill/>
                    </a:ln>
                  </pic:spPr>
                </pic:pic>
              </a:graphicData>
            </a:graphic>
          </wp:inline>
        </w:drawing>
      </w:r>
    </w:p>
    <w:p w14:paraId="5B31040D" w14:textId="77777777" w:rsidR="005A1F7F" w:rsidRDefault="005A1F7F">
      <w:pPr>
        <w:rPr>
          <w:rFonts w:ascii="Arial" w:hAnsi="Arial" w:cs="Arial"/>
          <w:sz w:val="20"/>
        </w:rPr>
      </w:pPr>
      <w:r>
        <w:rPr>
          <w:rFonts w:ascii="Arial" w:hAnsi="Arial" w:cs="Arial"/>
          <w:sz w:val="20"/>
        </w:rPr>
        <w:br w:type="page"/>
      </w:r>
    </w:p>
    <w:p w14:paraId="3ACD44B5" w14:textId="0C8D859B" w:rsidR="00FB583B" w:rsidRPr="00733738" w:rsidRDefault="00733738" w:rsidP="008D3EC2">
      <w:pPr>
        <w:autoSpaceDE w:val="0"/>
        <w:autoSpaceDN w:val="0"/>
        <w:adjustRightInd w:val="0"/>
        <w:rPr>
          <w:rFonts w:ascii="Arial" w:hAnsi="Arial" w:cs="Arial"/>
          <w:b/>
          <w:sz w:val="20"/>
        </w:rPr>
      </w:pPr>
      <w:r w:rsidRPr="00733738">
        <w:rPr>
          <w:rFonts w:ascii="Arial" w:hAnsi="Arial" w:cs="Arial"/>
          <w:b/>
          <w:sz w:val="20"/>
        </w:rPr>
        <w:lastRenderedPageBreak/>
        <w:t>Annex XI cont.</w:t>
      </w:r>
    </w:p>
    <w:p w14:paraId="1A7EC663" w14:textId="77777777" w:rsidR="00733738" w:rsidRDefault="00733738" w:rsidP="008D3EC2">
      <w:pPr>
        <w:autoSpaceDE w:val="0"/>
        <w:autoSpaceDN w:val="0"/>
        <w:adjustRightInd w:val="0"/>
        <w:rPr>
          <w:rFonts w:ascii="Arial" w:hAnsi="Arial" w:cs="Arial"/>
          <w:sz w:val="20"/>
        </w:rPr>
      </w:pPr>
    </w:p>
    <w:p w14:paraId="02755399" w14:textId="28E13438" w:rsidR="005A1F7F" w:rsidRDefault="005A1F7F" w:rsidP="008D3EC2">
      <w:pPr>
        <w:autoSpaceDE w:val="0"/>
        <w:autoSpaceDN w:val="0"/>
        <w:adjustRightInd w:val="0"/>
        <w:rPr>
          <w:rFonts w:ascii="Arial" w:hAnsi="Arial" w:cs="Arial"/>
          <w:sz w:val="20"/>
        </w:rPr>
      </w:pPr>
      <w:r w:rsidRPr="005A1F7F">
        <w:rPr>
          <w:noProof/>
          <w:lang w:eastAsia="en-US"/>
        </w:rPr>
        <w:drawing>
          <wp:inline distT="0" distB="0" distL="0" distR="0" wp14:anchorId="6FDBAB29" wp14:editId="4A6D752C">
            <wp:extent cx="5971540" cy="5897292"/>
            <wp:effectExtent l="0" t="0" r="0" b="825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5971540" cy="5897292"/>
                    </a:xfrm>
                    <a:prstGeom prst="rect">
                      <a:avLst/>
                    </a:prstGeom>
                    <a:noFill/>
                    <a:ln>
                      <a:noFill/>
                    </a:ln>
                  </pic:spPr>
                </pic:pic>
              </a:graphicData>
            </a:graphic>
          </wp:inline>
        </w:drawing>
      </w:r>
    </w:p>
    <w:p w14:paraId="37DA927B" w14:textId="77777777" w:rsidR="00407A40" w:rsidRDefault="00407A40" w:rsidP="008D3EC2">
      <w:pPr>
        <w:autoSpaceDE w:val="0"/>
        <w:autoSpaceDN w:val="0"/>
        <w:adjustRightInd w:val="0"/>
        <w:rPr>
          <w:rFonts w:ascii="Arial" w:hAnsi="Arial" w:cs="Arial"/>
          <w:sz w:val="20"/>
        </w:rPr>
      </w:pPr>
    </w:p>
    <w:p w14:paraId="6434F6F1" w14:textId="163ABB88" w:rsidR="005A1F7F" w:rsidRDefault="005A1F7F">
      <w:pPr>
        <w:rPr>
          <w:rFonts w:ascii="Arial" w:hAnsi="Arial" w:cs="Arial"/>
          <w:sz w:val="20"/>
        </w:rPr>
      </w:pPr>
      <w:r>
        <w:rPr>
          <w:rFonts w:ascii="Arial" w:hAnsi="Arial" w:cs="Arial"/>
          <w:sz w:val="20"/>
        </w:rPr>
        <w:br w:type="page"/>
      </w:r>
    </w:p>
    <w:p w14:paraId="66390CDF" w14:textId="5E60EEEE" w:rsidR="005A1F7F" w:rsidRPr="00733738" w:rsidRDefault="00733738" w:rsidP="008D3EC2">
      <w:pPr>
        <w:autoSpaceDE w:val="0"/>
        <w:autoSpaceDN w:val="0"/>
        <w:adjustRightInd w:val="0"/>
        <w:rPr>
          <w:rFonts w:ascii="Arial" w:hAnsi="Arial" w:cs="Arial"/>
          <w:b/>
          <w:sz w:val="20"/>
        </w:rPr>
      </w:pPr>
      <w:r w:rsidRPr="00733738">
        <w:rPr>
          <w:rFonts w:ascii="Arial" w:hAnsi="Arial" w:cs="Arial"/>
          <w:b/>
          <w:sz w:val="20"/>
        </w:rPr>
        <w:lastRenderedPageBreak/>
        <w:t>Annex XI cont.</w:t>
      </w:r>
    </w:p>
    <w:p w14:paraId="2C4B4348" w14:textId="77777777" w:rsidR="00733738" w:rsidRDefault="00733738" w:rsidP="008D3EC2">
      <w:pPr>
        <w:autoSpaceDE w:val="0"/>
        <w:autoSpaceDN w:val="0"/>
        <w:adjustRightInd w:val="0"/>
        <w:rPr>
          <w:rFonts w:ascii="Arial" w:hAnsi="Arial" w:cs="Arial"/>
          <w:sz w:val="20"/>
        </w:rPr>
      </w:pPr>
    </w:p>
    <w:p w14:paraId="35AFB741" w14:textId="6F070C4C" w:rsidR="005A1F7F" w:rsidRDefault="005A1F7F" w:rsidP="008D3EC2">
      <w:pPr>
        <w:autoSpaceDE w:val="0"/>
        <w:autoSpaceDN w:val="0"/>
        <w:adjustRightInd w:val="0"/>
        <w:rPr>
          <w:rFonts w:ascii="Arial" w:hAnsi="Arial" w:cs="Arial"/>
          <w:sz w:val="20"/>
        </w:rPr>
      </w:pPr>
      <w:r w:rsidRPr="005A1F7F">
        <w:rPr>
          <w:noProof/>
          <w:lang w:eastAsia="en-US"/>
        </w:rPr>
        <w:drawing>
          <wp:inline distT="0" distB="0" distL="0" distR="0" wp14:anchorId="24F72145" wp14:editId="3403AF91">
            <wp:extent cx="5971540" cy="3070806"/>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bwMode="auto">
                    <a:xfrm>
                      <a:off x="0" y="0"/>
                      <a:ext cx="5971540" cy="3070806"/>
                    </a:xfrm>
                    <a:prstGeom prst="rect">
                      <a:avLst/>
                    </a:prstGeom>
                    <a:noFill/>
                    <a:ln>
                      <a:noFill/>
                    </a:ln>
                  </pic:spPr>
                </pic:pic>
              </a:graphicData>
            </a:graphic>
          </wp:inline>
        </w:drawing>
      </w:r>
    </w:p>
    <w:p w14:paraId="5EF27336" w14:textId="77777777" w:rsidR="005A1F7F" w:rsidRDefault="005A1F7F" w:rsidP="008D3EC2">
      <w:pPr>
        <w:autoSpaceDE w:val="0"/>
        <w:autoSpaceDN w:val="0"/>
        <w:adjustRightInd w:val="0"/>
        <w:rPr>
          <w:rFonts w:ascii="Arial" w:hAnsi="Arial" w:cs="Arial"/>
          <w:sz w:val="20"/>
        </w:rPr>
      </w:pPr>
    </w:p>
    <w:p w14:paraId="47BB0F21" w14:textId="77777777" w:rsidR="00733738" w:rsidRDefault="00733738" w:rsidP="008D3EC2">
      <w:pPr>
        <w:autoSpaceDE w:val="0"/>
        <w:autoSpaceDN w:val="0"/>
        <w:adjustRightInd w:val="0"/>
        <w:rPr>
          <w:rFonts w:ascii="Arial" w:hAnsi="Arial" w:cs="Arial"/>
          <w:sz w:val="20"/>
        </w:rPr>
      </w:pPr>
    </w:p>
    <w:p w14:paraId="57324A48" w14:textId="77777777" w:rsidR="00407A40" w:rsidRDefault="00407A40" w:rsidP="008D3EC2">
      <w:pPr>
        <w:autoSpaceDE w:val="0"/>
        <w:autoSpaceDN w:val="0"/>
        <w:adjustRightInd w:val="0"/>
        <w:rPr>
          <w:rFonts w:ascii="Arial" w:hAnsi="Arial" w:cs="Arial"/>
          <w:sz w:val="20"/>
        </w:rPr>
        <w:sectPr w:rsidR="00407A40" w:rsidSect="00FB68E0">
          <w:pgSz w:w="11907" w:h="16839" w:code="9"/>
          <w:pgMar w:top="624" w:right="1418" w:bottom="1361" w:left="1418" w:header="567" w:footer="851" w:gutter="0"/>
          <w:cols w:space="720"/>
          <w:docGrid w:linePitch="360"/>
        </w:sectPr>
      </w:pPr>
    </w:p>
    <w:p w14:paraId="28F17D6C" w14:textId="77777777" w:rsidR="00FB583B" w:rsidRPr="00492372" w:rsidRDefault="00FB583B" w:rsidP="00F04E0B">
      <w:pPr>
        <w:pStyle w:val="StyleHeading3ComplexItalic"/>
        <w:keepNext w:val="0"/>
        <w:tabs>
          <w:tab w:val="clear" w:pos="1985"/>
          <w:tab w:val="left" w:pos="1418"/>
        </w:tabs>
        <w:ind w:left="1418" w:hanging="1418"/>
        <w:rPr>
          <w:caps w:val="0"/>
          <w:sz w:val="18"/>
        </w:rPr>
      </w:pPr>
      <w:bookmarkStart w:id="132" w:name="_Toc356567797"/>
      <w:bookmarkStart w:id="133" w:name="_Toc367350623"/>
      <w:bookmarkStart w:id="134" w:name="_Toc427154445"/>
      <w:r w:rsidRPr="003518EB">
        <w:rPr>
          <w:caps w:val="0"/>
        </w:rPr>
        <w:lastRenderedPageBreak/>
        <w:t>ANNEX XII</w:t>
      </w:r>
      <w:r w:rsidRPr="003518EB">
        <w:rPr>
          <w:caps w:val="0"/>
        </w:rPr>
        <w:tab/>
        <w:t>WIPO ORGANIGRAM</w:t>
      </w:r>
      <w:bookmarkEnd w:id="132"/>
      <w:bookmarkEnd w:id="133"/>
      <w:bookmarkEnd w:id="134"/>
      <w:r w:rsidRPr="003518EB">
        <w:rPr>
          <w:caps w:val="0"/>
        </w:rPr>
        <w:t xml:space="preserve">   </w:t>
      </w:r>
    </w:p>
    <w:p w14:paraId="1F8905F6" w14:textId="06FA2958" w:rsidR="00B05CA6" w:rsidRDefault="008D1E5D" w:rsidP="002668E0">
      <w:pPr>
        <w:autoSpaceDE w:val="0"/>
        <w:autoSpaceDN w:val="0"/>
        <w:adjustRightInd w:val="0"/>
        <w:ind w:left="142"/>
        <w:jc w:val="center"/>
        <w:rPr>
          <w:rFonts w:ascii="Arial" w:hAnsi="Arial" w:cs="Arial"/>
          <w:sz w:val="16"/>
        </w:rPr>
      </w:pPr>
      <w:r w:rsidRPr="008D1E5D">
        <w:rPr>
          <w:noProof/>
          <w:lang w:eastAsia="en-US"/>
        </w:rPr>
        <w:drawing>
          <wp:inline distT="0" distB="0" distL="0" distR="0" wp14:anchorId="09E03F69" wp14:editId="57CC8BD5">
            <wp:extent cx="8717248" cy="5648325"/>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bwMode="auto">
                    <a:xfrm>
                      <a:off x="0" y="0"/>
                      <a:ext cx="8726313" cy="5654199"/>
                    </a:xfrm>
                    <a:prstGeom prst="rect">
                      <a:avLst/>
                    </a:prstGeom>
                    <a:noFill/>
                    <a:ln>
                      <a:noFill/>
                    </a:ln>
                  </pic:spPr>
                </pic:pic>
              </a:graphicData>
            </a:graphic>
          </wp:inline>
        </w:drawing>
      </w:r>
    </w:p>
    <w:p w14:paraId="69200BEF" w14:textId="1C6334B6" w:rsidR="000D2666" w:rsidRPr="000D2666" w:rsidRDefault="000D2666" w:rsidP="00F04E0B">
      <w:pPr>
        <w:pStyle w:val="BodyText"/>
        <w:jc w:val="both"/>
        <w:rPr>
          <w:sz w:val="18"/>
        </w:rPr>
      </w:pPr>
    </w:p>
    <w:p w14:paraId="29F496EF" w14:textId="77777777" w:rsidR="00FB583B" w:rsidRDefault="00FB583B" w:rsidP="008D3EC2">
      <w:pPr>
        <w:autoSpaceDE w:val="0"/>
        <w:autoSpaceDN w:val="0"/>
        <w:adjustRightInd w:val="0"/>
        <w:rPr>
          <w:rFonts w:ascii="Arial" w:hAnsi="Arial" w:cs="Arial"/>
          <w:sz w:val="20"/>
        </w:rPr>
        <w:sectPr w:rsidR="00FB583B" w:rsidSect="00B30215">
          <w:headerReference w:type="first" r:id="rId322"/>
          <w:footerReference w:type="first" r:id="rId323"/>
          <w:pgSz w:w="16839" w:h="11907" w:orient="landscape" w:code="9"/>
          <w:pgMar w:top="907" w:right="737" w:bottom="709" w:left="1077" w:header="567" w:footer="851" w:gutter="0"/>
          <w:cols w:space="720"/>
          <w:titlePg/>
          <w:docGrid w:linePitch="360"/>
        </w:sectPr>
      </w:pPr>
    </w:p>
    <w:p w14:paraId="38653130" w14:textId="31E6E8ED" w:rsidR="00FB583B" w:rsidRPr="00B30215" w:rsidRDefault="00F66122" w:rsidP="00FB583B">
      <w:pPr>
        <w:pStyle w:val="Heading1"/>
        <w:keepNext w:val="0"/>
        <w:rPr>
          <w:szCs w:val="20"/>
        </w:rPr>
      </w:pPr>
      <w:bookmarkStart w:id="135" w:name="_Toc293334850"/>
      <w:bookmarkStart w:id="136" w:name="_Toc298920432"/>
      <w:bookmarkStart w:id="137" w:name="_Toc310950812"/>
      <w:bookmarkStart w:id="138" w:name="_Toc356567798"/>
      <w:bookmarkStart w:id="139" w:name="_Toc367350624"/>
      <w:bookmarkStart w:id="140" w:name="_Toc427154446"/>
      <w:r w:rsidRPr="00B30215">
        <w:rPr>
          <w:szCs w:val="20"/>
        </w:rPr>
        <w:lastRenderedPageBreak/>
        <w:t>I</w:t>
      </w:r>
      <w:r w:rsidR="00FB583B" w:rsidRPr="00B30215">
        <w:rPr>
          <w:szCs w:val="20"/>
        </w:rPr>
        <w:t>V.</w:t>
      </w:r>
      <w:r w:rsidR="00FB583B" w:rsidRPr="00B30215">
        <w:rPr>
          <w:szCs w:val="20"/>
        </w:rPr>
        <w:tab/>
        <w:t>APPENDICES</w:t>
      </w:r>
      <w:bookmarkEnd w:id="135"/>
      <w:bookmarkEnd w:id="136"/>
      <w:bookmarkEnd w:id="137"/>
      <w:bookmarkEnd w:id="138"/>
      <w:bookmarkEnd w:id="139"/>
      <w:bookmarkEnd w:id="140"/>
      <w:r w:rsidR="00FB583B" w:rsidRPr="00B30215">
        <w:rPr>
          <w:szCs w:val="20"/>
        </w:rPr>
        <w:t xml:space="preserve"> </w:t>
      </w:r>
    </w:p>
    <w:p w14:paraId="1D1CCA91" w14:textId="77777777" w:rsidR="00FB583B" w:rsidRDefault="00FB583B" w:rsidP="00FB583B">
      <w:pPr>
        <w:rPr>
          <w:rFonts w:ascii="Arial" w:hAnsi="Arial" w:cs="Arial"/>
          <w:sz w:val="24"/>
        </w:rPr>
      </w:pPr>
    </w:p>
    <w:p w14:paraId="18EC7A97" w14:textId="77777777" w:rsidR="00552612" w:rsidRPr="00CF4788" w:rsidRDefault="00552612" w:rsidP="00FB583B">
      <w:pPr>
        <w:rPr>
          <w:rFonts w:ascii="Arial" w:hAnsi="Arial" w:cs="Arial"/>
          <w:sz w:val="24"/>
        </w:rPr>
      </w:pPr>
    </w:p>
    <w:p w14:paraId="75251880" w14:textId="6227E7EE" w:rsidR="00FB583B" w:rsidRPr="00B35BD1" w:rsidRDefault="00FB583B" w:rsidP="00FB583B">
      <w:pPr>
        <w:pStyle w:val="StyleHeading3ComplexItalic"/>
        <w:keepNext w:val="0"/>
        <w:tabs>
          <w:tab w:val="clear" w:pos="1985"/>
          <w:tab w:val="left" w:pos="0"/>
        </w:tabs>
        <w:rPr>
          <w:b w:val="0"/>
        </w:rPr>
      </w:pPr>
      <w:bookmarkStart w:id="141" w:name="_Toc293334851"/>
      <w:bookmarkStart w:id="142" w:name="_Toc298920433"/>
      <w:bookmarkStart w:id="143" w:name="_Toc310950813"/>
      <w:bookmarkStart w:id="144" w:name="_Toc356567799"/>
      <w:bookmarkStart w:id="145" w:name="_Toc367350625"/>
      <w:bookmarkStart w:id="146" w:name="_Toc427154447"/>
      <w:r w:rsidRPr="00B35BD1">
        <w:rPr>
          <w:caps w:val="0"/>
        </w:rPr>
        <w:t xml:space="preserve">APPENDIX A    </w:t>
      </w:r>
      <w:r w:rsidRPr="00B35BD1">
        <w:rPr>
          <w:b w:val="0"/>
          <w:caps w:val="0"/>
        </w:rPr>
        <w:br/>
      </w:r>
      <w:r w:rsidRPr="00B35BD1">
        <w:rPr>
          <w:bCs/>
          <w:caps w:val="0"/>
        </w:rPr>
        <w:t>MEMBER STATES’ CONTRIBUTIONS</w:t>
      </w:r>
      <w:bookmarkEnd w:id="141"/>
      <w:bookmarkEnd w:id="142"/>
      <w:bookmarkEnd w:id="143"/>
      <w:bookmarkEnd w:id="144"/>
      <w:bookmarkEnd w:id="145"/>
      <w:bookmarkEnd w:id="146"/>
    </w:p>
    <w:p w14:paraId="2B29D03A" w14:textId="77777777" w:rsidR="00FB583B" w:rsidRPr="00CF238E" w:rsidRDefault="00FB583B" w:rsidP="00FB583B">
      <w:pPr>
        <w:rPr>
          <w:rFonts w:ascii="Arial" w:hAnsi="Arial" w:cs="Arial"/>
          <w:sz w:val="20"/>
        </w:rPr>
      </w:pPr>
      <w:r w:rsidRPr="00CF238E">
        <w:rPr>
          <w:rFonts w:ascii="Arial" w:hAnsi="Arial" w:cs="Arial"/>
          <w:sz w:val="20"/>
        </w:rPr>
        <w:t>(in Swiss francs)</w:t>
      </w:r>
    </w:p>
    <w:p w14:paraId="748E6350" w14:textId="1584FD42" w:rsidR="00FB583B" w:rsidRDefault="00FB583B" w:rsidP="008D3EC2">
      <w:pPr>
        <w:autoSpaceDE w:val="0"/>
        <w:autoSpaceDN w:val="0"/>
        <w:adjustRightInd w:val="0"/>
        <w:rPr>
          <w:rFonts w:ascii="Arial" w:hAnsi="Arial" w:cs="Arial"/>
          <w:sz w:val="20"/>
        </w:rPr>
      </w:pPr>
    </w:p>
    <w:p w14:paraId="7E25FFEF" w14:textId="77777777" w:rsidR="00FB583B" w:rsidRDefault="00FB583B" w:rsidP="008D3EC2">
      <w:pPr>
        <w:autoSpaceDE w:val="0"/>
        <w:autoSpaceDN w:val="0"/>
        <w:adjustRightInd w:val="0"/>
        <w:rPr>
          <w:rFonts w:ascii="Arial" w:hAnsi="Arial" w:cs="Arial"/>
          <w:sz w:val="20"/>
        </w:rPr>
      </w:pPr>
    </w:p>
    <w:tbl>
      <w:tblPr>
        <w:tblW w:w="9460"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tblGrid>
      <w:tr w:rsidR="002523FB" w:rsidRPr="000C5ED6" w14:paraId="0A231C98" w14:textId="77777777" w:rsidTr="00C2153C">
        <w:trPr>
          <w:trHeight w:val="200"/>
          <w:tblHeader/>
        </w:trPr>
        <w:tc>
          <w:tcPr>
            <w:tcW w:w="2750" w:type="dxa"/>
            <w:shd w:val="pct15" w:color="auto" w:fill="FFFFFF"/>
          </w:tcPr>
          <w:p w14:paraId="7B25A7B9" w14:textId="77777777" w:rsidR="002523FB" w:rsidRPr="000C5ED6" w:rsidRDefault="002523FB" w:rsidP="00C2153C">
            <w:pPr>
              <w:spacing w:before="60"/>
              <w:jc w:val="center"/>
              <w:rPr>
                <w:rFonts w:ascii="Arial" w:hAnsi="Arial" w:cs="Arial"/>
                <w:b/>
                <w:snapToGrid w:val="0"/>
                <w:sz w:val="18"/>
                <w:szCs w:val="18"/>
              </w:rPr>
            </w:pPr>
            <w:r w:rsidRPr="000C5ED6">
              <w:rPr>
                <w:rFonts w:ascii="Arial" w:hAnsi="Arial" w:cs="Arial"/>
                <w:b/>
                <w:snapToGrid w:val="0"/>
                <w:sz w:val="18"/>
                <w:szCs w:val="18"/>
              </w:rPr>
              <w:t xml:space="preserve">States Members of </w:t>
            </w:r>
            <w:r w:rsidRPr="000C5ED6">
              <w:rPr>
                <w:rFonts w:ascii="Arial" w:hAnsi="Arial" w:cs="Arial"/>
                <w:b/>
                <w:snapToGrid w:val="0"/>
                <w:sz w:val="18"/>
                <w:szCs w:val="18"/>
              </w:rPr>
              <w:br/>
              <w:t>One or More</w:t>
            </w:r>
          </w:p>
        </w:tc>
        <w:tc>
          <w:tcPr>
            <w:tcW w:w="1430" w:type="dxa"/>
            <w:vMerge w:val="restart"/>
            <w:shd w:val="pct15" w:color="auto" w:fill="FFFFFF"/>
            <w:vAlign w:val="center"/>
          </w:tcPr>
          <w:p w14:paraId="6EA056D8" w14:textId="77777777" w:rsidR="002523FB" w:rsidRPr="002E4714" w:rsidRDefault="002523FB" w:rsidP="00C2153C">
            <w:pPr>
              <w:spacing w:before="60"/>
              <w:jc w:val="center"/>
              <w:rPr>
                <w:rFonts w:ascii="Arial" w:hAnsi="Arial" w:cs="Arial"/>
                <w:b/>
                <w:snapToGrid w:val="0"/>
                <w:sz w:val="18"/>
                <w:szCs w:val="18"/>
              </w:rPr>
            </w:pPr>
            <w:r>
              <w:rPr>
                <w:rFonts w:ascii="Arial" w:hAnsi="Arial" w:cs="Arial"/>
                <w:b/>
                <w:snapToGrid w:val="0"/>
                <w:sz w:val="17"/>
                <w:szCs w:val="17"/>
              </w:rPr>
              <w:t>Contribution</w:t>
            </w:r>
            <w:r>
              <w:rPr>
                <w:rFonts w:ascii="Arial" w:hAnsi="Arial" w:cs="Arial"/>
                <w:b/>
                <w:snapToGrid w:val="0"/>
                <w:sz w:val="18"/>
                <w:szCs w:val="18"/>
              </w:rPr>
              <w:t xml:space="preserve"> </w:t>
            </w:r>
            <w:r w:rsidRPr="000C5ED6">
              <w:rPr>
                <w:rFonts w:ascii="Arial" w:hAnsi="Arial" w:cs="Arial"/>
                <w:b/>
                <w:snapToGrid w:val="0"/>
                <w:sz w:val="18"/>
                <w:szCs w:val="18"/>
              </w:rPr>
              <w:t>Class</w:t>
            </w:r>
          </w:p>
        </w:tc>
        <w:tc>
          <w:tcPr>
            <w:tcW w:w="1210" w:type="dxa"/>
            <w:vMerge w:val="restart"/>
            <w:shd w:val="pct15" w:color="auto" w:fill="FFFFFF"/>
            <w:vAlign w:val="center"/>
          </w:tcPr>
          <w:p w14:paraId="1830993A" w14:textId="77777777" w:rsidR="002523FB" w:rsidRPr="00647722" w:rsidRDefault="002523FB" w:rsidP="00C2153C">
            <w:pPr>
              <w:spacing w:before="60"/>
              <w:jc w:val="center"/>
              <w:rPr>
                <w:rFonts w:ascii="Arial" w:hAnsi="Arial" w:cs="Arial"/>
                <w:b/>
                <w:snapToGrid w:val="0"/>
                <w:sz w:val="12"/>
                <w:szCs w:val="12"/>
              </w:rPr>
            </w:pPr>
          </w:p>
          <w:p w14:paraId="1B730A2F" w14:textId="77777777" w:rsidR="002523FB" w:rsidRPr="000C5ED6" w:rsidRDefault="002523FB" w:rsidP="00C2153C">
            <w:pPr>
              <w:spacing w:before="60"/>
              <w:jc w:val="center"/>
              <w:rPr>
                <w:rFonts w:ascii="Arial" w:hAnsi="Arial" w:cs="Arial"/>
                <w:b/>
                <w:snapToGrid w:val="0"/>
                <w:sz w:val="18"/>
                <w:szCs w:val="18"/>
              </w:rPr>
            </w:pPr>
            <w:r w:rsidRPr="000C5ED6">
              <w:rPr>
                <w:rFonts w:ascii="Arial" w:hAnsi="Arial" w:cs="Arial"/>
                <w:b/>
                <w:snapToGrid w:val="0"/>
                <w:sz w:val="18"/>
                <w:szCs w:val="18"/>
              </w:rPr>
              <w:t>Contribution Units</w:t>
            </w:r>
          </w:p>
          <w:p w14:paraId="275A64D3" w14:textId="77777777" w:rsidR="002523FB" w:rsidRPr="000C5ED6" w:rsidRDefault="002523FB" w:rsidP="00C2153C">
            <w:pPr>
              <w:spacing w:before="60"/>
              <w:jc w:val="center"/>
              <w:rPr>
                <w:rFonts w:ascii="Arial" w:hAnsi="Arial" w:cs="Arial"/>
                <w:b/>
                <w:snapToGrid w:val="0"/>
                <w:sz w:val="18"/>
                <w:szCs w:val="18"/>
              </w:rPr>
            </w:pPr>
            <w:r>
              <w:rPr>
                <w:rFonts w:ascii="Arial" w:hAnsi="Arial" w:cs="Arial"/>
                <w:b/>
                <w:snapToGrid w:val="0"/>
                <w:sz w:val="18"/>
                <w:szCs w:val="18"/>
              </w:rPr>
              <w:t>2016/17</w:t>
            </w:r>
          </w:p>
        </w:tc>
        <w:tc>
          <w:tcPr>
            <w:tcW w:w="1320" w:type="dxa"/>
            <w:vMerge w:val="restart"/>
            <w:shd w:val="pct15" w:color="auto" w:fill="FFFFFF"/>
            <w:vAlign w:val="center"/>
          </w:tcPr>
          <w:p w14:paraId="51DAAB86" w14:textId="77777777" w:rsidR="002523FB" w:rsidRPr="002E4714" w:rsidRDefault="002523FB" w:rsidP="00C2153C">
            <w:pPr>
              <w:spacing w:before="60"/>
              <w:jc w:val="center"/>
              <w:rPr>
                <w:rFonts w:ascii="Arial" w:hAnsi="Arial" w:cs="Arial"/>
                <w:b/>
                <w:snapToGrid w:val="0"/>
                <w:sz w:val="18"/>
                <w:szCs w:val="18"/>
              </w:rPr>
            </w:pPr>
            <w:r w:rsidRPr="000C5ED6">
              <w:rPr>
                <w:rFonts w:ascii="Arial" w:hAnsi="Arial" w:cs="Arial"/>
                <w:b/>
                <w:snapToGrid w:val="0"/>
                <w:sz w:val="18"/>
                <w:szCs w:val="18"/>
              </w:rPr>
              <w:t>Contribution</w:t>
            </w:r>
            <w:r w:rsidRPr="00647722">
              <w:rPr>
                <w:rFonts w:ascii="Arial" w:hAnsi="Arial" w:cs="Arial"/>
                <w:b/>
                <w:snapToGrid w:val="0"/>
                <w:sz w:val="18"/>
                <w:szCs w:val="18"/>
                <w:vertAlign w:val="superscript"/>
              </w:rPr>
              <w:t>1</w:t>
            </w:r>
          </w:p>
          <w:p w14:paraId="4CF30859" w14:textId="77777777" w:rsidR="002523FB" w:rsidRPr="002E4714" w:rsidRDefault="002523FB" w:rsidP="00C2153C">
            <w:pPr>
              <w:spacing w:before="60"/>
              <w:jc w:val="center"/>
              <w:rPr>
                <w:rFonts w:ascii="Arial" w:hAnsi="Arial" w:cs="Arial"/>
                <w:b/>
                <w:snapToGrid w:val="0"/>
                <w:sz w:val="18"/>
                <w:szCs w:val="18"/>
              </w:rPr>
            </w:pPr>
            <w:r>
              <w:rPr>
                <w:rFonts w:ascii="Arial" w:hAnsi="Arial" w:cs="Arial"/>
                <w:b/>
                <w:snapToGrid w:val="0"/>
                <w:sz w:val="18"/>
                <w:szCs w:val="18"/>
              </w:rPr>
              <w:t>2016</w:t>
            </w:r>
          </w:p>
        </w:tc>
        <w:tc>
          <w:tcPr>
            <w:tcW w:w="1430" w:type="dxa"/>
            <w:vMerge w:val="restart"/>
            <w:shd w:val="pct15" w:color="auto" w:fill="FFFFFF"/>
            <w:vAlign w:val="center"/>
          </w:tcPr>
          <w:p w14:paraId="229421EA" w14:textId="77777777" w:rsidR="002523FB" w:rsidRPr="002E4714" w:rsidRDefault="002523FB" w:rsidP="00C2153C">
            <w:pPr>
              <w:spacing w:before="60"/>
              <w:jc w:val="center"/>
              <w:rPr>
                <w:rFonts w:ascii="Arial" w:hAnsi="Arial" w:cs="Arial"/>
                <w:b/>
                <w:snapToGrid w:val="0"/>
                <w:sz w:val="18"/>
                <w:szCs w:val="18"/>
              </w:rPr>
            </w:pPr>
            <w:r w:rsidRPr="000C5ED6">
              <w:rPr>
                <w:rFonts w:ascii="Arial" w:hAnsi="Arial" w:cs="Arial"/>
                <w:b/>
                <w:snapToGrid w:val="0"/>
                <w:sz w:val="18"/>
                <w:szCs w:val="18"/>
              </w:rPr>
              <w:t>Contribution</w:t>
            </w:r>
            <w:r w:rsidRPr="00647722">
              <w:rPr>
                <w:rFonts w:ascii="Arial" w:hAnsi="Arial" w:cs="Arial"/>
                <w:b/>
                <w:snapToGrid w:val="0"/>
                <w:sz w:val="18"/>
                <w:szCs w:val="18"/>
                <w:vertAlign w:val="superscript"/>
              </w:rPr>
              <w:t>1</w:t>
            </w:r>
          </w:p>
          <w:p w14:paraId="27E5D0D8" w14:textId="77777777" w:rsidR="002523FB" w:rsidRPr="002E4714" w:rsidRDefault="002523FB" w:rsidP="00C2153C">
            <w:pPr>
              <w:spacing w:before="60"/>
              <w:jc w:val="center"/>
              <w:rPr>
                <w:rFonts w:ascii="Arial" w:hAnsi="Arial" w:cs="Arial"/>
                <w:b/>
                <w:snapToGrid w:val="0"/>
                <w:sz w:val="18"/>
                <w:szCs w:val="18"/>
              </w:rPr>
            </w:pPr>
            <w:r>
              <w:rPr>
                <w:rFonts w:ascii="Arial" w:hAnsi="Arial" w:cs="Arial"/>
                <w:b/>
                <w:snapToGrid w:val="0"/>
                <w:sz w:val="18"/>
                <w:szCs w:val="18"/>
              </w:rPr>
              <w:t>2017</w:t>
            </w:r>
          </w:p>
        </w:tc>
        <w:tc>
          <w:tcPr>
            <w:tcW w:w="1320" w:type="dxa"/>
            <w:vMerge w:val="restart"/>
            <w:shd w:val="pct15" w:color="auto" w:fill="FFFFFF"/>
            <w:vAlign w:val="center"/>
          </w:tcPr>
          <w:p w14:paraId="3689C935" w14:textId="77777777" w:rsidR="002523FB" w:rsidRPr="000C5ED6" w:rsidRDefault="002523FB" w:rsidP="00C2153C">
            <w:pPr>
              <w:spacing w:before="60"/>
              <w:jc w:val="center"/>
              <w:rPr>
                <w:rFonts w:ascii="Arial" w:hAnsi="Arial" w:cs="Arial"/>
                <w:b/>
                <w:snapToGrid w:val="0"/>
                <w:sz w:val="18"/>
                <w:szCs w:val="18"/>
              </w:rPr>
            </w:pPr>
            <w:r w:rsidRPr="000C5ED6">
              <w:rPr>
                <w:rFonts w:ascii="Arial" w:hAnsi="Arial" w:cs="Arial"/>
                <w:b/>
                <w:snapToGrid w:val="0"/>
                <w:sz w:val="18"/>
                <w:szCs w:val="18"/>
              </w:rPr>
              <w:t>Contributions</w:t>
            </w:r>
          </w:p>
          <w:p w14:paraId="5EF8CED1" w14:textId="77777777" w:rsidR="002523FB" w:rsidRPr="000C5ED6" w:rsidRDefault="002523FB" w:rsidP="00C2153C">
            <w:pPr>
              <w:spacing w:before="60"/>
              <w:jc w:val="center"/>
              <w:rPr>
                <w:rFonts w:ascii="Arial" w:hAnsi="Arial" w:cs="Arial"/>
                <w:b/>
                <w:snapToGrid w:val="0"/>
                <w:sz w:val="18"/>
                <w:szCs w:val="18"/>
              </w:rPr>
            </w:pPr>
            <w:r>
              <w:rPr>
                <w:rFonts w:ascii="Arial" w:hAnsi="Arial" w:cs="Arial"/>
                <w:b/>
                <w:snapToGrid w:val="0"/>
                <w:sz w:val="18"/>
                <w:szCs w:val="18"/>
              </w:rPr>
              <w:t>2016/17</w:t>
            </w:r>
          </w:p>
        </w:tc>
      </w:tr>
      <w:tr w:rsidR="002523FB" w:rsidRPr="000C5ED6" w14:paraId="1287A5DD" w14:textId="77777777" w:rsidTr="00C2153C">
        <w:trPr>
          <w:trHeight w:val="200"/>
          <w:tblHeader/>
        </w:trPr>
        <w:tc>
          <w:tcPr>
            <w:tcW w:w="2750" w:type="dxa"/>
            <w:shd w:val="pct15" w:color="auto" w:fill="FFFFFF"/>
          </w:tcPr>
          <w:p w14:paraId="000C9F95" w14:textId="77777777" w:rsidR="002523FB" w:rsidRPr="00226324" w:rsidRDefault="002523FB" w:rsidP="00C2153C">
            <w:pPr>
              <w:pStyle w:val="Heading6"/>
              <w:tabs>
                <w:tab w:val="num" w:pos="0"/>
              </w:tabs>
              <w:ind w:left="-46" w:firstLine="46"/>
              <w:jc w:val="center"/>
              <w:rPr>
                <w:sz w:val="17"/>
                <w:szCs w:val="17"/>
              </w:rPr>
            </w:pPr>
            <w:r w:rsidRPr="00226324">
              <w:rPr>
                <w:sz w:val="17"/>
                <w:szCs w:val="17"/>
              </w:rPr>
              <w:t>Contribution-Financed Unions</w:t>
            </w:r>
          </w:p>
        </w:tc>
        <w:tc>
          <w:tcPr>
            <w:tcW w:w="1430" w:type="dxa"/>
            <w:vMerge/>
            <w:shd w:val="pct15" w:color="auto" w:fill="FFFFFF"/>
          </w:tcPr>
          <w:p w14:paraId="7F52B89E" w14:textId="77777777" w:rsidR="002523FB" w:rsidRPr="000C5ED6" w:rsidRDefault="002523FB" w:rsidP="00C2153C">
            <w:pPr>
              <w:spacing w:before="60"/>
              <w:jc w:val="center"/>
              <w:rPr>
                <w:rFonts w:ascii="Arial" w:hAnsi="Arial" w:cs="Arial"/>
                <w:b/>
                <w:snapToGrid w:val="0"/>
                <w:sz w:val="18"/>
                <w:szCs w:val="18"/>
              </w:rPr>
            </w:pPr>
          </w:p>
        </w:tc>
        <w:tc>
          <w:tcPr>
            <w:tcW w:w="1210" w:type="dxa"/>
            <w:vMerge/>
            <w:shd w:val="pct15" w:color="auto" w:fill="FFFFFF"/>
            <w:vAlign w:val="center"/>
          </w:tcPr>
          <w:p w14:paraId="23818D06" w14:textId="77777777" w:rsidR="002523FB" w:rsidRPr="000C5ED6" w:rsidRDefault="002523FB" w:rsidP="00C2153C">
            <w:pPr>
              <w:spacing w:before="60"/>
              <w:jc w:val="center"/>
              <w:rPr>
                <w:rFonts w:ascii="Arial" w:hAnsi="Arial" w:cs="Arial"/>
                <w:b/>
                <w:snapToGrid w:val="0"/>
                <w:sz w:val="18"/>
                <w:szCs w:val="18"/>
              </w:rPr>
            </w:pPr>
          </w:p>
        </w:tc>
        <w:tc>
          <w:tcPr>
            <w:tcW w:w="1320" w:type="dxa"/>
            <w:vMerge/>
            <w:shd w:val="pct15" w:color="auto" w:fill="FFFFFF"/>
            <w:vAlign w:val="center"/>
          </w:tcPr>
          <w:p w14:paraId="3C0BD774" w14:textId="77777777" w:rsidR="002523FB" w:rsidRPr="000C5ED6" w:rsidRDefault="002523FB" w:rsidP="00C2153C">
            <w:pPr>
              <w:spacing w:before="60"/>
              <w:jc w:val="center"/>
              <w:rPr>
                <w:rFonts w:ascii="Arial" w:hAnsi="Arial" w:cs="Arial"/>
                <w:b/>
                <w:snapToGrid w:val="0"/>
                <w:sz w:val="18"/>
                <w:szCs w:val="18"/>
              </w:rPr>
            </w:pPr>
          </w:p>
        </w:tc>
        <w:tc>
          <w:tcPr>
            <w:tcW w:w="1430" w:type="dxa"/>
            <w:vMerge/>
            <w:shd w:val="pct15" w:color="auto" w:fill="FFFFFF"/>
            <w:vAlign w:val="center"/>
          </w:tcPr>
          <w:p w14:paraId="2D55406D" w14:textId="77777777" w:rsidR="002523FB" w:rsidRPr="000C5ED6" w:rsidRDefault="002523FB" w:rsidP="00C2153C">
            <w:pPr>
              <w:spacing w:before="60"/>
              <w:jc w:val="center"/>
              <w:rPr>
                <w:rFonts w:ascii="Arial" w:hAnsi="Arial" w:cs="Arial"/>
                <w:b/>
                <w:snapToGrid w:val="0"/>
                <w:sz w:val="18"/>
                <w:szCs w:val="18"/>
              </w:rPr>
            </w:pPr>
          </w:p>
        </w:tc>
        <w:tc>
          <w:tcPr>
            <w:tcW w:w="1320" w:type="dxa"/>
            <w:vMerge/>
            <w:shd w:val="pct15" w:color="auto" w:fill="FFFFFF"/>
            <w:vAlign w:val="center"/>
          </w:tcPr>
          <w:p w14:paraId="3A9573C8" w14:textId="77777777" w:rsidR="002523FB" w:rsidRPr="000C5ED6" w:rsidRDefault="002523FB" w:rsidP="00C2153C">
            <w:pPr>
              <w:spacing w:before="60"/>
              <w:jc w:val="center"/>
              <w:rPr>
                <w:rFonts w:ascii="Arial" w:hAnsi="Arial" w:cs="Arial"/>
                <w:b/>
                <w:snapToGrid w:val="0"/>
                <w:sz w:val="18"/>
                <w:szCs w:val="18"/>
              </w:rPr>
            </w:pPr>
          </w:p>
        </w:tc>
      </w:tr>
      <w:tr w:rsidR="002523FB" w:rsidRPr="000C5ED6" w14:paraId="2F0B4A02" w14:textId="77777777" w:rsidTr="00BC15CA">
        <w:trPr>
          <w:trHeight w:val="100"/>
          <w:tblHeader/>
        </w:trPr>
        <w:tc>
          <w:tcPr>
            <w:tcW w:w="2750" w:type="dxa"/>
          </w:tcPr>
          <w:p w14:paraId="78F2B977" w14:textId="77777777" w:rsidR="002523FB" w:rsidRPr="000C5ED6" w:rsidRDefault="002523FB" w:rsidP="00C2153C">
            <w:pPr>
              <w:jc w:val="right"/>
              <w:rPr>
                <w:rFonts w:ascii="Arial" w:hAnsi="Arial" w:cs="Arial"/>
                <w:snapToGrid w:val="0"/>
                <w:color w:val="000000"/>
                <w:sz w:val="18"/>
                <w:szCs w:val="18"/>
              </w:rPr>
            </w:pPr>
          </w:p>
        </w:tc>
        <w:tc>
          <w:tcPr>
            <w:tcW w:w="1430" w:type="dxa"/>
          </w:tcPr>
          <w:p w14:paraId="12C2148D" w14:textId="77777777" w:rsidR="002523FB" w:rsidRPr="000C5ED6" w:rsidRDefault="002523FB" w:rsidP="00C2153C">
            <w:pPr>
              <w:jc w:val="center"/>
              <w:rPr>
                <w:rFonts w:ascii="Arial" w:hAnsi="Arial" w:cs="Arial"/>
                <w:snapToGrid w:val="0"/>
                <w:color w:val="000000"/>
                <w:sz w:val="18"/>
                <w:szCs w:val="18"/>
              </w:rPr>
            </w:pPr>
          </w:p>
        </w:tc>
        <w:tc>
          <w:tcPr>
            <w:tcW w:w="1210" w:type="dxa"/>
          </w:tcPr>
          <w:p w14:paraId="3A9B248A" w14:textId="77777777" w:rsidR="002523FB" w:rsidRPr="000C5ED6" w:rsidRDefault="002523FB" w:rsidP="00C2153C">
            <w:pPr>
              <w:jc w:val="right"/>
              <w:rPr>
                <w:rFonts w:ascii="Arial" w:hAnsi="Arial" w:cs="Arial"/>
                <w:snapToGrid w:val="0"/>
                <w:color w:val="000000"/>
                <w:sz w:val="18"/>
                <w:szCs w:val="18"/>
              </w:rPr>
            </w:pPr>
          </w:p>
        </w:tc>
        <w:tc>
          <w:tcPr>
            <w:tcW w:w="1320" w:type="dxa"/>
          </w:tcPr>
          <w:p w14:paraId="6CD58843" w14:textId="77777777" w:rsidR="002523FB" w:rsidRPr="000C5ED6" w:rsidRDefault="002523FB" w:rsidP="00C2153C">
            <w:pPr>
              <w:jc w:val="right"/>
              <w:rPr>
                <w:rFonts w:ascii="Arial" w:hAnsi="Arial" w:cs="Arial"/>
                <w:snapToGrid w:val="0"/>
                <w:color w:val="000000"/>
                <w:sz w:val="18"/>
                <w:szCs w:val="18"/>
              </w:rPr>
            </w:pPr>
          </w:p>
        </w:tc>
        <w:tc>
          <w:tcPr>
            <w:tcW w:w="1430" w:type="dxa"/>
          </w:tcPr>
          <w:p w14:paraId="56D97324" w14:textId="77777777" w:rsidR="002523FB" w:rsidRPr="000C5ED6" w:rsidRDefault="002523FB" w:rsidP="00C2153C">
            <w:pPr>
              <w:jc w:val="right"/>
              <w:rPr>
                <w:rFonts w:ascii="Arial" w:hAnsi="Arial" w:cs="Arial"/>
                <w:snapToGrid w:val="0"/>
                <w:color w:val="000000"/>
                <w:sz w:val="18"/>
                <w:szCs w:val="18"/>
              </w:rPr>
            </w:pPr>
          </w:p>
        </w:tc>
        <w:tc>
          <w:tcPr>
            <w:tcW w:w="1320" w:type="dxa"/>
          </w:tcPr>
          <w:p w14:paraId="6F230F35" w14:textId="77777777" w:rsidR="002523FB" w:rsidRPr="000C5ED6" w:rsidRDefault="002523FB" w:rsidP="00C2153C">
            <w:pPr>
              <w:jc w:val="right"/>
              <w:rPr>
                <w:rFonts w:ascii="Arial" w:hAnsi="Arial" w:cs="Arial"/>
                <w:snapToGrid w:val="0"/>
                <w:color w:val="000000"/>
                <w:sz w:val="18"/>
                <w:szCs w:val="18"/>
              </w:rPr>
            </w:pPr>
          </w:p>
        </w:tc>
      </w:tr>
      <w:tr w:rsidR="002523FB" w:rsidRPr="000C5ED6" w14:paraId="30C21426" w14:textId="77777777" w:rsidTr="00BC15CA">
        <w:tc>
          <w:tcPr>
            <w:tcW w:w="2750" w:type="dxa"/>
            <w:shd w:val="clear" w:color="auto" w:fill="auto"/>
          </w:tcPr>
          <w:p w14:paraId="5F22FBD4"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A</w:t>
            </w:r>
            <w:r w:rsidRPr="000C5ED6">
              <w:rPr>
                <w:rFonts w:ascii="Arial" w:hAnsi="Arial" w:cs="Arial"/>
                <w:snapToGrid w:val="0"/>
                <w:color w:val="000000"/>
                <w:sz w:val="18"/>
                <w:szCs w:val="18"/>
              </w:rPr>
              <w:t>fghanistan</w:t>
            </w:r>
            <w:r w:rsidRPr="000C5ED6">
              <w:rPr>
                <w:rFonts w:ascii="Arial" w:hAnsi="Arial" w:cs="Arial"/>
                <w:snapToGrid w:val="0"/>
                <w:color w:val="000000"/>
                <w:sz w:val="18"/>
                <w:szCs w:val="18"/>
                <w:vertAlign w:val="superscript"/>
              </w:rPr>
              <w:t>2</w:t>
            </w:r>
          </w:p>
        </w:tc>
        <w:tc>
          <w:tcPr>
            <w:tcW w:w="1430" w:type="dxa"/>
            <w:shd w:val="clear" w:color="auto" w:fill="auto"/>
          </w:tcPr>
          <w:p w14:paraId="5C23CA55"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i/>
                <w:snapToGrid w:val="0"/>
                <w:color w:val="000000"/>
                <w:sz w:val="18"/>
                <w:szCs w:val="18"/>
              </w:rPr>
              <w:t>Ster</w:t>
            </w:r>
          </w:p>
        </w:tc>
        <w:tc>
          <w:tcPr>
            <w:tcW w:w="1210" w:type="dxa"/>
            <w:shd w:val="clear" w:color="auto" w:fill="auto"/>
          </w:tcPr>
          <w:p w14:paraId="6416024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B636BF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430" w:type="dxa"/>
            <w:shd w:val="clear" w:color="auto" w:fill="auto"/>
          </w:tcPr>
          <w:p w14:paraId="70319F5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320" w:type="dxa"/>
            <w:shd w:val="clear" w:color="auto" w:fill="auto"/>
          </w:tcPr>
          <w:p w14:paraId="3ABAF12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2,848</w:t>
            </w:r>
          </w:p>
        </w:tc>
      </w:tr>
      <w:tr w:rsidR="002523FB" w:rsidRPr="000C5ED6" w14:paraId="674A968D" w14:textId="77777777" w:rsidTr="00BC15CA">
        <w:tc>
          <w:tcPr>
            <w:tcW w:w="2750" w:type="dxa"/>
            <w:shd w:val="clear" w:color="auto" w:fill="auto"/>
          </w:tcPr>
          <w:p w14:paraId="208BCB6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Albania</w:t>
            </w:r>
          </w:p>
        </w:tc>
        <w:tc>
          <w:tcPr>
            <w:tcW w:w="1430" w:type="dxa"/>
            <w:shd w:val="clear" w:color="auto" w:fill="auto"/>
          </w:tcPr>
          <w:p w14:paraId="2E05E5F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3354D2A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5822564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3854435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13A9771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09560B9E" w14:textId="77777777" w:rsidTr="00BC15CA">
        <w:tc>
          <w:tcPr>
            <w:tcW w:w="2750" w:type="dxa"/>
            <w:shd w:val="clear" w:color="auto" w:fill="auto"/>
          </w:tcPr>
          <w:p w14:paraId="337EA05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Algeria</w:t>
            </w:r>
          </w:p>
        </w:tc>
        <w:tc>
          <w:tcPr>
            <w:tcW w:w="1430" w:type="dxa"/>
            <w:shd w:val="clear" w:color="auto" w:fill="auto"/>
          </w:tcPr>
          <w:p w14:paraId="1BD968B8"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7E93292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6E9E432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48836A1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320" w:type="dxa"/>
            <w:shd w:val="clear" w:color="auto" w:fill="auto"/>
          </w:tcPr>
          <w:p w14:paraId="748ABBD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22,790</w:t>
            </w:r>
          </w:p>
        </w:tc>
      </w:tr>
      <w:tr w:rsidR="002523FB" w:rsidRPr="000C5ED6" w14:paraId="1E6D48CA" w14:textId="77777777" w:rsidTr="00BC15CA">
        <w:tc>
          <w:tcPr>
            <w:tcW w:w="2750" w:type="dxa"/>
            <w:shd w:val="clear" w:color="auto" w:fill="auto"/>
          </w:tcPr>
          <w:p w14:paraId="45086951"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Andorra</w:t>
            </w:r>
          </w:p>
        </w:tc>
        <w:tc>
          <w:tcPr>
            <w:tcW w:w="1430" w:type="dxa"/>
            <w:shd w:val="clear" w:color="auto" w:fill="auto"/>
          </w:tcPr>
          <w:p w14:paraId="6EBD15C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66F851F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5F6D94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09EA94F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07608F7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2D1AF8CA" w14:textId="77777777" w:rsidTr="00BC15CA">
        <w:tc>
          <w:tcPr>
            <w:tcW w:w="2750" w:type="dxa"/>
            <w:shd w:val="clear" w:color="auto" w:fill="auto"/>
          </w:tcPr>
          <w:p w14:paraId="618E1E76"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Angola </w:t>
            </w:r>
          </w:p>
        </w:tc>
        <w:tc>
          <w:tcPr>
            <w:tcW w:w="1430" w:type="dxa"/>
            <w:shd w:val="clear" w:color="auto" w:fill="auto"/>
          </w:tcPr>
          <w:p w14:paraId="24336DB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405891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4369B96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49FABA8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32D193A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7DAA307F" w14:textId="77777777" w:rsidTr="00BC15CA">
        <w:tc>
          <w:tcPr>
            <w:tcW w:w="2750" w:type="dxa"/>
            <w:shd w:val="clear" w:color="auto" w:fill="auto"/>
          </w:tcPr>
          <w:p w14:paraId="7EC725E9"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Antigua and Barbuda</w:t>
            </w:r>
          </w:p>
        </w:tc>
        <w:tc>
          <w:tcPr>
            <w:tcW w:w="1430" w:type="dxa"/>
            <w:shd w:val="clear" w:color="auto" w:fill="auto"/>
          </w:tcPr>
          <w:p w14:paraId="39065541"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430170F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295758B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16F466E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391BE19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6535D463" w14:textId="77777777" w:rsidTr="00BC15CA">
        <w:tc>
          <w:tcPr>
            <w:tcW w:w="2750" w:type="dxa"/>
            <w:shd w:val="clear" w:color="auto" w:fill="auto"/>
          </w:tcPr>
          <w:p w14:paraId="051385C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Argentina</w:t>
            </w:r>
          </w:p>
        </w:tc>
        <w:tc>
          <w:tcPr>
            <w:tcW w:w="1430" w:type="dxa"/>
            <w:shd w:val="clear" w:color="auto" w:fill="auto"/>
          </w:tcPr>
          <w:p w14:paraId="58FEFC2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491B4E9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37A3A19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430" w:type="dxa"/>
            <w:shd w:val="clear" w:color="auto" w:fill="auto"/>
          </w:tcPr>
          <w:p w14:paraId="1B7B25C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320" w:type="dxa"/>
            <w:shd w:val="clear" w:color="auto" w:fill="auto"/>
          </w:tcPr>
          <w:p w14:paraId="5E6509C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182,316 </w:t>
            </w:r>
          </w:p>
        </w:tc>
      </w:tr>
      <w:tr w:rsidR="002523FB" w:rsidRPr="000C5ED6" w14:paraId="50B57F2B" w14:textId="77777777" w:rsidTr="00BC15CA">
        <w:tc>
          <w:tcPr>
            <w:tcW w:w="2750" w:type="dxa"/>
            <w:shd w:val="clear" w:color="auto" w:fill="auto"/>
          </w:tcPr>
          <w:p w14:paraId="5D21CEC7"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Armenia</w:t>
            </w:r>
          </w:p>
        </w:tc>
        <w:tc>
          <w:tcPr>
            <w:tcW w:w="1430" w:type="dxa"/>
            <w:shd w:val="clear" w:color="auto" w:fill="auto"/>
          </w:tcPr>
          <w:p w14:paraId="750688F3"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6C0B84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7A6977B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3B21B89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17B332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1AE9AC4C" w14:textId="77777777" w:rsidTr="00BC15CA">
        <w:tc>
          <w:tcPr>
            <w:tcW w:w="2750" w:type="dxa"/>
            <w:shd w:val="clear" w:color="auto" w:fill="auto"/>
          </w:tcPr>
          <w:p w14:paraId="5DDC82F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Australia</w:t>
            </w:r>
          </w:p>
        </w:tc>
        <w:tc>
          <w:tcPr>
            <w:tcW w:w="1430" w:type="dxa"/>
            <w:shd w:val="clear" w:color="auto" w:fill="auto"/>
          </w:tcPr>
          <w:p w14:paraId="6F9A131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III</w:t>
            </w:r>
          </w:p>
        </w:tc>
        <w:tc>
          <w:tcPr>
            <w:tcW w:w="1210" w:type="dxa"/>
            <w:shd w:val="clear" w:color="auto" w:fill="auto"/>
          </w:tcPr>
          <w:p w14:paraId="04DBBB9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15</w:t>
            </w:r>
          </w:p>
        </w:tc>
        <w:tc>
          <w:tcPr>
            <w:tcW w:w="1320" w:type="dxa"/>
            <w:shd w:val="clear" w:color="auto" w:fill="auto"/>
          </w:tcPr>
          <w:p w14:paraId="7CB76B8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683,685 </w:t>
            </w:r>
          </w:p>
        </w:tc>
        <w:tc>
          <w:tcPr>
            <w:tcW w:w="1430" w:type="dxa"/>
            <w:shd w:val="clear" w:color="auto" w:fill="auto"/>
          </w:tcPr>
          <w:p w14:paraId="23A55A0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683,685 </w:t>
            </w:r>
          </w:p>
        </w:tc>
        <w:tc>
          <w:tcPr>
            <w:tcW w:w="1320" w:type="dxa"/>
            <w:shd w:val="clear" w:color="auto" w:fill="auto"/>
          </w:tcPr>
          <w:p w14:paraId="197AE68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1,367,370 </w:t>
            </w:r>
          </w:p>
        </w:tc>
      </w:tr>
      <w:tr w:rsidR="002523FB" w:rsidRPr="000C5ED6" w14:paraId="2B3B964B" w14:textId="77777777" w:rsidTr="00BC15CA">
        <w:tc>
          <w:tcPr>
            <w:tcW w:w="2750" w:type="dxa"/>
            <w:shd w:val="clear" w:color="auto" w:fill="auto"/>
          </w:tcPr>
          <w:p w14:paraId="1183936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Austria</w:t>
            </w:r>
          </w:p>
        </w:tc>
        <w:tc>
          <w:tcPr>
            <w:tcW w:w="1430" w:type="dxa"/>
            <w:shd w:val="clear" w:color="auto" w:fill="auto"/>
          </w:tcPr>
          <w:p w14:paraId="7FBA0425"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IV</w:t>
            </w:r>
            <w:r w:rsidRPr="000C5ED6">
              <w:rPr>
                <w:rFonts w:ascii="Arial" w:hAnsi="Arial" w:cs="Arial"/>
                <w:i/>
                <w:snapToGrid w:val="0"/>
                <w:color w:val="000000"/>
                <w:sz w:val="18"/>
                <w:szCs w:val="18"/>
              </w:rPr>
              <w:t>bis</w:t>
            </w:r>
          </w:p>
        </w:tc>
        <w:tc>
          <w:tcPr>
            <w:tcW w:w="1210" w:type="dxa"/>
            <w:shd w:val="clear" w:color="auto" w:fill="auto"/>
          </w:tcPr>
          <w:p w14:paraId="1E3DEEB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7.5</w:t>
            </w:r>
          </w:p>
        </w:tc>
        <w:tc>
          <w:tcPr>
            <w:tcW w:w="1320" w:type="dxa"/>
            <w:shd w:val="clear" w:color="auto" w:fill="auto"/>
          </w:tcPr>
          <w:p w14:paraId="48FB8BE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341,842 </w:t>
            </w:r>
          </w:p>
        </w:tc>
        <w:tc>
          <w:tcPr>
            <w:tcW w:w="1430" w:type="dxa"/>
            <w:shd w:val="clear" w:color="auto" w:fill="auto"/>
          </w:tcPr>
          <w:p w14:paraId="75337B0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341,842 </w:t>
            </w:r>
          </w:p>
        </w:tc>
        <w:tc>
          <w:tcPr>
            <w:tcW w:w="1320" w:type="dxa"/>
            <w:shd w:val="clear" w:color="auto" w:fill="auto"/>
          </w:tcPr>
          <w:p w14:paraId="5302BDE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683,684 </w:t>
            </w:r>
          </w:p>
        </w:tc>
      </w:tr>
      <w:tr w:rsidR="002523FB" w:rsidRPr="000C5ED6" w14:paraId="7C1BBB42" w14:textId="77777777" w:rsidTr="00BC15CA">
        <w:tc>
          <w:tcPr>
            <w:tcW w:w="2750" w:type="dxa"/>
            <w:shd w:val="clear" w:color="auto" w:fill="auto"/>
          </w:tcPr>
          <w:p w14:paraId="2801732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Azerbaijan</w:t>
            </w:r>
          </w:p>
        </w:tc>
        <w:tc>
          <w:tcPr>
            <w:tcW w:w="1430" w:type="dxa"/>
            <w:shd w:val="clear" w:color="auto" w:fill="auto"/>
          </w:tcPr>
          <w:p w14:paraId="5AAB193F"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70F478A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6DC6692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6FBDC59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5E519DB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2EBE3D28" w14:textId="77777777" w:rsidTr="00BC15CA">
        <w:tc>
          <w:tcPr>
            <w:tcW w:w="2750" w:type="dxa"/>
            <w:shd w:val="clear" w:color="auto" w:fill="auto"/>
          </w:tcPr>
          <w:p w14:paraId="4EEBCE02" w14:textId="77777777" w:rsidR="002523FB" w:rsidRPr="000C5ED6" w:rsidRDefault="002523FB" w:rsidP="00C2153C">
            <w:pPr>
              <w:rPr>
                <w:rFonts w:ascii="Arial" w:hAnsi="Arial" w:cs="Arial"/>
                <w:b/>
                <w:snapToGrid w:val="0"/>
                <w:color w:val="000000"/>
                <w:sz w:val="18"/>
                <w:szCs w:val="18"/>
              </w:rPr>
            </w:pPr>
            <w:r w:rsidRPr="000C5ED6">
              <w:rPr>
                <w:rFonts w:ascii="Arial" w:hAnsi="Arial" w:cs="Arial"/>
                <w:b/>
                <w:snapToGrid w:val="0"/>
                <w:color w:val="000000"/>
                <w:sz w:val="18"/>
                <w:szCs w:val="18"/>
              </w:rPr>
              <w:t>B</w:t>
            </w:r>
            <w:r w:rsidRPr="000C5ED6">
              <w:rPr>
                <w:rFonts w:ascii="Arial" w:hAnsi="Arial" w:cs="Arial"/>
                <w:snapToGrid w:val="0"/>
                <w:color w:val="000000"/>
                <w:sz w:val="18"/>
                <w:szCs w:val="18"/>
              </w:rPr>
              <w:t>ahamas</w:t>
            </w:r>
            <w:r w:rsidRPr="000C5ED6">
              <w:rPr>
                <w:rFonts w:ascii="Arial" w:hAnsi="Arial" w:cs="Arial"/>
                <w:b/>
                <w:snapToGrid w:val="0"/>
                <w:color w:val="000000"/>
                <w:sz w:val="18"/>
                <w:szCs w:val="18"/>
              </w:rPr>
              <w:t xml:space="preserve"> </w:t>
            </w:r>
          </w:p>
        </w:tc>
        <w:tc>
          <w:tcPr>
            <w:tcW w:w="1430" w:type="dxa"/>
            <w:shd w:val="clear" w:color="auto" w:fill="auto"/>
          </w:tcPr>
          <w:p w14:paraId="474B064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43DC78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711CAD8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74392CC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5078360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1B5603D2" w14:textId="77777777" w:rsidTr="00BC15CA">
        <w:tc>
          <w:tcPr>
            <w:tcW w:w="2750" w:type="dxa"/>
            <w:shd w:val="clear" w:color="auto" w:fill="auto"/>
          </w:tcPr>
          <w:p w14:paraId="533CF65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Bahrain</w:t>
            </w:r>
          </w:p>
        </w:tc>
        <w:tc>
          <w:tcPr>
            <w:tcW w:w="1430" w:type="dxa"/>
            <w:shd w:val="clear" w:color="auto" w:fill="auto"/>
          </w:tcPr>
          <w:p w14:paraId="64C3DE31"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492FF58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4FEB6CA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15B3FB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34B192B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11,394</w:t>
            </w:r>
          </w:p>
        </w:tc>
      </w:tr>
      <w:tr w:rsidR="002523FB" w:rsidRPr="000C5ED6" w14:paraId="284967A5" w14:textId="77777777" w:rsidTr="00BC15CA">
        <w:tc>
          <w:tcPr>
            <w:tcW w:w="2750" w:type="dxa"/>
            <w:shd w:val="clear" w:color="auto" w:fill="auto"/>
          </w:tcPr>
          <w:p w14:paraId="4DDD4F8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Bangladesh</w:t>
            </w:r>
          </w:p>
        </w:tc>
        <w:tc>
          <w:tcPr>
            <w:tcW w:w="1430" w:type="dxa"/>
            <w:shd w:val="clear" w:color="auto" w:fill="auto"/>
          </w:tcPr>
          <w:p w14:paraId="3E3FD4E4"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1D6FE2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1FE1EBE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3923B17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295B228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06AA068B" w14:textId="77777777" w:rsidTr="00BC15CA">
        <w:tc>
          <w:tcPr>
            <w:tcW w:w="2750" w:type="dxa"/>
            <w:shd w:val="clear" w:color="auto" w:fill="auto"/>
          </w:tcPr>
          <w:p w14:paraId="2319F86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Barbados</w:t>
            </w:r>
          </w:p>
        </w:tc>
        <w:tc>
          <w:tcPr>
            <w:tcW w:w="1430" w:type="dxa"/>
            <w:shd w:val="clear" w:color="auto" w:fill="auto"/>
          </w:tcPr>
          <w:p w14:paraId="365BBB52"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782E173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B3CD4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07A845B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5D865CF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46F4D473" w14:textId="77777777" w:rsidTr="00BC15CA">
        <w:tc>
          <w:tcPr>
            <w:tcW w:w="2750" w:type="dxa"/>
            <w:shd w:val="clear" w:color="auto" w:fill="auto"/>
          </w:tcPr>
          <w:p w14:paraId="43C9B18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Belarus</w:t>
            </w:r>
          </w:p>
        </w:tc>
        <w:tc>
          <w:tcPr>
            <w:tcW w:w="1430" w:type="dxa"/>
            <w:shd w:val="clear" w:color="auto" w:fill="auto"/>
          </w:tcPr>
          <w:p w14:paraId="2BAD4AC3"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3219DA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24ECD58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2CC76B3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7968DD0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597C640A" w14:textId="77777777" w:rsidTr="00BC15CA">
        <w:tc>
          <w:tcPr>
            <w:tcW w:w="2750" w:type="dxa"/>
            <w:shd w:val="clear" w:color="auto" w:fill="auto"/>
          </w:tcPr>
          <w:p w14:paraId="3987175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Belgium</w:t>
            </w:r>
          </w:p>
        </w:tc>
        <w:tc>
          <w:tcPr>
            <w:tcW w:w="1430" w:type="dxa"/>
            <w:shd w:val="clear" w:color="auto" w:fill="auto"/>
          </w:tcPr>
          <w:p w14:paraId="0E9857F4"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IV</w:t>
            </w:r>
          </w:p>
        </w:tc>
        <w:tc>
          <w:tcPr>
            <w:tcW w:w="1210" w:type="dxa"/>
            <w:shd w:val="clear" w:color="auto" w:fill="auto"/>
          </w:tcPr>
          <w:p w14:paraId="0572E73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10</w:t>
            </w:r>
          </w:p>
        </w:tc>
        <w:tc>
          <w:tcPr>
            <w:tcW w:w="1320" w:type="dxa"/>
            <w:shd w:val="clear" w:color="auto" w:fill="auto"/>
          </w:tcPr>
          <w:p w14:paraId="241CC59B"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455,790</w:t>
            </w:r>
          </w:p>
        </w:tc>
        <w:tc>
          <w:tcPr>
            <w:tcW w:w="1430" w:type="dxa"/>
            <w:shd w:val="clear" w:color="auto" w:fill="auto"/>
          </w:tcPr>
          <w:p w14:paraId="7ED58D9E"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455,790</w:t>
            </w:r>
          </w:p>
        </w:tc>
        <w:tc>
          <w:tcPr>
            <w:tcW w:w="1320" w:type="dxa"/>
            <w:shd w:val="clear" w:color="auto" w:fill="auto"/>
          </w:tcPr>
          <w:p w14:paraId="61A6DD15"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911,580</w:t>
            </w:r>
          </w:p>
        </w:tc>
      </w:tr>
      <w:tr w:rsidR="002523FB" w:rsidRPr="000C5ED6" w14:paraId="6607BAF3" w14:textId="77777777" w:rsidTr="00BC15CA">
        <w:tc>
          <w:tcPr>
            <w:tcW w:w="2750" w:type="dxa"/>
            <w:shd w:val="clear" w:color="auto" w:fill="auto"/>
          </w:tcPr>
          <w:p w14:paraId="1416C5A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Belize</w:t>
            </w:r>
          </w:p>
        </w:tc>
        <w:tc>
          <w:tcPr>
            <w:tcW w:w="1430" w:type="dxa"/>
            <w:shd w:val="clear" w:color="auto" w:fill="auto"/>
          </w:tcPr>
          <w:p w14:paraId="48AA42D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46D3B09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229587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473359A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1803D4C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68E3815D" w14:textId="77777777" w:rsidTr="00BC15CA">
        <w:tc>
          <w:tcPr>
            <w:tcW w:w="2750" w:type="dxa"/>
            <w:shd w:val="clear" w:color="auto" w:fill="auto"/>
          </w:tcPr>
          <w:p w14:paraId="519BED7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Benin</w:t>
            </w:r>
          </w:p>
        </w:tc>
        <w:tc>
          <w:tcPr>
            <w:tcW w:w="1430" w:type="dxa"/>
            <w:shd w:val="clear" w:color="auto" w:fill="auto"/>
          </w:tcPr>
          <w:p w14:paraId="65F2E63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276DE5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153B997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2A7AAA5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3EE4C19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19E26291" w14:textId="77777777" w:rsidTr="00BC15CA">
        <w:tc>
          <w:tcPr>
            <w:tcW w:w="2750" w:type="dxa"/>
            <w:shd w:val="clear" w:color="auto" w:fill="auto"/>
          </w:tcPr>
          <w:p w14:paraId="7AE6BFD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Bhutan </w:t>
            </w:r>
          </w:p>
        </w:tc>
        <w:tc>
          <w:tcPr>
            <w:tcW w:w="1430" w:type="dxa"/>
            <w:shd w:val="clear" w:color="auto" w:fill="auto"/>
          </w:tcPr>
          <w:p w14:paraId="015BCE3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A02E5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1C33F0E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0FAEB00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3BA3E7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33988F2D" w14:textId="77777777" w:rsidTr="00BC15CA">
        <w:tc>
          <w:tcPr>
            <w:tcW w:w="2750" w:type="dxa"/>
            <w:shd w:val="clear" w:color="auto" w:fill="auto"/>
          </w:tcPr>
          <w:p w14:paraId="1CEC0D8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Bolivia </w:t>
            </w:r>
            <w:r w:rsidRPr="000C5ED6">
              <w:rPr>
                <w:rFonts w:ascii="Arial" w:hAnsi="Arial" w:cs="Arial"/>
                <w:sz w:val="18"/>
                <w:szCs w:val="18"/>
              </w:rPr>
              <w:t>(Plurinational State of)</w:t>
            </w:r>
          </w:p>
        </w:tc>
        <w:tc>
          <w:tcPr>
            <w:tcW w:w="1430" w:type="dxa"/>
            <w:shd w:val="clear" w:color="auto" w:fill="auto"/>
          </w:tcPr>
          <w:p w14:paraId="26D0888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91286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6C36AF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51EB3A1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4820F66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36E628A1" w14:textId="77777777" w:rsidTr="00BC15CA">
        <w:tc>
          <w:tcPr>
            <w:tcW w:w="2750" w:type="dxa"/>
            <w:shd w:val="clear" w:color="auto" w:fill="auto"/>
          </w:tcPr>
          <w:p w14:paraId="7EB9841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Bosnia and Herzegovina</w:t>
            </w:r>
          </w:p>
        </w:tc>
        <w:tc>
          <w:tcPr>
            <w:tcW w:w="1430" w:type="dxa"/>
            <w:shd w:val="clear" w:color="auto" w:fill="auto"/>
          </w:tcPr>
          <w:p w14:paraId="2E0C6E66"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DF3FA0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03CB902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3365BEB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61528C8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18B13CBD" w14:textId="77777777" w:rsidTr="00BC15CA">
        <w:tc>
          <w:tcPr>
            <w:tcW w:w="2750" w:type="dxa"/>
            <w:shd w:val="clear" w:color="auto" w:fill="auto"/>
          </w:tcPr>
          <w:p w14:paraId="36B17F8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Botswana</w:t>
            </w:r>
          </w:p>
        </w:tc>
        <w:tc>
          <w:tcPr>
            <w:tcW w:w="1430" w:type="dxa"/>
            <w:shd w:val="clear" w:color="auto" w:fill="auto"/>
          </w:tcPr>
          <w:p w14:paraId="527746F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44EA96D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76AACFB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11F060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4DB7A13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7D91F14E" w14:textId="77777777" w:rsidTr="00BC15CA">
        <w:tc>
          <w:tcPr>
            <w:tcW w:w="2750" w:type="dxa"/>
            <w:shd w:val="clear" w:color="auto" w:fill="auto"/>
          </w:tcPr>
          <w:p w14:paraId="6273CC2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Brazil</w:t>
            </w:r>
          </w:p>
        </w:tc>
        <w:tc>
          <w:tcPr>
            <w:tcW w:w="1430" w:type="dxa"/>
            <w:shd w:val="clear" w:color="auto" w:fill="auto"/>
          </w:tcPr>
          <w:p w14:paraId="0F6B64B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26044A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0D9B9E1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430" w:type="dxa"/>
            <w:shd w:val="clear" w:color="auto" w:fill="auto"/>
          </w:tcPr>
          <w:p w14:paraId="260BA4C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320" w:type="dxa"/>
            <w:shd w:val="clear" w:color="auto" w:fill="auto"/>
          </w:tcPr>
          <w:p w14:paraId="27BC4AE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182,316 </w:t>
            </w:r>
          </w:p>
        </w:tc>
      </w:tr>
      <w:tr w:rsidR="002523FB" w:rsidRPr="000C5ED6" w14:paraId="0848C984" w14:textId="77777777" w:rsidTr="00BC15CA">
        <w:tc>
          <w:tcPr>
            <w:tcW w:w="2750" w:type="dxa"/>
            <w:shd w:val="clear" w:color="auto" w:fill="auto"/>
            <w:vAlign w:val="center"/>
          </w:tcPr>
          <w:p w14:paraId="62E32D6D"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Brunei Darussalam </w:t>
            </w:r>
          </w:p>
        </w:tc>
        <w:tc>
          <w:tcPr>
            <w:tcW w:w="1430" w:type="dxa"/>
            <w:shd w:val="clear" w:color="auto" w:fill="auto"/>
            <w:vAlign w:val="center"/>
          </w:tcPr>
          <w:p w14:paraId="4052A49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vAlign w:val="center"/>
          </w:tcPr>
          <w:p w14:paraId="3D81D1B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vAlign w:val="center"/>
          </w:tcPr>
          <w:p w14:paraId="3857E3B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vAlign w:val="center"/>
          </w:tcPr>
          <w:p w14:paraId="1EC7320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vAlign w:val="center"/>
          </w:tcPr>
          <w:p w14:paraId="5AD714E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4E42EE21" w14:textId="77777777" w:rsidTr="00BC15CA">
        <w:tc>
          <w:tcPr>
            <w:tcW w:w="2750" w:type="dxa"/>
            <w:shd w:val="clear" w:color="auto" w:fill="auto"/>
          </w:tcPr>
          <w:p w14:paraId="6B67954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Bulgaria</w:t>
            </w:r>
          </w:p>
        </w:tc>
        <w:tc>
          <w:tcPr>
            <w:tcW w:w="1430" w:type="dxa"/>
            <w:shd w:val="clear" w:color="auto" w:fill="auto"/>
          </w:tcPr>
          <w:p w14:paraId="7FD5E9A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4C7296D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6311C63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430" w:type="dxa"/>
            <w:shd w:val="clear" w:color="auto" w:fill="auto"/>
          </w:tcPr>
          <w:p w14:paraId="3BED2AF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 </w:t>
            </w:r>
          </w:p>
        </w:tc>
        <w:tc>
          <w:tcPr>
            <w:tcW w:w="1320" w:type="dxa"/>
            <w:shd w:val="clear" w:color="auto" w:fill="auto"/>
          </w:tcPr>
          <w:p w14:paraId="1495B4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182,316 </w:t>
            </w:r>
          </w:p>
        </w:tc>
      </w:tr>
      <w:tr w:rsidR="002523FB" w:rsidRPr="000C5ED6" w14:paraId="7D61C38A" w14:textId="77777777" w:rsidTr="00BC15CA">
        <w:tc>
          <w:tcPr>
            <w:tcW w:w="2750" w:type="dxa"/>
            <w:shd w:val="clear" w:color="auto" w:fill="auto"/>
          </w:tcPr>
          <w:p w14:paraId="78B6486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Burkina Faso</w:t>
            </w:r>
          </w:p>
        </w:tc>
        <w:tc>
          <w:tcPr>
            <w:tcW w:w="1430" w:type="dxa"/>
            <w:shd w:val="clear" w:color="auto" w:fill="auto"/>
          </w:tcPr>
          <w:p w14:paraId="0405285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4E826B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921B69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4D66613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6BAD960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256FD09C" w14:textId="77777777" w:rsidTr="00BC15CA">
        <w:tc>
          <w:tcPr>
            <w:tcW w:w="2750" w:type="dxa"/>
            <w:shd w:val="clear" w:color="auto" w:fill="auto"/>
          </w:tcPr>
          <w:p w14:paraId="2A97711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Burundi</w:t>
            </w:r>
          </w:p>
        </w:tc>
        <w:tc>
          <w:tcPr>
            <w:tcW w:w="1430" w:type="dxa"/>
            <w:shd w:val="clear" w:color="auto" w:fill="auto"/>
          </w:tcPr>
          <w:p w14:paraId="0EDAE8E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7F25ECC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CF9D96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4816EE8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32CAB4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35C1FA8C" w14:textId="77777777" w:rsidTr="00BC15CA">
        <w:tc>
          <w:tcPr>
            <w:tcW w:w="2750" w:type="dxa"/>
            <w:shd w:val="clear" w:color="auto" w:fill="auto"/>
          </w:tcPr>
          <w:p w14:paraId="4DA2C078"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C</w:t>
            </w:r>
            <w:r>
              <w:rPr>
                <w:rFonts w:ascii="Arial" w:hAnsi="Arial" w:cs="Arial"/>
                <w:snapToGrid w:val="0"/>
                <w:color w:val="000000"/>
                <w:sz w:val="18"/>
                <w:szCs w:val="18"/>
              </w:rPr>
              <w:t>abo Verde</w:t>
            </w:r>
          </w:p>
        </w:tc>
        <w:tc>
          <w:tcPr>
            <w:tcW w:w="1430" w:type="dxa"/>
            <w:shd w:val="clear" w:color="auto" w:fill="auto"/>
          </w:tcPr>
          <w:p w14:paraId="77BEA69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Pr>
                <w:rFonts w:ascii="Arial" w:hAnsi="Arial" w:cs="Arial"/>
                <w:i/>
                <w:snapToGrid w:val="0"/>
                <w:color w:val="000000"/>
                <w:sz w:val="18"/>
                <w:szCs w:val="18"/>
              </w:rPr>
              <w:t>bis</w:t>
            </w:r>
          </w:p>
        </w:tc>
        <w:tc>
          <w:tcPr>
            <w:tcW w:w="1210" w:type="dxa"/>
            <w:shd w:val="clear" w:color="auto" w:fill="auto"/>
          </w:tcPr>
          <w:p w14:paraId="6809D761"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0.0625</w:t>
            </w:r>
          </w:p>
        </w:tc>
        <w:tc>
          <w:tcPr>
            <w:tcW w:w="1320" w:type="dxa"/>
            <w:shd w:val="clear" w:color="auto" w:fill="auto"/>
          </w:tcPr>
          <w:p w14:paraId="5C988D10"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430" w:type="dxa"/>
            <w:shd w:val="clear" w:color="auto" w:fill="auto"/>
          </w:tcPr>
          <w:p w14:paraId="63687D12"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320" w:type="dxa"/>
            <w:shd w:val="clear" w:color="auto" w:fill="auto"/>
          </w:tcPr>
          <w:p w14:paraId="3A9308B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5,698</w:t>
            </w:r>
          </w:p>
        </w:tc>
      </w:tr>
      <w:tr w:rsidR="002523FB" w:rsidRPr="000C5ED6" w14:paraId="5ED98644" w14:textId="77777777" w:rsidTr="00BC15CA">
        <w:tc>
          <w:tcPr>
            <w:tcW w:w="2750" w:type="dxa"/>
            <w:shd w:val="clear" w:color="auto" w:fill="auto"/>
          </w:tcPr>
          <w:p w14:paraId="6DB58AD3"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Cambodia</w:t>
            </w:r>
          </w:p>
        </w:tc>
        <w:tc>
          <w:tcPr>
            <w:tcW w:w="1430" w:type="dxa"/>
            <w:shd w:val="clear" w:color="auto" w:fill="auto"/>
          </w:tcPr>
          <w:p w14:paraId="689BA2C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Pr>
                <w:rFonts w:ascii="Arial" w:hAnsi="Arial" w:cs="Arial"/>
                <w:i/>
                <w:snapToGrid w:val="0"/>
                <w:color w:val="000000"/>
                <w:sz w:val="18"/>
                <w:szCs w:val="18"/>
              </w:rPr>
              <w:t>ter</w:t>
            </w:r>
          </w:p>
        </w:tc>
        <w:tc>
          <w:tcPr>
            <w:tcW w:w="1210" w:type="dxa"/>
            <w:shd w:val="clear" w:color="auto" w:fill="auto"/>
          </w:tcPr>
          <w:p w14:paraId="35C1B717"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0.03125</w:t>
            </w:r>
          </w:p>
        </w:tc>
        <w:tc>
          <w:tcPr>
            <w:tcW w:w="1320" w:type="dxa"/>
            <w:shd w:val="clear" w:color="auto" w:fill="auto"/>
          </w:tcPr>
          <w:p w14:paraId="6399C9AA"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430" w:type="dxa"/>
            <w:shd w:val="clear" w:color="auto" w:fill="auto"/>
          </w:tcPr>
          <w:p w14:paraId="1DDA7692"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320" w:type="dxa"/>
            <w:shd w:val="clear" w:color="auto" w:fill="auto"/>
          </w:tcPr>
          <w:p w14:paraId="6103838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2,848</w:t>
            </w:r>
          </w:p>
        </w:tc>
      </w:tr>
      <w:tr w:rsidR="002523FB" w:rsidRPr="000C5ED6" w14:paraId="4018ED8C" w14:textId="77777777" w:rsidTr="00BC15CA">
        <w:tc>
          <w:tcPr>
            <w:tcW w:w="2750" w:type="dxa"/>
            <w:shd w:val="clear" w:color="auto" w:fill="auto"/>
          </w:tcPr>
          <w:p w14:paraId="5A00CFB2"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Cameroon</w:t>
            </w:r>
          </w:p>
        </w:tc>
        <w:tc>
          <w:tcPr>
            <w:tcW w:w="1430" w:type="dxa"/>
            <w:shd w:val="clear" w:color="auto" w:fill="auto"/>
          </w:tcPr>
          <w:p w14:paraId="6C2CB634"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 xml:space="preserve">          S</w:t>
            </w:r>
            <w:r w:rsidRPr="00A71351">
              <w:rPr>
                <w:rFonts w:ascii="Arial" w:hAnsi="Arial" w:cs="Arial"/>
                <w:i/>
                <w:snapToGrid w:val="0"/>
                <w:color w:val="000000"/>
                <w:sz w:val="18"/>
                <w:szCs w:val="18"/>
              </w:rPr>
              <w:t>bis</w:t>
            </w:r>
          </w:p>
        </w:tc>
        <w:tc>
          <w:tcPr>
            <w:tcW w:w="1210" w:type="dxa"/>
            <w:shd w:val="clear" w:color="auto" w:fill="auto"/>
          </w:tcPr>
          <w:p w14:paraId="0A56E13B"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0.0625</w:t>
            </w:r>
          </w:p>
        </w:tc>
        <w:tc>
          <w:tcPr>
            <w:tcW w:w="1320" w:type="dxa"/>
            <w:shd w:val="clear" w:color="auto" w:fill="auto"/>
          </w:tcPr>
          <w:p w14:paraId="420B3CF8"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430" w:type="dxa"/>
            <w:shd w:val="clear" w:color="auto" w:fill="auto"/>
          </w:tcPr>
          <w:p w14:paraId="442EDA3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320" w:type="dxa"/>
            <w:shd w:val="clear" w:color="auto" w:fill="auto"/>
          </w:tcPr>
          <w:p w14:paraId="5475A3C7"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5,698</w:t>
            </w:r>
          </w:p>
        </w:tc>
      </w:tr>
      <w:tr w:rsidR="002523FB" w:rsidRPr="000C5ED6" w14:paraId="0E953182" w14:textId="77777777" w:rsidTr="00BC15CA">
        <w:tc>
          <w:tcPr>
            <w:tcW w:w="2750" w:type="dxa"/>
            <w:shd w:val="clear" w:color="auto" w:fill="auto"/>
          </w:tcPr>
          <w:p w14:paraId="175DEF0D"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Canada</w:t>
            </w:r>
          </w:p>
        </w:tc>
        <w:tc>
          <w:tcPr>
            <w:tcW w:w="1430" w:type="dxa"/>
            <w:shd w:val="clear" w:color="auto" w:fill="auto"/>
          </w:tcPr>
          <w:p w14:paraId="09A87B60" w14:textId="77777777" w:rsidR="002523FB" w:rsidRPr="000C5ED6" w:rsidRDefault="002523FB" w:rsidP="00C2153C">
            <w:pPr>
              <w:jc w:val="center"/>
              <w:rPr>
                <w:rFonts w:ascii="Arial" w:hAnsi="Arial" w:cs="Arial"/>
                <w:i/>
                <w:snapToGrid w:val="0"/>
                <w:color w:val="000000"/>
                <w:sz w:val="18"/>
                <w:szCs w:val="18"/>
              </w:rPr>
            </w:pPr>
            <w:r>
              <w:rPr>
                <w:rFonts w:ascii="Arial" w:hAnsi="Arial" w:cs="Arial"/>
                <w:snapToGrid w:val="0"/>
                <w:color w:val="000000"/>
                <w:sz w:val="18"/>
                <w:szCs w:val="18"/>
              </w:rPr>
              <w:t>IV</w:t>
            </w:r>
          </w:p>
        </w:tc>
        <w:tc>
          <w:tcPr>
            <w:tcW w:w="1210" w:type="dxa"/>
            <w:shd w:val="clear" w:color="auto" w:fill="auto"/>
          </w:tcPr>
          <w:p w14:paraId="1F91C77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10</w:t>
            </w:r>
          </w:p>
        </w:tc>
        <w:tc>
          <w:tcPr>
            <w:tcW w:w="1320" w:type="dxa"/>
            <w:shd w:val="clear" w:color="auto" w:fill="auto"/>
          </w:tcPr>
          <w:p w14:paraId="369D5BBF"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455,790</w:t>
            </w:r>
          </w:p>
        </w:tc>
        <w:tc>
          <w:tcPr>
            <w:tcW w:w="1430" w:type="dxa"/>
            <w:shd w:val="clear" w:color="auto" w:fill="auto"/>
          </w:tcPr>
          <w:p w14:paraId="4DD5877A"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455,790</w:t>
            </w:r>
          </w:p>
        </w:tc>
        <w:tc>
          <w:tcPr>
            <w:tcW w:w="1320" w:type="dxa"/>
            <w:shd w:val="clear" w:color="auto" w:fill="auto"/>
          </w:tcPr>
          <w:p w14:paraId="13BB2C0A"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911,580</w:t>
            </w:r>
          </w:p>
        </w:tc>
      </w:tr>
      <w:tr w:rsidR="002523FB" w:rsidRPr="000C5ED6" w14:paraId="01AC4C3F" w14:textId="77777777" w:rsidTr="00BC15CA">
        <w:tc>
          <w:tcPr>
            <w:tcW w:w="2750" w:type="dxa"/>
            <w:shd w:val="clear" w:color="auto" w:fill="auto"/>
          </w:tcPr>
          <w:p w14:paraId="0C9912B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Central African Republic </w:t>
            </w:r>
          </w:p>
        </w:tc>
        <w:tc>
          <w:tcPr>
            <w:tcW w:w="1430" w:type="dxa"/>
            <w:shd w:val="clear" w:color="auto" w:fill="auto"/>
          </w:tcPr>
          <w:p w14:paraId="676F725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9830DA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3AEF4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19E17EE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7ACF66E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065FA3FB" w14:textId="77777777" w:rsidTr="00BC15CA">
        <w:tc>
          <w:tcPr>
            <w:tcW w:w="2750" w:type="dxa"/>
            <w:shd w:val="clear" w:color="auto" w:fill="auto"/>
          </w:tcPr>
          <w:p w14:paraId="49F5BE9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Chad</w:t>
            </w:r>
          </w:p>
        </w:tc>
        <w:tc>
          <w:tcPr>
            <w:tcW w:w="1430" w:type="dxa"/>
            <w:shd w:val="clear" w:color="auto" w:fill="auto"/>
          </w:tcPr>
          <w:p w14:paraId="739C848F"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696688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33498D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73D891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56473F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301C64F4" w14:textId="77777777" w:rsidTr="00BC15CA">
        <w:tc>
          <w:tcPr>
            <w:tcW w:w="2750" w:type="dxa"/>
            <w:shd w:val="clear" w:color="auto" w:fill="auto"/>
          </w:tcPr>
          <w:p w14:paraId="1E228E0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Chile</w:t>
            </w:r>
          </w:p>
        </w:tc>
        <w:tc>
          <w:tcPr>
            <w:tcW w:w="1430" w:type="dxa"/>
            <w:shd w:val="clear" w:color="auto" w:fill="auto"/>
          </w:tcPr>
          <w:p w14:paraId="2EAF8513"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E90FE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3B778B2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7421910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46C5DF8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3B78D493" w14:textId="77777777" w:rsidTr="00BC15CA">
        <w:tc>
          <w:tcPr>
            <w:tcW w:w="2750" w:type="dxa"/>
            <w:shd w:val="clear" w:color="auto" w:fill="auto"/>
          </w:tcPr>
          <w:p w14:paraId="4C59BF9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China</w:t>
            </w:r>
          </w:p>
        </w:tc>
        <w:tc>
          <w:tcPr>
            <w:tcW w:w="1430" w:type="dxa"/>
            <w:shd w:val="clear" w:color="auto" w:fill="auto"/>
          </w:tcPr>
          <w:p w14:paraId="2A18646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IV</w:t>
            </w:r>
            <w:r w:rsidRPr="000C5ED6">
              <w:rPr>
                <w:rFonts w:ascii="Arial" w:hAnsi="Arial" w:cs="Arial"/>
                <w:i/>
                <w:snapToGrid w:val="0"/>
                <w:color w:val="000000"/>
                <w:sz w:val="18"/>
                <w:szCs w:val="18"/>
              </w:rPr>
              <w:t>bis</w:t>
            </w:r>
          </w:p>
        </w:tc>
        <w:tc>
          <w:tcPr>
            <w:tcW w:w="1210" w:type="dxa"/>
            <w:shd w:val="clear" w:color="auto" w:fill="auto"/>
          </w:tcPr>
          <w:p w14:paraId="04D11ED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7.5</w:t>
            </w:r>
          </w:p>
        </w:tc>
        <w:tc>
          <w:tcPr>
            <w:tcW w:w="1320" w:type="dxa"/>
            <w:shd w:val="clear" w:color="auto" w:fill="auto"/>
          </w:tcPr>
          <w:p w14:paraId="6597BF0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341,842 </w:t>
            </w:r>
          </w:p>
        </w:tc>
        <w:tc>
          <w:tcPr>
            <w:tcW w:w="1430" w:type="dxa"/>
            <w:shd w:val="clear" w:color="auto" w:fill="auto"/>
          </w:tcPr>
          <w:p w14:paraId="0988ECA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341,842 </w:t>
            </w:r>
          </w:p>
        </w:tc>
        <w:tc>
          <w:tcPr>
            <w:tcW w:w="1320" w:type="dxa"/>
            <w:shd w:val="clear" w:color="auto" w:fill="auto"/>
          </w:tcPr>
          <w:p w14:paraId="64EB8C7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683,684 </w:t>
            </w:r>
          </w:p>
        </w:tc>
      </w:tr>
      <w:tr w:rsidR="002523FB" w:rsidRPr="000C5ED6" w14:paraId="7BCFC972" w14:textId="77777777" w:rsidTr="00BC15CA">
        <w:tc>
          <w:tcPr>
            <w:tcW w:w="2750" w:type="dxa"/>
            <w:shd w:val="clear" w:color="auto" w:fill="auto"/>
          </w:tcPr>
          <w:p w14:paraId="257FE45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Colombia</w:t>
            </w:r>
          </w:p>
        </w:tc>
        <w:tc>
          <w:tcPr>
            <w:tcW w:w="1430" w:type="dxa"/>
            <w:shd w:val="clear" w:color="auto" w:fill="auto"/>
          </w:tcPr>
          <w:p w14:paraId="3667CEC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477359D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2F4B636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7A304FE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320" w:type="dxa"/>
            <w:shd w:val="clear" w:color="auto" w:fill="auto"/>
          </w:tcPr>
          <w:p w14:paraId="2A75948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6C3AB75B" w14:textId="77777777" w:rsidTr="00BC15CA">
        <w:tc>
          <w:tcPr>
            <w:tcW w:w="2750" w:type="dxa"/>
            <w:shd w:val="clear" w:color="auto" w:fill="auto"/>
          </w:tcPr>
          <w:p w14:paraId="6D700269"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Comoros</w:t>
            </w:r>
          </w:p>
        </w:tc>
        <w:tc>
          <w:tcPr>
            <w:tcW w:w="1430" w:type="dxa"/>
            <w:shd w:val="clear" w:color="auto" w:fill="auto"/>
          </w:tcPr>
          <w:p w14:paraId="7D197AD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58A7E5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D1CDF2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430" w:type="dxa"/>
            <w:shd w:val="clear" w:color="auto" w:fill="auto"/>
          </w:tcPr>
          <w:p w14:paraId="17A9294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320" w:type="dxa"/>
            <w:shd w:val="clear" w:color="auto" w:fill="auto"/>
          </w:tcPr>
          <w:p w14:paraId="4FA0F09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2,848</w:t>
            </w:r>
          </w:p>
        </w:tc>
      </w:tr>
      <w:tr w:rsidR="002523FB" w:rsidRPr="000C5ED6" w14:paraId="7472F0CE" w14:textId="77777777" w:rsidTr="00BC15CA">
        <w:tc>
          <w:tcPr>
            <w:tcW w:w="2750" w:type="dxa"/>
            <w:shd w:val="clear" w:color="auto" w:fill="auto"/>
          </w:tcPr>
          <w:p w14:paraId="23990A7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Congo </w:t>
            </w:r>
          </w:p>
        </w:tc>
        <w:tc>
          <w:tcPr>
            <w:tcW w:w="1430" w:type="dxa"/>
            <w:shd w:val="clear" w:color="auto" w:fill="auto"/>
          </w:tcPr>
          <w:p w14:paraId="4133E43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7EC7733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49BDF4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2AD12F4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360EE4F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7573BED9" w14:textId="77777777" w:rsidTr="00BC15CA">
        <w:tc>
          <w:tcPr>
            <w:tcW w:w="2750" w:type="dxa"/>
            <w:shd w:val="clear" w:color="auto" w:fill="auto"/>
          </w:tcPr>
          <w:p w14:paraId="788D128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Costa Rica</w:t>
            </w:r>
          </w:p>
        </w:tc>
        <w:tc>
          <w:tcPr>
            <w:tcW w:w="1430" w:type="dxa"/>
            <w:shd w:val="clear" w:color="auto" w:fill="auto"/>
          </w:tcPr>
          <w:p w14:paraId="570DDE3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4A132EA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5CF1F03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4898901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1FDCD21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6A7F6FE0" w14:textId="77777777" w:rsidTr="00BC15CA">
        <w:tc>
          <w:tcPr>
            <w:tcW w:w="2750" w:type="dxa"/>
            <w:shd w:val="clear" w:color="auto" w:fill="auto"/>
          </w:tcPr>
          <w:p w14:paraId="746D818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Côte d'Ivoire</w:t>
            </w:r>
          </w:p>
        </w:tc>
        <w:tc>
          <w:tcPr>
            <w:tcW w:w="1430" w:type="dxa"/>
            <w:shd w:val="clear" w:color="auto" w:fill="auto"/>
          </w:tcPr>
          <w:p w14:paraId="280E9A5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344D3E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28210E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22CF021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7A8F676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0F5D7C6E" w14:textId="77777777" w:rsidTr="00BC15CA">
        <w:tc>
          <w:tcPr>
            <w:tcW w:w="2750" w:type="dxa"/>
            <w:shd w:val="clear" w:color="auto" w:fill="auto"/>
          </w:tcPr>
          <w:p w14:paraId="35F3D5E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Croatia</w:t>
            </w:r>
          </w:p>
        </w:tc>
        <w:tc>
          <w:tcPr>
            <w:tcW w:w="1430" w:type="dxa"/>
            <w:shd w:val="clear" w:color="auto" w:fill="auto"/>
          </w:tcPr>
          <w:p w14:paraId="66616CC9"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4297368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0.5</w:t>
            </w:r>
          </w:p>
        </w:tc>
        <w:tc>
          <w:tcPr>
            <w:tcW w:w="1320" w:type="dxa"/>
            <w:shd w:val="clear" w:color="auto" w:fill="auto"/>
          </w:tcPr>
          <w:p w14:paraId="3E12EAC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22,789 </w:t>
            </w:r>
          </w:p>
        </w:tc>
        <w:tc>
          <w:tcPr>
            <w:tcW w:w="1430" w:type="dxa"/>
            <w:shd w:val="clear" w:color="auto" w:fill="auto"/>
          </w:tcPr>
          <w:p w14:paraId="76C493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22,789 </w:t>
            </w:r>
          </w:p>
        </w:tc>
        <w:tc>
          <w:tcPr>
            <w:tcW w:w="1320" w:type="dxa"/>
            <w:shd w:val="clear" w:color="auto" w:fill="auto"/>
          </w:tcPr>
          <w:p w14:paraId="6E50085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45,578 </w:t>
            </w:r>
          </w:p>
        </w:tc>
      </w:tr>
      <w:tr w:rsidR="002523FB" w:rsidRPr="000C5ED6" w14:paraId="440B4848" w14:textId="77777777" w:rsidTr="00BC15CA">
        <w:tc>
          <w:tcPr>
            <w:tcW w:w="2750" w:type="dxa"/>
            <w:shd w:val="clear" w:color="auto" w:fill="auto"/>
          </w:tcPr>
          <w:p w14:paraId="107B34B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Cuba</w:t>
            </w:r>
          </w:p>
        </w:tc>
        <w:tc>
          <w:tcPr>
            <w:tcW w:w="1430" w:type="dxa"/>
            <w:shd w:val="clear" w:color="auto" w:fill="auto"/>
          </w:tcPr>
          <w:p w14:paraId="61A154FF"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0546ADA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0380B28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7B4E2DE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0144B6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1A78BE7A" w14:textId="77777777" w:rsidTr="00BC15CA">
        <w:tc>
          <w:tcPr>
            <w:tcW w:w="2750" w:type="dxa"/>
            <w:shd w:val="clear" w:color="auto" w:fill="auto"/>
          </w:tcPr>
          <w:p w14:paraId="7FE0D28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Cyprus</w:t>
            </w:r>
          </w:p>
        </w:tc>
        <w:tc>
          <w:tcPr>
            <w:tcW w:w="1430" w:type="dxa"/>
            <w:shd w:val="clear" w:color="auto" w:fill="auto"/>
          </w:tcPr>
          <w:p w14:paraId="6EF8E785"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5DD6C3C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1321FA9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199672E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3BC1F24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44C38D92" w14:textId="77777777" w:rsidTr="00BC15CA">
        <w:tc>
          <w:tcPr>
            <w:tcW w:w="2750" w:type="dxa"/>
            <w:shd w:val="clear" w:color="auto" w:fill="auto"/>
          </w:tcPr>
          <w:p w14:paraId="25300DA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Czech Republic </w:t>
            </w:r>
          </w:p>
        </w:tc>
        <w:tc>
          <w:tcPr>
            <w:tcW w:w="1430" w:type="dxa"/>
            <w:shd w:val="clear" w:color="auto" w:fill="auto"/>
          </w:tcPr>
          <w:p w14:paraId="3F87EC59"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5C82ECC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25C224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136,737 </w:t>
            </w:r>
          </w:p>
        </w:tc>
        <w:tc>
          <w:tcPr>
            <w:tcW w:w="1430" w:type="dxa"/>
            <w:shd w:val="clear" w:color="auto" w:fill="auto"/>
          </w:tcPr>
          <w:p w14:paraId="2403C68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136,737 </w:t>
            </w:r>
          </w:p>
        </w:tc>
        <w:tc>
          <w:tcPr>
            <w:tcW w:w="1320" w:type="dxa"/>
            <w:shd w:val="clear" w:color="auto" w:fill="auto"/>
          </w:tcPr>
          <w:p w14:paraId="3FE4BA1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273,474 </w:t>
            </w:r>
          </w:p>
        </w:tc>
      </w:tr>
      <w:tr w:rsidR="002523FB" w:rsidRPr="000C5ED6" w14:paraId="0CB00440" w14:textId="77777777" w:rsidTr="00BC15CA">
        <w:tc>
          <w:tcPr>
            <w:tcW w:w="2750" w:type="dxa"/>
            <w:shd w:val="clear" w:color="auto" w:fill="auto"/>
          </w:tcPr>
          <w:p w14:paraId="1D1B00FE" w14:textId="77777777" w:rsidR="002523FB" w:rsidRPr="000C5ED6" w:rsidRDefault="002523FB" w:rsidP="00C2153C">
            <w:pPr>
              <w:rPr>
                <w:rFonts w:ascii="Arial" w:hAnsi="Arial" w:cs="Arial"/>
                <w:b/>
                <w:snapToGrid w:val="0"/>
                <w:color w:val="000000"/>
                <w:sz w:val="18"/>
                <w:szCs w:val="18"/>
              </w:rPr>
            </w:pPr>
            <w:r w:rsidRPr="000C5ED6">
              <w:rPr>
                <w:rFonts w:ascii="Arial" w:hAnsi="Arial" w:cs="Arial"/>
                <w:b/>
                <w:snapToGrid w:val="0"/>
                <w:color w:val="000000"/>
                <w:sz w:val="18"/>
                <w:szCs w:val="18"/>
              </w:rPr>
              <w:t>D</w:t>
            </w:r>
            <w:r w:rsidRPr="000C5ED6">
              <w:rPr>
                <w:rFonts w:ascii="Arial" w:hAnsi="Arial" w:cs="Arial"/>
                <w:snapToGrid w:val="0"/>
                <w:color w:val="000000"/>
                <w:sz w:val="18"/>
                <w:szCs w:val="18"/>
              </w:rPr>
              <w:t>emocratic People's Republic of Korea</w:t>
            </w:r>
          </w:p>
        </w:tc>
        <w:tc>
          <w:tcPr>
            <w:tcW w:w="1430" w:type="dxa"/>
            <w:shd w:val="clear" w:color="auto" w:fill="auto"/>
          </w:tcPr>
          <w:p w14:paraId="3001D9C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20C886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5D99A7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480829F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7C3EB4E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0664F30B" w14:textId="77777777" w:rsidTr="00BC15CA">
        <w:tc>
          <w:tcPr>
            <w:tcW w:w="2750" w:type="dxa"/>
            <w:shd w:val="clear" w:color="auto" w:fill="auto"/>
          </w:tcPr>
          <w:p w14:paraId="579FD36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Democratic Republic of the Congo </w:t>
            </w:r>
          </w:p>
        </w:tc>
        <w:tc>
          <w:tcPr>
            <w:tcW w:w="1430" w:type="dxa"/>
            <w:shd w:val="clear" w:color="auto" w:fill="auto"/>
          </w:tcPr>
          <w:p w14:paraId="297E138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4C0C8B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52E1BD3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39240C6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36FC416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4497D26D" w14:textId="77777777" w:rsidTr="00BC15CA">
        <w:tc>
          <w:tcPr>
            <w:tcW w:w="2750" w:type="dxa"/>
            <w:shd w:val="clear" w:color="auto" w:fill="auto"/>
          </w:tcPr>
          <w:p w14:paraId="69CCA77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Denmark</w:t>
            </w:r>
          </w:p>
        </w:tc>
        <w:tc>
          <w:tcPr>
            <w:tcW w:w="1430" w:type="dxa"/>
            <w:shd w:val="clear" w:color="auto" w:fill="auto"/>
          </w:tcPr>
          <w:p w14:paraId="6B406799"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20D358B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66FF08D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455,790 </w:t>
            </w:r>
          </w:p>
        </w:tc>
        <w:tc>
          <w:tcPr>
            <w:tcW w:w="1430" w:type="dxa"/>
            <w:shd w:val="clear" w:color="auto" w:fill="auto"/>
          </w:tcPr>
          <w:p w14:paraId="61023DC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455,790 </w:t>
            </w:r>
          </w:p>
        </w:tc>
        <w:tc>
          <w:tcPr>
            <w:tcW w:w="1320" w:type="dxa"/>
            <w:shd w:val="clear" w:color="auto" w:fill="auto"/>
          </w:tcPr>
          <w:p w14:paraId="2E09AF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911,580 </w:t>
            </w:r>
          </w:p>
        </w:tc>
      </w:tr>
      <w:tr w:rsidR="002523FB" w:rsidRPr="000C5ED6" w14:paraId="2CF58917" w14:textId="77777777" w:rsidTr="00BC15CA">
        <w:tc>
          <w:tcPr>
            <w:tcW w:w="2750" w:type="dxa"/>
            <w:shd w:val="clear" w:color="auto" w:fill="auto"/>
          </w:tcPr>
          <w:p w14:paraId="0F70802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Djibouti</w:t>
            </w:r>
          </w:p>
        </w:tc>
        <w:tc>
          <w:tcPr>
            <w:tcW w:w="1430" w:type="dxa"/>
            <w:shd w:val="clear" w:color="auto" w:fill="auto"/>
          </w:tcPr>
          <w:p w14:paraId="69F243B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0E1CCFF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02634D0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368F3A5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2FBE274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2B59A012" w14:textId="77777777" w:rsidTr="00BC15CA">
        <w:tc>
          <w:tcPr>
            <w:tcW w:w="2750" w:type="dxa"/>
            <w:shd w:val="clear" w:color="auto" w:fill="auto"/>
          </w:tcPr>
          <w:p w14:paraId="6298F6F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Dominica </w:t>
            </w:r>
          </w:p>
        </w:tc>
        <w:tc>
          <w:tcPr>
            <w:tcW w:w="1430" w:type="dxa"/>
            <w:shd w:val="clear" w:color="auto" w:fill="auto"/>
          </w:tcPr>
          <w:p w14:paraId="21476A1A"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4BBE316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A79FA9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1490035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320" w:type="dxa"/>
            <w:shd w:val="clear" w:color="auto" w:fill="auto"/>
          </w:tcPr>
          <w:p w14:paraId="73DE1F0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3B1B66BE" w14:textId="77777777" w:rsidTr="00BC15CA">
        <w:tc>
          <w:tcPr>
            <w:tcW w:w="2750" w:type="dxa"/>
            <w:shd w:val="clear" w:color="auto" w:fill="auto"/>
          </w:tcPr>
          <w:p w14:paraId="285E997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lastRenderedPageBreak/>
              <w:t xml:space="preserve">Dominican Republic </w:t>
            </w:r>
          </w:p>
        </w:tc>
        <w:tc>
          <w:tcPr>
            <w:tcW w:w="1430" w:type="dxa"/>
            <w:shd w:val="clear" w:color="auto" w:fill="auto"/>
          </w:tcPr>
          <w:p w14:paraId="5033778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617C459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77866E6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7B460FE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49DCEA7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4D1C2E2A" w14:textId="77777777" w:rsidTr="00BC15CA">
        <w:tc>
          <w:tcPr>
            <w:tcW w:w="2750" w:type="dxa"/>
            <w:shd w:val="clear" w:color="auto" w:fill="auto"/>
          </w:tcPr>
          <w:p w14:paraId="25415181"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E</w:t>
            </w:r>
            <w:r w:rsidRPr="000C5ED6">
              <w:rPr>
                <w:rFonts w:ascii="Arial" w:hAnsi="Arial" w:cs="Arial"/>
                <w:snapToGrid w:val="0"/>
                <w:color w:val="000000"/>
                <w:sz w:val="18"/>
                <w:szCs w:val="18"/>
              </w:rPr>
              <w:t>cuador</w:t>
            </w:r>
          </w:p>
        </w:tc>
        <w:tc>
          <w:tcPr>
            <w:tcW w:w="1430" w:type="dxa"/>
            <w:shd w:val="clear" w:color="auto" w:fill="auto"/>
          </w:tcPr>
          <w:p w14:paraId="55E08A7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222CF7C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322B8E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4C00D77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575759C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11,394 </w:t>
            </w:r>
          </w:p>
        </w:tc>
      </w:tr>
      <w:tr w:rsidR="002523FB" w:rsidRPr="000C5ED6" w14:paraId="7DF57412" w14:textId="77777777" w:rsidTr="00BC15CA">
        <w:tc>
          <w:tcPr>
            <w:tcW w:w="2750" w:type="dxa"/>
            <w:shd w:val="clear" w:color="auto" w:fill="auto"/>
          </w:tcPr>
          <w:p w14:paraId="4D23D94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Egypt</w:t>
            </w:r>
          </w:p>
        </w:tc>
        <w:tc>
          <w:tcPr>
            <w:tcW w:w="1430" w:type="dxa"/>
            <w:shd w:val="clear" w:color="auto" w:fill="auto"/>
          </w:tcPr>
          <w:p w14:paraId="735422DB"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IX</w:t>
            </w:r>
          </w:p>
        </w:tc>
        <w:tc>
          <w:tcPr>
            <w:tcW w:w="1210" w:type="dxa"/>
            <w:shd w:val="clear" w:color="auto" w:fill="auto"/>
          </w:tcPr>
          <w:p w14:paraId="7DCA1B20"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w:t>
            </w:r>
            <w:r w:rsidRPr="000C5ED6">
              <w:rPr>
                <w:rFonts w:ascii="Arial" w:hAnsi="Arial" w:cs="Arial"/>
                <w:snapToGrid w:val="0"/>
                <w:color w:val="000000"/>
                <w:sz w:val="18"/>
                <w:szCs w:val="18"/>
              </w:rPr>
              <w:t>25</w:t>
            </w:r>
          </w:p>
        </w:tc>
        <w:tc>
          <w:tcPr>
            <w:tcW w:w="1320" w:type="dxa"/>
            <w:shd w:val="clear" w:color="auto" w:fill="auto"/>
          </w:tcPr>
          <w:p w14:paraId="4D7F864C"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11,395</w:t>
            </w:r>
          </w:p>
        </w:tc>
        <w:tc>
          <w:tcPr>
            <w:tcW w:w="1430" w:type="dxa"/>
            <w:shd w:val="clear" w:color="auto" w:fill="auto"/>
          </w:tcPr>
          <w:p w14:paraId="304FEC3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11,395</w:t>
            </w:r>
          </w:p>
        </w:tc>
        <w:tc>
          <w:tcPr>
            <w:tcW w:w="1320" w:type="dxa"/>
            <w:shd w:val="clear" w:color="auto" w:fill="auto"/>
          </w:tcPr>
          <w:p w14:paraId="05252B29"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22,790</w:t>
            </w:r>
            <w:r w:rsidRPr="000C5ED6">
              <w:rPr>
                <w:rFonts w:ascii="Arial" w:hAnsi="Arial" w:cs="Arial"/>
                <w:snapToGrid w:val="0"/>
                <w:color w:val="000000"/>
                <w:sz w:val="18"/>
                <w:szCs w:val="18"/>
              </w:rPr>
              <w:t xml:space="preserve"> </w:t>
            </w:r>
          </w:p>
        </w:tc>
      </w:tr>
      <w:tr w:rsidR="002523FB" w:rsidRPr="000C5ED6" w14:paraId="6EB79094" w14:textId="77777777" w:rsidTr="00BC15CA">
        <w:tc>
          <w:tcPr>
            <w:tcW w:w="2750" w:type="dxa"/>
            <w:shd w:val="clear" w:color="auto" w:fill="auto"/>
          </w:tcPr>
          <w:p w14:paraId="4C72CEE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El Salvador</w:t>
            </w:r>
          </w:p>
        </w:tc>
        <w:tc>
          <w:tcPr>
            <w:tcW w:w="1430" w:type="dxa"/>
            <w:shd w:val="clear" w:color="auto" w:fill="auto"/>
          </w:tcPr>
          <w:p w14:paraId="6B773646"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769FF8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87CF80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2,849</w:t>
            </w:r>
          </w:p>
        </w:tc>
        <w:tc>
          <w:tcPr>
            <w:tcW w:w="1430" w:type="dxa"/>
            <w:shd w:val="clear" w:color="auto" w:fill="auto"/>
          </w:tcPr>
          <w:p w14:paraId="0D43BC1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2,849</w:t>
            </w:r>
          </w:p>
        </w:tc>
        <w:tc>
          <w:tcPr>
            <w:tcW w:w="1320" w:type="dxa"/>
            <w:shd w:val="clear" w:color="auto" w:fill="auto"/>
          </w:tcPr>
          <w:p w14:paraId="7A92D9B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5,698</w:t>
            </w:r>
          </w:p>
        </w:tc>
      </w:tr>
      <w:tr w:rsidR="002523FB" w:rsidRPr="000C5ED6" w14:paraId="629E1CB2" w14:textId="77777777" w:rsidTr="00BC15CA">
        <w:tc>
          <w:tcPr>
            <w:tcW w:w="2750" w:type="dxa"/>
            <w:shd w:val="clear" w:color="auto" w:fill="auto"/>
          </w:tcPr>
          <w:p w14:paraId="1332801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Equatorial Guinea</w:t>
            </w:r>
          </w:p>
        </w:tc>
        <w:tc>
          <w:tcPr>
            <w:tcW w:w="1430" w:type="dxa"/>
            <w:shd w:val="clear" w:color="auto" w:fill="auto"/>
          </w:tcPr>
          <w:p w14:paraId="1367E13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1338016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69AA10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551FCCB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3FFCDC5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6B07CB7A" w14:textId="77777777" w:rsidTr="00BC15CA">
        <w:tc>
          <w:tcPr>
            <w:tcW w:w="2750" w:type="dxa"/>
            <w:shd w:val="clear" w:color="auto" w:fill="auto"/>
          </w:tcPr>
          <w:p w14:paraId="66BFB4C0"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Eritrea </w:t>
            </w:r>
            <w:r w:rsidRPr="000C5ED6">
              <w:rPr>
                <w:rFonts w:ascii="Arial" w:hAnsi="Arial" w:cs="Arial"/>
                <w:snapToGrid w:val="0"/>
                <w:color w:val="000000"/>
                <w:sz w:val="18"/>
                <w:szCs w:val="18"/>
                <w:vertAlign w:val="superscript"/>
              </w:rPr>
              <w:t>2</w:t>
            </w:r>
          </w:p>
        </w:tc>
        <w:tc>
          <w:tcPr>
            <w:tcW w:w="1430" w:type="dxa"/>
            <w:shd w:val="clear" w:color="auto" w:fill="auto"/>
          </w:tcPr>
          <w:p w14:paraId="63860CA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28A059E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AA4E63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13202E1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494C99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51039C95" w14:textId="77777777" w:rsidTr="00BC15CA">
        <w:tc>
          <w:tcPr>
            <w:tcW w:w="2750" w:type="dxa"/>
            <w:shd w:val="clear" w:color="auto" w:fill="auto"/>
          </w:tcPr>
          <w:p w14:paraId="2515E4A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Estonia</w:t>
            </w:r>
          </w:p>
        </w:tc>
        <w:tc>
          <w:tcPr>
            <w:tcW w:w="1430" w:type="dxa"/>
            <w:shd w:val="clear" w:color="auto" w:fill="auto"/>
          </w:tcPr>
          <w:p w14:paraId="53F2CD7D"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24C20BE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435062E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7DF02A8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019BCC9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4F8D933E" w14:textId="77777777" w:rsidTr="00BC15CA">
        <w:tc>
          <w:tcPr>
            <w:tcW w:w="2750" w:type="dxa"/>
            <w:shd w:val="clear" w:color="auto" w:fill="auto"/>
          </w:tcPr>
          <w:p w14:paraId="129AEC08"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Ethiopia </w:t>
            </w:r>
            <w:r w:rsidRPr="000C5ED6">
              <w:rPr>
                <w:rFonts w:ascii="Arial" w:hAnsi="Arial" w:cs="Arial"/>
                <w:snapToGrid w:val="0"/>
                <w:color w:val="000000"/>
                <w:sz w:val="18"/>
                <w:szCs w:val="18"/>
                <w:vertAlign w:val="superscript"/>
              </w:rPr>
              <w:t>2</w:t>
            </w:r>
          </w:p>
        </w:tc>
        <w:tc>
          <w:tcPr>
            <w:tcW w:w="1430" w:type="dxa"/>
            <w:shd w:val="clear" w:color="auto" w:fill="auto"/>
          </w:tcPr>
          <w:p w14:paraId="5C5D9D1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0E5F447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7D2079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4F79B9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0BBF939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071D6486" w14:textId="77777777" w:rsidTr="00BC15CA">
        <w:tc>
          <w:tcPr>
            <w:tcW w:w="2750" w:type="dxa"/>
            <w:shd w:val="clear" w:color="auto" w:fill="auto"/>
          </w:tcPr>
          <w:p w14:paraId="0556A2BE"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F</w:t>
            </w:r>
            <w:r w:rsidRPr="000C5ED6">
              <w:rPr>
                <w:rFonts w:ascii="Arial" w:hAnsi="Arial" w:cs="Arial"/>
                <w:snapToGrid w:val="0"/>
                <w:color w:val="000000"/>
                <w:sz w:val="18"/>
                <w:szCs w:val="18"/>
              </w:rPr>
              <w:t>iji</w:t>
            </w:r>
          </w:p>
        </w:tc>
        <w:tc>
          <w:tcPr>
            <w:tcW w:w="1430" w:type="dxa"/>
            <w:shd w:val="clear" w:color="auto" w:fill="auto"/>
          </w:tcPr>
          <w:p w14:paraId="67AE181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1CDFAFC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C675BA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3434FBC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6FAAD0E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5099AD47" w14:textId="77777777" w:rsidTr="00BC15CA">
        <w:tc>
          <w:tcPr>
            <w:tcW w:w="2750" w:type="dxa"/>
            <w:shd w:val="clear" w:color="auto" w:fill="auto"/>
          </w:tcPr>
          <w:p w14:paraId="0DA60F1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Finland</w:t>
            </w:r>
          </w:p>
        </w:tc>
        <w:tc>
          <w:tcPr>
            <w:tcW w:w="1430" w:type="dxa"/>
            <w:shd w:val="clear" w:color="auto" w:fill="auto"/>
          </w:tcPr>
          <w:p w14:paraId="369ED2B5"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0606374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378485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430" w:type="dxa"/>
            <w:shd w:val="clear" w:color="auto" w:fill="auto"/>
          </w:tcPr>
          <w:p w14:paraId="71F3012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320" w:type="dxa"/>
            <w:shd w:val="clear" w:color="auto" w:fill="auto"/>
          </w:tcPr>
          <w:p w14:paraId="127FEC5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911,580 </w:t>
            </w:r>
          </w:p>
        </w:tc>
      </w:tr>
      <w:tr w:rsidR="002523FB" w:rsidRPr="000C5ED6" w14:paraId="02EC484B" w14:textId="77777777" w:rsidTr="00BC15CA">
        <w:tc>
          <w:tcPr>
            <w:tcW w:w="2750" w:type="dxa"/>
            <w:shd w:val="clear" w:color="auto" w:fill="auto"/>
          </w:tcPr>
          <w:p w14:paraId="32994C1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France</w:t>
            </w:r>
          </w:p>
        </w:tc>
        <w:tc>
          <w:tcPr>
            <w:tcW w:w="1430" w:type="dxa"/>
            <w:shd w:val="clear" w:color="auto" w:fill="auto"/>
          </w:tcPr>
          <w:p w14:paraId="3E0808C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w:t>
            </w:r>
          </w:p>
        </w:tc>
        <w:tc>
          <w:tcPr>
            <w:tcW w:w="1210" w:type="dxa"/>
            <w:shd w:val="clear" w:color="auto" w:fill="auto"/>
          </w:tcPr>
          <w:p w14:paraId="5544D97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25</w:t>
            </w:r>
          </w:p>
        </w:tc>
        <w:tc>
          <w:tcPr>
            <w:tcW w:w="1320" w:type="dxa"/>
            <w:shd w:val="clear" w:color="auto" w:fill="auto"/>
          </w:tcPr>
          <w:p w14:paraId="4D5850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430" w:type="dxa"/>
            <w:shd w:val="clear" w:color="auto" w:fill="auto"/>
          </w:tcPr>
          <w:p w14:paraId="500897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320" w:type="dxa"/>
            <w:shd w:val="clear" w:color="auto" w:fill="auto"/>
          </w:tcPr>
          <w:p w14:paraId="74B947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2,278,950 </w:t>
            </w:r>
          </w:p>
        </w:tc>
      </w:tr>
      <w:tr w:rsidR="002523FB" w:rsidRPr="000C5ED6" w14:paraId="701D511E" w14:textId="77777777" w:rsidTr="00BC15CA">
        <w:tc>
          <w:tcPr>
            <w:tcW w:w="2750" w:type="dxa"/>
            <w:shd w:val="clear" w:color="auto" w:fill="auto"/>
          </w:tcPr>
          <w:p w14:paraId="3D9E088A"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G</w:t>
            </w:r>
            <w:r w:rsidRPr="000C5ED6">
              <w:rPr>
                <w:rFonts w:ascii="Arial" w:hAnsi="Arial" w:cs="Arial"/>
                <w:snapToGrid w:val="0"/>
                <w:color w:val="000000"/>
                <w:sz w:val="18"/>
                <w:szCs w:val="18"/>
              </w:rPr>
              <w:t>abon</w:t>
            </w:r>
          </w:p>
        </w:tc>
        <w:tc>
          <w:tcPr>
            <w:tcW w:w="1430" w:type="dxa"/>
            <w:shd w:val="clear" w:color="auto" w:fill="auto"/>
          </w:tcPr>
          <w:p w14:paraId="72BA5ED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72D449BF"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0.1</w:t>
            </w:r>
            <w:r w:rsidRPr="000C5ED6">
              <w:rPr>
                <w:rFonts w:ascii="Arial" w:hAnsi="Arial" w:cs="Arial"/>
                <w:snapToGrid w:val="0"/>
                <w:color w:val="000000"/>
                <w:sz w:val="18"/>
                <w:szCs w:val="18"/>
              </w:rPr>
              <w:t>25</w:t>
            </w:r>
          </w:p>
        </w:tc>
        <w:tc>
          <w:tcPr>
            <w:tcW w:w="1320" w:type="dxa"/>
            <w:shd w:val="clear" w:color="auto" w:fill="auto"/>
          </w:tcPr>
          <w:p w14:paraId="551E0BB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430" w:type="dxa"/>
            <w:shd w:val="clear" w:color="auto" w:fill="auto"/>
          </w:tcPr>
          <w:p w14:paraId="7CB4318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320" w:type="dxa"/>
            <w:shd w:val="clear" w:color="auto" w:fill="auto"/>
          </w:tcPr>
          <w:p w14:paraId="27DD4E9B"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11,394</w:t>
            </w:r>
            <w:r w:rsidRPr="000C5ED6">
              <w:rPr>
                <w:rFonts w:ascii="Arial" w:hAnsi="Arial" w:cs="Arial"/>
                <w:snapToGrid w:val="0"/>
                <w:color w:val="000000"/>
                <w:sz w:val="18"/>
                <w:szCs w:val="18"/>
              </w:rPr>
              <w:t xml:space="preserve"> </w:t>
            </w:r>
          </w:p>
        </w:tc>
      </w:tr>
      <w:tr w:rsidR="002523FB" w:rsidRPr="000C5ED6" w14:paraId="48EE6A19" w14:textId="77777777" w:rsidTr="00BC15CA">
        <w:tc>
          <w:tcPr>
            <w:tcW w:w="2750" w:type="dxa"/>
            <w:shd w:val="clear" w:color="auto" w:fill="auto"/>
          </w:tcPr>
          <w:p w14:paraId="2FBDF0A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Gambia </w:t>
            </w:r>
          </w:p>
        </w:tc>
        <w:tc>
          <w:tcPr>
            <w:tcW w:w="1430" w:type="dxa"/>
            <w:shd w:val="clear" w:color="auto" w:fill="auto"/>
          </w:tcPr>
          <w:p w14:paraId="24C6CB3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796F5A9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FF4447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18F3D78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D9F723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23EE76A0" w14:textId="77777777" w:rsidTr="00BC15CA">
        <w:tc>
          <w:tcPr>
            <w:tcW w:w="2750" w:type="dxa"/>
            <w:shd w:val="clear" w:color="auto" w:fill="auto"/>
          </w:tcPr>
          <w:p w14:paraId="7D69160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Georgia</w:t>
            </w:r>
          </w:p>
        </w:tc>
        <w:tc>
          <w:tcPr>
            <w:tcW w:w="1430" w:type="dxa"/>
            <w:shd w:val="clear" w:color="auto" w:fill="auto"/>
          </w:tcPr>
          <w:p w14:paraId="437FC9D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86E095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5069A4E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11,395 </w:t>
            </w:r>
          </w:p>
        </w:tc>
        <w:tc>
          <w:tcPr>
            <w:tcW w:w="1430" w:type="dxa"/>
            <w:shd w:val="clear" w:color="auto" w:fill="auto"/>
          </w:tcPr>
          <w:p w14:paraId="7FE7F8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012C84C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22,790 </w:t>
            </w:r>
          </w:p>
        </w:tc>
      </w:tr>
      <w:tr w:rsidR="002523FB" w:rsidRPr="000C5ED6" w14:paraId="2DF8DD0A" w14:textId="77777777" w:rsidTr="00BC15CA">
        <w:tc>
          <w:tcPr>
            <w:tcW w:w="2750" w:type="dxa"/>
            <w:shd w:val="clear" w:color="auto" w:fill="auto"/>
          </w:tcPr>
          <w:p w14:paraId="0E4991A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Germany</w:t>
            </w:r>
          </w:p>
        </w:tc>
        <w:tc>
          <w:tcPr>
            <w:tcW w:w="1430" w:type="dxa"/>
            <w:shd w:val="clear" w:color="auto" w:fill="auto"/>
          </w:tcPr>
          <w:p w14:paraId="376645A5"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w:t>
            </w:r>
          </w:p>
        </w:tc>
        <w:tc>
          <w:tcPr>
            <w:tcW w:w="1210" w:type="dxa"/>
            <w:shd w:val="clear" w:color="auto" w:fill="auto"/>
          </w:tcPr>
          <w:p w14:paraId="698A981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25</w:t>
            </w:r>
          </w:p>
        </w:tc>
        <w:tc>
          <w:tcPr>
            <w:tcW w:w="1320" w:type="dxa"/>
            <w:shd w:val="clear" w:color="auto" w:fill="auto"/>
          </w:tcPr>
          <w:p w14:paraId="04F9244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430" w:type="dxa"/>
            <w:shd w:val="clear" w:color="auto" w:fill="auto"/>
          </w:tcPr>
          <w:p w14:paraId="64F1E95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320" w:type="dxa"/>
            <w:shd w:val="clear" w:color="auto" w:fill="auto"/>
          </w:tcPr>
          <w:p w14:paraId="2F92CE1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2,278,950 </w:t>
            </w:r>
          </w:p>
        </w:tc>
      </w:tr>
      <w:tr w:rsidR="002523FB" w:rsidRPr="000C5ED6" w14:paraId="7DDB69C7" w14:textId="77777777" w:rsidTr="00BC15CA">
        <w:tc>
          <w:tcPr>
            <w:tcW w:w="2750" w:type="dxa"/>
            <w:shd w:val="clear" w:color="auto" w:fill="auto"/>
          </w:tcPr>
          <w:p w14:paraId="3F44813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Ghana</w:t>
            </w:r>
          </w:p>
        </w:tc>
        <w:tc>
          <w:tcPr>
            <w:tcW w:w="1430" w:type="dxa"/>
            <w:shd w:val="clear" w:color="auto" w:fill="auto"/>
          </w:tcPr>
          <w:p w14:paraId="421D870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01D2CB6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0ED2D5F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49661AA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6D19479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39328C9B" w14:textId="77777777" w:rsidTr="00BC15CA">
        <w:tc>
          <w:tcPr>
            <w:tcW w:w="2750" w:type="dxa"/>
            <w:shd w:val="clear" w:color="auto" w:fill="auto"/>
          </w:tcPr>
          <w:p w14:paraId="6575EAE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Greece</w:t>
            </w:r>
          </w:p>
        </w:tc>
        <w:tc>
          <w:tcPr>
            <w:tcW w:w="1430" w:type="dxa"/>
            <w:shd w:val="clear" w:color="auto" w:fill="auto"/>
          </w:tcPr>
          <w:p w14:paraId="77C1AA9B"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5BBB04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30B510E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430" w:type="dxa"/>
            <w:shd w:val="clear" w:color="auto" w:fill="auto"/>
          </w:tcPr>
          <w:p w14:paraId="2D56709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320" w:type="dxa"/>
            <w:shd w:val="clear" w:color="auto" w:fill="auto"/>
          </w:tcPr>
          <w:p w14:paraId="682A48A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273,474 </w:t>
            </w:r>
          </w:p>
        </w:tc>
      </w:tr>
      <w:tr w:rsidR="002523FB" w:rsidRPr="000C5ED6" w14:paraId="306E4882" w14:textId="77777777" w:rsidTr="00BC15CA">
        <w:tc>
          <w:tcPr>
            <w:tcW w:w="2750" w:type="dxa"/>
            <w:shd w:val="clear" w:color="auto" w:fill="auto"/>
          </w:tcPr>
          <w:p w14:paraId="6348F0E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Grenada</w:t>
            </w:r>
          </w:p>
        </w:tc>
        <w:tc>
          <w:tcPr>
            <w:tcW w:w="1430" w:type="dxa"/>
            <w:shd w:val="clear" w:color="auto" w:fill="auto"/>
          </w:tcPr>
          <w:p w14:paraId="004E723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C7F4B9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A84BE6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2,849 </w:t>
            </w:r>
          </w:p>
        </w:tc>
        <w:tc>
          <w:tcPr>
            <w:tcW w:w="1430" w:type="dxa"/>
            <w:shd w:val="clear" w:color="auto" w:fill="auto"/>
          </w:tcPr>
          <w:p w14:paraId="71881FC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0E38B46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5,698 </w:t>
            </w:r>
          </w:p>
        </w:tc>
      </w:tr>
      <w:tr w:rsidR="002523FB" w:rsidRPr="000C5ED6" w14:paraId="65465A7D" w14:textId="77777777" w:rsidTr="00BC15CA">
        <w:tc>
          <w:tcPr>
            <w:tcW w:w="2750" w:type="dxa"/>
            <w:shd w:val="clear" w:color="auto" w:fill="auto"/>
          </w:tcPr>
          <w:p w14:paraId="11E082B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Guatemala</w:t>
            </w:r>
          </w:p>
        </w:tc>
        <w:tc>
          <w:tcPr>
            <w:tcW w:w="1430" w:type="dxa"/>
            <w:shd w:val="clear" w:color="auto" w:fill="auto"/>
          </w:tcPr>
          <w:p w14:paraId="6D025D25"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0EBC520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69A3742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3EAB594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4E8BD3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3C202018" w14:textId="77777777" w:rsidTr="00BC15CA">
        <w:tc>
          <w:tcPr>
            <w:tcW w:w="2750" w:type="dxa"/>
            <w:shd w:val="clear" w:color="auto" w:fill="auto"/>
          </w:tcPr>
          <w:p w14:paraId="570A580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Guinea</w:t>
            </w:r>
          </w:p>
        </w:tc>
        <w:tc>
          <w:tcPr>
            <w:tcW w:w="1430" w:type="dxa"/>
            <w:shd w:val="clear" w:color="auto" w:fill="auto"/>
          </w:tcPr>
          <w:p w14:paraId="42E016F4"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29DD65A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D90CD4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271FAC9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052D764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0356CC27" w14:textId="77777777" w:rsidTr="00BC15CA">
        <w:tc>
          <w:tcPr>
            <w:tcW w:w="2750" w:type="dxa"/>
            <w:shd w:val="clear" w:color="auto" w:fill="auto"/>
          </w:tcPr>
          <w:p w14:paraId="377C146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Guinea-Bissau</w:t>
            </w:r>
          </w:p>
        </w:tc>
        <w:tc>
          <w:tcPr>
            <w:tcW w:w="1430" w:type="dxa"/>
            <w:shd w:val="clear" w:color="auto" w:fill="auto"/>
          </w:tcPr>
          <w:p w14:paraId="2E28A664"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884096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C6A257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430" w:type="dxa"/>
            <w:shd w:val="clear" w:color="auto" w:fill="auto"/>
          </w:tcPr>
          <w:p w14:paraId="7F2C06A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1,424 </w:t>
            </w:r>
          </w:p>
        </w:tc>
        <w:tc>
          <w:tcPr>
            <w:tcW w:w="1320" w:type="dxa"/>
            <w:shd w:val="clear" w:color="auto" w:fill="auto"/>
          </w:tcPr>
          <w:p w14:paraId="5708B00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2,848 </w:t>
            </w:r>
          </w:p>
        </w:tc>
      </w:tr>
      <w:tr w:rsidR="002523FB" w:rsidRPr="000C5ED6" w14:paraId="3C6A2DA7" w14:textId="77777777" w:rsidTr="00BC15CA">
        <w:tc>
          <w:tcPr>
            <w:tcW w:w="2750" w:type="dxa"/>
            <w:shd w:val="clear" w:color="auto" w:fill="auto"/>
          </w:tcPr>
          <w:p w14:paraId="33E29716"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Guyana</w:t>
            </w:r>
          </w:p>
        </w:tc>
        <w:tc>
          <w:tcPr>
            <w:tcW w:w="1430" w:type="dxa"/>
            <w:shd w:val="clear" w:color="auto" w:fill="auto"/>
          </w:tcPr>
          <w:p w14:paraId="16CAF332"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02E0949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7CB12D0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3418A2D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302CA9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3689E8BC" w14:textId="77777777" w:rsidTr="00BC15CA">
        <w:tc>
          <w:tcPr>
            <w:tcW w:w="2750" w:type="dxa"/>
            <w:shd w:val="clear" w:color="auto" w:fill="auto"/>
          </w:tcPr>
          <w:p w14:paraId="5066237A"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H</w:t>
            </w:r>
            <w:r w:rsidRPr="000C5ED6">
              <w:rPr>
                <w:rFonts w:ascii="Arial" w:hAnsi="Arial" w:cs="Arial"/>
                <w:snapToGrid w:val="0"/>
                <w:color w:val="000000"/>
                <w:sz w:val="18"/>
                <w:szCs w:val="18"/>
              </w:rPr>
              <w:t>aiti</w:t>
            </w:r>
          </w:p>
        </w:tc>
        <w:tc>
          <w:tcPr>
            <w:tcW w:w="1430" w:type="dxa"/>
            <w:shd w:val="clear" w:color="auto" w:fill="auto"/>
          </w:tcPr>
          <w:p w14:paraId="796BE7E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BAD121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99BCF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6978193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3F6C3DC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1BE902CE" w14:textId="77777777" w:rsidTr="00BC15CA">
        <w:tc>
          <w:tcPr>
            <w:tcW w:w="2750" w:type="dxa"/>
            <w:shd w:val="clear" w:color="auto" w:fill="auto"/>
          </w:tcPr>
          <w:p w14:paraId="63B2430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Holy See </w:t>
            </w:r>
          </w:p>
        </w:tc>
        <w:tc>
          <w:tcPr>
            <w:tcW w:w="1430" w:type="dxa"/>
            <w:shd w:val="clear" w:color="auto" w:fill="auto"/>
          </w:tcPr>
          <w:p w14:paraId="48C2F987"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7AEB858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386EBC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0B39ABA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3E7B514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67147A9C" w14:textId="77777777" w:rsidTr="00BC15CA">
        <w:tc>
          <w:tcPr>
            <w:tcW w:w="2750" w:type="dxa"/>
            <w:shd w:val="clear" w:color="auto" w:fill="auto"/>
          </w:tcPr>
          <w:p w14:paraId="551D6AA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Honduras</w:t>
            </w:r>
          </w:p>
        </w:tc>
        <w:tc>
          <w:tcPr>
            <w:tcW w:w="1430" w:type="dxa"/>
            <w:shd w:val="clear" w:color="auto" w:fill="auto"/>
          </w:tcPr>
          <w:p w14:paraId="6491965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40420D6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41091B4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1568847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65AE34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43F44E3C" w14:textId="77777777" w:rsidTr="00BC15CA">
        <w:tc>
          <w:tcPr>
            <w:tcW w:w="2750" w:type="dxa"/>
            <w:shd w:val="clear" w:color="auto" w:fill="auto"/>
          </w:tcPr>
          <w:p w14:paraId="17B0B1D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Hungary</w:t>
            </w:r>
          </w:p>
        </w:tc>
        <w:tc>
          <w:tcPr>
            <w:tcW w:w="1430" w:type="dxa"/>
            <w:shd w:val="clear" w:color="auto" w:fill="auto"/>
          </w:tcPr>
          <w:p w14:paraId="70A2CEDB"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30E6944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18D3573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430" w:type="dxa"/>
            <w:shd w:val="clear" w:color="auto" w:fill="auto"/>
          </w:tcPr>
          <w:p w14:paraId="7EC590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320" w:type="dxa"/>
            <w:shd w:val="clear" w:color="auto" w:fill="auto"/>
          </w:tcPr>
          <w:p w14:paraId="7C3CCF9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273,474 </w:t>
            </w:r>
          </w:p>
        </w:tc>
      </w:tr>
      <w:tr w:rsidR="002523FB" w:rsidRPr="000C5ED6" w14:paraId="38AE8B21" w14:textId="77777777" w:rsidTr="00BC15CA">
        <w:tc>
          <w:tcPr>
            <w:tcW w:w="2750" w:type="dxa"/>
            <w:shd w:val="clear" w:color="auto" w:fill="auto"/>
          </w:tcPr>
          <w:p w14:paraId="0E6A3C2D"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I</w:t>
            </w:r>
            <w:r w:rsidRPr="000C5ED6">
              <w:rPr>
                <w:rFonts w:ascii="Arial" w:hAnsi="Arial" w:cs="Arial"/>
                <w:snapToGrid w:val="0"/>
                <w:color w:val="000000"/>
                <w:sz w:val="18"/>
                <w:szCs w:val="18"/>
              </w:rPr>
              <w:t>celand</w:t>
            </w:r>
          </w:p>
        </w:tc>
        <w:tc>
          <w:tcPr>
            <w:tcW w:w="1430" w:type="dxa"/>
            <w:shd w:val="clear" w:color="auto" w:fill="auto"/>
          </w:tcPr>
          <w:p w14:paraId="1C933ECD"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57DCF7A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0.5</w:t>
            </w:r>
          </w:p>
        </w:tc>
        <w:tc>
          <w:tcPr>
            <w:tcW w:w="1320" w:type="dxa"/>
            <w:shd w:val="clear" w:color="auto" w:fill="auto"/>
          </w:tcPr>
          <w:p w14:paraId="53153F1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430" w:type="dxa"/>
            <w:shd w:val="clear" w:color="auto" w:fill="auto"/>
          </w:tcPr>
          <w:p w14:paraId="71235B5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320" w:type="dxa"/>
            <w:shd w:val="clear" w:color="auto" w:fill="auto"/>
          </w:tcPr>
          <w:p w14:paraId="74749CC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45,578 </w:t>
            </w:r>
          </w:p>
        </w:tc>
      </w:tr>
      <w:tr w:rsidR="002523FB" w:rsidRPr="000C5ED6" w14:paraId="631188BD" w14:textId="77777777" w:rsidTr="00BC15CA">
        <w:tc>
          <w:tcPr>
            <w:tcW w:w="2750" w:type="dxa"/>
            <w:shd w:val="clear" w:color="auto" w:fill="auto"/>
          </w:tcPr>
          <w:p w14:paraId="1B1C43F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India</w:t>
            </w:r>
          </w:p>
        </w:tc>
        <w:tc>
          <w:tcPr>
            <w:tcW w:w="1430" w:type="dxa"/>
            <w:shd w:val="clear" w:color="auto" w:fill="auto"/>
          </w:tcPr>
          <w:p w14:paraId="26670496"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5927C36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657F7F1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430" w:type="dxa"/>
            <w:shd w:val="clear" w:color="auto" w:fill="auto"/>
          </w:tcPr>
          <w:p w14:paraId="673B4B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320" w:type="dxa"/>
            <w:shd w:val="clear" w:color="auto" w:fill="auto"/>
          </w:tcPr>
          <w:p w14:paraId="68D8DFE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182,316 </w:t>
            </w:r>
          </w:p>
        </w:tc>
      </w:tr>
      <w:tr w:rsidR="002523FB" w:rsidRPr="000C5ED6" w14:paraId="118E4FB3" w14:textId="77777777" w:rsidTr="00BC15CA">
        <w:tc>
          <w:tcPr>
            <w:tcW w:w="2750" w:type="dxa"/>
            <w:shd w:val="clear" w:color="auto" w:fill="auto"/>
          </w:tcPr>
          <w:p w14:paraId="32B797D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Indonesia</w:t>
            </w:r>
          </w:p>
        </w:tc>
        <w:tc>
          <w:tcPr>
            <w:tcW w:w="1430" w:type="dxa"/>
            <w:shd w:val="clear" w:color="auto" w:fill="auto"/>
          </w:tcPr>
          <w:p w14:paraId="484A1E5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5E7B427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39B13B3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5F39E6C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4B58324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7059D26D" w14:textId="77777777" w:rsidTr="00BC15CA">
        <w:tc>
          <w:tcPr>
            <w:tcW w:w="2750" w:type="dxa"/>
            <w:shd w:val="clear" w:color="auto" w:fill="auto"/>
          </w:tcPr>
          <w:p w14:paraId="1B94417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Iran (Islamic Republic of)</w:t>
            </w:r>
          </w:p>
        </w:tc>
        <w:tc>
          <w:tcPr>
            <w:tcW w:w="1430" w:type="dxa"/>
            <w:shd w:val="clear" w:color="auto" w:fill="auto"/>
          </w:tcPr>
          <w:p w14:paraId="219F8DD4"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0110C89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7BEB589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0EB3552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10D5ACF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478460B0" w14:textId="77777777" w:rsidTr="00BC15CA">
        <w:tc>
          <w:tcPr>
            <w:tcW w:w="2750" w:type="dxa"/>
            <w:shd w:val="clear" w:color="auto" w:fill="auto"/>
          </w:tcPr>
          <w:p w14:paraId="40EA971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Iraq</w:t>
            </w:r>
          </w:p>
        </w:tc>
        <w:tc>
          <w:tcPr>
            <w:tcW w:w="1430" w:type="dxa"/>
            <w:shd w:val="clear" w:color="auto" w:fill="auto"/>
          </w:tcPr>
          <w:p w14:paraId="02B3DC3A"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4914426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294394F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5,697</w:t>
            </w:r>
          </w:p>
        </w:tc>
        <w:tc>
          <w:tcPr>
            <w:tcW w:w="1430" w:type="dxa"/>
            <w:shd w:val="clear" w:color="auto" w:fill="auto"/>
          </w:tcPr>
          <w:p w14:paraId="20B7107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5,697</w:t>
            </w:r>
          </w:p>
        </w:tc>
        <w:tc>
          <w:tcPr>
            <w:tcW w:w="1320" w:type="dxa"/>
            <w:shd w:val="clear" w:color="auto" w:fill="auto"/>
          </w:tcPr>
          <w:p w14:paraId="29FF704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11,394</w:t>
            </w:r>
          </w:p>
        </w:tc>
      </w:tr>
      <w:tr w:rsidR="002523FB" w:rsidRPr="000C5ED6" w14:paraId="06B60894" w14:textId="77777777" w:rsidTr="00BC15CA">
        <w:tc>
          <w:tcPr>
            <w:tcW w:w="2750" w:type="dxa"/>
            <w:shd w:val="clear" w:color="auto" w:fill="auto"/>
          </w:tcPr>
          <w:p w14:paraId="3C7E1F8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Ireland</w:t>
            </w:r>
          </w:p>
        </w:tc>
        <w:tc>
          <w:tcPr>
            <w:tcW w:w="1430" w:type="dxa"/>
            <w:shd w:val="clear" w:color="auto" w:fill="auto"/>
          </w:tcPr>
          <w:p w14:paraId="4D8D0F0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37858EB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19C054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430" w:type="dxa"/>
            <w:shd w:val="clear" w:color="auto" w:fill="auto"/>
          </w:tcPr>
          <w:p w14:paraId="0267329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320" w:type="dxa"/>
            <w:shd w:val="clear" w:color="auto" w:fill="auto"/>
          </w:tcPr>
          <w:p w14:paraId="4C0C160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911,580 </w:t>
            </w:r>
          </w:p>
        </w:tc>
      </w:tr>
      <w:tr w:rsidR="002523FB" w:rsidRPr="000C5ED6" w14:paraId="23CBD8B9" w14:textId="77777777" w:rsidTr="00BC15CA">
        <w:tc>
          <w:tcPr>
            <w:tcW w:w="2750" w:type="dxa"/>
            <w:shd w:val="clear" w:color="auto" w:fill="auto"/>
          </w:tcPr>
          <w:p w14:paraId="1073CDD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Israel</w:t>
            </w:r>
          </w:p>
        </w:tc>
        <w:tc>
          <w:tcPr>
            <w:tcW w:w="1430" w:type="dxa"/>
            <w:shd w:val="clear" w:color="auto" w:fill="auto"/>
          </w:tcPr>
          <w:p w14:paraId="45AB794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5E598FE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2CF1B62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430" w:type="dxa"/>
            <w:shd w:val="clear" w:color="auto" w:fill="auto"/>
          </w:tcPr>
          <w:p w14:paraId="4FE6DDD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320" w:type="dxa"/>
            <w:shd w:val="clear" w:color="auto" w:fill="auto"/>
          </w:tcPr>
          <w:p w14:paraId="66D8BCB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182,316 </w:t>
            </w:r>
          </w:p>
        </w:tc>
      </w:tr>
      <w:tr w:rsidR="002523FB" w:rsidRPr="000C5ED6" w14:paraId="6F33519A" w14:textId="77777777" w:rsidTr="00BC15CA">
        <w:tc>
          <w:tcPr>
            <w:tcW w:w="2750" w:type="dxa"/>
            <w:shd w:val="clear" w:color="auto" w:fill="auto"/>
          </w:tcPr>
          <w:p w14:paraId="5E4605C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Italy</w:t>
            </w:r>
          </w:p>
        </w:tc>
        <w:tc>
          <w:tcPr>
            <w:tcW w:w="1430" w:type="dxa"/>
            <w:shd w:val="clear" w:color="auto" w:fill="auto"/>
          </w:tcPr>
          <w:p w14:paraId="3F596616"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III</w:t>
            </w:r>
          </w:p>
        </w:tc>
        <w:tc>
          <w:tcPr>
            <w:tcW w:w="1210" w:type="dxa"/>
            <w:shd w:val="clear" w:color="auto" w:fill="auto"/>
          </w:tcPr>
          <w:p w14:paraId="63AE20F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15</w:t>
            </w:r>
          </w:p>
        </w:tc>
        <w:tc>
          <w:tcPr>
            <w:tcW w:w="1320" w:type="dxa"/>
            <w:shd w:val="clear" w:color="auto" w:fill="auto"/>
          </w:tcPr>
          <w:p w14:paraId="2A32E4A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430" w:type="dxa"/>
            <w:shd w:val="clear" w:color="auto" w:fill="auto"/>
          </w:tcPr>
          <w:p w14:paraId="7D7A43A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320" w:type="dxa"/>
            <w:shd w:val="clear" w:color="auto" w:fill="auto"/>
          </w:tcPr>
          <w:p w14:paraId="5682B3A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1,367,370 </w:t>
            </w:r>
          </w:p>
        </w:tc>
      </w:tr>
      <w:tr w:rsidR="002523FB" w:rsidRPr="000C5ED6" w14:paraId="5E8C0DF2" w14:textId="77777777" w:rsidTr="00BC15CA">
        <w:tc>
          <w:tcPr>
            <w:tcW w:w="2750" w:type="dxa"/>
            <w:shd w:val="clear" w:color="auto" w:fill="auto"/>
          </w:tcPr>
          <w:p w14:paraId="1ECE80C6"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J</w:t>
            </w:r>
            <w:r w:rsidRPr="000C5ED6">
              <w:rPr>
                <w:rFonts w:ascii="Arial" w:hAnsi="Arial" w:cs="Arial"/>
                <w:snapToGrid w:val="0"/>
                <w:color w:val="000000"/>
                <w:sz w:val="18"/>
                <w:szCs w:val="18"/>
              </w:rPr>
              <w:t>amaica</w:t>
            </w:r>
          </w:p>
        </w:tc>
        <w:tc>
          <w:tcPr>
            <w:tcW w:w="1430" w:type="dxa"/>
            <w:shd w:val="clear" w:color="auto" w:fill="auto"/>
          </w:tcPr>
          <w:p w14:paraId="732F011F"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6D4AF04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EEFE0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037DD3F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0D38FE9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62FF55BA" w14:textId="77777777" w:rsidTr="00BC15CA">
        <w:tc>
          <w:tcPr>
            <w:tcW w:w="2750" w:type="dxa"/>
            <w:shd w:val="clear" w:color="auto" w:fill="auto"/>
          </w:tcPr>
          <w:p w14:paraId="3DFFD90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Japan</w:t>
            </w:r>
          </w:p>
        </w:tc>
        <w:tc>
          <w:tcPr>
            <w:tcW w:w="1430" w:type="dxa"/>
            <w:shd w:val="clear" w:color="auto" w:fill="auto"/>
          </w:tcPr>
          <w:p w14:paraId="1B34B7E8"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w:t>
            </w:r>
          </w:p>
        </w:tc>
        <w:tc>
          <w:tcPr>
            <w:tcW w:w="1210" w:type="dxa"/>
            <w:shd w:val="clear" w:color="auto" w:fill="auto"/>
          </w:tcPr>
          <w:p w14:paraId="5080102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25</w:t>
            </w:r>
          </w:p>
        </w:tc>
        <w:tc>
          <w:tcPr>
            <w:tcW w:w="1320" w:type="dxa"/>
            <w:shd w:val="clear" w:color="auto" w:fill="auto"/>
          </w:tcPr>
          <w:p w14:paraId="5BF79B7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430" w:type="dxa"/>
            <w:shd w:val="clear" w:color="auto" w:fill="auto"/>
          </w:tcPr>
          <w:p w14:paraId="4513865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320" w:type="dxa"/>
            <w:shd w:val="clear" w:color="auto" w:fill="auto"/>
          </w:tcPr>
          <w:p w14:paraId="191558E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2,278,950 </w:t>
            </w:r>
          </w:p>
        </w:tc>
      </w:tr>
      <w:tr w:rsidR="002523FB" w:rsidRPr="000C5ED6" w14:paraId="729C8B20" w14:textId="77777777" w:rsidTr="00BC15CA">
        <w:tc>
          <w:tcPr>
            <w:tcW w:w="2750" w:type="dxa"/>
            <w:shd w:val="clear" w:color="auto" w:fill="auto"/>
          </w:tcPr>
          <w:p w14:paraId="78889DE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Jordan</w:t>
            </w:r>
          </w:p>
        </w:tc>
        <w:tc>
          <w:tcPr>
            <w:tcW w:w="1430" w:type="dxa"/>
            <w:shd w:val="clear" w:color="auto" w:fill="auto"/>
          </w:tcPr>
          <w:p w14:paraId="2C1F99BD" w14:textId="77777777" w:rsidR="002523FB" w:rsidRPr="000C5ED6" w:rsidRDefault="002523FB" w:rsidP="00C2153C">
            <w:pPr>
              <w:jc w:val="center"/>
              <w:rPr>
                <w:rFonts w:ascii="Arial" w:hAnsi="Arial" w:cs="Arial"/>
                <w:i/>
                <w:snapToGrid w:val="0"/>
                <w:color w:val="000000"/>
                <w:sz w:val="18"/>
                <w:szCs w:val="18"/>
              </w:rPr>
            </w:pPr>
            <w:r>
              <w:rPr>
                <w:rFonts w:ascii="Arial" w:hAnsi="Arial" w:cs="Arial"/>
                <w:snapToGrid w:val="0"/>
                <w:color w:val="000000"/>
                <w:sz w:val="18"/>
                <w:szCs w:val="18"/>
              </w:rPr>
              <w:t>S</w:t>
            </w:r>
          </w:p>
        </w:tc>
        <w:tc>
          <w:tcPr>
            <w:tcW w:w="1210" w:type="dxa"/>
            <w:shd w:val="clear" w:color="auto" w:fill="auto"/>
          </w:tcPr>
          <w:p w14:paraId="5359BF40"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0.1</w:t>
            </w:r>
            <w:r w:rsidRPr="000C5ED6">
              <w:rPr>
                <w:rFonts w:ascii="Arial" w:hAnsi="Arial" w:cs="Arial"/>
                <w:snapToGrid w:val="0"/>
                <w:color w:val="000000"/>
                <w:sz w:val="18"/>
                <w:szCs w:val="18"/>
              </w:rPr>
              <w:t>25</w:t>
            </w:r>
          </w:p>
        </w:tc>
        <w:tc>
          <w:tcPr>
            <w:tcW w:w="1320" w:type="dxa"/>
            <w:shd w:val="clear" w:color="auto" w:fill="auto"/>
          </w:tcPr>
          <w:p w14:paraId="350AE10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430" w:type="dxa"/>
            <w:shd w:val="clear" w:color="auto" w:fill="auto"/>
          </w:tcPr>
          <w:p w14:paraId="7D6891A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320" w:type="dxa"/>
            <w:shd w:val="clear" w:color="auto" w:fill="auto"/>
          </w:tcPr>
          <w:p w14:paraId="2FA89D0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11,394</w:t>
            </w:r>
            <w:r w:rsidRPr="000C5ED6">
              <w:rPr>
                <w:rFonts w:ascii="Arial" w:hAnsi="Arial" w:cs="Arial"/>
                <w:snapToGrid w:val="0"/>
                <w:color w:val="000000"/>
                <w:sz w:val="18"/>
                <w:szCs w:val="18"/>
              </w:rPr>
              <w:t xml:space="preserve"> </w:t>
            </w:r>
          </w:p>
        </w:tc>
      </w:tr>
      <w:tr w:rsidR="002523FB" w:rsidRPr="000C5ED6" w14:paraId="4864FA92" w14:textId="77777777" w:rsidTr="00BC15CA">
        <w:tc>
          <w:tcPr>
            <w:tcW w:w="2750" w:type="dxa"/>
            <w:shd w:val="clear" w:color="auto" w:fill="auto"/>
          </w:tcPr>
          <w:p w14:paraId="7A92414F"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K</w:t>
            </w:r>
            <w:r w:rsidRPr="000C5ED6">
              <w:rPr>
                <w:rFonts w:ascii="Arial" w:hAnsi="Arial" w:cs="Arial"/>
                <w:snapToGrid w:val="0"/>
                <w:color w:val="000000"/>
                <w:sz w:val="18"/>
                <w:szCs w:val="18"/>
              </w:rPr>
              <w:t>azakhstan</w:t>
            </w:r>
          </w:p>
        </w:tc>
        <w:tc>
          <w:tcPr>
            <w:tcW w:w="1430" w:type="dxa"/>
            <w:shd w:val="clear" w:color="auto" w:fill="auto"/>
          </w:tcPr>
          <w:p w14:paraId="57E0691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572D494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7F6167D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56DA43C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0E680A6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0774C261" w14:textId="77777777" w:rsidTr="00BC15CA">
        <w:tc>
          <w:tcPr>
            <w:tcW w:w="2750" w:type="dxa"/>
            <w:shd w:val="clear" w:color="auto" w:fill="auto"/>
          </w:tcPr>
          <w:p w14:paraId="64EDA05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Kenya</w:t>
            </w:r>
          </w:p>
        </w:tc>
        <w:tc>
          <w:tcPr>
            <w:tcW w:w="1430" w:type="dxa"/>
            <w:shd w:val="clear" w:color="auto" w:fill="auto"/>
          </w:tcPr>
          <w:p w14:paraId="0B2DC3C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75BCD2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7D538B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w:t>
            </w:r>
          </w:p>
        </w:tc>
        <w:tc>
          <w:tcPr>
            <w:tcW w:w="1430" w:type="dxa"/>
            <w:shd w:val="clear" w:color="auto" w:fill="auto"/>
          </w:tcPr>
          <w:p w14:paraId="79ED95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w:t>
            </w:r>
          </w:p>
        </w:tc>
        <w:tc>
          <w:tcPr>
            <w:tcW w:w="1320" w:type="dxa"/>
            <w:shd w:val="clear" w:color="auto" w:fill="auto"/>
          </w:tcPr>
          <w:p w14:paraId="2A8690F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w:t>
            </w:r>
          </w:p>
        </w:tc>
      </w:tr>
      <w:tr w:rsidR="002523FB" w:rsidRPr="000C5ED6" w14:paraId="4B2379AA" w14:textId="77777777" w:rsidTr="00C2153C">
        <w:tc>
          <w:tcPr>
            <w:tcW w:w="2750" w:type="dxa"/>
            <w:shd w:val="clear" w:color="auto" w:fill="auto"/>
          </w:tcPr>
          <w:p w14:paraId="2551CADF"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Kiribati</w:t>
            </w:r>
            <w:r w:rsidRPr="00A643B7">
              <w:rPr>
                <w:rFonts w:ascii="Arial" w:hAnsi="Arial" w:cs="Arial"/>
                <w:snapToGrid w:val="0"/>
                <w:color w:val="000000"/>
                <w:sz w:val="18"/>
                <w:szCs w:val="18"/>
                <w:vertAlign w:val="superscript"/>
              </w:rPr>
              <w:t>2</w:t>
            </w:r>
          </w:p>
        </w:tc>
        <w:tc>
          <w:tcPr>
            <w:tcW w:w="1430" w:type="dxa"/>
            <w:shd w:val="clear" w:color="auto" w:fill="auto"/>
          </w:tcPr>
          <w:p w14:paraId="4DE0995D" w14:textId="77777777" w:rsidR="002523FB" w:rsidRPr="003303D1" w:rsidRDefault="002523FB" w:rsidP="00C2153C">
            <w:pPr>
              <w:jc w:val="center"/>
              <w:rPr>
                <w:rFonts w:ascii="Arial" w:hAnsi="Arial" w:cs="Arial"/>
                <w:i/>
                <w:snapToGrid w:val="0"/>
                <w:color w:val="000000"/>
                <w:sz w:val="18"/>
                <w:szCs w:val="18"/>
              </w:rPr>
            </w:pPr>
            <w:r>
              <w:rPr>
                <w:rFonts w:ascii="Arial" w:hAnsi="Arial" w:cs="Arial"/>
                <w:snapToGrid w:val="0"/>
                <w:color w:val="000000"/>
                <w:sz w:val="18"/>
                <w:szCs w:val="18"/>
              </w:rPr>
              <w:t>S</w:t>
            </w:r>
            <w:r>
              <w:rPr>
                <w:rFonts w:ascii="Arial" w:hAnsi="Arial" w:cs="Arial"/>
                <w:i/>
                <w:snapToGrid w:val="0"/>
                <w:color w:val="000000"/>
                <w:sz w:val="18"/>
                <w:szCs w:val="18"/>
              </w:rPr>
              <w:t>ter</w:t>
            </w:r>
          </w:p>
        </w:tc>
        <w:tc>
          <w:tcPr>
            <w:tcW w:w="1210" w:type="dxa"/>
            <w:shd w:val="clear" w:color="auto" w:fill="auto"/>
          </w:tcPr>
          <w:p w14:paraId="3C686225"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0.03125</w:t>
            </w:r>
          </w:p>
        </w:tc>
        <w:tc>
          <w:tcPr>
            <w:tcW w:w="1320" w:type="dxa"/>
            <w:shd w:val="clear" w:color="auto" w:fill="auto"/>
          </w:tcPr>
          <w:p w14:paraId="0B8A0BB9"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r w:rsidRPr="000C5ED6">
              <w:rPr>
                <w:rFonts w:ascii="Arial" w:hAnsi="Arial" w:cs="Arial"/>
                <w:snapToGrid w:val="0"/>
                <w:color w:val="000000"/>
                <w:sz w:val="18"/>
                <w:szCs w:val="18"/>
              </w:rPr>
              <w:t xml:space="preserve"> </w:t>
            </w:r>
          </w:p>
        </w:tc>
        <w:tc>
          <w:tcPr>
            <w:tcW w:w="1430" w:type="dxa"/>
            <w:shd w:val="clear" w:color="auto" w:fill="auto"/>
          </w:tcPr>
          <w:p w14:paraId="49F0695C"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r w:rsidRPr="000C5ED6">
              <w:rPr>
                <w:rFonts w:ascii="Arial" w:hAnsi="Arial" w:cs="Arial"/>
                <w:snapToGrid w:val="0"/>
                <w:color w:val="000000"/>
                <w:sz w:val="18"/>
                <w:szCs w:val="18"/>
              </w:rPr>
              <w:t xml:space="preserve"> </w:t>
            </w:r>
          </w:p>
        </w:tc>
        <w:tc>
          <w:tcPr>
            <w:tcW w:w="1320" w:type="dxa"/>
            <w:shd w:val="clear" w:color="auto" w:fill="auto"/>
          </w:tcPr>
          <w:p w14:paraId="2706CE42" w14:textId="273D89E9" w:rsidR="002523FB" w:rsidRPr="000C5ED6" w:rsidRDefault="002523FB" w:rsidP="009D40F3">
            <w:pPr>
              <w:jc w:val="right"/>
              <w:rPr>
                <w:rFonts w:ascii="Arial" w:hAnsi="Arial" w:cs="Arial"/>
                <w:snapToGrid w:val="0"/>
                <w:color w:val="000000"/>
                <w:sz w:val="18"/>
                <w:szCs w:val="18"/>
              </w:rPr>
            </w:pPr>
            <w:r>
              <w:rPr>
                <w:rFonts w:ascii="Arial" w:hAnsi="Arial" w:cs="Arial"/>
                <w:snapToGrid w:val="0"/>
                <w:color w:val="000000"/>
                <w:sz w:val="18"/>
                <w:szCs w:val="18"/>
              </w:rPr>
              <w:t>2</w:t>
            </w:r>
            <w:r w:rsidR="009D40F3">
              <w:rPr>
                <w:rFonts w:ascii="Arial" w:hAnsi="Arial" w:cs="Arial"/>
                <w:snapToGrid w:val="0"/>
                <w:color w:val="000000"/>
                <w:sz w:val="18"/>
                <w:szCs w:val="18"/>
              </w:rPr>
              <w:t>,</w:t>
            </w:r>
            <w:r>
              <w:rPr>
                <w:rFonts w:ascii="Arial" w:hAnsi="Arial" w:cs="Arial"/>
                <w:snapToGrid w:val="0"/>
                <w:color w:val="000000"/>
                <w:sz w:val="18"/>
                <w:szCs w:val="18"/>
              </w:rPr>
              <w:t>848</w:t>
            </w:r>
            <w:r w:rsidRPr="000C5ED6">
              <w:rPr>
                <w:rFonts w:ascii="Arial" w:hAnsi="Arial" w:cs="Arial"/>
                <w:snapToGrid w:val="0"/>
                <w:color w:val="000000"/>
                <w:sz w:val="18"/>
                <w:szCs w:val="18"/>
              </w:rPr>
              <w:t xml:space="preserve"> </w:t>
            </w:r>
          </w:p>
        </w:tc>
      </w:tr>
      <w:tr w:rsidR="002523FB" w:rsidRPr="000C5ED6" w14:paraId="0B9A0E64" w14:textId="77777777" w:rsidTr="00BC15CA">
        <w:tc>
          <w:tcPr>
            <w:tcW w:w="2750" w:type="dxa"/>
            <w:shd w:val="clear" w:color="auto" w:fill="auto"/>
          </w:tcPr>
          <w:p w14:paraId="2AFF57BC" w14:textId="77777777" w:rsidR="002523FB" w:rsidRPr="000C5ED6" w:rsidRDefault="002523FB" w:rsidP="00C2153C">
            <w:pPr>
              <w:rPr>
                <w:rFonts w:ascii="Arial" w:hAnsi="Arial" w:cs="Arial"/>
                <w:snapToGrid w:val="0"/>
                <w:color w:val="000000"/>
                <w:sz w:val="18"/>
                <w:szCs w:val="18"/>
                <w:vertAlign w:val="superscript"/>
              </w:rPr>
            </w:pPr>
            <w:r>
              <w:rPr>
                <w:rFonts w:ascii="Arial" w:hAnsi="Arial" w:cs="Arial"/>
                <w:snapToGrid w:val="0"/>
                <w:color w:val="000000"/>
                <w:sz w:val="18"/>
                <w:szCs w:val="18"/>
              </w:rPr>
              <w:t>Kuwait</w:t>
            </w:r>
          </w:p>
        </w:tc>
        <w:tc>
          <w:tcPr>
            <w:tcW w:w="1430" w:type="dxa"/>
            <w:shd w:val="clear" w:color="auto" w:fill="auto"/>
          </w:tcPr>
          <w:p w14:paraId="20D58D2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3B940FE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3A33778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637E132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76B151B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5682C51A" w14:textId="77777777" w:rsidTr="00C2153C">
        <w:tc>
          <w:tcPr>
            <w:tcW w:w="2750" w:type="dxa"/>
            <w:shd w:val="clear" w:color="auto" w:fill="auto"/>
          </w:tcPr>
          <w:p w14:paraId="3026CB8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Kyrgyzstan</w:t>
            </w:r>
          </w:p>
        </w:tc>
        <w:tc>
          <w:tcPr>
            <w:tcW w:w="1430" w:type="dxa"/>
            <w:shd w:val="clear" w:color="auto" w:fill="auto"/>
          </w:tcPr>
          <w:p w14:paraId="5B59B7AD"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BE8614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3CE9D80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72119DE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28E4399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290FC50C" w14:textId="77777777" w:rsidTr="00BC15CA">
        <w:tc>
          <w:tcPr>
            <w:tcW w:w="2750" w:type="dxa"/>
            <w:shd w:val="clear" w:color="auto" w:fill="auto"/>
          </w:tcPr>
          <w:p w14:paraId="71D04F75" w14:textId="77777777" w:rsidR="002523FB" w:rsidRPr="008C0069" w:rsidRDefault="002523FB" w:rsidP="00C2153C">
            <w:pPr>
              <w:rPr>
                <w:rFonts w:ascii="Arial" w:hAnsi="Arial" w:cs="Arial"/>
                <w:snapToGrid w:val="0"/>
                <w:color w:val="000000"/>
                <w:sz w:val="17"/>
                <w:szCs w:val="17"/>
              </w:rPr>
            </w:pPr>
            <w:r w:rsidRPr="008C0069">
              <w:rPr>
                <w:rFonts w:ascii="Arial" w:hAnsi="Arial" w:cs="Arial"/>
                <w:b/>
                <w:snapToGrid w:val="0"/>
                <w:color w:val="000000"/>
                <w:sz w:val="18"/>
                <w:szCs w:val="18"/>
              </w:rPr>
              <w:t>L</w:t>
            </w:r>
            <w:r w:rsidRPr="008C0069">
              <w:rPr>
                <w:rFonts w:ascii="Arial" w:hAnsi="Arial" w:cs="Arial"/>
                <w:snapToGrid w:val="0"/>
                <w:color w:val="000000"/>
                <w:sz w:val="17"/>
                <w:szCs w:val="17"/>
              </w:rPr>
              <w:t xml:space="preserve">ao People's Democratic Republic </w:t>
            </w:r>
          </w:p>
        </w:tc>
        <w:tc>
          <w:tcPr>
            <w:tcW w:w="1430" w:type="dxa"/>
            <w:shd w:val="clear" w:color="auto" w:fill="auto"/>
          </w:tcPr>
          <w:p w14:paraId="5F85339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1419EE7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41DE42A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06B0622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37B154D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1ADAEAB9" w14:textId="77777777" w:rsidTr="00C2153C">
        <w:tc>
          <w:tcPr>
            <w:tcW w:w="2750" w:type="dxa"/>
            <w:shd w:val="clear" w:color="auto" w:fill="auto"/>
          </w:tcPr>
          <w:p w14:paraId="5D071F2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Latvia</w:t>
            </w:r>
          </w:p>
        </w:tc>
        <w:tc>
          <w:tcPr>
            <w:tcW w:w="1430" w:type="dxa"/>
            <w:shd w:val="clear" w:color="auto" w:fill="auto"/>
          </w:tcPr>
          <w:p w14:paraId="7542BAB6"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C01C4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0AC9968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729FD6E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79039E4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1DE6852C" w14:textId="77777777" w:rsidTr="00BC15CA">
        <w:tc>
          <w:tcPr>
            <w:tcW w:w="2750" w:type="dxa"/>
            <w:shd w:val="clear" w:color="auto" w:fill="auto"/>
          </w:tcPr>
          <w:p w14:paraId="5B6B7D3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Lebanon</w:t>
            </w:r>
          </w:p>
        </w:tc>
        <w:tc>
          <w:tcPr>
            <w:tcW w:w="1430" w:type="dxa"/>
            <w:shd w:val="clear" w:color="auto" w:fill="auto"/>
          </w:tcPr>
          <w:p w14:paraId="45AFA82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7ED2E61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7BD0E4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430" w:type="dxa"/>
            <w:shd w:val="clear" w:color="auto" w:fill="auto"/>
          </w:tcPr>
          <w:p w14:paraId="17D54A2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5,697 </w:t>
            </w:r>
          </w:p>
        </w:tc>
        <w:tc>
          <w:tcPr>
            <w:tcW w:w="1320" w:type="dxa"/>
            <w:shd w:val="clear" w:color="auto" w:fill="auto"/>
          </w:tcPr>
          <w:p w14:paraId="6C8AA4F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11,394</w:t>
            </w:r>
          </w:p>
        </w:tc>
      </w:tr>
      <w:tr w:rsidR="002523FB" w:rsidRPr="000C5ED6" w14:paraId="52C867FE" w14:textId="77777777" w:rsidTr="00C2153C">
        <w:tc>
          <w:tcPr>
            <w:tcW w:w="2750" w:type="dxa"/>
            <w:shd w:val="clear" w:color="auto" w:fill="auto"/>
          </w:tcPr>
          <w:p w14:paraId="2F8FB7B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Lesotho</w:t>
            </w:r>
          </w:p>
        </w:tc>
        <w:tc>
          <w:tcPr>
            <w:tcW w:w="1430" w:type="dxa"/>
            <w:shd w:val="clear" w:color="auto" w:fill="auto"/>
          </w:tcPr>
          <w:p w14:paraId="37887D7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0A4213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3FB83B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02F8BF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1BD1983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398406F8" w14:textId="77777777" w:rsidTr="00BC15CA">
        <w:tc>
          <w:tcPr>
            <w:tcW w:w="2750" w:type="dxa"/>
            <w:shd w:val="clear" w:color="auto" w:fill="auto"/>
          </w:tcPr>
          <w:p w14:paraId="6D4A641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Liberia</w:t>
            </w:r>
          </w:p>
        </w:tc>
        <w:tc>
          <w:tcPr>
            <w:tcW w:w="1430" w:type="dxa"/>
            <w:shd w:val="clear" w:color="auto" w:fill="auto"/>
          </w:tcPr>
          <w:p w14:paraId="59EEF15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3EAD83C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1A535B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5A0AB8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6848522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496DDDC2" w14:textId="77777777" w:rsidTr="00C2153C">
        <w:tc>
          <w:tcPr>
            <w:tcW w:w="2750" w:type="dxa"/>
            <w:shd w:val="clear" w:color="auto" w:fill="auto"/>
          </w:tcPr>
          <w:p w14:paraId="190C3468"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Libya</w:t>
            </w:r>
            <w:r w:rsidRPr="000C5ED6">
              <w:rPr>
                <w:rFonts w:ascii="Arial" w:hAnsi="Arial" w:cs="Arial"/>
                <w:snapToGrid w:val="0"/>
                <w:color w:val="000000"/>
                <w:sz w:val="18"/>
                <w:szCs w:val="18"/>
              </w:rPr>
              <w:t xml:space="preserve"> </w:t>
            </w:r>
          </w:p>
        </w:tc>
        <w:tc>
          <w:tcPr>
            <w:tcW w:w="1430" w:type="dxa"/>
            <w:shd w:val="clear" w:color="auto" w:fill="auto"/>
          </w:tcPr>
          <w:p w14:paraId="04434B3B"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24A9DAE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234043F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430" w:type="dxa"/>
            <w:shd w:val="clear" w:color="auto" w:fill="auto"/>
          </w:tcPr>
          <w:p w14:paraId="737BFEF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320" w:type="dxa"/>
            <w:shd w:val="clear" w:color="auto" w:fill="auto"/>
          </w:tcPr>
          <w:p w14:paraId="76F2532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22,790</w:t>
            </w:r>
          </w:p>
        </w:tc>
      </w:tr>
      <w:tr w:rsidR="002523FB" w:rsidRPr="000C5ED6" w14:paraId="22010520" w14:textId="77777777" w:rsidTr="00BC15CA">
        <w:tc>
          <w:tcPr>
            <w:tcW w:w="2750" w:type="dxa"/>
            <w:shd w:val="clear" w:color="auto" w:fill="auto"/>
          </w:tcPr>
          <w:p w14:paraId="16E1316C"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Liechtenstein</w:t>
            </w:r>
          </w:p>
        </w:tc>
        <w:tc>
          <w:tcPr>
            <w:tcW w:w="1430" w:type="dxa"/>
            <w:shd w:val="clear" w:color="auto" w:fill="auto"/>
          </w:tcPr>
          <w:p w14:paraId="5831BCD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0725B42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0.5</w:t>
            </w:r>
          </w:p>
        </w:tc>
        <w:tc>
          <w:tcPr>
            <w:tcW w:w="1320" w:type="dxa"/>
            <w:shd w:val="clear" w:color="auto" w:fill="auto"/>
          </w:tcPr>
          <w:p w14:paraId="4C7D43A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430" w:type="dxa"/>
            <w:shd w:val="clear" w:color="auto" w:fill="auto"/>
          </w:tcPr>
          <w:p w14:paraId="7C98ADA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320" w:type="dxa"/>
            <w:shd w:val="clear" w:color="auto" w:fill="auto"/>
          </w:tcPr>
          <w:p w14:paraId="084A35D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45,578 </w:t>
            </w:r>
          </w:p>
        </w:tc>
      </w:tr>
      <w:tr w:rsidR="002523FB" w:rsidRPr="000C5ED6" w14:paraId="382BF479" w14:textId="77777777" w:rsidTr="00C2153C">
        <w:tc>
          <w:tcPr>
            <w:tcW w:w="2750" w:type="dxa"/>
            <w:shd w:val="clear" w:color="auto" w:fill="auto"/>
          </w:tcPr>
          <w:p w14:paraId="1C2E6C0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Lithuania</w:t>
            </w:r>
          </w:p>
        </w:tc>
        <w:tc>
          <w:tcPr>
            <w:tcW w:w="1430" w:type="dxa"/>
            <w:shd w:val="clear" w:color="auto" w:fill="auto"/>
          </w:tcPr>
          <w:p w14:paraId="3BF3F6E1"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952EC8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1D47F7B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6CF7F68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7FBAB1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14D656D0" w14:textId="77777777" w:rsidTr="00BC15CA">
        <w:tc>
          <w:tcPr>
            <w:tcW w:w="2750" w:type="dxa"/>
            <w:shd w:val="clear" w:color="auto" w:fill="auto"/>
          </w:tcPr>
          <w:p w14:paraId="094E99C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Luxembourg</w:t>
            </w:r>
          </w:p>
        </w:tc>
        <w:tc>
          <w:tcPr>
            <w:tcW w:w="1430" w:type="dxa"/>
            <w:shd w:val="clear" w:color="auto" w:fill="auto"/>
          </w:tcPr>
          <w:p w14:paraId="276F3121"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6FBC88C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2ED8AA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490C8A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0132CC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5BB89E8C" w14:textId="77777777" w:rsidTr="00C2153C">
        <w:tc>
          <w:tcPr>
            <w:tcW w:w="2750" w:type="dxa"/>
            <w:shd w:val="clear" w:color="auto" w:fill="auto"/>
          </w:tcPr>
          <w:p w14:paraId="7DCD334A"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M</w:t>
            </w:r>
            <w:r w:rsidRPr="000C5ED6">
              <w:rPr>
                <w:rFonts w:ascii="Arial" w:hAnsi="Arial" w:cs="Arial"/>
                <w:snapToGrid w:val="0"/>
                <w:color w:val="000000"/>
                <w:sz w:val="18"/>
                <w:szCs w:val="18"/>
              </w:rPr>
              <w:t>adagascar</w:t>
            </w:r>
          </w:p>
        </w:tc>
        <w:tc>
          <w:tcPr>
            <w:tcW w:w="1430" w:type="dxa"/>
            <w:shd w:val="clear" w:color="auto" w:fill="auto"/>
          </w:tcPr>
          <w:p w14:paraId="44359F65"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830D1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3DCB74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2570C8A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72CDC98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7E66F3AB" w14:textId="77777777" w:rsidTr="00BC15CA">
        <w:tc>
          <w:tcPr>
            <w:tcW w:w="2750" w:type="dxa"/>
            <w:shd w:val="clear" w:color="auto" w:fill="auto"/>
          </w:tcPr>
          <w:p w14:paraId="54A759B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Malawi</w:t>
            </w:r>
          </w:p>
        </w:tc>
        <w:tc>
          <w:tcPr>
            <w:tcW w:w="1430" w:type="dxa"/>
            <w:shd w:val="clear" w:color="auto" w:fill="auto"/>
          </w:tcPr>
          <w:p w14:paraId="3329C12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3E4092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E3FED0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35758A9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7952F3F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195445E7" w14:textId="77777777" w:rsidTr="00C2153C">
        <w:tc>
          <w:tcPr>
            <w:tcW w:w="2750" w:type="dxa"/>
            <w:shd w:val="clear" w:color="auto" w:fill="auto"/>
          </w:tcPr>
          <w:p w14:paraId="4E9EE15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Malaysia</w:t>
            </w:r>
          </w:p>
        </w:tc>
        <w:tc>
          <w:tcPr>
            <w:tcW w:w="1430" w:type="dxa"/>
            <w:shd w:val="clear" w:color="auto" w:fill="auto"/>
          </w:tcPr>
          <w:p w14:paraId="4037373F"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214F3CA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0.5</w:t>
            </w:r>
          </w:p>
        </w:tc>
        <w:tc>
          <w:tcPr>
            <w:tcW w:w="1320" w:type="dxa"/>
            <w:shd w:val="clear" w:color="auto" w:fill="auto"/>
          </w:tcPr>
          <w:p w14:paraId="77D6F1E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430" w:type="dxa"/>
            <w:shd w:val="clear" w:color="auto" w:fill="auto"/>
          </w:tcPr>
          <w:p w14:paraId="0C0A912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320" w:type="dxa"/>
            <w:shd w:val="clear" w:color="auto" w:fill="auto"/>
          </w:tcPr>
          <w:p w14:paraId="0C6EFFB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45,578 </w:t>
            </w:r>
          </w:p>
        </w:tc>
      </w:tr>
      <w:tr w:rsidR="002523FB" w:rsidRPr="000C5ED6" w14:paraId="705B65D7" w14:textId="77777777" w:rsidTr="00BC15CA">
        <w:tc>
          <w:tcPr>
            <w:tcW w:w="2750" w:type="dxa"/>
            <w:shd w:val="clear" w:color="auto" w:fill="auto"/>
          </w:tcPr>
          <w:p w14:paraId="510A7A8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Maldives </w:t>
            </w:r>
            <w:r w:rsidRPr="000C5ED6">
              <w:rPr>
                <w:rFonts w:ascii="Arial" w:hAnsi="Arial" w:cs="Arial"/>
                <w:snapToGrid w:val="0"/>
                <w:color w:val="000000"/>
                <w:sz w:val="18"/>
                <w:szCs w:val="18"/>
                <w:vertAlign w:val="superscript"/>
              </w:rPr>
              <w:t>2</w:t>
            </w:r>
          </w:p>
        </w:tc>
        <w:tc>
          <w:tcPr>
            <w:tcW w:w="1430" w:type="dxa"/>
            <w:shd w:val="clear" w:color="auto" w:fill="auto"/>
          </w:tcPr>
          <w:p w14:paraId="1A0B24B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Pr>
                <w:rFonts w:ascii="Arial" w:hAnsi="Arial" w:cs="Arial"/>
                <w:i/>
                <w:snapToGrid w:val="0"/>
                <w:color w:val="000000"/>
                <w:sz w:val="18"/>
                <w:szCs w:val="18"/>
              </w:rPr>
              <w:t>bis</w:t>
            </w:r>
          </w:p>
        </w:tc>
        <w:tc>
          <w:tcPr>
            <w:tcW w:w="1210" w:type="dxa"/>
            <w:shd w:val="clear" w:color="auto" w:fill="auto"/>
          </w:tcPr>
          <w:p w14:paraId="388C8FF8"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0.0625</w:t>
            </w:r>
          </w:p>
        </w:tc>
        <w:tc>
          <w:tcPr>
            <w:tcW w:w="1320" w:type="dxa"/>
            <w:shd w:val="clear" w:color="auto" w:fill="auto"/>
          </w:tcPr>
          <w:p w14:paraId="037BF0DE"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430" w:type="dxa"/>
            <w:shd w:val="clear" w:color="auto" w:fill="auto"/>
          </w:tcPr>
          <w:p w14:paraId="44D42AF9"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320" w:type="dxa"/>
            <w:shd w:val="clear" w:color="auto" w:fill="auto"/>
          </w:tcPr>
          <w:p w14:paraId="1A81606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5,698</w:t>
            </w:r>
          </w:p>
        </w:tc>
      </w:tr>
      <w:tr w:rsidR="002523FB" w:rsidRPr="000C5ED6" w14:paraId="0C2A1DBD" w14:textId="77777777" w:rsidTr="00C2153C">
        <w:tc>
          <w:tcPr>
            <w:tcW w:w="2750" w:type="dxa"/>
            <w:shd w:val="clear" w:color="auto" w:fill="auto"/>
          </w:tcPr>
          <w:p w14:paraId="7D5EEBE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Mali</w:t>
            </w:r>
          </w:p>
        </w:tc>
        <w:tc>
          <w:tcPr>
            <w:tcW w:w="1430" w:type="dxa"/>
            <w:shd w:val="clear" w:color="auto" w:fill="auto"/>
          </w:tcPr>
          <w:p w14:paraId="3D8DE8D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082A892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2DC591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3A536D0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2D896D1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2C2F4735" w14:textId="77777777" w:rsidTr="00BC15CA">
        <w:tc>
          <w:tcPr>
            <w:tcW w:w="2750" w:type="dxa"/>
            <w:shd w:val="clear" w:color="auto" w:fill="auto"/>
          </w:tcPr>
          <w:p w14:paraId="46C3991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Malta</w:t>
            </w:r>
          </w:p>
        </w:tc>
        <w:tc>
          <w:tcPr>
            <w:tcW w:w="1430" w:type="dxa"/>
            <w:shd w:val="clear" w:color="auto" w:fill="auto"/>
          </w:tcPr>
          <w:p w14:paraId="58D5522F"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0ABEC9D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4510A4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4403235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476FEEF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5E81A212" w14:textId="77777777" w:rsidTr="00C2153C">
        <w:tc>
          <w:tcPr>
            <w:tcW w:w="2750" w:type="dxa"/>
            <w:shd w:val="clear" w:color="auto" w:fill="auto"/>
          </w:tcPr>
          <w:p w14:paraId="2CCB8F0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Mauritania</w:t>
            </w:r>
          </w:p>
        </w:tc>
        <w:tc>
          <w:tcPr>
            <w:tcW w:w="1430" w:type="dxa"/>
            <w:shd w:val="clear" w:color="auto" w:fill="auto"/>
          </w:tcPr>
          <w:p w14:paraId="183BB48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458A3BF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32C770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3BDE6B9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ED2F8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5FAA182E" w14:textId="77777777" w:rsidTr="00BC15CA">
        <w:tc>
          <w:tcPr>
            <w:tcW w:w="2750" w:type="dxa"/>
            <w:shd w:val="clear" w:color="auto" w:fill="auto"/>
          </w:tcPr>
          <w:p w14:paraId="2E33669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Mauritius</w:t>
            </w:r>
          </w:p>
        </w:tc>
        <w:tc>
          <w:tcPr>
            <w:tcW w:w="1430" w:type="dxa"/>
            <w:shd w:val="clear" w:color="auto" w:fill="auto"/>
          </w:tcPr>
          <w:p w14:paraId="04F4088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0F7C9B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D01F4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2EFE70F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7241C18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3ADD0C6A" w14:textId="77777777" w:rsidTr="00C2153C">
        <w:tc>
          <w:tcPr>
            <w:tcW w:w="2750" w:type="dxa"/>
            <w:shd w:val="clear" w:color="auto" w:fill="auto"/>
          </w:tcPr>
          <w:p w14:paraId="1B6E892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Mexico</w:t>
            </w:r>
          </w:p>
        </w:tc>
        <w:tc>
          <w:tcPr>
            <w:tcW w:w="1430" w:type="dxa"/>
            <w:shd w:val="clear" w:color="auto" w:fill="auto"/>
          </w:tcPr>
          <w:p w14:paraId="7A8FB0D2"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IV</w:t>
            </w:r>
            <w:r w:rsidRPr="000C5ED6">
              <w:rPr>
                <w:rFonts w:ascii="Arial" w:hAnsi="Arial" w:cs="Arial"/>
                <w:i/>
                <w:snapToGrid w:val="0"/>
                <w:color w:val="000000"/>
                <w:sz w:val="18"/>
                <w:szCs w:val="18"/>
              </w:rPr>
              <w:t>bis</w:t>
            </w:r>
          </w:p>
        </w:tc>
        <w:tc>
          <w:tcPr>
            <w:tcW w:w="1210" w:type="dxa"/>
            <w:shd w:val="clear" w:color="auto" w:fill="auto"/>
          </w:tcPr>
          <w:p w14:paraId="757F4F7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7.5</w:t>
            </w:r>
          </w:p>
        </w:tc>
        <w:tc>
          <w:tcPr>
            <w:tcW w:w="1320" w:type="dxa"/>
            <w:shd w:val="clear" w:color="auto" w:fill="auto"/>
          </w:tcPr>
          <w:p w14:paraId="301866B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430" w:type="dxa"/>
            <w:shd w:val="clear" w:color="auto" w:fill="auto"/>
          </w:tcPr>
          <w:p w14:paraId="3329564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320" w:type="dxa"/>
            <w:shd w:val="clear" w:color="auto" w:fill="auto"/>
          </w:tcPr>
          <w:p w14:paraId="53DF5C1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683,684 </w:t>
            </w:r>
          </w:p>
        </w:tc>
      </w:tr>
      <w:tr w:rsidR="002523FB" w:rsidRPr="000C5ED6" w14:paraId="76B5F513" w14:textId="77777777" w:rsidTr="00BC15CA">
        <w:tc>
          <w:tcPr>
            <w:tcW w:w="2750" w:type="dxa"/>
            <w:shd w:val="clear" w:color="auto" w:fill="auto"/>
          </w:tcPr>
          <w:p w14:paraId="4D321679"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Micronesia (Federates States of)</w:t>
            </w:r>
          </w:p>
        </w:tc>
        <w:tc>
          <w:tcPr>
            <w:tcW w:w="1430" w:type="dxa"/>
            <w:shd w:val="clear" w:color="auto" w:fill="auto"/>
          </w:tcPr>
          <w:p w14:paraId="1595033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10AA087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614684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2,849</w:t>
            </w:r>
          </w:p>
        </w:tc>
        <w:tc>
          <w:tcPr>
            <w:tcW w:w="1430" w:type="dxa"/>
            <w:shd w:val="clear" w:color="auto" w:fill="auto"/>
          </w:tcPr>
          <w:p w14:paraId="37F0F62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2,849</w:t>
            </w:r>
          </w:p>
        </w:tc>
        <w:tc>
          <w:tcPr>
            <w:tcW w:w="1320" w:type="dxa"/>
            <w:shd w:val="clear" w:color="auto" w:fill="auto"/>
          </w:tcPr>
          <w:p w14:paraId="321F52B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5,698</w:t>
            </w:r>
          </w:p>
        </w:tc>
      </w:tr>
      <w:tr w:rsidR="002523FB" w:rsidRPr="000C5ED6" w14:paraId="342B5346" w14:textId="77777777" w:rsidTr="00BC15CA">
        <w:tc>
          <w:tcPr>
            <w:tcW w:w="2750" w:type="dxa"/>
            <w:shd w:val="clear" w:color="auto" w:fill="auto"/>
          </w:tcPr>
          <w:p w14:paraId="3D87C0A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Monaco</w:t>
            </w:r>
          </w:p>
        </w:tc>
        <w:tc>
          <w:tcPr>
            <w:tcW w:w="1430" w:type="dxa"/>
            <w:shd w:val="clear" w:color="auto" w:fill="auto"/>
          </w:tcPr>
          <w:p w14:paraId="1BF5BB87"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3D27F8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41667B1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138C827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1076AF2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1993CA14" w14:textId="77777777" w:rsidTr="00BC15CA">
        <w:tc>
          <w:tcPr>
            <w:tcW w:w="2750" w:type="dxa"/>
            <w:shd w:val="clear" w:color="auto" w:fill="auto"/>
          </w:tcPr>
          <w:p w14:paraId="7D267CEB"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Mongolia</w:t>
            </w:r>
          </w:p>
        </w:tc>
        <w:tc>
          <w:tcPr>
            <w:tcW w:w="1430" w:type="dxa"/>
            <w:shd w:val="clear" w:color="auto" w:fill="auto"/>
          </w:tcPr>
          <w:p w14:paraId="48933111"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1CE30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E14F74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3560036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3F6ED2A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63677009" w14:textId="77777777" w:rsidTr="00BC15CA">
        <w:tc>
          <w:tcPr>
            <w:tcW w:w="2750" w:type="dxa"/>
            <w:shd w:val="clear" w:color="auto" w:fill="auto"/>
          </w:tcPr>
          <w:p w14:paraId="55BC1557"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lastRenderedPageBreak/>
              <w:t>Montenegro</w:t>
            </w:r>
          </w:p>
        </w:tc>
        <w:tc>
          <w:tcPr>
            <w:tcW w:w="1430" w:type="dxa"/>
            <w:shd w:val="clear" w:color="auto" w:fill="auto"/>
          </w:tcPr>
          <w:p w14:paraId="2B8B8DA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23C66B2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0E0A94F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430" w:type="dxa"/>
            <w:shd w:val="clear" w:color="auto" w:fill="auto"/>
          </w:tcPr>
          <w:p w14:paraId="47006AC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320" w:type="dxa"/>
            <w:shd w:val="clear" w:color="auto" w:fill="auto"/>
          </w:tcPr>
          <w:p w14:paraId="760CC82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22,790</w:t>
            </w:r>
          </w:p>
        </w:tc>
      </w:tr>
      <w:tr w:rsidR="002523FB" w:rsidRPr="000C5ED6" w14:paraId="684964FC" w14:textId="77777777" w:rsidTr="00BC15CA">
        <w:tc>
          <w:tcPr>
            <w:tcW w:w="2750" w:type="dxa"/>
            <w:shd w:val="clear" w:color="auto" w:fill="auto"/>
          </w:tcPr>
          <w:p w14:paraId="1241EA7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Morocco</w:t>
            </w:r>
          </w:p>
        </w:tc>
        <w:tc>
          <w:tcPr>
            <w:tcW w:w="1430" w:type="dxa"/>
            <w:shd w:val="clear" w:color="auto" w:fill="auto"/>
          </w:tcPr>
          <w:p w14:paraId="05CC2E2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0514132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6E2F3F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25916EB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575162D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340E4815" w14:textId="77777777" w:rsidTr="00BC15CA">
        <w:tc>
          <w:tcPr>
            <w:tcW w:w="2750" w:type="dxa"/>
            <w:shd w:val="clear" w:color="auto" w:fill="auto"/>
          </w:tcPr>
          <w:p w14:paraId="62B40F0E"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Mozambique</w:t>
            </w:r>
            <w:r w:rsidRPr="000C5ED6">
              <w:rPr>
                <w:rFonts w:ascii="Arial" w:hAnsi="Arial" w:cs="Arial"/>
                <w:snapToGrid w:val="0"/>
                <w:color w:val="000000"/>
                <w:sz w:val="18"/>
                <w:szCs w:val="18"/>
                <w:vertAlign w:val="superscript"/>
              </w:rPr>
              <w:t xml:space="preserve"> </w:t>
            </w:r>
          </w:p>
        </w:tc>
        <w:tc>
          <w:tcPr>
            <w:tcW w:w="1430" w:type="dxa"/>
            <w:shd w:val="clear" w:color="auto" w:fill="auto"/>
          </w:tcPr>
          <w:p w14:paraId="30B2816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4B1BF74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0AEB5AD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02085BA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15B0A09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45AA9BB1" w14:textId="77777777" w:rsidTr="00BC15CA">
        <w:tc>
          <w:tcPr>
            <w:tcW w:w="2750" w:type="dxa"/>
            <w:shd w:val="clear" w:color="auto" w:fill="auto"/>
          </w:tcPr>
          <w:p w14:paraId="22F01C15"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Myanmar </w:t>
            </w:r>
            <w:r w:rsidRPr="000C5ED6">
              <w:rPr>
                <w:rFonts w:ascii="Arial" w:hAnsi="Arial" w:cs="Arial"/>
                <w:snapToGrid w:val="0"/>
                <w:color w:val="000000"/>
                <w:sz w:val="18"/>
                <w:szCs w:val="18"/>
                <w:vertAlign w:val="superscript"/>
              </w:rPr>
              <w:t>2</w:t>
            </w:r>
          </w:p>
        </w:tc>
        <w:tc>
          <w:tcPr>
            <w:tcW w:w="1430" w:type="dxa"/>
            <w:shd w:val="clear" w:color="auto" w:fill="auto"/>
          </w:tcPr>
          <w:p w14:paraId="70720BE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24042B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564C22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41C8CF7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4FCB4F3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6305BE00" w14:textId="77777777" w:rsidTr="00BC15CA">
        <w:tc>
          <w:tcPr>
            <w:tcW w:w="2750" w:type="dxa"/>
            <w:shd w:val="clear" w:color="auto" w:fill="auto"/>
          </w:tcPr>
          <w:p w14:paraId="3D239D4F"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N</w:t>
            </w:r>
            <w:r w:rsidRPr="000C5ED6">
              <w:rPr>
                <w:rFonts w:ascii="Arial" w:hAnsi="Arial" w:cs="Arial"/>
                <w:snapToGrid w:val="0"/>
                <w:color w:val="000000"/>
                <w:sz w:val="18"/>
                <w:szCs w:val="18"/>
              </w:rPr>
              <w:t>amibia</w:t>
            </w:r>
          </w:p>
        </w:tc>
        <w:tc>
          <w:tcPr>
            <w:tcW w:w="1430" w:type="dxa"/>
            <w:shd w:val="clear" w:color="auto" w:fill="auto"/>
          </w:tcPr>
          <w:p w14:paraId="1A56A888"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098C322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26D370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12E58D4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0B69559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32A3B37D" w14:textId="77777777" w:rsidTr="00BC15CA">
        <w:tc>
          <w:tcPr>
            <w:tcW w:w="2750" w:type="dxa"/>
            <w:shd w:val="clear" w:color="auto" w:fill="auto"/>
          </w:tcPr>
          <w:p w14:paraId="6E56E3A8"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Nepal </w:t>
            </w:r>
          </w:p>
        </w:tc>
        <w:tc>
          <w:tcPr>
            <w:tcW w:w="1430" w:type="dxa"/>
            <w:shd w:val="clear" w:color="auto" w:fill="auto"/>
          </w:tcPr>
          <w:p w14:paraId="1668A62F"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47BC202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172B6D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7801DFE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7AF8B77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7FAFC401" w14:textId="77777777" w:rsidTr="00BC15CA">
        <w:tc>
          <w:tcPr>
            <w:tcW w:w="2750" w:type="dxa"/>
            <w:shd w:val="clear" w:color="auto" w:fill="auto"/>
          </w:tcPr>
          <w:p w14:paraId="4D29991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Netherlands</w:t>
            </w:r>
          </w:p>
        </w:tc>
        <w:tc>
          <w:tcPr>
            <w:tcW w:w="1430" w:type="dxa"/>
            <w:shd w:val="clear" w:color="auto" w:fill="auto"/>
          </w:tcPr>
          <w:p w14:paraId="4FE35A5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III</w:t>
            </w:r>
          </w:p>
        </w:tc>
        <w:tc>
          <w:tcPr>
            <w:tcW w:w="1210" w:type="dxa"/>
            <w:shd w:val="clear" w:color="auto" w:fill="auto"/>
          </w:tcPr>
          <w:p w14:paraId="600E1BB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15</w:t>
            </w:r>
          </w:p>
        </w:tc>
        <w:tc>
          <w:tcPr>
            <w:tcW w:w="1320" w:type="dxa"/>
            <w:shd w:val="clear" w:color="auto" w:fill="auto"/>
          </w:tcPr>
          <w:p w14:paraId="184A205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430" w:type="dxa"/>
            <w:shd w:val="clear" w:color="auto" w:fill="auto"/>
          </w:tcPr>
          <w:p w14:paraId="6EC7497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320" w:type="dxa"/>
            <w:shd w:val="clear" w:color="auto" w:fill="auto"/>
          </w:tcPr>
          <w:p w14:paraId="6E59A22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1,367,370 </w:t>
            </w:r>
          </w:p>
        </w:tc>
      </w:tr>
      <w:tr w:rsidR="002523FB" w:rsidRPr="000C5ED6" w14:paraId="31E9FE6F" w14:textId="77777777" w:rsidTr="00BC15CA">
        <w:tc>
          <w:tcPr>
            <w:tcW w:w="2750" w:type="dxa"/>
            <w:shd w:val="clear" w:color="auto" w:fill="auto"/>
          </w:tcPr>
          <w:p w14:paraId="14FF5FF7"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New Zealand</w:t>
            </w:r>
          </w:p>
        </w:tc>
        <w:tc>
          <w:tcPr>
            <w:tcW w:w="1430" w:type="dxa"/>
            <w:shd w:val="clear" w:color="auto" w:fill="auto"/>
          </w:tcPr>
          <w:p w14:paraId="2411351D"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432F5DB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0B2B40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430" w:type="dxa"/>
            <w:shd w:val="clear" w:color="auto" w:fill="auto"/>
          </w:tcPr>
          <w:p w14:paraId="156678D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320" w:type="dxa"/>
            <w:shd w:val="clear" w:color="auto" w:fill="auto"/>
          </w:tcPr>
          <w:p w14:paraId="1736F1E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273,474 </w:t>
            </w:r>
          </w:p>
        </w:tc>
      </w:tr>
      <w:tr w:rsidR="002523FB" w:rsidRPr="000C5ED6" w14:paraId="66527367" w14:textId="77777777" w:rsidTr="00BC15CA">
        <w:tc>
          <w:tcPr>
            <w:tcW w:w="2750" w:type="dxa"/>
            <w:shd w:val="clear" w:color="auto" w:fill="auto"/>
          </w:tcPr>
          <w:p w14:paraId="78D2BCE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Nicaragua</w:t>
            </w:r>
          </w:p>
        </w:tc>
        <w:tc>
          <w:tcPr>
            <w:tcW w:w="1430" w:type="dxa"/>
            <w:shd w:val="clear" w:color="auto" w:fill="auto"/>
          </w:tcPr>
          <w:p w14:paraId="47A65FF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4BD0D8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73BBE83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0AC8D52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55A6428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1B498482" w14:textId="77777777" w:rsidTr="00BC15CA">
        <w:tc>
          <w:tcPr>
            <w:tcW w:w="2750" w:type="dxa"/>
            <w:shd w:val="clear" w:color="auto" w:fill="auto"/>
          </w:tcPr>
          <w:p w14:paraId="0422322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Niger </w:t>
            </w:r>
          </w:p>
        </w:tc>
        <w:tc>
          <w:tcPr>
            <w:tcW w:w="1430" w:type="dxa"/>
            <w:shd w:val="clear" w:color="auto" w:fill="auto"/>
          </w:tcPr>
          <w:p w14:paraId="2EE9CB32"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A25014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58AEB88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41EA655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83F9BD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B01C56" w14:paraId="31BCB323" w14:textId="77777777" w:rsidTr="00BC15CA">
        <w:tc>
          <w:tcPr>
            <w:tcW w:w="2750" w:type="dxa"/>
            <w:shd w:val="clear" w:color="auto" w:fill="auto"/>
          </w:tcPr>
          <w:p w14:paraId="6E6D320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Nigeria</w:t>
            </w:r>
          </w:p>
        </w:tc>
        <w:tc>
          <w:tcPr>
            <w:tcW w:w="1430" w:type="dxa"/>
            <w:shd w:val="clear" w:color="auto" w:fill="auto"/>
          </w:tcPr>
          <w:p w14:paraId="6E266A8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52D27BD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6FE6A2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7DF9D00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73AF938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63FCC7AB" w14:textId="77777777" w:rsidTr="00BC15CA">
        <w:tc>
          <w:tcPr>
            <w:tcW w:w="2750" w:type="dxa"/>
            <w:shd w:val="clear" w:color="auto" w:fill="auto"/>
          </w:tcPr>
          <w:p w14:paraId="2F3105A1"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Niue</w:t>
            </w:r>
            <w:r w:rsidRPr="00635E95">
              <w:rPr>
                <w:rFonts w:ascii="Arial" w:hAnsi="Arial" w:cs="Arial"/>
                <w:snapToGrid w:val="0"/>
                <w:color w:val="000000"/>
                <w:sz w:val="18"/>
                <w:szCs w:val="18"/>
                <w:vertAlign w:val="superscript"/>
              </w:rPr>
              <w:t>2</w:t>
            </w:r>
          </w:p>
        </w:tc>
        <w:tc>
          <w:tcPr>
            <w:tcW w:w="1430" w:type="dxa"/>
            <w:shd w:val="clear" w:color="auto" w:fill="auto"/>
          </w:tcPr>
          <w:p w14:paraId="06B1C902"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S</w:t>
            </w:r>
            <w:r w:rsidRPr="00DD7368">
              <w:rPr>
                <w:rFonts w:ascii="Arial" w:hAnsi="Arial" w:cs="Arial"/>
                <w:i/>
                <w:snapToGrid w:val="0"/>
                <w:color w:val="000000"/>
                <w:sz w:val="18"/>
                <w:szCs w:val="18"/>
              </w:rPr>
              <w:t>bis</w:t>
            </w:r>
          </w:p>
        </w:tc>
        <w:tc>
          <w:tcPr>
            <w:tcW w:w="1210" w:type="dxa"/>
            <w:shd w:val="clear" w:color="auto" w:fill="auto"/>
          </w:tcPr>
          <w:p w14:paraId="6D790B32"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0.0625</w:t>
            </w:r>
          </w:p>
        </w:tc>
        <w:tc>
          <w:tcPr>
            <w:tcW w:w="1320" w:type="dxa"/>
            <w:shd w:val="clear" w:color="auto" w:fill="auto"/>
          </w:tcPr>
          <w:p w14:paraId="57AF6337"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430" w:type="dxa"/>
            <w:shd w:val="clear" w:color="auto" w:fill="auto"/>
          </w:tcPr>
          <w:p w14:paraId="7E7E1DF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320" w:type="dxa"/>
            <w:shd w:val="clear" w:color="auto" w:fill="auto"/>
          </w:tcPr>
          <w:p w14:paraId="475005D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5,698</w:t>
            </w:r>
          </w:p>
        </w:tc>
      </w:tr>
      <w:tr w:rsidR="002523FB" w:rsidRPr="000C5ED6" w14:paraId="1F0E709E" w14:textId="77777777" w:rsidTr="00BC15CA">
        <w:tc>
          <w:tcPr>
            <w:tcW w:w="2750" w:type="dxa"/>
            <w:shd w:val="clear" w:color="auto" w:fill="auto"/>
          </w:tcPr>
          <w:p w14:paraId="7384DEA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Norway</w:t>
            </w:r>
          </w:p>
        </w:tc>
        <w:tc>
          <w:tcPr>
            <w:tcW w:w="1430" w:type="dxa"/>
            <w:shd w:val="clear" w:color="auto" w:fill="auto"/>
          </w:tcPr>
          <w:p w14:paraId="4B5ED6AE"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105EB0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1BA999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430" w:type="dxa"/>
            <w:shd w:val="clear" w:color="auto" w:fill="auto"/>
          </w:tcPr>
          <w:p w14:paraId="547F0EF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320" w:type="dxa"/>
            <w:shd w:val="clear" w:color="auto" w:fill="auto"/>
          </w:tcPr>
          <w:p w14:paraId="296EE9D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911,580 </w:t>
            </w:r>
          </w:p>
        </w:tc>
      </w:tr>
      <w:tr w:rsidR="002523FB" w:rsidRPr="000C5ED6" w14:paraId="6E40B4B4" w14:textId="77777777" w:rsidTr="00BC15CA">
        <w:tc>
          <w:tcPr>
            <w:tcW w:w="2750" w:type="dxa"/>
            <w:shd w:val="clear" w:color="auto" w:fill="auto"/>
          </w:tcPr>
          <w:p w14:paraId="0803331F"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b/>
                <w:snapToGrid w:val="0"/>
                <w:color w:val="000000"/>
                <w:sz w:val="18"/>
                <w:szCs w:val="18"/>
              </w:rPr>
              <w:t>O</w:t>
            </w:r>
            <w:r w:rsidRPr="000C5ED6">
              <w:rPr>
                <w:rFonts w:ascii="Arial" w:hAnsi="Arial" w:cs="Arial"/>
                <w:snapToGrid w:val="0"/>
                <w:color w:val="000000"/>
                <w:sz w:val="18"/>
                <w:szCs w:val="18"/>
              </w:rPr>
              <w:t>man</w:t>
            </w:r>
            <w:r w:rsidRPr="000C5ED6">
              <w:rPr>
                <w:rFonts w:ascii="Arial" w:hAnsi="Arial" w:cs="Arial"/>
                <w:snapToGrid w:val="0"/>
                <w:color w:val="000000"/>
                <w:sz w:val="18"/>
                <w:szCs w:val="18"/>
                <w:vertAlign w:val="superscript"/>
              </w:rPr>
              <w:t xml:space="preserve"> </w:t>
            </w:r>
          </w:p>
        </w:tc>
        <w:tc>
          <w:tcPr>
            <w:tcW w:w="1430" w:type="dxa"/>
            <w:shd w:val="clear" w:color="auto" w:fill="auto"/>
          </w:tcPr>
          <w:p w14:paraId="7DCCD7F1"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IX</w:t>
            </w:r>
          </w:p>
        </w:tc>
        <w:tc>
          <w:tcPr>
            <w:tcW w:w="1210" w:type="dxa"/>
            <w:shd w:val="clear" w:color="auto" w:fill="auto"/>
          </w:tcPr>
          <w:p w14:paraId="368534C8"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w:t>
            </w:r>
            <w:r w:rsidRPr="000C5ED6">
              <w:rPr>
                <w:rFonts w:ascii="Arial" w:hAnsi="Arial" w:cs="Arial"/>
                <w:snapToGrid w:val="0"/>
                <w:color w:val="000000"/>
                <w:sz w:val="18"/>
                <w:szCs w:val="18"/>
              </w:rPr>
              <w:t>25</w:t>
            </w:r>
          </w:p>
        </w:tc>
        <w:tc>
          <w:tcPr>
            <w:tcW w:w="1320" w:type="dxa"/>
            <w:shd w:val="clear" w:color="auto" w:fill="auto"/>
          </w:tcPr>
          <w:p w14:paraId="2F46BCA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430" w:type="dxa"/>
            <w:shd w:val="clear" w:color="auto" w:fill="auto"/>
          </w:tcPr>
          <w:p w14:paraId="47BFAD3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320" w:type="dxa"/>
            <w:shd w:val="clear" w:color="auto" w:fill="auto"/>
          </w:tcPr>
          <w:p w14:paraId="1F6484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22,790</w:t>
            </w:r>
            <w:r w:rsidRPr="000C5ED6">
              <w:rPr>
                <w:rFonts w:ascii="Arial" w:hAnsi="Arial" w:cs="Arial"/>
                <w:snapToGrid w:val="0"/>
                <w:color w:val="000000"/>
                <w:sz w:val="18"/>
                <w:szCs w:val="18"/>
              </w:rPr>
              <w:t xml:space="preserve"> </w:t>
            </w:r>
          </w:p>
        </w:tc>
      </w:tr>
      <w:tr w:rsidR="002523FB" w:rsidRPr="000C5ED6" w14:paraId="5B1F7769" w14:textId="77777777" w:rsidTr="00BC15CA">
        <w:tc>
          <w:tcPr>
            <w:tcW w:w="2750" w:type="dxa"/>
            <w:shd w:val="clear" w:color="auto" w:fill="auto"/>
          </w:tcPr>
          <w:p w14:paraId="436161A4"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P</w:t>
            </w:r>
            <w:r w:rsidRPr="000C5ED6">
              <w:rPr>
                <w:rFonts w:ascii="Arial" w:hAnsi="Arial" w:cs="Arial"/>
                <w:snapToGrid w:val="0"/>
                <w:color w:val="000000"/>
                <w:sz w:val="18"/>
                <w:szCs w:val="18"/>
              </w:rPr>
              <w:t>akistan</w:t>
            </w:r>
          </w:p>
        </w:tc>
        <w:tc>
          <w:tcPr>
            <w:tcW w:w="1430" w:type="dxa"/>
            <w:shd w:val="clear" w:color="auto" w:fill="auto"/>
          </w:tcPr>
          <w:p w14:paraId="09EB9AF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2EA5772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1CDA246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77B39DE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40BE2F0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726E091A" w14:textId="77777777" w:rsidTr="00BC15CA">
        <w:tc>
          <w:tcPr>
            <w:tcW w:w="2750" w:type="dxa"/>
            <w:shd w:val="clear" w:color="auto" w:fill="auto"/>
          </w:tcPr>
          <w:p w14:paraId="6134DCB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Panama</w:t>
            </w:r>
          </w:p>
        </w:tc>
        <w:tc>
          <w:tcPr>
            <w:tcW w:w="1430" w:type="dxa"/>
            <w:shd w:val="clear" w:color="auto" w:fill="auto"/>
          </w:tcPr>
          <w:p w14:paraId="440570EA"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1FC99F9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14FB605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0AAC655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12B9869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2CC1F3DC" w14:textId="77777777" w:rsidTr="00BC15CA">
        <w:tc>
          <w:tcPr>
            <w:tcW w:w="2750" w:type="dxa"/>
            <w:shd w:val="clear" w:color="auto" w:fill="auto"/>
          </w:tcPr>
          <w:p w14:paraId="0260230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Papua New Guinea </w:t>
            </w:r>
          </w:p>
        </w:tc>
        <w:tc>
          <w:tcPr>
            <w:tcW w:w="1430" w:type="dxa"/>
            <w:shd w:val="clear" w:color="auto" w:fill="auto"/>
          </w:tcPr>
          <w:p w14:paraId="3D2BC13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2A1463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0104D0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5C68E31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3EDC840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6C0CFF4C" w14:textId="77777777" w:rsidTr="00BC15CA">
        <w:tc>
          <w:tcPr>
            <w:tcW w:w="2750" w:type="dxa"/>
            <w:shd w:val="clear" w:color="auto" w:fill="auto"/>
          </w:tcPr>
          <w:p w14:paraId="27B5074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Paraguay</w:t>
            </w:r>
          </w:p>
        </w:tc>
        <w:tc>
          <w:tcPr>
            <w:tcW w:w="1430" w:type="dxa"/>
            <w:shd w:val="clear" w:color="auto" w:fill="auto"/>
          </w:tcPr>
          <w:p w14:paraId="66E600A4"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0B3947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2453102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219FF5E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10AA305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54DD5E51" w14:textId="77777777" w:rsidTr="00BC15CA">
        <w:tc>
          <w:tcPr>
            <w:tcW w:w="2750" w:type="dxa"/>
            <w:shd w:val="clear" w:color="auto" w:fill="auto"/>
          </w:tcPr>
          <w:p w14:paraId="49AAFF5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Peru</w:t>
            </w:r>
          </w:p>
        </w:tc>
        <w:tc>
          <w:tcPr>
            <w:tcW w:w="1430" w:type="dxa"/>
            <w:shd w:val="clear" w:color="auto" w:fill="auto"/>
          </w:tcPr>
          <w:p w14:paraId="4011B83E"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IX</w:t>
            </w:r>
          </w:p>
        </w:tc>
        <w:tc>
          <w:tcPr>
            <w:tcW w:w="1210" w:type="dxa"/>
            <w:shd w:val="clear" w:color="auto" w:fill="auto"/>
          </w:tcPr>
          <w:p w14:paraId="02D5F8FF"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w:t>
            </w:r>
            <w:r w:rsidRPr="000C5ED6">
              <w:rPr>
                <w:rFonts w:ascii="Arial" w:hAnsi="Arial" w:cs="Arial"/>
                <w:snapToGrid w:val="0"/>
                <w:color w:val="000000"/>
                <w:sz w:val="18"/>
                <w:szCs w:val="18"/>
              </w:rPr>
              <w:t>25</w:t>
            </w:r>
          </w:p>
        </w:tc>
        <w:tc>
          <w:tcPr>
            <w:tcW w:w="1320" w:type="dxa"/>
            <w:shd w:val="clear" w:color="auto" w:fill="auto"/>
          </w:tcPr>
          <w:p w14:paraId="65BDF34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430" w:type="dxa"/>
            <w:shd w:val="clear" w:color="auto" w:fill="auto"/>
          </w:tcPr>
          <w:p w14:paraId="432ABDD1"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320" w:type="dxa"/>
            <w:shd w:val="clear" w:color="auto" w:fill="auto"/>
          </w:tcPr>
          <w:p w14:paraId="59C0CF4B"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22,790</w:t>
            </w:r>
            <w:r w:rsidRPr="000C5ED6">
              <w:rPr>
                <w:rFonts w:ascii="Arial" w:hAnsi="Arial" w:cs="Arial"/>
                <w:snapToGrid w:val="0"/>
                <w:color w:val="000000"/>
                <w:sz w:val="18"/>
                <w:szCs w:val="18"/>
              </w:rPr>
              <w:t xml:space="preserve"> </w:t>
            </w:r>
          </w:p>
        </w:tc>
      </w:tr>
      <w:tr w:rsidR="002523FB" w:rsidRPr="000C5ED6" w14:paraId="43C2D657" w14:textId="77777777" w:rsidTr="00BC15CA">
        <w:tc>
          <w:tcPr>
            <w:tcW w:w="2750" w:type="dxa"/>
            <w:shd w:val="clear" w:color="auto" w:fill="auto"/>
          </w:tcPr>
          <w:p w14:paraId="4B781CBF"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Philippines</w:t>
            </w:r>
            <w:r w:rsidRPr="000C5ED6">
              <w:rPr>
                <w:rFonts w:ascii="Arial" w:hAnsi="Arial" w:cs="Arial"/>
                <w:snapToGrid w:val="0"/>
                <w:color w:val="000000"/>
                <w:sz w:val="18"/>
                <w:szCs w:val="18"/>
                <w:vertAlign w:val="superscript"/>
              </w:rPr>
              <w:t xml:space="preserve"> </w:t>
            </w:r>
          </w:p>
        </w:tc>
        <w:tc>
          <w:tcPr>
            <w:tcW w:w="1430" w:type="dxa"/>
            <w:shd w:val="clear" w:color="auto" w:fill="auto"/>
          </w:tcPr>
          <w:p w14:paraId="59F3A4A0"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IX</w:t>
            </w:r>
          </w:p>
        </w:tc>
        <w:tc>
          <w:tcPr>
            <w:tcW w:w="1210" w:type="dxa"/>
            <w:shd w:val="clear" w:color="auto" w:fill="auto"/>
          </w:tcPr>
          <w:p w14:paraId="72FF74C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w:t>
            </w:r>
            <w:r w:rsidRPr="000C5ED6">
              <w:rPr>
                <w:rFonts w:ascii="Arial" w:hAnsi="Arial" w:cs="Arial"/>
                <w:snapToGrid w:val="0"/>
                <w:color w:val="000000"/>
                <w:sz w:val="18"/>
                <w:szCs w:val="18"/>
              </w:rPr>
              <w:t>25</w:t>
            </w:r>
          </w:p>
        </w:tc>
        <w:tc>
          <w:tcPr>
            <w:tcW w:w="1320" w:type="dxa"/>
            <w:shd w:val="clear" w:color="auto" w:fill="auto"/>
          </w:tcPr>
          <w:p w14:paraId="4D2FCA4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430" w:type="dxa"/>
            <w:shd w:val="clear" w:color="auto" w:fill="auto"/>
          </w:tcPr>
          <w:p w14:paraId="3D70443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11,395</w:t>
            </w:r>
            <w:r w:rsidRPr="000C5ED6">
              <w:rPr>
                <w:rFonts w:ascii="Arial" w:hAnsi="Arial" w:cs="Arial"/>
                <w:snapToGrid w:val="0"/>
                <w:color w:val="000000"/>
                <w:sz w:val="18"/>
                <w:szCs w:val="18"/>
              </w:rPr>
              <w:t xml:space="preserve"> </w:t>
            </w:r>
          </w:p>
        </w:tc>
        <w:tc>
          <w:tcPr>
            <w:tcW w:w="1320" w:type="dxa"/>
            <w:shd w:val="clear" w:color="auto" w:fill="auto"/>
          </w:tcPr>
          <w:p w14:paraId="16F4ADF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22,790</w:t>
            </w:r>
            <w:r w:rsidRPr="000C5ED6">
              <w:rPr>
                <w:rFonts w:ascii="Arial" w:hAnsi="Arial" w:cs="Arial"/>
                <w:snapToGrid w:val="0"/>
                <w:color w:val="000000"/>
                <w:sz w:val="18"/>
                <w:szCs w:val="18"/>
              </w:rPr>
              <w:t xml:space="preserve"> </w:t>
            </w:r>
          </w:p>
        </w:tc>
      </w:tr>
      <w:tr w:rsidR="002523FB" w:rsidRPr="000C5ED6" w14:paraId="7DD77F5E" w14:textId="77777777" w:rsidTr="00BC15CA">
        <w:tc>
          <w:tcPr>
            <w:tcW w:w="2750" w:type="dxa"/>
            <w:shd w:val="clear" w:color="auto" w:fill="auto"/>
          </w:tcPr>
          <w:p w14:paraId="24A599E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Poland</w:t>
            </w:r>
          </w:p>
        </w:tc>
        <w:tc>
          <w:tcPr>
            <w:tcW w:w="1430" w:type="dxa"/>
            <w:shd w:val="clear" w:color="auto" w:fill="auto"/>
          </w:tcPr>
          <w:p w14:paraId="000D1127"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1057B26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0F64CE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430" w:type="dxa"/>
            <w:shd w:val="clear" w:color="auto" w:fill="auto"/>
          </w:tcPr>
          <w:p w14:paraId="294D102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320" w:type="dxa"/>
            <w:shd w:val="clear" w:color="auto" w:fill="auto"/>
          </w:tcPr>
          <w:p w14:paraId="0C719E6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273,474 </w:t>
            </w:r>
          </w:p>
        </w:tc>
      </w:tr>
      <w:tr w:rsidR="002523FB" w:rsidRPr="000C5ED6" w14:paraId="6667B331" w14:textId="77777777" w:rsidTr="00BC15CA">
        <w:tc>
          <w:tcPr>
            <w:tcW w:w="2750" w:type="dxa"/>
            <w:shd w:val="clear" w:color="auto" w:fill="auto"/>
          </w:tcPr>
          <w:p w14:paraId="4F3E317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Portugal</w:t>
            </w:r>
          </w:p>
        </w:tc>
        <w:tc>
          <w:tcPr>
            <w:tcW w:w="1430" w:type="dxa"/>
            <w:shd w:val="clear" w:color="auto" w:fill="auto"/>
          </w:tcPr>
          <w:p w14:paraId="1FFBC10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IV</w:t>
            </w:r>
            <w:r w:rsidRPr="000C5ED6">
              <w:rPr>
                <w:rFonts w:ascii="Arial" w:hAnsi="Arial" w:cs="Arial"/>
                <w:i/>
                <w:snapToGrid w:val="0"/>
                <w:color w:val="000000"/>
                <w:sz w:val="18"/>
                <w:szCs w:val="18"/>
              </w:rPr>
              <w:t>bis</w:t>
            </w:r>
          </w:p>
        </w:tc>
        <w:tc>
          <w:tcPr>
            <w:tcW w:w="1210" w:type="dxa"/>
            <w:shd w:val="clear" w:color="auto" w:fill="auto"/>
          </w:tcPr>
          <w:p w14:paraId="1829D30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7.5</w:t>
            </w:r>
          </w:p>
        </w:tc>
        <w:tc>
          <w:tcPr>
            <w:tcW w:w="1320" w:type="dxa"/>
            <w:shd w:val="clear" w:color="auto" w:fill="auto"/>
          </w:tcPr>
          <w:p w14:paraId="1790D1E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430" w:type="dxa"/>
            <w:shd w:val="clear" w:color="auto" w:fill="auto"/>
          </w:tcPr>
          <w:p w14:paraId="29D1BDD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320" w:type="dxa"/>
            <w:shd w:val="clear" w:color="auto" w:fill="auto"/>
          </w:tcPr>
          <w:p w14:paraId="6E6CFE6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683,684 </w:t>
            </w:r>
          </w:p>
        </w:tc>
      </w:tr>
      <w:tr w:rsidR="002523FB" w:rsidRPr="000C5ED6" w14:paraId="142EB8F2" w14:textId="77777777" w:rsidTr="00BC15CA">
        <w:tc>
          <w:tcPr>
            <w:tcW w:w="2750" w:type="dxa"/>
            <w:shd w:val="clear" w:color="auto" w:fill="auto"/>
          </w:tcPr>
          <w:p w14:paraId="3352447B"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Q</w:t>
            </w:r>
            <w:r w:rsidRPr="000C5ED6">
              <w:rPr>
                <w:rFonts w:ascii="Arial" w:hAnsi="Arial" w:cs="Arial"/>
                <w:snapToGrid w:val="0"/>
                <w:color w:val="000000"/>
                <w:sz w:val="18"/>
                <w:szCs w:val="18"/>
              </w:rPr>
              <w:t xml:space="preserve">atar </w:t>
            </w:r>
          </w:p>
        </w:tc>
        <w:tc>
          <w:tcPr>
            <w:tcW w:w="1430" w:type="dxa"/>
            <w:shd w:val="clear" w:color="auto" w:fill="auto"/>
          </w:tcPr>
          <w:p w14:paraId="7619E8D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5B0574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7B4DF6E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430" w:type="dxa"/>
            <w:shd w:val="clear" w:color="auto" w:fill="auto"/>
          </w:tcPr>
          <w:p w14:paraId="790654C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320" w:type="dxa"/>
            <w:shd w:val="clear" w:color="auto" w:fill="auto"/>
          </w:tcPr>
          <w:p w14:paraId="02EE89F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22,790</w:t>
            </w:r>
          </w:p>
        </w:tc>
      </w:tr>
      <w:tr w:rsidR="002523FB" w:rsidRPr="000C5ED6" w14:paraId="79B9A76C" w14:textId="77777777" w:rsidTr="00BC15CA">
        <w:tc>
          <w:tcPr>
            <w:tcW w:w="2750" w:type="dxa"/>
            <w:shd w:val="clear" w:color="auto" w:fill="auto"/>
          </w:tcPr>
          <w:p w14:paraId="5F79DFF3"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R</w:t>
            </w:r>
            <w:r w:rsidRPr="000C5ED6">
              <w:rPr>
                <w:rFonts w:ascii="Arial" w:hAnsi="Arial" w:cs="Arial"/>
                <w:snapToGrid w:val="0"/>
                <w:color w:val="000000"/>
                <w:sz w:val="18"/>
                <w:szCs w:val="18"/>
              </w:rPr>
              <w:t xml:space="preserve">epublic of Korea </w:t>
            </w:r>
          </w:p>
        </w:tc>
        <w:tc>
          <w:tcPr>
            <w:tcW w:w="1430" w:type="dxa"/>
            <w:shd w:val="clear" w:color="auto" w:fill="auto"/>
          </w:tcPr>
          <w:p w14:paraId="61915B6C" w14:textId="77777777" w:rsidR="002523FB" w:rsidRPr="00280457" w:rsidRDefault="002523FB" w:rsidP="00C2153C">
            <w:pPr>
              <w:jc w:val="center"/>
              <w:rPr>
                <w:rFonts w:ascii="Arial" w:hAnsi="Arial" w:cs="Arial"/>
                <w:i/>
                <w:snapToGrid w:val="0"/>
                <w:color w:val="000000"/>
                <w:sz w:val="18"/>
                <w:szCs w:val="18"/>
              </w:rPr>
            </w:pPr>
            <w:r>
              <w:rPr>
                <w:rFonts w:ascii="Arial" w:hAnsi="Arial" w:cs="Arial"/>
                <w:snapToGrid w:val="0"/>
                <w:color w:val="000000"/>
                <w:sz w:val="18"/>
                <w:szCs w:val="18"/>
              </w:rPr>
              <w:t>IV</w:t>
            </w:r>
            <w:r>
              <w:rPr>
                <w:rFonts w:ascii="Arial" w:hAnsi="Arial" w:cs="Arial"/>
                <w:i/>
                <w:snapToGrid w:val="0"/>
                <w:color w:val="000000"/>
                <w:sz w:val="18"/>
                <w:szCs w:val="18"/>
              </w:rPr>
              <w:t>bis</w:t>
            </w:r>
          </w:p>
        </w:tc>
        <w:tc>
          <w:tcPr>
            <w:tcW w:w="1210" w:type="dxa"/>
            <w:shd w:val="clear" w:color="auto" w:fill="auto"/>
          </w:tcPr>
          <w:p w14:paraId="206D188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7.5</w:t>
            </w:r>
          </w:p>
        </w:tc>
        <w:tc>
          <w:tcPr>
            <w:tcW w:w="1320" w:type="dxa"/>
            <w:shd w:val="clear" w:color="auto" w:fill="auto"/>
          </w:tcPr>
          <w:p w14:paraId="1452A1CD"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 xml:space="preserve">         341,842</w:t>
            </w:r>
            <w:r w:rsidRPr="000C5ED6">
              <w:rPr>
                <w:rFonts w:ascii="Arial" w:hAnsi="Arial" w:cs="Arial"/>
                <w:snapToGrid w:val="0"/>
                <w:color w:val="000000"/>
                <w:sz w:val="18"/>
                <w:szCs w:val="18"/>
              </w:rPr>
              <w:t xml:space="preserve"> </w:t>
            </w:r>
          </w:p>
        </w:tc>
        <w:tc>
          <w:tcPr>
            <w:tcW w:w="1430" w:type="dxa"/>
            <w:shd w:val="clear" w:color="auto" w:fill="auto"/>
          </w:tcPr>
          <w:p w14:paraId="4115F62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 xml:space="preserve">         341,842</w:t>
            </w:r>
            <w:r w:rsidRPr="000C5ED6">
              <w:rPr>
                <w:rFonts w:ascii="Arial" w:hAnsi="Arial" w:cs="Arial"/>
                <w:snapToGrid w:val="0"/>
                <w:color w:val="000000"/>
                <w:sz w:val="18"/>
                <w:szCs w:val="18"/>
              </w:rPr>
              <w:t xml:space="preserve"> </w:t>
            </w:r>
          </w:p>
        </w:tc>
        <w:tc>
          <w:tcPr>
            <w:tcW w:w="1320" w:type="dxa"/>
            <w:shd w:val="clear" w:color="auto" w:fill="auto"/>
          </w:tcPr>
          <w:p w14:paraId="02906D31"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 xml:space="preserve">           683,684</w:t>
            </w:r>
            <w:r w:rsidRPr="000C5ED6">
              <w:rPr>
                <w:rFonts w:ascii="Arial" w:hAnsi="Arial" w:cs="Arial"/>
                <w:snapToGrid w:val="0"/>
                <w:color w:val="000000"/>
                <w:sz w:val="18"/>
                <w:szCs w:val="18"/>
              </w:rPr>
              <w:t xml:space="preserve"> </w:t>
            </w:r>
          </w:p>
        </w:tc>
      </w:tr>
      <w:tr w:rsidR="002523FB" w:rsidRPr="000C5ED6" w14:paraId="2DD4E37D" w14:textId="77777777" w:rsidTr="00BC15CA">
        <w:tc>
          <w:tcPr>
            <w:tcW w:w="2750" w:type="dxa"/>
            <w:shd w:val="clear" w:color="auto" w:fill="auto"/>
          </w:tcPr>
          <w:p w14:paraId="6258C409"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Republic of Moldova </w:t>
            </w:r>
          </w:p>
        </w:tc>
        <w:tc>
          <w:tcPr>
            <w:tcW w:w="1430" w:type="dxa"/>
            <w:shd w:val="clear" w:color="auto" w:fill="auto"/>
          </w:tcPr>
          <w:p w14:paraId="026569F6"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079EA9E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6CE9E5B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641E1DD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726BD4F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w:t>
            </w:r>
          </w:p>
        </w:tc>
      </w:tr>
      <w:tr w:rsidR="002523FB" w:rsidRPr="000C5ED6" w14:paraId="03770E04" w14:textId="77777777" w:rsidTr="00BC15CA">
        <w:tc>
          <w:tcPr>
            <w:tcW w:w="2750" w:type="dxa"/>
            <w:shd w:val="clear" w:color="auto" w:fill="auto"/>
          </w:tcPr>
          <w:p w14:paraId="5B28064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Romania</w:t>
            </w:r>
          </w:p>
        </w:tc>
        <w:tc>
          <w:tcPr>
            <w:tcW w:w="1430" w:type="dxa"/>
            <w:shd w:val="clear" w:color="auto" w:fill="auto"/>
          </w:tcPr>
          <w:p w14:paraId="2984CF45"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671053D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786E68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430" w:type="dxa"/>
            <w:shd w:val="clear" w:color="auto" w:fill="auto"/>
          </w:tcPr>
          <w:p w14:paraId="3EB0C16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320" w:type="dxa"/>
            <w:shd w:val="clear" w:color="auto" w:fill="auto"/>
          </w:tcPr>
          <w:p w14:paraId="1DF963D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182,316 </w:t>
            </w:r>
          </w:p>
        </w:tc>
      </w:tr>
      <w:tr w:rsidR="002523FB" w:rsidRPr="000C5ED6" w14:paraId="77C6B7FC" w14:textId="77777777" w:rsidTr="00BC15CA">
        <w:tc>
          <w:tcPr>
            <w:tcW w:w="2750" w:type="dxa"/>
            <w:shd w:val="clear" w:color="auto" w:fill="auto"/>
          </w:tcPr>
          <w:p w14:paraId="09614EB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Russian Federation </w:t>
            </w:r>
          </w:p>
        </w:tc>
        <w:tc>
          <w:tcPr>
            <w:tcW w:w="1430" w:type="dxa"/>
            <w:shd w:val="clear" w:color="auto" w:fill="auto"/>
          </w:tcPr>
          <w:p w14:paraId="7514F90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40A3414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520B839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430" w:type="dxa"/>
            <w:shd w:val="clear" w:color="auto" w:fill="auto"/>
          </w:tcPr>
          <w:p w14:paraId="1EC38F3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320" w:type="dxa"/>
            <w:shd w:val="clear" w:color="auto" w:fill="auto"/>
          </w:tcPr>
          <w:p w14:paraId="4F5B2C7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911,580 </w:t>
            </w:r>
          </w:p>
        </w:tc>
      </w:tr>
      <w:tr w:rsidR="002523FB" w:rsidRPr="000C5ED6" w14:paraId="331B53CF" w14:textId="77777777" w:rsidTr="00C2153C">
        <w:tc>
          <w:tcPr>
            <w:tcW w:w="2750" w:type="dxa"/>
            <w:shd w:val="clear" w:color="auto" w:fill="auto"/>
          </w:tcPr>
          <w:p w14:paraId="1D8D331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Rwanda</w:t>
            </w:r>
          </w:p>
        </w:tc>
        <w:tc>
          <w:tcPr>
            <w:tcW w:w="1430" w:type="dxa"/>
            <w:shd w:val="clear" w:color="auto" w:fill="auto"/>
          </w:tcPr>
          <w:p w14:paraId="4CECB1A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2F68EA8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6FAFF9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462CDC1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42041EB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3E1D189C" w14:textId="77777777" w:rsidTr="00BC15CA">
        <w:tc>
          <w:tcPr>
            <w:tcW w:w="2750" w:type="dxa"/>
            <w:shd w:val="clear" w:color="auto" w:fill="auto"/>
          </w:tcPr>
          <w:p w14:paraId="3A6AF34F"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S</w:t>
            </w:r>
            <w:r w:rsidRPr="000C5ED6">
              <w:rPr>
                <w:rFonts w:ascii="Arial" w:hAnsi="Arial" w:cs="Arial"/>
                <w:snapToGrid w:val="0"/>
                <w:color w:val="000000"/>
                <w:sz w:val="18"/>
                <w:szCs w:val="18"/>
              </w:rPr>
              <w:t>aint Kitts and Nevis</w:t>
            </w:r>
          </w:p>
        </w:tc>
        <w:tc>
          <w:tcPr>
            <w:tcW w:w="1430" w:type="dxa"/>
            <w:shd w:val="clear" w:color="auto" w:fill="auto"/>
          </w:tcPr>
          <w:p w14:paraId="3404DFA3"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3A04440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0B3D71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1E4FF09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7BCE8DA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79D75859" w14:textId="77777777" w:rsidTr="00C2153C">
        <w:tc>
          <w:tcPr>
            <w:tcW w:w="2750" w:type="dxa"/>
            <w:shd w:val="clear" w:color="auto" w:fill="auto"/>
          </w:tcPr>
          <w:p w14:paraId="7D45E386"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Saint Lucia</w:t>
            </w:r>
          </w:p>
        </w:tc>
        <w:tc>
          <w:tcPr>
            <w:tcW w:w="1430" w:type="dxa"/>
            <w:shd w:val="clear" w:color="auto" w:fill="auto"/>
          </w:tcPr>
          <w:p w14:paraId="7D36772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D84F2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05BA7A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373C9EB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2BA1D0E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581BA43E" w14:textId="77777777" w:rsidTr="00BC15CA">
        <w:tc>
          <w:tcPr>
            <w:tcW w:w="2750" w:type="dxa"/>
            <w:shd w:val="clear" w:color="auto" w:fill="auto"/>
          </w:tcPr>
          <w:p w14:paraId="55653DE6"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Saint Vincent and the Grenadines</w:t>
            </w:r>
          </w:p>
        </w:tc>
        <w:tc>
          <w:tcPr>
            <w:tcW w:w="1430" w:type="dxa"/>
            <w:shd w:val="clear" w:color="auto" w:fill="auto"/>
          </w:tcPr>
          <w:p w14:paraId="28048C3A"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5184679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F86A92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4C1417D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39E317F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7C9E89E1" w14:textId="77777777" w:rsidTr="00C2153C">
        <w:tc>
          <w:tcPr>
            <w:tcW w:w="2750" w:type="dxa"/>
            <w:shd w:val="clear" w:color="auto" w:fill="auto"/>
          </w:tcPr>
          <w:p w14:paraId="3778B0DF"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Samoa </w:t>
            </w:r>
          </w:p>
        </w:tc>
        <w:tc>
          <w:tcPr>
            <w:tcW w:w="1430" w:type="dxa"/>
            <w:shd w:val="clear" w:color="auto" w:fill="auto"/>
          </w:tcPr>
          <w:p w14:paraId="2C262664"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Pr>
                <w:rFonts w:ascii="Arial" w:hAnsi="Arial" w:cs="Arial"/>
                <w:i/>
                <w:snapToGrid w:val="0"/>
                <w:color w:val="000000"/>
                <w:sz w:val="18"/>
                <w:szCs w:val="18"/>
              </w:rPr>
              <w:t>bis</w:t>
            </w:r>
          </w:p>
        </w:tc>
        <w:tc>
          <w:tcPr>
            <w:tcW w:w="1210" w:type="dxa"/>
            <w:shd w:val="clear" w:color="auto" w:fill="auto"/>
          </w:tcPr>
          <w:p w14:paraId="4E9B99D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0.0625</w:t>
            </w:r>
          </w:p>
        </w:tc>
        <w:tc>
          <w:tcPr>
            <w:tcW w:w="1320" w:type="dxa"/>
            <w:shd w:val="clear" w:color="auto" w:fill="auto"/>
          </w:tcPr>
          <w:p w14:paraId="4269292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430" w:type="dxa"/>
            <w:shd w:val="clear" w:color="auto" w:fill="auto"/>
          </w:tcPr>
          <w:p w14:paraId="575C1CB9"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2,849</w:t>
            </w:r>
          </w:p>
        </w:tc>
        <w:tc>
          <w:tcPr>
            <w:tcW w:w="1320" w:type="dxa"/>
            <w:shd w:val="clear" w:color="auto" w:fill="auto"/>
          </w:tcPr>
          <w:p w14:paraId="03C6CC76"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5,698</w:t>
            </w:r>
          </w:p>
        </w:tc>
      </w:tr>
      <w:tr w:rsidR="002523FB" w:rsidRPr="000C5ED6" w14:paraId="675BB8C8" w14:textId="77777777" w:rsidTr="00BC15CA">
        <w:tc>
          <w:tcPr>
            <w:tcW w:w="2750" w:type="dxa"/>
            <w:shd w:val="clear" w:color="auto" w:fill="auto"/>
          </w:tcPr>
          <w:p w14:paraId="691C73B9"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San Marino</w:t>
            </w:r>
          </w:p>
        </w:tc>
        <w:tc>
          <w:tcPr>
            <w:tcW w:w="1430" w:type="dxa"/>
            <w:shd w:val="clear" w:color="auto" w:fill="auto"/>
          </w:tcPr>
          <w:p w14:paraId="03906B2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566AB28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56506B5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6633CC1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6C2876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4B0631C3" w14:textId="77777777" w:rsidTr="00C2153C">
        <w:tc>
          <w:tcPr>
            <w:tcW w:w="2750" w:type="dxa"/>
            <w:shd w:val="clear" w:color="auto" w:fill="auto"/>
          </w:tcPr>
          <w:p w14:paraId="44CCB6A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Sao Tome and Principe</w:t>
            </w:r>
          </w:p>
        </w:tc>
        <w:tc>
          <w:tcPr>
            <w:tcW w:w="1430" w:type="dxa"/>
            <w:shd w:val="clear" w:color="auto" w:fill="auto"/>
          </w:tcPr>
          <w:p w14:paraId="7C8746D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CB62FE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457890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4D2FC31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3C5CB12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43BA21C1" w14:textId="77777777" w:rsidTr="00BC15CA">
        <w:tc>
          <w:tcPr>
            <w:tcW w:w="2750" w:type="dxa"/>
            <w:shd w:val="clear" w:color="auto" w:fill="auto"/>
          </w:tcPr>
          <w:p w14:paraId="47AFEFF0"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Saudi Arabia</w:t>
            </w:r>
          </w:p>
        </w:tc>
        <w:tc>
          <w:tcPr>
            <w:tcW w:w="1430" w:type="dxa"/>
            <w:shd w:val="clear" w:color="auto" w:fill="auto"/>
          </w:tcPr>
          <w:p w14:paraId="4394ABD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399064C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737685F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24FF7C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786487C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76D1E6C5" w14:textId="77777777" w:rsidTr="00BC15CA">
        <w:tc>
          <w:tcPr>
            <w:tcW w:w="2750" w:type="dxa"/>
            <w:shd w:val="clear" w:color="auto" w:fill="auto"/>
          </w:tcPr>
          <w:p w14:paraId="56ADCCF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Senega</w:t>
            </w:r>
            <w:r>
              <w:rPr>
                <w:rFonts w:ascii="Arial" w:hAnsi="Arial" w:cs="Arial"/>
                <w:snapToGrid w:val="0"/>
                <w:color w:val="000000"/>
                <w:sz w:val="18"/>
                <w:szCs w:val="18"/>
              </w:rPr>
              <w:t>l</w:t>
            </w:r>
          </w:p>
        </w:tc>
        <w:tc>
          <w:tcPr>
            <w:tcW w:w="1430" w:type="dxa"/>
            <w:shd w:val="clear" w:color="auto" w:fill="auto"/>
          </w:tcPr>
          <w:p w14:paraId="649E0AFB" w14:textId="77777777" w:rsidR="002523FB" w:rsidRPr="00BC3807" w:rsidRDefault="002523FB" w:rsidP="00C2153C">
            <w:pPr>
              <w:jc w:val="center"/>
              <w:rPr>
                <w:rFonts w:ascii="Arial" w:hAnsi="Arial" w:cs="Arial"/>
                <w:i/>
                <w:iCs/>
                <w:snapToGrid w:val="0"/>
                <w:color w:val="000000"/>
                <w:sz w:val="18"/>
                <w:szCs w:val="18"/>
              </w:rPr>
            </w:pPr>
            <w:r w:rsidRPr="00BC3807">
              <w:rPr>
                <w:rFonts w:ascii="Arial" w:hAnsi="Arial" w:cs="Arial"/>
                <w:i/>
                <w:iCs/>
                <w:snapToGrid w:val="0"/>
                <w:color w:val="000000"/>
                <w:sz w:val="18"/>
                <w:szCs w:val="18"/>
              </w:rPr>
              <w:t>Ster</w:t>
            </w:r>
          </w:p>
        </w:tc>
        <w:tc>
          <w:tcPr>
            <w:tcW w:w="1210" w:type="dxa"/>
            <w:shd w:val="clear" w:color="auto" w:fill="auto"/>
          </w:tcPr>
          <w:p w14:paraId="1E182FC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0EEA58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430" w:type="dxa"/>
            <w:shd w:val="clear" w:color="auto" w:fill="auto"/>
          </w:tcPr>
          <w:p w14:paraId="7E515F5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1,424</w:t>
            </w:r>
          </w:p>
        </w:tc>
        <w:tc>
          <w:tcPr>
            <w:tcW w:w="1320" w:type="dxa"/>
            <w:shd w:val="clear" w:color="auto" w:fill="auto"/>
          </w:tcPr>
          <w:p w14:paraId="12C3A65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2,848</w:t>
            </w:r>
          </w:p>
        </w:tc>
      </w:tr>
      <w:tr w:rsidR="002523FB" w:rsidRPr="000C5ED6" w14:paraId="392AEB0A" w14:textId="77777777" w:rsidTr="00BC15CA">
        <w:tc>
          <w:tcPr>
            <w:tcW w:w="2750" w:type="dxa"/>
            <w:shd w:val="clear" w:color="auto" w:fill="auto"/>
          </w:tcPr>
          <w:p w14:paraId="6D8EFB1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Serbia</w:t>
            </w:r>
          </w:p>
        </w:tc>
        <w:tc>
          <w:tcPr>
            <w:tcW w:w="1430" w:type="dxa"/>
            <w:shd w:val="clear" w:color="auto" w:fill="auto"/>
          </w:tcPr>
          <w:p w14:paraId="214488CA"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5D406D9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0.5</w:t>
            </w:r>
          </w:p>
        </w:tc>
        <w:tc>
          <w:tcPr>
            <w:tcW w:w="1320" w:type="dxa"/>
            <w:shd w:val="clear" w:color="auto" w:fill="auto"/>
          </w:tcPr>
          <w:p w14:paraId="0BB9539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22,789</w:t>
            </w:r>
          </w:p>
        </w:tc>
        <w:tc>
          <w:tcPr>
            <w:tcW w:w="1430" w:type="dxa"/>
            <w:shd w:val="clear" w:color="auto" w:fill="auto"/>
          </w:tcPr>
          <w:p w14:paraId="5FC9570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22,789</w:t>
            </w:r>
          </w:p>
        </w:tc>
        <w:tc>
          <w:tcPr>
            <w:tcW w:w="1320" w:type="dxa"/>
            <w:shd w:val="clear" w:color="auto" w:fill="auto"/>
          </w:tcPr>
          <w:p w14:paraId="4A1C425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45,578</w:t>
            </w:r>
          </w:p>
        </w:tc>
      </w:tr>
      <w:tr w:rsidR="002523FB" w:rsidRPr="000C5ED6" w14:paraId="6705E715" w14:textId="77777777" w:rsidTr="00C2153C">
        <w:tc>
          <w:tcPr>
            <w:tcW w:w="2750" w:type="dxa"/>
            <w:shd w:val="clear" w:color="auto" w:fill="auto"/>
          </w:tcPr>
          <w:p w14:paraId="3E879EC6"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Seychelles </w:t>
            </w:r>
          </w:p>
        </w:tc>
        <w:tc>
          <w:tcPr>
            <w:tcW w:w="1430" w:type="dxa"/>
            <w:shd w:val="clear" w:color="auto" w:fill="auto"/>
          </w:tcPr>
          <w:p w14:paraId="73E2D7F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6084D86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636DE86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0A7A08E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06B4F4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0D3A0523" w14:textId="77777777" w:rsidTr="00BC15CA">
        <w:tc>
          <w:tcPr>
            <w:tcW w:w="2750" w:type="dxa"/>
            <w:shd w:val="clear" w:color="auto" w:fill="auto"/>
          </w:tcPr>
          <w:p w14:paraId="687EF5B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Sierra Leone</w:t>
            </w:r>
          </w:p>
        </w:tc>
        <w:tc>
          <w:tcPr>
            <w:tcW w:w="1430" w:type="dxa"/>
            <w:shd w:val="clear" w:color="auto" w:fill="auto"/>
          </w:tcPr>
          <w:p w14:paraId="69A4FBD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795F48B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57748E5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2D86340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10865A1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1FAF291D" w14:textId="77777777" w:rsidTr="00C2153C">
        <w:tc>
          <w:tcPr>
            <w:tcW w:w="2750" w:type="dxa"/>
            <w:shd w:val="clear" w:color="auto" w:fill="auto"/>
          </w:tcPr>
          <w:p w14:paraId="05E3C3B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Singapore</w:t>
            </w:r>
          </w:p>
        </w:tc>
        <w:tc>
          <w:tcPr>
            <w:tcW w:w="1430" w:type="dxa"/>
            <w:shd w:val="clear" w:color="auto" w:fill="auto"/>
          </w:tcPr>
          <w:p w14:paraId="0DD81F92"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373FE09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289784F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57D5444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2BA979B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11C014B1" w14:textId="77777777" w:rsidTr="00BC15CA">
        <w:tc>
          <w:tcPr>
            <w:tcW w:w="2750" w:type="dxa"/>
            <w:shd w:val="clear" w:color="auto" w:fill="auto"/>
          </w:tcPr>
          <w:p w14:paraId="1DC909E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Slovakia</w:t>
            </w:r>
          </w:p>
        </w:tc>
        <w:tc>
          <w:tcPr>
            <w:tcW w:w="1430" w:type="dxa"/>
            <w:shd w:val="clear" w:color="auto" w:fill="auto"/>
          </w:tcPr>
          <w:p w14:paraId="448D26D3"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w:t>
            </w:r>
          </w:p>
        </w:tc>
        <w:tc>
          <w:tcPr>
            <w:tcW w:w="1210" w:type="dxa"/>
            <w:shd w:val="clear" w:color="auto" w:fill="auto"/>
          </w:tcPr>
          <w:p w14:paraId="761752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3</w:t>
            </w:r>
          </w:p>
        </w:tc>
        <w:tc>
          <w:tcPr>
            <w:tcW w:w="1320" w:type="dxa"/>
            <w:shd w:val="clear" w:color="auto" w:fill="auto"/>
          </w:tcPr>
          <w:p w14:paraId="77D54BF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430" w:type="dxa"/>
            <w:shd w:val="clear" w:color="auto" w:fill="auto"/>
          </w:tcPr>
          <w:p w14:paraId="4CD095A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 </w:t>
            </w:r>
          </w:p>
        </w:tc>
        <w:tc>
          <w:tcPr>
            <w:tcW w:w="1320" w:type="dxa"/>
            <w:shd w:val="clear" w:color="auto" w:fill="auto"/>
          </w:tcPr>
          <w:p w14:paraId="790A0DC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273,474 </w:t>
            </w:r>
          </w:p>
        </w:tc>
      </w:tr>
      <w:tr w:rsidR="002523FB" w:rsidRPr="000C5ED6" w14:paraId="619CEE3A" w14:textId="77777777" w:rsidTr="00C2153C">
        <w:tc>
          <w:tcPr>
            <w:tcW w:w="2750" w:type="dxa"/>
            <w:shd w:val="clear" w:color="auto" w:fill="auto"/>
          </w:tcPr>
          <w:p w14:paraId="10E68C04"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Slovenia</w:t>
            </w:r>
          </w:p>
        </w:tc>
        <w:tc>
          <w:tcPr>
            <w:tcW w:w="1430" w:type="dxa"/>
            <w:shd w:val="clear" w:color="auto" w:fill="auto"/>
          </w:tcPr>
          <w:p w14:paraId="77963464"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w:t>
            </w:r>
          </w:p>
        </w:tc>
        <w:tc>
          <w:tcPr>
            <w:tcW w:w="1210" w:type="dxa"/>
            <w:shd w:val="clear" w:color="auto" w:fill="auto"/>
          </w:tcPr>
          <w:p w14:paraId="5864D05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w:t>
            </w:r>
          </w:p>
        </w:tc>
        <w:tc>
          <w:tcPr>
            <w:tcW w:w="1320" w:type="dxa"/>
            <w:shd w:val="clear" w:color="auto" w:fill="auto"/>
          </w:tcPr>
          <w:p w14:paraId="2E99AF1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430" w:type="dxa"/>
            <w:shd w:val="clear" w:color="auto" w:fill="auto"/>
          </w:tcPr>
          <w:p w14:paraId="58DEC72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 </w:t>
            </w:r>
          </w:p>
        </w:tc>
        <w:tc>
          <w:tcPr>
            <w:tcW w:w="1320" w:type="dxa"/>
            <w:shd w:val="clear" w:color="auto" w:fill="auto"/>
          </w:tcPr>
          <w:p w14:paraId="758A9C5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r>
      <w:tr w:rsidR="002523FB" w:rsidRPr="000C5ED6" w14:paraId="0F819B7D" w14:textId="77777777" w:rsidTr="00BC15CA">
        <w:tc>
          <w:tcPr>
            <w:tcW w:w="2750" w:type="dxa"/>
            <w:shd w:val="clear" w:color="auto" w:fill="auto"/>
          </w:tcPr>
          <w:p w14:paraId="5C6C167D"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snapToGrid w:val="0"/>
                <w:color w:val="000000"/>
                <w:sz w:val="18"/>
                <w:szCs w:val="18"/>
              </w:rPr>
              <w:t xml:space="preserve">Somalia </w:t>
            </w:r>
            <w:r w:rsidRPr="000C5ED6">
              <w:rPr>
                <w:rFonts w:ascii="Arial" w:hAnsi="Arial" w:cs="Arial"/>
                <w:snapToGrid w:val="0"/>
                <w:color w:val="000000"/>
                <w:sz w:val="18"/>
                <w:szCs w:val="18"/>
                <w:vertAlign w:val="superscript"/>
              </w:rPr>
              <w:t>2</w:t>
            </w:r>
          </w:p>
        </w:tc>
        <w:tc>
          <w:tcPr>
            <w:tcW w:w="1430" w:type="dxa"/>
            <w:shd w:val="clear" w:color="auto" w:fill="auto"/>
          </w:tcPr>
          <w:p w14:paraId="39A79712"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D5B69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66E4828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6771163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786D2DC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50EE7824" w14:textId="77777777" w:rsidTr="00C2153C">
        <w:tc>
          <w:tcPr>
            <w:tcW w:w="2750" w:type="dxa"/>
            <w:shd w:val="clear" w:color="auto" w:fill="auto"/>
          </w:tcPr>
          <w:p w14:paraId="7A36B17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South Africa</w:t>
            </w:r>
          </w:p>
        </w:tc>
        <w:tc>
          <w:tcPr>
            <w:tcW w:w="1430" w:type="dxa"/>
            <w:shd w:val="clear" w:color="auto" w:fill="auto"/>
          </w:tcPr>
          <w:p w14:paraId="1F42549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IV</w:t>
            </w:r>
            <w:r w:rsidRPr="000C5ED6">
              <w:rPr>
                <w:rFonts w:ascii="Arial" w:hAnsi="Arial" w:cs="Arial"/>
                <w:i/>
                <w:snapToGrid w:val="0"/>
                <w:color w:val="000000"/>
                <w:sz w:val="18"/>
                <w:szCs w:val="18"/>
              </w:rPr>
              <w:t>bis</w:t>
            </w:r>
          </w:p>
        </w:tc>
        <w:tc>
          <w:tcPr>
            <w:tcW w:w="1210" w:type="dxa"/>
            <w:shd w:val="clear" w:color="auto" w:fill="auto"/>
          </w:tcPr>
          <w:p w14:paraId="4EB4914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7.5</w:t>
            </w:r>
          </w:p>
        </w:tc>
        <w:tc>
          <w:tcPr>
            <w:tcW w:w="1320" w:type="dxa"/>
            <w:shd w:val="clear" w:color="auto" w:fill="auto"/>
          </w:tcPr>
          <w:p w14:paraId="0035476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430" w:type="dxa"/>
            <w:shd w:val="clear" w:color="auto" w:fill="auto"/>
          </w:tcPr>
          <w:p w14:paraId="170002C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341,842 </w:t>
            </w:r>
          </w:p>
        </w:tc>
        <w:tc>
          <w:tcPr>
            <w:tcW w:w="1320" w:type="dxa"/>
            <w:shd w:val="clear" w:color="auto" w:fill="auto"/>
          </w:tcPr>
          <w:p w14:paraId="767711B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683,684 </w:t>
            </w:r>
          </w:p>
        </w:tc>
      </w:tr>
      <w:tr w:rsidR="002523FB" w:rsidRPr="000C5ED6" w14:paraId="03EBFFB4" w14:textId="77777777" w:rsidTr="00BC15CA">
        <w:tc>
          <w:tcPr>
            <w:tcW w:w="2750" w:type="dxa"/>
            <w:shd w:val="clear" w:color="auto" w:fill="auto"/>
          </w:tcPr>
          <w:p w14:paraId="6783DC0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Spain</w:t>
            </w:r>
          </w:p>
        </w:tc>
        <w:tc>
          <w:tcPr>
            <w:tcW w:w="1430" w:type="dxa"/>
            <w:shd w:val="clear" w:color="auto" w:fill="auto"/>
          </w:tcPr>
          <w:p w14:paraId="489C3E4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IV</w:t>
            </w:r>
          </w:p>
        </w:tc>
        <w:tc>
          <w:tcPr>
            <w:tcW w:w="1210" w:type="dxa"/>
            <w:shd w:val="clear" w:color="auto" w:fill="auto"/>
          </w:tcPr>
          <w:p w14:paraId="2D0CEAF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10</w:t>
            </w:r>
          </w:p>
        </w:tc>
        <w:tc>
          <w:tcPr>
            <w:tcW w:w="1320" w:type="dxa"/>
            <w:shd w:val="clear" w:color="auto" w:fill="auto"/>
          </w:tcPr>
          <w:p w14:paraId="639E53F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430" w:type="dxa"/>
            <w:shd w:val="clear" w:color="auto" w:fill="auto"/>
          </w:tcPr>
          <w:p w14:paraId="4C0886A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455,790 </w:t>
            </w:r>
          </w:p>
        </w:tc>
        <w:tc>
          <w:tcPr>
            <w:tcW w:w="1320" w:type="dxa"/>
            <w:shd w:val="clear" w:color="auto" w:fill="auto"/>
          </w:tcPr>
          <w:p w14:paraId="7E2246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911,580 </w:t>
            </w:r>
          </w:p>
        </w:tc>
      </w:tr>
      <w:tr w:rsidR="002523FB" w:rsidRPr="000C5ED6" w14:paraId="581F794D" w14:textId="77777777" w:rsidTr="00C2153C">
        <w:tc>
          <w:tcPr>
            <w:tcW w:w="2750" w:type="dxa"/>
            <w:shd w:val="clear" w:color="auto" w:fill="auto"/>
          </w:tcPr>
          <w:p w14:paraId="0FBD428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Sri Lanka</w:t>
            </w:r>
          </w:p>
        </w:tc>
        <w:tc>
          <w:tcPr>
            <w:tcW w:w="1430" w:type="dxa"/>
            <w:shd w:val="clear" w:color="auto" w:fill="auto"/>
          </w:tcPr>
          <w:p w14:paraId="6AAE205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351B87A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0.1</w:t>
            </w:r>
            <w:r w:rsidRPr="000C5ED6">
              <w:rPr>
                <w:rFonts w:ascii="Arial" w:hAnsi="Arial" w:cs="Arial"/>
                <w:snapToGrid w:val="0"/>
                <w:color w:val="000000"/>
                <w:sz w:val="18"/>
                <w:szCs w:val="18"/>
              </w:rPr>
              <w:t>25</w:t>
            </w:r>
          </w:p>
        </w:tc>
        <w:tc>
          <w:tcPr>
            <w:tcW w:w="1320" w:type="dxa"/>
            <w:shd w:val="clear" w:color="auto" w:fill="auto"/>
          </w:tcPr>
          <w:p w14:paraId="7C2F76D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430" w:type="dxa"/>
            <w:shd w:val="clear" w:color="auto" w:fill="auto"/>
          </w:tcPr>
          <w:p w14:paraId="43EF154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5,697</w:t>
            </w:r>
            <w:r w:rsidRPr="000C5ED6">
              <w:rPr>
                <w:rFonts w:ascii="Arial" w:hAnsi="Arial" w:cs="Arial"/>
                <w:snapToGrid w:val="0"/>
                <w:color w:val="000000"/>
                <w:sz w:val="18"/>
                <w:szCs w:val="18"/>
              </w:rPr>
              <w:t xml:space="preserve"> </w:t>
            </w:r>
          </w:p>
        </w:tc>
        <w:tc>
          <w:tcPr>
            <w:tcW w:w="1320" w:type="dxa"/>
            <w:shd w:val="clear" w:color="auto" w:fill="auto"/>
          </w:tcPr>
          <w:p w14:paraId="460F684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w:t>
            </w:r>
            <w:r>
              <w:rPr>
                <w:rFonts w:ascii="Arial" w:hAnsi="Arial" w:cs="Arial"/>
                <w:snapToGrid w:val="0"/>
                <w:color w:val="000000"/>
                <w:sz w:val="18"/>
                <w:szCs w:val="18"/>
              </w:rPr>
              <w:t>11,394</w:t>
            </w:r>
            <w:r w:rsidRPr="000C5ED6">
              <w:rPr>
                <w:rFonts w:ascii="Arial" w:hAnsi="Arial" w:cs="Arial"/>
                <w:snapToGrid w:val="0"/>
                <w:color w:val="000000"/>
                <w:sz w:val="18"/>
                <w:szCs w:val="18"/>
              </w:rPr>
              <w:t xml:space="preserve"> </w:t>
            </w:r>
          </w:p>
        </w:tc>
      </w:tr>
      <w:tr w:rsidR="002523FB" w:rsidRPr="000C5ED6" w14:paraId="3917D865" w14:textId="77777777" w:rsidTr="00BC15CA">
        <w:tc>
          <w:tcPr>
            <w:tcW w:w="2750" w:type="dxa"/>
            <w:shd w:val="clear" w:color="auto" w:fill="auto"/>
          </w:tcPr>
          <w:p w14:paraId="4A7D6A32"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Sudan </w:t>
            </w:r>
          </w:p>
        </w:tc>
        <w:tc>
          <w:tcPr>
            <w:tcW w:w="1430" w:type="dxa"/>
            <w:shd w:val="clear" w:color="auto" w:fill="auto"/>
          </w:tcPr>
          <w:p w14:paraId="485FD73B"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1FD0CED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289B26B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6328AE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2AAC8FD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4D267841" w14:textId="77777777" w:rsidTr="00C2153C">
        <w:tc>
          <w:tcPr>
            <w:tcW w:w="2750" w:type="dxa"/>
            <w:shd w:val="clear" w:color="auto" w:fill="auto"/>
          </w:tcPr>
          <w:p w14:paraId="62D55CA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Suriname</w:t>
            </w:r>
          </w:p>
        </w:tc>
        <w:tc>
          <w:tcPr>
            <w:tcW w:w="1430" w:type="dxa"/>
            <w:shd w:val="clear" w:color="auto" w:fill="auto"/>
          </w:tcPr>
          <w:p w14:paraId="2E4F6056"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362F808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5762D19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050ECB0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238F57C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440C8082" w14:textId="77777777" w:rsidTr="00BC15CA">
        <w:tc>
          <w:tcPr>
            <w:tcW w:w="2750" w:type="dxa"/>
            <w:shd w:val="clear" w:color="auto" w:fill="auto"/>
          </w:tcPr>
          <w:p w14:paraId="57E03A17"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Swaziland</w:t>
            </w:r>
          </w:p>
        </w:tc>
        <w:tc>
          <w:tcPr>
            <w:tcW w:w="1430" w:type="dxa"/>
            <w:shd w:val="clear" w:color="auto" w:fill="auto"/>
          </w:tcPr>
          <w:p w14:paraId="50217473"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2E7D2F6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139145A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472A2EC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auto"/>
          </w:tcPr>
          <w:p w14:paraId="3852301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5D67CE09" w14:textId="77777777" w:rsidTr="00C2153C">
        <w:tc>
          <w:tcPr>
            <w:tcW w:w="2750" w:type="dxa"/>
            <w:shd w:val="clear" w:color="auto" w:fill="auto"/>
          </w:tcPr>
          <w:p w14:paraId="2EAAC901"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Sweden</w:t>
            </w:r>
          </w:p>
        </w:tc>
        <w:tc>
          <w:tcPr>
            <w:tcW w:w="1430" w:type="dxa"/>
            <w:shd w:val="clear" w:color="auto" w:fill="auto"/>
          </w:tcPr>
          <w:p w14:paraId="68EDF3AB"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III</w:t>
            </w:r>
          </w:p>
        </w:tc>
        <w:tc>
          <w:tcPr>
            <w:tcW w:w="1210" w:type="dxa"/>
            <w:shd w:val="clear" w:color="auto" w:fill="auto"/>
          </w:tcPr>
          <w:p w14:paraId="0BA9CBD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15</w:t>
            </w:r>
          </w:p>
        </w:tc>
        <w:tc>
          <w:tcPr>
            <w:tcW w:w="1320" w:type="dxa"/>
            <w:shd w:val="clear" w:color="auto" w:fill="auto"/>
          </w:tcPr>
          <w:p w14:paraId="0BFD3C4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430" w:type="dxa"/>
            <w:shd w:val="clear" w:color="auto" w:fill="auto"/>
          </w:tcPr>
          <w:p w14:paraId="0CFEA62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320" w:type="dxa"/>
            <w:shd w:val="clear" w:color="auto" w:fill="auto"/>
          </w:tcPr>
          <w:p w14:paraId="20399DC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1,367,370 </w:t>
            </w:r>
          </w:p>
        </w:tc>
      </w:tr>
      <w:tr w:rsidR="002523FB" w:rsidRPr="000C5ED6" w14:paraId="74D1E7E8" w14:textId="77777777" w:rsidTr="00BC15CA">
        <w:tc>
          <w:tcPr>
            <w:tcW w:w="2750" w:type="dxa"/>
            <w:shd w:val="clear" w:color="auto" w:fill="auto"/>
          </w:tcPr>
          <w:p w14:paraId="7258262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Switzerland</w:t>
            </w:r>
          </w:p>
        </w:tc>
        <w:tc>
          <w:tcPr>
            <w:tcW w:w="1430" w:type="dxa"/>
            <w:shd w:val="clear" w:color="auto" w:fill="auto"/>
          </w:tcPr>
          <w:p w14:paraId="3ABD96A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III</w:t>
            </w:r>
          </w:p>
        </w:tc>
        <w:tc>
          <w:tcPr>
            <w:tcW w:w="1210" w:type="dxa"/>
            <w:shd w:val="clear" w:color="auto" w:fill="auto"/>
          </w:tcPr>
          <w:p w14:paraId="1649DD7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15</w:t>
            </w:r>
          </w:p>
        </w:tc>
        <w:tc>
          <w:tcPr>
            <w:tcW w:w="1320" w:type="dxa"/>
            <w:shd w:val="clear" w:color="auto" w:fill="auto"/>
          </w:tcPr>
          <w:p w14:paraId="2AC0D7D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430" w:type="dxa"/>
            <w:shd w:val="clear" w:color="auto" w:fill="auto"/>
          </w:tcPr>
          <w:p w14:paraId="43246D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683,685 </w:t>
            </w:r>
          </w:p>
        </w:tc>
        <w:tc>
          <w:tcPr>
            <w:tcW w:w="1320" w:type="dxa"/>
            <w:shd w:val="clear" w:color="auto" w:fill="auto"/>
          </w:tcPr>
          <w:p w14:paraId="67925B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1,367,370 </w:t>
            </w:r>
          </w:p>
        </w:tc>
      </w:tr>
      <w:tr w:rsidR="002523FB" w:rsidRPr="000C5ED6" w14:paraId="18BC9998" w14:textId="77777777" w:rsidTr="00C2153C">
        <w:tc>
          <w:tcPr>
            <w:tcW w:w="2750" w:type="dxa"/>
            <w:shd w:val="clear" w:color="auto" w:fill="auto"/>
          </w:tcPr>
          <w:p w14:paraId="33BAA6DE"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Syrian Arab Republic </w:t>
            </w:r>
          </w:p>
        </w:tc>
        <w:tc>
          <w:tcPr>
            <w:tcW w:w="1430" w:type="dxa"/>
            <w:shd w:val="clear" w:color="auto" w:fill="auto"/>
          </w:tcPr>
          <w:p w14:paraId="1AA06898"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16D94FC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29D781B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5,697</w:t>
            </w:r>
          </w:p>
        </w:tc>
        <w:tc>
          <w:tcPr>
            <w:tcW w:w="1430" w:type="dxa"/>
            <w:shd w:val="clear" w:color="auto" w:fill="auto"/>
          </w:tcPr>
          <w:p w14:paraId="4B97B77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5,697</w:t>
            </w:r>
          </w:p>
        </w:tc>
        <w:tc>
          <w:tcPr>
            <w:tcW w:w="1320" w:type="dxa"/>
            <w:shd w:val="clear" w:color="auto" w:fill="auto"/>
          </w:tcPr>
          <w:p w14:paraId="16676C9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11,394</w:t>
            </w:r>
          </w:p>
        </w:tc>
      </w:tr>
      <w:tr w:rsidR="002523FB" w:rsidRPr="000C5ED6" w14:paraId="1FE3FA9B" w14:textId="77777777" w:rsidTr="00BC15CA">
        <w:tc>
          <w:tcPr>
            <w:tcW w:w="2750" w:type="dxa"/>
            <w:shd w:val="clear" w:color="auto" w:fill="auto"/>
          </w:tcPr>
          <w:p w14:paraId="165D286C"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T</w:t>
            </w:r>
            <w:r w:rsidRPr="000C5ED6">
              <w:rPr>
                <w:rFonts w:ascii="Arial" w:hAnsi="Arial" w:cs="Arial"/>
                <w:snapToGrid w:val="0"/>
                <w:color w:val="000000"/>
                <w:sz w:val="18"/>
                <w:szCs w:val="18"/>
              </w:rPr>
              <w:t>ajikistan</w:t>
            </w:r>
          </w:p>
        </w:tc>
        <w:tc>
          <w:tcPr>
            <w:tcW w:w="1430" w:type="dxa"/>
            <w:shd w:val="clear" w:color="auto" w:fill="auto"/>
          </w:tcPr>
          <w:p w14:paraId="0EE486A9"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700EC98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0256FCF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5E345CC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19D873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1D749F8B" w14:textId="77777777" w:rsidTr="00C2153C">
        <w:tc>
          <w:tcPr>
            <w:tcW w:w="2750" w:type="dxa"/>
            <w:shd w:val="clear" w:color="auto" w:fill="auto"/>
          </w:tcPr>
          <w:p w14:paraId="0811C5E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Thailand</w:t>
            </w:r>
          </w:p>
        </w:tc>
        <w:tc>
          <w:tcPr>
            <w:tcW w:w="1430" w:type="dxa"/>
            <w:shd w:val="clear" w:color="auto" w:fill="auto"/>
          </w:tcPr>
          <w:p w14:paraId="2CE30917"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CE071B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6977B32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3020BD0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73018C6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4DF9BC7A" w14:textId="77777777" w:rsidTr="00BC15CA">
        <w:tc>
          <w:tcPr>
            <w:tcW w:w="2750" w:type="dxa"/>
            <w:shd w:val="clear" w:color="auto" w:fill="auto"/>
          </w:tcPr>
          <w:p w14:paraId="1E1953A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The former Yugoslav Republic of Macedonia</w:t>
            </w:r>
          </w:p>
        </w:tc>
        <w:tc>
          <w:tcPr>
            <w:tcW w:w="1430" w:type="dxa"/>
            <w:shd w:val="clear" w:color="auto" w:fill="auto"/>
          </w:tcPr>
          <w:p w14:paraId="4CAB7520"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VIII</w:t>
            </w:r>
          </w:p>
        </w:tc>
        <w:tc>
          <w:tcPr>
            <w:tcW w:w="1210" w:type="dxa"/>
            <w:shd w:val="clear" w:color="auto" w:fill="auto"/>
          </w:tcPr>
          <w:p w14:paraId="68B93AB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0.5</w:t>
            </w:r>
          </w:p>
        </w:tc>
        <w:tc>
          <w:tcPr>
            <w:tcW w:w="1320" w:type="dxa"/>
            <w:shd w:val="clear" w:color="auto" w:fill="auto"/>
          </w:tcPr>
          <w:p w14:paraId="250D91F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430" w:type="dxa"/>
            <w:shd w:val="clear" w:color="auto" w:fill="auto"/>
          </w:tcPr>
          <w:p w14:paraId="14A649C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 </w:t>
            </w:r>
          </w:p>
        </w:tc>
        <w:tc>
          <w:tcPr>
            <w:tcW w:w="1320" w:type="dxa"/>
            <w:shd w:val="clear" w:color="auto" w:fill="auto"/>
          </w:tcPr>
          <w:p w14:paraId="4A698AA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45,578 </w:t>
            </w:r>
          </w:p>
        </w:tc>
      </w:tr>
      <w:tr w:rsidR="002523FB" w:rsidRPr="000C5ED6" w14:paraId="64064A70" w14:textId="77777777" w:rsidTr="00C2153C">
        <w:tc>
          <w:tcPr>
            <w:tcW w:w="2750" w:type="dxa"/>
            <w:shd w:val="clear" w:color="auto" w:fill="auto"/>
          </w:tcPr>
          <w:p w14:paraId="00C085EA"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Togo</w:t>
            </w:r>
          </w:p>
        </w:tc>
        <w:tc>
          <w:tcPr>
            <w:tcW w:w="1430" w:type="dxa"/>
            <w:shd w:val="clear" w:color="auto" w:fill="auto"/>
          </w:tcPr>
          <w:p w14:paraId="74DE2391"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09076F6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D49C63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1246193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2642997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54A9BB58" w14:textId="77777777" w:rsidTr="00BC15CA">
        <w:tc>
          <w:tcPr>
            <w:tcW w:w="2750" w:type="dxa"/>
            <w:shd w:val="clear" w:color="auto" w:fill="auto"/>
          </w:tcPr>
          <w:p w14:paraId="60628D37"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Tonga</w:t>
            </w:r>
          </w:p>
        </w:tc>
        <w:tc>
          <w:tcPr>
            <w:tcW w:w="1430" w:type="dxa"/>
            <w:shd w:val="clear" w:color="auto" w:fill="auto"/>
          </w:tcPr>
          <w:p w14:paraId="3FD071B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auto"/>
          </w:tcPr>
          <w:p w14:paraId="3AA7413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auto"/>
          </w:tcPr>
          <w:p w14:paraId="3D7CA1C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auto"/>
          </w:tcPr>
          <w:p w14:paraId="715668B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w:t>
            </w:r>
          </w:p>
        </w:tc>
        <w:tc>
          <w:tcPr>
            <w:tcW w:w="1320" w:type="dxa"/>
            <w:shd w:val="clear" w:color="auto" w:fill="auto"/>
          </w:tcPr>
          <w:p w14:paraId="1AFC1B2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4134756C" w14:textId="77777777" w:rsidTr="00C2153C">
        <w:tc>
          <w:tcPr>
            <w:tcW w:w="2750" w:type="dxa"/>
            <w:shd w:val="clear" w:color="auto" w:fill="auto"/>
          </w:tcPr>
          <w:p w14:paraId="0E851090"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Trinidad and Tobago</w:t>
            </w:r>
          </w:p>
        </w:tc>
        <w:tc>
          <w:tcPr>
            <w:tcW w:w="1430" w:type="dxa"/>
            <w:shd w:val="clear" w:color="auto" w:fill="auto"/>
          </w:tcPr>
          <w:p w14:paraId="21D925E0"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228ED9B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5D441FE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198968A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478129F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w:t>
            </w:r>
          </w:p>
        </w:tc>
      </w:tr>
      <w:tr w:rsidR="002523FB" w:rsidRPr="000C5ED6" w14:paraId="41225954" w14:textId="77777777" w:rsidTr="00BC15CA">
        <w:tc>
          <w:tcPr>
            <w:tcW w:w="2750" w:type="dxa"/>
            <w:shd w:val="clear" w:color="auto" w:fill="auto"/>
          </w:tcPr>
          <w:p w14:paraId="1489980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Tunisia</w:t>
            </w:r>
          </w:p>
        </w:tc>
        <w:tc>
          <w:tcPr>
            <w:tcW w:w="1430" w:type="dxa"/>
            <w:shd w:val="clear" w:color="auto" w:fill="auto"/>
          </w:tcPr>
          <w:p w14:paraId="7D997484"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0317EC7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47D70BC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1FEB07B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1693DA1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2F95ADBA" w14:textId="77777777" w:rsidTr="00C2153C">
        <w:tc>
          <w:tcPr>
            <w:tcW w:w="2750" w:type="dxa"/>
            <w:shd w:val="clear" w:color="auto" w:fill="auto"/>
          </w:tcPr>
          <w:p w14:paraId="5DC9D576"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Turkey</w:t>
            </w:r>
          </w:p>
        </w:tc>
        <w:tc>
          <w:tcPr>
            <w:tcW w:w="1430" w:type="dxa"/>
            <w:shd w:val="clear" w:color="auto" w:fill="auto"/>
          </w:tcPr>
          <w:p w14:paraId="230F09ED"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VI</w:t>
            </w:r>
            <w:r w:rsidRPr="000C5ED6">
              <w:rPr>
                <w:rFonts w:ascii="Arial" w:hAnsi="Arial" w:cs="Arial"/>
                <w:i/>
                <w:snapToGrid w:val="0"/>
                <w:color w:val="000000"/>
                <w:sz w:val="18"/>
                <w:szCs w:val="18"/>
              </w:rPr>
              <w:t>bis</w:t>
            </w:r>
          </w:p>
        </w:tc>
        <w:tc>
          <w:tcPr>
            <w:tcW w:w="1210" w:type="dxa"/>
            <w:shd w:val="clear" w:color="auto" w:fill="auto"/>
          </w:tcPr>
          <w:p w14:paraId="12FC9ED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w:t>
            </w:r>
          </w:p>
        </w:tc>
        <w:tc>
          <w:tcPr>
            <w:tcW w:w="1320" w:type="dxa"/>
            <w:shd w:val="clear" w:color="auto" w:fill="auto"/>
          </w:tcPr>
          <w:p w14:paraId="006589F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430" w:type="dxa"/>
            <w:shd w:val="clear" w:color="auto" w:fill="auto"/>
          </w:tcPr>
          <w:p w14:paraId="526AEB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91,158 </w:t>
            </w:r>
          </w:p>
        </w:tc>
        <w:tc>
          <w:tcPr>
            <w:tcW w:w="1320" w:type="dxa"/>
            <w:shd w:val="clear" w:color="auto" w:fill="auto"/>
          </w:tcPr>
          <w:p w14:paraId="6AD2AF2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182,316 </w:t>
            </w:r>
          </w:p>
        </w:tc>
      </w:tr>
      <w:tr w:rsidR="002523FB" w:rsidRPr="000C5ED6" w14:paraId="7A3AF906" w14:textId="77777777" w:rsidTr="00BC15CA">
        <w:tc>
          <w:tcPr>
            <w:tcW w:w="2750" w:type="dxa"/>
            <w:shd w:val="clear" w:color="auto" w:fill="auto"/>
          </w:tcPr>
          <w:p w14:paraId="1C369483"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Turkmenistan</w:t>
            </w:r>
          </w:p>
        </w:tc>
        <w:tc>
          <w:tcPr>
            <w:tcW w:w="1430" w:type="dxa"/>
            <w:shd w:val="clear" w:color="auto" w:fill="auto"/>
          </w:tcPr>
          <w:p w14:paraId="74EC1431"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1FCF9B4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7A83E56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310483A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153A577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34F4513C" w14:textId="77777777" w:rsidTr="00BC15CA">
        <w:tc>
          <w:tcPr>
            <w:tcW w:w="2750" w:type="dxa"/>
            <w:shd w:val="clear" w:color="auto" w:fill="auto"/>
          </w:tcPr>
          <w:p w14:paraId="4370583C" w14:textId="77777777" w:rsidR="002523FB" w:rsidRPr="00635E95" w:rsidRDefault="002523FB" w:rsidP="00C2153C">
            <w:pPr>
              <w:keepNext/>
              <w:rPr>
                <w:rFonts w:ascii="Arial" w:hAnsi="Arial" w:cs="Arial"/>
                <w:snapToGrid w:val="0"/>
                <w:color w:val="000000"/>
                <w:sz w:val="18"/>
                <w:szCs w:val="18"/>
              </w:rPr>
            </w:pPr>
            <w:r w:rsidRPr="00635E95">
              <w:rPr>
                <w:rFonts w:ascii="Arial" w:hAnsi="Arial" w:cs="Arial"/>
                <w:snapToGrid w:val="0"/>
                <w:color w:val="000000"/>
                <w:sz w:val="18"/>
                <w:szCs w:val="18"/>
              </w:rPr>
              <w:lastRenderedPageBreak/>
              <w:t>Tuvalu</w:t>
            </w:r>
            <w:r w:rsidRPr="00635E95">
              <w:rPr>
                <w:rFonts w:ascii="Arial" w:hAnsi="Arial" w:cs="Arial"/>
                <w:snapToGrid w:val="0"/>
                <w:color w:val="000000"/>
                <w:sz w:val="18"/>
                <w:szCs w:val="18"/>
                <w:vertAlign w:val="superscript"/>
              </w:rPr>
              <w:t>2</w:t>
            </w:r>
          </w:p>
        </w:tc>
        <w:tc>
          <w:tcPr>
            <w:tcW w:w="1430" w:type="dxa"/>
            <w:shd w:val="clear" w:color="auto" w:fill="auto"/>
          </w:tcPr>
          <w:p w14:paraId="47F5D5C8" w14:textId="77777777" w:rsidR="002523FB" w:rsidRPr="000C5ED6" w:rsidRDefault="002523FB" w:rsidP="00C2153C">
            <w:pPr>
              <w:keepNext/>
              <w:jc w:val="center"/>
              <w:rPr>
                <w:rFonts w:ascii="Arial" w:hAnsi="Arial" w:cs="Arial"/>
                <w:snapToGrid w:val="0"/>
                <w:color w:val="000000"/>
                <w:sz w:val="18"/>
                <w:szCs w:val="18"/>
              </w:rPr>
            </w:pPr>
            <w:r>
              <w:rPr>
                <w:rFonts w:ascii="Arial" w:hAnsi="Arial" w:cs="Arial"/>
                <w:snapToGrid w:val="0"/>
                <w:color w:val="000000"/>
                <w:sz w:val="18"/>
                <w:szCs w:val="18"/>
              </w:rPr>
              <w:t>S</w:t>
            </w:r>
            <w:r w:rsidRPr="00635E95">
              <w:rPr>
                <w:rFonts w:ascii="Arial" w:hAnsi="Arial" w:cs="Arial"/>
                <w:i/>
                <w:snapToGrid w:val="0"/>
                <w:color w:val="000000"/>
                <w:sz w:val="18"/>
                <w:szCs w:val="18"/>
              </w:rPr>
              <w:t>ter</w:t>
            </w:r>
          </w:p>
        </w:tc>
        <w:tc>
          <w:tcPr>
            <w:tcW w:w="1210" w:type="dxa"/>
            <w:shd w:val="clear" w:color="auto" w:fill="auto"/>
          </w:tcPr>
          <w:p w14:paraId="3D172748"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0.03125</w:t>
            </w:r>
          </w:p>
        </w:tc>
        <w:tc>
          <w:tcPr>
            <w:tcW w:w="1320" w:type="dxa"/>
            <w:shd w:val="clear" w:color="auto" w:fill="auto"/>
          </w:tcPr>
          <w:p w14:paraId="3C4AD5E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430" w:type="dxa"/>
            <w:shd w:val="clear" w:color="auto" w:fill="auto"/>
          </w:tcPr>
          <w:p w14:paraId="1DFC526A"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320" w:type="dxa"/>
            <w:shd w:val="clear" w:color="auto" w:fill="auto"/>
          </w:tcPr>
          <w:p w14:paraId="73F26407"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2,848</w:t>
            </w:r>
          </w:p>
        </w:tc>
      </w:tr>
      <w:tr w:rsidR="002523FB" w:rsidRPr="000C5ED6" w14:paraId="60AA3AFD" w14:textId="77777777" w:rsidTr="00BC15CA">
        <w:tc>
          <w:tcPr>
            <w:tcW w:w="2750" w:type="dxa"/>
            <w:shd w:val="clear" w:color="auto" w:fill="auto"/>
          </w:tcPr>
          <w:p w14:paraId="1BDD4BD5" w14:textId="77777777" w:rsidR="002523FB" w:rsidRPr="000C5ED6" w:rsidRDefault="002523FB" w:rsidP="00C2153C">
            <w:pPr>
              <w:keepNext/>
              <w:rPr>
                <w:rFonts w:ascii="Arial" w:hAnsi="Arial" w:cs="Arial"/>
                <w:snapToGrid w:val="0"/>
                <w:color w:val="000000"/>
                <w:sz w:val="18"/>
                <w:szCs w:val="18"/>
              </w:rPr>
            </w:pPr>
            <w:r w:rsidRPr="000C5ED6">
              <w:rPr>
                <w:rFonts w:ascii="Arial" w:hAnsi="Arial" w:cs="Arial"/>
                <w:b/>
                <w:snapToGrid w:val="0"/>
                <w:color w:val="000000"/>
                <w:sz w:val="18"/>
                <w:szCs w:val="18"/>
              </w:rPr>
              <w:t>U</w:t>
            </w:r>
            <w:r w:rsidRPr="000C5ED6">
              <w:rPr>
                <w:rFonts w:ascii="Arial" w:hAnsi="Arial" w:cs="Arial"/>
                <w:snapToGrid w:val="0"/>
                <w:color w:val="000000"/>
                <w:sz w:val="18"/>
                <w:szCs w:val="18"/>
              </w:rPr>
              <w:t>ganda</w:t>
            </w:r>
          </w:p>
        </w:tc>
        <w:tc>
          <w:tcPr>
            <w:tcW w:w="1430" w:type="dxa"/>
            <w:shd w:val="clear" w:color="auto" w:fill="auto"/>
          </w:tcPr>
          <w:p w14:paraId="13B2E679" w14:textId="77777777" w:rsidR="002523FB" w:rsidRPr="000C5ED6" w:rsidRDefault="002523FB" w:rsidP="00C2153C">
            <w:pPr>
              <w:keepNext/>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51407D5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215FE4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10C7B03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7BF4AE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6638BE89" w14:textId="77777777" w:rsidTr="00BC15CA">
        <w:tc>
          <w:tcPr>
            <w:tcW w:w="2750" w:type="dxa"/>
            <w:shd w:val="clear" w:color="auto" w:fill="auto"/>
          </w:tcPr>
          <w:p w14:paraId="7DA5F464" w14:textId="77777777" w:rsidR="002523FB" w:rsidRPr="000C5ED6" w:rsidRDefault="002523FB" w:rsidP="00C2153C">
            <w:pPr>
              <w:keepNext/>
              <w:rPr>
                <w:rFonts w:ascii="Arial" w:hAnsi="Arial" w:cs="Arial"/>
                <w:snapToGrid w:val="0"/>
                <w:color w:val="000000"/>
                <w:sz w:val="18"/>
                <w:szCs w:val="18"/>
              </w:rPr>
            </w:pPr>
            <w:r w:rsidRPr="000C5ED6">
              <w:rPr>
                <w:rFonts w:ascii="Arial" w:hAnsi="Arial" w:cs="Arial"/>
                <w:snapToGrid w:val="0"/>
                <w:color w:val="000000"/>
                <w:sz w:val="18"/>
                <w:szCs w:val="18"/>
              </w:rPr>
              <w:t>Ukraine</w:t>
            </w:r>
          </w:p>
        </w:tc>
        <w:tc>
          <w:tcPr>
            <w:tcW w:w="1430" w:type="dxa"/>
            <w:shd w:val="clear" w:color="auto" w:fill="auto"/>
          </w:tcPr>
          <w:p w14:paraId="629DA387" w14:textId="77777777" w:rsidR="002523FB" w:rsidRPr="000C5ED6" w:rsidRDefault="002523FB" w:rsidP="00C2153C">
            <w:pPr>
              <w:keepNext/>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54974DFB"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4B976B2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0AF6904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30090CB1"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769C55E5" w14:textId="77777777" w:rsidTr="00BC15CA">
        <w:tc>
          <w:tcPr>
            <w:tcW w:w="2750" w:type="dxa"/>
            <w:shd w:val="clear" w:color="auto" w:fill="auto"/>
          </w:tcPr>
          <w:p w14:paraId="29F27E9D"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United Arab Emirates </w:t>
            </w:r>
          </w:p>
        </w:tc>
        <w:tc>
          <w:tcPr>
            <w:tcW w:w="1430" w:type="dxa"/>
            <w:shd w:val="clear" w:color="auto" w:fill="auto"/>
          </w:tcPr>
          <w:p w14:paraId="56F015A4"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537B0EC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32F34FE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3B4CEF5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1186ACB5"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30D5AD33" w14:textId="77777777" w:rsidTr="00BC15CA">
        <w:tc>
          <w:tcPr>
            <w:tcW w:w="2750" w:type="dxa"/>
            <w:shd w:val="clear" w:color="auto" w:fill="auto"/>
          </w:tcPr>
          <w:p w14:paraId="6698309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United Kingdom</w:t>
            </w:r>
          </w:p>
        </w:tc>
        <w:tc>
          <w:tcPr>
            <w:tcW w:w="1430" w:type="dxa"/>
            <w:shd w:val="clear" w:color="auto" w:fill="auto"/>
          </w:tcPr>
          <w:p w14:paraId="778D218A"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w:t>
            </w:r>
          </w:p>
        </w:tc>
        <w:tc>
          <w:tcPr>
            <w:tcW w:w="1210" w:type="dxa"/>
            <w:shd w:val="clear" w:color="auto" w:fill="auto"/>
          </w:tcPr>
          <w:p w14:paraId="7C4CA1A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25</w:t>
            </w:r>
          </w:p>
        </w:tc>
        <w:tc>
          <w:tcPr>
            <w:tcW w:w="1320" w:type="dxa"/>
            <w:shd w:val="clear" w:color="auto" w:fill="auto"/>
          </w:tcPr>
          <w:p w14:paraId="22E3049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430" w:type="dxa"/>
            <w:shd w:val="clear" w:color="auto" w:fill="auto"/>
          </w:tcPr>
          <w:p w14:paraId="7A34359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320" w:type="dxa"/>
            <w:shd w:val="clear" w:color="auto" w:fill="auto"/>
          </w:tcPr>
          <w:p w14:paraId="3FF839F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2,278,950 </w:t>
            </w:r>
          </w:p>
        </w:tc>
      </w:tr>
      <w:tr w:rsidR="002523FB" w:rsidRPr="000C5ED6" w14:paraId="1A932B55" w14:textId="77777777" w:rsidTr="00BC15CA">
        <w:tc>
          <w:tcPr>
            <w:tcW w:w="2750" w:type="dxa"/>
            <w:shd w:val="clear" w:color="auto" w:fill="auto"/>
          </w:tcPr>
          <w:p w14:paraId="106254E6"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United Republic of Tanzania </w:t>
            </w:r>
          </w:p>
        </w:tc>
        <w:tc>
          <w:tcPr>
            <w:tcW w:w="1430" w:type="dxa"/>
            <w:shd w:val="clear" w:color="auto" w:fill="auto"/>
          </w:tcPr>
          <w:p w14:paraId="275FA717"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1B99E54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9FE09B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21C8B14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2B453F1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648D589E" w14:textId="77777777" w:rsidTr="00BC15CA">
        <w:tc>
          <w:tcPr>
            <w:tcW w:w="2750" w:type="dxa"/>
            <w:shd w:val="clear" w:color="auto" w:fill="auto"/>
          </w:tcPr>
          <w:p w14:paraId="1AF20FA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 xml:space="preserve">United States of America </w:t>
            </w:r>
          </w:p>
        </w:tc>
        <w:tc>
          <w:tcPr>
            <w:tcW w:w="1430" w:type="dxa"/>
            <w:shd w:val="clear" w:color="auto" w:fill="auto"/>
          </w:tcPr>
          <w:p w14:paraId="534F6736"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w:t>
            </w:r>
          </w:p>
        </w:tc>
        <w:tc>
          <w:tcPr>
            <w:tcW w:w="1210" w:type="dxa"/>
            <w:shd w:val="clear" w:color="auto" w:fill="auto"/>
          </w:tcPr>
          <w:p w14:paraId="283771E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25</w:t>
            </w:r>
          </w:p>
        </w:tc>
        <w:tc>
          <w:tcPr>
            <w:tcW w:w="1320" w:type="dxa"/>
            <w:shd w:val="clear" w:color="auto" w:fill="auto"/>
          </w:tcPr>
          <w:p w14:paraId="7218E13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430" w:type="dxa"/>
            <w:shd w:val="clear" w:color="auto" w:fill="auto"/>
          </w:tcPr>
          <w:p w14:paraId="3F83D27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1,139,475 </w:t>
            </w:r>
          </w:p>
        </w:tc>
        <w:tc>
          <w:tcPr>
            <w:tcW w:w="1320" w:type="dxa"/>
            <w:shd w:val="clear" w:color="auto" w:fill="auto"/>
          </w:tcPr>
          <w:p w14:paraId="3F2E0BF4"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2,278,950 </w:t>
            </w:r>
          </w:p>
        </w:tc>
      </w:tr>
      <w:tr w:rsidR="002523FB" w:rsidRPr="000C5ED6" w14:paraId="34CFCDCC" w14:textId="77777777" w:rsidTr="00BC15CA">
        <w:tc>
          <w:tcPr>
            <w:tcW w:w="2750" w:type="dxa"/>
            <w:shd w:val="clear" w:color="auto" w:fill="auto"/>
          </w:tcPr>
          <w:p w14:paraId="1D8DA27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Uruguay</w:t>
            </w:r>
          </w:p>
        </w:tc>
        <w:tc>
          <w:tcPr>
            <w:tcW w:w="1430" w:type="dxa"/>
            <w:shd w:val="clear" w:color="auto" w:fill="auto"/>
          </w:tcPr>
          <w:p w14:paraId="5D9E1C0C"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15A6E56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3EBA9F1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187621E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0700628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11,394 </w:t>
            </w:r>
          </w:p>
        </w:tc>
      </w:tr>
      <w:tr w:rsidR="002523FB" w:rsidRPr="000C5ED6" w14:paraId="5A5E68B4" w14:textId="77777777" w:rsidTr="00BC15CA">
        <w:tc>
          <w:tcPr>
            <w:tcW w:w="2750" w:type="dxa"/>
            <w:shd w:val="clear" w:color="auto" w:fill="auto"/>
          </w:tcPr>
          <w:p w14:paraId="2316EA45"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Uzbekistan</w:t>
            </w:r>
          </w:p>
        </w:tc>
        <w:tc>
          <w:tcPr>
            <w:tcW w:w="1430" w:type="dxa"/>
            <w:shd w:val="clear" w:color="auto" w:fill="auto"/>
          </w:tcPr>
          <w:p w14:paraId="412626C4" w14:textId="77777777" w:rsidR="002523FB" w:rsidRPr="000C5ED6"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IX</w:t>
            </w:r>
          </w:p>
        </w:tc>
        <w:tc>
          <w:tcPr>
            <w:tcW w:w="1210" w:type="dxa"/>
            <w:shd w:val="clear" w:color="auto" w:fill="auto"/>
          </w:tcPr>
          <w:p w14:paraId="6FAA14E7"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0.25</w:t>
            </w:r>
          </w:p>
        </w:tc>
        <w:tc>
          <w:tcPr>
            <w:tcW w:w="1320" w:type="dxa"/>
            <w:shd w:val="clear" w:color="auto" w:fill="auto"/>
          </w:tcPr>
          <w:p w14:paraId="6AF0CABE"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430" w:type="dxa"/>
            <w:shd w:val="clear" w:color="auto" w:fill="auto"/>
          </w:tcPr>
          <w:p w14:paraId="329EB95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11,395</w:t>
            </w:r>
          </w:p>
        </w:tc>
        <w:tc>
          <w:tcPr>
            <w:tcW w:w="1320" w:type="dxa"/>
            <w:shd w:val="clear" w:color="auto" w:fill="auto"/>
          </w:tcPr>
          <w:p w14:paraId="0E39CC4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22,790</w:t>
            </w:r>
          </w:p>
        </w:tc>
      </w:tr>
      <w:tr w:rsidR="002523FB" w:rsidRPr="000C5ED6" w14:paraId="411FAEE9" w14:textId="77777777" w:rsidTr="00BC15CA">
        <w:tc>
          <w:tcPr>
            <w:tcW w:w="2750" w:type="dxa"/>
            <w:shd w:val="clear" w:color="auto" w:fill="auto"/>
          </w:tcPr>
          <w:p w14:paraId="72E3A1F8" w14:textId="77777777" w:rsidR="002523FB" w:rsidRPr="000C5ED6" w:rsidRDefault="002523FB" w:rsidP="00C2153C">
            <w:pPr>
              <w:rPr>
                <w:rFonts w:ascii="Arial" w:hAnsi="Arial" w:cs="Arial"/>
                <w:snapToGrid w:val="0"/>
                <w:color w:val="000000"/>
                <w:sz w:val="18"/>
                <w:szCs w:val="18"/>
              </w:rPr>
            </w:pPr>
            <w:r>
              <w:rPr>
                <w:rFonts w:ascii="Arial" w:hAnsi="Arial" w:cs="Arial"/>
                <w:snapToGrid w:val="0"/>
                <w:color w:val="000000"/>
                <w:sz w:val="18"/>
                <w:szCs w:val="18"/>
              </w:rPr>
              <w:t>Vanuatu</w:t>
            </w:r>
          </w:p>
        </w:tc>
        <w:tc>
          <w:tcPr>
            <w:tcW w:w="1430" w:type="dxa"/>
            <w:shd w:val="clear" w:color="auto" w:fill="auto"/>
          </w:tcPr>
          <w:p w14:paraId="21C9AC78" w14:textId="77777777" w:rsidR="002523FB" w:rsidRDefault="002523FB" w:rsidP="00C2153C">
            <w:pPr>
              <w:jc w:val="center"/>
              <w:rPr>
                <w:rFonts w:ascii="Arial" w:hAnsi="Arial" w:cs="Arial"/>
                <w:snapToGrid w:val="0"/>
                <w:color w:val="000000"/>
                <w:sz w:val="18"/>
                <w:szCs w:val="18"/>
              </w:rPr>
            </w:pPr>
            <w:r>
              <w:rPr>
                <w:rFonts w:ascii="Arial" w:hAnsi="Arial" w:cs="Arial"/>
                <w:snapToGrid w:val="0"/>
                <w:color w:val="000000"/>
                <w:sz w:val="18"/>
                <w:szCs w:val="18"/>
              </w:rPr>
              <w:t>S</w:t>
            </w:r>
            <w:r>
              <w:rPr>
                <w:rFonts w:ascii="Arial" w:hAnsi="Arial" w:cs="Arial"/>
                <w:i/>
                <w:snapToGrid w:val="0"/>
                <w:color w:val="000000"/>
                <w:sz w:val="18"/>
                <w:szCs w:val="18"/>
              </w:rPr>
              <w:t>ter</w:t>
            </w:r>
          </w:p>
        </w:tc>
        <w:tc>
          <w:tcPr>
            <w:tcW w:w="1210" w:type="dxa"/>
            <w:shd w:val="clear" w:color="auto" w:fill="auto"/>
          </w:tcPr>
          <w:p w14:paraId="50EA375B" w14:textId="77777777" w:rsidR="002523FB"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0.03125</w:t>
            </w:r>
          </w:p>
        </w:tc>
        <w:tc>
          <w:tcPr>
            <w:tcW w:w="1320" w:type="dxa"/>
            <w:shd w:val="clear" w:color="auto" w:fill="auto"/>
          </w:tcPr>
          <w:p w14:paraId="445A8E00"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430" w:type="dxa"/>
            <w:shd w:val="clear" w:color="auto" w:fill="auto"/>
          </w:tcPr>
          <w:p w14:paraId="61067E13"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1,424</w:t>
            </w:r>
          </w:p>
        </w:tc>
        <w:tc>
          <w:tcPr>
            <w:tcW w:w="1320" w:type="dxa"/>
            <w:shd w:val="clear" w:color="auto" w:fill="auto"/>
          </w:tcPr>
          <w:p w14:paraId="511F8434" w14:textId="77777777" w:rsidR="002523FB" w:rsidRPr="000C5ED6" w:rsidRDefault="002523FB" w:rsidP="00C2153C">
            <w:pPr>
              <w:jc w:val="right"/>
              <w:rPr>
                <w:rFonts w:ascii="Arial" w:hAnsi="Arial" w:cs="Arial"/>
                <w:snapToGrid w:val="0"/>
                <w:color w:val="000000"/>
                <w:sz w:val="18"/>
                <w:szCs w:val="18"/>
              </w:rPr>
            </w:pPr>
            <w:r>
              <w:rPr>
                <w:rFonts w:ascii="Arial" w:hAnsi="Arial" w:cs="Arial"/>
                <w:snapToGrid w:val="0"/>
                <w:color w:val="000000"/>
                <w:sz w:val="18"/>
                <w:szCs w:val="18"/>
              </w:rPr>
              <w:t>2,848</w:t>
            </w:r>
          </w:p>
        </w:tc>
      </w:tr>
      <w:tr w:rsidR="002523FB" w:rsidRPr="000C5ED6" w14:paraId="12EA325B" w14:textId="77777777" w:rsidTr="00BC15CA">
        <w:tc>
          <w:tcPr>
            <w:tcW w:w="2750" w:type="dxa"/>
            <w:shd w:val="clear" w:color="auto" w:fill="auto"/>
          </w:tcPr>
          <w:p w14:paraId="7785E952" w14:textId="77777777" w:rsidR="002523FB" w:rsidRPr="008C0069" w:rsidRDefault="002523FB" w:rsidP="00C2153C">
            <w:pPr>
              <w:rPr>
                <w:rFonts w:ascii="Arial" w:hAnsi="Arial" w:cs="Arial"/>
                <w:snapToGrid w:val="0"/>
                <w:color w:val="000000"/>
                <w:sz w:val="17"/>
                <w:szCs w:val="17"/>
              </w:rPr>
            </w:pPr>
            <w:r w:rsidRPr="008C0069">
              <w:rPr>
                <w:rFonts w:ascii="Arial" w:hAnsi="Arial" w:cs="Arial"/>
                <w:b/>
                <w:snapToGrid w:val="0"/>
                <w:color w:val="000000"/>
                <w:sz w:val="18"/>
                <w:szCs w:val="18"/>
              </w:rPr>
              <w:t>V</w:t>
            </w:r>
            <w:r w:rsidRPr="008C0069">
              <w:rPr>
                <w:rFonts w:ascii="Arial" w:hAnsi="Arial" w:cs="Arial"/>
                <w:snapToGrid w:val="0"/>
                <w:color w:val="000000"/>
                <w:sz w:val="17"/>
                <w:szCs w:val="17"/>
              </w:rPr>
              <w:t>enezuela (Bolivarian Republic of)</w:t>
            </w:r>
          </w:p>
        </w:tc>
        <w:tc>
          <w:tcPr>
            <w:tcW w:w="1430" w:type="dxa"/>
            <w:shd w:val="clear" w:color="auto" w:fill="auto"/>
          </w:tcPr>
          <w:p w14:paraId="6754F655" w14:textId="77777777" w:rsidR="002523FB" w:rsidRPr="000C5ED6" w:rsidRDefault="002523FB" w:rsidP="00C2153C">
            <w:pPr>
              <w:jc w:val="center"/>
              <w:rPr>
                <w:rFonts w:ascii="Arial" w:hAnsi="Arial" w:cs="Arial"/>
                <w:snapToGrid w:val="0"/>
                <w:color w:val="000000"/>
                <w:sz w:val="18"/>
                <w:szCs w:val="18"/>
              </w:rPr>
            </w:pPr>
            <w:r w:rsidRPr="000C5ED6">
              <w:rPr>
                <w:rFonts w:ascii="Arial" w:hAnsi="Arial" w:cs="Arial"/>
                <w:snapToGrid w:val="0"/>
                <w:color w:val="000000"/>
                <w:sz w:val="18"/>
                <w:szCs w:val="18"/>
              </w:rPr>
              <w:t>IX</w:t>
            </w:r>
          </w:p>
        </w:tc>
        <w:tc>
          <w:tcPr>
            <w:tcW w:w="1210" w:type="dxa"/>
            <w:shd w:val="clear" w:color="auto" w:fill="auto"/>
          </w:tcPr>
          <w:p w14:paraId="417B0B5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0.25</w:t>
            </w:r>
          </w:p>
        </w:tc>
        <w:tc>
          <w:tcPr>
            <w:tcW w:w="1320" w:type="dxa"/>
            <w:shd w:val="clear" w:color="auto" w:fill="auto"/>
          </w:tcPr>
          <w:p w14:paraId="286F217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430" w:type="dxa"/>
            <w:shd w:val="clear" w:color="auto" w:fill="auto"/>
          </w:tcPr>
          <w:p w14:paraId="4A63745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11,395 </w:t>
            </w:r>
          </w:p>
        </w:tc>
        <w:tc>
          <w:tcPr>
            <w:tcW w:w="1320" w:type="dxa"/>
            <w:shd w:val="clear" w:color="auto" w:fill="auto"/>
          </w:tcPr>
          <w:p w14:paraId="6472606D"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22,790 </w:t>
            </w:r>
          </w:p>
        </w:tc>
      </w:tr>
      <w:tr w:rsidR="002523FB" w:rsidRPr="000C5ED6" w14:paraId="6C6FC7D5" w14:textId="77777777" w:rsidTr="00BC15CA">
        <w:tc>
          <w:tcPr>
            <w:tcW w:w="2750" w:type="dxa"/>
            <w:shd w:val="clear" w:color="auto" w:fill="auto"/>
          </w:tcPr>
          <w:p w14:paraId="3D9A9118"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Viet Nam</w:t>
            </w:r>
          </w:p>
        </w:tc>
        <w:tc>
          <w:tcPr>
            <w:tcW w:w="1430" w:type="dxa"/>
            <w:shd w:val="clear" w:color="auto" w:fill="auto"/>
          </w:tcPr>
          <w:p w14:paraId="6DBD1CDC"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p>
        </w:tc>
        <w:tc>
          <w:tcPr>
            <w:tcW w:w="1210" w:type="dxa"/>
            <w:shd w:val="clear" w:color="auto" w:fill="auto"/>
          </w:tcPr>
          <w:p w14:paraId="0B09074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0.125</w:t>
            </w:r>
          </w:p>
        </w:tc>
        <w:tc>
          <w:tcPr>
            <w:tcW w:w="1320" w:type="dxa"/>
            <w:shd w:val="clear" w:color="auto" w:fill="auto"/>
          </w:tcPr>
          <w:p w14:paraId="74690316"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430" w:type="dxa"/>
            <w:shd w:val="clear" w:color="auto" w:fill="auto"/>
          </w:tcPr>
          <w:p w14:paraId="7BA84A1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5,697 </w:t>
            </w:r>
          </w:p>
        </w:tc>
        <w:tc>
          <w:tcPr>
            <w:tcW w:w="1320" w:type="dxa"/>
            <w:shd w:val="clear" w:color="auto" w:fill="auto"/>
          </w:tcPr>
          <w:p w14:paraId="022F522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11,394</w:t>
            </w:r>
          </w:p>
        </w:tc>
      </w:tr>
      <w:tr w:rsidR="002523FB" w:rsidRPr="000C5ED6" w14:paraId="3D8D871F" w14:textId="77777777" w:rsidTr="00BC15CA">
        <w:tc>
          <w:tcPr>
            <w:tcW w:w="2750" w:type="dxa"/>
            <w:shd w:val="clear" w:color="auto" w:fill="auto"/>
          </w:tcPr>
          <w:p w14:paraId="17522787" w14:textId="77777777" w:rsidR="002523FB" w:rsidRPr="000C5ED6" w:rsidRDefault="002523FB" w:rsidP="00C2153C">
            <w:pPr>
              <w:rPr>
                <w:rFonts w:ascii="Arial" w:hAnsi="Arial" w:cs="Arial"/>
                <w:snapToGrid w:val="0"/>
                <w:color w:val="000000"/>
                <w:sz w:val="18"/>
                <w:szCs w:val="18"/>
                <w:vertAlign w:val="superscript"/>
              </w:rPr>
            </w:pPr>
            <w:r w:rsidRPr="000C5ED6">
              <w:rPr>
                <w:rFonts w:ascii="Arial" w:hAnsi="Arial" w:cs="Arial"/>
                <w:b/>
                <w:snapToGrid w:val="0"/>
                <w:color w:val="000000"/>
                <w:sz w:val="18"/>
                <w:szCs w:val="18"/>
              </w:rPr>
              <w:t>Y</w:t>
            </w:r>
            <w:r w:rsidRPr="000C5ED6">
              <w:rPr>
                <w:rFonts w:ascii="Arial" w:hAnsi="Arial" w:cs="Arial"/>
                <w:snapToGrid w:val="0"/>
                <w:color w:val="000000"/>
                <w:sz w:val="18"/>
                <w:szCs w:val="18"/>
              </w:rPr>
              <w:t xml:space="preserve">emen </w:t>
            </w:r>
          </w:p>
        </w:tc>
        <w:tc>
          <w:tcPr>
            <w:tcW w:w="1430" w:type="dxa"/>
            <w:shd w:val="clear" w:color="auto" w:fill="auto"/>
          </w:tcPr>
          <w:p w14:paraId="45C314B9"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67FEDD43"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377B4E4C"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10779639"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56CACFA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6E060949" w14:textId="77777777" w:rsidTr="00BC15CA">
        <w:tc>
          <w:tcPr>
            <w:tcW w:w="2750" w:type="dxa"/>
            <w:shd w:val="clear" w:color="auto" w:fill="auto"/>
          </w:tcPr>
          <w:p w14:paraId="79858C58" w14:textId="77777777" w:rsidR="002523FB" w:rsidRPr="000C5ED6" w:rsidRDefault="002523FB" w:rsidP="00C2153C">
            <w:pPr>
              <w:rPr>
                <w:rFonts w:ascii="Arial" w:hAnsi="Arial" w:cs="Arial"/>
                <w:snapToGrid w:val="0"/>
                <w:color w:val="000000"/>
                <w:sz w:val="18"/>
                <w:szCs w:val="18"/>
              </w:rPr>
            </w:pPr>
            <w:r w:rsidRPr="000C5ED6">
              <w:rPr>
                <w:rFonts w:ascii="Arial" w:hAnsi="Arial" w:cs="Arial"/>
                <w:b/>
                <w:snapToGrid w:val="0"/>
                <w:color w:val="000000"/>
                <w:sz w:val="18"/>
                <w:szCs w:val="18"/>
              </w:rPr>
              <w:t>Z</w:t>
            </w:r>
            <w:r w:rsidRPr="000C5ED6">
              <w:rPr>
                <w:rFonts w:ascii="Arial" w:hAnsi="Arial" w:cs="Arial"/>
                <w:snapToGrid w:val="0"/>
                <w:color w:val="000000"/>
                <w:sz w:val="18"/>
                <w:szCs w:val="18"/>
              </w:rPr>
              <w:t>ambia</w:t>
            </w:r>
          </w:p>
        </w:tc>
        <w:tc>
          <w:tcPr>
            <w:tcW w:w="1430" w:type="dxa"/>
            <w:shd w:val="clear" w:color="auto" w:fill="auto"/>
          </w:tcPr>
          <w:p w14:paraId="1366153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ter</w:t>
            </w:r>
          </w:p>
        </w:tc>
        <w:tc>
          <w:tcPr>
            <w:tcW w:w="1210" w:type="dxa"/>
            <w:shd w:val="clear" w:color="auto" w:fill="auto"/>
          </w:tcPr>
          <w:p w14:paraId="4E49960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0.03125</w:t>
            </w:r>
          </w:p>
        </w:tc>
        <w:tc>
          <w:tcPr>
            <w:tcW w:w="1320" w:type="dxa"/>
            <w:shd w:val="clear" w:color="auto" w:fill="auto"/>
          </w:tcPr>
          <w:p w14:paraId="780CA43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430" w:type="dxa"/>
            <w:shd w:val="clear" w:color="auto" w:fill="auto"/>
          </w:tcPr>
          <w:p w14:paraId="1803C0FF"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1,424 </w:t>
            </w:r>
          </w:p>
        </w:tc>
        <w:tc>
          <w:tcPr>
            <w:tcW w:w="1320" w:type="dxa"/>
            <w:shd w:val="clear" w:color="auto" w:fill="auto"/>
          </w:tcPr>
          <w:p w14:paraId="630FBE57"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2,848 </w:t>
            </w:r>
          </w:p>
        </w:tc>
      </w:tr>
      <w:tr w:rsidR="002523FB" w:rsidRPr="000C5ED6" w14:paraId="1A83B05B" w14:textId="77777777" w:rsidTr="00C2153C">
        <w:tc>
          <w:tcPr>
            <w:tcW w:w="2750" w:type="dxa"/>
            <w:shd w:val="clear" w:color="auto" w:fill="FFFFFF"/>
          </w:tcPr>
          <w:p w14:paraId="789F351F" w14:textId="77777777" w:rsidR="002523FB" w:rsidRPr="000C5ED6" w:rsidRDefault="002523FB" w:rsidP="00C2153C">
            <w:pPr>
              <w:rPr>
                <w:rFonts w:ascii="Arial" w:hAnsi="Arial" w:cs="Arial"/>
                <w:snapToGrid w:val="0"/>
                <w:color w:val="000000"/>
                <w:sz w:val="18"/>
                <w:szCs w:val="18"/>
              </w:rPr>
            </w:pPr>
            <w:r w:rsidRPr="000C5ED6">
              <w:rPr>
                <w:rFonts w:ascii="Arial" w:hAnsi="Arial" w:cs="Arial"/>
                <w:snapToGrid w:val="0"/>
                <w:color w:val="000000"/>
                <w:sz w:val="18"/>
                <w:szCs w:val="18"/>
              </w:rPr>
              <w:t>Zimbabwe</w:t>
            </w:r>
          </w:p>
        </w:tc>
        <w:tc>
          <w:tcPr>
            <w:tcW w:w="1430" w:type="dxa"/>
            <w:shd w:val="clear" w:color="auto" w:fill="FFFFFF"/>
          </w:tcPr>
          <w:p w14:paraId="0EC5CCFE" w14:textId="77777777" w:rsidR="002523FB" w:rsidRPr="000C5ED6" w:rsidRDefault="002523FB" w:rsidP="00C2153C">
            <w:pPr>
              <w:jc w:val="center"/>
              <w:rPr>
                <w:rFonts w:ascii="Arial" w:hAnsi="Arial" w:cs="Arial"/>
                <w:i/>
                <w:snapToGrid w:val="0"/>
                <w:color w:val="000000"/>
                <w:sz w:val="18"/>
                <w:szCs w:val="18"/>
              </w:rPr>
            </w:pPr>
            <w:r w:rsidRPr="000C5ED6">
              <w:rPr>
                <w:rFonts w:ascii="Arial" w:hAnsi="Arial" w:cs="Arial"/>
                <w:snapToGrid w:val="0"/>
                <w:color w:val="000000"/>
                <w:sz w:val="18"/>
                <w:szCs w:val="18"/>
              </w:rPr>
              <w:t>S</w:t>
            </w:r>
            <w:r w:rsidRPr="000C5ED6">
              <w:rPr>
                <w:rFonts w:ascii="Arial" w:hAnsi="Arial" w:cs="Arial"/>
                <w:i/>
                <w:snapToGrid w:val="0"/>
                <w:color w:val="000000"/>
                <w:sz w:val="18"/>
                <w:szCs w:val="18"/>
              </w:rPr>
              <w:t>bis</w:t>
            </w:r>
          </w:p>
        </w:tc>
        <w:tc>
          <w:tcPr>
            <w:tcW w:w="1210" w:type="dxa"/>
            <w:shd w:val="clear" w:color="auto" w:fill="FFFFFF"/>
          </w:tcPr>
          <w:p w14:paraId="5555E0F2"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0.0625</w:t>
            </w:r>
          </w:p>
        </w:tc>
        <w:tc>
          <w:tcPr>
            <w:tcW w:w="1320" w:type="dxa"/>
            <w:shd w:val="clear" w:color="auto" w:fill="FFFFFF"/>
          </w:tcPr>
          <w:p w14:paraId="5AA3985A"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430" w:type="dxa"/>
            <w:shd w:val="clear" w:color="auto" w:fill="FFFFFF"/>
          </w:tcPr>
          <w:p w14:paraId="511898E0"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2,849 </w:t>
            </w:r>
          </w:p>
        </w:tc>
        <w:tc>
          <w:tcPr>
            <w:tcW w:w="1320" w:type="dxa"/>
            <w:shd w:val="clear" w:color="auto" w:fill="FFFFFF"/>
          </w:tcPr>
          <w:p w14:paraId="37AD9D98" w14:textId="77777777" w:rsidR="002523FB" w:rsidRPr="000C5ED6" w:rsidRDefault="002523FB" w:rsidP="00C2153C">
            <w:pPr>
              <w:jc w:val="right"/>
              <w:rPr>
                <w:rFonts w:ascii="Arial" w:hAnsi="Arial" w:cs="Arial"/>
                <w:snapToGrid w:val="0"/>
                <w:color w:val="000000"/>
                <w:sz w:val="18"/>
                <w:szCs w:val="18"/>
              </w:rPr>
            </w:pPr>
            <w:r w:rsidRPr="000C5ED6">
              <w:rPr>
                <w:rFonts w:ascii="Arial" w:hAnsi="Arial" w:cs="Arial"/>
                <w:snapToGrid w:val="0"/>
                <w:color w:val="000000"/>
                <w:sz w:val="18"/>
                <w:szCs w:val="18"/>
              </w:rPr>
              <w:t xml:space="preserve">             5,698 </w:t>
            </w:r>
          </w:p>
        </w:tc>
      </w:tr>
      <w:tr w:rsidR="002523FB" w:rsidRPr="000C5ED6" w14:paraId="37DC7F2E" w14:textId="77777777" w:rsidTr="00C2153C">
        <w:tc>
          <w:tcPr>
            <w:tcW w:w="2750" w:type="dxa"/>
            <w:shd w:val="pct15" w:color="auto" w:fill="FFFFFF"/>
          </w:tcPr>
          <w:p w14:paraId="49114842" w14:textId="77777777" w:rsidR="002523FB" w:rsidRPr="000C5ED6" w:rsidRDefault="002523FB" w:rsidP="00C2153C">
            <w:pPr>
              <w:rPr>
                <w:rFonts w:ascii="Arial" w:hAnsi="Arial" w:cs="Arial"/>
                <w:b/>
                <w:snapToGrid w:val="0"/>
                <w:sz w:val="18"/>
                <w:szCs w:val="18"/>
                <w:vertAlign w:val="superscript"/>
              </w:rPr>
            </w:pPr>
            <w:r w:rsidRPr="000C5ED6">
              <w:rPr>
                <w:rFonts w:ascii="Arial" w:hAnsi="Arial" w:cs="Arial"/>
                <w:b/>
                <w:snapToGrid w:val="0"/>
                <w:sz w:val="18"/>
                <w:szCs w:val="18"/>
              </w:rPr>
              <w:t xml:space="preserve">Total Contributions </w:t>
            </w:r>
          </w:p>
        </w:tc>
        <w:tc>
          <w:tcPr>
            <w:tcW w:w="1430" w:type="dxa"/>
            <w:shd w:val="pct15" w:color="auto" w:fill="FFFFFF"/>
          </w:tcPr>
          <w:p w14:paraId="370DE478" w14:textId="77777777" w:rsidR="002523FB" w:rsidRPr="000C5ED6" w:rsidRDefault="002523FB" w:rsidP="00C2153C">
            <w:pPr>
              <w:jc w:val="right"/>
              <w:rPr>
                <w:rFonts w:ascii="Arial" w:hAnsi="Arial" w:cs="Arial"/>
                <w:b/>
                <w:snapToGrid w:val="0"/>
                <w:sz w:val="18"/>
                <w:szCs w:val="18"/>
              </w:rPr>
            </w:pPr>
          </w:p>
        </w:tc>
        <w:tc>
          <w:tcPr>
            <w:tcW w:w="1210" w:type="dxa"/>
            <w:shd w:val="pct15" w:color="auto" w:fill="FFFFFF"/>
          </w:tcPr>
          <w:p w14:paraId="2B0296ED" w14:textId="77777777" w:rsidR="002523FB" w:rsidRPr="000C5ED6" w:rsidRDefault="002523FB" w:rsidP="00C2153C">
            <w:pPr>
              <w:jc w:val="right"/>
              <w:rPr>
                <w:rFonts w:ascii="Arial" w:hAnsi="Arial" w:cs="Arial"/>
                <w:b/>
                <w:snapToGrid w:val="0"/>
                <w:sz w:val="18"/>
                <w:szCs w:val="18"/>
              </w:rPr>
            </w:pPr>
          </w:p>
        </w:tc>
        <w:tc>
          <w:tcPr>
            <w:tcW w:w="1320" w:type="dxa"/>
            <w:shd w:val="pct15" w:color="auto" w:fill="FFFFFF"/>
          </w:tcPr>
          <w:p w14:paraId="1D64D8F1" w14:textId="77777777" w:rsidR="002523FB" w:rsidRPr="000C5ED6" w:rsidRDefault="002523FB" w:rsidP="00C2153C">
            <w:pPr>
              <w:jc w:val="right"/>
              <w:rPr>
                <w:rFonts w:ascii="Arial" w:hAnsi="Arial" w:cs="Arial"/>
                <w:b/>
                <w:snapToGrid w:val="0"/>
                <w:sz w:val="18"/>
                <w:szCs w:val="18"/>
              </w:rPr>
            </w:pPr>
            <w:r>
              <w:rPr>
                <w:rFonts w:ascii="Arial" w:hAnsi="Arial" w:cs="Arial"/>
                <w:b/>
                <w:snapToGrid w:val="0"/>
                <w:sz w:val="18"/>
                <w:szCs w:val="18"/>
              </w:rPr>
              <w:t>17,361,317</w:t>
            </w:r>
          </w:p>
        </w:tc>
        <w:tc>
          <w:tcPr>
            <w:tcW w:w="1430" w:type="dxa"/>
            <w:shd w:val="pct15" w:color="auto" w:fill="FFFFFF"/>
          </w:tcPr>
          <w:p w14:paraId="40E35D08" w14:textId="77777777" w:rsidR="002523FB" w:rsidRPr="000C5ED6" w:rsidRDefault="002523FB" w:rsidP="00C2153C">
            <w:pPr>
              <w:jc w:val="right"/>
              <w:rPr>
                <w:rFonts w:ascii="Arial" w:hAnsi="Arial" w:cs="Arial"/>
                <w:b/>
                <w:snapToGrid w:val="0"/>
                <w:sz w:val="18"/>
                <w:szCs w:val="18"/>
              </w:rPr>
            </w:pPr>
            <w:r>
              <w:rPr>
                <w:rFonts w:ascii="Arial" w:hAnsi="Arial" w:cs="Arial"/>
                <w:b/>
                <w:snapToGrid w:val="0"/>
                <w:sz w:val="18"/>
                <w:szCs w:val="18"/>
              </w:rPr>
              <w:t>17,361,317</w:t>
            </w:r>
          </w:p>
        </w:tc>
        <w:tc>
          <w:tcPr>
            <w:tcW w:w="1320" w:type="dxa"/>
            <w:shd w:val="pct15" w:color="auto" w:fill="FFFFFF"/>
          </w:tcPr>
          <w:p w14:paraId="6D74E0AF" w14:textId="77777777" w:rsidR="002523FB" w:rsidRPr="000C5ED6" w:rsidRDefault="002523FB" w:rsidP="00C2153C">
            <w:pPr>
              <w:jc w:val="right"/>
              <w:rPr>
                <w:rFonts w:ascii="Arial" w:hAnsi="Arial" w:cs="Arial"/>
                <w:b/>
                <w:snapToGrid w:val="0"/>
                <w:sz w:val="18"/>
                <w:szCs w:val="18"/>
              </w:rPr>
            </w:pPr>
            <w:r>
              <w:rPr>
                <w:rFonts w:ascii="Arial" w:hAnsi="Arial" w:cs="Arial"/>
                <w:b/>
                <w:snapToGrid w:val="0"/>
                <w:sz w:val="18"/>
                <w:szCs w:val="18"/>
              </w:rPr>
              <w:t>34,722,634</w:t>
            </w:r>
          </w:p>
        </w:tc>
      </w:tr>
    </w:tbl>
    <w:p w14:paraId="08AC0129" w14:textId="77777777" w:rsidR="00FB583B" w:rsidRPr="00F04E0B" w:rsidRDefault="00FB583B" w:rsidP="008D3EC2">
      <w:pPr>
        <w:autoSpaceDE w:val="0"/>
        <w:autoSpaceDN w:val="0"/>
        <w:adjustRightInd w:val="0"/>
        <w:rPr>
          <w:rFonts w:ascii="Arial" w:hAnsi="Arial" w:cs="Arial"/>
          <w:sz w:val="18"/>
          <w:szCs w:val="18"/>
        </w:rPr>
      </w:pPr>
    </w:p>
    <w:p w14:paraId="174ABE6E" w14:textId="03874C12" w:rsidR="002523FB" w:rsidRPr="00F04E0B" w:rsidRDefault="002523FB" w:rsidP="002523FB">
      <w:pPr>
        <w:tabs>
          <w:tab w:val="left" w:pos="284"/>
        </w:tabs>
        <w:ind w:hanging="6"/>
        <w:jc w:val="both"/>
        <w:rPr>
          <w:rFonts w:ascii="Arial" w:hAnsi="Arial" w:cs="Arial"/>
          <w:snapToGrid w:val="0"/>
          <w:color w:val="000000"/>
          <w:sz w:val="18"/>
          <w:szCs w:val="18"/>
        </w:rPr>
      </w:pPr>
      <w:r w:rsidRPr="00F04E0B">
        <w:rPr>
          <w:rFonts w:ascii="Arial" w:hAnsi="Arial" w:cs="Arial"/>
          <w:snapToGrid w:val="0"/>
          <w:color w:val="000000"/>
          <w:sz w:val="18"/>
          <w:szCs w:val="18"/>
          <w:vertAlign w:val="superscript"/>
        </w:rPr>
        <w:t>1</w:t>
      </w:r>
      <w:r w:rsidRPr="00F04E0B">
        <w:rPr>
          <w:rFonts w:ascii="Arial" w:hAnsi="Arial" w:cs="Arial"/>
          <w:snapToGrid w:val="0"/>
          <w:color w:val="000000"/>
          <w:sz w:val="18"/>
          <w:szCs w:val="18"/>
        </w:rPr>
        <w:tab/>
        <w:t>The value of one unit remains unchanged for 2016 and 2017 at 45,579 Swiss francs as compared to 2014 and</w:t>
      </w:r>
      <w:r w:rsidR="00F04E0B">
        <w:rPr>
          <w:rFonts w:ascii="Arial" w:hAnsi="Arial" w:cs="Arial"/>
          <w:snapToGrid w:val="0"/>
          <w:color w:val="000000"/>
          <w:sz w:val="18"/>
          <w:szCs w:val="18"/>
        </w:rPr>
        <w:t> </w:t>
      </w:r>
      <w:r w:rsidRPr="00F04E0B">
        <w:rPr>
          <w:rFonts w:ascii="Arial" w:hAnsi="Arial" w:cs="Arial"/>
          <w:snapToGrid w:val="0"/>
          <w:color w:val="000000"/>
          <w:sz w:val="18"/>
          <w:szCs w:val="18"/>
        </w:rPr>
        <w:t>2015.</w:t>
      </w:r>
    </w:p>
    <w:p w14:paraId="147278FE" w14:textId="77777777" w:rsidR="00F04E0B" w:rsidRPr="00F04E0B" w:rsidRDefault="00F04E0B" w:rsidP="002523FB">
      <w:pPr>
        <w:tabs>
          <w:tab w:val="left" w:pos="284"/>
        </w:tabs>
        <w:ind w:hanging="6"/>
        <w:jc w:val="both"/>
        <w:rPr>
          <w:rFonts w:ascii="Arial" w:hAnsi="Arial" w:cs="Arial"/>
          <w:snapToGrid w:val="0"/>
          <w:color w:val="000000"/>
          <w:sz w:val="18"/>
          <w:szCs w:val="18"/>
        </w:rPr>
      </w:pPr>
    </w:p>
    <w:p w14:paraId="2978488C" w14:textId="77777777" w:rsidR="002523FB" w:rsidRPr="00F04E0B" w:rsidRDefault="002523FB" w:rsidP="002523FB">
      <w:pPr>
        <w:pStyle w:val="BodyTextIndent2"/>
        <w:tabs>
          <w:tab w:val="left" w:pos="0"/>
          <w:tab w:val="left" w:pos="330"/>
        </w:tabs>
        <w:spacing w:after="160"/>
        <w:rPr>
          <w:rFonts w:cs="Arial"/>
          <w:sz w:val="18"/>
          <w:szCs w:val="18"/>
        </w:rPr>
      </w:pPr>
      <w:r w:rsidRPr="00F04E0B">
        <w:rPr>
          <w:rFonts w:cs="Arial"/>
          <w:sz w:val="18"/>
          <w:szCs w:val="18"/>
          <w:vertAlign w:val="superscript"/>
        </w:rPr>
        <w:t>2</w:t>
      </w:r>
      <w:r w:rsidRPr="00F04E0B">
        <w:rPr>
          <w:rFonts w:cs="Arial"/>
          <w:sz w:val="18"/>
          <w:szCs w:val="18"/>
        </w:rPr>
        <w:t xml:space="preserve"> </w:t>
      </w:r>
      <w:r w:rsidRPr="00F04E0B">
        <w:rPr>
          <w:rFonts w:cs="Arial"/>
          <w:sz w:val="18"/>
          <w:szCs w:val="18"/>
        </w:rPr>
        <w:tab/>
        <w:t>States members of WIPO which are not members of any of the Unions.</w:t>
      </w:r>
    </w:p>
    <w:p w14:paraId="27EC45D9" w14:textId="77777777" w:rsidR="002523FB" w:rsidRDefault="002523FB" w:rsidP="008D3EC2">
      <w:pPr>
        <w:autoSpaceDE w:val="0"/>
        <w:autoSpaceDN w:val="0"/>
        <w:adjustRightInd w:val="0"/>
        <w:rPr>
          <w:rFonts w:ascii="Arial" w:hAnsi="Arial" w:cs="Arial"/>
          <w:sz w:val="20"/>
        </w:rPr>
      </w:pPr>
    </w:p>
    <w:p w14:paraId="7C6FA32D" w14:textId="1296825B" w:rsidR="00F04E0B" w:rsidRDefault="00F04E0B">
      <w:pPr>
        <w:rPr>
          <w:rFonts w:ascii="Arial" w:hAnsi="Arial" w:cs="Arial"/>
          <w:sz w:val="20"/>
        </w:rPr>
      </w:pPr>
      <w:r>
        <w:rPr>
          <w:rFonts w:ascii="Arial" w:hAnsi="Arial" w:cs="Arial"/>
          <w:sz w:val="20"/>
        </w:rPr>
        <w:br w:type="page"/>
      </w:r>
    </w:p>
    <w:p w14:paraId="33139ABA" w14:textId="77777777" w:rsidR="002523FB" w:rsidRDefault="002523FB" w:rsidP="008D3EC2">
      <w:pPr>
        <w:autoSpaceDE w:val="0"/>
        <w:autoSpaceDN w:val="0"/>
        <w:adjustRightInd w:val="0"/>
        <w:rPr>
          <w:rFonts w:ascii="Arial" w:hAnsi="Arial" w:cs="Arial"/>
          <w:sz w:val="20"/>
        </w:rPr>
      </w:pPr>
    </w:p>
    <w:p w14:paraId="45F5E465" w14:textId="410D164A" w:rsidR="00FB583B" w:rsidRPr="00B35BD1" w:rsidRDefault="00FB583B" w:rsidP="00FB583B">
      <w:pPr>
        <w:pStyle w:val="StyleHeading3ComplexItalic"/>
        <w:keepNext w:val="0"/>
        <w:tabs>
          <w:tab w:val="clear" w:pos="1985"/>
          <w:tab w:val="left" w:pos="0"/>
        </w:tabs>
        <w:rPr>
          <w:caps w:val="0"/>
        </w:rPr>
      </w:pPr>
      <w:bookmarkStart w:id="147" w:name="_Toc293334852"/>
      <w:bookmarkStart w:id="148" w:name="_Toc298920434"/>
      <w:bookmarkStart w:id="149" w:name="_Toc310950814"/>
      <w:bookmarkStart w:id="150" w:name="_Toc356567800"/>
      <w:bookmarkStart w:id="151" w:name="_Toc367350626"/>
      <w:bookmarkStart w:id="152" w:name="_Toc427154448"/>
      <w:r w:rsidRPr="00B35BD1">
        <w:rPr>
          <w:caps w:val="0"/>
        </w:rPr>
        <w:t xml:space="preserve">APPENDIX B    </w:t>
      </w:r>
      <w:r w:rsidRPr="00B35BD1">
        <w:rPr>
          <w:caps w:val="0"/>
        </w:rPr>
        <w:br/>
        <w:t xml:space="preserve">DEFINITION OF </w:t>
      </w:r>
      <w:r w:rsidR="0032473C">
        <w:rPr>
          <w:caps w:val="0"/>
        </w:rPr>
        <w:t>COST CATEGORIES</w:t>
      </w:r>
      <w:bookmarkEnd w:id="147"/>
      <w:bookmarkEnd w:id="148"/>
      <w:bookmarkEnd w:id="149"/>
      <w:bookmarkEnd w:id="150"/>
      <w:bookmarkEnd w:id="151"/>
      <w:bookmarkEnd w:id="152"/>
    </w:p>
    <w:p w14:paraId="12D85CE0" w14:textId="116FCA2E" w:rsidR="00FB583B" w:rsidRDefault="00FB583B" w:rsidP="008D3EC2">
      <w:pPr>
        <w:autoSpaceDE w:val="0"/>
        <w:autoSpaceDN w:val="0"/>
        <w:adjustRightInd w:val="0"/>
        <w:rPr>
          <w:rFonts w:ascii="Arial" w:hAnsi="Arial" w:cs="Arial"/>
          <w:sz w:val="20"/>
        </w:rPr>
      </w:pPr>
    </w:p>
    <w:p w14:paraId="1FB5F816" w14:textId="77777777" w:rsidR="005A1F7F" w:rsidRDefault="005A1F7F" w:rsidP="005A1F7F">
      <w:pPr>
        <w:ind w:right="91"/>
        <w:rPr>
          <w:rFonts w:ascii="Arial" w:hAnsi="Arial" w:cs="Arial"/>
          <w:b/>
          <w:sz w:val="20"/>
        </w:rPr>
      </w:pPr>
    </w:p>
    <w:p w14:paraId="5C9354A6" w14:textId="77777777" w:rsidR="005A1F7F" w:rsidRPr="00CF238E" w:rsidRDefault="005A1F7F" w:rsidP="005A1F7F">
      <w:pPr>
        <w:ind w:right="91"/>
        <w:rPr>
          <w:rFonts w:ascii="Arial" w:hAnsi="Arial" w:cs="Arial"/>
          <w:b/>
          <w:sz w:val="20"/>
        </w:rPr>
      </w:pPr>
      <w:r>
        <w:rPr>
          <w:rFonts w:ascii="Arial" w:hAnsi="Arial" w:cs="Arial"/>
          <w:b/>
          <w:sz w:val="20"/>
        </w:rPr>
        <w:t>S</w:t>
      </w:r>
      <w:r w:rsidRPr="00CF238E">
        <w:rPr>
          <w:rFonts w:ascii="Arial" w:hAnsi="Arial" w:cs="Arial"/>
          <w:b/>
          <w:sz w:val="20"/>
        </w:rPr>
        <w:t>OURCES OF INCOME</w:t>
      </w:r>
    </w:p>
    <w:p w14:paraId="1B233D66" w14:textId="77777777" w:rsidR="005A1F7F" w:rsidRPr="00CF238E" w:rsidRDefault="005A1F7F" w:rsidP="005A1F7F">
      <w:pPr>
        <w:ind w:right="91"/>
        <w:jc w:val="both"/>
        <w:rPr>
          <w:rFonts w:ascii="Arial" w:hAnsi="Arial" w:cs="Arial"/>
          <w:sz w:val="20"/>
        </w:rPr>
      </w:pPr>
    </w:p>
    <w:p w14:paraId="31F72468" w14:textId="77777777" w:rsidR="005A1F7F" w:rsidRPr="00CF238E" w:rsidRDefault="005A1F7F" w:rsidP="005A1F7F">
      <w:pPr>
        <w:tabs>
          <w:tab w:val="left" w:pos="567"/>
        </w:tabs>
        <w:ind w:left="567" w:right="91"/>
        <w:jc w:val="both"/>
        <w:rPr>
          <w:rFonts w:ascii="Arial" w:hAnsi="Arial" w:cs="Arial"/>
          <w:color w:val="000000"/>
          <w:sz w:val="20"/>
        </w:rPr>
      </w:pPr>
      <w:r w:rsidRPr="00CF238E">
        <w:rPr>
          <w:rFonts w:ascii="Arial" w:hAnsi="Arial" w:cs="Arial"/>
          <w:b/>
          <w:bCs/>
          <w:i/>
          <w:iCs/>
          <w:color w:val="000000"/>
          <w:sz w:val="20"/>
        </w:rPr>
        <w:t>Contributions</w:t>
      </w:r>
      <w:r w:rsidRPr="00CF238E">
        <w:rPr>
          <w:rFonts w:ascii="Arial" w:hAnsi="Arial" w:cs="Arial"/>
          <w:i/>
          <w:iCs/>
          <w:color w:val="000000"/>
          <w:sz w:val="20"/>
        </w:rPr>
        <w:t>:</w:t>
      </w:r>
      <w:r w:rsidRPr="00CF238E">
        <w:rPr>
          <w:rFonts w:ascii="Arial" w:hAnsi="Arial" w:cs="Arial"/>
          <w:color w:val="000000"/>
          <w:sz w:val="20"/>
        </w:rPr>
        <w:t xml:space="preserve">  Contributions of Member States to the Organization under the unitary contribution system.</w:t>
      </w:r>
    </w:p>
    <w:p w14:paraId="713C8604" w14:textId="77777777" w:rsidR="005A1F7F" w:rsidRPr="00CF238E" w:rsidRDefault="005A1F7F" w:rsidP="005A1F7F">
      <w:pPr>
        <w:pStyle w:val="zanxtext"/>
        <w:spacing w:before="0"/>
        <w:ind w:right="91"/>
        <w:jc w:val="both"/>
        <w:rPr>
          <w:rFonts w:ascii="Arial" w:hAnsi="Arial" w:cs="Arial"/>
          <w:sz w:val="20"/>
        </w:rPr>
      </w:pPr>
    </w:p>
    <w:p w14:paraId="39EE384C" w14:textId="77777777" w:rsidR="005A1F7F" w:rsidRPr="00CF238E" w:rsidRDefault="005A1F7F" w:rsidP="005A1F7F">
      <w:pPr>
        <w:tabs>
          <w:tab w:val="left" w:pos="567"/>
        </w:tabs>
        <w:ind w:left="567" w:right="91"/>
        <w:jc w:val="both"/>
        <w:rPr>
          <w:rFonts w:ascii="Arial" w:hAnsi="Arial" w:cs="Arial"/>
          <w:color w:val="000000"/>
          <w:sz w:val="20"/>
        </w:rPr>
      </w:pPr>
      <w:r w:rsidRPr="00CF238E">
        <w:rPr>
          <w:rFonts w:ascii="Arial" w:hAnsi="Arial" w:cs="Arial"/>
          <w:b/>
          <w:bCs/>
          <w:i/>
          <w:iCs/>
          <w:color w:val="000000"/>
          <w:sz w:val="20"/>
        </w:rPr>
        <w:t>Fees</w:t>
      </w:r>
      <w:r w:rsidRPr="00CF238E">
        <w:rPr>
          <w:rFonts w:ascii="Arial" w:hAnsi="Arial" w:cs="Arial"/>
          <w:color w:val="000000"/>
          <w:sz w:val="20"/>
        </w:rPr>
        <w:t>:  Fees for the International Bureau under the PCT, Madrid, Hague and Lisbon Systems</w:t>
      </w:r>
      <w:r>
        <w:rPr>
          <w:rFonts w:ascii="Arial" w:hAnsi="Arial" w:cs="Arial"/>
          <w:color w:val="000000"/>
          <w:sz w:val="20"/>
        </w:rPr>
        <w:t>,  net of related currency adjustments</w:t>
      </w:r>
      <w:r w:rsidRPr="00CF238E">
        <w:rPr>
          <w:rFonts w:ascii="Arial" w:hAnsi="Arial" w:cs="Arial"/>
          <w:color w:val="000000"/>
          <w:sz w:val="20"/>
        </w:rPr>
        <w:t xml:space="preserve">. </w:t>
      </w:r>
    </w:p>
    <w:p w14:paraId="02F28438" w14:textId="77777777" w:rsidR="005A1F7F" w:rsidRPr="00CF238E" w:rsidRDefault="005A1F7F" w:rsidP="005A1F7F">
      <w:pPr>
        <w:pStyle w:val="zanxtext"/>
        <w:spacing w:before="0"/>
        <w:ind w:right="91"/>
        <w:jc w:val="both"/>
        <w:rPr>
          <w:rFonts w:ascii="Arial" w:hAnsi="Arial" w:cs="Arial"/>
          <w:sz w:val="20"/>
        </w:rPr>
      </w:pPr>
    </w:p>
    <w:p w14:paraId="2CC70C32" w14:textId="77777777" w:rsidR="005A1F7F" w:rsidRDefault="005A1F7F" w:rsidP="005A1F7F">
      <w:pPr>
        <w:tabs>
          <w:tab w:val="left" w:pos="567"/>
        </w:tabs>
        <w:ind w:left="567" w:right="91"/>
        <w:jc w:val="both"/>
        <w:rPr>
          <w:rFonts w:ascii="Arial" w:hAnsi="Arial" w:cs="Arial"/>
          <w:b/>
          <w:bCs/>
          <w:i/>
          <w:iCs/>
          <w:color w:val="000000"/>
          <w:sz w:val="20"/>
        </w:rPr>
      </w:pPr>
      <w:r>
        <w:rPr>
          <w:rFonts w:ascii="Arial" w:hAnsi="Arial" w:cs="Arial"/>
          <w:b/>
          <w:bCs/>
          <w:i/>
          <w:iCs/>
          <w:color w:val="000000"/>
          <w:sz w:val="20"/>
        </w:rPr>
        <w:t xml:space="preserve">Arbitration:  </w:t>
      </w:r>
      <w:r>
        <w:rPr>
          <w:rFonts w:ascii="Arial" w:hAnsi="Arial" w:cs="Arial"/>
          <w:color w:val="000000"/>
          <w:sz w:val="20"/>
        </w:rPr>
        <w:t>Fe</w:t>
      </w:r>
      <w:r w:rsidRPr="00CF238E">
        <w:rPr>
          <w:rFonts w:ascii="Arial" w:hAnsi="Arial" w:cs="Arial"/>
          <w:color w:val="000000"/>
          <w:sz w:val="20"/>
        </w:rPr>
        <w:t>es for the arbitration of domain names</w:t>
      </w:r>
      <w:r>
        <w:rPr>
          <w:rFonts w:ascii="Arial" w:hAnsi="Arial" w:cs="Arial"/>
          <w:color w:val="000000"/>
          <w:sz w:val="20"/>
        </w:rPr>
        <w:t>, registration fees for the meetings of the WIPO Arbitration and Mediation Center, net of related currency adjustments</w:t>
      </w:r>
    </w:p>
    <w:p w14:paraId="6B2BA850" w14:textId="77777777" w:rsidR="005A1F7F" w:rsidRDefault="005A1F7F" w:rsidP="005A1F7F">
      <w:pPr>
        <w:tabs>
          <w:tab w:val="left" w:pos="567"/>
        </w:tabs>
        <w:ind w:left="567" w:right="91"/>
        <w:jc w:val="both"/>
        <w:rPr>
          <w:rFonts w:ascii="Arial" w:hAnsi="Arial" w:cs="Arial"/>
          <w:b/>
          <w:bCs/>
          <w:i/>
          <w:iCs/>
          <w:color w:val="000000"/>
          <w:sz w:val="20"/>
        </w:rPr>
      </w:pPr>
    </w:p>
    <w:p w14:paraId="04E50738" w14:textId="77777777" w:rsidR="005A1F7F" w:rsidRPr="00CF238E" w:rsidRDefault="005A1F7F" w:rsidP="005A1F7F">
      <w:pPr>
        <w:tabs>
          <w:tab w:val="left" w:pos="567"/>
        </w:tabs>
        <w:ind w:left="567" w:right="91"/>
        <w:jc w:val="both"/>
        <w:rPr>
          <w:rFonts w:ascii="Arial" w:hAnsi="Arial" w:cs="Arial"/>
          <w:color w:val="000000"/>
          <w:sz w:val="20"/>
        </w:rPr>
      </w:pPr>
      <w:r w:rsidRPr="00CF238E">
        <w:rPr>
          <w:rFonts w:ascii="Arial" w:hAnsi="Arial" w:cs="Arial"/>
          <w:b/>
          <w:bCs/>
          <w:i/>
          <w:iCs/>
          <w:color w:val="000000"/>
          <w:sz w:val="20"/>
        </w:rPr>
        <w:t>In</w:t>
      </w:r>
      <w:r>
        <w:rPr>
          <w:rFonts w:ascii="Arial" w:hAnsi="Arial" w:cs="Arial"/>
          <w:b/>
          <w:bCs/>
          <w:i/>
          <w:iCs/>
          <w:color w:val="000000"/>
          <w:sz w:val="20"/>
        </w:rPr>
        <w:t>vestment revenue</w:t>
      </w:r>
      <w:r w:rsidRPr="00CF238E">
        <w:rPr>
          <w:rFonts w:ascii="Arial" w:hAnsi="Arial" w:cs="Arial"/>
          <w:color w:val="000000"/>
          <w:sz w:val="20"/>
        </w:rPr>
        <w:t xml:space="preserve">:  Revenues </w:t>
      </w:r>
      <w:r>
        <w:rPr>
          <w:rFonts w:ascii="Arial" w:hAnsi="Arial" w:cs="Arial"/>
          <w:color w:val="000000"/>
          <w:sz w:val="20"/>
        </w:rPr>
        <w:t xml:space="preserve">earned from investments, including </w:t>
      </w:r>
      <w:r w:rsidRPr="00CF238E">
        <w:rPr>
          <w:rFonts w:ascii="Arial" w:hAnsi="Arial" w:cs="Arial"/>
          <w:color w:val="000000"/>
          <w:sz w:val="20"/>
        </w:rPr>
        <w:t>interest on capital deposits.</w:t>
      </w:r>
    </w:p>
    <w:p w14:paraId="61529016" w14:textId="77777777" w:rsidR="005A1F7F" w:rsidRPr="00CF238E" w:rsidRDefault="005A1F7F" w:rsidP="005A1F7F">
      <w:pPr>
        <w:pStyle w:val="zanxtext"/>
        <w:spacing w:before="0"/>
        <w:ind w:right="91"/>
        <w:jc w:val="both"/>
        <w:rPr>
          <w:rFonts w:ascii="Arial" w:hAnsi="Arial" w:cs="Arial"/>
          <w:sz w:val="20"/>
        </w:rPr>
      </w:pPr>
    </w:p>
    <w:p w14:paraId="376E844B" w14:textId="77777777" w:rsidR="005A1F7F" w:rsidRPr="00CF238E" w:rsidRDefault="005A1F7F" w:rsidP="005A1F7F">
      <w:pPr>
        <w:tabs>
          <w:tab w:val="left" w:pos="567"/>
        </w:tabs>
        <w:ind w:left="567" w:right="91"/>
        <w:jc w:val="both"/>
        <w:rPr>
          <w:rFonts w:ascii="Arial" w:hAnsi="Arial" w:cs="Arial"/>
          <w:color w:val="000000"/>
          <w:sz w:val="20"/>
        </w:rPr>
      </w:pPr>
      <w:r w:rsidRPr="00CF238E">
        <w:rPr>
          <w:rFonts w:ascii="Arial" w:hAnsi="Arial" w:cs="Arial"/>
          <w:b/>
          <w:bCs/>
          <w:i/>
          <w:iCs/>
          <w:color w:val="000000"/>
          <w:sz w:val="20"/>
        </w:rPr>
        <w:t>Publications</w:t>
      </w:r>
      <w:r w:rsidRPr="00CF238E">
        <w:rPr>
          <w:rFonts w:ascii="Arial" w:hAnsi="Arial" w:cs="Arial"/>
          <w:color w:val="000000"/>
          <w:sz w:val="20"/>
        </w:rPr>
        <w:t>:  Revenues from the sale of publications and from subscriptions to periodicals published by the Secretariat, in paper, CD</w:t>
      </w:r>
      <w:r w:rsidRPr="00CF238E">
        <w:rPr>
          <w:rFonts w:ascii="Arial" w:hAnsi="Arial" w:cs="Arial"/>
          <w:color w:val="000000"/>
          <w:sz w:val="20"/>
        </w:rPr>
        <w:noBreakHyphen/>
        <w:t>ROM or any other format.</w:t>
      </w:r>
    </w:p>
    <w:p w14:paraId="25D60518" w14:textId="77777777" w:rsidR="005A1F7F" w:rsidRPr="00CF238E" w:rsidRDefault="005A1F7F" w:rsidP="005A1F7F">
      <w:pPr>
        <w:pStyle w:val="zanxtext"/>
        <w:spacing w:before="0"/>
        <w:ind w:right="91"/>
        <w:jc w:val="both"/>
        <w:rPr>
          <w:rFonts w:ascii="Arial" w:hAnsi="Arial" w:cs="Arial"/>
          <w:sz w:val="20"/>
        </w:rPr>
      </w:pPr>
    </w:p>
    <w:p w14:paraId="1E8E2703" w14:textId="77777777" w:rsidR="005A1F7F" w:rsidRPr="00CF238E" w:rsidRDefault="005A1F7F" w:rsidP="005A1F7F">
      <w:pPr>
        <w:tabs>
          <w:tab w:val="left" w:pos="567"/>
        </w:tabs>
        <w:ind w:left="567" w:right="91"/>
        <w:jc w:val="both"/>
        <w:rPr>
          <w:rFonts w:ascii="Arial" w:hAnsi="Arial" w:cs="Arial"/>
          <w:color w:val="000000"/>
          <w:sz w:val="20"/>
        </w:rPr>
      </w:pPr>
      <w:r>
        <w:rPr>
          <w:rFonts w:ascii="Arial" w:hAnsi="Arial" w:cs="Arial"/>
          <w:b/>
          <w:bCs/>
          <w:i/>
          <w:iCs/>
          <w:color w:val="000000"/>
          <w:sz w:val="20"/>
        </w:rPr>
        <w:t xml:space="preserve">Miscellaneous </w:t>
      </w:r>
      <w:r w:rsidRPr="00CF238E">
        <w:rPr>
          <w:rFonts w:ascii="Arial" w:hAnsi="Arial" w:cs="Arial"/>
          <w:b/>
          <w:bCs/>
          <w:i/>
          <w:iCs/>
          <w:color w:val="000000"/>
          <w:sz w:val="20"/>
        </w:rPr>
        <w:t>income</w:t>
      </w:r>
      <w:r w:rsidRPr="00CF238E">
        <w:rPr>
          <w:rFonts w:ascii="Arial" w:hAnsi="Arial" w:cs="Arial"/>
          <w:color w:val="000000"/>
          <w:sz w:val="20"/>
        </w:rPr>
        <w:t>:  registration fees for conferences and training courses, support charges in respect of extra</w:t>
      </w:r>
      <w:r w:rsidRPr="00CF238E">
        <w:rPr>
          <w:rFonts w:ascii="Arial" w:hAnsi="Arial" w:cs="Arial"/>
          <w:color w:val="000000"/>
          <w:sz w:val="20"/>
        </w:rPr>
        <w:noBreakHyphen/>
        <w:t>budgetary activities executed by WIPO and financed by UNDP and trust funds, accounting adjustments (credits) in respect of prior years and currency adjustments, rental of WIPO premises, UPOV’s payments to WIPO for administrative support services.</w:t>
      </w:r>
    </w:p>
    <w:p w14:paraId="4E7B67E5" w14:textId="77777777" w:rsidR="005A1F7F" w:rsidRDefault="005A1F7F" w:rsidP="005A1F7F">
      <w:pPr>
        <w:pStyle w:val="zanxtext"/>
        <w:spacing w:before="0"/>
        <w:ind w:right="91"/>
        <w:jc w:val="both"/>
        <w:rPr>
          <w:rFonts w:ascii="Arial" w:hAnsi="Arial" w:cs="Arial"/>
          <w:sz w:val="20"/>
        </w:rPr>
      </w:pPr>
    </w:p>
    <w:p w14:paraId="6F4D92CE" w14:textId="77777777" w:rsidR="005A1F7F" w:rsidRPr="00CF238E" w:rsidRDefault="005A1F7F" w:rsidP="005A1F7F">
      <w:pPr>
        <w:pStyle w:val="zanxtext"/>
        <w:spacing w:before="0"/>
        <w:ind w:right="91"/>
        <w:jc w:val="both"/>
        <w:rPr>
          <w:rFonts w:ascii="Arial" w:hAnsi="Arial" w:cs="Arial"/>
          <w:sz w:val="20"/>
        </w:rPr>
      </w:pPr>
    </w:p>
    <w:p w14:paraId="0E05E824" w14:textId="77777777" w:rsidR="005A1F7F" w:rsidRPr="00CF238E" w:rsidRDefault="005A1F7F" w:rsidP="005A1F7F">
      <w:pPr>
        <w:pStyle w:val="Footer"/>
        <w:ind w:right="91"/>
        <w:jc w:val="both"/>
        <w:rPr>
          <w:rFonts w:ascii="Arial" w:hAnsi="Arial" w:cs="Arial"/>
          <w:b/>
          <w:sz w:val="20"/>
        </w:rPr>
      </w:pPr>
      <w:r w:rsidRPr="00CF238E">
        <w:rPr>
          <w:rFonts w:ascii="Arial" w:hAnsi="Arial" w:cs="Arial"/>
          <w:b/>
          <w:sz w:val="20"/>
        </w:rPr>
        <w:t>OBJECTS OF EXPENDITURE</w:t>
      </w:r>
    </w:p>
    <w:p w14:paraId="13A777EF" w14:textId="77777777" w:rsidR="005A1F7F" w:rsidRPr="00CF238E" w:rsidRDefault="005A1F7F" w:rsidP="005A1F7F">
      <w:pPr>
        <w:pStyle w:val="zanxtext"/>
        <w:spacing w:before="0"/>
        <w:ind w:right="91"/>
        <w:jc w:val="both"/>
        <w:rPr>
          <w:rFonts w:ascii="Arial" w:hAnsi="Arial" w:cs="Arial"/>
          <w:sz w:val="20"/>
        </w:rPr>
      </w:pPr>
    </w:p>
    <w:p w14:paraId="1AB0D0E9" w14:textId="77777777" w:rsidR="005A1F7F" w:rsidRPr="003151BA" w:rsidRDefault="005A1F7F" w:rsidP="005A1F7F">
      <w:pPr>
        <w:pStyle w:val="zanxtext"/>
        <w:spacing w:before="0"/>
        <w:ind w:right="91"/>
        <w:jc w:val="both"/>
        <w:rPr>
          <w:rFonts w:ascii="Arial" w:hAnsi="Arial" w:cs="Arial"/>
          <w:bCs/>
          <w:sz w:val="20"/>
        </w:rPr>
      </w:pPr>
      <w:r w:rsidRPr="003151BA">
        <w:rPr>
          <w:rFonts w:ascii="Arial" w:hAnsi="Arial" w:cs="Arial"/>
          <w:bCs/>
          <w:sz w:val="20"/>
        </w:rPr>
        <w:t>PERSONNEL RESOURCES</w:t>
      </w:r>
    </w:p>
    <w:p w14:paraId="0C4B4042" w14:textId="77777777" w:rsidR="005A1F7F" w:rsidRPr="00CF238E" w:rsidRDefault="005A1F7F" w:rsidP="005A1F7F">
      <w:pPr>
        <w:pStyle w:val="zanxtext"/>
        <w:spacing w:before="0"/>
        <w:ind w:right="91"/>
        <w:jc w:val="both"/>
        <w:rPr>
          <w:rFonts w:ascii="Arial" w:hAnsi="Arial" w:cs="Arial"/>
          <w:b/>
          <w:sz w:val="20"/>
          <w:u w:val="single"/>
        </w:rPr>
      </w:pPr>
    </w:p>
    <w:p w14:paraId="3DECCDA3" w14:textId="77777777" w:rsidR="005A1F7F" w:rsidRDefault="005A1F7F" w:rsidP="005A1F7F">
      <w:pPr>
        <w:tabs>
          <w:tab w:val="left" w:pos="567"/>
        </w:tabs>
        <w:ind w:left="567" w:right="91"/>
        <w:jc w:val="both"/>
        <w:rPr>
          <w:rFonts w:ascii="Arial" w:hAnsi="Arial" w:cs="Arial"/>
          <w:sz w:val="20"/>
        </w:rPr>
      </w:pPr>
      <w:r w:rsidRPr="00CF238E">
        <w:rPr>
          <w:rFonts w:ascii="Arial" w:hAnsi="Arial" w:cs="Arial"/>
          <w:b/>
          <w:i/>
          <w:sz w:val="20"/>
        </w:rPr>
        <w:t>Posts:</w:t>
      </w:r>
      <w:r w:rsidRPr="00CF238E">
        <w:rPr>
          <w:rFonts w:ascii="Arial" w:hAnsi="Arial" w:cs="Arial"/>
          <w:sz w:val="20"/>
        </w:rPr>
        <w:t xml:space="preserve">  remuneration received by staff members, in particular salaries, post adjustment, dependency allowances, language allowances and overtime, non</w:t>
      </w:r>
      <w:r w:rsidRPr="00CF238E">
        <w:rPr>
          <w:rFonts w:ascii="Arial" w:hAnsi="Arial" w:cs="Arial"/>
          <w:sz w:val="20"/>
        </w:rPr>
        <w:noBreakHyphen/>
        <w:t>resident allowances, assignment grant and representation allowances.</w:t>
      </w:r>
    </w:p>
    <w:p w14:paraId="4099BFC1" w14:textId="77777777" w:rsidR="005A1F7F" w:rsidRPr="00CF238E" w:rsidRDefault="005A1F7F" w:rsidP="005A1F7F">
      <w:pPr>
        <w:tabs>
          <w:tab w:val="left" w:pos="567"/>
        </w:tabs>
        <w:ind w:left="567" w:right="91"/>
        <w:jc w:val="both"/>
        <w:rPr>
          <w:rFonts w:ascii="Arial" w:hAnsi="Arial" w:cs="Arial"/>
          <w:i/>
          <w:sz w:val="20"/>
        </w:rPr>
      </w:pPr>
    </w:p>
    <w:p w14:paraId="655E2B46" w14:textId="77777777" w:rsidR="005A1F7F" w:rsidRPr="00CF238E" w:rsidRDefault="005A1F7F" w:rsidP="005A1F7F">
      <w:pPr>
        <w:tabs>
          <w:tab w:val="left" w:pos="567"/>
        </w:tabs>
        <w:ind w:left="567" w:right="91"/>
        <w:jc w:val="both"/>
        <w:rPr>
          <w:rFonts w:ascii="Arial" w:hAnsi="Arial" w:cs="Arial"/>
          <w:color w:val="000000"/>
          <w:sz w:val="20"/>
        </w:rPr>
      </w:pPr>
      <w:r>
        <w:rPr>
          <w:rFonts w:ascii="Arial" w:hAnsi="Arial" w:cs="Arial"/>
          <w:b/>
          <w:bCs/>
          <w:i/>
          <w:iCs/>
          <w:color w:val="000000"/>
          <w:sz w:val="20"/>
        </w:rPr>
        <w:t>Temporary Staff</w:t>
      </w:r>
      <w:r w:rsidRPr="00CF238E">
        <w:rPr>
          <w:rFonts w:ascii="Arial" w:hAnsi="Arial" w:cs="Arial"/>
          <w:color w:val="000000"/>
          <w:sz w:val="20"/>
        </w:rPr>
        <w:t xml:space="preserve">:  remuneration and allowances paid to professional </w:t>
      </w:r>
      <w:r>
        <w:rPr>
          <w:rFonts w:ascii="Arial" w:hAnsi="Arial" w:cs="Arial"/>
          <w:color w:val="000000"/>
          <w:sz w:val="20"/>
        </w:rPr>
        <w:t xml:space="preserve">and general service </w:t>
      </w:r>
      <w:r w:rsidRPr="00CF238E">
        <w:rPr>
          <w:rFonts w:ascii="Arial" w:hAnsi="Arial" w:cs="Arial"/>
          <w:color w:val="000000"/>
          <w:sz w:val="20"/>
        </w:rPr>
        <w:t>employees on short-term contracts.</w:t>
      </w:r>
    </w:p>
    <w:p w14:paraId="68AF064D" w14:textId="77777777" w:rsidR="005A1F7F" w:rsidRPr="00CF238E" w:rsidRDefault="005A1F7F" w:rsidP="005A1F7F">
      <w:pPr>
        <w:tabs>
          <w:tab w:val="left" w:pos="567"/>
        </w:tabs>
        <w:ind w:right="91"/>
        <w:jc w:val="both"/>
        <w:rPr>
          <w:rFonts w:ascii="Arial" w:hAnsi="Arial" w:cs="Arial"/>
          <w:color w:val="000000"/>
          <w:sz w:val="20"/>
        </w:rPr>
      </w:pPr>
    </w:p>
    <w:p w14:paraId="1D91AB11" w14:textId="27F355E3" w:rsidR="005A1F7F" w:rsidRPr="00CF238E" w:rsidRDefault="005A1F7F" w:rsidP="005A1F7F">
      <w:pPr>
        <w:tabs>
          <w:tab w:val="left" w:pos="567"/>
        </w:tabs>
        <w:ind w:left="567" w:right="91"/>
        <w:jc w:val="both"/>
        <w:rPr>
          <w:rFonts w:ascii="Arial" w:hAnsi="Arial" w:cs="Arial"/>
          <w:color w:val="000000"/>
          <w:sz w:val="20"/>
        </w:rPr>
      </w:pPr>
      <w:r>
        <w:rPr>
          <w:rFonts w:ascii="Arial" w:hAnsi="Arial" w:cs="Arial"/>
          <w:b/>
          <w:bCs/>
          <w:i/>
          <w:iCs/>
          <w:color w:val="000000"/>
          <w:sz w:val="20"/>
        </w:rPr>
        <w:t>Other Staff Costs</w:t>
      </w:r>
      <w:r>
        <w:rPr>
          <w:rFonts w:ascii="Arial" w:hAnsi="Arial" w:cs="Arial"/>
          <w:color w:val="000000"/>
          <w:sz w:val="20"/>
        </w:rPr>
        <w:t xml:space="preserve">: provision for professional accident insurance, closed pension fund, litigation costs and Rewards and Recognition Program. </w:t>
      </w:r>
    </w:p>
    <w:p w14:paraId="785C5EA6" w14:textId="77777777" w:rsidR="005A1F7F" w:rsidRDefault="005A1F7F" w:rsidP="005A1F7F">
      <w:pPr>
        <w:jc w:val="both"/>
        <w:rPr>
          <w:rFonts w:ascii="Arial" w:hAnsi="Arial" w:cs="Arial"/>
          <w:b/>
          <w:bCs/>
          <w:sz w:val="20"/>
        </w:rPr>
      </w:pPr>
    </w:p>
    <w:p w14:paraId="0AA7FE58" w14:textId="77777777" w:rsidR="005A1F7F" w:rsidRPr="00633455" w:rsidRDefault="005A1F7F" w:rsidP="005A1F7F">
      <w:pPr>
        <w:jc w:val="both"/>
        <w:rPr>
          <w:rFonts w:ascii="Arial" w:hAnsi="Arial" w:cs="Arial"/>
          <w:sz w:val="20"/>
        </w:rPr>
      </w:pPr>
    </w:p>
    <w:p w14:paraId="69D528FE" w14:textId="77777777" w:rsidR="005A1F7F" w:rsidRPr="004E24C9" w:rsidRDefault="005A1F7F" w:rsidP="005A1F7F">
      <w:pPr>
        <w:jc w:val="both"/>
        <w:rPr>
          <w:rFonts w:ascii="Arial" w:hAnsi="Arial" w:cs="Arial"/>
          <w:sz w:val="20"/>
        </w:rPr>
      </w:pPr>
      <w:r w:rsidRPr="004E24C9">
        <w:rPr>
          <w:rFonts w:ascii="Arial" w:hAnsi="Arial" w:cs="Arial"/>
          <w:sz w:val="20"/>
        </w:rPr>
        <w:t>NON-</w:t>
      </w:r>
      <w:r>
        <w:rPr>
          <w:rFonts w:ascii="Arial" w:hAnsi="Arial" w:cs="Arial"/>
          <w:sz w:val="20"/>
        </w:rPr>
        <w:t>PERSONNEL</w:t>
      </w:r>
      <w:r w:rsidRPr="004E24C9">
        <w:rPr>
          <w:rFonts w:ascii="Arial" w:hAnsi="Arial" w:cs="Arial"/>
          <w:sz w:val="20"/>
        </w:rPr>
        <w:t xml:space="preserve"> RESOURCES</w:t>
      </w:r>
    </w:p>
    <w:p w14:paraId="31928CDD" w14:textId="77777777" w:rsidR="005A1F7F" w:rsidRPr="00633455" w:rsidRDefault="005A1F7F" w:rsidP="005A1F7F">
      <w:pPr>
        <w:jc w:val="both"/>
        <w:rPr>
          <w:rFonts w:ascii="Arial" w:hAnsi="Arial" w:cs="Arial"/>
          <w:sz w:val="20"/>
        </w:rPr>
      </w:pPr>
    </w:p>
    <w:p w14:paraId="5E32C609" w14:textId="77777777" w:rsidR="005A1F7F" w:rsidRPr="00633455" w:rsidRDefault="005A1F7F" w:rsidP="005A1F7F">
      <w:pPr>
        <w:jc w:val="both"/>
        <w:rPr>
          <w:rFonts w:ascii="Arial" w:hAnsi="Arial" w:cs="Arial"/>
          <w:b/>
          <w:bCs/>
          <w:sz w:val="20"/>
        </w:rPr>
      </w:pPr>
      <w:r w:rsidRPr="00633455">
        <w:rPr>
          <w:rFonts w:ascii="Arial" w:hAnsi="Arial" w:cs="Arial"/>
          <w:b/>
          <w:bCs/>
          <w:sz w:val="20"/>
        </w:rPr>
        <w:t>Internships and WIPO Fellowships</w:t>
      </w:r>
    </w:p>
    <w:p w14:paraId="5CE4399C" w14:textId="77777777" w:rsidR="005A1F7F" w:rsidRPr="00633455" w:rsidRDefault="005A1F7F" w:rsidP="005A1F7F">
      <w:pPr>
        <w:jc w:val="both"/>
        <w:rPr>
          <w:rFonts w:ascii="Arial" w:hAnsi="Arial" w:cs="Arial"/>
          <w:sz w:val="20"/>
        </w:rPr>
      </w:pPr>
    </w:p>
    <w:p w14:paraId="3A82F68E" w14:textId="77777777" w:rsidR="005A1F7F" w:rsidRDefault="005A1F7F" w:rsidP="00B66A4A">
      <w:pPr>
        <w:numPr>
          <w:ilvl w:val="0"/>
          <w:numId w:val="62"/>
        </w:numPr>
        <w:tabs>
          <w:tab w:val="clear" w:pos="1287"/>
          <w:tab w:val="num" w:pos="567"/>
        </w:tabs>
        <w:ind w:left="567" w:hanging="283"/>
        <w:jc w:val="both"/>
        <w:rPr>
          <w:rFonts w:ascii="Arial" w:hAnsi="Arial" w:cs="Arial"/>
          <w:sz w:val="20"/>
        </w:rPr>
      </w:pPr>
      <w:r w:rsidRPr="00633455">
        <w:rPr>
          <w:rFonts w:ascii="Arial" w:hAnsi="Arial" w:cs="Arial"/>
          <w:b/>
          <w:bCs/>
          <w:i/>
          <w:iCs/>
          <w:sz w:val="20"/>
        </w:rPr>
        <w:t>Internships</w:t>
      </w:r>
      <w:r>
        <w:rPr>
          <w:rFonts w:ascii="Arial" w:hAnsi="Arial" w:cs="Arial"/>
          <w:sz w:val="20"/>
        </w:rPr>
        <w:t xml:space="preserve">: remuneration and allowances paid to interns. </w:t>
      </w:r>
    </w:p>
    <w:p w14:paraId="4D397A1B" w14:textId="77777777" w:rsidR="005A1F7F" w:rsidRPr="00C27F17" w:rsidRDefault="005A1F7F" w:rsidP="005A1F7F">
      <w:pPr>
        <w:ind w:left="567"/>
        <w:jc w:val="both"/>
        <w:rPr>
          <w:rFonts w:ascii="Arial" w:hAnsi="Arial" w:cs="Arial"/>
          <w:sz w:val="20"/>
        </w:rPr>
      </w:pPr>
    </w:p>
    <w:p w14:paraId="310E3374" w14:textId="77777777" w:rsidR="005A1F7F" w:rsidRPr="00C27F17" w:rsidRDefault="005A1F7F" w:rsidP="00B66A4A">
      <w:pPr>
        <w:numPr>
          <w:ilvl w:val="0"/>
          <w:numId w:val="62"/>
        </w:numPr>
        <w:tabs>
          <w:tab w:val="clear" w:pos="1287"/>
          <w:tab w:val="num" w:pos="567"/>
        </w:tabs>
        <w:ind w:left="567" w:hanging="283"/>
        <w:jc w:val="both"/>
        <w:rPr>
          <w:rFonts w:ascii="Arial" w:hAnsi="Arial" w:cs="Arial"/>
          <w:sz w:val="20"/>
        </w:rPr>
      </w:pPr>
      <w:r w:rsidRPr="00C27F17">
        <w:rPr>
          <w:rFonts w:ascii="Arial" w:hAnsi="Arial" w:cs="Arial"/>
          <w:b/>
          <w:bCs/>
          <w:i/>
          <w:iCs/>
          <w:sz w:val="20"/>
        </w:rPr>
        <w:t xml:space="preserve">WIPO Fellowships: </w:t>
      </w:r>
      <w:r w:rsidRPr="00C27F17">
        <w:rPr>
          <w:rFonts w:ascii="Arial" w:hAnsi="Arial" w:cs="Arial"/>
          <w:bCs/>
          <w:iCs/>
          <w:sz w:val="20"/>
        </w:rPr>
        <w:t xml:space="preserve">expenses related to a </w:t>
      </w:r>
      <w:r w:rsidRPr="00C27F17">
        <w:rPr>
          <w:rFonts w:ascii="Arial" w:hAnsi="Arial" w:cs="Arial"/>
          <w:sz w:val="20"/>
        </w:rPr>
        <w:t xml:space="preserve">training activity that provides a monetary grant to qualified individuals for the purpose of fulfilling special learning objectives. </w:t>
      </w:r>
      <w:bookmarkStart w:id="153" w:name="RANGE!A3"/>
    </w:p>
    <w:p w14:paraId="08D8B439" w14:textId="77777777" w:rsidR="005A1F7F" w:rsidRDefault="005A1F7F" w:rsidP="005A1F7F">
      <w:pPr>
        <w:rPr>
          <w:rFonts w:ascii="Arial" w:hAnsi="Arial" w:cs="Arial"/>
          <w:b/>
          <w:bCs/>
          <w:sz w:val="20"/>
        </w:rPr>
      </w:pPr>
    </w:p>
    <w:p w14:paraId="7C86A254" w14:textId="77777777" w:rsidR="005A1F7F" w:rsidRPr="00633455" w:rsidRDefault="005A1F7F" w:rsidP="005A1F7F">
      <w:pPr>
        <w:rPr>
          <w:rFonts w:ascii="Arial" w:hAnsi="Arial" w:cs="Arial"/>
          <w:b/>
          <w:bCs/>
          <w:sz w:val="20"/>
        </w:rPr>
      </w:pPr>
      <w:r w:rsidRPr="00633455">
        <w:rPr>
          <w:rFonts w:ascii="Arial" w:hAnsi="Arial" w:cs="Arial"/>
          <w:b/>
          <w:bCs/>
          <w:sz w:val="20"/>
        </w:rPr>
        <w:t>Travel</w:t>
      </w:r>
      <w:r>
        <w:rPr>
          <w:rFonts w:ascii="Arial" w:hAnsi="Arial" w:cs="Arial"/>
          <w:b/>
          <w:bCs/>
          <w:sz w:val="20"/>
        </w:rPr>
        <w:t>, Training</w:t>
      </w:r>
      <w:r w:rsidRPr="00633455">
        <w:rPr>
          <w:rFonts w:ascii="Arial" w:hAnsi="Arial" w:cs="Arial"/>
          <w:b/>
          <w:bCs/>
          <w:sz w:val="20"/>
        </w:rPr>
        <w:t xml:space="preserve"> and </w:t>
      </w:r>
      <w:r>
        <w:rPr>
          <w:rFonts w:ascii="Arial" w:hAnsi="Arial" w:cs="Arial"/>
          <w:b/>
          <w:bCs/>
          <w:sz w:val="20"/>
        </w:rPr>
        <w:t xml:space="preserve">Grants </w:t>
      </w:r>
      <w:bookmarkEnd w:id="153"/>
    </w:p>
    <w:p w14:paraId="540E767D" w14:textId="77777777" w:rsidR="005A1F7F" w:rsidRPr="00633455" w:rsidRDefault="005A1F7F" w:rsidP="005A1F7F">
      <w:pPr>
        <w:rPr>
          <w:rFonts w:ascii="Arial" w:hAnsi="Arial" w:cs="Arial"/>
          <w:sz w:val="20"/>
        </w:rPr>
      </w:pPr>
    </w:p>
    <w:p w14:paraId="49E46A8F" w14:textId="77777777" w:rsidR="005A1F7F" w:rsidRPr="00633455" w:rsidRDefault="005A1F7F" w:rsidP="00B66A4A">
      <w:pPr>
        <w:numPr>
          <w:ilvl w:val="0"/>
          <w:numId w:val="63"/>
        </w:numPr>
        <w:tabs>
          <w:tab w:val="clear" w:pos="1120"/>
          <w:tab w:val="num" w:pos="567"/>
        </w:tabs>
        <w:ind w:left="567" w:hanging="283"/>
        <w:jc w:val="both"/>
        <w:rPr>
          <w:rFonts w:ascii="Arial" w:hAnsi="Arial" w:cs="Arial"/>
          <w:color w:val="000000"/>
          <w:sz w:val="20"/>
        </w:rPr>
      </w:pPr>
      <w:r w:rsidRPr="00633455">
        <w:rPr>
          <w:rFonts w:ascii="Arial" w:hAnsi="Arial" w:cs="Arial"/>
          <w:b/>
          <w:bCs/>
          <w:i/>
          <w:iCs/>
          <w:color w:val="000000"/>
          <w:sz w:val="20"/>
        </w:rPr>
        <w:t>Staff missions</w:t>
      </w:r>
      <w:r w:rsidRPr="00633455">
        <w:rPr>
          <w:rFonts w:ascii="Arial" w:hAnsi="Arial" w:cs="Arial"/>
          <w:color w:val="000000"/>
          <w:sz w:val="20"/>
        </w:rPr>
        <w:t>: travel expenses and daily subsistence allowances for all staff on official travel.</w:t>
      </w:r>
    </w:p>
    <w:p w14:paraId="5AD8BEEC" w14:textId="77777777" w:rsidR="005A1F7F" w:rsidRPr="00633455" w:rsidRDefault="005A1F7F" w:rsidP="005A1F7F">
      <w:pPr>
        <w:tabs>
          <w:tab w:val="num" w:pos="567"/>
        </w:tabs>
        <w:ind w:left="567" w:hanging="283"/>
        <w:jc w:val="both"/>
        <w:rPr>
          <w:rFonts w:ascii="Arial" w:hAnsi="Arial" w:cs="Arial"/>
          <w:sz w:val="20"/>
        </w:rPr>
      </w:pPr>
    </w:p>
    <w:p w14:paraId="48214ECF" w14:textId="77777777" w:rsidR="005A1F7F" w:rsidRPr="00633455" w:rsidRDefault="005A1F7F" w:rsidP="00B66A4A">
      <w:pPr>
        <w:numPr>
          <w:ilvl w:val="0"/>
          <w:numId w:val="63"/>
        </w:numPr>
        <w:tabs>
          <w:tab w:val="clear" w:pos="1120"/>
          <w:tab w:val="num" w:pos="567"/>
        </w:tabs>
        <w:ind w:left="567" w:hanging="283"/>
        <w:jc w:val="both"/>
        <w:rPr>
          <w:rFonts w:ascii="Arial" w:hAnsi="Arial" w:cs="Arial"/>
          <w:color w:val="000000"/>
          <w:sz w:val="20"/>
        </w:rPr>
      </w:pPr>
      <w:r w:rsidRPr="00633455">
        <w:rPr>
          <w:rFonts w:ascii="Arial" w:hAnsi="Arial" w:cs="Arial"/>
          <w:b/>
          <w:bCs/>
          <w:i/>
          <w:iCs/>
          <w:color w:val="000000"/>
          <w:sz w:val="20"/>
        </w:rPr>
        <w:t>Third party travel</w:t>
      </w:r>
      <w:r w:rsidRPr="00633455">
        <w:rPr>
          <w:rFonts w:ascii="Arial" w:hAnsi="Arial" w:cs="Arial"/>
          <w:color w:val="000000"/>
          <w:sz w:val="20"/>
        </w:rPr>
        <w:t>: travel expenses and daily subsistence allowances for all third parties</w:t>
      </w:r>
      <w:r>
        <w:rPr>
          <w:rFonts w:ascii="Arial" w:hAnsi="Arial" w:cs="Arial"/>
          <w:color w:val="000000"/>
          <w:sz w:val="20"/>
        </w:rPr>
        <w:t>, including</w:t>
      </w:r>
      <w:r w:rsidRPr="00633455">
        <w:rPr>
          <w:rFonts w:ascii="Arial" w:hAnsi="Arial" w:cs="Arial"/>
          <w:color w:val="000000"/>
          <w:sz w:val="20"/>
        </w:rPr>
        <w:t xml:space="preserve"> the travel costs of Government officials, participants and lecturers attending WIPO</w:t>
      </w:r>
      <w:r w:rsidRPr="00633455">
        <w:rPr>
          <w:rFonts w:ascii="Arial" w:hAnsi="Arial" w:cs="Arial"/>
          <w:color w:val="000000"/>
          <w:sz w:val="20"/>
        </w:rPr>
        <w:noBreakHyphen/>
        <w:t>sponsored meetings.</w:t>
      </w:r>
    </w:p>
    <w:p w14:paraId="40D92454" w14:textId="77777777" w:rsidR="005A1F7F" w:rsidRPr="00633455" w:rsidRDefault="005A1F7F" w:rsidP="005A1F7F">
      <w:pPr>
        <w:tabs>
          <w:tab w:val="num" w:pos="567"/>
        </w:tabs>
        <w:ind w:left="567" w:hanging="283"/>
        <w:jc w:val="both"/>
        <w:rPr>
          <w:rFonts w:ascii="Arial" w:hAnsi="Arial" w:cs="Arial"/>
          <w:sz w:val="20"/>
        </w:rPr>
      </w:pPr>
    </w:p>
    <w:p w14:paraId="65538F24" w14:textId="77777777" w:rsidR="005A1F7F" w:rsidRPr="00633455" w:rsidRDefault="005A1F7F" w:rsidP="00B66A4A">
      <w:pPr>
        <w:numPr>
          <w:ilvl w:val="0"/>
          <w:numId w:val="63"/>
        </w:numPr>
        <w:tabs>
          <w:tab w:val="clear" w:pos="1120"/>
          <w:tab w:val="num" w:pos="567"/>
        </w:tabs>
        <w:ind w:left="567" w:hanging="283"/>
        <w:jc w:val="both"/>
        <w:rPr>
          <w:rFonts w:ascii="Arial" w:hAnsi="Arial" w:cs="Arial"/>
          <w:color w:val="000000"/>
          <w:sz w:val="20"/>
        </w:rPr>
      </w:pPr>
      <w:r>
        <w:rPr>
          <w:rFonts w:ascii="Arial" w:hAnsi="Arial" w:cs="Arial"/>
          <w:b/>
          <w:bCs/>
          <w:i/>
          <w:iCs/>
          <w:color w:val="000000"/>
          <w:sz w:val="20"/>
        </w:rPr>
        <w:lastRenderedPageBreak/>
        <w:t>Training and related travel grants</w:t>
      </w:r>
      <w:r w:rsidRPr="00633455">
        <w:rPr>
          <w:rFonts w:ascii="Arial" w:hAnsi="Arial" w:cs="Arial"/>
          <w:color w:val="000000"/>
          <w:sz w:val="20"/>
        </w:rPr>
        <w:t>: travel expenses, daily subsistence allowances and training and other fees in connection with trainees attending courses, seminars, fellowships</w:t>
      </w:r>
      <w:r>
        <w:rPr>
          <w:rFonts w:ascii="Arial" w:hAnsi="Arial" w:cs="Arial"/>
          <w:color w:val="000000"/>
          <w:sz w:val="20"/>
        </w:rPr>
        <w:t xml:space="preserve">. </w:t>
      </w:r>
    </w:p>
    <w:p w14:paraId="51A7561B" w14:textId="77777777" w:rsidR="005A1F7F" w:rsidRPr="00633455" w:rsidRDefault="005A1F7F" w:rsidP="005A1F7F">
      <w:pPr>
        <w:tabs>
          <w:tab w:val="num" w:pos="567"/>
        </w:tabs>
        <w:ind w:left="567" w:hanging="283"/>
        <w:jc w:val="both"/>
        <w:rPr>
          <w:rFonts w:ascii="Arial" w:hAnsi="Arial" w:cs="Arial"/>
          <w:sz w:val="20"/>
        </w:rPr>
      </w:pPr>
    </w:p>
    <w:p w14:paraId="1B9F3795" w14:textId="77777777" w:rsidR="005A1F7F" w:rsidRDefault="005A1F7F" w:rsidP="005A1F7F">
      <w:pPr>
        <w:rPr>
          <w:rFonts w:ascii="Arial" w:hAnsi="Arial" w:cs="Arial"/>
          <w:b/>
          <w:bCs/>
          <w:sz w:val="20"/>
        </w:rPr>
      </w:pPr>
      <w:bookmarkStart w:id="154" w:name="RANGE!A11"/>
    </w:p>
    <w:p w14:paraId="46240693" w14:textId="77777777" w:rsidR="005A1F7F" w:rsidRPr="00633455" w:rsidRDefault="005A1F7F" w:rsidP="005A1F7F">
      <w:pPr>
        <w:keepNext/>
        <w:keepLines/>
        <w:rPr>
          <w:rFonts w:ascii="Arial" w:hAnsi="Arial" w:cs="Arial"/>
          <w:b/>
          <w:bCs/>
          <w:sz w:val="20"/>
        </w:rPr>
      </w:pPr>
      <w:r w:rsidRPr="00633455">
        <w:rPr>
          <w:rFonts w:ascii="Arial" w:hAnsi="Arial" w:cs="Arial"/>
          <w:b/>
          <w:bCs/>
          <w:sz w:val="20"/>
        </w:rPr>
        <w:t>Contractual Services</w:t>
      </w:r>
      <w:bookmarkEnd w:id="154"/>
    </w:p>
    <w:p w14:paraId="6F1D1F20" w14:textId="77777777" w:rsidR="005A1F7F" w:rsidRPr="00633455" w:rsidRDefault="005A1F7F" w:rsidP="005A1F7F">
      <w:pPr>
        <w:keepNext/>
        <w:keepLines/>
        <w:rPr>
          <w:rFonts w:ascii="Arial" w:hAnsi="Arial" w:cs="Arial"/>
          <w:sz w:val="20"/>
        </w:rPr>
      </w:pPr>
    </w:p>
    <w:p w14:paraId="4B3FF3C7" w14:textId="77777777" w:rsidR="005A1F7F" w:rsidRPr="00633455" w:rsidRDefault="005A1F7F" w:rsidP="00B66A4A">
      <w:pPr>
        <w:keepNext/>
        <w:keepLines/>
        <w:numPr>
          <w:ilvl w:val="0"/>
          <w:numId w:val="63"/>
        </w:numPr>
        <w:tabs>
          <w:tab w:val="clear" w:pos="1120"/>
        </w:tabs>
        <w:ind w:left="567" w:hanging="283"/>
        <w:rPr>
          <w:rFonts w:ascii="Arial" w:hAnsi="Arial" w:cs="Arial"/>
          <w:color w:val="000000"/>
          <w:sz w:val="20"/>
        </w:rPr>
      </w:pPr>
      <w:r w:rsidRPr="00633455">
        <w:rPr>
          <w:rFonts w:ascii="Arial" w:hAnsi="Arial" w:cs="Arial"/>
          <w:b/>
          <w:bCs/>
          <w:i/>
          <w:iCs/>
          <w:color w:val="000000"/>
          <w:sz w:val="20"/>
        </w:rPr>
        <w:t>Conferences</w:t>
      </w:r>
      <w:r w:rsidRPr="00633455">
        <w:rPr>
          <w:rFonts w:ascii="Arial" w:hAnsi="Arial" w:cs="Arial"/>
          <w:color w:val="000000"/>
          <w:sz w:val="20"/>
        </w:rPr>
        <w:t xml:space="preserve">: remuneration, travel expenses and daily subsistence allowances for interpreters; renting of conference facilities, and interpretation equipment; refreshments and receptions; and the cost of any other service directly linked to the organization of a conference. </w:t>
      </w:r>
    </w:p>
    <w:p w14:paraId="6F77FB5F" w14:textId="77777777" w:rsidR="005A1F7F" w:rsidRPr="00633455" w:rsidRDefault="005A1F7F" w:rsidP="005A1F7F">
      <w:pPr>
        <w:keepNext/>
        <w:keepLines/>
        <w:ind w:left="567" w:hanging="283"/>
        <w:rPr>
          <w:rFonts w:ascii="Arial" w:hAnsi="Arial" w:cs="Arial"/>
          <w:sz w:val="20"/>
        </w:rPr>
      </w:pPr>
    </w:p>
    <w:p w14:paraId="68F362CC" w14:textId="77777777" w:rsidR="005A1F7F" w:rsidRPr="00633455" w:rsidRDefault="005A1F7F" w:rsidP="00B66A4A">
      <w:pPr>
        <w:numPr>
          <w:ilvl w:val="0"/>
          <w:numId w:val="63"/>
        </w:numPr>
        <w:tabs>
          <w:tab w:val="clear" w:pos="1120"/>
        </w:tabs>
        <w:ind w:left="567" w:hanging="283"/>
        <w:jc w:val="both"/>
        <w:rPr>
          <w:rFonts w:ascii="Arial" w:hAnsi="Arial" w:cs="Arial"/>
          <w:color w:val="000000"/>
          <w:sz w:val="20"/>
        </w:rPr>
      </w:pPr>
      <w:r w:rsidRPr="00633455">
        <w:rPr>
          <w:rFonts w:ascii="Arial" w:hAnsi="Arial" w:cs="Arial"/>
          <w:b/>
          <w:bCs/>
          <w:i/>
          <w:iCs/>
          <w:color w:val="000000"/>
          <w:sz w:val="20"/>
        </w:rPr>
        <w:t>Publishing</w:t>
      </w:r>
      <w:r w:rsidRPr="00633455">
        <w:rPr>
          <w:rFonts w:ascii="Arial" w:hAnsi="Arial" w:cs="Arial"/>
          <w:color w:val="000000"/>
          <w:sz w:val="20"/>
        </w:rPr>
        <w:t>: outside printing and binding; reviews; paper and printing; other printing:  reprints of articles published in reviews;  brochures;  treaties;  collections of texts;  manuals;  working forms and other miscellaneous printed material;  production of CD-ROMs, videos, magnetic tapes and other forms of electronic publishing.</w:t>
      </w:r>
    </w:p>
    <w:p w14:paraId="5C220C8A" w14:textId="77777777" w:rsidR="005A1F7F" w:rsidRPr="00633455" w:rsidRDefault="005A1F7F" w:rsidP="005A1F7F">
      <w:pPr>
        <w:ind w:left="567" w:firstLineChars="200" w:firstLine="400"/>
        <w:jc w:val="both"/>
        <w:rPr>
          <w:rFonts w:ascii="Arial" w:hAnsi="Arial" w:cs="Arial"/>
          <w:color w:val="000000"/>
          <w:sz w:val="20"/>
        </w:rPr>
      </w:pPr>
    </w:p>
    <w:p w14:paraId="21480192" w14:textId="77777777" w:rsidR="005A1F7F" w:rsidRPr="00633455" w:rsidRDefault="005A1F7F" w:rsidP="00B66A4A">
      <w:pPr>
        <w:numPr>
          <w:ilvl w:val="0"/>
          <w:numId w:val="63"/>
        </w:numPr>
        <w:tabs>
          <w:tab w:val="clear" w:pos="1120"/>
        </w:tabs>
        <w:ind w:left="567" w:hanging="283"/>
        <w:jc w:val="both"/>
        <w:rPr>
          <w:rFonts w:ascii="Arial" w:hAnsi="Arial" w:cs="Arial"/>
          <w:color w:val="000000"/>
          <w:sz w:val="20"/>
        </w:rPr>
      </w:pPr>
      <w:r w:rsidRPr="00633455">
        <w:rPr>
          <w:rFonts w:ascii="Arial" w:hAnsi="Arial" w:cs="Arial"/>
          <w:b/>
          <w:bCs/>
          <w:i/>
          <w:iCs/>
          <w:color w:val="000000"/>
          <w:sz w:val="20"/>
        </w:rPr>
        <w:t>Individual Contractual Services</w:t>
      </w:r>
      <w:r>
        <w:rPr>
          <w:rFonts w:ascii="Arial" w:hAnsi="Arial" w:cs="Arial"/>
          <w:color w:val="000000"/>
          <w:sz w:val="20"/>
        </w:rPr>
        <w:t xml:space="preserve">: </w:t>
      </w:r>
      <w:r w:rsidRPr="00633455">
        <w:rPr>
          <w:rFonts w:ascii="Arial" w:hAnsi="Arial" w:cs="Arial"/>
          <w:color w:val="000000"/>
          <w:sz w:val="20"/>
        </w:rPr>
        <w:t xml:space="preserve">remuneration paid in respect of individual contractual services.  </w:t>
      </w:r>
    </w:p>
    <w:p w14:paraId="6271060B" w14:textId="77777777" w:rsidR="005A1F7F" w:rsidRPr="00633455" w:rsidRDefault="005A1F7F" w:rsidP="005A1F7F">
      <w:pPr>
        <w:ind w:left="567" w:hanging="283"/>
        <w:jc w:val="both"/>
        <w:rPr>
          <w:rFonts w:ascii="Arial" w:hAnsi="Arial" w:cs="Arial"/>
          <w:color w:val="000000"/>
          <w:sz w:val="20"/>
        </w:rPr>
      </w:pPr>
    </w:p>
    <w:p w14:paraId="2501C331" w14:textId="77777777" w:rsidR="005A1F7F" w:rsidRPr="00633455" w:rsidRDefault="005A1F7F" w:rsidP="00B66A4A">
      <w:pPr>
        <w:numPr>
          <w:ilvl w:val="0"/>
          <w:numId w:val="63"/>
        </w:numPr>
        <w:tabs>
          <w:tab w:val="clear" w:pos="1120"/>
        </w:tabs>
        <w:ind w:left="567" w:hanging="283"/>
        <w:jc w:val="both"/>
        <w:rPr>
          <w:rFonts w:ascii="Arial" w:hAnsi="Arial" w:cs="Arial"/>
          <w:color w:val="000000"/>
          <w:sz w:val="20"/>
        </w:rPr>
      </w:pPr>
      <w:r w:rsidRPr="00633455">
        <w:rPr>
          <w:rFonts w:ascii="Arial" w:hAnsi="Arial" w:cs="Arial"/>
          <w:b/>
          <w:bCs/>
          <w:i/>
          <w:iCs/>
          <w:color w:val="000000"/>
          <w:sz w:val="20"/>
        </w:rPr>
        <w:t xml:space="preserve">Other Contractual Services: </w:t>
      </w:r>
      <w:r w:rsidRPr="00633455">
        <w:rPr>
          <w:rFonts w:ascii="Arial" w:hAnsi="Arial" w:cs="Arial"/>
          <w:color w:val="000000"/>
          <w:sz w:val="20"/>
        </w:rPr>
        <w:t>includes all other contractual services with both commercial and non-commercial service providers.</w:t>
      </w:r>
    </w:p>
    <w:p w14:paraId="4FA9F78E" w14:textId="77777777" w:rsidR="005A1F7F" w:rsidRDefault="005A1F7F" w:rsidP="005A1F7F">
      <w:pPr>
        <w:jc w:val="both"/>
        <w:rPr>
          <w:rFonts w:ascii="Arial" w:hAnsi="Arial" w:cs="Arial"/>
          <w:sz w:val="20"/>
        </w:rPr>
      </w:pPr>
    </w:p>
    <w:p w14:paraId="468AEABC" w14:textId="77777777" w:rsidR="005A1F7F" w:rsidRPr="00633455" w:rsidRDefault="005A1F7F" w:rsidP="005A1F7F">
      <w:pPr>
        <w:jc w:val="both"/>
        <w:rPr>
          <w:rFonts w:ascii="Arial" w:hAnsi="Arial" w:cs="Arial"/>
          <w:sz w:val="20"/>
        </w:rPr>
      </w:pPr>
    </w:p>
    <w:p w14:paraId="5A5C1A91" w14:textId="77777777" w:rsidR="005A1F7F" w:rsidRDefault="005A1F7F" w:rsidP="005A1F7F">
      <w:pPr>
        <w:keepNext/>
        <w:keepLines/>
        <w:jc w:val="both"/>
        <w:rPr>
          <w:rFonts w:ascii="Arial" w:hAnsi="Arial" w:cs="Arial"/>
          <w:b/>
          <w:sz w:val="20"/>
        </w:rPr>
      </w:pPr>
      <w:bookmarkStart w:id="155" w:name="RANGE!A23"/>
      <w:r w:rsidRPr="00DD088F">
        <w:rPr>
          <w:rFonts w:ascii="Arial" w:hAnsi="Arial" w:cs="Arial"/>
          <w:b/>
          <w:bCs/>
          <w:iCs/>
          <w:sz w:val="20"/>
        </w:rPr>
        <w:t xml:space="preserve">Finance </w:t>
      </w:r>
      <w:r>
        <w:rPr>
          <w:rFonts w:ascii="Arial" w:hAnsi="Arial" w:cs="Arial"/>
          <w:b/>
          <w:bCs/>
          <w:iCs/>
          <w:sz w:val="20"/>
        </w:rPr>
        <w:t>C</w:t>
      </w:r>
      <w:r w:rsidRPr="00DD088F">
        <w:rPr>
          <w:rFonts w:ascii="Arial" w:hAnsi="Arial" w:cs="Arial"/>
          <w:b/>
          <w:bCs/>
          <w:iCs/>
          <w:sz w:val="20"/>
        </w:rPr>
        <w:t>osts</w:t>
      </w:r>
      <w:r w:rsidRPr="00DD088F">
        <w:rPr>
          <w:rFonts w:ascii="Arial" w:hAnsi="Arial" w:cs="Arial"/>
          <w:b/>
          <w:sz w:val="20"/>
        </w:rPr>
        <w:t xml:space="preserve"> </w:t>
      </w:r>
    </w:p>
    <w:p w14:paraId="1A741893" w14:textId="77777777" w:rsidR="005A1F7F" w:rsidRDefault="005A1F7F" w:rsidP="005A1F7F">
      <w:pPr>
        <w:keepNext/>
        <w:keepLines/>
        <w:jc w:val="both"/>
        <w:rPr>
          <w:rFonts w:ascii="Arial" w:hAnsi="Arial" w:cs="Arial"/>
          <w:b/>
          <w:sz w:val="20"/>
        </w:rPr>
      </w:pPr>
    </w:p>
    <w:p w14:paraId="72DF8874" w14:textId="77777777" w:rsidR="005A1F7F" w:rsidRPr="00DD088F" w:rsidRDefault="005A1F7F" w:rsidP="00B66A4A">
      <w:pPr>
        <w:pStyle w:val="ListParagraph"/>
        <w:keepNext/>
        <w:keepLines/>
        <w:numPr>
          <w:ilvl w:val="0"/>
          <w:numId w:val="66"/>
        </w:numPr>
        <w:spacing w:after="200" w:line="276" w:lineRule="auto"/>
        <w:jc w:val="both"/>
        <w:rPr>
          <w:rFonts w:ascii="Arial" w:hAnsi="Arial" w:cs="Arial"/>
          <w:b/>
          <w:bCs/>
          <w:sz w:val="20"/>
        </w:rPr>
      </w:pPr>
      <w:r w:rsidRPr="00DD088F">
        <w:rPr>
          <w:rFonts w:ascii="Arial" w:hAnsi="Arial" w:cs="Arial"/>
          <w:b/>
          <w:i/>
          <w:sz w:val="20"/>
        </w:rPr>
        <w:t>Finance costs:</w:t>
      </w:r>
      <w:r>
        <w:rPr>
          <w:rFonts w:ascii="Arial" w:hAnsi="Arial" w:cs="Arial"/>
          <w:sz w:val="20"/>
        </w:rPr>
        <w:t xml:space="preserve"> I</w:t>
      </w:r>
      <w:r w:rsidRPr="00DD088F">
        <w:rPr>
          <w:rFonts w:ascii="Arial" w:hAnsi="Arial" w:cs="Arial"/>
          <w:sz w:val="20"/>
        </w:rPr>
        <w:t>nterest on loan; bank charges.</w:t>
      </w:r>
    </w:p>
    <w:p w14:paraId="0482CE2B" w14:textId="77777777" w:rsidR="005A1F7F" w:rsidRDefault="005A1F7F" w:rsidP="005A1F7F">
      <w:pPr>
        <w:keepNext/>
        <w:keepLines/>
        <w:jc w:val="both"/>
        <w:rPr>
          <w:rFonts w:ascii="Arial" w:hAnsi="Arial" w:cs="Arial"/>
          <w:b/>
          <w:bCs/>
          <w:sz w:val="20"/>
        </w:rPr>
      </w:pPr>
    </w:p>
    <w:p w14:paraId="292BFD0C" w14:textId="77777777" w:rsidR="005A1F7F" w:rsidRPr="00633455" w:rsidRDefault="005A1F7F" w:rsidP="005A1F7F">
      <w:pPr>
        <w:keepNext/>
        <w:keepLines/>
        <w:jc w:val="both"/>
        <w:rPr>
          <w:rFonts w:ascii="Arial" w:hAnsi="Arial" w:cs="Arial"/>
          <w:b/>
          <w:bCs/>
          <w:sz w:val="20"/>
        </w:rPr>
      </w:pPr>
      <w:r w:rsidRPr="00633455">
        <w:rPr>
          <w:rFonts w:ascii="Arial" w:hAnsi="Arial" w:cs="Arial"/>
          <w:b/>
          <w:bCs/>
          <w:sz w:val="20"/>
        </w:rPr>
        <w:t>Operating Expenses</w:t>
      </w:r>
      <w:bookmarkEnd w:id="155"/>
    </w:p>
    <w:p w14:paraId="17977C65" w14:textId="77777777" w:rsidR="005A1F7F" w:rsidRPr="00633455" w:rsidRDefault="005A1F7F" w:rsidP="005A1F7F">
      <w:pPr>
        <w:keepNext/>
        <w:keepLines/>
        <w:jc w:val="both"/>
        <w:rPr>
          <w:rFonts w:ascii="Arial" w:hAnsi="Arial" w:cs="Arial"/>
          <w:sz w:val="20"/>
        </w:rPr>
      </w:pPr>
    </w:p>
    <w:p w14:paraId="298BE9A9" w14:textId="77777777" w:rsidR="005A1F7F" w:rsidRPr="00633455" w:rsidRDefault="005A1F7F" w:rsidP="00B66A4A">
      <w:pPr>
        <w:keepNext/>
        <w:keepLines/>
        <w:numPr>
          <w:ilvl w:val="0"/>
          <w:numId w:val="64"/>
        </w:numPr>
        <w:tabs>
          <w:tab w:val="clear" w:pos="1160"/>
          <w:tab w:val="num" w:pos="567"/>
        </w:tabs>
        <w:ind w:left="567" w:hanging="283"/>
        <w:jc w:val="both"/>
        <w:rPr>
          <w:rFonts w:ascii="Arial" w:hAnsi="Arial" w:cs="Arial"/>
          <w:color w:val="000000"/>
          <w:sz w:val="20"/>
        </w:rPr>
      </w:pPr>
      <w:r w:rsidRPr="00633455">
        <w:rPr>
          <w:rFonts w:ascii="Arial" w:hAnsi="Arial" w:cs="Arial"/>
          <w:b/>
          <w:bCs/>
          <w:i/>
          <w:iCs/>
          <w:color w:val="000000"/>
          <w:sz w:val="20"/>
        </w:rPr>
        <w:t>Premises and maintenance</w:t>
      </w:r>
      <w:r w:rsidRPr="00633455">
        <w:rPr>
          <w:rFonts w:ascii="Arial" w:hAnsi="Arial" w:cs="Arial"/>
          <w:color w:val="000000"/>
          <w:sz w:val="20"/>
        </w:rPr>
        <w:t>: acquiring, renting, improving and maintaining office space and renting or maintaining equipment and furniture, external management consultants related to new construction.</w:t>
      </w:r>
    </w:p>
    <w:p w14:paraId="778FD05B" w14:textId="77777777" w:rsidR="005A1F7F" w:rsidRPr="00633455" w:rsidRDefault="005A1F7F" w:rsidP="005A1F7F">
      <w:pPr>
        <w:tabs>
          <w:tab w:val="num" w:pos="567"/>
        </w:tabs>
        <w:ind w:left="567" w:hanging="283"/>
        <w:jc w:val="both"/>
        <w:rPr>
          <w:rFonts w:ascii="Arial" w:hAnsi="Arial" w:cs="Arial"/>
          <w:sz w:val="20"/>
        </w:rPr>
      </w:pPr>
    </w:p>
    <w:p w14:paraId="63393CB3" w14:textId="77777777" w:rsidR="005A1F7F" w:rsidRPr="00633455" w:rsidRDefault="005A1F7F" w:rsidP="00B66A4A">
      <w:pPr>
        <w:numPr>
          <w:ilvl w:val="0"/>
          <w:numId w:val="64"/>
        </w:numPr>
        <w:tabs>
          <w:tab w:val="clear" w:pos="1160"/>
          <w:tab w:val="num" w:pos="567"/>
        </w:tabs>
        <w:ind w:left="567" w:hanging="283"/>
        <w:jc w:val="both"/>
        <w:rPr>
          <w:rFonts w:ascii="Arial" w:hAnsi="Arial" w:cs="Arial"/>
          <w:color w:val="000000"/>
          <w:sz w:val="20"/>
        </w:rPr>
      </w:pPr>
      <w:r w:rsidRPr="00633455">
        <w:rPr>
          <w:rFonts w:ascii="Arial" w:hAnsi="Arial" w:cs="Arial"/>
          <w:b/>
          <w:bCs/>
          <w:i/>
          <w:iCs/>
          <w:sz w:val="20"/>
        </w:rPr>
        <w:t>Communication</w:t>
      </w:r>
      <w:r w:rsidRPr="00633455">
        <w:rPr>
          <w:rFonts w:ascii="Arial" w:hAnsi="Arial" w:cs="Arial"/>
          <w:sz w:val="20"/>
        </w:rPr>
        <w:t xml:space="preserve">:  communication expenses such as telephone, internet, facsimile and mail, postage and carriage of documents. </w:t>
      </w:r>
    </w:p>
    <w:p w14:paraId="25DA92CB" w14:textId="77777777" w:rsidR="005A1F7F" w:rsidRPr="00633455" w:rsidRDefault="005A1F7F" w:rsidP="005A1F7F">
      <w:pPr>
        <w:tabs>
          <w:tab w:val="num" w:pos="567"/>
        </w:tabs>
        <w:ind w:left="567" w:firstLineChars="200" w:firstLine="400"/>
        <w:jc w:val="both"/>
        <w:rPr>
          <w:rFonts w:ascii="Arial" w:hAnsi="Arial" w:cs="Arial"/>
          <w:color w:val="000000"/>
          <w:sz w:val="20"/>
        </w:rPr>
      </w:pPr>
    </w:p>
    <w:p w14:paraId="4D3E4193" w14:textId="77777777" w:rsidR="005A1F7F" w:rsidRPr="00633455" w:rsidRDefault="005A1F7F" w:rsidP="00B66A4A">
      <w:pPr>
        <w:numPr>
          <w:ilvl w:val="0"/>
          <w:numId w:val="64"/>
        </w:numPr>
        <w:tabs>
          <w:tab w:val="clear" w:pos="1160"/>
          <w:tab w:val="num" w:pos="567"/>
        </w:tabs>
        <w:ind w:left="567" w:hanging="283"/>
        <w:jc w:val="both"/>
        <w:rPr>
          <w:rFonts w:ascii="Arial" w:hAnsi="Arial" w:cs="Arial"/>
          <w:color w:val="000000"/>
          <w:sz w:val="20"/>
        </w:rPr>
      </w:pPr>
      <w:r w:rsidRPr="00633455">
        <w:rPr>
          <w:rFonts w:ascii="Arial" w:hAnsi="Arial" w:cs="Arial"/>
          <w:b/>
          <w:bCs/>
          <w:i/>
          <w:iCs/>
          <w:sz w:val="20"/>
        </w:rPr>
        <w:t>Representation</w:t>
      </w:r>
      <w:r>
        <w:rPr>
          <w:rFonts w:ascii="Arial" w:hAnsi="Arial" w:cs="Arial"/>
          <w:b/>
          <w:bCs/>
          <w:i/>
          <w:iCs/>
          <w:sz w:val="20"/>
        </w:rPr>
        <w:t xml:space="preserve"> and Other Operating Expenses</w:t>
      </w:r>
      <w:r w:rsidRPr="00633455">
        <w:rPr>
          <w:rFonts w:ascii="Arial" w:hAnsi="Arial" w:cs="Arial"/>
          <w:sz w:val="20"/>
        </w:rPr>
        <w:t>: official hospitality</w:t>
      </w:r>
      <w:r>
        <w:rPr>
          <w:rFonts w:ascii="Arial" w:hAnsi="Arial" w:cs="Arial"/>
          <w:sz w:val="20"/>
        </w:rPr>
        <w:t xml:space="preserve">, WIPO contribution to Staff Association and other operating </w:t>
      </w:r>
      <w:r w:rsidRPr="00633455">
        <w:rPr>
          <w:rFonts w:ascii="Arial" w:hAnsi="Arial" w:cs="Arial"/>
          <w:sz w:val="20"/>
        </w:rPr>
        <w:t>expenses.</w:t>
      </w:r>
    </w:p>
    <w:p w14:paraId="68667759" w14:textId="77777777" w:rsidR="005A1F7F" w:rsidRPr="00633455" w:rsidRDefault="005A1F7F" w:rsidP="005A1F7F">
      <w:pPr>
        <w:tabs>
          <w:tab w:val="num" w:pos="567"/>
        </w:tabs>
        <w:ind w:left="567" w:firstLineChars="200" w:firstLine="400"/>
        <w:jc w:val="both"/>
        <w:rPr>
          <w:rFonts w:ascii="Arial" w:hAnsi="Arial" w:cs="Arial"/>
          <w:color w:val="000000"/>
          <w:sz w:val="20"/>
        </w:rPr>
      </w:pPr>
    </w:p>
    <w:p w14:paraId="3DFD6E18" w14:textId="77777777" w:rsidR="005A1F7F" w:rsidRPr="00633455" w:rsidRDefault="005A1F7F" w:rsidP="00B66A4A">
      <w:pPr>
        <w:numPr>
          <w:ilvl w:val="0"/>
          <w:numId w:val="64"/>
        </w:numPr>
        <w:tabs>
          <w:tab w:val="clear" w:pos="1160"/>
          <w:tab w:val="num" w:pos="567"/>
        </w:tabs>
        <w:ind w:left="567" w:hanging="283"/>
        <w:jc w:val="both"/>
        <w:rPr>
          <w:rFonts w:ascii="Arial" w:hAnsi="Arial" w:cs="Arial"/>
          <w:color w:val="000000"/>
          <w:sz w:val="20"/>
        </w:rPr>
      </w:pPr>
      <w:r w:rsidRPr="00633455">
        <w:rPr>
          <w:rFonts w:ascii="Arial" w:hAnsi="Arial" w:cs="Arial"/>
          <w:b/>
          <w:bCs/>
          <w:i/>
          <w:iCs/>
          <w:sz w:val="20"/>
        </w:rPr>
        <w:t>UN Joint Services</w:t>
      </w:r>
      <w:r w:rsidRPr="00633455">
        <w:rPr>
          <w:rFonts w:ascii="Arial" w:hAnsi="Arial" w:cs="Arial"/>
          <w:sz w:val="20"/>
        </w:rPr>
        <w:t>:  medical assistance, contributions to joint administrative activities within the United Nations system</w:t>
      </w:r>
      <w:r>
        <w:rPr>
          <w:rFonts w:ascii="Arial" w:hAnsi="Arial" w:cs="Arial"/>
          <w:sz w:val="20"/>
        </w:rPr>
        <w:t xml:space="preserve">, </w:t>
      </w:r>
      <w:r w:rsidRPr="00D6239D">
        <w:rPr>
          <w:rFonts w:ascii="Arial" w:hAnsi="Arial" w:cs="Arial"/>
          <w:sz w:val="20"/>
        </w:rPr>
        <w:t xml:space="preserve">United Nations cost </w:t>
      </w:r>
      <w:r>
        <w:rPr>
          <w:rFonts w:ascii="Arial" w:hAnsi="Arial" w:cs="Arial"/>
          <w:sz w:val="20"/>
        </w:rPr>
        <w:t>shared</w:t>
      </w:r>
      <w:r w:rsidRPr="00D6239D">
        <w:rPr>
          <w:rFonts w:ascii="Arial" w:hAnsi="Arial" w:cs="Arial"/>
          <w:sz w:val="20"/>
        </w:rPr>
        <w:t xml:space="preserve"> activities</w:t>
      </w:r>
      <w:r w:rsidRPr="00633455">
        <w:rPr>
          <w:rFonts w:ascii="Arial" w:hAnsi="Arial" w:cs="Arial"/>
          <w:sz w:val="20"/>
        </w:rPr>
        <w:t>, Administrative Tribunal.</w:t>
      </w:r>
    </w:p>
    <w:p w14:paraId="3E75639D" w14:textId="77777777" w:rsidR="005A1F7F" w:rsidRPr="00633455" w:rsidRDefault="005A1F7F" w:rsidP="005A1F7F">
      <w:pPr>
        <w:jc w:val="both"/>
        <w:rPr>
          <w:rFonts w:ascii="Arial" w:hAnsi="Arial" w:cs="Arial"/>
          <w:b/>
          <w:bCs/>
          <w:sz w:val="20"/>
        </w:rPr>
      </w:pPr>
    </w:p>
    <w:p w14:paraId="387B5028" w14:textId="77777777" w:rsidR="005A1F7F" w:rsidRDefault="005A1F7F" w:rsidP="005A1F7F">
      <w:pPr>
        <w:jc w:val="both"/>
        <w:rPr>
          <w:rFonts w:ascii="Arial" w:hAnsi="Arial" w:cs="Arial"/>
          <w:b/>
          <w:bCs/>
          <w:sz w:val="20"/>
        </w:rPr>
      </w:pPr>
      <w:bookmarkStart w:id="156" w:name="RANGE!A35"/>
    </w:p>
    <w:p w14:paraId="6DBEEB5D" w14:textId="77777777" w:rsidR="005A1F7F" w:rsidRPr="00633455" w:rsidRDefault="005A1F7F" w:rsidP="005A1F7F">
      <w:pPr>
        <w:rPr>
          <w:rFonts w:ascii="Arial" w:hAnsi="Arial" w:cs="Arial"/>
          <w:b/>
          <w:bCs/>
          <w:sz w:val="20"/>
        </w:rPr>
      </w:pPr>
      <w:r w:rsidRPr="00633455">
        <w:rPr>
          <w:rFonts w:ascii="Arial" w:hAnsi="Arial" w:cs="Arial"/>
          <w:b/>
          <w:bCs/>
          <w:sz w:val="20"/>
        </w:rPr>
        <w:t>Equipment and Supplies</w:t>
      </w:r>
      <w:bookmarkEnd w:id="156"/>
    </w:p>
    <w:p w14:paraId="50585103" w14:textId="77777777" w:rsidR="005A1F7F" w:rsidRPr="00633455" w:rsidRDefault="005A1F7F" w:rsidP="005A1F7F">
      <w:pPr>
        <w:jc w:val="both"/>
        <w:rPr>
          <w:rFonts w:ascii="Arial" w:hAnsi="Arial" w:cs="Arial"/>
          <w:sz w:val="20"/>
        </w:rPr>
      </w:pPr>
    </w:p>
    <w:p w14:paraId="6728AE17" w14:textId="77777777" w:rsidR="005A1F7F" w:rsidRPr="00633455" w:rsidRDefault="005A1F7F" w:rsidP="00B66A4A">
      <w:pPr>
        <w:numPr>
          <w:ilvl w:val="0"/>
          <w:numId w:val="65"/>
        </w:numPr>
        <w:tabs>
          <w:tab w:val="clear" w:pos="1160"/>
          <w:tab w:val="num" w:pos="567"/>
        </w:tabs>
        <w:ind w:left="567" w:hanging="283"/>
        <w:jc w:val="both"/>
        <w:rPr>
          <w:rFonts w:ascii="Arial" w:hAnsi="Arial" w:cs="Arial"/>
          <w:color w:val="000000"/>
          <w:sz w:val="20"/>
        </w:rPr>
      </w:pPr>
      <w:r w:rsidRPr="00633455">
        <w:rPr>
          <w:rFonts w:ascii="Arial" w:hAnsi="Arial" w:cs="Arial"/>
          <w:b/>
          <w:bCs/>
          <w:i/>
          <w:iCs/>
          <w:color w:val="000000"/>
          <w:sz w:val="20"/>
        </w:rPr>
        <w:t>Furniture and equipment</w:t>
      </w:r>
      <w:r w:rsidRPr="00633455">
        <w:rPr>
          <w:rFonts w:ascii="Arial" w:hAnsi="Arial" w:cs="Arial"/>
          <w:color w:val="000000"/>
          <w:sz w:val="20"/>
        </w:rPr>
        <w:t>: purchase of office furniture, office machines, computer equipment (desktop, laptops, printers, servers, etc), conference servicing equipment, reproduction equipment and transportation equipment.</w:t>
      </w:r>
    </w:p>
    <w:p w14:paraId="1EAB8592" w14:textId="77777777" w:rsidR="005A1F7F" w:rsidRPr="00633455" w:rsidRDefault="005A1F7F" w:rsidP="005A1F7F">
      <w:pPr>
        <w:tabs>
          <w:tab w:val="num" w:pos="567"/>
        </w:tabs>
        <w:ind w:left="567" w:hanging="283"/>
        <w:jc w:val="both"/>
        <w:rPr>
          <w:rFonts w:ascii="Arial" w:hAnsi="Arial" w:cs="Arial"/>
          <w:sz w:val="20"/>
        </w:rPr>
      </w:pPr>
    </w:p>
    <w:p w14:paraId="352FE404" w14:textId="77777777" w:rsidR="005A1F7F" w:rsidRPr="00633455" w:rsidRDefault="005A1F7F" w:rsidP="00B66A4A">
      <w:pPr>
        <w:numPr>
          <w:ilvl w:val="0"/>
          <w:numId w:val="65"/>
        </w:numPr>
        <w:tabs>
          <w:tab w:val="clear" w:pos="1160"/>
          <w:tab w:val="num" w:pos="567"/>
        </w:tabs>
        <w:ind w:left="567" w:hanging="283"/>
        <w:jc w:val="both"/>
        <w:rPr>
          <w:rFonts w:ascii="Arial" w:hAnsi="Arial" w:cs="Arial"/>
          <w:color w:val="000000"/>
          <w:sz w:val="20"/>
        </w:rPr>
      </w:pPr>
      <w:r w:rsidRPr="00633455">
        <w:rPr>
          <w:rFonts w:ascii="Arial" w:hAnsi="Arial" w:cs="Arial"/>
          <w:b/>
          <w:bCs/>
          <w:i/>
          <w:iCs/>
          <w:color w:val="000000"/>
          <w:sz w:val="20"/>
        </w:rPr>
        <w:t>Supplies and materials</w:t>
      </w:r>
      <w:r w:rsidRPr="00633455">
        <w:rPr>
          <w:rFonts w:ascii="Arial" w:hAnsi="Arial" w:cs="Arial"/>
          <w:color w:val="000000"/>
          <w:sz w:val="20"/>
        </w:rPr>
        <w:t>: stationery and office supplies; internal reproduction supplies (offset, microfilms, etc.); library books and subscriptions to reviews and periodicals; uniforms; computer supplies, software and licenses.</w:t>
      </w:r>
    </w:p>
    <w:p w14:paraId="315F454C" w14:textId="6BEFB1DA" w:rsidR="00FB583B" w:rsidRDefault="00F04E0B" w:rsidP="00F04E0B">
      <w:pPr>
        <w:rPr>
          <w:rFonts w:ascii="Arial" w:hAnsi="Arial" w:cs="Arial"/>
          <w:sz w:val="20"/>
        </w:rPr>
      </w:pPr>
      <w:r>
        <w:rPr>
          <w:rFonts w:ascii="Arial" w:hAnsi="Arial" w:cs="Arial"/>
          <w:sz w:val="20"/>
        </w:rPr>
        <w:br w:type="page"/>
      </w:r>
    </w:p>
    <w:p w14:paraId="218D4654" w14:textId="5F5FAAF9" w:rsidR="00FB583B" w:rsidRPr="00B35BD1" w:rsidRDefault="00FB583B" w:rsidP="00FB583B">
      <w:pPr>
        <w:pStyle w:val="StyleHeading3ComplexItalic"/>
        <w:keepNext w:val="0"/>
        <w:tabs>
          <w:tab w:val="clear" w:pos="1985"/>
          <w:tab w:val="left" w:pos="0"/>
        </w:tabs>
        <w:rPr>
          <w:caps w:val="0"/>
        </w:rPr>
      </w:pPr>
      <w:bookmarkStart w:id="157" w:name="_Toc310950815"/>
      <w:bookmarkStart w:id="158" w:name="_Toc356567801"/>
      <w:bookmarkStart w:id="159" w:name="_Toc367350627"/>
      <w:bookmarkStart w:id="160" w:name="_Toc427154449"/>
      <w:r w:rsidRPr="00B35BD1">
        <w:rPr>
          <w:caps w:val="0"/>
        </w:rPr>
        <w:lastRenderedPageBreak/>
        <w:t xml:space="preserve">APPENDIX C    </w:t>
      </w:r>
      <w:r w:rsidRPr="00B35BD1">
        <w:rPr>
          <w:caps w:val="0"/>
        </w:rPr>
        <w:br/>
        <w:t>COST</w:t>
      </w:r>
      <w:r w:rsidR="00B20524">
        <w:rPr>
          <w:caps w:val="0"/>
        </w:rPr>
        <w:t>ING</w:t>
      </w:r>
      <w:r w:rsidRPr="00B35BD1">
        <w:rPr>
          <w:caps w:val="0"/>
        </w:rPr>
        <w:t xml:space="preserve"> FOR PERSONNEL</w:t>
      </w:r>
      <w:bookmarkEnd w:id="157"/>
      <w:bookmarkEnd w:id="158"/>
      <w:bookmarkEnd w:id="159"/>
      <w:bookmarkEnd w:id="160"/>
    </w:p>
    <w:p w14:paraId="43CFCE18" w14:textId="77777777" w:rsidR="00FB583B" w:rsidRPr="00F04E0B" w:rsidRDefault="00FB583B" w:rsidP="00FB583B">
      <w:pPr>
        <w:pStyle w:val="Header"/>
        <w:rPr>
          <w:rFonts w:ascii="Arial" w:hAnsi="Arial" w:cs="Arial"/>
          <w:sz w:val="20"/>
        </w:rPr>
      </w:pPr>
    </w:p>
    <w:p w14:paraId="43741F0D" w14:textId="77777777" w:rsidR="0032473C" w:rsidRPr="00F04E0B" w:rsidRDefault="0032473C" w:rsidP="00FB583B">
      <w:pPr>
        <w:pStyle w:val="Header"/>
        <w:rPr>
          <w:rFonts w:ascii="Arial" w:hAnsi="Arial" w:cs="Arial"/>
          <w:sz w:val="20"/>
        </w:rPr>
      </w:pPr>
    </w:p>
    <w:p w14:paraId="0E706E56" w14:textId="77777777" w:rsidR="0032473C" w:rsidRPr="0032473C" w:rsidRDefault="0032473C" w:rsidP="00B66A4A">
      <w:pPr>
        <w:pStyle w:val="ListParagraph"/>
        <w:numPr>
          <w:ilvl w:val="0"/>
          <w:numId w:val="67"/>
        </w:numPr>
        <w:tabs>
          <w:tab w:val="left" w:pos="567"/>
        </w:tabs>
        <w:ind w:left="0" w:firstLine="0"/>
        <w:rPr>
          <w:rFonts w:ascii="Arial" w:hAnsi="Arial" w:cs="Arial"/>
          <w:sz w:val="20"/>
        </w:rPr>
      </w:pPr>
      <w:r w:rsidRPr="0032473C">
        <w:rPr>
          <w:rFonts w:ascii="Arial" w:hAnsi="Arial" w:cs="Arial"/>
          <w:sz w:val="20"/>
        </w:rPr>
        <w:t>With the launch of EPM (Enterprise Performance Management) system and implementation of ERP (HR Payroll) and as part of further strengthening results-based management, and in particular to reinforce the link between the work performed and the associated resources necessary for implementation, a change in the costing methodology for personnel costs  has been applied for 2016/17.  The budget for the personnel resources of the Organization has been derived on the basis of actuals based budgeting.</w:t>
      </w:r>
    </w:p>
    <w:p w14:paraId="0A4585AE" w14:textId="77777777" w:rsidR="0032473C" w:rsidRPr="00C86097" w:rsidRDefault="0032473C" w:rsidP="009D7A18">
      <w:pPr>
        <w:rPr>
          <w:rFonts w:ascii="Arial" w:hAnsi="Arial" w:cs="Arial"/>
          <w:sz w:val="20"/>
        </w:rPr>
      </w:pPr>
    </w:p>
    <w:p w14:paraId="28260CAD" w14:textId="51FDFDE3" w:rsidR="0032473C" w:rsidRPr="00C86097" w:rsidRDefault="0032473C" w:rsidP="00B66A4A">
      <w:pPr>
        <w:pStyle w:val="ListParagraph"/>
        <w:numPr>
          <w:ilvl w:val="0"/>
          <w:numId w:val="67"/>
        </w:numPr>
        <w:tabs>
          <w:tab w:val="left" w:pos="567"/>
        </w:tabs>
        <w:ind w:left="0" w:firstLine="0"/>
        <w:rPr>
          <w:rFonts w:ascii="Arial" w:hAnsi="Arial"/>
          <w:sz w:val="20"/>
        </w:rPr>
      </w:pPr>
      <w:r w:rsidRPr="0032473C">
        <w:rPr>
          <w:rFonts w:ascii="Arial" w:hAnsi="Arial" w:cs="Arial"/>
          <w:sz w:val="20"/>
        </w:rPr>
        <w:t>The</w:t>
      </w:r>
      <w:r>
        <w:rPr>
          <w:rFonts w:ascii="Arial" w:hAnsi="Arial"/>
          <w:sz w:val="20"/>
        </w:rPr>
        <w:t xml:space="preserve"> a</w:t>
      </w:r>
      <w:r w:rsidRPr="00C86097">
        <w:rPr>
          <w:rFonts w:ascii="Arial" w:hAnsi="Arial"/>
          <w:sz w:val="20"/>
        </w:rPr>
        <w:t>ctual</w:t>
      </w:r>
      <w:r>
        <w:rPr>
          <w:rFonts w:ascii="Arial" w:hAnsi="Arial"/>
          <w:sz w:val="20"/>
        </w:rPr>
        <w:t>s</w:t>
      </w:r>
      <w:r w:rsidRPr="00C86097">
        <w:rPr>
          <w:rFonts w:ascii="Arial" w:hAnsi="Arial"/>
          <w:sz w:val="20"/>
        </w:rPr>
        <w:t xml:space="preserve"> based costing </w:t>
      </w:r>
      <w:r>
        <w:rPr>
          <w:rFonts w:ascii="Arial" w:hAnsi="Arial"/>
          <w:sz w:val="20"/>
        </w:rPr>
        <w:t>is</w:t>
      </w:r>
      <w:r w:rsidRPr="00C86097">
        <w:rPr>
          <w:rFonts w:ascii="Arial" w:hAnsi="Arial"/>
          <w:sz w:val="20"/>
        </w:rPr>
        <w:t xml:space="preserve"> built on the latest available</w:t>
      </w:r>
      <w:r>
        <w:rPr>
          <w:rStyle w:val="FootnoteReference"/>
          <w:rFonts w:ascii="Arial" w:hAnsi="Arial"/>
          <w:sz w:val="20"/>
        </w:rPr>
        <w:footnoteReference w:id="30"/>
      </w:r>
      <w:r w:rsidRPr="00C86097">
        <w:rPr>
          <w:rFonts w:ascii="Arial" w:hAnsi="Arial"/>
          <w:sz w:val="20"/>
        </w:rPr>
        <w:t xml:space="preserve"> UN salary and pensionable remuneration scales</w:t>
      </w:r>
      <w:r>
        <w:rPr>
          <w:rFonts w:ascii="Arial" w:hAnsi="Arial"/>
          <w:sz w:val="20"/>
        </w:rPr>
        <w:t xml:space="preserve"> for </w:t>
      </w:r>
      <w:r w:rsidR="00CD682C">
        <w:rPr>
          <w:rFonts w:ascii="Arial" w:hAnsi="Arial"/>
          <w:sz w:val="20"/>
        </w:rPr>
        <w:t>P</w:t>
      </w:r>
      <w:r>
        <w:rPr>
          <w:rFonts w:ascii="Arial" w:hAnsi="Arial"/>
          <w:sz w:val="20"/>
        </w:rPr>
        <w:t>rofessional</w:t>
      </w:r>
      <w:r w:rsidR="00CD682C">
        <w:rPr>
          <w:rFonts w:ascii="Arial" w:hAnsi="Arial"/>
          <w:sz w:val="20"/>
        </w:rPr>
        <w:t>s and higher categories</w:t>
      </w:r>
      <w:r>
        <w:rPr>
          <w:rFonts w:ascii="Arial" w:hAnsi="Arial"/>
          <w:sz w:val="20"/>
        </w:rPr>
        <w:t xml:space="preserve"> and General Service staff</w:t>
      </w:r>
      <w:r w:rsidRPr="00C86097">
        <w:rPr>
          <w:rFonts w:ascii="Arial" w:hAnsi="Arial"/>
          <w:sz w:val="20"/>
        </w:rPr>
        <w:t>, historical data</w:t>
      </w:r>
      <w:r>
        <w:rPr>
          <w:rFonts w:ascii="Arial" w:hAnsi="Arial"/>
          <w:sz w:val="20"/>
        </w:rPr>
        <w:t xml:space="preserve"> of dependencies, and </w:t>
      </w:r>
      <w:r w:rsidRPr="00C86097">
        <w:rPr>
          <w:rFonts w:ascii="Arial" w:hAnsi="Arial"/>
          <w:sz w:val="20"/>
        </w:rPr>
        <w:t xml:space="preserve">applicable policies and entitlements.  The costing methodology applied incorporates </w:t>
      </w:r>
      <w:r>
        <w:rPr>
          <w:rFonts w:ascii="Arial" w:hAnsi="Arial"/>
          <w:sz w:val="20"/>
        </w:rPr>
        <w:t>several</w:t>
      </w:r>
      <w:r w:rsidRPr="00C86097">
        <w:rPr>
          <w:rFonts w:ascii="Arial" w:hAnsi="Arial"/>
          <w:sz w:val="20"/>
        </w:rPr>
        <w:t xml:space="preserve"> cost elements to derive costs at position level, which is then used to provide an overall costing for personnel resources.  The cost elements included in the actuals based costing and the underlying assumptions are summarized below.</w:t>
      </w:r>
    </w:p>
    <w:p w14:paraId="69EDC6FD" w14:textId="77777777" w:rsidR="0032473C" w:rsidRDefault="0032473C" w:rsidP="009D7A18">
      <w:pPr>
        <w:ind w:left="1134" w:firstLine="567"/>
        <w:rPr>
          <w:rFonts w:ascii="Arial" w:hAnsi="Arial"/>
          <w:sz w:val="20"/>
        </w:rPr>
      </w:pPr>
    </w:p>
    <w:p w14:paraId="56C0FF9F" w14:textId="77777777" w:rsidR="0032473C" w:rsidRPr="0032473C" w:rsidRDefault="0032473C" w:rsidP="009D7A18">
      <w:pPr>
        <w:ind w:left="1134" w:firstLine="567"/>
        <w:rPr>
          <w:rFonts w:ascii="Arial" w:hAnsi="Arial"/>
          <w:b/>
          <w:sz w:val="20"/>
        </w:rPr>
      </w:pPr>
      <w:r w:rsidRPr="0032473C">
        <w:rPr>
          <w:rFonts w:ascii="Arial" w:hAnsi="Arial"/>
          <w:b/>
          <w:sz w:val="20"/>
        </w:rPr>
        <w:t xml:space="preserve">Actuals Based Costing and Underlying Assumptions </w:t>
      </w:r>
    </w:p>
    <w:p w14:paraId="451B4822" w14:textId="77777777" w:rsidR="0032473C" w:rsidRPr="00C86097" w:rsidRDefault="0032473C" w:rsidP="009D7A18">
      <w:pPr>
        <w:jc w:val="center"/>
        <w:rPr>
          <w:rFonts w:ascii="Arial" w:hAnsi="Arial"/>
          <w:sz w:val="20"/>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3870"/>
        <w:gridCol w:w="3870"/>
      </w:tblGrid>
      <w:tr w:rsidR="0032473C" w:rsidRPr="00C86097" w14:paraId="60D435E7" w14:textId="77777777" w:rsidTr="00FB68E0">
        <w:tc>
          <w:tcPr>
            <w:tcW w:w="1548" w:type="dxa"/>
            <w:shd w:val="clear" w:color="auto" w:fill="auto"/>
            <w:tcMar>
              <w:top w:w="85" w:type="dxa"/>
            </w:tcMar>
          </w:tcPr>
          <w:p w14:paraId="42AB243B" w14:textId="77777777" w:rsidR="0032473C" w:rsidRPr="0032473C" w:rsidRDefault="0032473C" w:rsidP="009D7A18">
            <w:pPr>
              <w:spacing w:before="60" w:after="60"/>
              <w:rPr>
                <w:rFonts w:ascii="Arial" w:hAnsi="Arial"/>
                <w:b/>
                <w:sz w:val="18"/>
              </w:rPr>
            </w:pPr>
          </w:p>
        </w:tc>
        <w:tc>
          <w:tcPr>
            <w:tcW w:w="3870" w:type="dxa"/>
            <w:shd w:val="clear" w:color="auto" w:fill="auto"/>
            <w:tcMar>
              <w:top w:w="85" w:type="dxa"/>
            </w:tcMar>
          </w:tcPr>
          <w:p w14:paraId="3A99CA25" w14:textId="77777777" w:rsidR="0032473C" w:rsidRPr="0032473C" w:rsidRDefault="0032473C" w:rsidP="009D7A18">
            <w:pPr>
              <w:spacing w:before="60" w:after="60"/>
              <w:jc w:val="center"/>
              <w:rPr>
                <w:rFonts w:ascii="Arial" w:hAnsi="Arial"/>
                <w:bCs/>
                <w:sz w:val="18"/>
              </w:rPr>
            </w:pPr>
            <w:r w:rsidRPr="0032473C">
              <w:rPr>
                <w:rFonts w:ascii="Arial" w:hAnsi="Arial"/>
                <w:b/>
                <w:sz w:val="18"/>
              </w:rPr>
              <w:t xml:space="preserve">Post </w:t>
            </w:r>
          </w:p>
          <w:p w14:paraId="38ECB7B2" w14:textId="77777777" w:rsidR="0032473C" w:rsidRPr="0032473C" w:rsidRDefault="0032473C" w:rsidP="009D7A18">
            <w:pPr>
              <w:spacing w:before="60" w:after="60"/>
              <w:jc w:val="center"/>
              <w:rPr>
                <w:rFonts w:ascii="Arial" w:hAnsi="Arial"/>
                <w:bCs/>
                <w:sz w:val="18"/>
              </w:rPr>
            </w:pPr>
            <w:r w:rsidRPr="0032473C">
              <w:rPr>
                <w:rFonts w:ascii="Arial" w:hAnsi="Arial"/>
                <w:bCs/>
                <w:sz w:val="18"/>
              </w:rPr>
              <w:t>(</w:t>
            </w:r>
            <w:r w:rsidRPr="0032473C">
              <w:rPr>
                <w:rFonts w:ascii="Arial" w:hAnsi="Arial"/>
                <w:bCs/>
                <w:i/>
                <w:iCs/>
                <w:sz w:val="18"/>
              </w:rPr>
              <w:t>Professional and higher categories and  General Service</w:t>
            </w:r>
            <w:r w:rsidRPr="0032473C">
              <w:rPr>
                <w:rFonts w:ascii="Arial" w:hAnsi="Arial"/>
                <w:bCs/>
                <w:sz w:val="18"/>
              </w:rPr>
              <w:t>)</w:t>
            </w:r>
          </w:p>
        </w:tc>
        <w:tc>
          <w:tcPr>
            <w:tcW w:w="3870" w:type="dxa"/>
            <w:tcMar>
              <w:top w:w="85" w:type="dxa"/>
            </w:tcMar>
          </w:tcPr>
          <w:p w14:paraId="6C5001BA" w14:textId="77777777" w:rsidR="0032473C" w:rsidRPr="0032473C" w:rsidRDefault="0032473C" w:rsidP="009D7A18">
            <w:pPr>
              <w:spacing w:before="60" w:after="60"/>
              <w:jc w:val="center"/>
              <w:rPr>
                <w:rFonts w:ascii="Arial" w:hAnsi="Arial"/>
                <w:b/>
                <w:sz w:val="18"/>
              </w:rPr>
            </w:pPr>
            <w:r w:rsidRPr="0032473C">
              <w:rPr>
                <w:rFonts w:ascii="Arial" w:hAnsi="Arial"/>
                <w:b/>
                <w:sz w:val="18"/>
              </w:rPr>
              <w:t xml:space="preserve">Temporary Staff </w:t>
            </w:r>
          </w:p>
          <w:p w14:paraId="545F2325" w14:textId="77777777" w:rsidR="0032473C" w:rsidRPr="0032473C" w:rsidRDefault="0032473C" w:rsidP="009D7A18">
            <w:pPr>
              <w:spacing w:before="60" w:after="60"/>
              <w:jc w:val="center"/>
              <w:rPr>
                <w:rFonts w:ascii="Arial" w:hAnsi="Arial"/>
                <w:bCs/>
                <w:sz w:val="18"/>
              </w:rPr>
            </w:pPr>
            <w:r w:rsidRPr="0032473C">
              <w:rPr>
                <w:rFonts w:ascii="Arial" w:hAnsi="Arial"/>
                <w:bCs/>
                <w:sz w:val="18"/>
              </w:rPr>
              <w:t>(</w:t>
            </w:r>
            <w:r w:rsidRPr="0032473C">
              <w:rPr>
                <w:rFonts w:ascii="Arial" w:hAnsi="Arial"/>
                <w:bCs/>
                <w:i/>
                <w:iCs/>
                <w:sz w:val="18"/>
              </w:rPr>
              <w:t>Professional and higher categories and  General Service</w:t>
            </w:r>
            <w:r w:rsidRPr="0032473C">
              <w:rPr>
                <w:rFonts w:ascii="Arial" w:hAnsi="Arial"/>
                <w:bCs/>
                <w:sz w:val="18"/>
              </w:rPr>
              <w:t>)</w:t>
            </w:r>
          </w:p>
        </w:tc>
      </w:tr>
      <w:tr w:rsidR="0032473C" w:rsidRPr="00C86097" w14:paraId="3301BB04" w14:textId="77777777" w:rsidTr="00FB68E0">
        <w:trPr>
          <w:trHeight w:val="2307"/>
        </w:trPr>
        <w:tc>
          <w:tcPr>
            <w:tcW w:w="1548" w:type="dxa"/>
            <w:tcMar>
              <w:top w:w="85" w:type="dxa"/>
            </w:tcMar>
          </w:tcPr>
          <w:p w14:paraId="4824DB99" w14:textId="77777777" w:rsidR="0032473C" w:rsidRPr="0032473C" w:rsidRDefault="0032473C" w:rsidP="009D7A18">
            <w:pPr>
              <w:spacing w:before="60"/>
              <w:rPr>
                <w:rFonts w:ascii="Arial" w:hAnsi="Arial"/>
                <w:b/>
                <w:sz w:val="18"/>
              </w:rPr>
            </w:pPr>
            <w:r w:rsidRPr="0032473C">
              <w:rPr>
                <w:rFonts w:ascii="Arial" w:hAnsi="Arial"/>
                <w:b/>
                <w:sz w:val="18"/>
              </w:rPr>
              <w:t>Salary</w:t>
            </w:r>
          </w:p>
        </w:tc>
        <w:tc>
          <w:tcPr>
            <w:tcW w:w="3870" w:type="dxa"/>
            <w:tcMar>
              <w:top w:w="85" w:type="dxa"/>
            </w:tcMar>
          </w:tcPr>
          <w:p w14:paraId="49096003" w14:textId="1801C775" w:rsidR="0032473C" w:rsidRPr="0032473C" w:rsidRDefault="0032473C" w:rsidP="009D7A18">
            <w:pPr>
              <w:spacing w:before="60"/>
              <w:rPr>
                <w:rFonts w:ascii="Arial" w:hAnsi="Arial"/>
                <w:sz w:val="16"/>
              </w:rPr>
            </w:pPr>
            <w:r w:rsidRPr="0032473C">
              <w:rPr>
                <w:rFonts w:ascii="Arial" w:hAnsi="Arial"/>
                <w:sz w:val="16"/>
              </w:rPr>
              <w:t xml:space="preserve">The salary component for an occupied position is calculated at position level applying single or dependent rate scales (ICSC) at projected grade/step. For vacant positions it is at dependent rate at an average step grade. The calculated USD amount is then converted to Swiss francs, with the application of the post adjustment (PA) multiplier, where applicable (for </w:t>
            </w:r>
            <w:r w:rsidR="00CD682C">
              <w:rPr>
                <w:rFonts w:ascii="Arial" w:hAnsi="Arial"/>
                <w:sz w:val="16"/>
              </w:rPr>
              <w:t>P</w:t>
            </w:r>
            <w:r w:rsidRPr="0032473C">
              <w:rPr>
                <w:rFonts w:ascii="Arial" w:hAnsi="Arial"/>
                <w:sz w:val="16"/>
              </w:rPr>
              <w:t>rofessionals</w:t>
            </w:r>
            <w:r w:rsidR="00CD682C">
              <w:rPr>
                <w:rFonts w:ascii="Arial" w:hAnsi="Arial"/>
                <w:sz w:val="16"/>
              </w:rPr>
              <w:t xml:space="preserve"> and higher categories</w:t>
            </w:r>
            <w:r w:rsidRPr="0032473C">
              <w:rPr>
                <w:rFonts w:ascii="Arial" w:hAnsi="Arial"/>
                <w:sz w:val="16"/>
              </w:rPr>
              <w:t xml:space="preserve">). </w:t>
            </w:r>
          </w:p>
          <w:p w14:paraId="07B52E5B" w14:textId="53585B3C" w:rsidR="0032473C" w:rsidRPr="0032473C" w:rsidRDefault="0032473C" w:rsidP="009D7A18">
            <w:pPr>
              <w:spacing w:before="60"/>
              <w:rPr>
                <w:rFonts w:ascii="Arial" w:hAnsi="Arial"/>
                <w:sz w:val="16"/>
              </w:rPr>
            </w:pPr>
            <w:r w:rsidRPr="0032473C">
              <w:rPr>
                <w:rFonts w:ascii="Arial" w:hAnsi="Arial"/>
                <w:sz w:val="16"/>
              </w:rPr>
              <w:t>The Organization’s share of the pensionable remuneration (UNJSPF) is added to the total amount.</w:t>
            </w:r>
            <w:r w:rsidR="00FB68E0">
              <w:rPr>
                <w:rFonts w:ascii="Arial" w:hAnsi="Arial"/>
                <w:sz w:val="16"/>
              </w:rPr>
              <w:br/>
            </w:r>
          </w:p>
        </w:tc>
        <w:tc>
          <w:tcPr>
            <w:tcW w:w="3870" w:type="dxa"/>
            <w:tcMar>
              <w:top w:w="85" w:type="dxa"/>
            </w:tcMar>
          </w:tcPr>
          <w:p w14:paraId="4CC015AD" w14:textId="174D8CC0" w:rsidR="0032473C" w:rsidRPr="0032473C" w:rsidRDefault="0032473C" w:rsidP="009D7A18">
            <w:pPr>
              <w:spacing w:before="60"/>
              <w:rPr>
                <w:rFonts w:ascii="Arial" w:hAnsi="Arial"/>
                <w:sz w:val="16"/>
              </w:rPr>
            </w:pPr>
            <w:r w:rsidRPr="0032473C">
              <w:rPr>
                <w:rFonts w:ascii="Arial" w:hAnsi="Arial"/>
                <w:sz w:val="16"/>
              </w:rPr>
              <w:t xml:space="preserve">The salary component for an occupied position is calculated at position level applying single or dependent rate scales (ICSC) at projected grade/step. For vacant positions it is at dependent rate at an average step grade. The calculated USD amount is then converted to Swiss francs, with the application of the post adjustment (PA) multiplier, where applicable (for </w:t>
            </w:r>
            <w:r w:rsidR="00CD682C">
              <w:rPr>
                <w:rFonts w:ascii="Arial" w:hAnsi="Arial"/>
                <w:sz w:val="16"/>
              </w:rPr>
              <w:t>P</w:t>
            </w:r>
            <w:r w:rsidRPr="0032473C">
              <w:rPr>
                <w:rFonts w:ascii="Arial" w:hAnsi="Arial"/>
                <w:sz w:val="16"/>
              </w:rPr>
              <w:t>rofessionals</w:t>
            </w:r>
            <w:r w:rsidR="00CD682C">
              <w:rPr>
                <w:rFonts w:ascii="Arial" w:hAnsi="Arial"/>
                <w:sz w:val="16"/>
              </w:rPr>
              <w:t xml:space="preserve"> and higher categories</w:t>
            </w:r>
            <w:r w:rsidRPr="0032473C">
              <w:rPr>
                <w:rFonts w:ascii="Arial" w:hAnsi="Arial"/>
                <w:sz w:val="16"/>
              </w:rPr>
              <w:t xml:space="preserve">). </w:t>
            </w:r>
          </w:p>
          <w:p w14:paraId="76A50019" w14:textId="7955D356" w:rsidR="0032473C" w:rsidRPr="0032473C" w:rsidRDefault="0032473C" w:rsidP="00FB68E0">
            <w:pPr>
              <w:spacing w:before="60"/>
              <w:rPr>
                <w:rFonts w:ascii="Arial" w:hAnsi="Arial"/>
                <w:sz w:val="16"/>
              </w:rPr>
            </w:pPr>
            <w:r w:rsidRPr="0032473C">
              <w:rPr>
                <w:rFonts w:ascii="Arial" w:hAnsi="Arial"/>
                <w:sz w:val="16"/>
              </w:rPr>
              <w:t>The Organization’s share of the pensionable remuneration (UNJSPF) is added to the total amount.</w:t>
            </w:r>
          </w:p>
        </w:tc>
      </w:tr>
      <w:tr w:rsidR="0032473C" w:rsidRPr="00C86097" w14:paraId="436085DE" w14:textId="77777777" w:rsidTr="00FB68E0">
        <w:tc>
          <w:tcPr>
            <w:tcW w:w="1548" w:type="dxa"/>
            <w:tcBorders>
              <w:bottom w:val="nil"/>
            </w:tcBorders>
            <w:tcMar>
              <w:top w:w="85" w:type="dxa"/>
            </w:tcMar>
          </w:tcPr>
          <w:p w14:paraId="64705A33" w14:textId="77777777" w:rsidR="0032473C" w:rsidRPr="0032473C" w:rsidRDefault="0032473C" w:rsidP="009D7A18">
            <w:pPr>
              <w:spacing w:before="60" w:after="60"/>
              <w:rPr>
                <w:rFonts w:ascii="Arial" w:hAnsi="Arial"/>
                <w:b/>
                <w:sz w:val="18"/>
              </w:rPr>
            </w:pPr>
            <w:r w:rsidRPr="0032473C">
              <w:rPr>
                <w:rFonts w:ascii="Arial" w:hAnsi="Arial"/>
                <w:b/>
                <w:sz w:val="18"/>
              </w:rPr>
              <w:t>Common Staff Costs (CSC)</w:t>
            </w:r>
          </w:p>
        </w:tc>
        <w:tc>
          <w:tcPr>
            <w:tcW w:w="3870" w:type="dxa"/>
            <w:tcBorders>
              <w:bottom w:val="nil"/>
            </w:tcBorders>
            <w:tcMar>
              <w:top w:w="85" w:type="dxa"/>
            </w:tcMar>
          </w:tcPr>
          <w:p w14:paraId="454136E3" w14:textId="12C5F632" w:rsidR="0032473C" w:rsidRPr="0032473C" w:rsidRDefault="0032473C" w:rsidP="0032473C">
            <w:pPr>
              <w:spacing w:after="120"/>
              <w:rPr>
                <w:rFonts w:ascii="Arial" w:hAnsi="Arial"/>
                <w:sz w:val="16"/>
              </w:rPr>
            </w:pPr>
            <w:r w:rsidRPr="0032473C">
              <w:rPr>
                <w:rFonts w:ascii="Arial" w:hAnsi="Arial"/>
                <w:sz w:val="16"/>
              </w:rPr>
              <w:t>The CSC includes all benefits and entitlements other than salary, provided in accordance with the Staff Regulations and Rules (such as dependency allowance,</w:t>
            </w:r>
            <w:r w:rsidR="00CD682C">
              <w:rPr>
                <w:rFonts w:ascii="Arial" w:hAnsi="Arial"/>
                <w:sz w:val="16"/>
              </w:rPr>
              <w:t xml:space="preserve"> medical contributions,</w:t>
            </w:r>
            <w:r w:rsidRPr="0032473C">
              <w:rPr>
                <w:rFonts w:ascii="Arial" w:hAnsi="Arial"/>
                <w:sz w:val="16"/>
              </w:rPr>
              <w:t xml:space="preserve"> home leave, education grant etc.). The common staff cost is applied at the position level on the basis of a historic pattern of expenditures and projections made.</w:t>
            </w:r>
          </w:p>
          <w:p w14:paraId="3CC8E92B" w14:textId="6C997DA1" w:rsidR="0032473C" w:rsidRPr="0032473C" w:rsidRDefault="0032473C" w:rsidP="00FB68E0">
            <w:pPr>
              <w:spacing w:after="120"/>
              <w:rPr>
                <w:rFonts w:ascii="Arial" w:hAnsi="Arial"/>
                <w:sz w:val="16"/>
              </w:rPr>
            </w:pPr>
            <w:r w:rsidRPr="0032473C">
              <w:rPr>
                <w:rFonts w:ascii="Arial" w:hAnsi="Arial"/>
                <w:sz w:val="16"/>
              </w:rPr>
              <w:t>For vacant positions, an assumption of a spouse and a dependent child is applied to calculate the projected benefits.</w:t>
            </w:r>
          </w:p>
        </w:tc>
        <w:tc>
          <w:tcPr>
            <w:tcW w:w="3870" w:type="dxa"/>
            <w:tcBorders>
              <w:bottom w:val="nil"/>
            </w:tcBorders>
            <w:tcMar>
              <w:top w:w="85" w:type="dxa"/>
            </w:tcMar>
          </w:tcPr>
          <w:p w14:paraId="02A5DF15" w14:textId="151D72E6" w:rsidR="0032473C" w:rsidRPr="0032473C" w:rsidRDefault="0032473C" w:rsidP="0032473C">
            <w:pPr>
              <w:spacing w:after="120"/>
              <w:rPr>
                <w:rFonts w:ascii="Arial" w:hAnsi="Arial"/>
                <w:sz w:val="16"/>
              </w:rPr>
            </w:pPr>
            <w:r w:rsidRPr="0032473C">
              <w:rPr>
                <w:rFonts w:ascii="Arial" w:hAnsi="Arial"/>
                <w:sz w:val="16"/>
              </w:rPr>
              <w:t xml:space="preserve">The CSC includes all benefits and entitlements other than salary, provided in accordance with the Staff Regulations and Rules (such as dependency allowance, </w:t>
            </w:r>
            <w:r w:rsidR="00CD682C">
              <w:rPr>
                <w:rFonts w:ascii="Arial" w:hAnsi="Arial"/>
                <w:sz w:val="16"/>
              </w:rPr>
              <w:t>medical contributions</w:t>
            </w:r>
            <w:r w:rsidRPr="0032473C">
              <w:rPr>
                <w:rFonts w:ascii="Arial" w:hAnsi="Arial"/>
                <w:sz w:val="16"/>
              </w:rPr>
              <w:t xml:space="preserve"> etc.). The common staff cost is applied to the position level on the basis of a historic pattern of expenditures and projections made.</w:t>
            </w:r>
          </w:p>
          <w:p w14:paraId="32DF80E4" w14:textId="57758ABD" w:rsidR="0032473C" w:rsidRPr="0032473C" w:rsidRDefault="0032473C" w:rsidP="00FB68E0">
            <w:pPr>
              <w:rPr>
                <w:rFonts w:ascii="Arial" w:hAnsi="Arial"/>
                <w:sz w:val="16"/>
              </w:rPr>
            </w:pPr>
            <w:r w:rsidRPr="0032473C">
              <w:rPr>
                <w:rFonts w:ascii="Arial" w:hAnsi="Arial"/>
                <w:sz w:val="16"/>
              </w:rPr>
              <w:t>For vacant positions, an assumption of a spouse and a dependent child is applied to calculate the projected benefits.</w:t>
            </w:r>
          </w:p>
        </w:tc>
      </w:tr>
      <w:tr w:rsidR="0032473C" w:rsidRPr="00C86097" w14:paraId="546EE135" w14:textId="77777777" w:rsidTr="00FB68E0">
        <w:tc>
          <w:tcPr>
            <w:tcW w:w="1548" w:type="dxa"/>
            <w:tcBorders>
              <w:top w:val="single" w:sz="6" w:space="0" w:color="auto"/>
              <w:left w:val="single" w:sz="6" w:space="0" w:color="auto"/>
              <w:bottom w:val="single" w:sz="6" w:space="0" w:color="auto"/>
              <w:right w:val="single" w:sz="6" w:space="0" w:color="auto"/>
            </w:tcBorders>
            <w:tcMar>
              <w:top w:w="85" w:type="dxa"/>
            </w:tcMar>
          </w:tcPr>
          <w:p w14:paraId="68FC63B9" w14:textId="77777777" w:rsidR="0032473C" w:rsidRPr="0032473C" w:rsidRDefault="0032473C" w:rsidP="009D7A18">
            <w:pPr>
              <w:spacing w:beforeLines="60" w:before="144"/>
              <w:rPr>
                <w:rFonts w:ascii="Arial" w:hAnsi="Arial"/>
                <w:b/>
                <w:sz w:val="18"/>
              </w:rPr>
            </w:pPr>
            <w:r w:rsidRPr="0032473C">
              <w:rPr>
                <w:rFonts w:ascii="Arial" w:hAnsi="Arial"/>
                <w:b/>
                <w:sz w:val="18"/>
              </w:rPr>
              <w:t xml:space="preserve">Adjustment </w:t>
            </w:r>
          </w:p>
        </w:tc>
        <w:tc>
          <w:tcPr>
            <w:tcW w:w="3870" w:type="dxa"/>
            <w:tcBorders>
              <w:top w:val="single" w:sz="6" w:space="0" w:color="auto"/>
              <w:left w:val="single" w:sz="6" w:space="0" w:color="auto"/>
              <w:bottom w:val="single" w:sz="6" w:space="0" w:color="auto"/>
              <w:right w:val="single" w:sz="6" w:space="0" w:color="auto"/>
            </w:tcBorders>
            <w:tcMar>
              <w:top w:w="85" w:type="dxa"/>
            </w:tcMar>
          </w:tcPr>
          <w:p w14:paraId="358A9463" w14:textId="7FB1002F" w:rsidR="0032473C" w:rsidRPr="0032473C" w:rsidRDefault="0032473C" w:rsidP="009D7A18">
            <w:pPr>
              <w:ind w:left="34"/>
              <w:rPr>
                <w:rFonts w:ascii="Arial" w:hAnsi="Arial"/>
                <w:sz w:val="16"/>
              </w:rPr>
            </w:pPr>
            <w:r w:rsidRPr="0032473C">
              <w:rPr>
                <w:rFonts w:ascii="Arial" w:hAnsi="Arial"/>
                <w:sz w:val="16"/>
              </w:rPr>
              <w:t>The cost for all positions is adjusted downward to take into account the 3% expected vacancy rate.</w:t>
            </w:r>
            <w:r w:rsidR="00FB68E0">
              <w:rPr>
                <w:rFonts w:ascii="Arial" w:hAnsi="Arial"/>
                <w:sz w:val="16"/>
              </w:rPr>
              <w:br/>
            </w:r>
            <w:r w:rsidRPr="0032473C">
              <w:rPr>
                <w:rFonts w:ascii="Arial" w:hAnsi="Arial"/>
                <w:sz w:val="16"/>
              </w:rPr>
              <w:t xml:space="preserve"> </w:t>
            </w:r>
          </w:p>
        </w:tc>
        <w:tc>
          <w:tcPr>
            <w:tcW w:w="3870" w:type="dxa"/>
            <w:tcBorders>
              <w:top w:val="single" w:sz="6" w:space="0" w:color="auto"/>
              <w:left w:val="single" w:sz="6" w:space="0" w:color="auto"/>
              <w:bottom w:val="single" w:sz="6" w:space="0" w:color="auto"/>
              <w:right w:val="single" w:sz="6" w:space="0" w:color="auto"/>
            </w:tcBorders>
            <w:tcMar>
              <w:top w:w="85" w:type="dxa"/>
            </w:tcMar>
          </w:tcPr>
          <w:p w14:paraId="206B6E30" w14:textId="77777777" w:rsidR="0032473C" w:rsidRPr="0032473C" w:rsidRDefault="0032473C" w:rsidP="009D7A18">
            <w:pPr>
              <w:rPr>
                <w:rFonts w:ascii="Arial" w:hAnsi="Arial"/>
                <w:sz w:val="16"/>
              </w:rPr>
            </w:pPr>
            <w:r w:rsidRPr="0032473C">
              <w:rPr>
                <w:rFonts w:ascii="Arial" w:hAnsi="Arial"/>
                <w:sz w:val="16"/>
              </w:rPr>
              <w:t xml:space="preserve">No vacancy rate is applied for temporary positions. </w:t>
            </w:r>
          </w:p>
        </w:tc>
      </w:tr>
      <w:tr w:rsidR="0032473C" w:rsidRPr="00C86097" w14:paraId="17EFD8BC" w14:textId="77777777" w:rsidTr="00FB68E0">
        <w:tc>
          <w:tcPr>
            <w:tcW w:w="1548" w:type="dxa"/>
            <w:tcBorders>
              <w:top w:val="single" w:sz="6" w:space="0" w:color="auto"/>
              <w:left w:val="single" w:sz="6" w:space="0" w:color="auto"/>
              <w:bottom w:val="single" w:sz="6" w:space="0" w:color="auto"/>
              <w:right w:val="single" w:sz="6" w:space="0" w:color="auto"/>
            </w:tcBorders>
            <w:tcMar>
              <w:top w:w="85" w:type="dxa"/>
            </w:tcMar>
          </w:tcPr>
          <w:p w14:paraId="3CC289D1" w14:textId="77777777" w:rsidR="0032473C" w:rsidRPr="0032473C" w:rsidRDefault="0032473C" w:rsidP="009D7A18">
            <w:pPr>
              <w:spacing w:before="60" w:after="60"/>
              <w:rPr>
                <w:rFonts w:ascii="Arial" w:hAnsi="Arial"/>
                <w:b/>
                <w:sz w:val="18"/>
              </w:rPr>
            </w:pPr>
            <w:r w:rsidRPr="0032473C">
              <w:rPr>
                <w:rFonts w:ascii="Arial" w:hAnsi="Arial"/>
                <w:b/>
                <w:sz w:val="18"/>
              </w:rPr>
              <w:t>Provision for Separation and other related Costs</w:t>
            </w:r>
          </w:p>
        </w:tc>
        <w:tc>
          <w:tcPr>
            <w:tcW w:w="3870" w:type="dxa"/>
            <w:tcBorders>
              <w:top w:val="single" w:sz="6" w:space="0" w:color="auto"/>
              <w:left w:val="single" w:sz="6" w:space="0" w:color="auto"/>
              <w:bottom w:val="single" w:sz="6" w:space="0" w:color="auto"/>
              <w:right w:val="single" w:sz="6" w:space="0" w:color="auto"/>
            </w:tcBorders>
            <w:tcMar>
              <w:top w:w="85" w:type="dxa"/>
            </w:tcMar>
          </w:tcPr>
          <w:p w14:paraId="0E2DEF6B" w14:textId="77777777" w:rsidR="0032473C" w:rsidRPr="0032473C" w:rsidRDefault="0032473C" w:rsidP="009D7A18">
            <w:pPr>
              <w:spacing w:before="60" w:after="60"/>
              <w:rPr>
                <w:rFonts w:ascii="Arial" w:hAnsi="Arial"/>
                <w:sz w:val="16"/>
              </w:rPr>
            </w:pPr>
            <w:r w:rsidRPr="0032473C">
              <w:rPr>
                <w:rFonts w:ascii="Arial" w:hAnsi="Arial"/>
                <w:sz w:val="16"/>
              </w:rPr>
              <w:t>A 6% provision is applied to the total cost to cover for separation related costs and various after service benefits.</w:t>
            </w:r>
          </w:p>
        </w:tc>
        <w:tc>
          <w:tcPr>
            <w:tcW w:w="3870" w:type="dxa"/>
            <w:tcBorders>
              <w:top w:val="single" w:sz="6" w:space="0" w:color="auto"/>
              <w:left w:val="single" w:sz="6" w:space="0" w:color="auto"/>
              <w:bottom w:val="single" w:sz="6" w:space="0" w:color="auto"/>
              <w:right w:val="single" w:sz="6" w:space="0" w:color="auto"/>
            </w:tcBorders>
            <w:tcMar>
              <w:top w:w="85" w:type="dxa"/>
            </w:tcMar>
          </w:tcPr>
          <w:p w14:paraId="1346A335" w14:textId="77777777" w:rsidR="0032473C" w:rsidRPr="0032473C" w:rsidRDefault="0032473C" w:rsidP="009D7A18">
            <w:pPr>
              <w:spacing w:before="60" w:after="60"/>
              <w:rPr>
                <w:rFonts w:ascii="Arial" w:hAnsi="Arial"/>
                <w:sz w:val="16"/>
              </w:rPr>
            </w:pPr>
            <w:r w:rsidRPr="0032473C">
              <w:rPr>
                <w:rFonts w:ascii="Arial" w:hAnsi="Arial"/>
                <w:sz w:val="16"/>
              </w:rPr>
              <w:t>A 2% provision is applied is to the total cost to cover for the separation related costs and various after service benefits.</w:t>
            </w:r>
          </w:p>
        </w:tc>
      </w:tr>
    </w:tbl>
    <w:p w14:paraId="7A797C04" w14:textId="77777777" w:rsidR="00F04E0B" w:rsidRDefault="00F04E0B">
      <w:pPr>
        <w:rPr>
          <w:rFonts w:ascii="Arial" w:hAnsi="Arial" w:cs="Arial"/>
          <w:sz w:val="20"/>
        </w:rPr>
      </w:pPr>
      <w:r>
        <w:rPr>
          <w:rFonts w:ascii="Arial" w:hAnsi="Arial" w:cs="Arial"/>
          <w:sz w:val="20"/>
        </w:rPr>
        <w:br w:type="page"/>
      </w:r>
    </w:p>
    <w:p w14:paraId="004D489C" w14:textId="77777777" w:rsidR="0032473C" w:rsidRDefault="0032473C" w:rsidP="009D7A18">
      <w:pPr>
        <w:rPr>
          <w:rFonts w:ascii="Arial" w:hAnsi="Arial" w:cs="Arial"/>
          <w:sz w:val="20"/>
          <w:lang w:val="en-GB"/>
        </w:rPr>
        <w:sectPr w:rsidR="0032473C" w:rsidSect="00C84440">
          <w:pgSz w:w="11907" w:h="16839" w:code="9"/>
          <w:pgMar w:top="624" w:right="1418" w:bottom="1361" w:left="1418" w:header="567" w:footer="851" w:gutter="0"/>
          <w:cols w:space="720"/>
          <w:docGrid w:linePitch="360"/>
        </w:sectPr>
      </w:pPr>
    </w:p>
    <w:p w14:paraId="2FD20290" w14:textId="77777777" w:rsidR="00FB583B" w:rsidRPr="00B35BD1" w:rsidRDefault="00FB583B" w:rsidP="00FB583B">
      <w:pPr>
        <w:pStyle w:val="StyleHeading3ComplexItalic"/>
        <w:keepNext w:val="0"/>
        <w:tabs>
          <w:tab w:val="clear" w:pos="1985"/>
          <w:tab w:val="left" w:pos="0"/>
        </w:tabs>
        <w:rPr>
          <w:caps w:val="0"/>
        </w:rPr>
      </w:pPr>
      <w:bookmarkStart w:id="161" w:name="_Toc293334853"/>
      <w:bookmarkStart w:id="162" w:name="_Toc298920435"/>
      <w:bookmarkStart w:id="163" w:name="_Toc310950816"/>
      <w:bookmarkStart w:id="164" w:name="_Toc356567802"/>
      <w:bookmarkStart w:id="165" w:name="_Toc367350628"/>
      <w:bookmarkStart w:id="166" w:name="_Toc427154450"/>
      <w:r w:rsidRPr="00B35BD1">
        <w:rPr>
          <w:caps w:val="0"/>
        </w:rPr>
        <w:lastRenderedPageBreak/>
        <w:t xml:space="preserve">APPENDIX D    </w:t>
      </w:r>
      <w:r w:rsidRPr="00B35BD1">
        <w:rPr>
          <w:caps w:val="0"/>
        </w:rPr>
        <w:br/>
        <w:t>FLEXIBILITY FORMULAS</w:t>
      </w:r>
      <w:bookmarkEnd w:id="161"/>
      <w:bookmarkEnd w:id="162"/>
      <w:bookmarkEnd w:id="163"/>
      <w:bookmarkEnd w:id="164"/>
      <w:bookmarkEnd w:id="165"/>
      <w:bookmarkEnd w:id="166"/>
    </w:p>
    <w:p w14:paraId="26B911D3" w14:textId="77777777" w:rsidR="00FB583B" w:rsidRDefault="00FB583B" w:rsidP="00FB583B">
      <w:pPr>
        <w:rPr>
          <w:rFonts w:ascii="Arial" w:hAnsi="Arial" w:cs="Arial"/>
          <w:sz w:val="20"/>
          <w:lang w:val="en-GB"/>
        </w:rPr>
      </w:pPr>
    </w:p>
    <w:p w14:paraId="2CD31D34" w14:textId="162256CC" w:rsidR="00FB583B" w:rsidRPr="001A3887" w:rsidRDefault="00FB583B">
      <w:pPr>
        <w:autoSpaceDE w:val="0"/>
        <w:autoSpaceDN w:val="0"/>
        <w:adjustRightInd w:val="0"/>
        <w:rPr>
          <w:rFonts w:ascii="Arial" w:hAnsi="Arial" w:cs="Arial"/>
          <w:sz w:val="20"/>
          <w:szCs w:val="20"/>
        </w:rPr>
      </w:pPr>
    </w:p>
    <w:p w14:paraId="1DB29ADB" w14:textId="2BB18ABA" w:rsidR="00E034AC" w:rsidRPr="003B57BC" w:rsidRDefault="003B57BC" w:rsidP="00C84440">
      <w:pPr>
        <w:pStyle w:val="Body"/>
        <w:rPr>
          <w:rFonts w:ascii="Arial" w:hAnsi="Arial" w:cs="Arial"/>
          <w:sz w:val="20"/>
        </w:rPr>
      </w:pPr>
      <w:r w:rsidRPr="003B57BC">
        <w:rPr>
          <w:rFonts w:ascii="Arial" w:hAnsi="Arial" w:cs="Arial"/>
          <w:sz w:val="20"/>
        </w:rPr>
        <w:t>GENERAL</w:t>
      </w:r>
    </w:p>
    <w:p w14:paraId="67EB8E69" w14:textId="77777777" w:rsidR="00E034AC" w:rsidRPr="001A3887" w:rsidRDefault="00E034AC">
      <w:pPr>
        <w:jc w:val="both"/>
        <w:rPr>
          <w:rFonts w:ascii="Arial" w:hAnsi="Arial" w:cs="Arial"/>
          <w:sz w:val="20"/>
          <w:szCs w:val="20"/>
        </w:rPr>
      </w:pPr>
    </w:p>
    <w:p w14:paraId="52C33D97" w14:textId="77777777" w:rsidR="00E034AC" w:rsidRPr="003F5036" w:rsidRDefault="00E034AC">
      <w:pPr>
        <w:jc w:val="both"/>
        <w:rPr>
          <w:rFonts w:ascii="Arial" w:hAnsi="Arial" w:cs="Arial"/>
          <w:sz w:val="20"/>
          <w:szCs w:val="20"/>
        </w:rPr>
      </w:pPr>
      <w:r w:rsidRPr="00B749A5">
        <w:rPr>
          <w:rFonts w:ascii="Arial" w:hAnsi="Arial" w:cs="Arial"/>
          <w:sz w:val="20"/>
          <w:szCs w:val="20"/>
        </w:rPr>
        <w:t>The flexibility formulas are the mechanism which enables the levels of financial resources allocated to the global protection systems (PCT, Madrid, Hague) to be varied to reflect unbudgeted variation</w:t>
      </w:r>
      <w:r w:rsidRPr="003F5036">
        <w:rPr>
          <w:rFonts w:ascii="Arial" w:hAnsi="Arial" w:cs="Arial"/>
          <w:sz w:val="20"/>
          <w:szCs w:val="20"/>
        </w:rPr>
        <w:t>s in the total volume of registration activities.  The flexibility formulas for the PCT, Madrid and Hague systems were revised and approved by their respective Assemblies, which convened from September 24 to October 3, 2007.</w:t>
      </w:r>
    </w:p>
    <w:p w14:paraId="271EB5D4" w14:textId="77777777" w:rsidR="00E034AC" w:rsidRPr="003F5036" w:rsidRDefault="00E034AC">
      <w:pPr>
        <w:jc w:val="both"/>
        <w:rPr>
          <w:rFonts w:ascii="Arial" w:hAnsi="Arial" w:cs="Arial"/>
          <w:sz w:val="20"/>
          <w:szCs w:val="20"/>
        </w:rPr>
      </w:pPr>
    </w:p>
    <w:p w14:paraId="6032560A" w14:textId="77777777" w:rsidR="00E034AC" w:rsidRPr="00764DA3" w:rsidRDefault="00E034AC">
      <w:pPr>
        <w:jc w:val="both"/>
        <w:rPr>
          <w:rFonts w:ascii="Arial" w:hAnsi="Arial" w:cs="Arial"/>
          <w:sz w:val="20"/>
          <w:szCs w:val="20"/>
        </w:rPr>
      </w:pPr>
    </w:p>
    <w:p w14:paraId="061B972D" w14:textId="72AB7577" w:rsidR="00E034AC" w:rsidRPr="00C84440" w:rsidRDefault="00E034AC" w:rsidP="00C84440">
      <w:pPr>
        <w:pStyle w:val="Body"/>
        <w:jc w:val="both"/>
        <w:rPr>
          <w:rFonts w:ascii="Arial" w:hAnsi="Arial" w:cs="Arial"/>
        </w:rPr>
      </w:pPr>
      <w:r w:rsidRPr="00C84440">
        <w:rPr>
          <w:rFonts w:ascii="Arial" w:hAnsi="Arial" w:cs="Arial"/>
          <w:sz w:val="20"/>
        </w:rPr>
        <w:t>PCT SYSTEM</w:t>
      </w:r>
    </w:p>
    <w:p w14:paraId="6B834F25" w14:textId="77777777" w:rsidR="00E034AC" w:rsidRPr="001A3887" w:rsidRDefault="00E034AC">
      <w:pPr>
        <w:jc w:val="both"/>
        <w:rPr>
          <w:rFonts w:ascii="Arial" w:hAnsi="Arial" w:cs="Arial"/>
          <w:sz w:val="20"/>
          <w:szCs w:val="20"/>
        </w:rPr>
      </w:pPr>
    </w:p>
    <w:p w14:paraId="27802851" w14:textId="77777777" w:rsidR="00E034AC" w:rsidRPr="00764DA3" w:rsidRDefault="00E034AC">
      <w:pPr>
        <w:jc w:val="both"/>
        <w:rPr>
          <w:rFonts w:ascii="Arial" w:hAnsi="Arial" w:cs="Arial"/>
          <w:sz w:val="20"/>
          <w:szCs w:val="20"/>
        </w:rPr>
      </w:pPr>
      <w:r w:rsidRPr="00B749A5">
        <w:rPr>
          <w:rFonts w:ascii="Arial" w:hAnsi="Arial" w:cs="Arial"/>
          <w:sz w:val="20"/>
          <w:szCs w:val="20"/>
        </w:rPr>
        <w:t>The revised flexi</w:t>
      </w:r>
      <w:r w:rsidRPr="00C87CC8">
        <w:rPr>
          <w:rFonts w:ascii="Arial" w:hAnsi="Arial" w:cs="Arial"/>
          <w:sz w:val="20"/>
          <w:szCs w:val="20"/>
        </w:rPr>
        <w:t xml:space="preserve">bility formula for the PCT system is described in document PCT/A/36/5, and it was approved by the PCT Assembly as indicated in document PCT/A/36/13.  As noted in these documents, the flexibility formula for PCT was revised to reflect a budget variation of </w:t>
      </w:r>
      <w:r w:rsidRPr="003F5036">
        <w:rPr>
          <w:rFonts w:ascii="Arial" w:hAnsi="Arial" w:cs="Arial"/>
          <w:sz w:val="20"/>
          <w:szCs w:val="20"/>
        </w:rPr>
        <w:t>341,870 Swiss francs per 1,000 unbudgeted PCT international applications.  The revised formula no longer linked the variations in the number of applications to variations in the number of staff posts as it was done before.  Rather, the formula proposed to vary the total resources allocated to programs involved, allowing to use both personnel resources (such as posts, short-term employees, SSAs, etc.) and non</w:t>
      </w:r>
      <w:r w:rsidRPr="003F5036">
        <w:rPr>
          <w:rFonts w:ascii="Arial" w:hAnsi="Arial" w:cs="Arial"/>
          <w:sz w:val="20"/>
          <w:szCs w:val="20"/>
        </w:rPr>
        <w:noBreakHyphen/>
        <w:t>personnel resources (such as outsourcing contracts).  The adjustments are allocated to the administr</w:t>
      </w:r>
      <w:r w:rsidRPr="00764DA3">
        <w:rPr>
          <w:rFonts w:ascii="Arial" w:hAnsi="Arial" w:cs="Arial"/>
          <w:sz w:val="20"/>
          <w:szCs w:val="20"/>
        </w:rPr>
        <w:t xml:space="preserve">ation of the PCT system and support services at a 87.5:12.5 ratio.  </w:t>
      </w:r>
    </w:p>
    <w:p w14:paraId="7A977839" w14:textId="77777777" w:rsidR="00E034AC" w:rsidRPr="00764DA3" w:rsidRDefault="00E034AC">
      <w:pPr>
        <w:jc w:val="both"/>
        <w:rPr>
          <w:rFonts w:ascii="Arial" w:hAnsi="Arial" w:cs="Arial"/>
          <w:sz w:val="20"/>
          <w:szCs w:val="20"/>
        </w:rPr>
      </w:pPr>
    </w:p>
    <w:p w14:paraId="1FEC29E1" w14:textId="77777777" w:rsidR="00E034AC" w:rsidRPr="00764DA3" w:rsidRDefault="00E034AC">
      <w:pPr>
        <w:jc w:val="both"/>
        <w:rPr>
          <w:rFonts w:ascii="Arial" w:hAnsi="Arial" w:cs="Arial"/>
          <w:sz w:val="20"/>
          <w:szCs w:val="20"/>
        </w:rPr>
      </w:pPr>
    </w:p>
    <w:p w14:paraId="420F6A4A" w14:textId="4BA057F3" w:rsidR="00E034AC" w:rsidRPr="00C84440" w:rsidRDefault="00E034AC" w:rsidP="00C84440">
      <w:pPr>
        <w:pStyle w:val="Body"/>
        <w:jc w:val="both"/>
        <w:rPr>
          <w:rFonts w:ascii="Arial" w:hAnsi="Arial" w:cs="Arial"/>
        </w:rPr>
      </w:pPr>
      <w:r w:rsidRPr="00C84440">
        <w:rPr>
          <w:rFonts w:ascii="Arial" w:hAnsi="Arial" w:cs="Arial"/>
          <w:sz w:val="20"/>
        </w:rPr>
        <w:t>MADRID SYSTEM</w:t>
      </w:r>
    </w:p>
    <w:p w14:paraId="646D72A5" w14:textId="77777777" w:rsidR="00E034AC" w:rsidRPr="001A3887" w:rsidRDefault="00E034AC">
      <w:pPr>
        <w:jc w:val="both"/>
        <w:rPr>
          <w:rFonts w:ascii="Arial" w:hAnsi="Arial" w:cs="Arial"/>
          <w:sz w:val="20"/>
          <w:szCs w:val="20"/>
        </w:rPr>
      </w:pPr>
    </w:p>
    <w:p w14:paraId="55D41502" w14:textId="71115BF4" w:rsidR="00E034AC" w:rsidRPr="003F5036" w:rsidRDefault="00E034AC">
      <w:pPr>
        <w:jc w:val="both"/>
        <w:rPr>
          <w:rFonts w:ascii="Arial" w:hAnsi="Arial" w:cs="Arial"/>
          <w:sz w:val="20"/>
          <w:szCs w:val="20"/>
        </w:rPr>
      </w:pPr>
      <w:r w:rsidRPr="00B749A5">
        <w:rPr>
          <w:rFonts w:ascii="Arial" w:hAnsi="Arial" w:cs="Arial"/>
          <w:sz w:val="20"/>
          <w:szCs w:val="20"/>
        </w:rPr>
        <w:t>The revised flexibility formula for the Madrid system is described in document MM/A/38</w:t>
      </w:r>
      <w:r>
        <w:rPr>
          <w:rFonts w:ascii="Arial" w:hAnsi="Arial" w:cs="Arial"/>
          <w:sz w:val="20"/>
          <w:szCs w:val="20"/>
        </w:rPr>
        <w:t xml:space="preserve">/5, and it was approved by the </w:t>
      </w:r>
      <w:r w:rsidRPr="001A3887">
        <w:rPr>
          <w:rFonts w:ascii="Arial" w:hAnsi="Arial" w:cs="Arial"/>
          <w:sz w:val="20"/>
          <w:szCs w:val="20"/>
        </w:rPr>
        <w:t>Madrid Assembly as reflected in document MM/A/38/6.  The new formula allows for adjustments in the M</w:t>
      </w:r>
      <w:r w:rsidRPr="00B749A5">
        <w:rPr>
          <w:rFonts w:ascii="Arial" w:hAnsi="Arial" w:cs="Arial"/>
          <w:sz w:val="20"/>
          <w:szCs w:val="20"/>
        </w:rPr>
        <w:t xml:space="preserve">adrid Union budget by 197,060 Swiss francs for each variation of 500 registrations and/or renewals recorded as compared to the approved initial estimates.  The formula no longer links the adjustments to staff </w:t>
      </w:r>
      <w:r w:rsidRPr="003F5036">
        <w:rPr>
          <w:rFonts w:ascii="Arial" w:hAnsi="Arial" w:cs="Arial"/>
          <w:sz w:val="20"/>
          <w:szCs w:val="20"/>
        </w:rPr>
        <w:t>posts only, but rather allows for adjustments in overall financial resources allocated to the programs directly involved in the processing of the resulting workload.  These resources may be of personnel (posts, short-term employees, etc.) and non-personnel nature (e.g., outsourcing contracts).  The adjustments are allocated to the administration of the International Trademark Registry and support services at a 87.5:12.5 ratio.</w:t>
      </w:r>
    </w:p>
    <w:p w14:paraId="4436CB3D" w14:textId="77777777" w:rsidR="00E034AC" w:rsidRPr="00764DA3" w:rsidRDefault="00E034AC">
      <w:pPr>
        <w:jc w:val="both"/>
        <w:rPr>
          <w:rFonts w:ascii="Arial" w:hAnsi="Arial" w:cs="Arial"/>
          <w:sz w:val="20"/>
          <w:szCs w:val="20"/>
        </w:rPr>
      </w:pPr>
    </w:p>
    <w:p w14:paraId="051FB104" w14:textId="77777777" w:rsidR="00E034AC" w:rsidRPr="00764DA3" w:rsidRDefault="00E034AC">
      <w:pPr>
        <w:jc w:val="both"/>
        <w:rPr>
          <w:rFonts w:ascii="Arial" w:hAnsi="Arial" w:cs="Arial"/>
          <w:sz w:val="20"/>
          <w:szCs w:val="20"/>
        </w:rPr>
      </w:pPr>
    </w:p>
    <w:p w14:paraId="2BD68F5E" w14:textId="09EF0688" w:rsidR="00E034AC" w:rsidRPr="00C84440" w:rsidRDefault="00E034AC" w:rsidP="00C84440">
      <w:pPr>
        <w:pStyle w:val="Body"/>
        <w:jc w:val="both"/>
        <w:rPr>
          <w:rFonts w:ascii="Arial" w:hAnsi="Arial" w:cs="Arial"/>
        </w:rPr>
      </w:pPr>
      <w:r w:rsidRPr="00C84440">
        <w:rPr>
          <w:rFonts w:ascii="Arial" w:hAnsi="Arial" w:cs="Arial"/>
          <w:sz w:val="20"/>
        </w:rPr>
        <w:t>HAGUE SYSTEM</w:t>
      </w:r>
    </w:p>
    <w:p w14:paraId="6146C35E" w14:textId="77777777" w:rsidR="00E034AC" w:rsidRPr="001A3887" w:rsidRDefault="00E034AC">
      <w:pPr>
        <w:jc w:val="both"/>
        <w:rPr>
          <w:rFonts w:ascii="Arial" w:hAnsi="Arial" w:cs="Arial"/>
          <w:sz w:val="20"/>
          <w:szCs w:val="20"/>
        </w:rPr>
      </w:pPr>
    </w:p>
    <w:p w14:paraId="72C1CC28" w14:textId="77777777" w:rsidR="00E034AC" w:rsidRPr="00C84440" w:rsidRDefault="00E034AC" w:rsidP="00C84440">
      <w:pPr>
        <w:pStyle w:val="BodyText2"/>
        <w:spacing w:after="0" w:line="240" w:lineRule="auto"/>
        <w:jc w:val="both"/>
        <w:rPr>
          <w:rFonts w:ascii="Arial" w:hAnsi="Arial" w:cs="Arial"/>
          <w:sz w:val="20"/>
          <w:szCs w:val="20"/>
        </w:rPr>
      </w:pPr>
      <w:r w:rsidRPr="00C84440">
        <w:rPr>
          <w:rFonts w:ascii="Arial" w:hAnsi="Arial" w:cs="Arial"/>
          <w:sz w:val="20"/>
          <w:szCs w:val="20"/>
        </w:rPr>
        <w:t>The revised flexibility formula for the Hague system is described in document H/A/24/3, and it was approved by the Hague Assembly as reflected in document H/A/24/4.  The new formula provides for adjustments of the Hague Union budget by an amount of 99,024 Swiss francs for each variation of 300 registrations and/or renewals recorded in the Hague Union Registry as compared to the approved initial estimates.  The resources may be of personnel and non-personnel nature, and they are allocated to the administration of the Hague Union Registry and support services at a 87.5:12.5 ratio.</w:t>
      </w:r>
    </w:p>
    <w:p w14:paraId="0FC200A9" w14:textId="77777777" w:rsidR="00E034AC" w:rsidRPr="001A3887" w:rsidRDefault="00E034AC">
      <w:pPr>
        <w:jc w:val="both"/>
        <w:rPr>
          <w:rFonts w:ascii="Arial" w:hAnsi="Arial" w:cs="Arial"/>
          <w:sz w:val="20"/>
          <w:szCs w:val="20"/>
        </w:rPr>
      </w:pPr>
    </w:p>
    <w:p w14:paraId="20A01D0D" w14:textId="77777777" w:rsidR="00E034AC" w:rsidRPr="00B749A5" w:rsidRDefault="00E034AC">
      <w:pPr>
        <w:jc w:val="both"/>
        <w:rPr>
          <w:rFonts w:ascii="Arial" w:hAnsi="Arial" w:cs="Arial"/>
          <w:sz w:val="20"/>
          <w:szCs w:val="20"/>
        </w:rPr>
      </w:pPr>
    </w:p>
    <w:p w14:paraId="6DB396F1" w14:textId="77777777" w:rsidR="00E034AC" w:rsidRPr="003F5036" w:rsidRDefault="00E034AC">
      <w:pPr>
        <w:autoSpaceDE w:val="0"/>
        <w:autoSpaceDN w:val="0"/>
        <w:adjustRightInd w:val="0"/>
        <w:rPr>
          <w:rFonts w:ascii="Arial" w:hAnsi="Arial" w:cs="Arial"/>
          <w:sz w:val="20"/>
          <w:szCs w:val="20"/>
        </w:rPr>
      </w:pPr>
    </w:p>
    <w:p w14:paraId="4C44AF60" w14:textId="2197AA01" w:rsidR="00F04E0B" w:rsidRDefault="00F04E0B">
      <w:pPr>
        <w:rPr>
          <w:rFonts w:ascii="Arial" w:hAnsi="Arial" w:cs="Arial"/>
          <w:sz w:val="20"/>
        </w:rPr>
      </w:pPr>
      <w:r>
        <w:rPr>
          <w:rFonts w:ascii="Arial" w:hAnsi="Arial" w:cs="Arial"/>
          <w:sz w:val="20"/>
        </w:rPr>
        <w:br w:type="page"/>
      </w:r>
    </w:p>
    <w:p w14:paraId="4289CEEC" w14:textId="77777777" w:rsidR="00FB583B" w:rsidRPr="00B35BD1" w:rsidRDefault="00FB583B" w:rsidP="00FB583B">
      <w:pPr>
        <w:pStyle w:val="StyleHeading3ComplexItalic"/>
        <w:keepNext w:val="0"/>
        <w:tabs>
          <w:tab w:val="clear" w:pos="1985"/>
          <w:tab w:val="left" w:pos="0"/>
        </w:tabs>
        <w:rPr>
          <w:b w:val="0"/>
          <w:bCs/>
          <w:caps w:val="0"/>
        </w:rPr>
      </w:pPr>
      <w:bookmarkStart w:id="167" w:name="_Toc293334854"/>
      <w:bookmarkStart w:id="168" w:name="_Toc298920436"/>
      <w:bookmarkStart w:id="169" w:name="_Toc310950817"/>
      <w:bookmarkStart w:id="170" w:name="_Toc356567803"/>
      <w:bookmarkStart w:id="171" w:name="_Toc367350629"/>
      <w:bookmarkStart w:id="172" w:name="_Toc427154451"/>
      <w:r w:rsidRPr="00B35BD1">
        <w:rPr>
          <w:caps w:val="0"/>
        </w:rPr>
        <w:lastRenderedPageBreak/>
        <w:t xml:space="preserve">APPENDIX E  </w:t>
      </w:r>
      <w:r w:rsidRPr="00B35BD1">
        <w:rPr>
          <w:b w:val="0"/>
          <w:bCs/>
          <w:caps w:val="0"/>
        </w:rPr>
        <w:t xml:space="preserve"> </w:t>
      </w:r>
      <w:r w:rsidRPr="00B35BD1">
        <w:rPr>
          <w:b w:val="0"/>
          <w:bCs/>
          <w:caps w:val="0"/>
        </w:rPr>
        <w:br/>
      </w:r>
      <w:r w:rsidRPr="00B35BD1">
        <w:rPr>
          <w:caps w:val="0"/>
        </w:rPr>
        <w:t>ACRONYMS</w:t>
      </w:r>
      <w:r w:rsidRPr="00B35BD1">
        <w:rPr>
          <w:b w:val="0"/>
          <w:bCs/>
        </w:rPr>
        <w:t xml:space="preserve"> </w:t>
      </w:r>
      <w:r w:rsidRPr="00B35BD1">
        <w:rPr>
          <w:caps w:val="0"/>
        </w:rPr>
        <w:t>AND</w:t>
      </w:r>
      <w:r w:rsidRPr="00B35BD1">
        <w:rPr>
          <w:b w:val="0"/>
          <w:bCs/>
        </w:rPr>
        <w:t xml:space="preserve"> </w:t>
      </w:r>
      <w:r w:rsidRPr="00B35BD1">
        <w:rPr>
          <w:caps w:val="0"/>
        </w:rPr>
        <w:t>ABBREVIATIONS</w:t>
      </w:r>
      <w:r w:rsidRPr="00B35BD1">
        <w:rPr>
          <w:b w:val="0"/>
          <w:bCs/>
        </w:rPr>
        <w:t xml:space="preserve"> </w:t>
      </w:r>
      <w:r w:rsidRPr="00B35BD1">
        <w:rPr>
          <w:caps w:val="0"/>
        </w:rPr>
        <w:t>USED</w:t>
      </w:r>
      <w:r w:rsidRPr="00B35BD1">
        <w:rPr>
          <w:b w:val="0"/>
          <w:bCs/>
        </w:rPr>
        <w:t xml:space="preserve"> </w:t>
      </w:r>
      <w:r w:rsidRPr="00B35BD1">
        <w:rPr>
          <w:caps w:val="0"/>
        </w:rPr>
        <w:t>IN THE PRESENT</w:t>
      </w:r>
      <w:r w:rsidRPr="00B35BD1">
        <w:rPr>
          <w:b w:val="0"/>
          <w:bCs/>
        </w:rPr>
        <w:t xml:space="preserve"> </w:t>
      </w:r>
      <w:r w:rsidRPr="00B35BD1">
        <w:rPr>
          <w:caps w:val="0"/>
        </w:rPr>
        <w:t>DOCUMENT</w:t>
      </w:r>
      <w:bookmarkEnd w:id="167"/>
      <w:bookmarkEnd w:id="168"/>
      <w:bookmarkEnd w:id="169"/>
      <w:bookmarkEnd w:id="170"/>
      <w:bookmarkEnd w:id="171"/>
      <w:bookmarkEnd w:id="172"/>
      <w:r w:rsidRPr="00B35BD1">
        <w:rPr>
          <w:b w:val="0"/>
          <w:bCs/>
          <w:caps w:val="0"/>
        </w:rPr>
        <w:t xml:space="preserve"> </w:t>
      </w:r>
    </w:p>
    <w:p w14:paraId="3BD3F9F1" w14:textId="77777777" w:rsidR="00FB583B" w:rsidRDefault="00FB583B" w:rsidP="00FB583B">
      <w:pPr>
        <w:tabs>
          <w:tab w:val="left" w:pos="1980"/>
          <w:tab w:val="left" w:pos="3261"/>
        </w:tabs>
        <w:spacing w:line="280" w:lineRule="exact"/>
        <w:ind w:left="2268" w:hanging="2268"/>
        <w:jc w:val="both"/>
        <w:rPr>
          <w:rFonts w:ascii="Arial" w:hAnsi="Arial" w:cs="Arial"/>
          <w:sz w:val="20"/>
        </w:rPr>
      </w:pPr>
    </w:p>
    <w:p w14:paraId="4E2873F5" w14:textId="77777777" w:rsidR="00FB583B" w:rsidRDefault="00FB583B" w:rsidP="00FB583B">
      <w:pPr>
        <w:tabs>
          <w:tab w:val="left" w:pos="1980"/>
          <w:tab w:val="left" w:pos="3261"/>
        </w:tabs>
        <w:spacing w:line="280" w:lineRule="exact"/>
        <w:ind w:left="2268" w:hanging="2268"/>
        <w:jc w:val="both"/>
        <w:rPr>
          <w:rFonts w:ascii="Arial" w:hAnsi="Arial" w:cs="Arial"/>
          <w:sz w:val="20"/>
        </w:rPr>
      </w:pPr>
    </w:p>
    <w:p w14:paraId="00F55CF1" w14:textId="77777777" w:rsidR="00FB583B" w:rsidRPr="00F10C59" w:rsidRDefault="00FB583B" w:rsidP="00FB583B">
      <w:pPr>
        <w:tabs>
          <w:tab w:val="left" w:pos="1980"/>
          <w:tab w:val="left" w:pos="3261"/>
        </w:tabs>
        <w:spacing w:line="280" w:lineRule="exact"/>
        <w:ind w:left="2268" w:hanging="2268"/>
        <w:jc w:val="both"/>
        <w:rPr>
          <w:rFonts w:ascii="Arial" w:hAnsi="Arial" w:cs="Arial"/>
          <w:sz w:val="20"/>
        </w:rPr>
      </w:pPr>
    </w:p>
    <w:p w14:paraId="64EC7F00" w14:textId="3AE50434" w:rsidR="005D60B3" w:rsidRDefault="005D60B3" w:rsidP="00FB583B">
      <w:pPr>
        <w:tabs>
          <w:tab w:val="left" w:pos="2127"/>
        </w:tabs>
        <w:spacing w:after="40"/>
        <w:ind w:left="2126" w:right="-476" w:hanging="2126"/>
        <w:rPr>
          <w:rFonts w:ascii="Arial" w:hAnsi="Arial" w:cs="Arial"/>
          <w:b/>
          <w:bCs/>
          <w:sz w:val="20"/>
        </w:rPr>
      </w:pPr>
      <w:r>
        <w:rPr>
          <w:rFonts w:ascii="Arial" w:hAnsi="Arial" w:cs="Arial"/>
          <w:sz w:val="20"/>
        </w:rPr>
        <w:t>ABC</w:t>
      </w:r>
      <w:r>
        <w:rPr>
          <w:rFonts w:ascii="Arial" w:hAnsi="Arial" w:cs="Arial"/>
          <w:sz w:val="20"/>
        </w:rPr>
        <w:tab/>
      </w:r>
      <w:r w:rsidRPr="00B30856">
        <w:rPr>
          <w:rFonts w:ascii="Arial" w:hAnsi="Arial" w:cs="Arial"/>
          <w:sz w:val="20"/>
        </w:rPr>
        <w:t xml:space="preserve">Accessible Books Consortium </w:t>
      </w:r>
    </w:p>
    <w:p w14:paraId="5FFB4258" w14:textId="77777777" w:rsidR="00FB583B" w:rsidRPr="00F10C59" w:rsidRDefault="00FB583B" w:rsidP="00FB583B">
      <w:pPr>
        <w:tabs>
          <w:tab w:val="left" w:pos="2127"/>
        </w:tabs>
        <w:spacing w:after="40"/>
        <w:ind w:left="2126" w:right="-476" w:hanging="2126"/>
        <w:rPr>
          <w:rFonts w:ascii="Arial" w:hAnsi="Arial" w:cs="Arial"/>
          <w:sz w:val="20"/>
        </w:rPr>
      </w:pPr>
      <w:r w:rsidRPr="00B30215">
        <w:rPr>
          <w:rFonts w:ascii="Arial" w:hAnsi="Arial" w:cs="Arial"/>
          <w:bCs/>
          <w:sz w:val="20"/>
        </w:rPr>
        <w:t>A</w:t>
      </w:r>
      <w:r w:rsidRPr="00F10C59">
        <w:rPr>
          <w:rFonts w:ascii="Arial" w:hAnsi="Arial" w:cs="Arial"/>
          <w:sz w:val="20"/>
        </w:rPr>
        <w:t>CE</w:t>
      </w:r>
      <w:r w:rsidRPr="00F10C59">
        <w:rPr>
          <w:rFonts w:ascii="Arial" w:hAnsi="Arial" w:cs="Arial"/>
          <w:sz w:val="20"/>
        </w:rPr>
        <w:tab/>
        <w:t xml:space="preserve">Advisory Committee on Enforcement </w:t>
      </w:r>
    </w:p>
    <w:p w14:paraId="452D1E09" w14:textId="77777777" w:rsidR="00FB583B" w:rsidRPr="00F10C59" w:rsidRDefault="00FB583B" w:rsidP="00FB583B">
      <w:pPr>
        <w:tabs>
          <w:tab w:val="left" w:pos="2127"/>
        </w:tabs>
        <w:spacing w:after="40"/>
        <w:ind w:left="2126" w:hanging="2126"/>
        <w:rPr>
          <w:rFonts w:ascii="Arial" w:hAnsi="Arial" w:cs="Arial"/>
          <w:sz w:val="20"/>
        </w:rPr>
      </w:pPr>
      <w:r w:rsidRPr="00F10C59">
        <w:rPr>
          <w:rFonts w:ascii="Arial" w:hAnsi="Arial" w:cs="Arial"/>
          <w:sz w:val="20"/>
        </w:rPr>
        <w:t>ADR</w:t>
      </w:r>
      <w:r w:rsidRPr="00F10C59">
        <w:rPr>
          <w:rFonts w:ascii="Arial" w:hAnsi="Arial" w:cs="Arial"/>
          <w:sz w:val="20"/>
        </w:rPr>
        <w:tab/>
        <w:t>Alternative Dispute Resolution</w:t>
      </w:r>
    </w:p>
    <w:p w14:paraId="6EE60C12" w14:textId="77777777" w:rsidR="00FB583B" w:rsidRPr="00F10C59" w:rsidRDefault="00FB583B" w:rsidP="00FB583B">
      <w:pPr>
        <w:tabs>
          <w:tab w:val="left" w:pos="2127"/>
        </w:tabs>
        <w:spacing w:after="40"/>
        <w:ind w:left="2126" w:hanging="2126"/>
        <w:rPr>
          <w:rFonts w:ascii="Arial" w:hAnsi="Arial" w:cs="Arial"/>
          <w:sz w:val="20"/>
        </w:rPr>
      </w:pPr>
      <w:r w:rsidRPr="00F10C59">
        <w:rPr>
          <w:rFonts w:ascii="Arial" w:hAnsi="Arial" w:cs="Arial"/>
          <w:sz w:val="20"/>
        </w:rPr>
        <w:t>AGICOA</w:t>
      </w:r>
      <w:r w:rsidRPr="00F10C59">
        <w:rPr>
          <w:rFonts w:ascii="Arial" w:hAnsi="Arial" w:cs="Arial"/>
          <w:sz w:val="20"/>
        </w:rPr>
        <w:tab/>
        <w:t>Association of International Collective Management of Audiovisual Works</w:t>
      </w:r>
    </w:p>
    <w:p w14:paraId="2CE95260" w14:textId="652AEC89" w:rsidR="00B34F97" w:rsidRPr="000F6BE2" w:rsidRDefault="00B34F97" w:rsidP="00FB583B">
      <w:pPr>
        <w:tabs>
          <w:tab w:val="left" w:pos="2127"/>
        </w:tabs>
        <w:spacing w:after="40"/>
        <w:ind w:left="2126" w:hanging="2126"/>
        <w:rPr>
          <w:rFonts w:ascii="Arial" w:hAnsi="Arial" w:cs="Arial"/>
          <w:sz w:val="20"/>
          <w:szCs w:val="20"/>
          <w:lang w:val="en"/>
        </w:rPr>
      </w:pPr>
      <w:r>
        <w:rPr>
          <w:rFonts w:ascii="Arial" w:hAnsi="Arial" w:cs="Arial"/>
          <w:sz w:val="20"/>
          <w:lang w:val="en"/>
        </w:rPr>
        <w:t>AIMS</w:t>
      </w:r>
      <w:r>
        <w:rPr>
          <w:rFonts w:ascii="Arial" w:hAnsi="Arial" w:cs="Arial"/>
          <w:sz w:val="20"/>
          <w:lang w:val="en"/>
        </w:rPr>
        <w:tab/>
      </w:r>
      <w:r w:rsidRPr="00B30215">
        <w:rPr>
          <w:rStyle w:val="Emphasis"/>
          <w:rFonts w:ascii="Arial" w:hAnsi="Arial" w:cs="Arial"/>
          <w:i w:val="0"/>
          <w:sz w:val="20"/>
          <w:szCs w:val="20"/>
        </w:rPr>
        <w:t>Administration Information Management System</w:t>
      </w:r>
    </w:p>
    <w:p w14:paraId="0A69EF5A" w14:textId="77777777" w:rsidR="00FB583B" w:rsidRDefault="00FB583B" w:rsidP="00FB583B">
      <w:pPr>
        <w:tabs>
          <w:tab w:val="left" w:pos="2127"/>
        </w:tabs>
        <w:spacing w:after="40"/>
        <w:ind w:left="2126" w:hanging="2126"/>
        <w:rPr>
          <w:rFonts w:ascii="Arial" w:hAnsi="Arial" w:cs="Arial"/>
          <w:sz w:val="20"/>
        </w:rPr>
      </w:pPr>
      <w:r w:rsidRPr="00C02386">
        <w:rPr>
          <w:rFonts w:ascii="Arial" w:hAnsi="Arial" w:cs="Arial"/>
          <w:sz w:val="20"/>
          <w:lang w:val="en"/>
        </w:rPr>
        <w:t>AIPMS</w:t>
      </w:r>
      <w:r w:rsidRPr="00C02386">
        <w:rPr>
          <w:rFonts w:ascii="Arial" w:hAnsi="Arial" w:cs="Arial"/>
          <w:sz w:val="20"/>
          <w:lang w:val="en"/>
        </w:rPr>
        <w:tab/>
        <w:t>Arab IP Management System</w:t>
      </w:r>
    </w:p>
    <w:p w14:paraId="1D0FF6E3" w14:textId="77777777" w:rsidR="00FB583B" w:rsidRDefault="00FB583B" w:rsidP="00FB583B">
      <w:pPr>
        <w:tabs>
          <w:tab w:val="left" w:pos="2127"/>
        </w:tabs>
        <w:spacing w:after="40"/>
        <w:ind w:left="2126" w:hanging="2126"/>
        <w:rPr>
          <w:rFonts w:ascii="Arial" w:hAnsi="Arial" w:cs="Arial"/>
          <w:sz w:val="20"/>
        </w:rPr>
      </w:pPr>
      <w:r>
        <w:rPr>
          <w:rFonts w:ascii="Arial" w:hAnsi="Arial" w:cs="Arial"/>
          <w:sz w:val="20"/>
        </w:rPr>
        <w:t>aRDi</w:t>
      </w:r>
      <w:r>
        <w:rPr>
          <w:rFonts w:ascii="Arial" w:hAnsi="Arial" w:cs="Arial"/>
          <w:sz w:val="20"/>
        </w:rPr>
        <w:tab/>
      </w:r>
      <w:r w:rsidRPr="00371DB3">
        <w:rPr>
          <w:rFonts w:ascii="Arial" w:hAnsi="Arial" w:cs="Arial"/>
          <w:bCs/>
          <w:sz w:val="20"/>
        </w:rPr>
        <w:t>Access to Research for Development and Innovation</w:t>
      </w:r>
    </w:p>
    <w:p w14:paraId="087F15DF" w14:textId="77777777" w:rsidR="00FB583B" w:rsidRDefault="00FB583B" w:rsidP="00FB583B">
      <w:pPr>
        <w:tabs>
          <w:tab w:val="left" w:pos="2127"/>
        </w:tabs>
        <w:spacing w:after="40"/>
        <w:rPr>
          <w:rFonts w:ascii="Arial" w:hAnsi="Arial" w:cs="Arial"/>
          <w:sz w:val="20"/>
        </w:rPr>
      </w:pPr>
      <w:r w:rsidRPr="0036669E">
        <w:rPr>
          <w:rFonts w:ascii="Arial" w:hAnsi="Arial" w:cs="Arial"/>
          <w:b/>
          <w:bCs/>
          <w:sz w:val="20"/>
        </w:rPr>
        <w:t>A</w:t>
      </w:r>
      <w:r>
        <w:rPr>
          <w:rFonts w:ascii="Arial" w:hAnsi="Arial" w:cs="Arial"/>
          <w:sz w:val="20"/>
        </w:rPr>
        <w:t>SEAN</w:t>
      </w:r>
      <w:r>
        <w:rPr>
          <w:rFonts w:ascii="Arial" w:hAnsi="Arial" w:cs="Arial"/>
          <w:sz w:val="20"/>
        </w:rPr>
        <w:tab/>
      </w:r>
      <w:r w:rsidRPr="0036669E">
        <w:rPr>
          <w:rFonts w:ascii="Arial" w:hAnsi="Arial" w:cs="Arial"/>
          <w:sz w:val="20"/>
          <w:lang w:val="en"/>
        </w:rPr>
        <w:t>Association of South East Asian Nations</w:t>
      </w:r>
    </w:p>
    <w:p w14:paraId="0E76B05B" w14:textId="77777777" w:rsidR="00FB583B" w:rsidRDefault="00FB583B" w:rsidP="00FB583B">
      <w:pPr>
        <w:tabs>
          <w:tab w:val="left" w:pos="2127"/>
        </w:tabs>
        <w:spacing w:after="40"/>
        <w:rPr>
          <w:rFonts w:ascii="Arial" w:hAnsi="Arial" w:cs="Arial"/>
          <w:sz w:val="20"/>
        </w:rPr>
      </w:pPr>
      <w:r>
        <w:rPr>
          <w:rFonts w:ascii="Arial" w:hAnsi="Arial" w:cs="Arial"/>
          <w:sz w:val="20"/>
        </w:rPr>
        <w:t>ASHI</w:t>
      </w:r>
      <w:r>
        <w:rPr>
          <w:rFonts w:ascii="Arial" w:hAnsi="Arial" w:cs="Arial"/>
          <w:sz w:val="20"/>
        </w:rPr>
        <w:tab/>
        <w:t>After-Service Health Insurance</w:t>
      </w:r>
    </w:p>
    <w:p w14:paraId="7A584A34" w14:textId="77777777" w:rsidR="00FB583B" w:rsidRDefault="00FB583B" w:rsidP="00FB583B">
      <w:pPr>
        <w:tabs>
          <w:tab w:val="left" w:pos="2127"/>
        </w:tabs>
        <w:spacing w:after="40"/>
        <w:rPr>
          <w:rFonts w:ascii="Arial" w:hAnsi="Arial" w:cs="Arial"/>
          <w:sz w:val="20"/>
        </w:rPr>
      </w:pPr>
      <w:r w:rsidRPr="00F10C59">
        <w:rPr>
          <w:rFonts w:ascii="Arial" w:hAnsi="Arial" w:cs="Arial"/>
          <w:sz w:val="20"/>
        </w:rPr>
        <w:t>ASPI</w:t>
      </w:r>
      <w:r w:rsidRPr="00F10C59">
        <w:rPr>
          <w:rFonts w:ascii="Arial" w:hAnsi="Arial" w:cs="Arial"/>
          <w:sz w:val="20"/>
        </w:rPr>
        <w:tab/>
        <w:t>A</w:t>
      </w:r>
      <w:r>
        <w:rPr>
          <w:rFonts w:ascii="Arial" w:hAnsi="Arial" w:cs="Arial"/>
          <w:sz w:val="20"/>
        </w:rPr>
        <w:t>c</w:t>
      </w:r>
      <w:r w:rsidRPr="00F10C59">
        <w:rPr>
          <w:rFonts w:ascii="Arial" w:hAnsi="Arial" w:cs="Arial"/>
          <w:sz w:val="20"/>
        </w:rPr>
        <w:t>cess to Specialized Patent Information</w:t>
      </w:r>
    </w:p>
    <w:p w14:paraId="487B9678" w14:textId="0C4689CD" w:rsidR="00177388" w:rsidRPr="00F10C59" w:rsidRDefault="00177388" w:rsidP="00FB583B">
      <w:pPr>
        <w:tabs>
          <w:tab w:val="left" w:pos="2127"/>
        </w:tabs>
        <w:spacing w:after="40"/>
        <w:rPr>
          <w:rFonts w:ascii="Arial" w:hAnsi="Arial" w:cs="Arial"/>
          <w:sz w:val="20"/>
        </w:rPr>
      </w:pPr>
      <w:r>
        <w:rPr>
          <w:rFonts w:ascii="Arial" w:hAnsi="Arial" w:cs="Arial"/>
          <w:sz w:val="20"/>
        </w:rPr>
        <w:t>AUTM</w:t>
      </w:r>
      <w:r>
        <w:rPr>
          <w:rFonts w:ascii="Arial" w:hAnsi="Arial" w:cs="Arial"/>
          <w:sz w:val="20"/>
        </w:rPr>
        <w:tab/>
      </w:r>
      <w:r>
        <w:rPr>
          <w:rFonts w:ascii="Arial" w:hAnsi="Arial" w:cs="Arial"/>
          <w:sz w:val="20"/>
          <w:szCs w:val="20"/>
        </w:rPr>
        <w:t>Association of University Technology Managers</w:t>
      </w:r>
    </w:p>
    <w:p w14:paraId="2823A11B" w14:textId="6D82BEDD" w:rsidR="00FB583B" w:rsidRDefault="005C0B8F" w:rsidP="00FB583B">
      <w:pPr>
        <w:tabs>
          <w:tab w:val="left" w:pos="2127"/>
        </w:tabs>
        <w:spacing w:after="180"/>
        <w:ind w:left="2126" w:hanging="2126"/>
        <w:rPr>
          <w:rFonts w:ascii="Arial" w:hAnsi="Arial" w:cs="Arial"/>
          <w:sz w:val="20"/>
        </w:rPr>
      </w:pPr>
      <w:r>
        <w:rPr>
          <w:rFonts w:ascii="Arial" w:hAnsi="Arial" w:cs="Arial"/>
          <w:sz w:val="20"/>
        </w:rPr>
        <w:t>AWGIPC</w:t>
      </w:r>
      <w:r>
        <w:rPr>
          <w:rFonts w:ascii="Arial" w:hAnsi="Arial" w:cs="Arial"/>
          <w:sz w:val="20"/>
        </w:rPr>
        <w:tab/>
        <w:t xml:space="preserve">ASEAN </w:t>
      </w:r>
      <w:r w:rsidRPr="00785BEE">
        <w:rPr>
          <w:rFonts w:ascii="Arial" w:hAnsi="Arial" w:cs="Arial"/>
          <w:sz w:val="20"/>
        </w:rPr>
        <w:t>Working Group on Intellectual Property Cooperation</w:t>
      </w:r>
    </w:p>
    <w:p w14:paraId="7BE6DAA7" w14:textId="0CDBD43D" w:rsidR="00177388" w:rsidRPr="00C84440" w:rsidRDefault="00177388" w:rsidP="00FB583B">
      <w:pPr>
        <w:tabs>
          <w:tab w:val="left" w:pos="2127"/>
        </w:tabs>
        <w:spacing w:after="180"/>
        <w:ind w:left="2126" w:hanging="2126"/>
        <w:rPr>
          <w:rFonts w:ascii="Arial" w:hAnsi="Arial" w:cs="Arial"/>
          <w:sz w:val="18"/>
        </w:rPr>
      </w:pPr>
      <w:r w:rsidRPr="00C84440">
        <w:rPr>
          <w:rFonts w:ascii="Arial" w:hAnsi="Arial" w:cs="Arial"/>
          <w:b/>
          <w:sz w:val="20"/>
        </w:rPr>
        <w:t>B</w:t>
      </w:r>
      <w:r>
        <w:rPr>
          <w:rFonts w:ascii="Arial" w:hAnsi="Arial" w:cs="Arial"/>
          <w:sz w:val="20"/>
        </w:rPr>
        <w:t>OIP</w:t>
      </w:r>
      <w:r>
        <w:rPr>
          <w:rFonts w:ascii="Arial" w:hAnsi="Arial" w:cs="Arial"/>
          <w:sz w:val="20"/>
        </w:rPr>
        <w:tab/>
      </w:r>
      <w:r w:rsidRPr="00C84440">
        <w:rPr>
          <w:rStyle w:val="st"/>
          <w:rFonts w:ascii="Arial" w:hAnsi="Arial" w:cs="Arial"/>
          <w:sz w:val="20"/>
        </w:rPr>
        <w:t>Benelux Organization for Intellectual Property</w:t>
      </w:r>
    </w:p>
    <w:p w14:paraId="79E85828"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C</w:t>
      </w:r>
      <w:r w:rsidRPr="00F10C59">
        <w:rPr>
          <w:rFonts w:ascii="Arial" w:hAnsi="Arial" w:cs="Arial"/>
          <w:sz w:val="20"/>
        </w:rPr>
        <w:t>ASE</w:t>
      </w:r>
      <w:r w:rsidRPr="00F10C59">
        <w:rPr>
          <w:rFonts w:ascii="Arial" w:hAnsi="Arial" w:cs="Arial"/>
          <w:sz w:val="20"/>
        </w:rPr>
        <w:tab/>
        <w:t>Centralized Access to Search and Examination Results</w:t>
      </w:r>
    </w:p>
    <w:p w14:paraId="618ADE15"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ccTLDs</w:t>
      </w:r>
      <w:r w:rsidRPr="00F10C59">
        <w:rPr>
          <w:rFonts w:ascii="Arial" w:hAnsi="Arial" w:cs="Arial"/>
          <w:sz w:val="20"/>
        </w:rPr>
        <w:tab/>
        <w:t>country code Top-Level Domain</w:t>
      </w:r>
    </w:p>
    <w:p w14:paraId="2776A685" w14:textId="77777777" w:rsidR="00FB583B" w:rsidRPr="00F10C59" w:rsidRDefault="00FB583B" w:rsidP="00FB583B">
      <w:pPr>
        <w:pStyle w:val="BlockText"/>
        <w:rPr>
          <w:rFonts w:ascii="Arial" w:hAnsi="Arial" w:cs="Arial"/>
          <w:sz w:val="20"/>
        </w:rPr>
      </w:pPr>
      <w:r w:rsidRPr="00F10C59">
        <w:rPr>
          <w:rFonts w:ascii="Arial" w:hAnsi="Arial" w:cs="Arial"/>
          <w:sz w:val="20"/>
        </w:rPr>
        <w:t>CDIP</w:t>
      </w:r>
      <w:r w:rsidRPr="00F10C59">
        <w:rPr>
          <w:rFonts w:ascii="Arial" w:hAnsi="Arial" w:cs="Arial"/>
          <w:sz w:val="20"/>
        </w:rPr>
        <w:tab/>
        <w:t>Conference on Development and Intellectual Property</w:t>
      </w:r>
    </w:p>
    <w:p w14:paraId="0DDEFC75" w14:textId="77777777" w:rsidR="00FB583B" w:rsidRPr="00F10C59" w:rsidRDefault="00FB583B" w:rsidP="00FB583B">
      <w:pPr>
        <w:pStyle w:val="BlockText"/>
        <w:rPr>
          <w:rFonts w:ascii="Arial" w:hAnsi="Arial" w:cs="Arial"/>
          <w:sz w:val="20"/>
        </w:rPr>
      </w:pPr>
      <w:r w:rsidRPr="00F10C59">
        <w:rPr>
          <w:rFonts w:ascii="Arial" w:hAnsi="Arial" w:cs="Arial"/>
          <w:sz w:val="20"/>
        </w:rPr>
        <w:t>CIS</w:t>
      </w:r>
      <w:r w:rsidRPr="00F10C59">
        <w:rPr>
          <w:rFonts w:ascii="Arial" w:hAnsi="Arial" w:cs="Arial"/>
          <w:sz w:val="20"/>
        </w:rPr>
        <w:tab/>
        <w:t>Commonwea</w:t>
      </w:r>
      <w:r>
        <w:rPr>
          <w:rFonts w:ascii="Arial" w:hAnsi="Arial" w:cs="Arial"/>
          <w:sz w:val="20"/>
        </w:rPr>
        <w:t>l</w:t>
      </w:r>
      <w:r w:rsidRPr="00F10C59">
        <w:rPr>
          <w:rFonts w:ascii="Arial" w:hAnsi="Arial" w:cs="Arial"/>
          <w:sz w:val="20"/>
        </w:rPr>
        <w:t>th of Independent States</w:t>
      </w:r>
    </w:p>
    <w:p w14:paraId="3E87DA90" w14:textId="77777777" w:rsidR="00FB583B" w:rsidRDefault="00FB583B" w:rsidP="00FB583B">
      <w:pPr>
        <w:tabs>
          <w:tab w:val="left" w:pos="2127"/>
        </w:tabs>
        <w:spacing w:after="40"/>
        <w:ind w:left="2127" w:hanging="2127"/>
        <w:rPr>
          <w:rFonts w:ascii="Arial" w:hAnsi="Arial" w:cs="Arial"/>
          <w:sz w:val="20"/>
        </w:rPr>
      </w:pPr>
      <w:r>
        <w:rPr>
          <w:rFonts w:ascii="Arial" w:hAnsi="Arial" w:cs="Arial"/>
          <w:bCs/>
          <w:sz w:val="20"/>
        </w:rPr>
        <w:t>CLIR</w:t>
      </w:r>
      <w:r>
        <w:rPr>
          <w:rFonts w:ascii="Arial" w:hAnsi="Arial" w:cs="Arial"/>
          <w:bCs/>
          <w:sz w:val="20"/>
        </w:rPr>
        <w:tab/>
      </w:r>
      <w:r w:rsidRPr="003A6A2F">
        <w:rPr>
          <w:rFonts w:ascii="Arial" w:hAnsi="Arial" w:cs="Arial"/>
          <w:bCs/>
          <w:sz w:val="20"/>
        </w:rPr>
        <w:t>Cross Lingual Information Retrieval</w:t>
      </w:r>
    </w:p>
    <w:p w14:paraId="7CD899C7"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CMG</w:t>
      </w:r>
      <w:r w:rsidRPr="00F10C59">
        <w:rPr>
          <w:rFonts w:ascii="Arial" w:hAnsi="Arial" w:cs="Arial"/>
          <w:sz w:val="20"/>
        </w:rPr>
        <w:tab/>
        <w:t>Crisis Management Group</w:t>
      </w:r>
    </w:p>
    <w:p w14:paraId="1C9074D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CMOs</w:t>
      </w:r>
      <w:r w:rsidRPr="00F10C59">
        <w:rPr>
          <w:rFonts w:ascii="Arial" w:hAnsi="Arial" w:cs="Arial"/>
          <w:sz w:val="20"/>
        </w:rPr>
        <w:tab/>
        <w:t>collective management organizations</w:t>
      </w:r>
    </w:p>
    <w:p w14:paraId="6CDEEDDC" w14:textId="25BD2AF0" w:rsidR="00FB583B" w:rsidRPr="00F10C59" w:rsidRDefault="005C0B8F" w:rsidP="00FB583B">
      <w:pPr>
        <w:tabs>
          <w:tab w:val="left" w:pos="2127"/>
        </w:tabs>
        <w:spacing w:after="180"/>
        <w:ind w:left="2126" w:hanging="2126"/>
        <w:rPr>
          <w:rFonts w:ascii="Arial" w:hAnsi="Arial" w:cs="Arial"/>
          <w:sz w:val="20"/>
        </w:rPr>
      </w:pPr>
      <w:r>
        <w:rPr>
          <w:rFonts w:ascii="Arial" w:hAnsi="Arial" w:cs="Arial"/>
          <w:sz w:val="20"/>
        </w:rPr>
        <w:t>CTCN</w:t>
      </w:r>
      <w:r>
        <w:rPr>
          <w:rFonts w:ascii="Arial" w:hAnsi="Arial" w:cs="Arial"/>
          <w:sz w:val="20"/>
        </w:rPr>
        <w:tab/>
      </w:r>
      <w:r w:rsidRPr="00E9644C">
        <w:rPr>
          <w:rFonts w:ascii="Arial" w:hAnsi="Arial" w:cs="Arial"/>
          <w:sz w:val="20"/>
        </w:rPr>
        <w:t>Climate Technology Center and Network</w:t>
      </w:r>
    </w:p>
    <w:p w14:paraId="3F5812FF" w14:textId="77777777" w:rsidR="00FB583B" w:rsidRPr="00F10C59" w:rsidRDefault="00FB583B" w:rsidP="00FB583B">
      <w:pPr>
        <w:tabs>
          <w:tab w:val="left" w:pos="2127"/>
        </w:tabs>
        <w:spacing w:after="40"/>
        <w:rPr>
          <w:rFonts w:ascii="Arial" w:hAnsi="Arial" w:cs="Arial"/>
          <w:sz w:val="20"/>
        </w:rPr>
      </w:pPr>
      <w:r w:rsidRPr="00F10AB9">
        <w:rPr>
          <w:rFonts w:ascii="Arial" w:hAnsi="Arial" w:cs="Arial"/>
          <w:b/>
          <w:bCs/>
          <w:sz w:val="20"/>
        </w:rPr>
        <w:t>D</w:t>
      </w:r>
      <w:r w:rsidRPr="00F10C59">
        <w:rPr>
          <w:rFonts w:ascii="Arial" w:hAnsi="Arial" w:cs="Arial"/>
          <w:sz w:val="20"/>
        </w:rPr>
        <w:t>A</w:t>
      </w:r>
      <w:r w:rsidRPr="00F10C59">
        <w:rPr>
          <w:rFonts w:ascii="Arial" w:hAnsi="Arial" w:cs="Arial"/>
          <w:sz w:val="20"/>
        </w:rPr>
        <w:tab/>
        <w:t>Development Agenda</w:t>
      </w:r>
    </w:p>
    <w:p w14:paraId="30DDA711" w14:textId="77777777" w:rsidR="00FB583B" w:rsidRPr="00F10C59" w:rsidRDefault="00FB583B" w:rsidP="00FB583B">
      <w:pPr>
        <w:tabs>
          <w:tab w:val="left" w:pos="2127"/>
          <w:tab w:val="left" w:pos="2268"/>
        </w:tabs>
        <w:spacing w:after="40"/>
        <w:rPr>
          <w:rFonts w:ascii="Arial" w:hAnsi="Arial" w:cs="Arial"/>
          <w:sz w:val="20"/>
        </w:rPr>
      </w:pPr>
      <w:r w:rsidRPr="00F10C59">
        <w:rPr>
          <w:rFonts w:ascii="Arial" w:hAnsi="Arial" w:cs="Arial"/>
          <w:sz w:val="20"/>
        </w:rPr>
        <w:t>DAS</w:t>
      </w:r>
      <w:r w:rsidRPr="00F10C59">
        <w:rPr>
          <w:rFonts w:ascii="Arial" w:hAnsi="Arial" w:cs="Arial"/>
          <w:sz w:val="20"/>
        </w:rPr>
        <w:tab/>
        <w:t xml:space="preserve">Digital Access Service for Priority </w:t>
      </w:r>
      <w:smartTag w:uri="urn:schemas-microsoft-com:office:smarttags" w:element="PersonName">
        <w:r w:rsidRPr="00F10C59">
          <w:rPr>
            <w:rFonts w:ascii="Arial" w:hAnsi="Arial" w:cs="Arial"/>
            <w:sz w:val="20"/>
          </w:rPr>
          <w:t>Documents</w:t>
        </w:r>
      </w:smartTag>
    </w:p>
    <w:p w14:paraId="3D8E3AF7" w14:textId="514FD20B" w:rsidR="003376F4" w:rsidRDefault="003376F4" w:rsidP="00FB583B">
      <w:pPr>
        <w:tabs>
          <w:tab w:val="left" w:pos="2127"/>
        </w:tabs>
        <w:spacing w:after="40"/>
        <w:rPr>
          <w:rFonts w:ascii="Arial" w:hAnsi="Arial" w:cs="Arial"/>
          <w:sz w:val="20"/>
        </w:rPr>
      </w:pPr>
      <w:r>
        <w:rPr>
          <w:rFonts w:ascii="Arial" w:hAnsi="Arial" w:cs="Arial"/>
          <w:sz w:val="20"/>
        </w:rPr>
        <w:t>DGIPR</w:t>
      </w:r>
      <w:r>
        <w:rPr>
          <w:rFonts w:ascii="Arial" w:hAnsi="Arial" w:cs="Arial"/>
          <w:sz w:val="20"/>
        </w:rPr>
        <w:tab/>
      </w:r>
      <w:r w:rsidRPr="00C84440">
        <w:rPr>
          <w:rStyle w:val="st"/>
          <w:rFonts w:ascii="Arial" w:hAnsi="Arial" w:cs="Arial"/>
          <w:sz w:val="20"/>
        </w:rPr>
        <w:t>Directorate General of Intellectual Property Rights</w:t>
      </w:r>
    </w:p>
    <w:p w14:paraId="425EF644" w14:textId="1478E3E2" w:rsidR="00FB583B" w:rsidRPr="00F10C59" w:rsidRDefault="00FB583B" w:rsidP="00FB583B">
      <w:pPr>
        <w:tabs>
          <w:tab w:val="left" w:pos="2127"/>
        </w:tabs>
        <w:spacing w:after="40"/>
        <w:rPr>
          <w:rFonts w:ascii="Arial" w:hAnsi="Arial" w:cs="Arial"/>
          <w:sz w:val="20"/>
        </w:rPr>
      </w:pPr>
      <w:r w:rsidRPr="00F10C59">
        <w:rPr>
          <w:rFonts w:ascii="Arial" w:hAnsi="Arial" w:cs="Arial"/>
          <w:sz w:val="20"/>
        </w:rPr>
        <w:t>DNS</w:t>
      </w:r>
      <w:r w:rsidRPr="00F10C59">
        <w:rPr>
          <w:rFonts w:ascii="Arial" w:hAnsi="Arial" w:cs="Arial"/>
          <w:sz w:val="20"/>
        </w:rPr>
        <w:tab/>
        <w:t>Domain Name System</w:t>
      </w:r>
    </w:p>
    <w:p w14:paraId="501A664B" w14:textId="77777777" w:rsidR="00FB583B" w:rsidRPr="00F10C59" w:rsidRDefault="00FB583B" w:rsidP="00FB583B">
      <w:pPr>
        <w:tabs>
          <w:tab w:val="left" w:pos="2127"/>
        </w:tabs>
        <w:spacing w:after="180"/>
        <w:ind w:left="2126" w:hanging="2126"/>
        <w:rPr>
          <w:rFonts w:ascii="Arial" w:hAnsi="Arial" w:cs="Arial"/>
          <w:sz w:val="20"/>
        </w:rPr>
      </w:pPr>
    </w:p>
    <w:p w14:paraId="6BB1E42D" w14:textId="669F355A" w:rsidR="002117DB" w:rsidRPr="00C84440" w:rsidRDefault="002117DB" w:rsidP="00FB583B">
      <w:pPr>
        <w:tabs>
          <w:tab w:val="left" w:pos="2127"/>
        </w:tabs>
        <w:spacing w:after="40"/>
        <w:ind w:left="2127" w:hanging="2127"/>
        <w:rPr>
          <w:rFonts w:ascii="Arial" w:hAnsi="Arial" w:cs="Arial"/>
          <w:b/>
          <w:bCs/>
          <w:sz w:val="18"/>
        </w:rPr>
      </w:pPr>
      <w:r>
        <w:rPr>
          <w:rFonts w:ascii="Arial" w:hAnsi="Arial" w:cs="Arial"/>
          <w:b/>
          <w:bCs/>
          <w:sz w:val="20"/>
        </w:rPr>
        <w:t>E</w:t>
      </w:r>
      <w:r w:rsidRPr="00C84440">
        <w:rPr>
          <w:rFonts w:ascii="Arial" w:hAnsi="Arial" w:cs="Arial"/>
          <w:bCs/>
          <w:sz w:val="20"/>
        </w:rPr>
        <w:t>ACIN</w:t>
      </w:r>
      <w:r>
        <w:rPr>
          <w:rFonts w:ascii="Arial" w:hAnsi="Arial" w:cs="Arial"/>
          <w:b/>
          <w:bCs/>
          <w:sz w:val="20"/>
        </w:rPr>
        <w:tab/>
      </w:r>
      <w:r w:rsidRPr="00C84440">
        <w:rPr>
          <w:rFonts w:ascii="Arial" w:hAnsi="Arial" w:cs="Arial"/>
          <w:sz w:val="20"/>
        </w:rPr>
        <w:t>East Africa Climate Innovation Network</w:t>
      </w:r>
    </w:p>
    <w:p w14:paraId="1FD3320D" w14:textId="77777777" w:rsidR="00FB583B" w:rsidRDefault="00FB583B" w:rsidP="00FB583B">
      <w:pPr>
        <w:tabs>
          <w:tab w:val="left" w:pos="2127"/>
        </w:tabs>
        <w:spacing w:after="40"/>
        <w:ind w:left="2127" w:hanging="2127"/>
        <w:rPr>
          <w:rFonts w:ascii="Arial" w:hAnsi="Arial" w:cs="Arial"/>
          <w:sz w:val="20"/>
        </w:rPr>
      </w:pPr>
      <w:r w:rsidRPr="00C84440">
        <w:rPr>
          <w:rFonts w:ascii="Arial" w:hAnsi="Arial" w:cs="Arial"/>
          <w:bCs/>
          <w:sz w:val="20"/>
        </w:rPr>
        <w:t>E</w:t>
      </w:r>
      <w:r w:rsidRPr="0036669E">
        <w:rPr>
          <w:rFonts w:ascii="Arial" w:hAnsi="Arial" w:cs="Arial"/>
          <w:sz w:val="20"/>
        </w:rPr>
        <w:t>CDL</w:t>
      </w:r>
      <w:r>
        <w:rPr>
          <w:rFonts w:ascii="Arial" w:hAnsi="Arial" w:cs="Arial"/>
          <w:sz w:val="20"/>
        </w:rPr>
        <w:t xml:space="preserve"> (test)</w:t>
      </w:r>
      <w:r>
        <w:rPr>
          <w:rFonts w:ascii="Arial" w:hAnsi="Arial" w:cs="Arial"/>
          <w:sz w:val="20"/>
        </w:rPr>
        <w:tab/>
      </w:r>
      <w:r w:rsidRPr="000A57C8">
        <w:rPr>
          <w:rFonts w:ascii="Arial" w:hAnsi="Arial" w:cs="Arial"/>
          <w:sz w:val="20"/>
        </w:rPr>
        <w:t>European Computer Driving Licence</w:t>
      </w:r>
      <w:r>
        <w:rPr>
          <w:rFonts w:ascii="Arial" w:hAnsi="Arial" w:cs="Arial"/>
          <w:sz w:val="20"/>
        </w:rPr>
        <w:t xml:space="preserve"> (global computer literacy certification)</w:t>
      </w:r>
    </w:p>
    <w:p w14:paraId="0433D84B" w14:textId="77777777" w:rsidR="00FB583B" w:rsidRDefault="00FB583B" w:rsidP="00FB583B">
      <w:pPr>
        <w:tabs>
          <w:tab w:val="left" w:pos="2127"/>
        </w:tabs>
        <w:spacing w:after="40"/>
        <w:ind w:left="2127" w:hanging="2127"/>
        <w:rPr>
          <w:rFonts w:ascii="Arial" w:hAnsi="Arial" w:cs="Arial"/>
          <w:b/>
          <w:bCs/>
          <w:sz w:val="20"/>
        </w:rPr>
      </w:pPr>
      <w:r>
        <w:rPr>
          <w:rFonts w:ascii="Arial" w:hAnsi="Arial" w:cs="Arial"/>
          <w:sz w:val="20"/>
        </w:rPr>
        <w:t>ECLA</w:t>
      </w:r>
      <w:r>
        <w:rPr>
          <w:rFonts w:ascii="Arial" w:hAnsi="Arial" w:cs="Arial"/>
          <w:sz w:val="20"/>
        </w:rPr>
        <w:tab/>
        <w:t>patent classification assigned by the European Patent office</w:t>
      </w:r>
    </w:p>
    <w:p w14:paraId="53FD783B" w14:textId="77777777" w:rsidR="00FB583B" w:rsidRPr="000D7992" w:rsidRDefault="00FB583B" w:rsidP="00FB583B">
      <w:pPr>
        <w:tabs>
          <w:tab w:val="left" w:pos="2127"/>
        </w:tabs>
        <w:spacing w:after="40"/>
        <w:ind w:left="2127" w:hanging="2127"/>
        <w:rPr>
          <w:rFonts w:ascii="Arial" w:hAnsi="Arial" w:cs="Arial"/>
          <w:sz w:val="20"/>
        </w:rPr>
      </w:pPr>
      <w:r w:rsidRPr="000D7992">
        <w:rPr>
          <w:rFonts w:ascii="Arial" w:hAnsi="Arial" w:cs="Arial"/>
          <w:sz w:val="20"/>
        </w:rPr>
        <w:t>ECM</w:t>
      </w:r>
      <w:r w:rsidRPr="000D7992">
        <w:rPr>
          <w:rFonts w:ascii="Arial" w:hAnsi="Arial" w:cs="Arial"/>
          <w:sz w:val="20"/>
        </w:rPr>
        <w:tab/>
        <w:t>Enterprise Content management</w:t>
      </w:r>
    </w:p>
    <w:p w14:paraId="3DFA581C" w14:textId="77777777" w:rsidR="00FB583B" w:rsidRPr="000D7992" w:rsidRDefault="00FB583B" w:rsidP="00FB583B">
      <w:pPr>
        <w:tabs>
          <w:tab w:val="left" w:pos="2127"/>
        </w:tabs>
        <w:spacing w:after="40"/>
        <w:ind w:left="2127" w:hanging="2127"/>
        <w:rPr>
          <w:rFonts w:ascii="Arial" w:hAnsi="Arial" w:cs="Arial"/>
          <w:sz w:val="20"/>
        </w:rPr>
      </w:pPr>
      <w:r w:rsidRPr="000D7992">
        <w:rPr>
          <w:rFonts w:ascii="Arial" w:hAnsi="Arial" w:cs="Arial"/>
          <w:sz w:val="20"/>
        </w:rPr>
        <w:t>EDMS</w:t>
      </w:r>
      <w:r w:rsidRPr="000D7992">
        <w:rPr>
          <w:rFonts w:ascii="Arial" w:hAnsi="Arial" w:cs="Arial"/>
          <w:sz w:val="20"/>
        </w:rPr>
        <w:tab/>
        <w:t>Electronic Document Management System</w:t>
      </w:r>
    </w:p>
    <w:p w14:paraId="4812FA7F" w14:textId="77777777" w:rsidR="00FB583B" w:rsidRPr="000D7992" w:rsidRDefault="00FB583B" w:rsidP="00FB583B">
      <w:pPr>
        <w:tabs>
          <w:tab w:val="left" w:pos="2127"/>
        </w:tabs>
        <w:spacing w:after="40"/>
        <w:ind w:left="2127" w:hanging="2127"/>
        <w:rPr>
          <w:rFonts w:ascii="Arial" w:hAnsi="Arial" w:cs="Arial"/>
          <w:sz w:val="20"/>
        </w:rPr>
      </w:pPr>
      <w:r w:rsidRPr="000D7992">
        <w:rPr>
          <w:rFonts w:ascii="Arial" w:hAnsi="Arial" w:cs="Arial"/>
          <w:sz w:val="20"/>
        </w:rPr>
        <w:t>EEC</w:t>
      </w:r>
      <w:r w:rsidRPr="000D7992">
        <w:rPr>
          <w:rFonts w:ascii="Arial" w:hAnsi="Arial" w:cs="Arial"/>
          <w:sz w:val="20"/>
        </w:rPr>
        <w:tab/>
        <w:t>Eurasian Economic Commission</w:t>
      </w:r>
    </w:p>
    <w:p w14:paraId="1B20A930" w14:textId="77777777" w:rsidR="00FB583B" w:rsidRPr="000D7992" w:rsidRDefault="00FB583B" w:rsidP="00FB583B">
      <w:pPr>
        <w:tabs>
          <w:tab w:val="left" w:pos="2127"/>
        </w:tabs>
        <w:spacing w:after="40"/>
        <w:ind w:left="2127" w:hanging="2127"/>
        <w:rPr>
          <w:rFonts w:ascii="Arial" w:hAnsi="Arial" w:cs="Arial"/>
          <w:sz w:val="20"/>
        </w:rPr>
      </w:pPr>
      <w:r w:rsidRPr="000D7992">
        <w:rPr>
          <w:rFonts w:ascii="Arial" w:hAnsi="Arial" w:cs="Arial"/>
          <w:sz w:val="20"/>
        </w:rPr>
        <w:t>EGEDA</w:t>
      </w:r>
      <w:r w:rsidRPr="000D7992">
        <w:rPr>
          <w:rFonts w:ascii="Arial" w:hAnsi="Arial" w:cs="Arial"/>
          <w:sz w:val="20"/>
        </w:rPr>
        <w:tab/>
      </w:r>
      <w:r w:rsidRPr="000D7992">
        <w:rPr>
          <w:rFonts w:ascii="Arial" w:hAnsi="Arial" w:cs="Arial"/>
          <w:i/>
          <w:iCs/>
          <w:sz w:val="20"/>
        </w:rPr>
        <w:t>Entidad de Gestión de Derechos de los Productores Audiovisuales</w:t>
      </w:r>
    </w:p>
    <w:p w14:paraId="4F07621D"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EPO</w:t>
      </w:r>
      <w:r w:rsidRPr="00F10C59">
        <w:rPr>
          <w:rFonts w:ascii="Arial" w:hAnsi="Arial" w:cs="Arial"/>
          <w:sz w:val="20"/>
        </w:rPr>
        <w:tab/>
        <w:t>European Patent Office</w:t>
      </w:r>
    </w:p>
    <w:p w14:paraId="694BDDE8" w14:textId="77777777" w:rsidR="00FB583B" w:rsidRPr="00F10C59" w:rsidRDefault="00FB583B" w:rsidP="00FB583B">
      <w:pPr>
        <w:ind w:left="2127" w:hanging="2127"/>
        <w:rPr>
          <w:rFonts w:ascii="Arial" w:hAnsi="Arial" w:cs="Arial"/>
          <w:sz w:val="20"/>
        </w:rPr>
      </w:pPr>
      <w:r w:rsidRPr="00F10C59">
        <w:rPr>
          <w:rFonts w:ascii="Arial" w:hAnsi="Arial" w:cs="Arial"/>
          <w:sz w:val="20"/>
        </w:rPr>
        <w:t>ERP</w:t>
      </w:r>
      <w:r w:rsidRPr="00F10C59">
        <w:rPr>
          <w:rFonts w:ascii="Arial" w:hAnsi="Arial" w:cs="Arial"/>
          <w:sz w:val="20"/>
        </w:rPr>
        <w:tab/>
        <w:t>enterprise resource planning</w:t>
      </w:r>
    </w:p>
    <w:p w14:paraId="49C99846" w14:textId="372A1F41" w:rsidR="005A234B" w:rsidRPr="00C84440" w:rsidRDefault="005A234B" w:rsidP="00FB583B">
      <w:pPr>
        <w:tabs>
          <w:tab w:val="left" w:pos="2127"/>
        </w:tabs>
        <w:spacing w:after="40"/>
        <w:ind w:left="2127" w:right="-759" w:hanging="2127"/>
        <w:rPr>
          <w:rFonts w:ascii="Arial" w:hAnsi="Arial" w:cs="Arial"/>
          <w:sz w:val="18"/>
        </w:rPr>
      </w:pPr>
      <w:r>
        <w:rPr>
          <w:rFonts w:ascii="Arial" w:hAnsi="Arial" w:cs="Arial"/>
          <w:sz w:val="20"/>
        </w:rPr>
        <w:t>ETSI</w:t>
      </w:r>
      <w:r>
        <w:rPr>
          <w:rFonts w:ascii="Arial" w:hAnsi="Arial" w:cs="Arial"/>
          <w:sz w:val="20"/>
        </w:rPr>
        <w:tab/>
      </w:r>
      <w:r w:rsidRPr="00C84440">
        <w:rPr>
          <w:rStyle w:val="Emphasis"/>
          <w:rFonts w:ascii="Arial" w:hAnsi="Arial" w:cs="Arial"/>
          <w:i w:val="0"/>
          <w:sz w:val="20"/>
        </w:rPr>
        <w:t>European Telecommunication Standards Institute</w:t>
      </w:r>
    </w:p>
    <w:p w14:paraId="1E8CF249" w14:textId="77777777" w:rsidR="00FB583B" w:rsidRPr="00F10C59" w:rsidRDefault="00FB583B" w:rsidP="00FB583B">
      <w:pPr>
        <w:tabs>
          <w:tab w:val="left" w:pos="2127"/>
        </w:tabs>
        <w:spacing w:after="40"/>
        <w:ind w:left="2127" w:right="-759" w:hanging="2127"/>
        <w:rPr>
          <w:rFonts w:ascii="Arial" w:hAnsi="Arial" w:cs="Arial"/>
          <w:sz w:val="20"/>
        </w:rPr>
      </w:pPr>
      <w:r w:rsidRPr="00F10C59">
        <w:rPr>
          <w:rFonts w:ascii="Arial" w:hAnsi="Arial" w:cs="Arial"/>
          <w:sz w:val="20"/>
        </w:rPr>
        <w:t>EU</w:t>
      </w:r>
      <w:r w:rsidRPr="00F10C59">
        <w:rPr>
          <w:rFonts w:ascii="Arial" w:hAnsi="Arial" w:cs="Arial"/>
          <w:sz w:val="20"/>
        </w:rPr>
        <w:tab/>
        <w:t>European Union</w:t>
      </w:r>
    </w:p>
    <w:p w14:paraId="2037AEAB" w14:textId="77777777" w:rsidR="00FB583B" w:rsidRPr="00F10C59" w:rsidRDefault="00FB583B" w:rsidP="00FB583B">
      <w:pPr>
        <w:tabs>
          <w:tab w:val="left" w:pos="2127"/>
        </w:tabs>
        <w:spacing w:after="180"/>
        <w:ind w:left="2126" w:hanging="2126"/>
        <w:rPr>
          <w:rFonts w:ascii="Arial" w:hAnsi="Arial" w:cs="Arial"/>
          <w:sz w:val="20"/>
        </w:rPr>
      </w:pPr>
    </w:p>
    <w:p w14:paraId="133488ED" w14:textId="77777777" w:rsidR="00FB583B" w:rsidRPr="00F10C59" w:rsidRDefault="00FB583B" w:rsidP="00FB583B">
      <w:pPr>
        <w:tabs>
          <w:tab w:val="left" w:pos="2127"/>
        </w:tabs>
        <w:spacing w:after="40"/>
        <w:ind w:left="2127" w:right="-759" w:hanging="2127"/>
        <w:rPr>
          <w:rFonts w:ascii="Arial" w:hAnsi="Arial" w:cs="Arial"/>
          <w:sz w:val="20"/>
        </w:rPr>
      </w:pPr>
      <w:r w:rsidRPr="00F10AB9">
        <w:rPr>
          <w:rFonts w:ascii="Arial" w:hAnsi="Arial" w:cs="Arial"/>
          <w:b/>
          <w:bCs/>
          <w:sz w:val="20"/>
        </w:rPr>
        <w:t>F</w:t>
      </w:r>
      <w:r w:rsidRPr="00F10C59">
        <w:rPr>
          <w:rFonts w:ascii="Arial" w:hAnsi="Arial" w:cs="Arial"/>
          <w:sz w:val="20"/>
        </w:rPr>
        <w:t>AO</w:t>
      </w:r>
      <w:r w:rsidRPr="00F10C59">
        <w:rPr>
          <w:rFonts w:ascii="Arial" w:hAnsi="Arial" w:cs="Arial"/>
          <w:sz w:val="20"/>
        </w:rPr>
        <w:tab/>
        <w:t xml:space="preserve">Food and Agricultural Organization </w:t>
      </w:r>
    </w:p>
    <w:p w14:paraId="6175A56B"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FI</w:t>
      </w:r>
      <w:r>
        <w:rPr>
          <w:rFonts w:ascii="Arial" w:hAnsi="Arial" w:cs="Arial"/>
          <w:sz w:val="20"/>
        </w:rPr>
        <w:tab/>
        <w:t>patent classification assigned by the Japanese Patent office</w:t>
      </w:r>
    </w:p>
    <w:p w14:paraId="7957D1FC"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FIT</w:t>
      </w:r>
      <w:r w:rsidRPr="00F10C59">
        <w:rPr>
          <w:rFonts w:ascii="Arial" w:hAnsi="Arial" w:cs="Arial"/>
          <w:sz w:val="20"/>
        </w:rPr>
        <w:tab/>
        <w:t>Fund-in-Trust</w:t>
      </w:r>
    </w:p>
    <w:p w14:paraId="391FA1C4" w14:textId="77777777" w:rsidR="00FB583B" w:rsidRPr="00F10C59" w:rsidRDefault="00FB583B" w:rsidP="00FB583B">
      <w:pPr>
        <w:tabs>
          <w:tab w:val="left" w:pos="2127"/>
        </w:tabs>
        <w:spacing w:after="180"/>
        <w:ind w:left="2126" w:hanging="2126"/>
        <w:rPr>
          <w:rFonts w:ascii="Arial" w:hAnsi="Arial" w:cs="Arial"/>
          <w:sz w:val="20"/>
        </w:rPr>
      </w:pPr>
    </w:p>
    <w:p w14:paraId="0D8DA15E" w14:textId="77777777" w:rsidR="00FB583B" w:rsidRDefault="00FB583B" w:rsidP="00FB583B">
      <w:pPr>
        <w:tabs>
          <w:tab w:val="left" w:pos="2127"/>
        </w:tabs>
        <w:spacing w:after="40"/>
        <w:ind w:left="2127" w:hanging="2127"/>
        <w:rPr>
          <w:rFonts w:ascii="Arial" w:hAnsi="Arial" w:cs="Arial"/>
          <w:b/>
          <w:bCs/>
          <w:sz w:val="20"/>
        </w:rPr>
      </w:pPr>
      <w:r w:rsidRPr="00C02386">
        <w:rPr>
          <w:rFonts w:ascii="Arial" w:hAnsi="Arial" w:cs="Arial"/>
          <w:b/>
          <w:bCs/>
          <w:sz w:val="20"/>
        </w:rPr>
        <w:t>G</w:t>
      </w:r>
      <w:r w:rsidRPr="00C02386">
        <w:rPr>
          <w:rFonts w:ascii="Arial" w:hAnsi="Arial" w:cs="Arial"/>
          <w:sz w:val="20"/>
        </w:rPr>
        <w:t>NIPA</w:t>
      </w:r>
      <w:r w:rsidRPr="00C02386">
        <w:rPr>
          <w:rFonts w:ascii="Arial" w:hAnsi="Arial" w:cs="Arial"/>
          <w:sz w:val="20"/>
        </w:rPr>
        <w:tab/>
        <w:t>Global Network of IP Academies</w:t>
      </w:r>
    </w:p>
    <w:p w14:paraId="0D74395E" w14:textId="77777777" w:rsidR="00FB583B" w:rsidRPr="00F10C59" w:rsidRDefault="00FB583B" w:rsidP="00FB583B">
      <w:pPr>
        <w:tabs>
          <w:tab w:val="left" w:pos="2127"/>
        </w:tabs>
        <w:spacing w:after="40"/>
        <w:ind w:left="2127" w:hanging="2127"/>
        <w:rPr>
          <w:rFonts w:ascii="Arial" w:hAnsi="Arial" w:cs="Arial"/>
          <w:sz w:val="20"/>
        </w:rPr>
      </w:pPr>
      <w:r w:rsidRPr="002E4152">
        <w:rPr>
          <w:rFonts w:ascii="Arial" w:hAnsi="Arial" w:cs="Arial"/>
          <w:sz w:val="20"/>
        </w:rPr>
        <w:t>G</w:t>
      </w:r>
      <w:r w:rsidRPr="00F10C59">
        <w:rPr>
          <w:rFonts w:ascii="Arial" w:hAnsi="Arial" w:cs="Arial"/>
          <w:sz w:val="20"/>
        </w:rPr>
        <w:t>R</w:t>
      </w:r>
      <w:r w:rsidRPr="00F10C59">
        <w:rPr>
          <w:rFonts w:ascii="Arial" w:hAnsi="Arial" w:cs="Arial"/>
          <w:sz w:val="20"/>
        </w:rPr>
        <w:tab/>
        <w:t>genetic resources</w:t>
      </w:r>
    </w:p>
    <w:p w14:paraId="3EC970B0"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lastRenderedPageBreak/>
        <w:t>gTLDs</w:t>
      </w:r>
      <w:r w:rsidRPr="00F10C59">
        <w:rPr>
          <w:rFonts w:ascii="Arial" w:hAnsi="Arial" w:cs="Arial"/>
          <w:sz w:val="20"/>
        </w:rPr>
        <w:tab/>
        <w:t>generic Top-Level Domains</w:t>
      </w:r>
    </w:p>
    <w:p w14:paraId="50F4E9DA" w14:textId="77777777" w:rsidR="00FB583B" w:rsidRPr="00F10C59" w:rsidRDefault="00FB583B" w:rsidP="00FB583B">
      <w:pPr>
        <w:tabs>
          <w:tab w:val="left" w:pos="2127"/>
        </w:tabs>
        <w:spacing w:after="180"/>
        <w:ind w:left="2126" w:hanging="2126"/>
        <w:rPr>
          <w:rFonts w:ascii="Arial" w:hAnsi="Arial" w:cs="Arial"/>
          <w:sz w:val="20"/>
        </w:rPr>
      </w:pPr>
    </w:p>
    <w:p w14:paraId="73776F02" w14:textId="77777777" w:rsidR="00FB583B" w:rsidRPr="00F10C59" w:rsidRDefault="00FB583B" w:rsidP="00FB583B">
      <w:pPr>
        <w:tabs>
          <w:tab w:val="left" w:pos="2127"/>
        </w:tabs>
        <w:spacing w:after="40"/>
        <w:ind w:left="2127" w:hanging="2127"/>
        <w:rPr>
          <w:rFonts w:ascii="Arial" w:hAnsi="Arial" w:cs="Arial"/>
          <w:sz w:val="20"/>
        </w:rPr>
      </w:pPr>
      <w:r w:rsidRPr="00C84440">
        <w:rPr>
          <w:rFonts w:ascii="Arial" w:hAnsi="Arial" w:cs="Arial"/>
          <w:b/>
          <w:sz w:val="20"/>
        </w:rPr>
        <w:t>H</w:t>
      </w:r>
      <w:r w:rsidRPr="00F10C59">
        <w:rPr>
          <w:rFonts w:ascii="Arial" w:hAnsi="Arial" w:cs="Arial"/>
          <w:sz w:val="20"/>
        </w:rPr>
        <w:t>R</w:t>
      </w:r>
      <w:r w:rsidRPr="00F10C59">
        <w:rPr>
          <w:rFonts w:ascii="Arial" w:hAnsi="Arial" w:cs="Arial"/>
          <w:sz w:val="20"/>
        </w:rPr>
        <w:tab/>
        <w:t>Human Resources</w:t>
      </w:r>
    </w:p>
    <w:p w14:paraId="47EA94B1"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HRMD</w:t>
      </w:r>
      <w:r w:rsidRPr="00F10C59">
        <w:rPr>
          <w:rFonts w:ascii="Arial" w:hAnsi="Arial" w:cs="Arial"/>
          <w:sz w:val="20"/>
        </w:rPr>
        <w:tab/>
        <w:t>Human Resources Management Department</w:t>
      </w:r>
    </w:p>
    <w:p w14:paraId="0D57129C" w14:textId="77777777" w:rsidR="00FB583B" w:rsidRPr="00F10C59" w:rsidRDefault="00FB583B" w:rsidP="00FB583B">
      <w:pPr>
        <w:tabs>
          <w:tab w:val="left" w:pos="2127"/>
        </w:tabs>
        <w:spacing w:after="180"/>
        <w:ind w:left="2126" w:hanging="2126"/>
        <w:rPr>
          <w:rFonts w:ascii="Arial" w:hAnsi="Arial" w:cs="Arial"/>
          <w:sz w:val="20"/>
        </w:rPr>
      </w:pPr>
    </w:p>
    <w:p w14:paraId="6071A903"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I</w:t>
      </w:r>
      <w:r w:rsidRPr="00F10C59">
        <w:rPr>
          <w:rFonts w:ascii="Arial" w:hAnsi="Arial" w:cs="Arial"/>
          <w:sz w:val="20"/>
        </w:rPr>
        <w:t>AOC</w:t>
      </w:r>
      <w:r w:rsidRPr="00F10C59">
        <w:rPr>
          <w:rFonts w:ascii="Arial" w:hAnsi="Arial" w:cs="Arial"/>
          <w:sz w:val="20"/>
        </w:rPr>
        <w:tab/>
        <w:t>Independent Advisory and Oversight Committee</w:t>
      </w:r>
    </w:p>
    <w:p w14:paraId="1B872DE5" w14:textId="77777777" w:rsidR="005A234B" w:rsidRDefault="005A234B" w:rsidP="00FB583B">
      <w:pPr>
        <w:tabs>
          <w:tab w:val="left" w:pos="2127"/>
        </w:tabs>
        <w:rPr>
          <w:rFonts w:ascii="Arial" w:hAnsi="Arial" w:cs="Arial"/>
          <w:sz w:val="20"/>
        </w:rPr>
      </w:pPr>
    </w:p>
    <w:p w14:paraId="2BF86982" w14:textId="7C3F280C" w:rsidR="005A234B" w:rsidRDefault="005A234B" w:rsidP="00FB583B">
      <w:pPr>
        <w:tabs>
          <w:tab w:val="left" w:pos="2127"/>
        </w:tabs>
        <w:rPr>
          <w:rFonts w:ascii="Arial" w:hAnsi="Arial" w:cs="Arial"/>
          <w:sz w:val="20"/>
        </w:rPr>
      </w:pPr>
      <w:r>
        <w:rPr>
          <w:rFonts w:ascii="Arial" w:hAnsi="Arial" w:cs="Arial"/>
          <w:sz w:val="20"/>
        </w:rPr>
        <w:t>ICOM</w:t>
      </w:r>
      <w:r>
        <w:rPr>
          <w:rFonts w:ascii="Arial" w:hAnsi="Arial" w:cs="Arial"/>
          <w:sz w:val="20"/>
        </w:rPr>
        <w:tab/>
        <w:t>International Council of Museums</w:t>
      </w:r>
    </w:p>
    <w:p w14:paraId="036DB6BA" w14:textId="742AB812" w:rsidR="00FB583B" w:rsidRDefault="00FB583B" w:rsidP="00FB583B">
      <w:pPr>
        <w:tabs>
          <w:tab w:val="left" w:pos="2127"/>
        </w:tabs>
        <w:rPr>
          <w:rFonts w:ascii="Arial" w:hAnsi="Arial" w:cs="Arial"/>
          <w:sz w:val="20"/>
        </w:rPr>
      </w:pPr>
      <w:r>
        <w:rPr>
          <w:rFonts w:ascii="Arial" w:hAnsi="Arial" w:cs="Arial"/>
          <w:sz w:val="20"/>
        </w:rPr>
        <w:t>IOD</w:t>
      </w:r>
      <w:r>
        <w:rPr>
          <w:rFonts w:ascii="Arial" w:hAnsi="Arial" w:cs="Arial"/>
          <w:sz w:val="20"/>
        </w:rPr>
        <w:tab/>
        <w:t>Internal Oversight Division</w:t>
      </w:r>
    </w:p>
    <w:p w14:paraId="2307C0DC"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ICANN</w:t>
      </w:r>
      <w:r w:rsidRPr="00F10C59">
        <w:rPr>
          <w:rFonts w:ascii="Arial" w:hAnsi="Arial" w:cs="Arial"/>
          <w:sz w:val="20"/>
        </w:rPr>
        <w:tab/>
        <w:t xml:space="preserve">Internet Corporation for Assigned Names and Numbers </w:t>
      </w:r>
    </w:p>
    <w:p w14:paraId="7B7E6FBD"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ICE</w:t>
      </w:r>
      <w:r w:rsidRPr="00F10C59">
        <w:rPr>
          <w:rFonts w:ascii="Arial" w:hAnsi="Arial" w:cs="Arial"/>
          <w:sz w:val="20"/>
        </w:rPr>
        <w:tab/>
        <w:t>International Cooperation on Examination</w:t>
      </w:r>
    </w:p>
    <w:p w14:paraId="3C91B23A"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ICSEI</w:t>
      </w:r>
      <w:r w:rsidRPr="00F10C59">
        <w:rPr>
          <w:rFonts w:ascii="Arial" w:hAnsi="Arial" w:cs="Arial"/>
          <w:sz w:val="20"/>
        </w:rPr>
        <w:tab/>
        <w:t>International Cooperation for the Search and Examination of Inventions</w:t>
      </w:r>
    </w:p>
    <w:p w14:paraId="3C6F2B9E"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ICPIP</w:t>
      </w:r>
      <w:r w:rsidRPr="00F10C59">
        <w:rPr>
          <w:rFonts w:ascii="Arial" w:hAnsi="Arial" w:cs="Arial"/>
          <w:sz w:val="20"/>
        </w:rPr>
        <w:tab/>
        <w:t>Inter-State Council on the Protection of Industrial Property</w:t>
      </w:r>
    </w:p>
    <w:p w14:paraId="0FE9305B"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ICSC</w:t>
      </w:r>
      <w:r w:rsidRPr="00F10C59">
        <w:rPr>
          <w:rFonts w:ascii="Arial" w:hAnsi="Arial" w:cs="Arial"/>
          <w:sz w:val="20"/>
        </w:rPr>
        <w:tab/>
        <w:t xml:space="preserve">International Civil Service Commission </w:t>
      </w:r>
    </w:p>
    <w:p w14:paraId="7FF0D25F" w14:textId="77777777" w:rsidR="00FB583B" w:rsidRPr="00F10C59" w:rsidRDefault="00FB583B" w:rsidP="00FB583B">
      <w:pPr>
        <w:tabs>
          <w:tab w:val="left" w:pos="2127"/>
        </w:tabs>
        <w:rPr>
          <w:rFonts w:ascii="Arial" w:hAnsi="Arial" w:cs="Arial"/>
          <w:sz w:val="20"/>
        </w:rPr>
      </w:pPr>
      <w:r w:rsidRPr="00F10C59">
        <w:rPr>
          <w:rFonts w:ascii="Arial" w:hAnsi="Arial" w:cs="Arial"/>
          <w:sz w:val="20"/>
        </w:rPr>
        <w:t>ICT</w:t>
      </w:r>
      <w:r w:rsidRPr="00F10C59">
        <w:rPr>
          <w:rFonts w:ascii="Arial" w:hAnsi="Arial" w:cs="Arial"/>
          <w:sz w:val="20"/>
        </w:rPr>
        <w:tab/>
        <w:t xml:space="preserve">Information and Communication Technology </w:t>
      </w:r>
    </w:p>
    <w:p w14:paraId="54C37302"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IGC</w:t>
      </w:r>
      <w:r w:rsidRPr="00F10C59">
        <w:rPr>
          <w:rFonts w:ascii="Arial" w:hAnsi="Arial" w:cs="Arial"/>
          <w:sz w:val="20"/>
        </w:rPr>
        <w:tab/>
        <w:t>Intergovernmental Committee on Intellectual Property and Genetic Resources, Traditional Knowledge and Folklore</w:t>
      </w:r>
    </w:p>
    <w:p w14:paraId="691FEE2A"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IGOs</w:t>
      </w:r>
      <w:r w:rsidRPr="00F10C59">
        <w:rPr>
          <w:rFonts w:ascii="Arial" w:hAnsi="Arial" w:cs="Arial"/>
          <w:sz w:val="20"/>
        </w:rPr>
        <w:tab/>
        <w:t>inter-governmental organizations</w:t>
      </w:r>
    </w:p>
    <w:p w14:paraId="0900A451"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IIA</w:t>
      </w:r>
      <w:r>
        <w:rPr>
          <w:rFonts w:ascii="Arial" w:hAnsi="Arial" w:cs="Arial"/>
          <w:sz w:val="20"/>
        </w:rPr>
        <w:tab/>
        <w:t>Institute of Internal Auditors</w:t>
      </w:r>
    </w:p>
    <w:p w14:paraId="64E917A0" w14:textId="6EFDCCFA" w:rsidR="00487F03" w:rsidRPr="00C84440" w:rsidRDefault="00487F03" w:rsidP="00FB583B">
      <w:pPr>
        <w:tabs>
          <w:tab w:val="left" w:pos="2127"/>
        </w:tabs>
        <w:spacing w:after="40"/>
        <w:ind w:left="2127" w:hanging="2127"/>
        <w:rPr>
          <w:rFonts w:ascii="Arial" w:hAnsi="Arial" w:cs="Arial"/>
          <w:sz w:val="18"/>
        </w:rPr>
      </w:pPr>
      <w:r>
        <w:rPr>
          <w:rFonts w:ascii="Arial" w:hAnsi="Arial" w:cs="Arial"/>
          <w:sz w:val="20"/>
        </w:rPr>
        <w:t>IMPI</w:t>
      </w:r>
      <w:r>
        <w:rPr>
          <w:rFonts w:ascii="Arial" w:hAnsi="Arial" w:cs="Arial"/>
          <w:sz w:val="20"/>
        </w:rPr>
        <w:tab/>
      </w:r>
      <w:r w:rsidRPr="00C84440">
        <w:rPr>
          <w:rStyle w:val="st"/>
          <w:rFonts w:ascii="Arial" w:hAnsi="Arial" w:cs="Arial"/>
          <w:sz w:val="20"/>
        </w:rPr>
        <w:t>Mexican Institute of Industrial Property</w:t>
      </w:r>
    </w:p>
    <w:p w14:paraId="78AC6FD8"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IMR</w:t>
      </w:r>
      <w:r w:rsidRPr="00F10C59">
        <w:rPr>
          <w:rFonts w:ascii="Arial" w:hAnsi="Arial" w:cs="Arial"/>
          <w:sz w:val="20"/>
        </w:rPr>
        <w:tab/>
        <w:t>International Music Registry</w:t>
      </w:r>
    </w:p>
    <w:p w14:paraId="715F8368" w14:textId="7D80E87C" w:rsidR="00177388" w:rsidRPr="00C84440" w:rsidRDefault="00177388" w:rsidP="00FB583B">
      <w:pPr>
        <w:tabs>
          <w:tab w:val="left" w:pos="2127"/>
        </w:tabs>
        <w:spacing w:after="40"/>
        <w:ind w:left="2127" w:hanging="2127"/>
        <w:rPr>
          <w:rFonts w:ascii="Arial" w:hAnsi="Arial" w:cs="Arial"/>
          <w:sz w:val="18"/>
        </w:rPr>
      </w:pPr>
      <w:r>
        <w:rPr>
          <w:rFonts w:ascii="Arial" w:hAnsi="Arial" w:cs="Arial"/>
          <w:sz w:val="20"/>
        </w:rPr>
        <w:t>INP-BR</w:t>
      </w:r>
      <w:r>
        <w:rPr>
          <w:rFonts w:ascii="Arial" w:hAnsi="Arial" w:cs="Arial"/>
          <w:sz w:val="20"/>
        </w:rPr>
        <w:tab/>
      </w:r>
      <w:r w:rsidRPr="00C84440">
        <w:rPr>
          <w:rStyle w:val="st"/>
          <w:rFonts w:ascii="Arial" w:hAnsi="Arial" w:cs="Arial"/>
          <w:sz w:val="20"/>
        </w:rPr>
        <w:t>Brazilian National Institute of Industrial Property</w:t>
      </w:r>
    </w:p>
    <w:p w14:paraId="0A4BA90F" w14:textId="78412FC1"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IP</w:t>
      </w:r>
      <w:r w:rsidRPr="00F10C59">
        <w:rPr>
          <w:rFonts w:ascii="Arial" w:hAnsi="Arial" w:cs="Arial"/>
          <w:sz w:val="20"/>
        </w:rPr>
        <w:tab/>
        <w:t>Intellectual Property</w:t>
      </w:r>
    </w:p>
    <w:p w14:paraId="4563FEBF" w14:textId="7221DA5C" w:rsidR="00EF0E49" w:rsidRDefault="00EF0E49" w:rsidP="00FB583B">
      <w:pPr>
        <w:tabs>
          <w:tab w:val="left" w:pos="2127"/>
        </w:tabs>
        <w:spacing w:after="40"/>
        <w:ind w:left="2126" w:hanging="2126"/>
        <w:rPr>
          <w:rFonts w:ascii="Arial" w:hAnsi="Arial" w:cs="Arial"/>
          <w:sz w:val="20"/>
          <w:lang w:val="en"/>
        </w:rPr>
      </w:pPr>
      <w:r>
        <w:rPr>
          <w:rFonts w:ascii="Arial" w:hAnsi="Arial" w:cs="Arial"/>
          <w:sz w:val="20"/>
          <w:lang w:val="en"/>
        </w:rPr>
        <w:t>IPAG</w:t>
      </w:r>
      <w:r>
        <w:rPr>
          <w:rFonts w:ascii="Arial" w:hAnsi="Arial" w:cs="Arial"/>
          <w:sz w:val="20"/>
          <w:lang w:val="en"/>
        </w:rPr>
        <w:tab/>
      </w:r>
      <w:r w:rsidRPr="0033783F">
        <w:rPr>
          <w:rFonts w:ascii="Arial" w:hAnsi="Arial" w:cs="Arial"/>
          <w:bCs/>
          <w:kern w:val="36"/>
          <w:sz w:val="20"/>
          <w:szCs w:val="48"/>
        </w:rPr>
        <w:t>Intellectual Property Agreement Guide</w:t>
      </w:r>
    </w:p>
    <w:p w14:paraId="13A15408" w14:textId="77777777" w:rsidR="00FB583B" w:rsidRPr="00C02386" w:rsidRDefault="00FB583B" w:rsidP="00FB583B">
      <w:pPr>
        <w:tabs>
          <w:tab w:val="left" w:pos="2127"/>
        </w:tabs>
        <w:spacing w:after="40"/>
        <w:ind w:left="2126" w:hanging="2126"/>
        <w:rPr>
          <w:rFonts w:ascii="Arial" w:hAnsi="Arial" w:cs="Arial"/>
          <w:sz w:val="20"/>
          <w:lang w:val="en"/>
        </w:rPr>
      </w:pPr>
      <w:r w:rsidRPr="00C02386">
        <w:rPr>
          <w:rFonts w:ascii="Arial" w:hAnsi="Arial" w:cs="Arial"/>
          <w:sz w:val="20"/>
          <w:lang w:val="en"/>
        </w:rPr>
        <w:t>IPAS</w:t>
      </w:r>
      <w:r w:rsidRPr="00C02386">
        <w:rPr>
          <w:rFonts w:ascii="Arial" w:hAnsi="Arial" w:cs="Arial"/>
          <w:sz w:val="20"/>
          <w:lang w:val="en"/>
        </w:rPr>
        <w:tab/>
        <w:t>IP Office Administration System</w:t>
      </w:r>
    </w:p>
    <w:p w14:paraId="2F21777F" w14:textId="77777777" w:rsidR="00FB583B" w:rsidRPr="00C02386" w:rsidRDefault="00FB583B" w:rsidP="00FB583B">
      <w:pPr>
        <w:tabs>
          <w:tab w:val="left" w:pos="2127"/>
        </w:tabs>
        <w:rPr>
          <w:rFonts w:ascii="Arial" w:hAnsi="Arial" w:cs="Arial"/>
          <w:sz w:val="20"/>
        </w:rPr>
      </w:pPr>
      <w:r w:rsidRPr="00C02386">
        <w:rPr>
          <w:rFonts w:ascii="Arial" w:hAnsi="Arial" w:cs="Arial"/>
          <w:sz w:val="20"/>
        </w:rPr>
        <w:t>IPACIS</w:t>
      </w:r>
      <w:r w:rsidRPr="00C02386">
        <w:rPr>
          <w:rFonts w:ascii="Arial" w:hAnsi="Arial" w:cs="Arial"/>
          <w:sz w:val="20"/>
        </w:rPr>
        <w:tab/>
        <w:t>Assembly of the CIS Member States</w:t>
      </w:r>
    </w:p>
    <w:p w14:paraId="31F20CA4" w14:textId="77777777" w:rsidR="00FB583B" w:rsidRPr="00C02386" w:rsidRDefault="00FB583B" w:rsidP="00FB583B">
      <w:pPr>
        <w:tabs>
          <w:tab w:val="left" w:pos="2127"/>
        </w:tabs>
        <w:spacing w:after="40"/>
        <w:ind w:left="2127" w:hanging="2127"/>
        <w:rPr>
          <w:rFonts w:ascii="Arial" w:hAnsi="Arial" w:cs="Arial"/>
          <w:sz w:val="20"/>
        </w:rPr>
      </w:pPr>
      <w:r w:rsidRPr="00C02386">
        <w:rPr>
          <w:rFonts w:ascii="Arial" w:hAnsi="Arial" w:cs="Arial"/>
          <w:sz w:val="20"/>
        </w:rPr>
        <w:t>IPC</w:t>
      </w:r>
      <w:r w:rsidRPr="00C02386">
        <w:rPr>
          <w:rFonts w:ascii="Arial" w:hAnsi="Arial" w:cs="Arial"/>
          <w:sz w:val="20"/>
        </w:rPr>
        <w:tab/>
        <w:t>International Patent Classification</w:t>
      </w:r>
    </w:p>
    <w:p w14:paraId="4CD35C0A" w14:textId="2E1618D3" w:rsidR="002B31EF" w:rsidRPr="00B30215" w:rsidRDefault="002B31EF" w:rsidP="00FB583B">
      <w:pPr>
        <w:tabs>
          <w:tab w:val="left" w:pos="2127"/>
        </w:tabs>
        <w:spacing w:after="40"/>
        <w:ind w:left="2127" w:hanging="2127"/>
        <w:rPr>
          <w:rFonts w:ascii="Arial" w:hAnsi="Arial" w:cs="Arial"/>
          <w:sz w:val="20"/>
          <w:szCs w:val="20"/>
        </w:rPr>
      </w:pPr>
      <w:r>
        <w:rPr>
          <w:rFonts w:ascii="Arial" w:hAnsi="Arial" w:cs="Arial"/>
          <w:sz w:val="20"/>
        </w:rPr>
        <w:t>IP-DMD</w:t>
      </w:r>
      <w:r>
        <w:rPr>
          <w:rFonts w:ascii="Arial" w:hAnsi="Arial" w:cs="Arial"/>
          <w:sz w:val="20"/>
        </w:rPr>
        <w:tab/>
      </w:r>
      <w:r w:rsidRPr="00964B24">
        <w:rPr>
          <w:rStyle w:val="st"/>
          <w:rFonts w:ascii="Arial" w:hAnsi="Arial" w:cs="Arial"/>
          <w:sz w:val="20"/>
          <w:szCs w:val="20"/>
        </w:rPr>
        <w:t xml:space="preserve">Intellectual Property </w:t>
      </w:r>
      <w:r w:rsidRPr="00B30215">
        <w:rPr>
          <w:rFonts w:ascii="Arial" w:hAnsi="Arial" w:cs="Arial"/>
          <w:sz w:val="20"/>
          <w:szCs w:val="20"/>
        </w:rPr>
        <w:t xml:space="preserve">Development Matchmaking Database </w:t>
      </w:r>
    </w:p>
    <w:p w14:paraId="2DDBD0B0" w14:textId="637EBFC7" w:rsidR="00FB583B" w:rsidRPr="00C02386" w:rsidRDefault="00FB583B" w:rsidP="00FB583B">
      <w:pPr>
        <w:tabs>
          <w:tab w:val="left" w:pos="2127"/>
        </w:tabs>
        <w:spacing w:after="40"/>
        <w:ind w:left="2127" w:hanging="2127"/>
        <w:rPr>
          <w:rFonts w:ascii="Arial" w:hAnsi="Arial" w:cs="Arial"/>
          <w:sz w:val="20"/>
        </w:rPr>
      </w:pPr>
      <w:r w:rsidRPr="00C02386">
        <w:rPr>
          <w:rFonts w:ascii="Arial" w:hAnsi="Arial" w:cs="Arial"/>
          <w:sz w:val="20"/>
        </w:rPr>
        <w:t>IPO</w:t>
      </w:r>
      <w:r w:rsidRPr="00C02386">
        <w:rPr>
          <w:rFonts w:ascii="Arial" w:hAnsi="Arial" w:cs="Arial"/>
          <w:sz w:val="20"/>
        </w:rPr>
        <w:tab/>
        <w:t>Intellectual Property Office</w:t>
      </w:r>
    </w:p>
    <w:p w14:paraId="64E1B2FF" w14:textId="77777777" w:rsidR="00FB583B" w:rsidRDefault="00FB583B" w:rsidP="00FB583B">
      <w:pPr>
        <w:tabs>
          <w:tab w:val="left" w:pos="2127"/>
        </w:tabs>
        <w:spacing w:after="40"/>
        <w:ind w:left="2127" w:hanging="2127"/>
        <w:rPr>
          <w:rFonts w:ascii="Arial" w:hAnsi="Arial" w:cs="Arial"/>
          <w:sz w:val="20"/>
        </w:rPr>
      </w:pPr>
      <w:r w:rsidRPr="00C02386">
        <w:rPr>
          <w:rFonts w:ascii="Arial" w:hAnsi="Arial" w:cs="Arial"/>
          <w:sz w:val="20"/>
        </w:rPr>
        <w:t>IPoA</w:t>
      </w:r>
      <w:r w:rsidRPr="00C02386">
        <w:rPr>
          <w:rFonts w:ascii="Arial" w:hAnsi="Arial" w:cs="Arial"/>
          <w:sz w:val="20"/>
        </w:rPr>
        <w:tab/>
      </w:r>
      <w:smartTag w:uri="urn:schemas-microsoft-com:office:smarttags" w:element="place">
        <w:smartTag w:uri="urn:schemas-microsoft-com:office:smarttags" w:element="City">
          <w:r w:rsidRPr="00C02386">
            <w:rPr>
              <w:rFonts w:ascii="Arial" w:hAnsi="Arial" w:cs="Arial"/>
              <w:sz w:val="20"/>
            </w:rPr>
            <w:t>Istanbul</w:t>
          </w:r>
        </w:smartTag>
      </w:smartTag>
      <w:r w:rsidRPr="00C02386">
        <w:rPr>
          <w:rFonts w:ascii="Arial" w:hAnsi="Arial" w:cs="Arial"/>
          <w:sz w:val="20"/>
        </w:rPr>
        <w:t xml:space="preserve"> Programme for Action</w:t>
      </w:r>
    </w:p>
    <w:p w14:paraId="77A1DE52" w14:textId="54D66622" w:rsidR="008A1B16" w:rsidRPr="00C84440" w:rsidRDefault="008A1B16" w:rsidP="00FB583B">
      <w:pPr>
        <w:tabs>
          <w:tab w:val="left" w:pos="2127"/>
        </w:tabs>
        <w:spacing w:after="40"/>
        <w:ind w:left="2127" w:hanging="2127"/>
        <w:rPr>
          <w:rFonts w:ascii="Arial" w:hAnsi="Arial" w:cs="Arial"/>
          <w:sz w:val="18"/>
        </w:rPr>
      </w:pPr>
      <w:r>
        <w:rPr>
          <w:rFonts w:ascii="Arial" w:hAnsi="Arial" w:cs="Arial"/>
          <w:sz w:val="20"/>
        </w:rPr>
        <w:t>OPOPHL</w:t>
      </w:r>
      <w:r>
        <w:rPr>
          <w:rFonts w:ascii="Arial" w:hAnsi="Arial" w:cs="Arial"/>
          <w:sz w:val="20"/>
        </w:rPr>
        <w:tab/>
      </w:r>
      <w:r w:rsidRPr="00C84440">
        <w:rPr>
          <w:rStyle w:val="st"/>
          <w:rFonts w:ascii="Arial" w:hAnsi="Arial" w:cs="Arial"/>
          <w:sz w:val="20"/>
        </w:rPr>
        <w:t>Intellectual Property Office of the Philippines</w:t>
      </w:r>
    </w:p>
    <w:p w14:paraId="419CD048"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IPRs</w:t>
      </w:r>
      <w:r w:rsidRPr="00F10C59">
        <w:rPr>
          <w:rFonts w:ascii="Arial" w:hAnsi="Arial" w:cs="Arial"/>
          <w:sz w:val="20"/>
        </w:rPr>
        <w:tab/>
        <w:t>Intellectual Property Rights</w:t>
      </w:r>
    </w:p>
    <w:p w14:paraId="37EF265C"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IPSAS</w:t>
      </w:r>
      <w:r w:rsidRPr="00F10C59">
        <w:rPr>
          <w:rFonts w:ascii="Arial" w:hAnsi="Arial" w:cs="Arial"/>
          <w:sz w:val="20"/>
        </w:rPr>
        <w:tab/>
        <w:t>International Public Sector Accounting Standards</w:t>
      </w:r>
    </w:p>
    <w:p w14:paraId="6C9F66D8"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IT</w:t>
      </w:r>
      <w:r w:rsidRPr="00F10C59">
        <w:rPr>
          <w:rFonts w:ascii="Arial" w:hAnsi="Arial" w:cs="Arial"/>
          <w:sz w:val="20"/>
        </w:rPr>
        <w:tab/>
        <w:t>Information Technology</w:t>
      </w:r>
    </w:p>
    <w:p w14:paraId="272D7E6E" w14:textId="2259584E" w:rsidR="008256AB" w:rsidRDefault="008256AB" w:rsidP="00FB583B">
      <w:pPr>
        <w:tabs>
          <w:tab w:val="left" w:pos="2127"/>
        </w:tabs>
        <w:spacing w:after="40"/>
        <w:ind w:left="2127" w:hanging="2127"/>
        <w:rPr>
          <w:rStyle w:val="st"/>
          <w:rFonts w:ascii="Arial" w:hAnsi="Arial" w:cs="Arial"/>
          <w:sz w:val="20"/>
          <w:szCs w:val="20"/>
        </w:rPr>
      </w:pPr>
      <w:r w:rsidRPr="009B4A78">
        <w:rPr>
          <w:rFonts w:ascii="Arial" w:hAnsi="Arial" w:cs="Arial"/>
          <w:sz w:val="20"/>
        </w:rPr>
        <w:t>IP-TAD</w:t>
      </w:r>
      <w:r>
        <w:rPr>
          <w:rFonts w:ascii="Arial" w:hAnsi="Arial" w:cs="Arial"/>
          <w:sz w:val="20"/>
        </w:rPr>
        <w:tab/>
      </w:r>
      <w:r w:rsidRPr="00B30215">
        <w:rPr>
          <w:rStyle w:val="st"/>
          <w:rFonts w:ascii="Arial" w:hAnsi="Arial" w:cs="Arial"/>
          <w:sz w:val="20"/>
          <w:szCs w:val="20"/>
        </w:rPr>
        <w:t>Intellectual Property Technical Assistance Database</w:t>
      </w:r>
    </w:p>
    <w:p w14:paraId="54A6E9CB" w14:textId="29DEA0A6" w:rsidR="002B31EF" w:rsidRPr="000F6BE2" w:rsidRDefault="002B31EF" w:rsidP="00FB583B">
      <w:pPr>
        <w:tabs>
          <w:tab w:val="left" w:pos="2127"/>
        </w:tabs>
        <w:spacing w:after="40"/>
        <w:ind w:left="2127" w:hanging="2127"/>
        <w:rPr>
          <w:rFonts w:ascii="Arial" w:hAnsi="Arial" w:cs="Arial"/>
          <w:sz w:val="20"/>
          <w:szCs w:val="20"/>
        </w:rPr>
      </w:pPr>
      <w:r>
        <w:rPr>
          <w:rStyle w:val="st"/>
          <w:rFonts w:ascii="Arial" w:hAnsi="Arial" w:cs="Arial"/>
          <w:sz w:val="20"/>
          <w:szCs w:val="20"/>
        </w:rPr>
        <w:t>IP-ROC</w:t>
      </w:r>
      <w:r>
        <w:rPr>
          <w:rStyle w:val="st"/>
          <w:rFonts w:ascii="Arial" w:hAnsi="Arial" w:cs="Arial"/>
          <w:sz w:val="20"/>
          <w:szCs w:val="20"/>
        </w:rPr>
        <w:tab/>
      </w:r>
      <w:r w:rsidRPr="00964B24">
        <w:rPr>
          <w:rStyle w:val="st"/>
          <w:rFonts w:ascii="Arial" w:hAnsi="Arial" w:cs="Arial"/>
          <w:sz w:val="20"/>
          <w:szCs w:val="20"/>
        </w:rPr>
        <w:t xml:space="preserve">Intellectual </w:t>
      </w:r>
      <w:r w:rsidRPr="002B31EF">
        <w:rPr>
          <w:rStyle w:val="st"/>
          <w:rFonts w:ascii="Arial" w:hAnsi="Arial" w:cs="Arial"/>
          <w:sz w:val="20"/>
          <w:szCs w:val="20"/>
        </w:rPr>
        <w:t>Property Roster of Consultants</w:t>
      </w:r>
    </w:p>
    <w:p w14:paraId="29CB16F0" w14:textId="5C1E7E1C" w:rsidR="00B34F97" w:rsidRPr="000F6BE2" w:rsidRDefault="00B34F97" w:rsidP="00FB583B">
      <w:pPr>
        <w:tabs>
          <w:tab w:val="left" w:pos="2127"/>
        </w:tabs>
        <w:spacing w:after="40"/>
        <w:ind w:left="2127" w:hanging="2127"/>
        <w:rPr>
          <w:rFonts w:ascii="Arial" w:hAnsi="Arial" w:cs="Arial"/>
          <w:sz w:val="20"/>
          <w:szCs w:val="20"/>
        </w:rPr>
      </w:pPr>
      <w:r>
        <w:rPr>
          <w:rFonts w:ascii="Arial" w:hAnsi="Arial" w:cs="Arial"/>
          <w:sz w:val="20"/>
        </w:rPr>
        <w:t>ISO</w:t>
      </w:r>
      <w:r>
        <w:rPr>
          <w:rFonts w:ascii="Arial" w:hAnsi="Arial" w:cs="Arial"/>
          <w:sz w:val="20"/>
        </w:rPr>
        <w:tab/>
      </w:r>
      <w:r w:rsidRPr="00B30215">
        <w:rPr>
          <w:rStyle w:val="st"/>
          <w:rFonts w:ascii="Arial" w:hAnsi="Arial" w:cs="Arial"/>
          <w:sz w:val="20"/>
          <w:szCs w:val="20"/>
        </w:rPr>
        <w:t>International Organization for Standardization</w:t>
      </w:r>
    </w:p>
    <w:p w14:paraId="3A395AFD"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ITIL</w:t>
      </w:r>
      <w:r w:rsidRPr="00F10C59">
        <w:rPr>
          <w:rFonts w:ascii="Arial" w:hAnsi="Arial" w:cs="Arial"/>
          <w:sz w:val="20"/>
        </w:rPr>
        <w:tab/>
        <w:t>Information Technology Infrastructure Library</w:t>
      </w:r>
    </w:p>
    <w:p w14:paraId="3903ADC4" w14:textId="77777777" w:rsidR="00307AC6" w:rsidRPr="00C84440" w:rsidRDefault="00307AC6" w:rsidP="00C84440">
      <w:pPr>
        <w:tabs>
          <w:tab w:val="left" w:pos="2127"/>
        </w:tabs>
        <w:rPr>
          <w:rFonts w:ascii="Arial" w:hAnsi="Arial" w:cs="Arial"/>
          <w:sz w:val="20"/>
        </w:rPr>
      </w:pPr>
      <w:r>
        <w:rPr>
          <w:rFonts w:ascii="Arial" w:hAnsi="Arial" w:cs="Arial"/>
          <w:sz w:val="20"/>
        </w:rPr>
        <w:t>ITPGRFA</w:t>
      </w:r>
      <w:r>
        <w:rPr>
          <w:rFonts w:ascii="Arial" w:hAnsi="Arial" w:cs="Arial"/>
          <w:sz w:val="20"/>
        </w:rPr>
        <w:tab/>
      </w:r>
      <w:r w:rsidRPr="00C84440">
        <w:rPr>
          <w:rFonts w:ascii="Arial" w:hAnsi="Arial" w:cs="Arial"/>
          <w:sz w:val="20"/>
        </w:rPr>
        <w:t>International Treaty on Plant Genetic Resources for Food and Agriculture</w:t>
      </w:r>
    </w:p>
    <w:p w14:paraId="456472C1" w14:textId="2A879242"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ITU</w:t>
      </w:r>
      <w:r w:rsidRPr="00F10C59">
        <w:rPr>
          <w:rFonts w:ascii="Arial" w:hAnsi="Arial" w:cs="Arial"/>
          <w:sz w:val="20"/>
        </w:rPr>
        <w:tab/>
      </w:r>
      <w:r w:rsidRPr="00F10C59">
        <w:rPr>
          <w:rFonts w:ascii="Arial" w:hAnsi="Arial" w:cs="Arial"/>
          <w:snapToGrid w:val="0"/>
          <w:sz w:val="20"/>
        </w:rPr>
        <w:t>International Telecommunications Union</w:t>
      </w:r>
    </w:p>
    <w:p w14:paraId="39931D98" w14:textId="77777777" w:rsidR="00FB583B" w:rsidRPr="00F10C59" w:rsidRDefault="00FB583B" w:rsidP="00FB583B">
      <w:pPr>
        <w:tabs>
          <w:tab w:val="left" w:pos="2127"/>
        </w:tabs>
        <w:spacing w:after="180"/>
        <w:ind w:left="2126" w:hanging="2126"/>
        <w:rPr>
          <w:rFonts w:ascii="Arial" w:hAnsi="Arial" w:cs="Arial"/>
          <w:sz w:val="20"/>
        </w:rPr>
      </w:pPr>
    </w:p>
    <w:p w14:paraId="23D79712" w14:textId="317FEC46" w:rsidR="0014319A" w:rsidRPr="00C84440" w:rsidRDefault="0014319A" w:rsidP="00FB583B">
      <w:pPr>
        <w:tabs>
          <w:tab w:val="left" w:pos="2127"/>
        </w:tabs>
        <w:spacing w:after="40"/>
        <w:ind w:left="2127" w:hanging="2127"/>
        <w:rPr>
          <w:rFonts w:ascii="Arial" w:hAnsi="Arial" w:cs="Arial"/>
          <w:b/>
          <w:bCs/>
          <w:sz w:val="18"/>
        </w:rPr>
      </w:pPr>
      <w:r w:rsidRPr="00C84440">
        <w:rPr>
          <w:rStyle w:val="st"/>
          <w:rFonts w:ascii="Arial" w:hAnsi="Arial" w:cs="Arial"/>
          <w:b/>
          <w:sz w:val="20"/>
        </w:rPr>
        <w:t>K</w:t>
      </w:r>
      <w:r w:rsidRPr="00C84440">
        <w:rPr>
          <w:rStyle w:val="st"/>
          <w:rFonts w:ascii="Arial" w:hAnsi="Arial" w:cs="Arial"/>
          <w:sz w:val="20"/>
        </w:rPr>
        <w:t>OTEC</w:t>
      </w:r>
      <w:r w:rsidRPr="00C84440">
        <w:rPr>
          <w:rStyle w:val="st"/>
          <w:rFonts w:ascii="Arial" w:hAnsi="Arial" w:cs="Arial"/>
          <w:sz w:val="20"/>
        </w:rPr>
        <w:tab/>
        <w:t>Korea Technology Finance Corporation</w:t>
      </w:r>
    </w:p>
    <w:p w14:paraId="20CB5134" w14:textId="77777777" w:rsidR="0014319A" w:rsidRDefault="0014319A" w:rsidP="00FB583B">
      <w:pPr>
        <w:tabs>
          <w:tab w:val="left" w:pos="2127"/>
        </w:tabs>
        <w:spacing w:after="40"/>
        <w:ind w:left="2127" w:hanging="2127"/>
        <w:rPr>
          <w:rFonts w:ascii="Arial" w:hAnsi="Arial" w:cs="Arial"/>
          <w:b/>
          <w:bCs/>
          <w:sz w:val="20"/>
        </w:rPr>
      </w:pPr>
    </w:p>
    <w:p w14:paraId="5BE334FF"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L</w:t>
      </w:r>
      <w:r w:rsidRPr="00F10C59">
        <w:rPr>
          <w:rFonts w:ascii="Arial" w:hAnsi="Arial" w:cs="Arial"/>
          <w:sz w:val="20"/>
        </w:rPr>
        <w:t>DCs</w:t>
      </w:r>
      <w:r w:rsidRPr="00F10C59">
        <w:rPr>
          <w:rFonts w:ascii="Arial" w:hAnsi="Arial" w:cs="Arial"/>
          <w:sz w:val="20"/>
        </w:rPr>
        <w:tab/>
        <w:t>Least Developed Countries</w:t>
      </w:r>
    </w:p>
    <w:p w14:paraId="3675003E" w14:textId="77777777" w:rsidR="00FB583B" w:rsidRPr="00F10C59" w:rsidRDefault="00FB583B" w:rsidP="00FB583B">
      <w:pPr>
        <w:tabs>
          <w:tab w:val="left" w:pos="2127"/>
        </w:tabs>
        <w:spacing w:after="180"/>
        <w:ind w:left="2126" w:hanging="2126"/>
        <w:rPr>
          <w:rFonts w:ascii="Arial" w:hAnsi="Arial" w:cs="Arial"/>
          <w:sz w:val="20"/>
        </w:rPr>
      </w:pPr>
    </w:p>
    <w:p w14:paraId="419709B0" w14:textId="77777777" w:rsidR="00FB583B" w:rsidRPr="00F10C59" w:rsidRDefault="00FB583B" w:rsidP="00FB583B">
      <w:pPr>
        <w:tabs>
          <w:tab w:val="left" w:pos="2127"/>
        </w:tabs>
        <w:spacing w:after="40"/>
        <w:ind w:left="2127" w:hanging="2127"/>
        <w:rPr>
          <w:rFonts w:ascii="Arial" w:hAnsi="Arial" w:cs="Arial"/>
          <w:sz w:val="20"/>
        </w:rPr>
      </w:pPr>
      <w:r w:rsidRPr="00FF1219">
        <w:rPr>
          <w:rFonts w:ascii="Arial" w:hAnsi="Arial" w:cs="Arial"/>
          <w:b/>
          <w:bCs/>
          <w:sz w:val="20"/>
        </w:rPr>
        <w:t>M</w:t>
      </w:r>
      <w:r w:rsidRPr="00F10C59">
        <w:rPr>
          <w:rFonts w:ascii="Arial" w:hAnsi="Arial" w:cs="Arial"/>
          <w:sz w:val="20"/>
        </w:rPr>
        <w:t>DGs</w:t>
      </w:r>
      <w:r w:rsidRPr="00F10C59">
        <w:rPr>
          <w:rFonts w:ascii="Arial" w:hAnsi="Arial" w:cs="Arial"/>
          <w:sz w:val="20"/>
        </w:rPr>
        <w:tab/>
        <w:t>Millenium Development Goals</w:t>
      </w:r>
    </w:p>
    <w:p w14:paraId="5A5B837F"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MGS</w:t>
      </w:r>
      <w:r>
        <w:rPr>
          <w:rFonts w:ascii="Arial" w:hAnsi="Arial" w:cs="Arial"/>
          <w:sz w:val="20"/>
        </w:rPr>
        <w:tab/>
      </w:r>
      <w:smartTag w:uri="urn:schemas-microsoft-com:office:smarttags" w:element="place">
        <w:smartTag w:uri="urn:schemas-microsoft-com:office:smarttags" w:element="State">
          <w:r w:rsidRPr="00AC0AF8">
            <w:rPr>
              <w:rFonts w:ascii="Arial" w:hAnsi="Arial" w:cs="Arial"/>
              <w:sz w:val="20"/>
            </w:rPr>
            <w:t>Madrid</w:t>
          </w:r>
        </w:smartTag>
      </w:smartTag>
      <w:r w:rsidRPr="00AC0AF8">
        <w:rPr>
          <w:rFonts w:ascii="Arial" w:hAnsi="Arial" w:cs="Arial"/>
          <w:sz w:val="20"/>
        </w:rPr>
        <w:t xml:space="preserve"> Goods and Services Manager</w:t>
      </w:r>
    </w:p>
    <w:p w14:paraId="03D081D2"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MTSP</w:t>
      </w:r>
      <w:r w:rsidRPr="00F10C59">
        <w:rPr>
          <w:rFonts w:ascii="Arial" w:hAnsi="Arial" w:cs="Arial"/>
          <w:sz w:val="20"/>
        </w:rPr>
        <w:tab/>
        <w:t>Medium Term Strategic Plan</w:t>
      </w:r>
    </w:p>
    <w:p w14:paraId="7111113B" w14:textId="77777777" w:rsidR="00FB583B" w:rsidRPr="00F10C59" w:rsidRDefault="00FB583B" w:rsidP="00FB583B">
      <w:pPr>
        <w:tabs>
          <w:tab w:val="left" w:pos="2127"/>
        </w:tabs>
        <w:spacing w:after="180"/>
        <w:ind w:left="2126" w:hanging="2126"/>
        <w:rPr>
          <w:rFonts w:ascii="Arial" w:hAnsi="Arial" w:cs="Arial"/>
          <w:sz w:val="20"/>
        </w:rPr>
      </w:pPr>
    </w:p>
    <w:p w14:paraId="36CEEA43" w14:textId="77777777" w:rsidR="00FB583B" w:rsidRPr="003D313D" w:rsidRDefault="00FB583B" w:rsidP="00FB583B">
      <w:pPr>
        <w:tabs>
          <w:tab w:val="left" w:pos="2127"/>
        </w:tabs>
        <w:spacing w:after="40"/>
        <w:ind w:left="2127" w:hanging="2127"/>
        <w:rPr>
          <w:rFonts w:ascii="Arial" w:hAnsi="Arial" w:cs="Arial"/>
          <w:sz w:val="20"/>
        </w:rPr>
      </w:pPr>
      <w:r w:rsidRPr="003D313D">
        <w:rPr>
          <w:rFonts w:ascii="Arial" w:hAnsi="Arial" w:cs="Arial"/>
          <w:b/>
          <w:bCs/>
          <w:sz w:val="20"/>
        </w:rPr>
        <w:t>N</w:t>
      </w:r>
      <w:r w:rsidRPr="003D313D">
        <w:rPr>
          <w:rFonts w:ascii="Arial" w:hAnsi="Arial" w:cs="Arial"/>
          <w:sz w:val="20"/>
        </w:rPr>
        <w:t>GOs</w:t>
      </w:r>
      <w:r w:rsidRPr="003D313D">
        <w:rPr>
          <w:rFonts w:ascii="Arial" w:hAnsi="Arial" w:cs="Arial"/>
          <w:sz w:val="20"/>
        </w:rPr>
        <w:tab/>
        <w:t>non-governmental organizations</w:t>
      </w:r>
    </w:p>
    <w:p w14:paraId="3AFDE07C" w14:textId="77777777" w:rsidR="00FB583B" w:rsidRPr="003D313D" w:rsidRDefault="00FB583B" w:rsidP="00FB583B">
      <w:pPr>
        <w:tabs>
          <w:tab w:val="left" w:pos="2127"/>
        </w:tabs>
        <w:spacing w:after="180"/>
        <w:ind w:left="2126" w:hanging="2126"/>
        <w:rPr>
          <w:rFonts w:ascii="Arial" w:hAnsi="Arial" w:cs="Arial"/>
          <w:sz w:val="20"/>
        </w:rPr>
      </w:pPr>
    </w:p>
    <w:p w14:paraId="7F88CD4C" w14:textId="77777777" w:rsidR="00FB583B" w:rsidRPr="00F10C59" w:rsidRDefault="00FB583B" w:rsidP="00FB583B">
      <w:pPr>
        <w:tabs>
          <w:tab w:val="left" w:pos="2127"/>
        </w:tabs>
        <w:spacing w:after="40"/>
        <w:ind w:left="2127" w:hanging="2127"/>
        <w:rPr>
          <w:rFonts w:ascii="Arial" w:hAnsi="Arial" w:cs="Arial"/>
          <w:sz w:val="20"/>
        </w:rPr>
      </w:pPr>
      <w:r w:rsidRPr="00C84440">
        <w:rPr>
          <w:rFonts w:ascii="Arial" w:hAnsi="Arial" w:cs="Arial"/>
          <w:b/>
          <w:sz w:val="20"/>
        </w:rPr>
        <w:lastRenderedPageBreak/>
        <w:t>O</w:t>
      </w:r>
      <w:r w:rsidRPr="00F10C59">
        <w:rPr>
          <w:rFonts w:ascii="Arial" w:hAnsi="Arial" w:cs="Arial"/>
          <w:sz w:val="20"/>
        </w:rPr>
        <w:t>HIM</w:t>
      </w:r>
      <w:r w:rsidRPr="00F10C59">
        <w:rPr>
          <w:rFonts w:ascii="Arial" w:hAnsi="Arial" w:cs="Arial"/>
          <w:sz w:val="20"/>
        </w:rPr>
        <w:tab/>
        <w:t>Office for Harmonization in the Internal Market (Community Trademarks)</w:t>
      </w:r>
    </w:p>
    <w:p w14:paraId="2639CC36" w14:textId="45235672" w:rsidR="00FB583B" w:rsidRDefault="002B31EF" w:rsidP="00C84440">
      <w:pPr>
        <w:tabs>
          <w:tab w:val="left" w:pos="2127"/>
        </w:tabs>
        <w:spacing w:after="40"/>
        <w:ind w:left="2127" w:hanging="2127"/>
        <w:rPr>
          <w:rFonts w:ascii="Arial" w:hAnsi="Arial" w:cs="Arial"/>
          <w:color w:val="000000"/>
          <w:sz w:val="20"/>
          <w:szCs w:val="20"/>
        </w:rPr>
      </w:pPr>
      <w:r w:rsidRPr="00B30215">
        <w:rPr>
          <w:rFonts w:ascii="Arial" w:hAnsi="Arial" w:cs="Arial"/>
          <w:bCs/>
          <w:sz w:val="20"/>
        </w:rPr>
        <w:t>OCR</w:t>
      </w:r>
      <w:r>
        <w:rPr>
          <w:rFonts w:ascii="Arial" w:hAnsi="Arial" w:cs="Arial"/>
          <w:b/>
          <w:bCs/>
          <w:sz w:val="20"/>
        </w:rPr>
        <w:tab/>
      </w:r>
      <w:r w:rsidRPr="009B4A78">
        <w:rPr>
          <w:rFonts w:ascii="Arial" w:hAnsi="Arial" w:cs="Arial"/>
          <w:color w:val="000000"/>
          <w:sz w:val="20"/>
          <w:szCs w:val="20"/>
        </w:rPr>
        <w:t>Optical Character Recognition (OCR</w:t>
      </w:r>
    </w:p>
    <w:p w14:paraId="77B83F15" w14:textId="77777777" w:rsidR="002B31EF" w:rsidRPr="00B30215" w:rsidRDefault="002B31EF" w:rsidP="00B30215">
      <w:pPr>
        <w:tabs>
          <w:tab w:val="left" w:pos="2127"/>
        </w:tabs>
        <w:spacing w:after="180"/>
        <w:ind w:left="2126" w:hanging="2126"/>
        <w:rPr>
          <w:rFonts w:ascii="Arial" w:hAnsi="Arial" w:cs="Arial"/>
          <w:sz w:val="20"/>
        </w:rPr>
      </w:pPr>
    </w:p>
    <w:p w14:paraId="125BF8B4" w14:textId="77777777" w:rsidR="00FB583B" w:rsidRPr="00033D90" w:rsidRDefault="00FB583B" w:rsidP="00FB583B">
      <w:pPr>
        <w:tabs>
          <w:tab w:val="left" w:pos="2127"/>
        </w:tabs>
        <w:spacing w:after="40"/>
        <w:ind w:left="2127" w:hanging="2127"/>
        <w:rPr>
          <w:rFonts w:ascii="Arial" w:hAnsi="Arial" w:cs="Arial"/>
          <w:sz w:val="20"/>
        </w:rPr>
      </w:pPr>
      <w:r w:rsidRPr="00033D90">
        <w:rPr>
          <w:rFonts w:ascii="Arial" w:hAnsi="Arial" w:cs="Arial"/>
          <w:b/>
          <w:bCs/>
          <w:sz w:val="20"/>
        </w:rPr>
        <w:t>P</w:t>
      </w:r>
      <w:r w:rsidRPr="00033D90">
        <w:rPr>
          <w:rFonts w:ascii="Arial" w:hAnsi="Arial" w:cs="Arial"/>
          <w:sz w:val="20"/>
        </w:rPr>
        <w:t>CD</w:t>
      </w:r>
      <w:r w:rsidRPr="00033D90">
        <w:rPr>
          <w:rFonts w:ascii="Arial" w:hAnsi="Arial" w:cs="Arial"/>
          <w:sz w:val="20"/>
        </w:rPr>
        <w:tab/>
        <w:t>Procurement Services Division</w:t>
      </w:r>
    </w:p>
    <w:p w14:paraId="6D60D6FF"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PCT</w:t>
      </w:r>
      <w:r w:rsidRPr="00F10C59">
        <w:rPr>
          <w:rFonts w:ascii="Arial" w:hAnsi="Arial" w:cs="Arial"/>
          <w:sz w:val="20"/>
        </w:rPr>
        <w:tab/>
        <w:t>Patent Cooperation Treaty</w:t>
      </w:r>
    </w:p>
    <w:p w14:paraId="3724EB06"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PLR</w:t>
      </w:r>
      <w:r>
        <w:rPr>
          <w:rFonts w:ascii="Arial" w:hAnsi="Arial" w:cs="Arial"/>
          <w:sz w:val="20"/>
        </w:rPr>
        <w:tab/>
        <w:t>Patent Landscape Reports</w:t>
      </w:r>
    </w:p>
    <w:p w14:paraId="1E591EB9"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PLT</w:t>
      </w:r>
      <w:r w:rsidRPr="00F10C59">
        <w:rPr>
          <w:rFonts w:ascii="Arial" w:hAnsi="Arial" w:cs="Arial"/>
          <w:sz w:val="20"/>
        </w:rPr>
        <w:tab/>
        <w:t>Patent Law Treaty</w:t>
      </w:r>
    </w:p>
    <w:p w14:paraId="5BFC5501"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PMSDS</w:t>
      </w:r>
      <w:r w:rsidRPr="00F10C59">
        <w:rPr>
          <w:rFonts w:ascii="Arial" w:hAnsi="Arial" w:cs="Arial"/>
          <w:sz w:val="20"/>
        </w:rPr>
        <w:tab/>
      </w:r>
      <w:r w:rsidRPr="00F10C59">
        <w:rPr>
          <w:rFonts w:ascii="Arial" w:hAnsi="Arial" w:cs="Arial"/>
          <w:snapToGrid w:val="0"/>
          <w:sz w:val="20"/>
        </w:rPr>
        <w:t>Performance Management and Staff Development System</w:t>
      </w:r>
    </w:p>
    <w:p w14:paraId="7A55F13C" w14:textId="77777777" w:rsidR="00FB583B" w:rsidRPr="00F10C59" w:rsidRDefault="00FB583B" w:rsidP="00FB583B">
      <w:pPr>
        <w:tabs>
          <w:tab w:val="left" w:pos="2127"/>
        </w:tabs>
        <w:spacing w:after="180"/>
        <w:ind w:left="2126" w:hanging="2126"/>
        <w:rPr>
          <w:rFonts w:ascii="Arial" w:hAnsi="Arial" w:cs="Arial"/>
          <w:sz w:val="20"/>
        </w:rPr>
      </w:pPr>
      <w:r>
        <w:rPr>
          <w:rFonts w:ascii="Arial" w:hAnsi="Arial" w:cs="Arial"/>
          <w:sz w:val="20"/>
        </w:rPr>
        <w:t>PPR</w:t>
      </w:r>
      <w:r>
        <w:rPr>
          <w:rFonts w:ascii="Arial" w:hAnsi="Arial" w:cs="Arial"/>
          <w:sz w:val="20"/>
        </w:rPr>
        <w:tab/>
        <w:t>Program Performance Report</w:t>
      </w:r>
    </w:p>
    <w:p w14:paraId="4E147DE3" w14:textId="77777777" w:rsidR="00FB583B" w:rsidRDefault="00FB583B" w:rsidP="00FB583B">
      <w:pPr>
        <w:tabs>
          <w:tab w:val="left" w:pos="2127"/>
        </w:tabs>
        <w:spacing w:after="40"/>
        <w:ind w:left="2127" w:hanging="2127"/>
        <w:rPr>
          <w:rFonts w:ascii="Arial" w:hAnsi="Arial" w:cs="Arial"/>
          <w:b/>
          <w:bCs/>
          <w:sz w:val="20"/>
        </w:rPr>
      </w:pPr>
    </w:p>
    <w:p w14:paraId="032E474F"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R</w:t>
      </w:r>
      <w:r w:rsidRPr="00F10C59">
        <w:rPr>
          <w:rFonts w:ascii="Arial" w:hAnsi="Arial" w:cs="Arial"/>
          <w:sz w:val="20"/>
        </w:rPr>
        <w:t>BM</w:t>
      </w:r>
      <w:r w:rsidRPr="00F10C59">
        <w:rPr>
          <w:rFonts w:ascii="Arial" w:hAnsi="Arial" w:cs="Arial"/>
          <w:sz w:val="20"/>
        </w:rPr>
        <w:tab/>
        <w:t>Results-based Management</w:t>
      </w:r>
    </w:p>
    <w:p w14:paraId="21724D03"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R&amp;D</w:t>
      </w:r>
      <w:r w:rsidRPr="00F10C59">
        <w:rPr>
          <w:rFonts w:ascii="Arial" w:hAnsi="Arial" w:cs="Arial"/>
          <w:sz w:val="20"/>
        </w:rPr>
        <w:tab/>
        <w:t>research and development</w:t>
      </w:r>
    </w:p>
    <w:p w14:paraId="39011F1E"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RFPs</w:t>
      </w:r>
      <w:r>
        <w:rPr>
          <w:rFonts w:ascii="Arial" w:hAnsi="Arial" w:cs="Arial"/>
          <w:sz w:val="20"/>
        </w:rPr>
        <w:tab/>
        <w:t>Requests for Proposals</w:t>
      </w:r>
    </w:p>
    <w:p w14:paraId="7B13A720"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RO</w:t>
      </w:r>
      <w:r w:rsidRPr="00F10C59">
        <w:rPr>
          <w:rFonts w:ascii="Arial" w:hAnsi="Arial" w:cs="Arial"/>
          <w:sz w:val="20"/>
        </w:rPr>
        <w:tab/>
        <w:t>Receiving Office</w:t>
      </w:r>
    </w:p>
    <w:p w14:paraId="3BFF5FAD" w14:textId="77777777" w:rsidR="00FB583B" w:rsidRPr="00F10C59" w:rsidRDefault="00FB583B" w:rsidP="00FB583B">
      <w:pPr>
        <w:tabs>
          <w:tab w:val="left" w:pos="2127"/>
        </w:tabs>
        <w:spacing w:after="180"/>
        <w:ind w:left="2126" w:hanging="2126"/>
        <w:rPr>
          <w:rFonts w:ascii="Arial" w:hAnsi="Arial" w:cs="Arial"/>
          <w:sz w:val="20"/>
        </w:rPr>
      </w:pPr>
    </w:p>
    <w:p w14:paraId="4F063CA6" w14:textId="77777777" w:rsidR="00FB583B" w:rsidRPr="00F10C59" w:rsidRDefault="00FB583B" w:rsidP="00FB583B">
      <w:pPr>
        <w:tabs>
          <w:tab w:val="left" w:pos="2127"/>
        </w:tabs>
        <w:spacing w:after="40"/>
        <w:ind w:left="2127" w:hanging="2127"/>
        <w:rPr>
          <w:rFonts w:ascii="Arial" w:hAnsi="Arial" w:cs="Arial"/>
          <w:sz w:val="20"/>
        </w:rPr>
      </w:pPr>
      <w:r w:rsidRPr="00FF1219">
        <w:rPr>
          <w:rFonts w:ascii="Arial" w:hAnsi="Arial" w:cs="Arial"/>
          <w:b/>
          <w:bCs/>
          <w:sz w:val="20"/>
        </w:rPr>
        <w:t>S</w:t>
      </w:r>
      <w:r w:rsidRPr="00F10C59">
        <w:rPr>
          <w:rFonts w:ascii="Arial" w:hAnsi="Arial" w:cs="Arial"/>
          <w:sz w:val="20"/>
        </w:rPr>
        <w:t>CCR</w:t>
      </w:r>
      <w:r w:rsidRPr="00F10C59">
        <w:rPr>
          <w:rFonts w:ascii="Arial" w:hAnsi="Arial" w:cs="Arial"/>
          <w:sz w:val="20"/>
        </w:rPr>
        <w:tab/>
        <w:t>Standing Committee on Copyright and Related Rights</w:t>
      </w:r>
    </w:p>
    <w:p w14:paraId="3D518D1D"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SCP</w:t>
      </w:r>
      <w:r w:rsidRPr="00F10C59">
        <w:rPr>
          <w:rFonts w:ascii="Arial" w:hAnsi="Arial" w:cs="Arial"/>
          <w:sz w:val="20"/>
        </w:rPr>
        <w:tab/>
        <w:t>Standing Committee on the Law of Patents</w:t>
      </w:r>
    </w:p>
    <w:p w14:paraId="7C9F5F15"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SCT</w:t>
      </w:r>
      <w:r w:rsidRPr="00F10C59">
        <w:rPr>
          <w:rFonts w:ascii="Arial" w:hAnsi="Arial" w:cs="Arial"/>
          <w:sz w:val="20"/>
        </w:rPr>
        <w:tab/>
        <w:t>Standing Committee on the Law of Trademarks, Industrial Designs and Geographical Indications</w:t>
      </w:r>
    </w:p>
    <w:p w14:paraId="5AC53C3E" w14:textId="59D118B7" w:rsidR="002B31EF" w:rsidRDefault="002B31EF" w:rsidP="00FB583B">
      <w:pPr>
        <w:tabs>
          <w:tab w:val="left" w:pos="2127"/>
        </w:tabs>
        <w:spacing w:after="40"/>
        <w:ind w:left="2127" w:hanging="2127"/>
        <w:rPr>
          <w:rFonts w:ascii="Arial" w:hAnsi="Arial" w:cs="Arial"/>
          <w:sz w:val="20"/>
        </w:rPr>
      </w:pPr>
      <w:r>
        <w:rPr>
          <w:rFonts w:ascii="Arial" w:hAnsi="Arial" w:cs="Arial"/>
          <w:sz w:val="20"/>
        </w:rPr>
        <w:t>SDG</w:t>
      </w:r>
      <w:r>
        <w:rPr>
          <w:rFonts w:ascii="Arial" w:hAnsi="Arial" w:cs="Arial"/>
          <w:sz w:val="20"/>
        </w:rPr>
        <w:tab/>
        <w:t>Sustainable Development Goals</w:t>
      </w:r>
    </w:p>
    <w:p w14:paraId="090FA8C3" w14:textId="331F7B7C" w:rsidR="00FB583B" w:rsidRDefault="00FB583B" w:rsidP="00FB583B">
      <w:pPr>
        <w:tabs>
          <w:tab w:val="left" w:pos="2127"/>
        </w:tabs>
        <w:spacing w:after="40"/>
        <w:ind w:left="2127" w:hanging="2127"/>
        <w:rPr>
          <w:rFonts w:ascii="Arial" w:hAnsi="Arial" w:cs="Arial"/>
          <w:sz w:val="20"/>
        </w:rPr>
      </w:pPr>
      <w:r>
        <w:rPr>
          <w:rFonts w:ascii="Arial" w:hAnsi="Arial" w:cs="Arial"/>
          <w:sz w:val="20"/>
        </w:rPr>
        <w:t>SLC</w:t>
      </w:r>
      <w:r>
        <w:rPr>
          <w:rFonts w:ascii="Arial" w:hAnsi="Arial" w:cs="Arial"/>
          <w:sz w:val="20"/>
        </w:rPr>
        <w:tab/>
        <w:t>Special Labor Contract</w:t>
      </w:r>
    </w:p>
    <w:p w14:paraId="38C9E52E"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SMEs</w:t>
      </w:r>
      <w:r>
        <w:rPr>
          <w:rFonts w:ascii="Arial" w:hAnsi="Arial" w:cs="Arial"/>
          <w:sz w:val="20"/>
        </w:rPr>
        <w:tab/>
        <w:t>small and medium sized enterprises</w:t>
      </w:r>
    </w:p>
    <w:p w14:paraId="3469F339"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SSA</w:t>
      </w:r>
      <w:r>
        <w:rPr>
          <w:rFonts w:ascii="Arial" w:hAnsi="Arial" w:cs="Arial"/>
          <w:sz w:val="20"/>
        </w:rPr>
        <w:tab/>
        <w:t>Special Service Agreements</w:t>
      </w:r>
    </w:p>
    <w:p w14:paraId="5FA49F8E" w14:textId="77777777" w:rsidR="00FB583B" w:rsidRDefault="00FB583B" w:rsidP="00FB583B">
      <w:pPr>
        <w:tabs>
          <w:tab w:val="left" w:pos="2127"/>
        </w:tabs>
        <w:spacing w:after="40"/>
        <w:ind w:left="2127" w:hanging="2127"/>
        <w:rPr>
          <w:rFonts w:ascii="Arial" w:hAnsi="Arial" w:cs="Arial"/>
          <w:sz w:val="20"/>
        </w:rPr>
      </w:pPr>
      <w:r w:rsidRPr="00F10C59">
        <w:rPr>
          <w:rFonts w:ascii="Arial" w:hAnsi="Arial" w:cs="Arial"/>
          <w:sz w:val="20"/>
        </w:rPr>
        <w:t>SRP</w:t>
      </w:r>
      <w:r w:rsidRPr="00F10C59">
        <w:rPr>
          <w:rFonts w:ascii="Arial" w:hAnsi="Arial" w:cs="Arial"/>
          <w:sz w:val="20"/>
        </w:rPr>
        <w:tab/>
        <w:t>Strategic Realignment Program</w:t>
      </w:r>
    </w:p>
    <w:p w14:paraId="45AE080F" w14:textId="407810A6" w:rsidR="002B31EF" w:rsidRPr="00F10C59" w:rsidRDefault="002B31EF" w:rsidP="00FB583B">
      <w:pPr>
        <w:tabs>
          <w:tab w:val="left" w:pos="2127"/>
        </w:tabs>
        <w:spacing w:after="40"/>
        <w:ind w:left="2127" w:hanging="2127"/>
        <w:rPr>
          <w:rFonts w:ascii="Arial" w:hAnsi="Arial" w:cs="Arial"/>
          <w:sz w:val="20"/>
        </w:rPr>
      </w:pPr>
      <w:r>
        <w:rPr>
          <w:rFonts w:ascii="Arial" w:hAnsi="Arial" w:cs="Arial"/>
          <w:sz w:val="20"/>
        </w:rPr>
        <w:t>SRR</w:t>
      </w:r>
      <w:r>
        <w:rPr>
          <w:rFonts w:ascii="Arial" w:hAnsi="Arial" w:cs="Arial"/>
          <w:sz w:val="20"/>
        </w:rPr>
        <w:tab/>
        <w:t>Staff Regulations and Rules</w:t>
      </w:r>
    </w:p>
    <w:p w14:paraId="498A0039" w14:textId="77777777" w:rsidR="00FB583B" w:rsidRPr="00F10C59" w:rsidRDefault="00FB583B" w:rsidP="00FB583B">
      <w:pPr>
        <w:tabs>
          <w:tab w:val="left" w:pos="2127"/>
        </w:tabs>
        <w:spacing w:after="180"/>
        <w:ind w:left="2126" w:hanging="2126"/>
        <w:rPr>
          <w:rFonts w:ascii="Arial" w:hAnsi="Arial" w:cs="Arial"/>
          <w:sz w:val="20"/>
        </w:rPr>
      </w:pPr>
    </w:p>
    <w:p w14:paraId="4E376B4A" w14:textId="77777777" w:rsidR="00FB583B" w:rsidRPr="00B30215" w:rsidRDefault="00FB583B" w:rsidP="00FB583B">
      <w:pPr>
        <w:keepNext/>
        <w:tabs>
          <w:tab w:val="left" w:pos="2127"/>
        </w:tabs>
        <w:spacing w:after="40"/>
        <w:ind w:left="2126" w:hanging="2126"/>
        <w:rPr>
          <w:rFonts w:ascii="Arial" w:hAnsi="Arial" w:cs="Arial"/>
          <w:b/>
          <w:bCs/>
          <w:sz w:val="20"/>
        </w:rPr>
      </w:pPr>
      <w:r w:rsidRPr="00B30215">
        <w:rPr>
          <w:rFonts w:ascii="Arial" w:hAnsi="Arial" w:cs="Arial"/>
          <w:b/>
          <w:bCs/>
          <w:sz w:val="20"/>
        </w:rPr>
        <w:t>T</w:t>
      </w:r>
      <w:r w:rsidRPr="00B30215">
        <w:rPr>
          <w:rFonts w:ascii="Arial" w:hAnsi="Arial" w:cs="Arial"/>
          <w:sz w:val="20"/>
        </w:rPr>
        <w:t>A</w:t>
      </w:r>
      <w:r w:rsidRPr="00B30215">
        <w:rPr>
          <w:rFonts w:ascii="Arial" w:hAnsi="Arial" w:cs="Arial"/>
          <w:sz w:val="20"/>
        </w:rPr>
        <w:tab/>
        <w:t>Travel Authorization</w:t>
      </w:r>
    </w:p>
    <w:p w14:paraId="7F633E80" w14:textId="5EE3A2D4" w:rsidR="00371BF2" w:rsidRDefault="00371BF2" w:rsidP="00FB583B">
      <w:pPr>
        <w:keepNext/>
        <w:tabs>
          <w:tab w:val="left" w:pos="2127"/>
        </w:tabs>
        <w:spacing w:after="40"/>
        <w:ind w:left="2126" w:hanging="2126"/>
        <w:rPr>
          <w:rFonts w:ascii="Arial" w:hAnsi="Arial" w:cs="Arial"/>
          <w:sz w:val="20"/>
        </w:rPr>
      </w:pPr>
      <w:r>
        <w:rPr>
          <w:rFonts w:ascii="Arial" w:hAnsi="Arial" w:cs="Arial"/>
          <w:sz w:val="20"/>
        </w:rPr>
        <w:t>TAG</w:t>
      </w:r>
      <w:r>
        <w:rPr>
          <w:rFonts w:ascii="Arial" w:hAnsi="Arial" w:cs="Arial"/>
          <w:sz w:val="20"/>
        </w:rPr>
        <w:tab/>
        <w:t>Transparency, Accountability and Governance</w:t>
      </w:r>
    </w:p>
    <w:p w14:paraId="3F1BD4E4" w14:textId="77777777" w:rsidR="00FB583B" w:rsidRPr="00500901" w:rsidRDefault="00FB583B" w:rsidP="00FB583B">
      <w:pPr>
        <w:keepNext/>
        <w:tabs>
          <w:tab w:val="left" w:pos="2127"/>
        </w:tabs>
        <w:spacing w:after="40"/>
        <w:ind w:left="2126" w:hanging="2126"/>
        <w:rPr>
          <w:rFonts w:ascii="Arial" w:hAnsi="Arial" w:cs="Arial"/>
          <w:sz w:val="20"/>
        </w:rPr>
      </w:pPr>
      <w:r w:rsidRPr="00500901">
        <w:rPr>
          <w:rFonts w:ascii="Arial" w:hAnsi="Arial" w:cs="Arial"/>
          <w:sz w:val="20"/>
        </w:rPr>
        <w:t>TCEs</w:t>
      </w:r>
      <w:r w:rsidRPr="00500901">
        <w:rPr>
          <w:rFonts w:ascii="Arial" w:hAnsi="Arial" w:cs="Arial"/>
          <w:sz w:val="20"/>
        </w:rPr>
        <w:tab/>
        <w:t>Traditional Cultural Expressions/Folklore</w:t>
      </w:r>
    </w:p>
    <w:p w14:paraId="29C314F5"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TIGAR</w:t>
      </w:r>
      <w:r w:rsidRPr="00F10C59">
        <w:rPr>
          <w:rFonts w:ascii="Arial" w:hAnsi="Arial" w:cs="Arial"/>
          <w:sz w:val="20"/>
        </w:rPr>
        <w:tab/>
        <w:t xml:space="preserve">Trusted Intermediary Global </w:t>
      </w:r>
      <w:r>
        <w:rPr>
          <w:rFonts w:ascii="Arial" w:hAnsi="Arial" w:cs="Arial"/>
          <w:sz w:val="20"/>
        </w:rPr>
        <w:t>Accessible</w:t>
      </w:r>
      <w:r w:rsidRPr="00F10C59">
        <w:rPr>
          <w:rFonts w:ascii="Arial" w:hAnsi="Arial" w:cs="Arial"/>
          <w:sz w:val="20"/>
        </w:rPr>
        <w:t xml:space="preserve"> Resources</w:t>
      </w:r>
    </w:p>
    <w:p w14:paraId="3C07C49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TISCs</w:t>
      </w:r>
      <w:r w:rsidRPr="00F10C59">
        <w:rPr>
          <w:rFonts w:ascii="Arial" w:hAnsi="Arial" w:cs="Arial"/>
          <w:sz w:val="20"/>
        </w:rPr>
        <w:tab/>
        <w:t>Technology Innovation Support Centers</w:t>
      </w:r>
    </w:p>
    <w:p w14:paraId="110D7035"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TK</w:t>
      </w:r>
      <w:r w:rsidRPr="00F10C59">
        <w:rPr>
          <w:rFonts w:ascii="Arial" w:hAnsi="Arial" w:cs="Arial"/>
          <w:sz w:val="20"/>
        </w:rPr>
        <w:tab/>
        <w:t>Traditional Knowledge</w:t>
      </w:r>
    </w:p>
    <w:p w14:paraId="4B966031"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TTO</w:t>
      </w:r>
      <w:r w:rsidRPr="00F10C59">
        <w:rPr>
          <w:rFonts w:ascii="Arial" w:hAnsi="Arial" w:cs="Arial"/>
          <w:sz w:val="20"/>
        </w:rPr>
        <w:tab/>
        <w:t>Technology Transfer Office</w:t>
      </w:r>
    </w:p>
    <w:p w14:paraId="62F527D1" w14:textId="77777777" w:rsidR="00FB583B" w:rsidRPr="00F10C59" w:rsidRDefault="00FB583B" w:rsidP="00FB583B">
      <w:pPr>
        <w:tabs>
          <w:tab w:val="left" w:pos="2127"/>
        </w:tabs>
        <w:spacing w:after="180"/>
        <w:ind w:left="2126" w:hanging="2126"/>
        <w:rPr>
          <w:rFonts w:ascii="Arial" w:hAnsi="Arial" w:cs="Arial"/>
          <w:sz w:val="20"/>
        </w:rPr>
      </w:pPr>
    </w:p>
    <w:p w14:paraId="72056BF7"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U</w:t>
      </w:r>
      <w:r w:rsidRPr="00F10C59">
        <w:rPr>
          <w:rFonts w:ascii="Arial" w:hAnsi="Arial" w:cs="Arial"/>
          <w:sz w:val="20"/>
        </w:rPr>
        <w:t>DRP</w:t>
      </w:r>
      <w:r w:rsidRPr="00F10C59">
        <w:rPr>
          <w:rFonts w:ascii="Arial" w:hAnsi="Arial" w:cs="Arial"/>
          <w:sz w:val="20"/>
        </w:rPr>
        <w:tab/>
        <w:t>Uniform Domain Name Dispute Resolution Policy</w:t>
      </w:r>
    </w:p>
    <w:p w14:paraId="550BEA4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w:t>
      </w:r>
      <w:r w:rsidRPr="00F10C59">
        <w:rPr>
          <w:rFonts w:ascii="Arial" w:hAnsi="Arial" w:cs="Arial"/>
          <w:sz w:val="20"/>
        </w:rPr>
        <w:tab/>
        <w:t>United Nations</w:t>
      </w:r>
    </w:p>
    <w:p w14:paraId="45276FE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UNCTAD</w:t>
      </w:r>
      <w:r w:rsidRPr="00F10C59">
        <w:rPr>
          <w:rFonts w:ascii="Arial" w:hAnsi="Arial" w:cs="Arial"/>
          <w:sz w:val="20"/>
        </w:rPr>
        <w:tab/>
        <w:t>United Nations Conference on Trade and Development</w:t>
      </w:r>
    </w:p>
    <w:p w14:paraId="14FC96AF"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 CEB</w:t>
      </w:r>
      <w:r w:rsidRPr="00F10C59">
        <w:rPr>
          <w:rFonts w:ascii="Arial" w:hAnsi="Arial" w:cs="Arial"/>
          <w:sz w:val="20"/>
        </w:rPr>
        <w:tab/>
        <w:t>United Nations Chief Executives Board</w:t>
      </w:r>
    </w:p>
    <w:p w14:paraId="392D8008"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UN-DESA</w:t>
      </w:r>
      <w:r w:rsidRPr="00F10C59">
        <w:rPr>
          <w:rFonts w:ascii="Arial" w:hAnsi="Arial" w:cs="Arial"/>
          <w:sz w:val="20"/>
        </w:rPr>
        <w:tab/>
        <w:t>United Nations Department of Social and Economic Affaires</w:t>
      </w:r>
    </w:p>
    <w:p w14:paraId="21957F2F" w14:textId="63C4A2E2" w:rsidR="00FB583B" w:rsidRPr="00EC6D63" w:rsidRDefault="00FB583B" w:rsidP="00FB583B">
      <w:pPr>
        <w:tabs>
          <w:tab w:val="left" w:pos="2127"/>
        </w:tabs>
        <w:spacing w:after="40"/>
        <w:ind w:left="2127" w:hanging="2127"/>
        <w:rPr>
          <w:rFonts w:ascii="Arial" w:hAnsi="Arial" w:cs="Arial"/>
          <w:sz w:val="20"/>
        </w:rPr>
      </w:pPr>
      <w:r>
        <w:rPr>
          <w:rFonts w:ascii="Arial" w:hAnsi="Arial" w:cs="Arial"/>
          <w:noProof/>
          <w:sz w:val="20"/>
          <w:lang w:eastAsia="en-US"/>
        </w:rPr>
        <mc:AlternateContent>
          <mc:Choice Requires="wps">
            <w:drawing>
              <wp:anchor distT="0" distB="0" distL="114300" distR="114300" simplePos="0" relativeHeight="251667456" behindDoc="0" locked="0" layoutInCell="0" allowOverlap="1" wp14:anchorId="1FE93F39" wp14:editId="137AA97C">
                <wp:simplePos x="0" y="0"/>
                <wp:positionH relativeFrom="column">
                  <wp:posOffset>-2118995</wp:posOffset>
                </wp:positionH>
                <wp:positionV relativeFrom="paragraph">
                  <wp:posOffset>83185</wp:posOffset>
                </wp:positionV>
                <wp:extent cx="731520" cy="1097280"/>
                <wp:effectExtent l="10160" t="10795" r="10795" b="63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14:paraId="522B2740" w14:textId="77777777" w:rsidR="005444F9" w:rsidRDefault="005444F9" w:rsidP="00FB583B">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left:0;text-align:left;margin-left:-166.85pt;margin-top:6.55pt;width:57.6pt;height:86.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" o:allowincell="f">
                <v:textbox>
                  <w:txbxContent>
                    <w:p w14:paraId="522B2740" w14:textId="77777777" w:rsidR="005444F9" w:rsidRDefault="005444F9" w:rsidP="00FB583B">
                      <w:pPr>
                        <w:pStyle w:val="BodyText2"/>
                      </w:pPr>
                    </w:p>
                  </w:txbxContent>
                </v:textbox>
              </v:shape>
            </w:pict>
          </mc:Fallback>
        </mc:AlternateContent>
      </w:r>
      <w:r w:rsidRPr="00EC6D63">
        <w:rPr>
          <w:rFonts w:ascii="Arial" w:hAnsi="Arial" w:cs="Arial"/>
          <w:sz w:val="20"/>
        </w:rPr>
        <w:t>UNEP</w:t>
      </w:r>
      <w:r w:rsidRPr="00EC6D63">
        <w:rPr>
          <w:rFonts w:ascii="Arial" w:hAnsi="Arial" w:cs="Arial"/>
          <w:sz w:val="20"/>
        </w:rPr>
        <w:tab/>
        <w:t>United Nations Environmental Programme</w:t>
      </w:r>
    </w:p>
    <w:p w14:paraId="7F3D0477"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UNESCO</w:t>
      </w:r>
      <w:r w:rsidRPr="00F10C59">
        <w:rPr>
          <w:rFonts w:ascii="Arial" w:hAnsi="Arial" w:cs="Arial"/>
          <w:sz w:val="20"/>
        </w:rPr>
        <w:tab/>
        <w:t>United Nations Educational, Scientific and Cultural Organization</w:t>
      </w:r>
    </w:p>
    <w:p w14:paraId="62E133A0"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UNFCCC</w:t>
      </w:r>
      <w:r w:rsidRPr="00F10C59">
        <w:rPr>
          <w:rFonts w:ascii="Arial" w:hAnsi="Arial" w:cs="Arial"/>
          <w:sz w:val="20"/>
        </w:rPr>
        <w:tab/>
        <w:t>Framework Convention on Climate Change</w:t>
      </w:r>
    </w:p>
    <w:p w14:paraId="74867EA1" w14:textId="77777777" w:rsidR="00FB583B" w:rsidRPr="00F10C59" w:rsidRDefault="00FB583B" w:rsidP="00FB583B">
      <w:pPr>
        <w:tabs>
          <w:tab w:val="left" w:pos="2127"/>
        </w:tabs>
        <w:spacing w:after="40"/>
        <w:ind w:left="2127" w:hanging="2127"/>
        <w:rPr>
          <w:rFonts w:ascii="Arial" w:hAnsi="Arial" w:cs="Arial"/>
          <w:sz w:val="20"/>
        </w:rPr>
      </w:pPr>
      <w:r w:rsidRPr="003D3EB8">
        <w:rPr>
          <w:rFonts w:ascii="Arial" w:hAnsi="Arial" w:cs="Arial"/>
          <w:sz w:val="20"/>
        </w:rPr>
        <w:t>UN-H-MOSS</w:t>
      </w:r>
      <w:r w:rsidRPr="003D3EB8">
        <w:rPr>
          <w:rFonts w:ascii="Arial" w:hAnsi="Arial" w:cs="Arial"/>
          <w:sz w:val="20"/>
        </w:rPr>
        <w:tab/>
        <w:t>UN Headquarters Minimum Operating Security Standards</w:t>
      </w:r>
    </w:p>
    <w:p w14:paraId="66B4C9D7" w14:textId="77777777" w:rsidR="00FB583B" w:rsidRPr="00EC6D63" w:rsidRDefault="00FB583B" w:rsidP="00FB583B">
      <w:pPr>
        <w:tabs>
          <w:tab w:val="left" w:pos="2127"/>
        </w:tabs>
        <w:spacing w:after="40"/>
        <w:ind w:left="2127" w:right="-476" w:hanging="2127"/>
        <w:rPr>
          <w:rFonts w:ascii="Arial" w:hAnsi="Arial" w:cs="Arial"/>
          <w:sz w:val="20"/>
        </w:rPr>
      </w:pPr>
      <w:r w:rsidRPr="00EC6D63">
        <w:rPr>
          <w:rFonts w:ascii="Arial" w:hAnsi="Arial" w:cs="Arial"/>
          <w:sz w:val="20"/>
        </w:rPr>
        <w:t>UNICC</w:t>
      </w:r>
      <w:r w:rsidRPr="00EC6D63">
        <w:rPr>
          <w:rFonts w:ascii="Arial" w:hAnsi="Arial" w:cs="Arial"/>
          <w:sz w:val="20"/>
        </w:rPr>
        <w:tab/>
        <w:t>UN International Computing Centre</w:t>
      </w:r>
    </w:p>
    <w:p w14:paraId="40B037C3" w14:textId="77777777" w:rsidR="00FB583B" w:rsidRPr="00F10C59" w:rsidRDefault="00FB583B" w:rsidP="00FB583B">
      <w:pPr>
        <w:tabs>
          <w:tab w:val="left" w:pos="2127"/>
        </w:tabs>
        <w:spacing w:after="40"/>
        <w:ind w:left="2127" w:right="-476" w:hanging="2127"/>
        <w:rPr>
          <w:rFonts w:ascii="Arial" w:hAnsi="Arial" w:cs="Arial"/>
          <w:sz w:val="20"/>
        </w:rPr>
      </w:pPr>
      <w:r w:rsidRPr="00F10C59">
        <w:rPr>
          <w:rFonts w:ascii="Arial" w:hAnsi="Arial" w:cs="Arial"/>
          <w:sz w:val="20"/>
        </w:rPr>
        <w:t>UNIDO</w:t>
      </w:r>
      <w:r w:rsidRPr="00F10C59">
        <w:rPr>
          <w:rFonts w:ascii="Arial" w:hAnsi="Arial" w:cs="Arial"/>
          <w:sz w:val="20"/>
        </w:rPr>
        <w:tab/>
        <w:t>United Nations Industrial Development Organization</w:t>
      </w:r>
    </w:p>
    <w:p w14:paraId="0BF62AD2" w14:textId="0E36AB04" w:rsidR="004F51AB" w:rsidRPr="004F51AB" w:rsidRDefault="004F51AB" w:rsidP="00FB583B">
      <w:pPr>
        <w:tabs>
          <w:tab w:val="left" w:pos="2127"/>
        </w:tabs>
        <w:spacing w:after="40"/>
        <w:ind w:left="2127" w:hanging="2127"/>
        <w:rPr>
          <w:rFonts w:ascii="Arial" w:hAnsi="Arial" w:cs="Arial"/>
          <w:sz w:val="20"/>
          <w:szCs w:val="20"/>
        </w:rPr>
      </w:pPr>
      <w:r w:rsidRPr="004F51AB">
        <w:rPr>
          <w:rFonts w:ascii="Arial" w:hAnsi="Arial" w:cs="Arial"/>
          <w:color w:val="000000"/>
          <w:sz w:val="20"/>
          <w:szCs w:val="20"/>
        </w:rPr>
        <w:t>UNOSSC</w:t>
      </w:r>
      <w:r w:rsidRPr="004F51AB">
        <w:rPr>
          <w:rFonts w:ascii="Arial" w:hAnsi="Arial" w:cs="Arial"/>
          <w:color w:val="000000"/>
          <w:sz w:val="20"/>
          <w:szCs w:val="20"/>
        </w:rPr>
        <w:tab/>
      </w:r>
      <w:r w:rsidRPr="004F51AB">
        <w:rPr>
          <w:rFonts w:ascii="Arial" w:hAnsi="Arial" w:cs="Arial"/>
          <w:sz w:val="20"/>
          <w:szCs w:val="20"/>
        </w:rPr>
        <w:t>United Nations</w:t>
      </w:r>
      <w:r>
        <w:rPr>
          <w:rFonts w:ascii="Arial" w:hAnsi="Arial" w:cs="Arial"/>
          <w:sz w:val="20"/>
          <w:szCs w:val="20"/>
        </w:rPr>
        <w:t xml:space="preserve"> Office for South-</w:t>
      </w:r>
      <w:r w:rsidRPr="004F51AB">
        <w:rPr>
          <w:rFonts w:ascii="Arial" w:hAnsi="Arial" w:cs="Arial"/>
          <w:sz w:val="20"/>
          <w:szCs w:val="20"/>
        </w:rPr>
        <w:t>South Cooperation</w:t>
      </w:r>
    </w:p>
    <w:p w14:paraId="43581AF1"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UNSAS</w:t>
      </w:r>
      <w:r w:rsidRPr="00F10C59">
        <w:rPr>
          <w:rFonts w:ascii="Arial" w:hAnsi="Arial" w:cs="Arial"/>
          <w:sz w:val="20"/>
        </w:rPr>
        <w:tab/>
        <w:t>United Nations System Accounting Standards</w:t>
      </w:r>
    </w:p>
    <w:p w14:paraId="260E66FE" w14:textId="77777777" w:rsidR="00FB583B" w:rsidRPr="00F10C59" w:rsidRDefault="00FB583B" w:rsidP="00FB583B">
      <w:pPr>
        <w:tabs>
          <w:tab w:val="left" w:pos="2127"/>
        </w:tabs>
        <w:spacing w:after="40"/>
        <w:ind w:left="2127" w:right="-476" w:hanging="2127"/>
        <w:rPr>
          <w:rFonts w:ascii="Arial" w:hAnsi="Arial" w:cs="Arial"/>
          <w:sz w:val="20"/>
        </w:rPr>
      </w:pPr>
      <w:r w:rsidRPr="00F10C59">
        <w:rPr>
          <w:rFonts w:ascii="Arial" w:hAnsi="Arial" w:cs="Arial"/>
          <w:sz w:val="20"/>
        </w:rPr>
        <w:t>UPOV</w:t>
      </w:r>
      <w:r w:rsidRPr="00F10C59">
        <w:rPr>
          <w:rFonts w:ascii="Arial" w:hAnsi="Arial" w:cs="Arial"/>
          <w:sz w:val="20"/>
        </w:rPr>
        <w:tab/>
        <w:t xml:space="preserve">International </w:t>
      </w:r>
      <w:smartTag w:uri="urn:schemas-microsoft-com:office:smarttags" w:element="place">
        <w:r w:rsidRPr="00F10C59">
          <w:rPr>
            <w:rFonts w:ascii="Arial" w:hAnsi="Arial" w:cs="Arial"/>
            <w:sz w:val="20"/>
          </w:rPr>
          <w:t>Union</w:t>
        </w:r>
      </w:smartTag>
      <w:r w:rsidRPr="00F10C59">
        <w:rPr>
          <w:rFonts w:ascii="Arial" w:hAnsi="Arial" w:cs="Arial"/>
          <w:sz w:val="20"/>
        </w:rPr>
        <w:t xml:space="preserve"> for the Protection of New Varieties of Plants</w:t>
      </w:r>
    </w:p>
    <w:p w14:paraId="1191F724" w14:textId="77777777" w:rsidR="00FB583B" w:rsidRPr="00F10C59" w:rsidRDefault="00FB583B" w:rsidP="00FB583B">
      <w:pPr>
        <w:tabs>
          <w:tab w:val="left" w:pos="2127"/>
        </w:tabs>
        <w:spacing w:after="40"/>
        <w:ind w:left="2127" w:right="-476" w:hanging="2127"/>
        <w:rPr>
          <w:rFonts w:ascii="Arial" w:hAnsi="Arial" w:cs="Arial"/>
          <w:sz w:val="20"/>
        </w:rPr>
      </w:pPr>
      <w:r w:rsidRPr="00F10C59">
        <w:rPr>
          <w:rFonts w:ascii="Arial" w:hAnsi="Arial" w:cs="Arial"/>
          <w:sz w:val="20"/>
        </w:rPr>
        <w:t>USCLA</w:t>
      </w:r>
      <w:r w:rsidRPr="00F10C59">
        <w:rPr>
          <w:rFonts w:ascii="Arial" w:hAnsi="Arial" w:cs="Arial"/>
          <w:sz w:val="20"/>
        </w:rPr>
        <w:tab/>
      </w:r>
      <w:smartTag w:uri="urn:schemas-microsoft-com:office:smarttags" w:element="place">
        <w:smartTag w:uri="urn:schemas-microsoft-com:office:smarttags" w:element="country-region">
          <w:r w:rsidRPr="00F10C59">
            <w:rPr>
              <w:rFonts w:ascii="Arial" w:hAnsi="Arial" w:cs="Arial"/>
              <w:sz w:val="20"/>
            </w:rPr>
            <w:t>US</w:t>
          </w:r>
        </w:smartTag>
      </w:smartTag>
      <w:r w:rsidRPr="00F10C59">
        <w:rPr>
          <w:rFonts w:ascii="Arial" w:hAnsi="Arial" w:cs="Arial"/>
          <w:sz w:val="20"/>
        </w:rPr>
        <w:t xml:space="preserve"> Classifications</w:t>
      </w:r>
    </w:p>
    <w:p w14:paraId="27C2E3E4" w14:textId="77777777" w:rsidR="00FB583B" w:rsidRPr="00F10C59" w:rsidRDefault="00FB583B" w:rsidP="00FB583B">
      <w:pPr>
        <w:tabs>
          <w:tab w:val="left" w:pos="2127"/>
        </w:tabs>
        <w:spacing w:after="40"/>
        <w:ind w:left="2127" w:right="-476" w:hanging="2127"/>
        <w:rPr>
          <w:rFonts w:ascii="Arial" w:hAnsi="Arial" w:cs="Arial"/>
          <w:sz w:val="20"/>
        </w:rPr>
      </w:pPr>
      <w:r w:rsidRPr="00F10C59">
        <w:rPr>
          <w:rFonts w:ascii="Arial" w:hAnsi="Arial" w:cs="Arial"/>
          <w:sz w:val="20"/>
        </w:rPr>
        <w:t>USPTO</w:t>
      </w:r>
      <w:r w:rsidRPr="00F10C59">
        <w:rPr>
          <w:rFonts w:ascii="Arial" w:hAnsi="Arial" w:cs="Arial"/>
          <w:sz w:val="20"/>
        </w:rPr>
        <w:tab/>
      </w:r>
      <w:smartTag w:uri="urn:schemas-microsoft-com:office:smarttags" w:element="place">
        <w:smartTag w:uri="urn:schemas-microsoft-com:office:smarttags" w:element="country-region">
          <w:r w:rsidRPr="00F10C59">
            <w:rPr>
              <w:rFonts w:ascii="Arial" w:hAnsi="Arial" w:cs="Arial"/>
              <w:sz w:val="20"/>
            </w:rPr>
            <w:t>United States</w:t>
          </w:r>
        </w:smartTag>
      </w:smartTag>
      <w:r w:rsidRPr="00F10C59">
        <w:rPr>
          <w:rFonts w:ascii="Arial" w:hAnsi="Arial" w:cs="Arial"/>
          <w:sz w:val="20"/>
        </w:rPr>
        <w:t xml:space="preserve"> Patent and Trademark Office</w:t>
      </w:r>
    </w:p>
    <w:p w14:paraId="7AAD6410" w14:textId="77777777" w:rsidR="00FB583B" w:rsidRPr="00F10C59" w:rsidRDefault="00FB583B" w:rsidP="00FB583B">
      <w:pPr>
        <w:tabs>
          <w:tab w:val="left" w:pos="2127"/>
        </w:tabs>
        <w:spacing w:after="180"/>
        <w:ind w:left="2126" w:hanging="2126"/>
        <w:rPr>
          <w:rFonts w:ascii="Arial" w:hAnsi="Arial" w:cs="Arial"/>
          <w:sz w:val="20"/>
        </w:rPr>
      </w:pPr>
    </w:p>
    <w:p w14:paraId="68E4A987" w14:textId="77777777" w:rsidR="00FB583B" w:rsidRPr="00F10C59" w:rsidRDefault="00FB583B" w:rsidP="00FB583B">
      <w:pPr>
        <w:tabs>
          <w:tab w:val="left" w:pos="2127"/>
        </w:tabs>
        <w:spacing w:after="40"/>
        <w:ind w:left="2127" w:hanging="2127"/>
        <w:rPr>
          <w:rFonts w:ascii="Arial" w:hAnsi="Arial" w:cs="Arial"/>
          <w:sz w:val="20"/>
        </w:rPr>
      </w:pPr>
      <w:r w:rsidRPr="00F10AB9">
        <w:rPr>
          <w:rFonts w:ascii="Arial" w:hAnsi="Arial" w:cs="Arial"/>
          <w:b/>
          <w:bCs/>
          <w:sz w:val="20"/>
        </w:rPr>
        <w:t>V</w:t>
      </w:r>
      <w:r w:rsidRPr="00F10C59">
        <w:rPr>
          <w:rFonts w:ascii="Arial" w:hAnsi="Arial" w:cs="Arial"/>
          <w:sz w:val="20"/>
        </w:rPr>
        <w:t>IP</w:t>
      </w:r>
      <w:r w:rsidRPr="00F10C59">
        <w:rPr>
          <w:rFonts w:ascii="Arial" w:hAnsi="Arial" w:cs="Arial"/>
          <w:sz w:val="20"/>
        </w:rPr>
        <w:tab/>
        <w:t>Visually Impaired Persons</w:t>
      </w:r>
      <w:r>
        <w:rPr>
          <w:rFonts w:ascii="Arial" w:hAnsi="Arial" w:cs="Arial"/>
          <w:sz w:val="20"/>
        </w:rPr>
        <w:t xml:space="preserve"> and other persons with print disabilities</w:t>
      </w:r>
    </w:p>
    <w:p w14:paraId="274899A7" w14:textId="77777777" w:rsidR="00FB583B" w:rsidRPr="00F10C59" w:rsidRDefault="00FB583B" w:rsidP="00FB583B">
      <w:pPr>
        <w:tabs>
          <w:tab w:val="left" w:pos="2127"/>
        </w:tabs>
        <w:spacing w:after="180"/>
        <w:ind w:left="2126" w:hanging="2126"/>
        <w:rPr>
          <w:rFonts w:ascii="Arial" w:hAnsi="Arial" w:cs="Arial"/>
          <w:sz w:val="20"/>
        </w:rPr>
      </w:pPr>
    </w:p>
    <w:p w14:paraId="4BE12097" w14:textId="6582D993" w:rsidR="005C0B8F" w:rsidRPr="00B30215" w:rsidRDefault="005C0B8F" w:rsidP="00B30215">
      <w:pPr>
        <w:tabs>
          <w:tab w:val="left" w:pos="2127"/>
        </w:tabs>
        <w:rPr>
          <w:rFonts w:ascii="Arial" w:hAnsi="Arial" w:cs="Arial"/>
          <w:bCs/>
          <w:sz w:val="20"/>
        </w:rPr>
      </w:pPr>
      <w:r>
        <w:rPr>
          <w:rFonts w:ascii="Arial" w:hAnsi="Arial" w:cs="Arial"/>
          <w:b/>
          <w:bCs/>
          <w:sz w:val="20"/>
        </w:rPr>
        <w:t>W</w:t>
      </w:r>
      <w:r w:rsidRPr="00B30215">
        <w:rPr>
          <w:rFonts w:ascii="Arial" w:hAnsi="Arial" w:cs="Arial"/>
          <w:bCs/>
          <w:sz w:val="20"/>
        </w:rPr>
        <w:t>BO</w:t>
      </w:r>
      <w:r w:rsidRPr="00B30215">
        <w:rPr>
          <w:rFonts w:ascii="Arial" w:hAnsi="Arial" w:cs="Arial"/>
          <w:bCs/>
          <w:sz w:val="20"/>
        </w:rPr>
        <w:tab/>
      </w:r>
      <w:r>
        <w:rPr>
          <w:rFonts w:ascii="Arial" w:hAnsi="Arial" w:cs="Arial"/>
          <w:bCs/>
          <w:sz w:val="20"/>
        </w:rPr>
        <w:t>WIPO Brazil Office</w:t>
      </w:r>
    </w:p>
    <w:p w14:paraId="4752C07C" w14:textId="77777777" w:rsidR="002B31EF" w:rsidRDefault="002B31EF" w:rsidP="00B30215">
      <w:pPr>
        <w:tabs>
          <w:tab w:val="left" w:pos="2127"/>
        </w:tabs>
        <w:rPr>
          <w:rFonts w:ascii="Arial" w:hAnsi="Arial" w:cs="Arial"/>
          <w:bCs/>
          <w:sz w:val="20"/>
        </w:rPr>
      </w:pPr>
      <w:r w:rsidRPr="00B30215">
        <w:rPr>
          <w:rFonts w:ascii="Arial" w:hAnsi="Arial" w:cs="Arial"/>
          <w:bCs/>
          <w:sz w:val="20"/>
        </w:rPr>
        <w:t>W</w:t>
      </w:r>
      <w:r w:rsidRPr="00964B24">
        <w:rPr>
          <w:rFonts w:ascii="Arial" w:hAnsi="Arial" w:cs="Arial"/>
          <w:bCs/>
          <w:sz w:val="20"/>
        </w:rPr>
        <w:t>CC</w:t>
      </w:r>
      <w:r>
        <w:rPr>
          <w:rFonts w:ascii="Arial" w:hAnsi="Arial" w:cs="Arial"/>
          <w:bCs/>
          <w:sz w:val="20"/>
        </w:rPr>
        <w:tab/>
        <w:t>WIPO Copyright Connection</w:t>
      </w:r>
    </w:p>
    <w:p w14:paraId="273B6DF1" w14:textId="5C5A11F3" w:rsidR="00FB583B" w:rsidRDefault="00FB583B" w:rsidP="00FB583B">
      <w:pPr>
        <w:tabs>
          <w:tab w:val="left" w:pos="2127"/>
        </w:tabs>
        <w:spacing w:after="40"/>
        <w:ind w:left="2127" w:hanging="2127"/>
        <w:rPr>
          <w:rFonts w:ascii="Arial" w:hAnsi="Arial" w:cs="Arial"/>
          <w:sz w:val="20"/>
        </w:rPr>
      </w:pPr>
      <w:r w:rsidRPr="00B30215">
        <w:rPr>
          <w:rFonts w:ascii="Arial" w:hAnsi="Arial" w:cs="Arial"/>
          <w:bCs/>
          <w:sz w:val="20"/>
        </w:rPr>
        <w:t>W</w:t>
      </w:r>
      <w:r w:rsidRPr="00F10C59">
        <w:rPr>
          <w:rFonts w:ascii="Arial" w:hAnsi="Arial" w:cs="Arial"/>
          <w:sz w:val="20"/>
        </w:rPr>
        <w:t>CO</w:t>
      </w:r>
      <w:r w:rsidRPr="00F10C59">
        <w:rPr>
          <w:rFonts w:ascii="Arial" w:hAnsi="Arial" w:cs="Arial"/>
          <w:sz w:val="20"/>
        </w:rPr>
        <w:tab/>
        <w:t>World Customs Organization</w:t>
      </w:r>
    </w:p>
    <w:p w14:paraId="2DF57AF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WCT</w:t>
      </w:r>
      <w:r w:rsidRPr="00F10C59">
        <w:rPr>
          <w:rFonts w:ascii="Arial" w:hAnsi="Arial" w:cs="Arial"/>
          <w:sz w:val="20"/>
        </w:rPr>
        <w:tab/>
        <w:t>WIPO Copyright Treaty</w:t>
      </w:r>
    </w:p>
    <w:p w14:paraId="3D7B02FD"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WHO</w:t>
      </w:r>
      <w:r w:rsidRPr="00F10C59">
        <w:rPr>
          <w:rFonts w:ascii="Arial" w:hAnsi="Arial" w:cs="Arial"/>
          <w:sz w:val="20"/>
        </w:rPr>
        <w:tab/>
        <w:t>World Health Organization</w:t>
      </w:r>
    </w:p>
    <w:p w14:paraId="056F7AD7" w14:textId="3F4533E7" w:rsidR="002B31EF" w:rsidRDefault="002B31EF" w:rsidP="00FB583B">
      <w:pPr>
        <w:tabs>
          <w:tab w:val="left" w:pos="2127"/>
        </w:tabs>
        <w:spacing w:after="40"/>
        <w:ind w:left="2127" w:hanging="2127"/>
        <w:rPr>
          <w:rFonts w:ascii="Arial" w:hAnsi="Arial" w:cs="Arial"/>
          <w:sz w:val="20"/>
        </w:rPr>
      </w:pPr>
      <w:r>
        <w:rPr>
          <w:rFonts w:ascii="Arial" w:hAnsi="Arial" w:cs="Arial"/>
          <w:sz w:val="20"/>
        </w:rPr>
        <w:t>WIPO CASE</w:t>
      </w:r>
      <w:r>
        <w:rPr>
          <w:rFonts w:ascii="Arial" w:hAnsi="Arial" w:cs="Arial"/>
          <w:sz w:val="20"/>
        </w:rPr>
        <w:tab/>
      </w:r>
      <w:r w:rsidRPr="009B4A78">
        <w:rPr>
          <w:rFonts w:ascii="Arial" w:hAnsi="Arial" w:cs="Arial"/>
          <w:color w:val="000000"/>
          <w:sz w:val="20"/>
          <w:szCs w:val="21"/>
        </w:rPr>
        <w:t>Centralized Access to Search and Examination results</w:t>
      </w:r>
    </w:p>
    <w:p w14:paraId="332E72A9" w14:textId="77777777" w:rsidR="00FB583B" w:rsidRDefault="00FB583B" w:rsidP="00FB583B">
      <w:pPr>
        <w:tabs>
          <w:tab w:val="left" w:pos="2127"/>
        </w:tabs>
        <w:spacing w:after="40"/>
        <w:ind w:left="2127" w:hanging="2127"/>
        <w:rPr>
          <w:rFonts w:ascii="Arial" w:hAnsi="Arial" w:cs="Arial"/>
          <w:sz w:val="20"/>
        </w:rPr>
      </w:pPr>
      <w:r>
        <w:rPr>
          <w:rFonts w:ascii="Arial" w:hAnsi="Arial" w:cs="Arial"/>
          <w:sz w:val="20"/>
        </w:rPr>
        <w:t>WIPOCOS</w:t>
      </w:r>
      <w:r>
        <w:rPr>
          <w:rFonts w:ascii="Arial" w:hAnsi="Arial" w:cs="Arial"/>
          <w:sz w:val="20"/>
        </w:rPr>
        <w:tab/>
      </w:r>
      <w:r w:rsidRPr="00FF1219">
        <w:rPr>
          <w:rFonts w:ascii="Arial" w:hAnsi="Arial" w:cs="Arial"/>
          <w:sz w:val="20"/>
          <w:lang w:val="en"/>
        </w:rPr>
        <w:t>software for collective management of copyright and neighboring rights</w:t>
      </w:r>
    </w:p>
    <w:p w14:paraId="67E1B963" w14:textId="5991F4C3" w:rsidR="005C0B8F" w:rsidRDefault="005C0B8F" w:rsidP="00FB583B">
      <w:pPr>
        <w:tabs>
          <w:tab w:val="left" w:pos="2127"/>
        </w:tabs>
        <w:spacing w:after="40"/>
        <w:ind w:left="2127" w:hanging="2127"/>
        <w:rPr>
          <w:rFonts w:ascii="Arial" w:hAnsi="Arial" w:cs="Arial"/>
          <w:sz w:val="20"/>
        </w:rPr>
      </w:pPr>
      <w:r>
        <w:rPr>
          <w:rFonts w:ascii="Arial" w:hAnsi="Arial" w:cs="Arial"/>
          <w:sz w:val="20"/>
        </w:rPr>
        <w:t>WJO</w:t>
      </w:r>
      <w:r>
        <w:rPr>
          <w:rFonts w:ascii="Arial" w:hAnsi="Arial" w:cs="Arial"/>
          <w:sz w:val="20"/>
        </w:rPr>
        <w:tab/>
        <w:t>WIPO Japan Office</w:t>
      </w:r>
    </w:p>
    <w:p w14:paraId="458B73FC" w14:textId="44859D4B" w:rsidR="00371BF2" w:rsidRDefault="00371BF2" w:rsidP="00FB583B">
      <w:pPr>
        <w:tabs>
          <w:tab w:val="left" w:pos="2127"/>
        </w:tabs>
        <w:spacing w:after="40"/>
        <w:ind w:left="2127" w:hanging="2127"/>
        <w:rPr>
          <w:rFonts w:ascii="Arial" w:hAnsi="Arial" w:cs="Arial"/>
          <w:sz w:val="20"/>
        </w:rPr>
      </w:pPr>
      <w:r>
        <w:rPr>
          <w:rFonts w:ascii="Arial" w:hAnsi="Arial" w:cs="Arial"/>
          <w:sz w:val="20"/>
        </w:rPr>
        <w:t>WOC</w:t>
      </w:r>
      <w:r>
        <w:rPr>
          <w:rFonts w:ascii="Arial" w:hAnsi="Arial" w:cs="Arial"/>
          <w:sz w:val="20"/>
        </w:rPr>
        <w:tab/>
        <w:t>WIPO Office in China</w:t>
      </w:r>
    </w:p>
    <w:p w14:paraId="17F19391"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WPPT</w:t>
      </w:r>
      <w:r w:rsidRPr="00F10C59">
        <w:rPr>
          <w:rFonts w:ascii="Arial" w:hAnsi="Arial" w:cs="Arial"/>
          <w:sz w:val="20"/>
        </w:rPr>
        <w:tab/>
        <w:t>WIPO Performances and Phonograms Treaty</w:t>
      </w:r>
    </w:p>
    <w:p w14:paraId="0D105ED1" w14:textId="48122E79" w:rsidR="005C0B8F" w:rsidRDefault="005C0B8F" w:rsidP="00FB583B">
      <w:pPr>
        <w:tabs>
          <w:tab w:val="left" w:pos="2127"/>
        </w:tabs>
        <w:spacing w:after="40"/>
        <w:ind w:left="2127" w:hanging="2127"/>
        <w:rPr>
          <w:rFonts w:ascii="Arial" w:hAnsi="Arial" w:cs="Arial"/>
          <w:sz w:val="20"/>
        </w:rPr>
      </w:pPr>
      <w:r>
        <w:rPr>
          <w:rFonts w:ascii="Arial" w:hAnsi="Arial" w:cs="Arial"/>
          <w:sz w:val="20"/>
        </w:rPr>
        <w:t>WRO</w:t>
      </w:r>
      <w:r>
        <w:rPr>
          <w:rFonts w:ascii="Arial" w:hAnsi="Arial" w:cs="Arial"/>
          <w:sz w:val="20"/>
        </w:rPr>
        <w:tab/>
        <w:t>WIPO Russia Office</w:t>
      </w:r>
    </w:p>
    <w:p w14:paraId="29B6D0CF" w14:textId="77777777" w:rsidR="00FB583B" w:rsidRPr="00C02386" w:rsidRDefault="00FB583B" w:rsidP="00FB583B">
      <w:pPr>
        <w:tabs>
          <w:tab w:val="left" w:pos="2127"/>
        </w:tabs>
        <w:spacing w:after="40"/>
        <w:ind w:left="2127" w:hanging="2127"/>
        <w:rPr>
          <w:rFonts w:ascii="Arial" w:hAnsi="Arial" w:cs="Arial"/>
          <w:sz w:val="20"/>
        </w:rPr>
      </w:pPr>
      <w:r w:rsidRPr="00C02386">
        <w:rPr>
          <w:rFonts w:ascii="Arial" w:hAnsi="Arial" w:cs="Arial"/>
          <w:sz w:val="20"/>
        </w:rPr>
        <w:t>WSIS</w:t>
      </w:r>
      <w:r w:rsidRPr="00C02386">
        <w:rPr>
          <w:rFonts w:ascii="Arial" w:hAnsi="Arial" w:cs="Arial"/>
          <w:sz w:val="20"/>
        </w:rPr>
        <w:tab/>
      </w:r>
      <w:r w:rsidRPr="00C02386">
        <w:rPr>
          <w:rFonts w:ascii="Arial" w:hAnsi="Arial" w:cs="Arial"/>
          <w:bCs/>
          <w:sz w:val="20"/>
        </w:rPr>
        <w:t>World Summit on the Information Society</w:t>
      </w:r>
    </w:p>
    <w:p w14:paraId="65755257" w14:textId="77777777" w:rsidR="00FB583B" w:rsidRDefault="00FB583B" w:rsidP="00FB583B">
      <w:pPr>
        <w:tabs>
          <w:tab w:val="left" w:pos="2127"/>
        </w:tabs>
        <w:spacing w:after="40"/>
        <w:ind w:left="2127" w:hanging="2127"/>
        <w:rPr>
          <w:rFonts w:ascii="Arial" w:hAnsi="Arial" w:cs="Arial"/>
          <w:sz w:val="20"/>
        </w:rPr>
      </w:pPr>
      <w:r w:rsidRPr="00C02386">
        <w:rPr>
          <w:rFonts w:ascii="Arial" w:hAnsi="Arial" w:cs="Arial"/>
          <w:sz w:val="20"/>
        </w:rPr>
        <w:t>WSO</w:t>
      </w:r>
      <w:r w:rsidRPr="00C02386">
        <w:rPr>
          <w:rFonts w:ascii="Arial" w:hAnsi="Arial" w:cs="Arial"/>
          <w:sz w:val="20"/>
        </w:rPr>
        <w:tab/>
        <w:t xml:space="preserve">WIPO </w:t>
      </w:r>
      <w:smartTag w:uri="urn:schemas-microsoft-com:office:smarttags" w:element="place">
        <w:smartTag w:uri="urn:schemas-microsoft-com:office:smarttags" w:element="country-region">
          <w:r w:rsidRPr="00C02386">
            <w:rPr>
              <w:rFonts w:ascii="Arial" w:hAnsi="Arial" w:cs="Arial"/>
              <w:sz w:val="20"/>
            </w:rPr>
            <w:t>Singapore</w:t>
          </w:r>
        </w:smartTag>
      </w:smartTag>
      <w:r w:rsidRPr="00C02386">
        <w:rPr>
          <w:rFonts w:ascii="Arial" w:hAnsi="Arial" w:cs="Arial"/>
          <w:sz w:val="20"/>
        </w:rPr>
        <w:t xml:space="preserve"> Office</w:t>
      </w:r>
    </w:p>
    <w:p w14:paraId="60E4B5D6" w14:textId="77777777" w:rsidR="00FB583B" w:rsidRPr="00F10C59" w:rsidRDefault="00FB583B" w:rsidP="00FB583B">
      <w:pPr>
        <w:tabs>
          <w:tab w:val="left" w:pos="2127"/>
        </w:tabs>
        <w:spacing w:after="40"/>
        <w:ind w:left="2127" w:hanging="2127"/>
        <w:rPr>
          <w:rFonts w:ascii="Arial" w:hAnsi="Arial" w:cs="Arial"/>
          <w:sz w:val="20"/>
        </w:rPr>
      </w:pPr>
      <w:r w:rsidRPr="00F10C59">
        <w:rPr>
          <w:rFonts w:ascii="Arial" w:hAnsi="Arial" w:cs="Arial"/>
          <w:sz w:val="20"/>
        </w:rPr>
        <w:t>WTO</w:t>
      </w:r>
      <w:r w:rsidRPr="00F10C59">
        <w:rPr>
          <w:rFonts w:ascii="Arial" w:hAnsi="Arial" w:cs="Arial"/>
          <w:sz w:val="20"/>
        </w:rPr>
        <w:tab/>
        <w:t xml:space="preserve">World Trade Organization </w:t>
      </w:r>
    </w:p>
    <w:p w14:paraId="4120B19A" w14:textId="77777777" w:rsidR="00FB583B" w:rsidRPr="00F10C59" w:rsidRDefault="00FB583B" w:rsidP="00FB583B">
      <w:pPr>
        <w:pStyle w:val="BodyText"/>
        <w:rPr>
          <w:sz w:val="20"/>
        </w:rPr>
      </w:pPr>
    </w:p>
    <w:p w14:paraId="1E4A3923" w14:textId="77777777" w:rsidR="00FB583B" w:rsidRPr="00F10C59" w:rsidRDefault="00FB583B" w:rsidP="00FB583B">
      <w:pPr>
        <w:pStyle w:val="Endofdocument"/>
        <w:rPr>
          <w:rFonts w:ascii="Arial" w:hAnsi="Arial" w:cs="Arial"/>
          <w:sz w:val="20"/>
        </w:rPr>
      </w:pPr>
      <w:r>
        <w:rPr>
          <w:rFonts w:ascii="Arial" w:hAnsi="Arial" w:cs="Arial"/>
          <w:sz w:val="20"/>
        </w:rPr>
        <w:t>[End of document]</w:t>
      </w:r>
    </w:p>
    <w:p w14:paraId="207EC58A" w14:textId="77777777" w:rsidR="00FB583B" w:rsidRPr="004E24C9" w:rsidRDefault="00FB583B" w:rsidP="00FB583B">
      <w:pPr>
        <w:keepNext/>
        <w:keepLines/>
        <w:autoSpaceDE w:val="0"/>
        <w:autoSpaceDN w:val="0"/>
        <w:adjustRightInd w:val="0"/>
        <w:jc w:val="both"/>
        <w:rPr>
          <w:rFonts w:ascii="Arial" w:hAnsi="Arial" w:cs="Arial"/>
        </w:rPr>
      </w:pPr>
    </w:p>
    <w:p w14:paraId="0208E4EC" w14:textId="24ED9862" w:rsidR="00FB583B" w:rsidRPr="002F58D0" w:rsidRDefault="00FB583B" w:rsidP="008D3EC2">
      <w:pPr>
        <w:autoSpaceDE w:val="0"/>
        <w:autoSpaceDN w:val="0"/>
        <w:adjustRightInd w:val="0"/>
        <w:rPr>
          <w:rFonts w:ascii="Arial" w:hAnsi="Arial" w:cs="Arial"/>
          <w:sz w:val="20"/>
        </w:rPr>
      </w:pPr>
    </w:p>
    <w:sectPr w:rsidR="00FB583B" w:rsidRPr="002F58D0" w:rsidSect="00C84440">
      <w:pgSz w:w="11907" w:h="16839" w:code="9"/>
      <w:pgMar w:top="624" w:right="1418" w:bottom="1418" w:left="1418" w:header="567"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984587" w14:textId="77777777" w:rsidR="005444F9" w:rsidRDefault="005444F9" w:rsidP="00060B44">
      <w:r>
        <w:separator/>
      </w:r>
    </w:p>
  </w:endnote>
  <w:endnote w:type="continuationSeparator" w:id="0">
    <w:p w14:paraId="7EEC694E" w14:textId="77777777" w:rsidR="005444F9" w:rsidRDefault="005444F9" w:rsidP="00060B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DE"/>
    <w:family w:val="roman"/>
    <w:notTrueType/>
    <w:pitch w:val="variable"/>
    <w:sig w:usb0="01000001" w:usb1="00000000" w:usb2="00000000" w:usb3="00000000" w:csb0="00010000"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Lucida Grande">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674F1E" w14:textId="5B082AE4" w:rsidR="005444F9" w:rsidRPr="00B1363F" w:rsidRDefault="005444F9" w:rsidP="00B1363F">
    <w:pPr>
      <w:pStyle w:val="Footer"/>
      <w:jc w:val="center"/>
      <w:rPr>
        <w:rFonts w:ascii="Arial" w:hAnsi="Arial" w:cs="Arial"/>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4205438"/>
      <w:docPartObj>
        <w:docPartGallery w:val="Page Numbers (Bottom of Page)"/>
        <w:docPartUnique/>
      </w:docPartObj>
    </w:sdtPr>
    <w:sdtEndPr>
      <w:rPr>
        <w:rFonts w:ascii="Arial" w:hAnsi="Arial" w:cs="Arial"/>
        <w:noProof/>
        <w:sz w:val="20"/>
      </w:rPr>
    </w:sdtEndPr>
    <w:sdtContent>
      <w:p w14:paraId="71CE4BE1" w14:textId="77777777" w:rsidR="00D655F5" w:rsidRPr="00093A8F" w:rsidRDefault="00D655F5" w:rsidP="00B1363F">
        <w:pPr>
          <w:pStyle w:val="Footer"/>
          <w:jc w:val="center"/>
          <w:rPr>
            <w:rFonts w:ascii="Arial" w:hAnsi="Arial" w:cs="Arial"/>
            <w:sz w:val="20"/>
          </w:rPr>
        </w:pPr>
        <w:r w:rsidRPr="00093A8F">
          <w:rPr>
            <w:rFonts w:ascii="Arial" w:hAnsi="Arial" w:cs="Arial"/>
            <w:sz w:val="20"/>
          </w:rPr>
          <w:fldChar w:fldCharType="begin"/>
        </w:r>
        <w:r w:rsidRPr="00093A8F">
          <w:rPr>
            <w:rFonts w:ascii="Arial" w:hAnsi="Arial" w:cs="Arial"/>
            <w:sz w:val="20"/>
          </w:rPr>
          <w:instrText xml:space="preserve"> PAGE   \* MERGEFORMAT </w:instrText>
        </w:r>
        <w:r w:rsidRPr="00093A8F">
          <w:rPr>
            <w:rFonts w:ascii="Arial" w:hAnsi="Arial" w:cs="Arial"/>
            <w:sz w:val="20"/>
          </w:rPr>
          <w:fldChar w:fldCharType="separate"/>
        </w:r>
        <w:r w:rsidR="00055D38">
          <w:rPr>
            <w:rFonts w:ascii="Arial" w:hAnsi="Arial" w:cs="Arial"/>
            <w:noProof/>
            <w:sz w:val="20"/>
          </w:rPr>
          <w:t>181</w:t>
        </w:r>
        <w:r w:rsidRPr="00093A8F">
          <w:rPr>
            <w:rFonts w:ascii="Arial" w:hAnsi="Arial" w:cs="Arial"/>
            <w:noProof/>
            <w:sz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570449" w14:textId="5E3A4D69" w:rsidR="005444F9" w:rsidRPr="00F04E0B" w:rsidRDefault="005444F9" w:rsidP="00CF4788">
    <w:pPr>
      <w:pStyle w:val="Footer"/>
      <w:jc w:val="center"/>
      <w:rPr>
        <w:rFonts w:ascii="Arial" w:hAnsi="Arial" w:cs="Arial"/>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3150187"/>
      <w:docPartObj>
        <w:docPartGallery w:val="Page Numbers (Bottom of Page)"/>
        <w:docPartUnique/>
      </w:docPartObj>
    </w:sdtPr>
    <w:sdtEndPr>
      <w:rPr>
        <w:rFonts w:ascii="Arial" w:hAnsi="Arial" w:cs="Arial"/>
        <w:noProof/>
        <w:sz w:val="20"/>
      </w:rPr>
    </w:sdtEndPr>
    <w:sdtContent>
      <w:p w14:paraId="25120411" w14:textId="77777777" w:rsidR="00D655F5" w:rsidRPr="00B1363F" w:rsidRDefault="00D655F5" w:rsidP="00B1363F">
        <w:pPr>
          <w:pStyle w:val="Footer"/>
          <w:jc w:val="center"/>
          <w:rPr>
            <w:rFonts w:ascii="Arial" w:hAnsi="Arial" w:cs="Arial"/>
            <w:sz w:val="20"/>
          </w:rPr>
        </w:pPr>
        <w:r w:rsidRPr="00BA43A0">
          <w:rPr>
            <w:rFonts w:ascii="Arial" w:hAnsi="Arial" w:cs="Arial"/>
            <w:sz w:val="20"/>
          </w:rPr>
          <w:fldChar w:fldCharType="begin"/>
        </w:r>
        <w:r w:rsidRPr="00BA43A0">
          <w:rPr>
            <w:rFonts w:ascii="Arial" w:hAnsi="Arial" w:cs="Arial"/>
            <w:sz w:val="20"/>
          </w:rPr>
          <w:instrText xml:space="preserve"> PAGE   \* MERGEFORMAT </w:instrText>
        </w:r>
        <w:r w:rsidRPr="00BA43A0">
          <w:rPr>
            <w:rFonts w:ascii="Arial" w:hAnsi="Arial" w:cs="Arial"/>
            <w:sz w:val="20"/>
          </w:rPr>
          <w:fldChar w:fldCharType="separate"/>
        </w:r>
        <w:r w:rsidR="00055D38">
          <w:rPr>
            <w:rFonts w:ascii="Arial" w:hAnsi="Arial" w:cs="Arial"/>
            <w:noProof/>
            <w:sz w:val="20"/>
          </w:rPr>
          <w:t>180</w:t>
        </w:r>
        <w:r w:rsidRPr="00BA43A0">
          <w:rPr>
            <w:rFonts w:ascii="Arial" w:hAnsi="Arial" w:cs="Arial"/>
            <w:noProof/>
            <w:sz w:val="2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034327"/>
      <w:docPartObj>
        <w:docPartGallery w:val="Page Numbers (Bottom of Page)"/>
        <w:docPartUnique/>
      </w:docPartObj>
    </w:sdtPr>
    <w:sdtEndPr>
      <w:rPr>
        <w:rFonts w:ascii="Arial" w:hAnsi="Arial" w:cs="Arial"/>
        <w:noProof/>
        <w:sz w:val="20"/>
      </w:rPr>
    </w:sdtEndPr>
    <w:sdtContent>
      <w:p w14:paraId="0263A3E0" w14:textId="77777777" w:rsidR="00D655F5" w:rsidRPr="00ED73D1" w:rsidRDefault="00D655F5" w:rsidP="005A1F7F">
        <w:pPr>
          <w:pStyle w:val="Footer"/>
          <w:jc w:val="center"/>
          <w:rPr>
            <w:rFonts w:ascii="Arial" w:hAnsi="Arial" w:cs="Arial"/>
            <w:sz w:val="20"/>
          </w:rPr>
        </w:pPr>
        <w:r w:rsidRPr="00BF43CC">
          <w:rPr>
            <w:rFonts w:ascii="Arial" w:hAnsi="Arial" w:cs="Arial"/>
            <w:sz w:val="20"/>
          </w:rPr>
          <w:fldChar w:fldCharType="begin"/>
        </w:r>
        <w:r w:rsidRPr="00BF43CC">
          <w:rPr>
            <w:rFonts w:ascii="Arial" w:hAnsi="Arial" w:cs="Arial"/>
            <w:sz w:val="20"/>
          </w:rPr>
          <w:instrText xml:space="preserve"> PAGE   \* MERGEFORMAT </w:instrText>
        </w:r>
        <w:r w:rsidRPr="00BF43CC">
          <w:rPr>
            <w:rFonts w:ascii="Arial" w:hAnsi="Arial" w:cs="Arial"/>
            <w:sz w:val="20"/>
          </w:rPr>
          <w:fldChar w:fldCharType="separate"/>
        </w:r>
        <w:r w:rsidR="00055D38">
          <w:rPr>
            <w:rFonts w:ascii="Arial" w:hAnsi="Arial" w:cs="Arial"/>
            <w:noProof/>
            <w:sz w:val="20"/>
          </w:rPr>
          <w:t>252</w:t>
        </w:r>
        <w:r w:rsidRPr="00BF43CC">
          <w:rPr>
            <w:rFonts w:ascii="Arial" w:hAnsi="Arial" w:cs="Arial"/>
            <w:noProof/>
            <w:sz w:val="20"/>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8917357"/>
      <w:docPartObj>
        <w:docPartGallery w:val="Page Numbers (Bottom of Page)"/>
        <w:docPartUnique/>
      </w:docPartObj>
    </w:sdtPr>
    <w:sdtEndPr>
      <w:rPr>
        <w:rFonts w:ascii="Arial" w:hAnsi="Arial" w:cs="Arial"/>
        <w:noProof/>
        <w:sz w:val="20"/>
      </w:rPr>
    </w:sdtEndPr>
    <w:sdtContent>
      <w:p w14:paraId="65A62BDE" w14:textId="77777777" w:rsidR="00D655F5" w:rsidRPr="00ED73D1" w:rsidRDefault="00D655F5" w:rsidP="005A1F7F">
        <w:pPr>
          <w:pStyle w:val="Footer"/>
          <w:jc w:val="center"/>
          <w:rPr>
            <w:rFonts w:ascii="Arial" w:hAnsi="Arial" w:cs="Arial"/>
            <w:sz w:val="20"/>
          </w:rPr>
        </w:pPr>
        <w:r w:rsidRPr="00BF43CC">
          <w:rPr>
            <w:rFonts w:ascii="Arial" w:hAnsi="Arial" w:cs="Arial"/>
            <w:sz w:val="20"/>
          </w:rPr>
          <w:fldChar w:fldCharType="begin"/>
        </w:r>
        <w:r w:rsidRPr="00BF43CC">
          <w:rPr>
            <w:rFonts w:ascii="Arial" w:hAnsi="Arial" w:cs="Arial"/>
            <w:sz w:val="20"/>
          </w:rPr>
          <w:instrText xml:space="preserve"> PAGE   \* MERGEFORMAT </w:instrText>
        </w:r>
        <w:r w:rsidRPr="00BF43CC">
          <w:rPr>
            <w:rFonts w:ascii="Arial" w:hAnsi="Arial" w:cs="Arial"/>
            <w:sz w:val="20"/>
          </w:rPr>
          <w:fldChar w:fldCharType="separate"/>
        </w:r>
        <w:r w:rsidR="00055D38">
          <w:rPr>
            <w:rFonts w:ascii="Arial" w:hAnsi="Arial" w:cs="Arial"/>
            <w:noProof/>
            <w:sz w:val="20"/>
          </w:rPr>
          <w:t>251</w:t>
        </w:r>
        <w:r w:rsidRPr="00BF43CC">
          <w:rPr>
            <w:rFonts w:ascii="Arial" w:hAnsi="Arial" w:cs="Arial"/>
            <w:noProof/>
            <w:sz w:val="2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5886212"/>
      <w:docPartObj>
        <w:docPartGallery w:val="Page Numbers (Bottom of Page)"/>
        <w:docPartUnique/>
      </w:docPartObj>
    </w:sdtPr>
    <w:sdtEndPr>
      <w:rPr>
        <w:rFonts w:ascii="Arial" w:hAnsi="Arial" w:cs="Arial"/>
        <w:noProof/>
        <w:sz w:val="20"/>
      </w:rPr>
    </w:sdtEndPr>
    <w:sdtContent>
      <w:p w14:paraId="4C6D45F5" w14:textId="77777777" w:rsidR="00D655F5" w:rsidRDefault="00D655F5" w:rsidP="008D1E5D">
        <w:pPr>
          <w:pStyle w:val="Footer"/>
          <w:jc w:val="center"/>
        </w:pPr>
      </w:p>
      <w:p w14:paraId="6903A8BD" w14:textId="1721A60B" w:rsidR="00D655F5" w:rsidRPr="00ED73D1" w:rsidRDefault="00D655F5" w:rsidP="008D1E5D">
        <w:pPr>
          <w:pStyle w:val="Footer"/>
          <w:jc w:val="center"/>
          <w:rPr>
            <w:rFonts w:ascii="Arial" w:hAnsi="Arial" w:cs="Arial"/>
            <w:sz w:val="20"/>
          </w:rPr>
        </w:pPr>
        <w:r w:rsidRPr="00BF43CC">
          <w:rPr>
            <w:rFonts w:ascii="Arial" w:hAnsi="Arial" w:cs="Arial"/>
            <w:sz w:val="20"/>
          </w:rPr>
          <w:fldChar w:fldCharType="begin"/>
        </w:r>
        <w:r w:rsidRPr="00BF43CC">
          <w:rPr>
            <w:rFonts w:ascii="Arial" w:hAnsi="Arial" w:cs="Arial"/>
            <w:sz w:val="20"/>
          </w:rPr>
          <w:instrText xml:space="preserve"> PAGE   \* MERGEFORMAT </w:instrText>
        </w:r>
        <w:r w:rsidRPr="00BF43CC">
          <w:rPr>
            <w:rFonts w:ascii="Arial" w:hAnsi="Arial" w:cs="Arial"/>
            <w:sz w:val="20"/>
          </w:rPr>
          <w:fldChar w:fldCharType="separate"/>
        </w:r>
        <w:r w:rsidR="00055D38">
          <w:rPr>
            <w:rFonts w:ascii="Arial" w:hAnsi="Arial" w:cs="Arial"/>
            <w:noProof/>
            <w:sz w:val="20"/>
          </w:rPr>
          <w:t>240</w:t>
        </w:r>
        <w:r w:rsidRPr="00BF43CC">
          <w:rPr>
            <w:rFonts w:ascii="Arial" w:hAnsi="Arial" w:cs="Arial"/>
            <w:noProof/>
            <w:sz w:val="20"/>
          </w:rPr>
          <w:fldChar w:fldCharType="end"/>
        </w:r>
      </w:p>
    </w:sdtContent>
  </w:sdt>
  <w:p w14:paraId="30F45942" w14:textId="77777777" w:rsidR="00D655F5" w:rsidRPr="00F04E0B" w:rsidRDefault="00D655F5" w:rsidP="00CF4788">
    <w:pPr>
      <w:pStyle w:val="Footer"/>
      <w:jc w:val="center"/>
      <w:rPr>
        <w:rFonts w:ascii="Arial" w:hAnsi="Arial" w:cs="Arial"/>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5397F2" w14:textId="77777777" w:rsidR="005444F9" w:rsidRDefault="005444F9" w:rsidP="00060B44">
      <w:r>
        <w:separator/>
      </w:r>
    </w:p>
  </w:footnote>
  <w:footnote w:type="continuationSeparator" w:id="0">
    <w:p w14:paraId="044E690B" w14:textId="77777777" w:rsidR="005444F9" w:rsidRDefault="005444F9" w:rsidP="00060B44">
      <w:r>
        <w:continuationSeparator/>
      </w:r>
    </w:p>
  </w:footnote>
  <w:footnote w:id="1">
    <w:p w14:paraId="788525C3" w14:textId="61426015" w:rsidR="005444F9" w:rsidRPr="00730D73" w:rsidRDefault="005444F9">
      <w:pPr>
        <w:pStyle w:val="FootnoteText"/>
        <w:rPr>
          <w:rFonts w:ascii="Arial" w:hAnsi="Arial" w:cs="Arial"/>
          <w:sz w:val="16"/>
          <w:szCs w:val="16"/>
        </w:rPr>
      </w:pPr>
      <w:r w:rsidRPr="004D0C42">
        <w:rPr>
          <w:rStyle w:val="FootnoteReference"/>
          <w:rFonts w:ascii="Arial" w:hAnsi="Arial" w:cs="Arial"/>
          <w:sz w:val="16"/>
          <w:szCs w:val="16"/>
        </w:rPr>
        <w:footnoteRef/>
      </w:r>
      <w:r w:rsidRPr="004D0C42">
        <w:rPr>
          <w:rFonts w:ascii="Arial" w:hAnsi="Arial" w:cs="Arial"/>
          <w:sz w:val="16"/>
          <w:szCs w:val="16"/>
          <w:vertAlign w:val="superscript"/>
        </w:rPr>
        <w:t xml:space="preserve"> </w:t>
      </w:r>
      <w:r w:rsidRPr="00730D73">
        <w:rPr>
          <w:rFonts w:ascii="Arial" w:hAnsi="Arial" w:cs="Arial"/>
          <w:sz w:val="16"/>
          <w:szCs w:val="16"/>
        </w:rPr>
        <w:t xml:space="preserve">The detailed forecasts are included in Annex </w:t>
      </w:r>
      <w:r>
        <w:rPr>
          <w:rFonts w:ascii="Arial" w:hAnsi="Arial" w:cs="Arial"/>
          <w:sz w:val="16"/>
          <w:szCs w:val="16"/>
        </w:rPr>
        <w:t>IV</w:t>
      </w:r>
      <w:r w:rsidRPr="00730D73">
        <w:rPr>
          <w:rFonts w:ascii="Arial" w:hAnsi="Arial" w:cs="Arial"/>
          <w:sz w:val="16"/>
          <w:szCs w:val="16"/>
        </w:rPr>
        <w:t>.</w:t>
      </w:r>
    </w:p>
  </w:footnote>
  <w:footnote w:id="2">
    <w:p w14:paraId="2706AFAA" w14:textId="77777777" w:rsidR="005444F9" w:rsidRPr="00B67D0A" w:rsidRDefault="005444F9" w:rsidP="00F02301">
      <w:pPr>
        <w:pStyle w:val="FootnoteText"/>
        <w:rPr>
          <w:rFonts w:ascii="Arial" w:hAnsi="Arial" w:cs="Arial"/>
          <w:sz w:val="16"/>
          <w:szCs w:val="16"/>
        </w:rPr>
      </w:pPr>
      <w:r w:rsidRPr="004D0C42">
        <w:rPr>
          <w:rFonts w:ascii="Arial" w:hAnsi="Arial" w:cs="Arial"/>
          <w:sz w:val="16"/>
          <w:szCs w:val="16"/>
          <w:vertAlign w:val="superscript"/>
        </w:rPr>
        <w:footnoteRef/>
      </w:r>
      <w:r w:rsidRPr="004D0C42">
        <w:rPr>
          <w:rFonts w:ascii="Arial" w:hAnsi="Arial" w:cs="Arial"/>
          <w:sz w:val="16"/>
          <w:szCs w:val="16"/>
          <w:vertAlign w:val="superscript"/>
        </w:rPr>
        <w:t xml:space="preserve"> </w:t>
      </w:r>
      <w:r w:rsidRPr="00B67D0A">
        <w:rPr>
          <w:rFonts w:ascii="Arial" w:hAnsi="Arial" w:cs="Arial"/>
          <w:sz w:val="16"/>
          <w:szCs w:val="16"/>
        </w:rPr>
        <w:t>As at April 2015.</w:t>
      </w:r>
    </w:p>
  </w:footnote>
  <w:footnote w:id="3">
    <w:p w14:paraId="017FDFDE" w14:textId="2BB0EA4C" w:rsidR="005444F9" w:rsidRPr="00DA3F93" w:rsidRDefault="005444F9">
      <w:pPr>
        <w:pStyle w:val="FootnoteText"/>
        <w:rPr>
          <w:rFonts w:ascii="Arial" w:hAnsi="Arial" w:cs="Arial"/>
          <w:sz w:val="16"/>
          <w:szCs w:val="16"/>
        </w:rPr>
      </w:pPr>
      <w:r w:rsidRPr="00DA3F93">
        <w:rPr>
          <w:rStyle w:val="FootnoteReference"/>
          <w:rFonts w:ascii="Arial" w:hAnsi="Arial" w:cs="Arial"/>
          <w:sz w:val="16"/>
          <w:szCs w:val="16"/>
        </w:rPr>
        <w:footnoteRef/>
      </w:r>
      <w:r w:rsidRPr="00DA3F93">
        <w:rPr>
          <w:rFonts w:ascii="Arial" w:hAnsi="Arial" w:cs="Arial"/>
          <w:sz w:val="16"/>
          <w:szCs w:val="16"/>
        </w:rPr>
        <w:t>For details on Member States’ contributions please refer to Appendix A</w:t>
      </w:r>
      <w:r>
        <w:rPr>
          <w:rFonts w:ascii="Arial" w:hAnsi="Arial" w:cs="Arial"/>
          <w:sz w:val="16"/>
          <w:szCs w:val="16"/>
        </w:rPr>
        <w:t>.</w:t>
      </w:r>
      <w:r w:rsidRPr="00DA3F93">
        <w:rPr>
          <w:rFonts w:ascii="Arial" w:hAnsi="Arial" w:cs="Arial"/>
          <w:sz w:val="16"/>
          <w:szCs w:val="16"/>
        </w:rPr>
        <w:t xml:space="preserve"> </w:t>
      </w:r>
    </w:p>
  </w:footnote>
  <w:footnote w:id="4">
    <w:p w14:paraId="2C58149B" w14:textId="18E2B292" w:rsidR="005444F9" w:rsidRPr="00DA3F93" w:rsidRDefault="005444F9">
      <w:pPr>
        <w:pStyle w:val="FootnoteText"/>
        <w:rPr>
          <w:rFonts w:ascii="Arial" w:hAnsi="Arial" w:cs="Arial"/>
          <w:sz w:val="16"/>
          <w:szCs w:val="16"/>
        </w:rPr>
      </w:pPr>
      <w:r w:rsidRPr="00DA3F93">
        <w:rPr>
          <w:rStyle w:val="FootnoteReference"/>
          <w:rFonts w:ascii="Arial" w:hAnsi="Arial" w:cs="Arial"/>
          <w:sz w:val="16"/>
          <w:szCs w:val="16"/>
        </w:rPr>
        <w:footnoteRef/>
      </w:r>
      <w:r w:rsidRPr="00DA3F93">
        <w:rPr>
          <w:rFonts w:ascii="Arial" w:hAnsi="Arial" w:cs="Arial"/>
          <w:sz w:val="16"/>
          <w:szCs w:val="16"/>
          <w:vertAlign w:val="superscript"/>
        </w:rPr>
        <w:t xml:space="preserve"> </w:t>
      </w:r>
      <w:r w:rsidRPr="00DA3F93">
        <w:rPr>
          <w:rFonts w:ascii="Arial" w:hAnsi="Arial" w:cs="Arial"/>
          <w:sz w:val="16"/>
          <w:szCs w:val="16"/>
        </w:rPr>
        <w:t xml:space="preserve">For definitions of </w:t>
      </w:r>
      <w:r>
        <w:rPr>
          <w:rFonts w:ascii="Arial" w:hAnsi="Arial" w:cs="Arial"/>
          <w:sz w:val="16"/>
          <w:szCs w:val="16"/>
        </w:rPr>
        <w:t>sources of income</w:t>
      </w:r>
      <w:r w:rsidRPr="00DA3F93">
        <w:rPr>
          <w:rFonts w:ascii="Arial" w:hAnsi="Arial" w:cs="Arial"/>
          <w:sz w:val="16"/>
          <w:szCs w:val="16"/>
        </w:rPr>
        <w:t>, please refer to Appendix B</w:t>
      </w:r>
      <w:r>
        <w:rPr>
          <w:rFonts w:ascii="Arial" w:hAnsi="Arial" w:cs="Arial"/>
          <w:sz w:val="16"/>
          <w:szCs w:val="16"/>
        </w:rPr>
        <w:t>.</w:t>
      </w:r>
    </w:p>
  </w:footnote>
  <w:footnote w:id="5">
    <w:p w14:paraId="0F52D923" w14:textId="77777777" w:rsidR="005444F9" w:rsidRPr="004E06D4" w:rsidRDefault="005444F9" w:rsidP="00AE288C">
      <w:pPr>
        <w:pStyle w:val="FootnoteText"/>
        <w:rPr>
          <w:rFonts w:ascii="Arial" w:hAnsi="Arial" w:cs="Arial"/>
          <w:sz w:val="16"/>
          <w:szCs w:val="16"/>
        </w:rPr>
      </w:pPr>
      <w:r w:rsidRPr="004D0C42">
        <w:rPr>
          <w:rStyle w:val="FootnoteReference"/>
          <w:rFonts w:ascii="Arial" w:hAnsi="Arial" w:cs="Arial"/>
          <w:sz w:val="18"/>
          <w:szCs w:val="16"/>
        </w:rPr>
        <w:footnoteRef/>
      </w:r>
      <w:r w:rsidRPr="004D0C42">
        <w:rPr>
          <w:rFonts w:ascii="Arial" w:hAnsi="Arial" w:cs="Arial"/>
          <w:sz w:val="18"/>
          <w:szCs w:val="16"/>
        </w:rPr>
        <w:t xml:space="preserve"> </w:t>
      </w:r>
      <w:r w:rsidRPr="004E06D4">
        <w:rPr>
          <w:rFonts w:ascii="Arial" w:hAnsi="Arial" w:cs="Arial"/>
          <w:sz w:val="16"/>
          <w:szCs w:val="16"/>
        </w:rPr>
        <w:t xml:space="preserve">WIPO’s financial statements are prepared in accordance with IPSAS, on a full accrual basis, since 2010.  </w:t>
      </w:r>
    </w:p>
  </w:footnote>
  <w:footnote w:id="6">
    <w:p w14:paraId="16095E5E" w14:textId="578753C2" w:rsidR="005444F9" w:rsidRPr="006E3C1D" w:rsidRDefault="005444F9">
      <w:pPr>
        <w:pStyle w:val="FootnoteText"/>
      </w:pPr>
      <w:r>
        <w:rPr>
          <w:rStyle w:val="FootnoteReference"/>
        </w:rPr>
        <w:footnoteRef/>
      </w:r>
      <w:r>
        <w:t xml:space="preserve"> </w:t>
      </w:r>
      <w:r w:rsidRPr="00DA3F93">
        <w:rPr>
          <w:rFonts w:ascii="Arial" w:hAnsi="Arial" w:cs="Arial"/>
          <w:sz w:val="16"/>
          <w:szCs w:val="16"/>
        </w:rPr>
        <w:t>See Table 6</w:t>
      </w:r>
    </w:p>
  </w:footnote>
  <w:footnote w:id="7">
    <w:p w14:paraId="4970344F" w14:textId="77777777" w:rsidR="005444F9" w:rsidRPr="00320DE7" w:rsidRDefault="005444F9" w:rsidP="00F02301">
      <w:pPr>
        <w:pStyle w:val="FootnoteText"/>
        <w:rPr>
          <w:rFonts w:ascii="Arial" w:hAnsi="Arial"/>
          <w:szCs w:val="18"/>
        </w:rPr>
      </w:pPr>
      <w:r w:rsidRPr="00320DE7">
        <w:rPr>
          <w:rStyle w:val="FootnoteReference"/>
          <w:rFonts w:ascii="Arial" w:hAnsi="Arial"/>
          <w:szCs w:val="18"/>
        </w:rPr>
        <w:footnoteRef/>
      </w:r>
      <w:r w:rsidRPr="00320DE7">
        <w:rPr>
          <w:rFonts w:ascii="Arial" w:hAnsi="Arial"/>
          <w:szCs w:val="18"/>
        </w:rPr>
        <w:t xml:space="preserve"> </w:t>
      </w:r>
      <w:r>
        <w:rPr>
          <w:rFonts w:ascii="Arial" w:hAnsi="Arial"/>
          <w:szCs w:val="18"/>
        </w:rPr>
        <w:t xml:space="preserve"> </w:t>
      </w:r>
      <w:r w:rsidRPr="00A31A52">
        <w:rPr>
          <w:rFonts w:ascii="Arial" w:hAnsi="Arial"/>
          <w:color w:val="000000"/>
          <w:sz w:val="16"/>
          <w:szCs w:val="16"/>
        </w:rPr>
        <w:t>Review of Budgetary Process Applied to Projects Proposed by the Committee on Development and Intellectual Property (CDIP) for the Implementation of the Development Agenda Recommendations (A/48/5 REV.)</w:t>
      </w:r>
    </w:p>
  </w:footnote>
  <w:footnote w:id="8">
    <w:p w14:paraId="7093A505" w14:textId="77777777" w:rsidR="005444F9" w:rsidRPr="003B1A5B" w:rsidRDefault="005444F9" w:rsidP="00F02301">
      <w:pPr>
        <w:pStyle w:val="FootnoteText"/>
        <w:rPr>
          <w:rFonts w:ascii="Arial" w:hAnsi="Arial"/>
          <w:color w:val="000000"/>
          <w:sz w:val="16"/>
          <w:szCs w:val="16"/>
        </w:rPr>
      </w:pPr>
      <w:r w:rsidRPr="00851CC8">
        <w:rPr>
          <w:rFonts w:ascii="Arial" w:hAnsi="Arial"/>
          <w:color w:val="000000"/>
          <w:szCs w:val="16"/>
          <w:vertAlign w:val="superscript"/>
        </w:rPr>
        <w:footnoteRef/>
      </w:r>
      <w:r w:rsidRPr="00851CC8">
        <w:rPr>
          <w:rFonts w:ascii="Arial" w:hAnsi="Arial"/>
          <w:color w:val="000000"/>
          <w:sz w:val="18"/>
          <w:szCs w:val="16"/>
        </w:rPr>
        <w:t xml:space="preserve"> </w:t>
      </w:r>
      <w:r w:rsidRPr="003B1A5B">
        <w:rPr>
          <w:rFonts w:ascii="Arial" w:hAnsi="Arial"/>
          <w:color w:val="000000"/>
          <w:sz w:val="16"/>
          <w:szCs w:val="16"/>
        </w:rPr>
        <w:t>Subject to approval by the Committee on Development and Intellectual Property (CDIP).</w:t>
      </w:r>
    </w:p>
  </w:footnote>
  <w:footnote w:id="9">
    <w:p w14:paraId="492169EA" w14:textId="47409902" w:rsidR="005444F9" w:rsidRPr="00DA3F93" w:rsidRDefault="005444F9">
      <w:pPr>
        <w:pStyle w:val="FootnoteText"/>
        <w:rPr>
          <w:rFonts w:ascii="Arial" w:hAnsi="Arial"/>
          <w:color w:val="000000"/>
          <w:sz w:val="16"/>
          <w:szCs w:val="16"/>
        </w:rPr>
      </w:pPr>
      <w:r w:rsidRPr="00DA3F93">
        <w:rPr>
          <w:rFonts w:ascii="Arial" w:hAnsi="Arial"/>
          <w:color w:val="000000"/>
          <w:sz w:val="16"/>
          <w:szCs w:val="16"/>
        </w:rPr>
        <w:footnoteRef/>
      </w:r>
      <w:r w:rsidRPr="00DA3F93">
        <w:rPr>
          <w:rFonts w:ascii="Arial" w:hAnsi="Arial"/>
          <w:color w:val="000000"/>
          <w:sz w:val="16"/>
          <w:szCs w:val="16"/>
        </w:rPr>
        <w:t xml:space="preserve"> See table 7</w:t>
      </w:r>
      <w:r>
        <w:rPr>
          <w:rFonts w:ascii="Arial" w:hAnsi="Arial"/>
          <w:color w:val="000000"/>
          <w:sz w:val="16"/>
          <w:szCs w:val="16"/>
        </w:rPr>
        <w:t>.</w:t>
      </w:r>
    </w:p>
  </w:footnote>
  <w:footnote w:id="10">
    <w:p w14:paraId="6B2EA75A" w14:textId="77777777" w:rsidR="005444F9" w:rsidRPr="00EB26F0" w:rsidRDefault="005444F9" w:rsidP="00F02301">
      <w:pPr>
        <w:pStyle w:val="FootnoteText"/>
        <w:rPr>
          <w:rFonts w:ascii="Arial" w:hAnsi="Arial" w:cs="Arial"/>
          <w:sz w:val="16"/>
          <w:szCs w:val="16"/>
        </w:rPr>
      </w:pPr>
      <w:r w:rsidRPr="004D0C42">
        <w:rPr>
          <w:rStyle w:val="FootnoteReference"/>
          <w:rFonts w:ascii="Arial" w:hAnsi="Arial" w:cs="Arial"/>
          <w:sz w:val="18"/>
          <w:szCs w:val="16"/>
        </w:rPr>
        <w:footnoteRef/>
      </w:r>
      <w:r w:rsidRPr="004D0C42">
        <w:rPr>
          <w:rFonts w:ascii="Arial" w:hAnsi="Arial" w:cs="Arial"/>
          <w:sz w:val="18"/>
          <w:szCs w:val="16"/>
        </w:rPr>
        <w:t xml:space="preserve"> </w:t>
      </w:r>
      <w:r w:rsidRPr="00EB26F0">
        <w:rPr>
          <w:rFonts w:ascii="Arial" w:hAnsi="Arial" w:cs="Arial"/>
          <w:sz w:val="16"/>
          <w:szCs w:val="16"/>
        </w:rPr>
        <w:t xml:space="preserve">Due to the fact that the Program and Budget and the PPR for 2014 are prepared in parallel, any discrepancies between the two documents will be adjusted during the baseline update exercise. </w:t>
      </w:r>
    </w:p>
  </w:footnote>
  <w:footnote w:id="11">
    <w:p w14:paraId="7FF26328" w14:textId="4A38B285" w:rsidR="005444F9" w:rsidRPr="00DA3F93" w:rsidRDefault="005444F9">
      <w:pPr>
        <w:pStyle w:val="FootnoteText"/>
        <w:rPr>
          <w:rFonts w:ascii="Arial" w:hAnsi="Arial" w:cs="Arial"/>
          <w:sz w:val="16"/>
          <w:szCs w:val="16"/>
        </w:rPr>
      </w:pPr>
      <w:r w:rsidRPr="00DA3F93">
        <w:rPr>
          <w:rStyle w:val="FootnoteReference"/>
          <w:rFonts w:ascii="Arial" w:hAnsi="Arial" w:cs="Arial"/>
          <w:sz w:val="16"/>
          <w:szCs w:val="16"/>
        </w:rPr>
        <w:footnoteRef/>
      </w:r>
      <w:r w:rsidRPr="00DA3F93">
        <w:rPr>
          <w:rFonts w:ascii="Arial" w:hAnsi="Arial" w:cs="Arial"/>
          <w:sz w:val="16"/>
          <w:szCs w:val="16"/>
        </w:rPr>
        <w:t xml:space="preserve"> The total non-personnel 2012/13 Approved Budget amounted to 238.8 million Swiss francs </w:t>
      </w:r>
    </w:p>
  </w:footnote>
  <w:footnote w:id="12">
    <w:p w14:paraId="77D70F2B" w14:textId="7A3B7926" w:rsidR="005444F9" w:rsidRPr="000953C1" w:rsidRDefault="005444F9">
      <w:pPr>
        <w:pStyle w:val="FootnoteText"/>
        <w:rPr>
          <w:rFonts w:ascii="Arial" w:hAnsi="Arial" w:cs="Arial"/>
          <w:sz w:val="16"/>
          <w:szCs w:val="16"/>
        </w:rPr>
      </w:pPr>
      <w:r w:rsidRPr="004D0C42">
        <w:rPr>
          <w:rStyle w:val="FootnoteReference"/>
          <w:rFonts w:ascii="Arial" w:hAnsi="Arial" w:cs="Arial"/>
          <w:sz w:val="18"/>
        </w:rPr>
        <w:footnoteRef/>
      </w:r>
      <w:r w:rsidRPr="00292FCD">
        <w:rPr>
          <w:rFonts w:ascii="Arial" w:hAnsi="Arial" w:cs="Arial"/>
        </w:rPr>
        <w:t xml:space="preserve"> </w:t>
      </w:r>
      <w:r w:rsidRPr="000953C1">
        <w:rPr>
          <w:rFonts w:ascii="Arial" w:hAnsi="Arial" w:cs="Arial"/>
          <w:sz w:val="16"/>
          <w:szCs w:val="16"/>
        </w:rPr>
        <w:t xml:space="preserve">A detailed description of the cost categories is </w:t>
      </w:r>
      <w:r w:rsidRPr="00350AA3">
        <w:rPr>
          <w:rFonts w:ascii="Arial" w:hAnsi="Arial" w:cs="Arial"/>
          <w:sz w:val="16"/>
          <w:szCs w:val="16"/>
        </w:rPr>
        <w:t xml:space="preserve">provided in </w:t>
      </w:r>
      <w:r w:rsidRPr="00FB68E0">
        <w:rPr>
          <w:rFonts w:ascii="Arial" w:hAnsi="Arial" w:cs="Arial"/>
          <w:sz w:val="16"/>
          <w:szCs w:val="16"/>
        </w:rPr>
        <w:t>A</w:t>
      </w:r>
      <w:r>
        <w:rPr>
          <w:rFonts w:ascii="Arial" w:hAnsi="Arial" w:cs="Arial"/>
          <w:sz w:val="16"/>
          <w:szCs w:val="16"/>
        </w:rPr>
        <w:t>ppendix</w:t>
      </w:r>
      <w:r w:rsidRPr="00FB68E0">
        <w:rPr>
          <w:rFonts w:ascii="Arial" w:hAnsi="Arial" w:cs="Arial"/>
          <w:sz w:val="16"/>
          <w:szCs w:val="16"/>
        </w:rPr>
        <w:t xml:space="preserve"> B</w:t>
      </w:r>
      <w:r>
        <w:rPr>
          <w:rFonts w:ascii="Arial" w:hAnsi="Arial" w:cs="Arial"/>
          <w:sz w:val="16"/>
          <w:szCs w:val="16"/>
        </w:rPr>
        <w:t>.</w:t>
      </w:r>
    </w:p>
  </w:footnote>
  <w:footnote w:id="13">
    <w:p w14:paraId="106DDEFB" w14:textId="77777777" w:rsidR="005444F9" w:rsidRPr="00271EB3" w:rsidRDefault="005444F9" w:rsidP="00F02301">
      <w:pPr>
        <w:jc w:val="both"/>
        <w:rPr>
          <w:rFonts w:ascii="Arial" w:eastAsia="SimSun" w:hAnsi="Arial" w:cs="Arial"/>
          <w:color w:val="000000"/>
          <w:sz w:val="16"/>
          <w:szCs w:val="16"/>
          <w:lang w:eastAsia="zh-CN"/>
        </w:rPr>
      </w:pPr>
      <w:r w:rsidRPr="00271EB3">
        <w:rPr>
          <w:rStyle w:val="FootnoteReference"/>
          <w:rFonts w:ascii="Arial" w:hAnsi="Arial" w:cs="Arial"/>
          <w:sz w:val="16"/>
          <w:szCs w:val="16"/>
        </w:rPr>
        <w:footnoteRef/>
      </w:r>
      <w:r w:rsidRPr="00271EB3">
        <w:rPr>
          <w:rFonts w:ascii="Arial" w:hAnsi="Arial" w:cs="Arial"/>
          <w:sz w:val="16"/>
          <w:szCs w:val="16"/>
        </w:rPr>
        <w:t xml:space="preserve"> </w:t>
      </w:r>
      <w:r w:rsidRPr="00271EB3">
        <w:rPr>
          <w:rFonts w:ascii="Arial" w:eastAsia="SimSun" w:hAnsi="Arial" w:cs="Arial"/>
          <w:b/>
          <w:bCs/>
          <w:color w:val="000000"/>
          <w:sz w:val="16"/>
          <w:szCs w:val="16"/>
          <w:lang w:eastAsia="zh-CN"/>
        </w:rPr>
        <w:t>Posts</w:t>
      </w:r>
      <w:r w:rsidRPr="00271EB3">
        <w:rPr>
          <w:rFonts w:ascii="Arial" w:eastAsia="SimSun" w:hAnsi="Arial" w:cs="Arial"/>
          <w:color w:val="000000"/>
          <w:sz w:val="16"/>
          <w:szCs w:val="16"/>
          <w:lang w:eastAsia="zh-CN"/>
        </w:rPr>
        <w:t xml:space="preserve"> – this category covers staff on fixed term, continuing or permanent contracts against approved posts in the Professional and General Services categories.</w:t>
      </w:r>
    </w:p>
    <w:p w14:paraId="62100E7C" w14:textId="77777777" w:rsidR="005444F9" w:rsidRPr="00271EB3" w:rsidRDefault="005444F9" w:rsidP="00F02301">
      <w:pPr>
        <w:pStyle w:val="FootnoteText"/>
        <w:rPr>
          <w:rFonts w:ascii="Arial" w:hAnsi="Arial" w:cs="Arial"/>
          <w:sz w:val="2"/>
          <w:szCs w:val="2"/>
        </w:rPr>
      </w:pPr>
    </w:p>
  </w:footnote>
  <w:footnote w:id="14">
    <w:p w14:paraId="1D0899F1" w14:textId="77777777" w:rsidR="005444F9" w:rsidRPr="00271EB3" w:rsidRDefault="005444F9" w:rsidP="00F02301">
      <w:pPr>
        <w:pStyle w:val="FootnoteText"/>
        <w:rPr>
          <w:rFonts w:ascii="Arial" w:hAnsi="Arial" w:cs="Arial"/>
          <w:sz w:val="16"/>
          <w:szCs w:val="16"/>
        </w:rPr>
      </w:pPr>
      <w:r w:rsidRPr="00271EB3">
        <w:rPr>
          <w:rStyle w:val="FootnoteReference"/>
          <w:rFonts w:ascii="Arial" w:hAnsi="Arial" w:cs="Arial"/>
          <w:sz w:val="16"/>
          <w:szCs w:val="16"/>
        </w:rPr>
        <w:footnoteRef/>
      </w:r>
      <w:r w:rsidRPr="00271EB3">
        <w:rPr>
          <w:rFonts w:ascii="Arial" w:hAnsi="Arial" w:cs="Arial"/>
          <w:sz w:val="16"/>
          <w:szCs w:val="16"/>
        </w:rPr>
        <w:t xml:space="preserve"> </w:t>
      </w:r>
      <w:r w:rsidRPr="00271EB3">
        <w:rPr>
          <w:rFonts w:ascii="Arial" w:eastAsia="SimSun" w:hAnsi="Arial" w:cs="Arial"/>
          <w:b/>
          <w:bCs/>
          <w:color w:val="000000"/>
          <w:sz w:val="16"/>
          <w:szCs w:val="16"/>
          <w:lang w:eastAsia="zh-CN"/>
        </w:rPr>
        <w:t>Temporary staff</w:t>
      </w:r>
      <w:r w:rsidRPr="00271EB3">
        <w:rPr>
          <w:rFonts w:ascii="Arial" w:eastAsia="SimSun" w:hAnsi="Arial" w:cs="Arial"/>
          <w:color w:val="000000"/>
          <w:sz w:val="16"/>
          <w:szCs w:val="16"/>
          <w:lang w:eastAsia="zh-CN"/>
        </w:rPr>
        <w:t xml:space="preserve"> – this category covers staff holding temporary contracts.</w:t>
      </w:r>
    </w:p>
  </w:footnote>
  <w:footnote w:id="15">
    <w:p w14:paraId="6E0685CB" w14:textId="77777777" w:rsidR="005444F9" w:rsidRPr="00340CDB" w:rsidRDefault="005444F9" w:rsidP="00F02301">
      <w:pPr>
        <w:pStyle w:val="FootnoteText"/>
        <w:rPr>
          <w:rFonts w:ascii="Arial" w:hAnsi="Arial" w:cs="Arial"/>
          <w:szCs w:val="18"/>
        </w:rPr>
      </w:pPr>
      <w:r w:rsidRPr="004D0C42">
        <w:rPr>
          <w:rStyle w:val="FootnoteReference"/>
          <w:rFonts w:ascii="Arial" w:hAnsi="Arial" w:cs="Arial"/>
          <w:sz w:val="16"/>
          <w:szCs w:val="16"/>
        </w:rPr>
        <w:footnoteRef/>
      </w:r>
      <w:r w:rsidRPr="004D0C42">
        <w:rPr>
          <w:rFonts w:ascii="Arial" w:hAnsi="Arial" w:cs="Arial"/>
          <w:sz w:val="16"/>
          <w:szCs w:val="16"/>
        </w:rPr>
        <w:t xml:space="preserve"> Consistent with past practice, countries with economies in transition are included for the purpose of the Program and Budget</w:t>
      </w:r>
      <w:r w:rsidRPr="003E5AF5">
        <w:rPr>
          <w:rFonts w:ascii="Arial" w:hAnsi="Arial" w:cs="Arial"/>
          <w:sz w:val="16"/>
          <w:szCs w:val="16"/>
        </w:rPr>
        <w:t>.</w:t>
      </w:r>
    </w:p>
  </w:footnote>
  <w:footnote w:id="16">
    <w:p w14:paraId="580D12AA" w14:textId="315F0952" w:rsidR="005444F9" w:rsidRDefault="005444F9">
      <w:pPr>
        <w:pStyle w:val="FootnoteText"/>
      </w:pPr>
      <w:r w:rsidRPr="008D4CE9">
        <w:rPr>
          <w:rStyle w:val="FootnoteReference"/>
          <w:rFonts w:ascii="Arial" w:hAnsi="Arial" w:cs="Arial"/>
          <w:sz w:val="16"/>
          <w:szCs w:val="16"/>
        </w:rPr>
        <w:footnoteRef/>
      </w:r>
      <w:r>
        <w:t xml:space="preserve"> </w:t>
      </w:r>
      <w:r w:rsidRPr="00B46E15">
        <w:rPr>
          <w:rFonts w:ascii="Arial" w:hAnsi="Arial" w:cs="Arial"/>
          <w:sz w:val="16"/>
          <w:szCs w:val="16"/>
        </w:rPr>
        <w:t xml:space="preserve">Sustainable </w:t>
      </w:r>
      <w:r>
        <w:rPr>
          <w:rFonts w:ascii="Arial" w:hAnsi="Arial" w:cs="Arial"/>
          <w:sz w:val="16"/>
          <w:szCs w:val="16"/>
        </w:rPr>
        <w:t xml:space="preserve">national start-up academies </w:t>
      </w:r>
      <w:r w:rsidRPr="00B46E15">
        <w:rPr>
          <w:rFonts w:ascii="Arial" w:hAnsi="Arial" w:cs="Arial"/>
          <w:sz w:val="16"/>
          <w:szCs w:val="16"/>
        </w:rPr>
        <w:t>are financially and technically self-supporting institutions to which WIPO provides advice on demand.</w:t>
      </w:r>
    </w:p>
  </w:footnote>
  <w:footnote w:id="17">
    <w:p w14:paraId="6F6343A6" w14:textId="77777777" w:rsidR="005444F9" w:rsidRDefault="005444F9" w:rsidP="00B46E15">
      <w:pPr>
        <w:rPr>
          <w:rFonts w:ascii="Arial" w:hAnsi="Arial" w:cs="Arial"/>
          <w:sz w:val="20"/>
          <w:szCs w:val="20"/>
        </w:rPr>
      </w:pPr>
      <w:r w:rsidRPr="00B46E15">
        <w:rPr>
          <w:rStyle w:val="FootnoteReference"/>
          <w:rFonts w:ascii="Arial" w:hAnsi="Arial" w:cs="Arial"/>
          <w:sz w:val="16"/>
          <w:szCs w:val="16"/>
        </w:rPr>
        <w:footnoteRef/>
      </w:r>
      <w:r>
        <w:t xml:space="preserve"> </w:t>
      </w:r>
      <w:r w:rsidRPr="00B46E15">
        <w:rPr>
          <w:rFonts w:ascii="Arial" w:hAnsi="Arial" w:cs="Arial"/>
          <w:sz w:val="16"/>
          <w:szCs w:val="16"/>
        </w:rPr>
        <w:t>Sustainable TISCs are financially and technically self-supporting institutions to which WIPO provides advice on demand.</w:t>
      </w:r>
    </w:p>
    <w:p w14:paraId="16D70E00" w14:textId="7980A7D7" w:rsidR="005444F9" w:rsidRDefault="005444F9">
      <w:pPr>
        <w:pStyle w:val="FootnoteText"/>
      </w:pPr>
    </w:p>
  </w:footnote>
  <w:footnote w:id="18">
    <w:p w14:paraId="783D28B8" w14:textId="093AB12E" w:rsidR="005444F9" w:rsidRDefault="005444F9">
      <w:pPr>
        <w:pStyle w:val="FootnoteText"/>
      </w:pPr>
      <w:r w:rsidRPr="008D4CE9">
        <w:rPr>
          <w:rStyle w:val="FootnoteReference"/>
          <w:rFonts w:ascii="Arial" w:hAnsi="Arial" w:cs="Arial"/>
          <w:sz w:val="16"/>
          <w:szCs w:val="16"/>
        </w:rPr>
        <w:footnoteRef/>
      </w:r>
      <w:r>
        <w:t xml:space="preserve"> </w:t>
      </w:r>
      <w:r w:rsidRPr="00B46E15">
        <w:rPr>
          <w:rFonts w:ascii="Arial" w:hAnsi="Arial" w:cs="Arial"/>
          <w:sz w:val="16"/>
          <w:szCs w:val="16"/>
        </w:rPr>
        <w:t xml:space="preserve">Sustainable </w:t>
      </w:r>
      <w:r>
        <w:rPr>
          <w:rFonts w:ascii="Arial" w:hAnsi="Arial" w:cs="Arial"/>
          <w:sz w:val="16"/>
          <w:szCs w:val="16"/>
        </w:rPr>
        <w:t xml:space="preserve">national start-up academies </w:t>
      </w:r>
      <w:r w:rsidRPr="00B46E15">
        <w:rPr>
          <w:rFonts w:ascii="Arial" w:hAnsi="Arial" w:cs="Arial"/>
          <w:sz w:val="16"/>
          <w:szCs w:val="16"/>
        </w:rPr>
        <w:t>are financially and technically self-supporting institutions to which WIPO provides advice on demand.</w:t>
      </w:r>
    </w:p>
  </w:footnote>
  <w:footnote w:id="19">
    <w:p w14:paraId="440ABE43" w14:textId="6C1759F7" w:rsidR="005444F9" w:rsidRDefault="005444F9">
      <w:pPr>
        <w:pStyle w:val="FootnoteText"/>
      </w:pPr>
      <w:r w:rsidRPr="008D4CE9">
        <w:rPr>
          <w:rStyle w:val="FootnoteReference"/>
          <w:rFonts w:ascii="Arial" w:hAnsi="Arial" w:cs="Arial"/>
          <w:sz w:val="16"/>
          <w:szCs w:val="16"/>
        </w:rPr>
        <w:footnoteRef/>
      </w:r>
      <w:r w:rsidRPr="008D4CE9">
        <w:rPr>
          <w:rFonts w:ascii="Arial" w:hAnsi="Arial" w:cs="Arial"/>
          <w:sz w:val="16"/>
          <w:szCs w:val="16"/>
        </w:rPr>
        <w:t xml:space="preserve"> </w:t>
      </w:r>
      <w:r w:rsidRPr="00B46E15">
        <w:rPr>
          <w:rFonts w:ascii="Arial" w:hAnsi="Arial" w:cs="Arial"/>
          <w:sz w:val="16"/>
          <w:szCs w:val="16"/>
        </w:rPr>
        <w:t>Sustainable TISCs are financially and technically self-supporting institutions to which WIPO provides advice on demand.</w:t>
      </w:r>
    </w:p>
  </w:footnote>
  <w:footnote w:id="20">
    <w:p w14:paraId="302B12EA" w14:textId="1DD85B02" w:rsidR="005444F9" w:rsidRDefault="005444F9">
      <w:pPr>
        <w:pStyle w:val="FootnoteText"/>
      </w:pPr>
      <w:r w:rsidRPr="00B46E15">
        <w:rPr>
          <w:rStyle w:val="FootnoteReference"/>
          <w:rFonts w:ascii="Arial" w:hAnsi="Arial" w:cs="Arial"/>
          <w:sz w:val="16"/>
          <w:szCs w:val="16"/>
        </w:rPr>
        <w:footnoteRef/>
      </w:r>
      <w:r w:rsidRPr="00B46E15">
        <w:rPr>
          <w:sz w:val="16"/>
          <w:szCs w:val="16"/>
        </w:rPr>
        <w:t xml:space="preserve"> </w:t>
      </w:r>
      <w:r w:rsidRPr="00B46E15">
        <w:rPr>
          <w:rFonts w:ascii="Arial" w:hAnsi="Arial" w:cs="Arial"/>
          <w:sz w:val="16"/>
          <w:szCs w:val="16"/>
        </w:rPr>
        <w:t>Sustainable TISCs are financially and technically self-supporting institutions to which WIPO provides advice on demand.</w:t>
      </w:r>
    </w:p>
  </w:footnote>
  <w:footnote w:id="21">
    <w:p w14:paraId="4F666C97" w14:textId="061E0388" w:rsidR="005444F9" w:rsidRPr="00FB68E0" w:rsidRDefault="005444F9">
      <w:pPr>
        <w:pStyle w:val="FootnoteText"/>
        <w:rPr>
          <w:rFonts w:ascii="Arial" w:hAnsi="Arial" w:cs="Arial"/>
          <w:sz w:val="16"/>
          <w:szCs w:val="16"/>
        </w:rPr>
      </w:pPr>
      <w:r w:rsidRPr="00FB68E0">
        <w:rPr>
          <w:rStyle w:val="FootnoteReference"/>
          <w:rFonts w:ascii="Arial" w:hAnsi="Arial" w:cs="Arial"/>
          <w:sz w:val="16"/>
          <w:szCs w:val="16"/>
        </w:rPr>
        <w:footnoteRef/>
      </w:r>
      <w:r w:rsidRPr="00FB68E0">
        <w:rPr>
          <w:rFonts w:ascii="Arial" w:hAnsi="Arial" w:cs="Arial"/>
          <w:sz w:val="16"/>
          <w:szCs w:val="16"/>
        </w:rPr>
        <w:t xml:space="preserve"> Baselines and targets to be established end-2015 once the new web-based statistical tools and methodologies have been tested and confirmed </w:t>
      </w:r>
    </w:p>
  </w:footnote>
  <w:footnote w:id="22">
    <w:p w14:paraId="4596620F" w14:textId="77777777" w:rsidR="005444F9" w:rsidRPr="00CA447D" w:rsidRDefault="005444F9" w:rsidP="005A1F7F">
      <w:pPr>
        <w:pStyle w:val="FootnoteText"/>
        <w:rPr>
          <w:rFonts w:ascii="Arial" w:hAnsi="Arial" w:cs="Arial"/>
          <w:sz w:val="16"/>
          <w:szCs w:val="16"/>
        </w:rPr>
      </w:pPr>
      <w:r w:rsidRPr="00CA447D">
        <w:rPr>
          <w:rStyle w:val="FootnoteReference"/>
          <w:rFonts w:ascii="Arial" w:eastAsiaTheme="majorEastAsia" w:hAnsi="Arial" w:cs="Arial"/>
        </w:rPr>
        <w:footnoteRef/>
      </w:r>
      <w:r w:rsidRPr="00CA447D">
        <w:rPr>
          <w:rFonts w:ascii="Arial" w:hAnsi="Arial" w:cs="Arial"/>
        </w:rPr>
        <w:t xml:space="preserve"> </w:t>
      </w:r>
      <w:r>
        <w:rPr>
          <w:rFonts w:ascii="Arial" w:hAnsi="Arial" w:cs="Arial"/>
        </w:rPr>
        <w:t xml:space="preserve"> </w:t>
      </w:r>
      <w:r w:rsidRPr="00CA447D">
        <w:rPr>
          <w:rFonts w:ascii="Arial" w:hAnsi="Arial" w:cs="Arial"/>
          <w:sz w:val="16"/>
          <w:szCs w:val="16"/>
        </w:rPr>
        <w:t>All statistics are based on the date of filing of PCT applications or Chapter II demands.</w:t>
      </w:r>
    </w:p>
  </w:footnote>
  <w:footnote w:id="23">
    <w:p w14:paraId="49C5849B" w14:textId="567C601D" w:rsidR="005444F9" w:rsidRPr="00F907A7" w:rsidRDefault="005444F9" w:rsidP="005A1F7F">
      <w:pPr>
        <w:tabs>
          <w:tab w:val="left" w:pos="330"/>
        </w:tabs>
        <w:spacing w:after="120"/>
        <w:rPr>
          <w:rFonts w:ascii="Arial" w:hAnsi="Arial"/>
          <w:sz w:val="16"/>
          <w:szCs w:val="16"/>
        </w:rPr>
      </w:pPr>
      <w:r w:rsidRPr="000D2666">
        <w:rPr>
          <w:rStyle w:val="FootnoteReference"/>
          <w:rFonts w:ascii="Arial" w:hAnsi="Arial" w:cs="Arial"/>
          <w:sz w:val="20"/>
        </w:rPr>
        <w:footnoteRef/>
      </w:r>
      <w:r w:rsidRPr="000D2666">
        <w:rPr>
          <w:rFonts w:ascii="Arial" w:hAnsi="Arial" w:cs="Arial"/>
          <w:sz w:val="18"/>
        </w:rPr>
        <w:t xml:space="preserve"> </w:t>
      </w:r>
      <w:r w:rsidRPr="00F907A7">
        <w:rPr>
          <w:rFonts w:ascii="Arial" w:hAnsi="Arial"/>
          <w:sz w:val="16"/>
          <w:szCs w:val="16"/>
        </w:rPr>
        <w:t xml:space="preserve">A record copy is a PCT application transmitted to the International Bureau </w:t>
      </w:r>
      <w:r>
        <w:rPr>
          <w:rFonts w:ascii="Arial" w:hAnsi="Arial"/>
          <w:sz w:val="16"/>
          <w:szCs w:val="16"/>
        </w:rPr>
        <w:t xml:space="preserve">(IB) </w:t>
      </w:r>
      <w:r w:rsidRPr="00F907A7">
        <w:rPr>
          <w:rFonts w:ascii="Arial" w:hAnsi="Arial"/>
          <w:sz w:val="16"/>
          <w:szCs w:val="16"/>
        </w:rPr>
        <w:t xml:space="preserve">by a receiving </w:t>
      </w:r>
      <w:r>
        <w:rPr>
          <w:rFonts w:ascii="Arial" w:hAnsi="Arial"/>
          <w:sz w:val="16"/>
          <w:szCs w:val="16"/>
        </w:rPr>
        <w:t>O</w:t>
      </w:r>
      <w:r w:rsidRPr="00F907A7">
        <w:rPr>
          <w:rFonts w:ascii="Arial" w:hAnsi="Arial"/>
          <w:sz w:val="16"/>
          <w:szCs w:val="16"/>
        </w:rPr>
        <w:t xml:space="preserve">ffice after its filing at, and its processing by, that </w:t>
      </w:r>
      <w:r>
        <w:rPr>
          <w:rFonts w:ascii="Arial" w:hAnsi="Arial"/>
          <w:sz w:val="16"/>
          <w:szCs w:val="16"/>
        </w:rPr>
        <w:t>O</w:t>
      </w:r>
      <w:r w:rsidRPr="00F907A7">
        <w:rPr>
          <w:rFonts w:ascii="Arial" w:hAnsi="Arial"/>
          <w:sz w:val="16"/>
          <w:szCs w:val="16"/>
        </w:rPr>
        <w:t>ffice.  B</w:t>
      </w:r>
      <w:r w:rsidRPr="00F907A7">
        <w:rPr>
          <w:rFonts w:ascii="Arial" w:hAnsi="Arial"/>
          <w:sz w:val="16"/>
          <w:szCs w:val="16"/>
          <w:lang w:val="en-GB"/>
        </w:rPr>
        <w:t>ecause record copies are only received at the IB after processing at a receiving Office, the figures are strongly influenced by processing times at the</w:t>
      </w:r>
      <w:r>
        <w:rPr>
          <w:rFonts w:ascii="Arial" w:hAnsi="Arial"/>
          <w:sz w:val="16"/>
          <w:szCs w:val="16"/>
          <w:lang w:val="en-GB"/>
        </w:rPr>
        <w:t>se</w:t>
      </w:r>
      <w:r w:rsidRPr="00F907A7">
        <w:rPr>
          <w:rFonts w:ascii="Arial" w:hAnsi="Arial"/>
          <w:sz w:val="16"/>
          <w:szCs w:val="16"/>
          <w:lang w:val="en-GB"/>
        </w:rPr>
        <w:t xml:space="preserve"> Offices. </w:t>
      </w:r>
      <w:r>
        <w:rPr>
          <w:rFonts w:ascii="Arial" w:hAnsi="Arial"/>
          <w:sz w:val="16"/>
          <w:szCs w:val="16"/>
          <w:lang w:val="en-GB"/>
        </w:rPr>
        <w:t xml:space="preserve"> </w:t>
      </w:r>
      <w:r w:rsidRPr="00F907A7">
        <w:rPr>
          <w:rFonts w:ascii="Arial" w:hAnsi="Arial"/>
          <w:sz w:val="16"/>
          <w:szCs w:val="16"/>
          <w:lang w:val="en-GB"/>
        </w:rPr>
        <w:t>For this reason, trends in the receipt of record copies, while valid indicators of IB workloads</w:t>
      </w:r>
      <w:r>
        <w:rPr>
          <w:rFonts w:ascii="Arial" w:hAnsi="Arial"/>
          <w:sz w:val="16"/>
          <w:szCs w:val="16"/>
          <w:lang w:val="en-GB"/>
        </w:rPr>
        <w:t>,</w:t>
      </w:r>
      <w:r w:rsidRPr="00F907A7">
        <w:rPr>
          <w:rFonts w:ascii="Arial" w:hAnsi="Arial"/>
          <w:sz w:val="16"/>
          <w:szCs w:val="16"/>
          <w:lang w:val="en-GB"/>
        </w:rPr>
        <w:t xml:space="preserve"> do no</w:t>
      </w:r>
      <w:r>
        <w:rPr>
          <w:rFonts w:ascii="Arial" w:hAnsi="Arial"/>
          <w:sz w:val="16"/>
          <w:szCs w:val="16"/>
          <w:lang w:val="en-GB"/>
        </w:rPr>
        <w:t xml:space="preserve"> exactly match trends in the filing</w:t>
      </w:r>
      <w:r w:rsidRPr="00F907A7">
        <w:rPr>
          <w:rFonts w:ascii="Arial" w:hAnsi="Arial"/>
          <w:sz w:val="16"/>
          <w:szCs w:val="16"/>
          <w:lang w:val="en-GB"/>
        </w:rPr>
        <w:t xml:space="preserve"> of PCT applications.</w:t>
      </w:r>
    </w:p>
  </w:footnote>
  <w:footnote w:id="24">
    <w:p w14:paraId="397D0753" w14:textId="77777777" w:rsidR="005444F9" w:rsidRPr="000D2666" w:rsidRDefault="005444F9">
      <w:pPr>
        <w:rPr>
          <w:sz w:val="20"/>
        </w:rPr>
      </w:pPr>
      <w:r w:rsidRPr="000D2666">
        <w:rPr>
          <w:rStyle w:val="FootnoteReference"/>
          <w:rFonts w:ascii="Arial" w:hAnsi="Arial" w:cs="Arial"/>
          <w:sz w:val="18"/>
          <w:szCs w:val="18"/>
        </w:rPr>
        <w:footnoteRef/>
      </w:r>
      <w:r w:rsidRPr="000D2666">
        <w:rPr>
          <w:rFonts w:ascii="Arial" w:hAnsi="Arial" w:cs="Arial"/>
          <w:sz w:val="18"/>
          <w:szCs w:val="18"/>
        </w:rPr>
        <w:t xml:space="preserve"> </w:t>
      </w:r>
      <w:r w:rsidRPr="000D2666">
        <w:rPr>
          <w:rFonts w:ascii="Arial" w:hAnsi="Arial" w:cs="Arial"/>
          <w:sz w:val="16"/>
          <w:szCs w:val="18"/>
        </w:rPr>
        <w:t xml:space="preserve">Following an independent review of PCTIS performance metrics, its definition slightly changed from the one </w:t>
      </w:r>
      <w:r w:rsidRPr="000D2666">
        <w:rPr>
          <w:rFonts w:ascii="Arial" w:hAnsi="Arial" w:cs="Arial"/>
          <w:sz w:val="16"/>
          <w:szCs w:val="18"/>
          <w:lang w:val="en-GB"/>
        </w:rPr>
        <w:t>described in the Program and Budget 2014/15</w:t>
      </w:r>
    </w:p>
  </w:footnote>
  <w:footnote w:id="25">
    <w:p w14:paraId="5048EB8F" w14:textId="77777777" w:rsidR="005444F9" w:rsidRPr="004469FF" w:rsidRDefault="005444F9" w:rsidP="005A1F7F">
      <w:pPr>
        <w:pStyle w:val="FootnoteText"/>
      </w:pPr>
      <w:r w:rsidRPr="0043175E">
        <w:rPr>
          <w:rStyle w:val="FootnoteReference"/>
          <w:rFonts w:ascii="Arial" w:hAnsi="Arial" w:cs="Arial"/>
        </w:rPr>
        <w:footnoteRef/>
      </w:r>
      <w:r w:rsidRPr="0043175E">
        <w:rPr>
          <w:rFonts w:ascii="Arial" w:hAnsi="Arial" w:cs="Arial"/>
        </w:rPr>
        <w:t xml:space="preserve">  </w:t>
      </w:r>
      <w:r w:rsidRPr="0043175E">
        <w:rPr>
          <w:rFonts w:ascii="Arial" w:hAnsi="Arial" w:cs="Arial"/>
          <w:sz w:val="18"/>
        </w:rPr>
        <w:t>See “Total workload” above</w:t>
      </w:r>
      <w:r>
        <w:rPr>
          <w:rFonts w:ascii="Arial" w:hAnsi="Arial" w:cs="Arial"/>
          <w:sz w:val="18"/>
        </w:rPr>
        <w:t>.</w:t>
      </w:r>
    </w:p>
  </w:footnote>
  <w:footnote w:id="26">
    <w:p w14:paraId="1881AA16" w14:textId="7C8010DF" w:rsidR="005444F9" w:rsidRPr="0043175E" w:rsidRDefault="005444F9" w:rsidP="005A1F7F">
      <w:pPr>
        <w:pStyle w:val="FootnoteText"/>
        <w:rPr>
          <w:rFonts w:ascii="Arial" w:hAnsi="Arial" w:cs="Arial"/>
          <w:sz w:val="18"/>
          <w:szCs w:val="18"/>
        </w:rPr>
      </w:pPr>
      <w:r w:rsidRPr="0043175E">
        <w:rPr>
          <w:rStyle w:val="FootnoteReference"/>
          <w:rFonts w:ascii="Arial" w:hAnsi="Arial" w:cs="Arial"/>
          <w:sz w:val="18"/>
          <w:szCs w:val="18"/>
        </w:rPr>
        <w:footnoteRef/>
      </w:r>
      <w:r w:rsidRPr="0043175E">
        <w:rPr>
          <w:rFonts w:ascii="Arial" w:hAnsi="Arial" w:cs="Arial"/>
          <w:sz w:val="18"/>
          <w:szCs w:val="18"/>
        </w:rPr>
        <w:t xml:space="preserve"> </w:t>
      </w:r>
      <w:r w:rsidRPr="004D0C42">
        <w:rPr>
          <w:rFonts w:ascii="Arial" w:hAnsi="Arial" w:cs="Arial"/>
          <w:sz w:val="16"/>
          <w:szCs w:val="18"/>
        </w:rPr>
        <w:t>See “Total workload” above</w:t>
      </w:r>
      <w:r>
        <w:rPr>
          <w:rFonts w:ascii="Arial" w:hAnsi="Arial" w:cs="Arial"/>
          <w:sz w:val="16"/>
          <w:szCs w:val="18"/>
        </w:rPr>
        <w:t>.</w:t>
      </w:r>
    </w:p>
  </w:footnote>
  <w:footnote w:id="27">
    <w:p w14:paraId="7C1C673B" w14:textId="77777777" w:rsidR="005444F9" w:rsidRPr="00613F8E" w:rsidRDefault="005444F9">
      <w:pPr>
        <w:pStyle w:val="FootnoteText"/>
        <w:rPr>
          <w:rFonts w:ascii="Arial" w:hAnsi="Arial" w:cs="Arial"/>
          <w:sz w:val="18"/>
        </w:rPr>
      </w:pPr>
      <w:r w:rsidRPr="00DC6A4E">
        <w:rPr>
          <w:rStyle w:val="FootnoteReference"/>
          <w:rFonts w:ascii="Arial" w:hAnsi="Arial" w:cs="Arial"/>
        </w:rPr>
        <w:footnoteRef/>
      </w:r>
      <w:r w:rsidRPr="00DC6A4E">
        <w:rPr>
          <w:rFonts w:ascii="Arial" w:hAnsi="Arial" w:cs="Arial"/>
        </w:rPr>
        <w:t xml:space="preserve"> </w:t>
      </w:r>
      <w:r w:rsidRPr="00613F8E">
        <w:rPr>
          <w:rFonts w:ascii="Arial" w:hAnsi="Arial" w:cs="Arial"/>
          <w:sz w:val="16"/>
        </w:rPr>
        <w:t>The Madrid System provides support to the Hague System, in particular in translation and IT activities. These costs were disregarded in this method</w:t>
      </w:r>
      <w:r w:rsidRPr="00613F8E">
        <w:rPr>
          <w:rFonts w:ascii="Arial" w:hAnsi="Arial" w:cs="Arial"/>
          <w:sz w:val="14"/>
        </w:rPr>
        <w:t>.</w:t>
      </w:r>
    </w:p>
  </w:footnote>
  <w:footnote w:id="28">
    <w:p w14:paraId="68B139CB" w14:textId="77777777" w:rsidR="005444F9" w:rsidRPr="00613F8E" w:rsidRDefault="005444F9" w:rsidP="005A1F7F">
      <w:pPr>
        <w:pStyle w:val="FootnoteText"/>
        <w:rPr>
          <w:rFonts w:ascii="Arial" w:hAnsi="Arial" w:cs="Arial"/>
          <w:sz w:val="16"/>
          <w:szCs w:val="16"/>
        </w:rPr>
      </w:pPr>
      <w:r w:rsidRPr="00DC6A4E">
        <w:rPr>
          <w:rStyle w:val="FootnoteReference"/>
          <w:rFonts w:ascii="Arial" w:hAnsi="Arial" w:cs="Arial"/>
        </w:rPr>
        <w:footnoteRef/>
      </w:r>
      <w:r w:rsidRPr="00DC6A4E">
        <w:rPr>
          <w:rFonts w:ascii="Arial" w:hAnsi="Arial" w:cs="Arial"/>
        </w:rPr>
        <w:t xml:space="preserve"> </w:t>
      </w:r>
      <w:r w:rsidRPr="00613F8E">
        <w:rPr>
          <w:rFonts w:ascii="Arial" w:hAnsi="Arial" w:cs="Arial"/>
          <w:sz w:val="16"/>
          <w:szCs w:val="16"/>
        </w:rPr>
        <w:t>See “Total workload” above</w:t>
      </w:r>
    </w:p>
  </w:footnote>
  <w:footnote w:id="29">
    <w:p w14:paraId="72030838" w14:textId="58144122" w:rsidR="005444F9" w:rsidRPr="00613F8E" w:rsidRDefault="005444F9" w:rsidP="005A1F7F">
      <w:pPr>
        <w:pStyle w:val="FootnoteText"/>
        <w:rPr>
          <w:rFonts w:ascii="Arial" w:hAnsi="Arial" w:cs="Arial"/>
          <w:sz w:val="16"/>
          <w:szCs w:val="16"/>
        </w:rPr>
      </w:pPr>
      <w:r w:rsidRPr="00613F8E">
        <w:rPr>
          <w:rStyle w:val="FootnoteReference"/>
          <w:rFonts w:ascii="Arial" w:hAnsi="Arial" w:cs="Arial"/>
          <w:szCs w:val="16"/>
        </w:rPr>
        <w:footnoteRef/>
      </w:r>
      <w:r w:rsidRPr="00613F8E">
        <w:rPr>
          <w:rFonts w:ascii="Arial" w:hAnsi="Arial" w:cs="Arial"/>
          <w:sz w:val="16"/>
          <w:szCs w:val="16"/>
        </w:rPr>
        <w:t xml:space="preserve"> See the ratios for applications and renewals in “Total workload”, above</w:t>
      </w:r>
      <w:r>
        <w:rPr>
          <w:rFonts w:ascii="Arial" w:hAnsi="Arial" w:cs="Arial"/>
          <w:sz w:val="16"/>
          <w:szCs w:val="16"/>
        </w:rPr>
        <w:t>.</w:t>
      </w:r>
    </w:p>
  </w:footnote>
  <w:footnote w:id="30">
    <w:p w14:paraId="19F0BC4A" w14:textId="05647111" w:rsidR="005444F9" w:rsidRDefault="005444F9">
      <w:pPr>
        <w:pStyle w:val="FootnoteText"/>
      </w:pPr>
      <w:r w:rsidRPr="003B57BC">
        <w:rPr>
          <w:rStyle w:val="FootnoteReference"/>
          <w:rFonts w:ascii="Arial" w:hAnsi="Arial" w:cs="Arial"/>
          <w:sz w:val="16"/>
          <w:szCs w:val="16"/>
        </w:rPr>
        <w:footnoteRef/>
      </w:r>
      <w:r w:rsidRPr="003B57BC">
        <w:rPr>
          <w:rFonts w:ascii="Arial" w:hAnsi="Arial" w:cs="Arial"/>
          <w:sz w:val="16"/>
          <w:szCs w:val="16"/>
        </w:rPr>
        <w:t xml:space="preserve"> </w:t>
      </w:r>
      <w:r w:rsidRPr="003B57BC">
        <w:rPr>
          <w:rFonts w:ascii="Arial" w:eastAsiaTheme="minorHAnsi" w:hAnsi="Arial" w:cs="Arial"/>
          <w:bCs/>
          <w:i/>
          <w:sz w:val="16"/>
          <w:szCs w:val="16"/>
        </w:rPr>
        <w:t>Salary scale for the Professional and higher categories as of 1 Jan 2015;  Pensionable remuneration scale as of February</w:t>
      </w:r>
      <w:r>
        <w:rPr>
          <w:rFonts w:ascii="Arial" w:eastAsiaTheme="minorHAnsi" w:hAnsi="Arial" w:cs="Arial"/>
          <w:bCs/>
          <w:i/>
          <w:sz w:val="16"/>
          <w:szCs w:val="16"/>
        </w:rPr>
        <w:t> </w:t>
      </w:r>
      <w:r w:rsidRPr="003B57BC">
        <w:rPr>
          <w:rFonts w:ascii="Arial" w:eastAsiaTheme="minorHAnsi" w:hAnsi="Arial" w:cs="Arial"/>
          <w:bCs/>
          <w:i/>
          <w:sz w:val="16"/>
          <w:szCs w:val="16"/>
        </w:rPr>
        <w:t>2013</w:t>
      </w:r>
      <w:r>
        <w:rPr>
          <w:rFonts w:ascii="Arial" w:eastAsiaTheme="minorHAnsi" w:hAnsi="Arial" w:cs="Arial"/>
          <w:bCs/>
          <w:i/>
          <w:sz w:val="16"/>
          <w:szCs w:val="16"/>
        </w:rPr>
        <w:t xml:space="preserve">;  </w:t>
      </w:r>
      <w:r w:rsidRPr="003B57BC">
        <w:rPr>
          <w:rFonts w:ascii="Arial" w:eastAsiaTheme="minorHAnsi" w:hAnsi="Arial" w:cs="Arial"/>
          <w:bCs/>
          <w:i/>
          <w:sz w:val="16"/>
          <w:szCs w:val="16"/>
        </w:rPr>
        <w:t xml:space="preserve">General Service Category </w:t>
      </w:r>
      <w:r w:rsidRPr="00FB68E0">
        <w:rPr>
          <w:rFonts w:ascii="Arial" w:eastAsiaTheme="minorHAnsi" w:hAnsi="Arial" w:cs="Arial"/>
          <w:bCs/>
          <w:i/>
          <w:sz w:val="16"/>
          <w:szCs w:val="16"/>
        </w:rPr>
        <w:t>Annual salaries and Allowances as of 1 April 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2D2D8" w14:textId="027F1237" w:rsidR="005444F9" w:rsidRPr="008D4CE9" w:rsidRDefault="005444F9" w:rsidP="008D4CE9">
    <w:pPr>
      <w:pStyle w:val="Header"/>
      <w:jc w:val="right"/>
      <w:rPr>
        <w:rFonts w:ascii="Arial" w:hAnsi="Arial" w:cs="Arial"/>
      </w:rPr>
    </w:pPr>
    <w:r w:rsidRPr="008D4CE9">
      <w:rPr>
        <w:rFonts w:ascii="Arial" w:hAnsi="Arial" w:cs="Arial"/>
      </w:rPr>
      <w:t>WO/PBC/24/11</w:t>
    </w:r>
  </w:p>
  <w:p w14:paraId="74A1748A" w14:textId="4894B359" w:rsidR="005444F9" w:rsidRPr="008D4CE9" w:rsidRDefault="005444F9" w:rsidP="008D4CE9">
    <w:pPr>
      <w:pStyle w:val="Header"/>
      <w:jc w:val="right"/>
      <w:rPr>
        <w:rFonts w:ascii="Arial" w:hAnsi="Arial" w:cs="Arial"/>
      </w:rPr>
    </w:pPr>
    <w:r w:rsidRPr="008D4CE9">
      <w:rPr>
        <w:rFonts w:ascii="Arial" w:hAnsi="Arial" w:cs="Arial"/>
      </w:rPr>
      <w:t>page 2</w:t>
    </w:r>
  </w:p>
  <w:p w14:paraId="5FEA83C6" w14:textId="77777777" w:rsidR="005444F9" w:rsidRPr="008D4CE9" w:rsidRDefault="005444F9" w:rsidP="008D4CE9">
    <w:pPr>
      <w:pStyle w:val="Header"/>
      <w:jc w:val="right"/>
      <w:rPr>
        <w:rFonts w:ascii="Arial" w:hAnsi="Arial" w:cs="Arial"/>
      </w:rPr>
    </w:pPr>
  </w:p>
  <w:p w14:paraId="42CE1AD3" w14:textId="77777777" w:rsidR="005444F9" w:rsidRPr="008D4CE9" w:rsidRDefault="005444F9" w:rsidP="008D4CE9">
    <w:pPr>
      <w:pStyle w:val="Header"/>
      <w:jc w:val="right"/>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CFDBB5" w14:textId="76D3A3EF" w:rsidR="005444F9" w:rsidRPr="00BA43A0" w:rsidRDefault="005444F9" w:rsidP="00BA43A0">
    <w:pPr>
      <w:pStyle w:val="Header"/>
      <w:jc w:val="right"/>
      <w:rPr>
        <w:rFonts w:ascii="Arial" w:hAnsi="Arial" w:cs="Arial"/>
        <w:b/>
        <w:sz w:val="18"/>
      </w:rPr>
    </w:pPr>
    <w:r>
      <w:rPr>
        <w:rFonts w:ascii="Arial" w:hAnsi="Arial" w:cs="Arial"/>
        <w:b/>
        <w:sz w:val="18"/>
      </w:rPr>
      <w:t>Proposed Program and Budget 2016/17</w:t>
    </w:r>
  </w:p>
  <w:p w14:paraId="322C83B9" w14:textId="77777777" w:rsidR="005444F9" w:rsidRPr="000D7C57" w:rsidRDefault="005444F9">
    <w:pPr>
      <w:pStyle w:val="Header"/>
      <w:rPr>
        <w:rFonts w:ascii="Arial" w:hAnsi="Arial" w:cs="Arial"/>
        <w:sz w:val="18"/>
        <w:szCs w:val="18"/>
      </w:rPr>
    </w:pPr>
  </w:p>
  <w:p w14:paraId="70C6294B" w14:textId="77777777" w:rsidR="005444F9" w:rsidRPr="000D7C57" w:rsidRDefault="005444F9">
    <w:pPr>
      <w:pStyle w:val="Header"/>
      <w:rPr>
        <w:rFonts w:ascii="Arial" w:hAnsi="Arial" w:cs="Arial"/>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B14B9A" w14:textId="77777777" w:rsidR="005444F9" w:rsidRPr="00421CA2" w:rsidRDefault="005444F9" w:rsidP="0012156E">
    <w:pPr>
      <w:pStyle w:val="Header"/>
      <w:jc w:val="right"/>
      <w:rPr>
        <w:rFonts w:ascii="Arial" w:hAnsi="Arial" w:cs="Arial"/>
      </w:rPr>
    </w:pPr>
    <w:r w:rsidRPr="00421CA2">
      <w:rPr>
        <w:rFonts w:ascii="Arial" w:hAnsi="Arial" w:cs="Arial"/>
      </w:rPr>
      <w:t>WO/PBC/24/11</w:t>
    </w:r>
  </w:p>
  <w:p w14:paraId="6EAE2D02" w14:textId="77777777" w:rsidR="005444F9" w:rsidRPr="00421CA2" w:rsidRDefault="005444F9" w:rsidP="0012156E">
    <w:pPr>
      <w:pStyle w:val="Header"/>
      <w:jc w:val="right"/>
      <w:rPr>
        <w:rFonts w:ascii="Arial" w:hAnsi="Arial" w:cs="Arial"/>
      </w:rPr>
    </w:pPr>
    <w:r>
      <w:rPr>
        <w:rFonts w:ascii="Arial" w:hAnsi="Arial" w:cs="Arial"/>
      </w:rPr>
      <w:t>p</w:t>
    </w:r>
    <w:r w:rsidRPr="00421CA2">
      <w:rPr>
        <w:rFonts w:ascii="Arial" w:hAnsi="Arial" w:cs="Arial"/>
      </w:rPr>
      <w:t>age 2</w:t>
    </w:r>
  </w:p>
  <w:p w14:paraId="06529F2E" w14:textId="77777777" w:rsidR="005444F9" w:rsidRDefault="005444F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75A211" w14:textId="77777777" w:rsidR="005444F9" w:rsidRPr="008D4CE9" w:rsidRDefault="005444F9" w:rsidP="008D4CE9">
    <w:pPr>
      <w:pStyle w:val="Header"/>
      <w:jc w:val="right"/>
      <w:rPr>
        <w:rFonts w:ascii="Arial" w:hAnsi="Arial" w:cs="Arial"/>
      </w:rPr>
    </w:pPr>
  </w:p>
  <w:p w14:paraId="5FD76D32" w14:textId="77777777" w:rsidR="005444F9" w:rsidRPr="008D4CE9" w:rsidRDefault="005444F9" w:rsidP="008D4CE9">
    <w:pPr>
      <w:pStyle w:val="Header"/>
      <w:jc w:val="right"/>
      <w:rPr>
        <w:rFonts w:ascii="Arial" w:hAnsi="Arial" w:cs="Aria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FC787A" w14:textId="544CFD2E" w:rsidR="005D689C" w:rsidRPr="00421CA2" w:rsidRDefault="005D689C" w:rsidP="0012156E">
    <w:pPr>
      <w:pStyle w:val="Header"/>
      <w:jc w:val="right"/>
      <w:rPr>
        <w:rFonts w:ascii="Arial" w:hAnsi="Arial" w:cs="Arial"/>
      </w:rPr>
    </w:pPr>
  </w:p>
  <w:p w14:paraId="0CA6C879" w14:textId="77777777" w:rsidR="005D689C" w:rsidRDefault="005D689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063503" w14:textId="7F4CF4CB" w:rsidR="005444F9" w:rsidRDefault="005444F9" w:rsidP="00F02301">
    <w:pPr>
      <w:pStyle w:val="Header"/>
      <w:rPr>
        <w:rFonts w:ascii="Arial" w:hAnsi="Arial" w:cs="Arial"/>
        <w:b/>
        <w:bCs/>
        <w:sz w:val="18"/>
        <w:szCs w:val="18"/>
      </w:rPr>
    </w:pPr>
    <w:r>
      <w:rPr>
        <w:rFonts w:ascii="Arial" w:hAnsi="Arial" w:cs="Arial"/>
        <w:b/>
        <w:bCs/>
        <w:sz w:val="18"/>
        <w:szCs w:val="18"/>
      </w:rPr>
      <w:t>Proposed Program and Budget 2016/17</w:t>
    </w:r>
  </w:p>
  <w:p w14:paraId="50C17726" w14:textId="77777777" w:rsidR="005444F9" w:rsidRDefault="005444F9" w:rsidP="00F02301">
    <w:pPr>
      <w:pStyle w:val="Header"/>
      <w:rPr>
        <w:rFonts w:ascii="Arial" w:hAnsi="Arial" w:cs="Arial"/>
        <w:b/>
        <w:bCs/>
        <w:sz w:val="18"/>
        <w:szCs w:val="18"/>
      </w:rPr>
    </w:pPr>
  </w:p>
  <w:p w14:paraId="5E2C87B5" w14:textId="77777777" w:rsidR="005444F9" w:rsidRPr="00B336F5" w:rsidRDefault="005444F9" w:rsidP="00F02301">
    <w:pPr>
      <w:pStyle w:val="Header"/>
      <w:rPr>
        <w:rFonts w:ascii="Arial" w:hAnsi="Arial" w:cs="Arial"/>
        <w:b/>
        <w:bCs/>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01393" w14:textId="4657FEDD" w:rsidR="005444F9" w:rsidRPr="0054556A" w:rsidRDefault="005444F9" w:rsidP="005A1F7F">
    <w:pPr>
      <w:pStyle w:val="Header"/>
      <w:rPr>
        <w:rFonts w:ascii="Arial" w:hAnsi="Arial" w:cs="Arial"/>
        <w:b/>
        <w:sz w:val="18"/>
        <w:szCs w:val="18"/>
      </w:rPr>
    </w:pPr>
    <w:r>
      <w:rPr>
        <w:rFonts w:ascii="Arial" w:hAnsi="Arial" w:cs="Arial"/>
        <w:b/>
        <w:sz w:val="18"/>
        <w:szCs w:val="18"/>
      </w:rPr>
      <w:t>Proposed Program and Budget 2016/17</w:t>
    </w:r>
  </w:p>
  <w:p w14:paraId="283BB942" w14:textId="77777777" w:rsidR="005444F9" w:rsidRDefault="005444F9" w:rsidP="005A1F7F">
    <w:pPr>
      <w:pStyle w:val="Header"/>
      <w:rPr>
        <w:rFonts w:ascii="Arial" w:hAnsi="Arial" w:cs="Arial"/>
        <w:sz w:val="18"/>
        <w:szCs w:val="18"/>
      </w:rPr>
    </w:pPr>
  </w:p>
  <w:p w14:paraId="163EDE10" w14:textId="77777777" w:rsidR="005444F9" w:rsidRPr="00101F3F" w:rsidRDefault="005444F9" w:rsidP="005A1F7F">
    <w:pPr>
      <w:pStyle w:val="Header"/>
      <w:jc w:val="right"/>
      <w:rPr>
        <w:rFonts w:ascii="Arial" w:hAnsi="Arial" w:cs="Arial"/>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3EC42" w14:textId="38D94C83" w:rsidR="005444F9" w:rsidRPr="0054556A" w:rsidRDefault="005444F9" w:rsidP="005A1F7F">
    <w:pPr>
      <w:pStyle w:val="Header"/>
      <w:jc w:val="right"/>
      <w:rPr>
        <w:rFonts w:ascii="Arial" w:hAnsi="Arial" w:cs="Arial"/>
        <w:b/>
        <w:sz w:val="18"/>
        <w:szCs w:val="18"/>
      </w:rPr>
    </w:pPr>
    <w:r>
      <w:rPr>
        <w:rFonts w:ascii="Arial" w:hAnsi="Arial" w:cs="Arial"/>
        <w:b/>
        <w:sz w:val="18"/>
        <w:szCs w:val="18"/>
      </w:rPr>
      <w:t>Proposed Program and Budget for 2016/17</w:t>
    </w:r>
  </w:p>
  <w:p w14:paraId="4FCB7984" w14:textId="77777777" w:rsidR="005444F9" w:rsidRDefault="005444F9" w:rsidP="005A1F7F">
    <w:pPr>
      <w:pStyle w:val="Header"/>
      <w:jc w:val="right"/>
      <w:rPr>
        <w:rFonts w:ascii="Arial" w:hAnsi="Arial" w:cs="Arial"/>
        <w:sz w:val="18"/>
        <w:szCs w:val="18"/>
      </w:rPr>
    </w:pPr>
  </w:p>
  <w:p w14:paraId="4C01991D" w14:textId="77777777" w:rsidR="005444F9" w:rsidRPr="00101F3F" w:rsidRDefault="005444F9" w:rsidP="005A1F7F">
    <w:pPr>
      <w:pStyle w:val="Header"/>
      <w:jc w:val="right"/>
      <w:rPr>
        <w:rFonts w:ascii="Arial" w:hAnsi="Arial" w:cs="Arial"/>
        <w:sz w:val="18"/>
        <w:szCs w:val="18"/>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8822D" w14:textId="2E8C26AB" w:rsidR="005444F9" w:rsidRPr="0054556A" w:rsidRDefault="005444F9" w:rsidP="00F04E0B">
    <w:pPr>
      <w:pStyle w:val="Header"/>
      <w:rPr>
        <w:rFonts w:ascii="Arial" w:hAnsi="Arial" w:cs="Arial"/>
        <w:b/>
        <w:sz w:val="18"/>
        <w:szCs w:val="18"/>
      </w:rPr>
    </w:pPr>
    <w:r>
      <w:rPr>
        <w:rFonts w:ascii="Arial" w:hAnsi="Arial" w:cs="Arial"/>
        <w:b/>
        <w:sz w:val="18"/>
        <w:szCs w:val="18"/>
      </w:rPr>
      <w:t>Proposed Program and Budget for 2016/17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multilevel"/>
    <w:tmpl w:val="89981690"/>
    <w:name w:val="WW8Num10"/>
    <w:lvl w:ilvl="0">
      <w:start w:val="1"/>
      <w:numFmt w:val="decimal"/>
      <w:lvlText w:val="15.%1."/>
      <w:lvlJc w:val="left"/>
      <w:pPr>
        <w:tabs>
          <w:tab w:val="num" w:pos="0"/>
        </w:tabs>
        <w:ind w:left="360" w:hanging="360"/>
      </w:pPr>
      <w:rPr>
        <w:rFonts w:hint="default"/>
        <w:color w:val="000000"/>
        <w:sz w:val="20"/>
        <w:szCs w:val="20"/>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nsid w:val="00000006"/>
    <w:multiLevelType w:val="singleLevel"/>
    <w:tmpl w:val="00000006"/>
    <w:name w:val="WW8Num15"/>
    <w:lvl w:ilvl="0">
      <w:start w:val="1"/>
      <w:numFmt w:val="bullet"/>
      <w:lvlText w:val=""/>
      <w:lvlJc w:val="left"/>
      <w:pPr>
        <w:tabs>
          <w:tab w:val="num" w:pos="0"/>
        </w:tabs>
        <w:ind w:left="720" w:hanging="360"/>
      </w:pPr>
      <w:rPr>
        <w:rFonts w:ascii="Symbol" w:hAnsi="Symbol" w:cs="Symbol" w:hint="default"/>
      </w:rPr>
    </w:lvl>
  </w:abstractNum>
  <w:abstractNum w:abstractNumId="2">
    <w:nsid w:val="05B068E2"/>
    <w:multiLevelType w:val="hybridMultilevel"/>
    <w:tmpl w:val="44549FEC"/>
    <w:lvl w:ilvl="0" w:tplc="F676B65C">
      <w:start w:val="1"/>
      <w:numFmt w:val="bullet"/>
      <w:lvlText w:val="-"/>
      <w:lvlJc w:val="left"/>
      <w:pPr>
        <w:ind w:left="720" w:hanging="360"/>
      </w:pPr>
      <w:rPr>
        <w:rFonts w:ascii="Arial" w:eastAsiaTheme="minorEastAsia" w:hAnsi="Arial" w:cs="Arial" w:hint="default"/>
      </w:rPr>
    </w:lvl>
    <w:lvl w:ilvl="1" w:tplc="C8088452">
      <w:start w:val="1"/>
      <w:numFmt w:val="bullet"/>
      <w:lvlText w:val="−"/>
      <w:lvlJc w:val="left"/>
      <w:pPr>
        <w:ind w:left="1440" w:hanging="360"/>
      </w:pPr>
      <w:rPr>
        <w:rFonts w:ascii="Arial" w:eastAsiaTheme="minorEastAsia"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9B6BCD"/>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BB7A06"/>
    <w:multiLevelType w:val="hybridMultilevel"/>
    <w:tmpl w:val="339EACD6"/>
    <w:lvl w:ilvl="0" w:tplc="04090001">
      <w:start w:val="1"/>
      <w:numFmt w:val="bullet"/>
      <w:lvlText w:val=""/>
      <w:lvlJc w:val="left"/>
      <w:pPr>
        <w:ind w:left="910" w:hanging="360"/>
      </w:pPr>
      <w:rPr>
        <w:rFonts w:ascii="Symbol" w:hAnsi="Symbo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5">
    <w:nsid w:val="09F65EB6"/>
    <w:multiLevelType w:val="hybridMultilevel"/>
    <w:tmpl w:val="2FE6E0EA"/>
    <w:lvl w:ilvl="0" w:tplc="C8143936">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DF6A28"/>
    <w:multiLevelType w:val="hybridMultilevel"/>
    <w:tmpl w:val="C262D1BE"/>
    <w:lvl w:ilvl="0" w:tplc="164CB550">
      <w:start w:val="1"/>
      <w:numFmt w:val="decimal"/>
      <w:lvlText w:val="28.%1."/>
      <w:lvlJc w:val="left"/>
      <w:pPr>
        <w:ind w:left="720" w:hanging="360"/>
      </w:pPr>
      <w:rPr>
        <w:rFonts w:ascii="Arial" w:hAnsi="Arial" w:cs="Aria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CE97CFA"/>
    <w:multiLevelType w:val="hybridMultilevel"/>
    <w:tmpl w:val="DC44AAB2"/>
    <w:lvl w:ilvl="0" w:tplc="16B451D6">
      <w:start w:val="1"/>
      <w:numFmt w:val="lowerRoman"/>
      <w:lvlText w:val="&quot;(%1)"/>
      <w:lvlJc w:val="left"/>
      <w:pPr>
        <w:ind w:left="1080" w:hanging="720"/>
      </w:pPr>
      <w:rPr>
        <w:rFonts w:hint="default"/>
      </w:rPr>
    </w:lvl>
    <w:lvl w:ilvl="1" w:tplc="6F160674">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03326C"/>
    <w:multiLevelType w:val="hybridMultilevel"/>
    <w:tmpl w:val="3C0877DC"/>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F097619"/>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2B244F"/>
    <w:multiLevelType w:val="hybridMultilevel"/>
    <w:tmpl w:val="097E91E2"/>
    <w:lvl w:ilvl="0" w:tplc="0C1A8E8A">
      <w:start w:val="1"/>
      <w:numFmt w:val="decimal"/>
      <w:lvlText w:val="%1."/>
      <w:lvlJc w:val="left"/>
      <w:pPr>
        <w:tabs>
          <w:tab w:val="num" w:pos="567"/>
        </w:tabs>
        <w:ind w:left="0" w:firstLine="0"/>
      </w:pPr>
      <w:rPr>
        <w:rFonts w:ascii="Arial" w:hAnsi="Arial" w:cs="Arial" w:hint="default"/>
        <w:b w:val="0"/>
        <w:bCs w:val="0"/>
        <w:i w:val="0"/>
        <w:iCs w:val="0"/>
        <w:sz w:val="20"/>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11">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FD92605"/>
    <w:multiLevelType w:val="hybridMultilevel"/>
    <w:tmpl w:val="99AABF1C"/>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10122768"/>
    <w:multiLevelType w:val="hybridMultilevel"/>
    <w:tmpl w:val="422AAD12"/>
    <w:lvl w:ilvl="0" w:tplc="3502E3B6">
      <w:start w:val="1"/>
      <w:numFmt w:val="decimal"/>
      <w:lvlText w:val="25.%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1547780"/>
    <w:multiLevelType w:val="hybridMultilevel"/>
    <w:tmpl w:val="2B9A23F0"/>
    <w:lvl w:ilvl="0" w:tplc="A3C68D84">
      <w:start w:val="1"/>
      <w:numFmt w:val="decimal"/>
      <w:lvlRestart w:val="0"/>
      <w:lvlText w:val="21.%1."/>
      <w:lvlJc w:val="left"/>
      <w:pPr>
        <w:tabs>
          <w:tab w:val="num" w:pos="680"/>
        </w:tabs>
        <w:ind w:left="0" w:firstLine="0"/>
      </w:pPr>
      <w:rPr>
        <w:rFonts w:ascii="Arial" w:hAnsi="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3794905"/>
    <w:multiLevelType w:val="hybridMultilevel"/>
    <w:tmpl w:val="1EFACF80"/>
    <w:lvl w:ilvl="0" w:tplc="C65EA48A">
      <w:start w:val="315"/>
      <w:numFmt w:val="bullet"/>
      <w:lvlText w:val=""/>
      <w:lvlJc w:val="left"/>
      <w:pPr>
        <w:tabs>
          <w:tab w:val="num" w:pos="1174"/>
        </w:tabs>
        <w:ind w:left="1174" w:hanging="454"/>
      </w:pPr>
      <w:rPr>
        <w:rFonts w:ascii="Symbol" w:eastAsia="Times New Roman" w:hAnsi="Symbol" w:cs="Times New Roman" w:hint="default"/>
        <w:sz w:val="22"/>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7">
    <w:nsid w:val="178B5A9C"/>
    <w:multiLevelType w:val="multilevel"/>
    <w:tmpl w:val="9BE89706"/>
    <w:lvl w:ilvl="0">
      <w:start w:val="1"/>
      <w:numFmt w:val="decimal"/>
      <w:lvlRestart w:val="0"/>
      <w:pStyle w:val="ONUME"/>
      <w:lvlText w:val="%1."/>
      <w:lvlJc w:val="left"/>
      <w:pPr>
        <w:tabs>
          <w:tab w:val="num" w:pos="567"/>
        </w:tabs>
        <w:ind w:left="0" w:firstLine="0"/>
      </w:pPr>
      <w:rPr>
        <w:rFonts w:hint="default"/>
        <w:b w:val="0"/>
        <w:bCs/>
        <w:i w:val="0"/>
        <w:sz w:val="22"/>
        <w:szCs w:val="22"/>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1B605764"/>
    <w:multiLevelType w:val="hybridMultilevel"/>
    <w:tmpl w:val="5C1E54E8"/>
    <w:lvl w:ilvl="0" w:tplc="5B683A3A">
      <w:start w:val="1"/>
      <w:numFmt w:val="upperRoman"/>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1207CBF"/>
    <w:multiLevelType w:val="hybridMultilevel"/>
    <w:tmpl w:val="E5D4A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2DD2783"/>
    <w:multiLevelType w:val="hybridMultilevel"/>
    <w:tmpl w:val="1EBA25D8"/>
    <w:lvl w:ilvl="0" w:tplc="D166BB9E">
      <w:start w:val="1"/>
      <w:numFmt w:val="decimal"/>
      <w:lvlText w:val="10.%1."/>
      <w:lvlJc w:val="left"/>
      <w:pPr>
        <w:ind w:left="723" w:hanging="360"/>
      </w:pPr>
      <w:rPr>
        <w:rFonts w:hint="default"/>
      </w:rPr>
    </w:lvl>
    <w:lvl w:ilvl="1" w:tplc="04090019" w:tentative="1">
      <w:start w:val="1"/>
      <w:numFmt w:val="lowerLetter"/>
      <w:lvlText w:val="%2."/>
      <w:lvlJc w:val="left"/>
      <w:pPr>
        <w:ind w:left="1443" w:hanging="360"/>
      </w:pPr>
    </w:lvl>
    <w:lvl w:ilvl="2" w:tplc="0409001B" w:tentative="1">
      <w:start w:val="1"/>
      <w:numFmt w:val="lowerRoman"/>
      <w:lvlText w:val="%3."/>
      <w:lvlJc w:val="right"/>
      <w:pPr>
        <w:ind w:left="2163" w:hanging="180"/>
      </w:pPr>
    </w:lvl>
    <w:lvl w:ilvl="3" w:tplc="0409000F" w:tentative="1">
      <w:start w:val="1"/>
      <w:numFmt w:val="decimal"/>
      <w:lvlText w:val="%4."/>
      <w:lvlJc w:val="left"/>
      <w:pPr>
        <w:ind w:left="2883" w:hanging="360"/>
      </w:pPr>
    </w:lvl>
    <w:lvl w:ilvl="4" w:tplc="04090019" w:tentative="1">
      <w:start w:val="1"/>
      <w:numFmt w:val="lowerLetter"/>
      <w:lvlText w:val="%5."/>
      <w:lvlJc w:val="left"/>
      <w:pPr>
        <w:ind w:left="3603" w:hanging="360"/>
      </w:pPr>
    </w:lvl>
    <w:lvl w:ilvl="5" w:tplc="0409001B" w:tentative="1">
      <w:start w:val="1"/>
      <w:numFmt w:val="lowerRoman"/>
      <w:lvlText w:val="%6."/>
      <w:lvlJc w:val="right"/>
      <w:pPr>
        <w:ind w:left="4323" w:hanging="180"/>
      </w:pPr>
    </w:lvl>
    <w:lvl w:ilvl="6" w:tplc="0409000F" w:tentative="1">
      <w:start w:val="1"/>
      <w:numFmt w:val="decimal"/>
      <w:lvlText w:val="%7."/>
      <w:lvlJc w:val="left"/>
      <w:pPr>
        <w:ind w:left="5043" w:hanging="360"/>
      </w:pPr>
    </w:lvl>
    <w:lvl w:ilvl="7" w:tplc="04090019" w:tentative="1">
      <w:start w:val="1"/>
      <w:numFmt w:val="lowerLetter"/>
      <w:lvlText w:val="%8."/>
      <w:lvlJc w:val="left"/>
      <w:pPr>
        <w:ind w:left="5763" w:hanging="360"/>
      </w:pPr>
    </w:lvl>
    <w:lvl w:ilvl="8" w:tplc="0409001B" w:tentative="1">
      <w:start w:val="1"/>
      <w:numFmt w:val="lowerRoman"/>
      <w:lvlText w:val="%9."/>
      <w:lvlJc w:val="right"/>
      <w:pPr>
        <w:ind w:left="6483" w:hanging="180"/>
      </w:pPr>
    </w:lvl>
  </w:abstractNum>
  <w:abstractNum w:abstractNumId="21">
    <w:nsid w:val="246747EC"/>
    <w:multiLevelType w:val="hybridMultilevel"/>
    <w:tmpl w:val="34AABE42"/>
    <w:lvl w:ilvl="0" w:tplc="AB8C9374">
      <w:start w:val="1"/>
      <w:numFmt w:val="decimal"/>
      <w:lvlText w:val="14.%1."/>
      <w:lvlJc w:val="left"/>
      <w:pPr>
        <w:tabs>
          <w:tab w:val="num" w:pos="825"/>
        </w:tabs>
        <w:ind w:left="142" w:firstLine="0"/>
      </w:pPr>
      <w:rPr>
        <w:rFonts w:ascii="Arial" w:hAnsi="Arial" w:cs="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24726D81"/>
    <w:multiLevelType w:val="hybridMultilevel"/>
    <w:tmpl w:val="259AE5A4"/>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3">
    <w:nsid w:val="24742D0B"/>
    <w:multiLevelType w:val="hybridMultilevel"/>
    <w:tmpl w:val="1BD0795C"/>
    <w:lvl w:ilvl="0" w:tplc="79A8C800">
      <w:start w:val="1"/>
      <w:numFmt w:val="decimal"/>
      <w:lvlText w:val="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6D44243"/>
    <w:multiLevelType w:val="hybridMultilevel"/>
    <w:tmpl w:val="2E9459EA"/>
    <w:lvl w:ilvl="0" w:tplc="035C5FD4">
      <w:start w:val="1"/>
      <w:numFmt w:val="decimal"/>
      <w:lvlText w:val="13.%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76A3D44"/>
    <w:multiLevelType w:val="hybridMultilevel"/>
    <w:tmpl w:val="9E909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7">
    <w:nsid w:val="2ADE3087"/>
    <w:multiLevelType w:val="multilevel"/>
    <w:tmpl w:val="D3785F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nsid w:val="2B0F0EBA"/>
    <w:multiLevelType w:val="hybridMultilevel"/>
    <w:tmpl w:val="8C087E52"/>
    <w:lvl w:ilvl="0" w:tplc="5EAED6BA">
      <w:start w:val="1"/>
      <w:numFmt w:val="decimal"/>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31">
    <w:nsid w:val="2EEA14E7"/>
    <w:multiLevelType w:val="hybridMultilevel"/>
    <w:tmpl w:val="3FB2F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F5B64AE"/>
    <w:multiLevelType w:val="hybridMultilevel"/>
    <w:tmpl w:val="41886E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31136CF2"/>
    <w:multiLevelType w:val="hybridMultilevel"/>
    <w:tmpl w:val="F9828D0E"/>
    <w:lvl w:ilvl="0" w:tplc="7A84B2F6">
      <w:start w:val="1"/>
      <w:numFmt w:val="decimal"/>
      <w:lvlRestart w:val="0"/>
      <w:lvlText w:val="22.%1."/>
      <w:lvlJc w:val="left"/>
      <w:pPr>
        <w:tabs>
          <w:tab w:val="num" w:pos="692"/>
        </w:tabs>
        <w:ind w:left="6" w:firstLine="0"/>
      </w:pPr>
      <w:rPr>
        <w:rFonts w:ascii="Arial" w:hAnsi="Arial" w:hint="default"/>
        <w:b w:val="0"/>
        <w:bCs/>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31402651"/>
    <w:multiLevelType w:val="hybridMultilevel"/>
    <w:tmpl w:val="6C00A2A8"/>
    <w:lvl w:ilvl="0" w:tplc="21FAD320">
      <w:start w:val="1"/>
      <w:numFmt w:val="lowerRoman"/>
      <w:lvlText w:val="(%1)"/>
      <w:lvlJc w:val="left"/>
      <w:pPr>
        <w:ind w:left="1080" w:hanging="720"/>
      </w:pPr>
      <w:rPr>
        <w:rFonts w:hint="default"/>
      </w:r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36">
    <w:nsid w:val="359C70C3"/>
    <w:multiLevelType w:val="hybridMultilevel"/>
    <w:tmpl w:val="6BA8A470"/>
    <w:lvl w:ilvl="0" w:tplc="BAAC1246">
      <w:start w:val="26"/>
      <w:numFmt w:val="bullet"/>
      <w:lvlText w:val="-"/>
      <w:lvlJc w:val="left"/>
      <w:pPr>
        <w:ind w:left="2138" w:hanging="360"/>
      </w:pPr>
      <w:rPr>
        <w:rFonts w:ascii="Arial" w:eastAsia="SimSun" w:hAnsi="Arial" w:cs="Aria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7">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8DD3D4B"/>
    <w:multiLevelType w:val="multilevel"/>
    <w:tmpl w:val="769CC524"/>
    <w:lvl w:ilvl="0">
      <w:start w:val="8"/>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38F41C59"/>
    <w:multiLevelType w:val="hybridMultilevel"/>
    <w:tmpl w:val="A0C2C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B0736D2"/>
    <w:multiLevelType w:val="multilevel"/>
    <w:tmpl w:val="D3D29B48"/>
    <w:lvl w:ilvl="0">
      <w:start w:val="7"/>
      <w:numFmt w:val="decimal"/>
      <w:lvlText w:val="%1"/>
      <w:lvlJc w:val="left"/>
      <w:pPr>
        <w:ind w:hanging="692"/>
      </w:pPr>
      <w:rPr>
        <w:rFonts w:hint="default"/>
      </w:rPr>
    </w:lvl>
    <w:lvl w:ilvl="1">
      <w:start w:val="1"/>
      <w:numFmt w:val="decimal"/>
      <w:lvlText w:val="%1.%2."/>
      <w:lvlJc w:val="left"/>
      <w:pPr>
        <w:ind w:hanging="692"/>
        <w:jc w:val="right"/>
      </w:pPr>
      <w:rPr>
        <w:rFonts w:ascii="Arial" w:eastAsia="Arial" w:hAnsi="Arial" w:hint="default"/>
        <w:color w:val="auto"/>
        <w:w w:val="98"/>
        <w:position w:val="1"/>
        <w:sz w:val="20"/>
        <w:szCs w:val="20"/>
      </w:rPr>
    </w:lvl>
    <w:lvl w:ilvl="2">
      <w:start w:val="1"/>
      <w:numFmt w:val="lowerRoman"/>
      <w:lvlText w:val="(%3)"/>
      <w:lvlJc w:val="left"/>
      <w:pPr>
        <w:ind w:hanging="562"/>
      </w:pPr>
      <w:rPr>
        <w:rFonts w:ascii="Arial" w:eastAsia="Arial" w:hAnsi="Arial"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2">
    <w:nsid w:val="3B9C7EF3"/>
    <w:multiLevelType w:val="hybridMultilevel"/>
    <w:tmpl w:val="BE26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C821317"/>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D03526B"/>
    <w:multiLevelType w:val="hybridMultilevel"/>
    <w:tmpl w:val="7E726122"/>
    <w:lvl w:ilvl="0" w:tplc="83246E14">
      <w:start w:val="1"/>
      <w:numFmt w:val="decimal"/>
      <w:lvlText w:val="2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E8703BF"/>
    <w:multiLevelType w:val="hybridMultilevel"/>
    <w:tmpl w:val="DF60092C"/>
    <w:lvl w:ilvl="0" w:tplc="5144F034">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3EAF0971"/>
    <w:multiLevelType w:val="hybridMultilevel"/>
    <w:tmpl w:val="FD4E56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FA85A25"/>
    <w:multiLevelType w:val="hybridMultilevel"/>
    <w:tmpl w:val="EB3E49EE"/>
    <w:lvl w:ilvl="0" w:tplc="1AA0ABC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8">
    <w:nsid w:val="3FB71A0F"/>
    <w:multiLevelType w:val="hybridMultilevel"/>
    <w:tmpl w:val="EC283824"/>
    <w:lvl w:ilvl="0" w:tplc="C53C0112">
      <w:start w:val="1"/>
      <w:numFmt w:val="decimal"/>
      <w:lvlRestart w:val="0"/>
      <w:lvlText w:val="16.%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410F0D6F"/>
    <w:multiLevelType w:val="hybridMultilevel"/>
    <w:tmpl w:val="7D36EC52"/>
    <w:lvl w:ilvl="0" w:tplc="CEA40F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44DE445F"/>
    <w:multiLevelType w:val="hybridMultilevel"/>
    <w:tmpl w:val="2E92E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56276BB"/>
    <w:multiLevelType w:val="multilevel"/>
    <w:tmpl w:val="8F6C9D52"/>
    <w:lvl w:ilvl="0">
      <w:start w:val="1"/>
      <w:numFmt w:val="decimal"/>
      <w:lvlText w:val="9.%1."/>
      <w:lvlJc w:val="left"/>
      <w:pPr>
        <w:ind w:left="0" w:firstLine="0"/>
      </w:pPr>
      <w:rPr>
        <w:rFonts w:hint="default"/>
        <w:b w:val="0"/>
        <w:sz w:val="20"/>
      </w:rPr>
    </w:lvl>
    <w:lvl w:ilvl="1">
      <w:start w:val="1"/>
      <w:numFmt w:val="none"/>
      <w:lvlText w:val=""/>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nsid w:val="49005B30"/>
    <w:multiLevelType w:val="hybridMultilevel"/>
    <w:tmpl w:val="695A2CCC"/>
    <w:lvl w:ilvl="0" w:tplc="00867520">
      <w:start w:val="1"/>
      <w:numFmt w:val="decimal"/>
      <w:lvlText w:val="30.%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49A91F7F"/>
    <w:multiLevelType w:val="hybridMultilevel"/>
    <w:tmpl w:val="E0467898"/>
    <w:lvl w:ilvl="0" w:tplc="BC0A62E8">
      <w:start w:val="1"/>
      <w:numFmt w:val="decimal"/>
      <w:lvlRestart w:val="0"/>
      <w:lvlText w:val="3.%1."/>
      <w:lvlJc w:val="left"/>
      <w:pPr>
        <w:tabs>
          <w:tab w:val="num" w:pos="680"/>
        </w:tabs>
        <w:ind w:left="0" w:firstLine="0"/>
      </w:pPr>
      <w:rPr>
        <w:rFonts w:ascii="Arial" w:hAnsi="Arial" w:cs="Arial" w:hint="default"/>
        <w:sz w:val="20"/>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4A4034CD"/>
    <w:multiLevelType w:val="hybridMultilevel"/>
    <w:tmpl w:val="C61E1F84"/>
    <w:lvl w:ilvl="0" w:tplc="2E60A370">
      <w:start w:val="1"/>
      <w:numFmt w:val="decimal"/>
      <w:lvlRestart w:val="0"/>
      <w:lvlText w:val="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4A4579BD"/>
    <w:multiLevelType w:val="hybridMultilevel"/>
    <w:tmpl w:val="11123082"/>
    <w:lvl w:ilvl="0" w:tplc="BDB20DE6">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4C5F1D14"/>
    <w:multiLevelType w:val="hybridMultilevel"/>
    <w:tmpl w:val="64B4A4B8"/>
    <w:lvl w:ilvl="0" w:tplc="386031BA">
      <w:start w:val="1"/>
      <w:numFmt w:val="decimal"/>
      <w:lvlRestart w:val="0"/>
      <w:lvlText w:val="3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nsid w:val="56F411C0"/>
    <w:multiLevelType w:val="hybridMultilevel"/>
    <w:tmpl w:val="F0322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A232C8B"/>
    <w:multiLevelType w:val="hybridMultilevel"/>
    <w:tmpl w:val="0276A39C"/>
    <w:lvl w:ilvl="0" w:tplc="75FA653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D3D3D0D"/>
    <w:multiLevelType w:val="hybridMultilevel"/>
    <w:tmpl w:val="7A4297A0"/>
    <w:lvl w:ilvl="0" w:tplc="51185FBE">
      <w:start w:val="1"/>
      <w:numFmt w:val="decimal"/>
      <w:lvlRestart w:val="0"/>
      <w:lvlText w:val="19.%1."/>
      <w:lvlJc w:val="left"/>
      <w:pPr>
        <w:tabs>
          <w:tab w:val="num" w:pos="680"/>
        </w:tabs>
        <w:ind w:left="0" w:firstLine="0"/>
      </w:pPr>
      <w:rPr>
        <w:rFonts w:ascii="Arial" w:hAnsi="Arial" w:hint="default"/>
        <w:color w:val="auto"/>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5E342860"/>
    <w:multiLevelType w:val="hybridMultilevel"/>
    <w:tmpl w:val="98F464D2"/>
    <w:lvl w:ilvl="0" w:tplc="51185FBE">
      <w:start w:val="1"/>
      <w:numFmt w:val="decimal"/>
      <w:lvlRestart w:val="0"/>
      <w:lvlText w:val="1.%1."/>
      <w:lvlJc w:val="left"/>
      <w:pPr>
        <w:tabs>
          <w:tab w:val="num" w:pos="567"/>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nsid w:val="62563674"/>
    <w:multiLevelType w:val="hybridMultilevel"/>
    <w:tmpl w:val="50449E1C"/>
    <w:lvl w:ilvl="0" w:tplc="9F8EB1FA">
      <w:start w:val="1"/>
      <w:numFmt w:val="decimal"/>
      <w:lvlText w:val="2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63895133"/>
    <w:multiLevelType w:val="hybridMultilevel"/>
    <w:tmpl w:val="7A70A7FA"/>
    <w:lvl w:ilvl="0" w:tplc="05FE42D0">
      <w:start w:val="1"/>
      <w:numFmt w:val="lowerRoman"/>
      <w:lvlRestart w:val="0"/>
      <w:lvlText w:val="&quot;(%1)"/>
      <w:lvlJc w:val="left"/>
      <w:pPr>
        <w:tabs>
          <w:tab w:val="num" w:pos="1146"/>
        </w:tabs>
        <w:ind w:left="1060" w:hanging="34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64055856"/>
    <w:multiLevelType w:val="hybridMultilevel"/>
    <w:tmpl w:val="DB529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67A16AF"/>
    <w:multiLevelType w:val="hybridMultilevel"/>
    <w:tmpl w:val="72D277D2"/>
    <w:lvl w:ilvl="0" w:tplc="5EAED6BA">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6D2A2112"/>
    <w:multiLevelType w:val="hybridMultilevel"/>
    <w:tmpl w:val="EDDE20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6F514886"/>
    <w:multiLevelType w:val="hybridMultilevel"/>
    <w:tmpl w:val="39A839DA"/>
    <w:lvl w:ilvl="0" w:tplc="8214C132">
      <w:start w:val="1"/>
      <w:numFmt w:val="decimal"/>
      <w:lvlText w:val="11.%1."/>
      <w:lvlJc w:val="left"/>
      <w:pPr>
        <w:ind w:left="4188" w:hanging="360"/>
      </w:pPr>
      <w:rPr>
        <w:rFonts w:hint="default"/>
      </w:rPr>
    </w:lvl>
    <w:lvl w:ilvl="1" w:tplc="04090019" w:tentative="1">
      <w:start w:val="1"/>
      <w:numFmt w:val="lowerLetter"/>
      <w:lvlText w:val="%2."/>
      <w:lvlJc w:val="left"/>
      <w:pPr>
        <w:ind w:left="4908" w:hanging="360"/>
      </w:pPr>
    </w:lvl>
    <w:lvl w:ilvl="2" w:tplc="0409001B" w:tentative="1">
      <w:start w:val="1"/>
      <w:numFmt w:val="lowerRoman"/>
      <w:lvlText w:val="%3."/>
      <w:lvlJc w:val="right"/>
      <w:pPr>
        <w:ind w:left="5628" w:hanging="180"/>
      </w:pPr>
    </w:lvl>
    <w:lvl w:ilvl="3" w:tplc="0409000F" w:tentative="1">
      <w:start w:val="1"/>
      <w:numFmt w:val="decimal"/>
      <w:lvlText w:val="%4."/>
      <w:lvlJc w:val="left"/>
      <w:pPr>
        <w:ind w:left="6348" w:hanging="360"/>
      </w:pPr>
    </w:lvl>
    <w:lvl w:ilvl="4" w:tplc="04090019" w:tentative="1">
      <w:start w:val="1"/>
      <w:numFmt w:val="lowerLetter"/>
      <w:lvlText w:val="%5."/>
      <w:lvlJc w:val="left"/>
      <w:pPr>
        <w:ind w:left="7068" w:hanging="360"/>
      </w:pPr>
    </w:lvl>
    <w:lvl w:ilvl="5" w:tplc="0409001B" w:tentative="1">
      <w:start w:val="1"/>
      <w:numFmt w:val="lowerRoman"/>
      <w:lvlText w:val="%6."/>
      <w:lvlJc w:val="right"/>
      <w:pPr>
        <w:ind w:left="7788" w:hanging="180"/>
      </w:pPr>
    </w:lvl>
    <w:lvl w:ilvl="6" w:tplc="0409000F" w:tentative="1">
      <w:start w:val="1"/>
      <w:numFmt w:val="decimal"/>
      <w:lvlText w:val="%7."/>
      <w:lvlJc w:val="left"/>
      <w:pPr>
        <w:ind w:left="8508" w:hanging="360"/>
      </w:pPr>
    </w:lvl>
    <w:lvl w:ilvl="7" w:tplc="04090019" w:tentative="1">
      <w:start w:val="1"/>
      <w:numFmt w:val="lowerLetter"/>
      <w:lvlText w:val="%8."/>
      <w:lvlJc w:val="left"/>
      <w:pPr>
        <w:ind w:left="9228" w:hanging="360"/>
      </w:pPr>
    </w:lvl>
    <w:lvl w:ilvl="8" w:tplc="0409001B" w:tentative="1">
      <w:start w:val="1"/>
      <w:numFmt w:val="lowerRoman"/>
      <w:lvlText w:val="%9."/>
      <w:lvlJc w:val="right"/>
      <w:pPr>
        <w:ind w:left="9948" w:hanging="180"/>
      </w:pPr>
    </w:lvl>
  </w:abstractNum>
  <w:abstractNum w:abstractNumId="70">
    <w:nsid w:val="71146A48"/>
    <w:multiLevelType w:val="hybridMultilevel"/>
    <w:tmpl w:val="32DC7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35A0CB6"/>
    <w:multiLevelType w:val="hybridMultilevel"/>
    <w:tmpl w:val="053655DC"/>
    <w:lvl w:ilvl="0" w:tplc="04090001">
      <w:start w:val="1"/>
      <w:numFmt w:val="bullet"/>
      <w:lvlText w:val=""/>
      <w:lvlJc w:val="left"/>
      <w:pPr>
        <w:ind w:left="1800" w:hanging="360"/>
      </w:pPr>
      <w:rPr>
        <w:rFonts w:ascii="Symbol" w:hAnsi="Symbol" w:hint="default"/>
        <w:color w:val="000000"/>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2">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45E1086"/>
    <w:multiLevelType w:val="hybridMultilevel"/>
    <w:tmpl w:val="1D86F986"/>
    <w:lvl w:ilvl="0" w:tplc="83EC8574">
      <w:start w:val="1"/>
      <w:numFmt w:val="decimal"/>
      <w:lvlText w:val="1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77850D78"/>
    <w:multiLevelType w:val="hybridMultilevel"/>
    <w:tmpl w:val="87B0E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7E73C2A"/>
    <w:multiLevelType w:val="hybridMultilevel"/>
    <w:tmpl w:val="37426470"/>
    <w:lvl w:ilvl="0" w:tplc="E788FC56">
      <w:start w:val="1"/>
      <w:numFmt w:val="decimal"/>
      <w:lvlText w:val="23.%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nsid w:val="79DE1A8F"/>
    <w:multiLevelType w:val="hybridMultilevel"/>
    <w:tmpl w:val="C9460A80"/>
    <w:lvl w:ilvl="0" w:tplc="2892CBB2">
      <w:start w:val="1"/>
      <w:numFmt w:val="decimal"/>
      <w:lvlRestart w:val="0"/>
      <w:lvlText w:val="20.%1."/>
      <w:lvlJc w:val="left"/>
      <w:pPr>
        <w:tabs>
          <w:tab w:val="num" w:pos="680"/>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7BEA236F"/>
    <w:multiLevelType w:val="hybridMultilevel"/>
    <w:tmpl w:val="B7DC0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FC21B01"/>
    <w:multiLevelType w:val="hybridMultilevel"/>
    <w:tmpl w:val="82E29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61"/>
  </w:num>
  <w:num w:numId="3">
    <w:abstractNumId w:val="54"/>
  </w:num>
  <w:num w:numId="4">
    <w:abstractNumId w:val="53"/>
  </w:num>
  <w:num w:numId="5">
    <w:abstractNumId w:val="55"/>
  </w:num>
  <w:num w:numId="6">
    <w:abstractNumId w:val="45"/>
  </w:num>
  <w:num w:numId="7">
    <w:abstractNumId w:val="8"/>
  </w:num>
  <w:num w:numId="8">
    <w:abstractNumId w:val="23"/>
  </w:num>
  <w:num w:numId="9">
    <w:abstractNumId w:val="41"/>
  </w:num>
  <w:num w:numId="10">
    <w:abstractNumId w:val="39"/>
  </w:num>
  <w:num w:numId="11">
    <w:abstractNumId w:val="51"/>
  </w:num>
  <w:num w:numId="12">
    <w:abstractNumId w:val="49"/>
  </w:num>
  <w:num w:numId="13">
    <w:abstractNumId w:val="69"/>
  </w:num>
  <w:num w:numId="14">
    <w:abstractNumId w:val="73"/>
  </w:num>
  <w:num w:numId="15">
    <w:abstractNumId w:val="24"/>
  </w:num>
  <w:num w:numId="16">
    <w:abstractNumId w:val="21"/>
  </w:num>
  <w:num w:numId="17">
    <w:abstractNumId w:val="0"/>
  </w:num>
  <w:num w:numId="18">
    <w:abstractNumId w:val="1"/>
  </w:num>
  <w:num w:numId="19">
    <w:abstractNumId w:val="48"/>
  </w:num>
  <w:num w:numId="20">
    <w:abstractNumId w:val="59"/>
  </w:num>
  <w:num w:numId="21">
    <w:abstractNumId w:val="14"/>
  </w:num>
  <w:num w:numId="22">
    <w:abstractNumId w:val="66"/>
  </w:num>
  <w:num w:numId="23">
    <w:abstractNumId w:val="75"/>
  </w:num>
  <w:num w:numId="24">
    <w:abstractNumId w:val="5"/>
  </w:num>
  <w:num w:numId="25">
    <w:abstractNumId w:val="33"/>
  </w:num>
  <w:num w:numId="26">
    <w:abstractNumId w:val="52"/>
  </w:num>
  <w:num w:numId="27">
    <w:abstractNumId w:val="13"/>
  </w:num>
  <w:num w:numId="28">
    <w:abstractNumId w:val="63"/>
  </w:num>
  <w:num w:numId="29">
    <w:abstractNumId w:val="44"/>
  </w:num>
  <w:num w:numId="30">
    <w:abstractNumId w:val="6"/>
  </w:num>
  <w:num w:numId="31">
    <w:abstractNumId w:val="56"/>
  </w:num>
  <w:num w:numId="32">
    <w:abstractNumId w:val="27"/>
  </w:num>
  <w:num w:numId="33">
    <w:abstractNumId w:val="68"/>
  </w:num>
  <w:num w:numId="34">
    <w:abstractNumId w:val="71"/>
  </w:num>
  <w:num w:numId="35">
    <w:abstractNumId w:val="36"/>
  </w:num>
  <w:num w:numId="36">
    <w:abstractNumId w:val="20"/>
  </w:num>
  <w:num w:numId="37">
    <w:abstractNumId w:val="10"/>
  </w:num>
  <w:num w:numId="38">
    <w:abstractNumId w:val="28"/>
  </w:num>
  <w:num w:numId="39">
    <w:abstractNumId w:val="37"/>
  </w:num>
  <w:num w:numId="40">
    <w:abstractNumId w:val="62"/>
  </w:num>
  <w:num w:numId="41">
    <w:abstractNumId w:val="15"/>
  </w:num>
  <w:num w:numId="42">
    <w:abstractNumId w:val="67"/>
  </w:num>
  <w:num w:numId="43">
    <w:abstractNumId w:val="4"/>
  </w:num>
  <w:num w:numId="44">
    <w:abstractNumId w:val="18"/>
  </w:num>
  <w:num w:numId="45">
    <w:abstractNumId w:val="32"/>
  </w:num>
  <w:num w:numId="46">
    <w:abstractNumId w:val="70"/>
  </w:num>
  <w:num w:numId="47">
    <w:abstractNumId w:val="40"/>
  </w:num>
  <w:num w:numId="48">
    <w:abstractNumId w:val="38"/>
  </w:num>
  <w:num w:numId="49">
    <w:abstractNumId w:val="72"/>
  </w:num>
  <w:num w:numId="50">
    <w:abstractNumId w:val="78"/>
  </w:num>
  <w:num w:numId="51">
    <w:abstractNumId w:val="58"/>
  </w:num>
  <w:num w:numId="52">
    <w:abstractNumId w:val="77"/>
  </w:num>
  <w:num w:numId="53">
    <w:abstractNumId w:val="25"/>
  </w:num>
  <w:num w:numId="54">
    <w:abstractNumId w:val="42"/>
  </w:num>
  <w:num w:numId="55">
    <w:abstractNumId w:val="65"/>
  </w:num>
  <w:num w:numId="56">
    <w:abstractNumId w:val="57"/>
  </w:num>
  <w:num w:numId="57">
    <w:abstractNumId w:val="74"/>
  </w:num>
  <w:num w:numId="58">
    <w:abstractNumId w:val="50"/>
  </w:num>
  <w:num w:numId="59">
    <w:abstractNumId w:val="19"/>
  </w:num>
  <w:num w:numId="60">
    <w:abstractNumId w:val="3"/>
  </w:num>
  <w:num w:numId="61">
    <w:abstractNumId w:val="29"/>
  </w:num>
  <w:num w:numId="62">
    <w:abstractNumId w:val="35"/>
  </w:num>
  <w:num w:numId="63">
    <w:abstractNumId w:val="30"/>
  </w:num>
  <w:num w:numId="64">
    <w:abstractNumId w:val="26"/>
  </w:num>
  <w:num w:numId="65">
    <w:abstractNumId w:val="22"/>
  </w:num>
  <w:num w:numId="66">
    <w:abstractNumId w:val="31"/>
  </w:num>
  <w:num w:numId="67">
    <w:abstractNumId w:val="9"/>
  </w:num>
  <w:num w:numId="68">
    <w:abstractNumId w:val="11"/>
  </w:num>
  <w:num w:numId="69">
    <w:abstractNumId w:val="17"/>
  </w:num>
  <w:num w:numId="70">
    <w:abstractNumId w:val="60"/>
  </w:num>
  <w:num w:numId="71">
    <w:abstractNumId w:val="46"/>
  </w:num>
  <w:num w:numId="72">
    <w:abstractNumId w:val="76"/>
  </w:num>
  <w:num w:numId="73">
    <w:abstractNumId w:val="16"/>
  </w:num>
  <w:num w:numId="74">
    <w:abstractNumId w:val="43"/>
  </w:num>
  <w:num w:numId="75">
    <w:abstractNumId w:val="12"/>
  </w:num>
  <w:num w:numId="76">
    <w:abstractNumId w:val="47"/>
  </w:num>
  <w:num w:numId="77">
    <w:abstractNumId w:val="64"/>
  </w:num>
  <w:num w:numId="78">
    <w:abstractNumId w:val="34"/>
  </w:num>
  <w:num w:numId="79">
    <w:abstractNumId w:val="7"/>
  </w:num>
  <w:num w:numId="80">
    <w:abstractNumId w:val="17"/>
  </w:num>
  <w:num w:numId="81">
    <w:abstractNumId w:val="17"/>
  </w:num>
  <w:num w:numId="82">
    <w:abstractNumId w:val="17"/>
  </w:num>
  <w:num w:numId="83">
    <w:abstractNumId w:val="17"/>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5B6A"/>
    <w:rsid w:val="000049A4"/>
    <w:rsid w:val="000063C9"/>
    <w:rsid w:val="00010CEF"/>
    <w:rsid w:val="00012963"/>
    <w:rsid w:val="000159A3"/>
    <w:rsid w:val="00015BFF"/>
    <w:rsid w:val="00027A6C"/>
    <w:rsid w:val="00031299"/>
    <w:rsid w:val="00036259"/>
    <w:rsid w:val="000404F6"/>
    <w:rsid w:val="00042D7B"/>
    <w:rsid w:val="000442E9"/>
    <w:rsid w:val="00044E9A"/>
    <w:rsid w:val="00051C3C"/>
    <w:rsid w:val="00051E73"/>
    <w:rsid w:val="00052E4C"/>
    <w:rsid w:val="00053C3E"/>
    <w:rsid w:val="00053F1C"/>
    <w:rsid w:val="00055D38"/>
    <w:rsid w:val="0005653D"/>
    <w:rsid w:val="00057B48"/>
    <w:rsid w:val="00060B44"/>
    <w:rsid w:val="00062517"/>
    <w:rsid w:val="00063B73"/>
    <w:rsid w:val="00063BB1"/>
    <w:rsid w:val="00073412"/>
    <w:rsid w:val="00073FB6"/>
    <w:rsid w:val="00074B69"/>
    <w:rsid w:val="00081691"/>
    <w:rsid w:val="000877C4"/>
    <w:rsid w:val="00093750"/>
    <w:rsid w:val="00093A8F"/>
    <w:rsid w:val="00094172"/>
    <w:rsid w:val="00097BBE"/>
    <w:rsid w:val="000A3927"/>
    <w:rsid w:val="000A401E"/>
    <w:rsid w:val="000B1931"/>
    <w:rsid w:val="000B5017"/>
    <w:rsid w:val="000B5E17"/>
    <w:rsid w:val="000B5ED8"/>
    <w:rsid w:val="000B7550"/>
    <w:rsid w:val="000C037F"/>
    <w:rsid w:val="000C277A"/>
    <w:rsid w:val="000C4B20"/>
    <w:rsid w:val="000C537C"/>
    <w:rsid w:val="000D1ADC"/>
    <w:rsid w:val="000D2655"/>
    <w:rsid w:val="000D2666"/>
    <w:rsid w:val="000D2861"/>
    <w:rsid w:val="000D3DC0"/>
    <w:rsid w:val="000D7862"/>
    <w:rsid w:val="000D7992"/>
    <w:rsid w:val="000D7C57"/>
    <w:rsid w:val="000E09BC"/>
    <w:rsid w:val="000E530D"/>
    <w:rsid w:val="000F0F77"/>
    <w:rsid w:val="000F5A12"/>
    <w:rsid w:val="000F6BE2"/>
    <w:rsid w:val="0010092D"/>
    <w:rsid w:val="00102279"/>
    <w:rsid w:val="00117C7E"/>
    <w:rsid w:val="0012063D"/>
    <w:rsid w:val="0012156E"/>
    <w:rsid w:val="001219BE"/>
    <w:rsid w:val="00123A82"/>
    <w:rsid w:val="00125302"/>
    <w:rsid w:val="001339CA"/>
    <w:rsid w:val="0013655C"/>
    <w:rsid w:val="0013773A"/>
    <w:rsid w:val="001403F8"/>
    <w:rsid w:val="0014319A"/>
    <w:rsid w:val="00151AB0"/>
    <w:rsid w:val="00153641"/>
    <w:rsid w:val="00160A9E"/>
    <w:rsid w:val="00165703"/>
    <w:rsid w:val="00167E05"/>
    <w:rsid w:val="00172C2F"/>
    <w:rsid w:val="001736A1"/>
    <w:rsid w:val="00174C9C"/>
    <w:rsid w:val="00177388"/>
    <w:rsid w:val="001859D8"/>
    <w:rsid w:val="00186C16"/>
    <w:rsid w:val="00186D1C"/>
    <w:rsid w:val="00187E88"/>
    <w:rsid w:val="00191706"/>
    <w:rsid w:val="0019359F"/>
    <w:rsid w:val="00197045"/>
    <w:rsid w:val="001A05EB"/>
    <w:rsid w:val="001A07FB"/>
    <w:rsid w:val="001A0918"/>
    <w:rsid w:val="001A3887"/>
    <w:rsid w:val="001A5ED9"/>
    <w:rsid w:val="001B3D70"/>
    <w:rsid w:val="001B7766"/>
    <w:rsid w:val="001B78C9"/>
    <w:rsid w:val="001B7BDB"/>
    <w:rsid w:val="001C3BF3"/>
    <w:rsid w:val="001C41D6"/>
    <w:rsid w:val="001C4D1B"/>
    <w:rsid w:val="001D0244"/>
    <w:rsid w:val="001D0C84"/>
    <w:rsid w:val="001D5DB6"/>
    <w:rsid w:val="001E2B15"/>
    <w:rsid w:val="001E6F3B"/>
    <w:rsid w:val="002047DA"/>
    <w:rsid w:val="002117DB"/>
    <w:rsid w:val="002171A2"/>
    <w:rsid w:val="002200ED"/>
    <w:rsid w:val="002216DB"/>
    <w:rsid w:val="00225D2B"/>
    <w:rsid w:val="0022677E"/>
    <w:rsid w:val="00231373"/>
    <w:rsid w:val="0023213C"/>
    <w:rsid w:val="00235AAC"/>
    <w:rsid w:val="0024401F"/>
    <w:rsid w:val="00244232"/>
    <w:rsid w:val="00250CF8"/>
    <w:rsid w:val="002523FB"/>
    <w:rsid w:val="0025458F"/>
    <w:rsid w:val="002546A4"/>
    <w:rsid w:val="00255FD8"/>
    <w:rsid w:val="00256534"/>
    <w:rsid w:val="00260AD8"/>
    <w:rsid w:val="002668E0"/>
    <w:rsid w:val="0026733A"/>
    <w:rsid w:val="0027749A"/>
    <w:rsid w:val="002809D4"/>
    <w:rsid w:val="00292B80"/>
    <w:rsid w:val="00292FCD"/>
    <w:rsid w:val="00293332"/>
    <w:rsid w:val="002979C6"/>
    <w:rsid w:val="002A7E0F"/>
    <w:rsid w:val="002B052A"/>
    <w:rsid w:val="002B31EF"/>
    <w:rsid w:val="002B6D96"/>
    <w:rsid w:val="002B754A"/>
    <w:rsid w:val="002C1B9F"/>
    <w:rsid w:val="002C21D4"/>
    <w:rsid w:val="002E58DF"/>
    <w:rsid w:val="002F070A"/>
    <w:rsid w:val="002F14B9"/>
    <w:rsid w:val="002F58D0"/>
    <w:rsid w:val="002F75BB"/>
    <w:rsid w:val="003013AB"/>
    <w:rsid w:val="00307AC6"/>
    <w:rsid w:val="00310671"/>
    <w:rsid w:val="003201C7"/>
    <w:rsid w:val="00323229"/>
    <w:rsid w:val="00323604"/>
    <w:rsid w:val="0032473C"/>
    <w:rsid w:val="003256B2"/>
    <w:rsid w:val="00327926"/>
    <w:rsid w:val="0033064E"/>
    <w:rsid w:val="00331368"/>
    <w:rsid w:val="0033554A"/>
    <w:rsid w:val="003376F4"/>
    <w:rsid w:val="00345FD7"/>
    <w:rsid w:val="00346A33"/>
    <w:rsid w:val="00346B63"/>
    <w:rsid w:val="0035078D"/>
    <w:rsid w:val="003509E1"/>
    <w:rsid w:val="00350AA3"/>
    <w:rsid w:val="003530B5"/>
    <w:rsid w:val="00356514"/>
    <w:rsid w:val="00357038"/>
    <w:rsid w:val="0036187D"/>
    <w:rsid w:val="00361CAD"/>
    <w:rsid w:val="00365BD3"/>
    <w:rsid w:val="003714BA"/>
    <w:rsid w:val="00371BF2"/>
    <w:rsid w:val="00371CD9"/>
    <w:rsid w:val="003736E0"/>
    <w:rsid w:val="0037373D"/>
    <w:rsid w:val="003751B8"/>
    <w:rsid w:val="003765BE"/>
    <w:rsid w:val="0037778C"/>
    <w:rsid w:val="003822EB"/>
    <w:rsid w:val="00383169"/>
    <w:rsid w:val="003866D2"/>
    <w:rsid w:val="003971D8"/>
    <w:rsid w:val="003974DF"/>
    <w:rsid w:val="00397D32"/>
    <w:rsid w:val="003A2BC9"/>
    <w:rsid w:val="003B1039"/>
    <w:rsid w:val="003B57BC"/>
    <w:rsid w:val="003B7F81"/>
    <w:rsid w:val="003C1247"/>
    <w:rsid w:val="003C2E0B"/>
    <w:rsid w:val="003D0FD7"/>
    <w:rsid w:val="003D2BD8"/>
    <w:rsid w:val="003D4CB7"/>
    <w:rsid w:val="003D65C6"/>
    <w:rsid w:val="003E0261"/>
    <w:rsid w:val="003E1571"/>
    <w:rsid w:val="003E305D"/>
    <w:rsid w:val="003E3D30"/>
    <w:rsid w:val="003E4415"/>
    <w:rsid w:val="003F14A6"/>
    <w:rsid w:val="003F5036"/>
    <w:rsid w:val="003F740F"/>
    <w:rsid w:val="003F7D3D"/>
    <w:rsid w:val="00400E47"/>
    <w:rsid w:val="00403934"/>
    <w:rsid w:val="00406A7B"/>
    <w:rsid w:val="00407A40"/>
    <w:rsid w:val="004104B3"/>
    <w:rsid w:val="00413F4B"/>
    <w:rsid w:val="00414DB1"/>
    <w:rsid w:val="00416ECB"/>
    <w:rsid w:val="00420790"/>
    <w:rsid w:val="00420985"/>
    <w:rsid w:val="00421CA2"/>
    <w:rsid w:val="00425BAB"/>
    <w:rsid w:val="004264B7"/>
    <w:rsid w:val="00427798"/>
    <w:rsid w:val="0043286E"/>
    <w:rsid w:val="00433347"/>
    <w:rsid w:val="0043390E"/>
    <w:rsid w:val="00433AA7"/>
    <w:rsid w:val="00433EE7"/>
    <w:rsid w:val="004439C9"/>
    <w:rsid w:val="004457DB"/>
    <w:rsid w:val="00447770"/>
    <w:rsid w:val="0045785B"/>
    <w:rsid w:val="00457C73"/>
    <w:rsid w:val="00466359"/>
    <w:rsid w:val="00470EF3"/>
    <w:rsid w:val="004805AA"/>
    <w:rsid w:val="004807F0"/>
    <w:rsid w:val="0048141E"/>
    <w:rsid w:val="0048537A"/>
    <w:rsid w:val="004860A2"/>
    <w:rsid w:val="00486550"/>
    <w:rsid w:val="00487F03"/>
    <w:rsid w:val="00492372"/>
    <w:rsid w:val="00494C79"/>
    <w:rsid w:val="00494C85"/>
    <w:rsid w:val="004A34C9"/>
    <w:rsid w:val="004A53D0"/>
    <w:rsid w:val="004A6C16"/>
    <w:rsid w:val="004B0027"/>
    <w:rsid w:val="004B1807"/>
    <w:rsid w:val="004B1D31"/>
    <w:rsid w:val="004B4125"/>
    <w:rsid w:val="004C341C"/>
    <w:rsid w:val="004D0754"/>
    <w:rsid w:val="004D0C02"/>
    <w:rsid w:val="004D0C42"/>
    <w:rsid w:val="004D21CD"/>
    <w:rsid w:val="004D3E01"/>
    <w:rsid w:val="004E4A2E"/>
    <w:rsid w:val="004E671F"/>
    <w:rsid w:val="004F09D6"/>
    <w:rsid w:val="004F2AD1"/>
    <w:rsid w:val="004F3F15"/>
    <w:rsid w:val="004F51AB"/>
    <w:rsid w:val="004F798C"/>
    <w:rsid w:val="00500901"/>
    <w:rsid w:val="00502473"/>
    <w:rsid w:val="00511015"/>
    <w:rsid w:val="005154AB"/>
    <w:rsid w:val="00516D2C"/>
    <w:rsid w:val="0051741A"/>
    <w:rsid w:val="00517572"/>
    <w:rsid w:val="00520134"/>
    <w:rsid w:val="00522CE6"/>
    <w:rsid w:val="00524085"/>
    <w:rsid w:val="00531D77"/>
    <w:rsid w:val="00533A0B"/>
    <w:rsid w:val="005363E7"/>
    <w:rsid w:val="0053770F"/>
    <w:rsid w:val="00537742"/>
    <w:rsid w:val="005412E8"/>
    <w:rsid w:val="00541CA8"/>
    <w:rsid w:val="00544380"/>
    <w:rsid w:val="005444F9"/>
    <w:rsid w:val="005464B4"/>
    <w:rsid w:val="00550487"/>
    <w:rsid w:val="00552612"/>
    <w:rsid w:val="00553AC2"/>
    <w:rsid w:val="005544D2"/>
    <w:rsid w:val="005546DD"/>
    <w:rsid w:val="005548F2"/>
    <w:rsid w:val="005550E4"/>
    <w:rsid w:val="00557F93"/>
    <w:rsid w:val="005607A5"/>
    <w:rsid w:val="00566D0E"/>
    <w:rsid w:val="00566FDC"/>
    <w:rsid w:val="005706BE"/>
    <w:rsid w:val="00571BD7"/>
    <w:rsid w:val="005738EB"/>
    <w:rsid w:val="0057462B"/>
    <w:rsid w:val="00581BFB"/>
    <w:rsid w:val="005840A7"/>
    <w:rsid w:val="00584485"/>
    <w:rsid w:val="00584F84"/>
    <w:rsid w:val="005925B1"/>
    <w:rsid w:val="00592800"/>
    <w:rsid w:val="00592830"/>
    <w:rsid w:val="00592947"/>
    <w:rsid w:val="00593F35"/>
    <w:rsid w:val="005A1F7F"/>
    <w:rsid w:val="005A234B"/>
    <w:rsid w:val="005A4F9B"/>
    <w:rsid w:val="005A7FDC"/>
    <w:rsid w:val="005B0A1C"/>
    <w:rsid w:val="005C0B8F"/>
    <w:rsid w:val="005C0E4A"/>
    <w:rsid w:val="005C2A6F"/>
    <w:rsid w:val="005C4062"/>
    <w:rsid w:val="005D3241"/>
    <w:rsid w:val="005D3486"/>
    <w:rsid w:val="005D4F01"/>
    <w:rsid w:val="005D60B3"/>
    <w:rsid w:val="005D613B"/>
    <w:rsid w:val="005D689C"/>
    <w:rsid w:val="005E6C4D"/>
    <w:rsid w:val="005F1F8F"/>
    <w:rsid w:val="005F46DE"/>
    <w:rsid w:val="00614B77"/>
    <w:rsid w:val="00617FF9"/>
    <w:rsid w:val="00631C5D"/>
    <w:rsid w:val="00632222"/>
    <w:rsid w:val="006332D8"/>
    <w:rsid w:val="00633448"/>
    <w:rsid w:val="006342AC"/>
    <w:rsid w:val="00634A29"/>
    <w:rsid w:val="0064046E"/>
    <w:rsid w:val="006412DA"/>
    <w:rsid w:val="00644426"/>
    <w:rsid w:val="00645E70"/>
    <w:rsid w:val="00646618"/>
    <w:rsid w:val="00650483"/>
    <w:rsid w:val="00650803"/>
    <w:rsid w:val="00653890"/>
    <w:rsid w:val="00656EEF"/>
    <w:rsid w:val="006625C5"/>
    <w:rsid w:val="00662FB6"/>
    <w:rsid w:val="0066466A"/>
    <w:rsid w:val="00664CD3"/>
    <w:rsid w:val="00666E19"/>
    <w:rsid w:val="006748A0"/>
    <w:rsid w:val="006773FE"/>
    <w:rsid w:val="00681660"/>
    <w:rsid w:val="00681CC7"/>
    <w:rsid w:val="00685A18"/>
    <w:rsid w:val="00685AB3"/>
    <w:rsid w:val="006919D4"/>
    <w:rsid w:val="006944A2"/>
    <w:rsid w:val="00695C1D"/>
    <w:rsid w:val="00696159"/>
    <w:rsid w:val="00697986"/>
    <w:rsid w:val="006A08A2"/>
    <w:rsid w:val="006A2734"/>
    <w:rsid w:val="006A78BA"/>
    <w:rsid w:val="006B1E69"/>
    <w:rsid w:val="006B45D9"/>
    <w:rsid w:val="006B69E5"/>
    <w:rsid w:val="006C1162"/>
    <w:rsid w:val="006C2469"/>
    <w:rsid w:val="006D1E38"/>
    <w:rsid w:val="006D5504"/>
    <w:rsid w:val="006D631E"/>
    <w:rsid w:val="006E030C"/>
    <w:rsid w:val="006E1BC6"/>
    <w:rsid w:val="006E3C1D"/>
    <w:rsid w:val="006E526F"/>
    <w:rsid w:val="006F07BE"/>
    <w:rsid w:val="006F3A00"/>
    <w:rsid w:val="006F7033"/>
    <w:rsid w:val="006F79DD"/>
    <w:rsid w:val="00701F92"/>
    <w:rsid w:val="00702F63"/>
    <w:rsid w:val="00706960"/>
    <w:rsid w:val="00707DCE"/>
    <w:rsid w:val="007100C9"/>
    <w:rsid w:val="00710C01"/>
    <w:rsid w:val="00710CEA"/>
    <w:rsid w:val="007120C6"/>
    <w:rsid w:val="007142A5"/>
    <w:rsid w:val="007155BE"/>
    <w:rsid w:val="007202F3"/>
    <w:rsid w:val="00722480"/>
    <w:rsid w:val="00722C22"/>
    <w:rsid w:val="00722EEB"/>
    <w:rsid w:val="00723542"/>
    <w:rsid w:val="007321C3"/>
    <w:rsid w:val="00733738"/>
    <w:rsid w:val="00734F09"/>
    <w:rsid w:val="00737393"/>
    <w:rsid w:val="007379DC"/>
    <w:rsid w:val="00744022"/>
    <w:rsid w:val="00745B6A"/>
    <w:rsid w:val="007460A0"/>
    <w:rsid w:val="00746A78"/>
    <w:rsid w:val="00750BF2"/>
    <w:rsid w:val="00750C9F"/>
    <w:rsid w:val="00751EA6"/>
    <w:rsid w:val="007536CC"/>
    <w:rsid w:val="00754D6A"/>
    <w:rsid w:val="00757237"/>
    <w:rsid w:val="00763F27"/>
    <w:rsid w:val="007644FB"/>
    <w:rsid w:val="00764DA3"/>
    <w:rsid w:val="0076547C"/>
    <w:rsid w:val="00770C06"/>
    <w:rsid w:val="007737CF"/>
    <w:rsid w:val="00775672"/>
    <w:rsid w:val="007824BC"/>
    <w:rsid w:val="0078708F"/>
    <w:rsid w:val="00790705"/>
    <w:rsid w:val="00792AD4"/>
    <w:rsid w:val="0079358B"/>
    <w:rsid w:val="00794B2A"/>
    <w:rsid w:val="007979F6"/>
    <w:rsid w:val="007A12FA"/>
    <w:rsid w:val="007A45E0"/>
    <w:rsid w:val="007A5A68"/>
    <w:rsid w:val="007A6F2D"/>
    <w:rsid w:val="007B4126"/>
    <w:rsid w:val="007B5015"/>
    <w:rsid w:val="007B6E08"/>
    <w:rsid w:val="007C1198"/>
    <w:rsid w:val="007C274A"/>
    <w:rsid w:val="007C3038"/>
    <w:rsid w:val="007D3B04"/>
    <w:rsid w:val="007D51CF"/>
    <w:rsid w:val="007D76DC"/>
    <w:rsid w:val="007E1546"/>
    <w:rsid w:val="007E19DB"/>
    <w:rsid w:val="007F0669"/>
    <w:rsid w:val="007F1DFA"/>
    <w:rsid w:val="007F22AC"/>
    <w:rsid w:val="008030BF"/>
    <w:rsid w:val="0080330B"/>
    <w:rsid w:val="008049E6"/>
    <w:rsid w:val="00805253"/>
    <w:rsid w:val="008107B9"/>
    <w:rsid w:val="00811796"/>
    <w:rsid w:val="00815757"/>
    <w:rsid w:val="00815E96"/>
    <w:rsid w:val="00824636"/>
    <w:rsid w:val="008256AB"/>
    <w:rsid w:val="0082581D"/>
    <w:rsid w:val="00825CDD"/>
    <w:rsid w:val="00830412"/>
    <w:rsid w:val="008433F2"/>
    <w:rsid w:val="00847732"/>
    <w:rsid w:val="00851CC8"/>
    <w:rsid w:val="008547D7"/>
    <w:rsid w:val="00855738"/>
    <w:rsid w:val="00865AEC"/>
    <w:rsid w:val="008710A7"/>
    <w:rsid w:val="00886CE4"/>
    <w:rsid w:val="00893F56"/>
    <w:rsid w:val="008A1B16"/>
    <w:rsid w:val="008B0282"/>
    <w:rsid w:val="008B075D"/>
    <w:rsid w:val="008B0FB8"/>
    <w:rsid w:val="008B26BE"/>
    <w:rsid w:val="008B4CD5"/>
    <w:rsid w:val="008C21BB"/>
    <w:rsid w:val="008C4584"/>
    <w:rsid w:val="008D0DE4"/>
    <w:rsid w:val="008D184A"/>
    <w:rsid w:val="008D1E5D"/>
    <w:rsid w:val="008D2A0B"/>
    <w:rsid w:val="008D3EC2"/>
    <w:rsid w:val="008D4CE9"/>
    <w:rsid w:val="008D7C43"/>
    <w:rsid w:val="008D7E6A"/>
    <w:rsid w:val="008E0346"/>
    <w:rsid w:val="008E1651"/>
    <w:rsid w:val="008E554C"/>
    <w:rsid w:val="008E568A"/>
    <w:rsid w:val="008E6294"/>
    <w:rsid w:val="008E7FF2"/>
    <w:rsid w:val="008F04D5"/>
    <w:rsid w:val="008F082B"/>
    <w:rsid w:val="008F3633"/>
    <w:rsid w:val="008F6661"/>
    <w:rsid w:val="008F77D9"/>
    <w:rsid w:val="00901665"/>
    <w:rsid w:val="009018F2"/>
    <w:rsid w:val="009023D4"/>
    <w:rsid w:val="0090584C"/>
    <w:rsid w:val="00911E98"/>
    <w:rsid w:val="00913F4F"/>
    <w:rsid w:val="00916CF7"/>
    <w:rsid w:val="00925533"/>
    <w:rsid w:val="00934E17"/>
    <w:rsid w:val="00940746"/>
    <w:rsid w:val="00940C27"/>
    <w:rsid w:val="00941AB6"/>
    <w:rsid w:val="00945A90"/>
    <w:rsid w:val="00947755"/>
    <w:rsid w:val="009539C7"/>
    <w:rsid w:val="00954EE5"/>
    <w:rsid w:val="00955F53"/>
    <w:rsid w:val="00963C41"/>
    <w:rsid w:val="00964B92"/>
    <w:rsid w:val="00964EB8"/>
    <w:rsid w:val="00971567"/>
    <w:rsid w:val="00971715"/>
    <w:rsid w:val="00971C84"/>
    <w:rsid w:val="00972CF5"/>
    <w:rsid w:val="00974839"/>
    <w:rsid w:val="00976F9F"/>
    <w:rsid w:val="00980DDD"/>
    <w:rsid w:val="00982D92"/>
    <w:rsid w:val="009832C2"/>
    <w:rsid w:val="009843A4"/>
    <w:rsid w:val="009846BC"/>
    <w:rsid w:val="0098497F"/>
    <w:rsid w:val="00984F70"/>
    <w:rsid w:val="009879E4"/>
    <w:rsid w:val="0099282B"/>
    <w:rsid w:val="00992C5E"/>
    <w:rsid w:val="00994F76"/>
    <w:rsid w:val="009950B9"/>
    <w:rsid w:val="009961D3"/>
    <w:rsid w:val="00997275"/>
    <w:rsid w:val="009972E3"/>
    <w:rsid w:val="009A0E18"/>
    <w:rsid w:val="009A2E90"/>
    <w:rsid w:val="009B0708"/>
    <w:rsid w:val="009B4A78"/>
    <w:rsid w:val="009B57F9"/>
    <w:rsid w:val="009B6DCE"/>
    <w:rsid w:val="009B6E57"/>
    <w:rsid w:val="009C165B"/>
    <w:rsid w:val="009C51EF"/>
    <w:rsid w:val="009C6413"/>
    <w:rsid w:val="009D40F3"/>
    <w:rsid w:val="009D5750"/>
    <w:rsid w:val="009D7A18"/>
    <w:rsid w:val="009E2D75"/>
    <w:rsid w:val="009E3929"/>
    <w:rsid w:val="009E460B"/>
    <w:rsid w:val="009E725A"/>
    <w:rsid w:val="009F13A9"/>
    <w:rsid w:val="009F209D"/>
    <w:rsid w:val="00A00E63"/>
    <w:rsid w:val="00A03CCB"/>
    <w:rsid w:val="00A14AC0"/>
    <w:rsid w:val="00A1518B"/>
    <w:rsid w:val="00A15309"/>
    <w:rsid w:val="00A1569D"/>
    <w:rsid w:val="00A15C14"/>
    <w:rsid w:val="00A17AC2"/>
    <w:rsid w:val="00A21D1B"/>
    <w:rsid w:val="00A226D5"/>
    <w:rsid w:val="00A2699E"/>
    <w:rsid w:val="00A2772E"/>
    <w:rsid w:val="00A32B86"/>
    <w:rsid w:val="00A344C0"/>
    <w:rsid w:val="00A355DD"/>
    <w:rsid w:val="00A35F8B"/>
    <w:rsid w:val="00A4166C"/>
    <w:rsid w:val="00A42BA1"/>
    <w:rsid w:val="00A42BFB"/>
    <w:rsid w:val="00A52130"/>
    <w:rsid w:val="00A52A22"/>
    <w:rsid w:val="00A55BB0"/>
    <w:rsid w:val="00A60A1B"/>
    <w:rsid w:val="00A6543C"/>
    <w:rsid w:val="00A72EDD"/>
    <w:rsid w:val="00A74116"/>
    <w:rsid w:val="00A7528A"/>
    <w:rsid w:val="00A81184"/>
    <w:rsid w:val="00A828C4"/>
    <w:rsid w:val="00A836C7"/>
    <w:rsid w:val="00A84144"/>
    <w:rsid w:val="00A9302A"/>
    <w:rsid w:val="00AA007C"/>
    <w:rsid w:val="00AA1BB5"/>
    <w:rsid w:val="00AA62DF"/>
    <w:rsid w:val="00AA73B9"/>
    <w:rsid w:val="00AB2DBE"/>
    <w:rsid w:val="00AB421C"/>
    <w:rsid w:val="00AB5AA7"/>
    <w:rsid w:val="00AC267B"/>
    <w:rsid w:val="00AD1FB5"/>
    <w:rsid w:val="00AD5F2C"/>
    <w:rsid w:val="00AD6316"/>
    <w:rsid w:val="00AE1093"/>
    <w:rsid w:val="00AE288C"/>
    <w:rsid w:val="00AF3731"/>
    <w:rsid w:val="00AF5A57"/>
    <w:rsid w:val="00B026FC"/>
    <w:rsid w:val="00B051CC"/>
    <w:rsid w:val="00B05CA6"/>
    <w:rsid w:val="00B07684"/>
    <w:rsid w:val="00B10EF3"/>
    <w:rsid w:val="00B12A21"/>
    <w:rsid w:val="00B1363F"/>
    <w:rsid w:val="00B14A09"/>
    <w:rsid w:val="00B1536A"/>
    <w:rsid w:val="00B20524"/>
    <w:rsid w:val="00B2097D"/>
    <w:rsid w:val="00B22662"/>
    <w:rsid w:val="00B26CA4"/>
    <w:rsid w:val="00B30215"/>
    <w:rsid w:val="00B31F59"/>
    <w:rsid w:val="00B345FA"/>
    <w:rsid w:val="00B34F97"/>
    <w:rsid w:val="00B3629C"/>
    <w:rsid w:val="00B44918"/>
    <w:rsid w:val="00B46DD7"/>
    <w:rsid w:val="00B46E15"/>
    <w:rsid w:val="00B472A8"/>
    <w:rsid w:val="00B50DBE"/>
    <w:rsid w:val="00B511F2"/>
    <w:rsid w:val="00B5770D"/>
    <w:rsid w:val="00B606F3"/>
    <w:rsid w:val="00B62F81"/>
    <w:rsid w:val="00B63BE4"/>
    <w:rsid w:val="00B64DA0"/>
    <w:rsid w:val="00B65F7B"/>
    <w:rsid w:val="00B66294"/>
    <w:rsid w:val="00B66A4A"/>
    <w:rsid w:val="00B67D0A"/>
    <w:rsid w:val="00B70B7D"/>
    <w:rsid w:val="00B70F0D"/>
    <w:rsid w:val="00B712FB"/>
    <w:rsid w:val="00B72218"/>
    <w:rsid w:val="00B7224E"/>
    <w:rsid w:val="00B72EB9"/>
    <w:rsid w:val="00B734C5"/>
    <w:rsid w:val="00B735C6"/>
    <w:rsid w:val="00B749A5"/>
    <w:rsid w:val="00B80C17"/>
    <w:rsid w:val="00B81E77"/>
    <w:rsid w:val="00B82832"/>
    <w:rsid w:val="00B830D6"/>
    <w:rsid w:val="00B902AD"/>
    <w:rsid w:val="00B90B19"/>
    <w:rsid w:val="00B932D5"/>
    <w:rsid w:val="00BA43A0"/>
    <w:rsid w:val="00BA4FE4"/>
    <w:rsid w:val="00BA6E61"/>
    <w:rsid w:val="00BB169D"/>
    <w:rsid w:val="00BB4CB0"/>
    <w:rsid w:val="00BB73B7"/>
    <w:rsid w:val="00BC15CA"/>
    <w:rsid w:val="00BC57C8"/>
    <w:rsid w:val="00BC77A3"/>
    <w:rsid w:val="00BD5F3D"/>
    <w:rsid w:val="00BD7B08"/>
    <w:rsid w:val="00BE2490"/>
    <w:rsid w:val="00BE2600"/>
    <w:rsid w:val="00BE3F1B"/>
    <w:rsid w:val="00BE4112"/>
    <w:rsid w:val="00BE49CE"/>
    <w:rsid w:val="00BE4C5D"/>
    <w:rsid w:val="00BE6CE1"/>
    <w:rsid w:val="00BE6F94"/>
    <w:rsid w:val="00BF4CC1"/>
    <w:rsid w:val="00BF4DDC"/>
    <w:rsid w:val="00BF5BD2"/>
    <w:rsid w:val="00BF5C6B"/>
    <w:rsid w:val="00BF5EAA"/>
    <w:rsid w:val="00C04245"/>
    <w:rsid w:val="00C116BA"/>
    <w:rsid w:val="00C11878"/>
    <w:rsid w:val="00C15235"/>
    <w:rsid w:val="00C1764C"/>
    <w:rsid w:val="00C2153C"/>
    <w:rsid w:val="00C224D6"/>
    <w:rsid w:val="00C240B2"/>
    <w:rsid w:val="00C2428A"/>
    <w:rsid w:val="00C25CF7"/>
    <w:rsid w:val="00C2748E"/>
    <w:rsid w:val="00C3170B"/>
    <w:rsid w:val="00C32EC8"/>
    <w:rsid w:val="00C368CC"/>
    <w:rsid w:val="00C51FE4"/>
    <w:rsid w:val="00C52B8B"/>
    <w:rsid w:val="00C53E9A"/>
    <w:rsid w:val="00C60563"/>
    <w:rsid w:val="00C614B4"/>
    <w:rsid w:val="00C61B8D"/>
    <w:rsid w:val="00C65FE0"/>
    <w:rsid w:val="00C67B65"/>
    <w:rsid w:val="00C70311"/>
    <w:rsid w:val="00C71CBF"/>
    <w:rsid w:val="00C74442"/>
    <w:rsid w:val="00C776E2"/>
    <w:rsid w:val="00C83962"/>
    <w:rsid w:val="00C84440"/>
    <w:rsid w:val="00C84D9D"/>
    <w:rsid w:val="00C871DB"/>
    <w:rsid w:val="00C87CC8"/>
    <w:rsid w:val="00C87FF1"/>
    <w:rsid w:val="00C90AAF"/>
    <w:rsid w:val="00C90BCA"/>
    <w:rsid w:val="00C923B6"/>
    <w:rsid w:val="00C946CD"/>
    <w:rsid w:val="00C95D81"/>
    <w:rsid w:val="00C9789B"/>
    <w:rsid w:val="00CA09B5"/>
    <w:rsid w:val="00CA0FE8"/>
    <w:rsid w:val="00CA3243"/>
    <w:rsid w:val="00CA42D8"/>
    <w:rsid w:val="00CB11FC"/>
    <w:rsid w:val="00CB2CFC"/>
    <w:rsid w:val="00CB32BD"/>
    <w:rsid w:val="00CB4716"/>
    <w:rsid w:val="00CB7861"/>
    <w:rsid w:val="00CC035C"/>
    <w:rsid w:val="00CC543A"/>
    <w:rsid w:val="00CD2918"/>
    <w:rsid w:val="00CD4750"/>
    <w:rsid w:val="00CD4ED7"/>
    <w:rsid w:val="00CD682C"/>
    <w:rsid w:val="00CD69D9"/>
    <w:rsid w:val="00CD75A8"/>
    <w:rsid w:val="00CE3CC7"/>
    <w:rsid w:val="00CE3E59"/>
    <w:rsid w:val="00CF4788"/>
    <w:rsid w:val="00CF7658"/>
    <w:rsid w:val="00D00815"/>
    <w:rsid w:val="00D02920"/>
    <w:rsid w:val="00D049E6"/>
    <w:rsid w:val="00D05C3F"/>
    <w:rsid w:val="00D06C7D"/>
    <w:rsid w:val="00D123FF"/>
    <w:rsid w:val="00D14485"/>
    <w:rsid w:val="00D150FD"/>
    <w:rsid w:val="00D16C71"/>
    <w:rsid w:val="00D2539F"/>
    <w:rsid w:val="00D256C3"/>
    <w:rsid w:val="00D337E0"/>
    <w:rsid w:val="00D3563F"/>
    <w:rsid w:val="00D356B6"/>
    <w:rsid w:val="00D410A0"/>
    <w:rsid w:val="00D42529"/>
    <w:rsid w:val="00D445EF"/>
    <w:rsid w:val="00D45F27"/>
    <w:rsid w:val="00D5028B"/>
    <w:rsid w:val="00D50719"/>
    <w:rsid w:val="00D537BC"/>
    <w:rsid w:val="00D54BE8"/>
    <w:rsid w:val="00D55DBD"/>
    <w:rsid w:val="00D655F5"/>
    <w:rsid w:val="00D656E4"/>
    <w:rsid w:val="00D65E4D"/>
    <w:rsid w:val="00D7361F"/>
    <w:rsid w:val="00D76EB7"/>
    <w:rsid w:val="00D77796"/>
    <w:rsid w:val="00D852D8"/>
    <w:rsid w:val="00D86441"/>
    <w:rsid w:val="00D868C7"/>
    <w:rsid w:val="00D86D26"/>
    <w:rsid w:val="00D870DF"/>
    <w:rsid w:val="00D9129C"/>
    <w:rsid w:val="00DA0D82"/>
    <w:rsid w:val="00DA2DA6"/>
    <w:rsid w:val="00DA3F93"/>
    <w:rsid w:val="00DA434C"/>
    <w:rsid w:val="00DB4F15"/>
    <w:rsid w:val="00DB67E7"/>
    <w:rsid w:val="00DC0E8F"/>
    <w:rsid w:val="00DC2E3C"/>
    <w:rsid w:val="00DC57BC"/>
    <w:rsid w:val="00DC5AFF"/>
    <w:rsid w:val="00DC5BCD"/>
    <w:rsid w:val="00DC7798"/>
    <w:rsid w:val="00DD22EC"/>
    <w:rsid w:val="00DD2EF8"/>
    <w:rsid w:val="00DD40DE"/>
    <w:rsid w:val="00DD6D99"/>
    <w:rsid w:val="00DE3C84"/>
    <w:rsid w:val="00DE4B1A"/>
    <w:rsid w:val="00DE7315"/>
    <w:rsid w:val="00DF28E6"/>
    <w:rsid w:val="00DF5D9A"/>
    <w:rsid w:val="00E01DCC"/>
    <w:rsid w:val="00E01FB9"/>
    <w:rsid w:val="00E02613"/>
    <w:rsid w:val="00E034AC"/>
    <w:rsid w:val="00E136ED"/>
    <w:rsid w:val="00E2087F"/>
    <w:rsid w:val="00E23B7D"/>
    <w:rsid w:val="00E2419A"/>
    <w:rsid w:val="00E25DB8"/>
    <w:rsid w:val="00E27FB7"/>
    <w:rsid w:val="00E27FBC"/>
    <w:rsid w:val="00E31A62"/>
    <w:rsid w:val="00E33078"/>
    <w:rsid w:val="00E34525"/>
    <w:rsid w:val="00E347D4"/>
    <w:rsid w:val="00E358DF"/>
    <w:rsid w:val="00E37749"/>
    <w:rsid w:val="00E379D9"/>
    <w:rsid w:val="00E40974"/>
    <w:rsid w:val="00E426AE"/>
    <w:rsid w:val="00E516AC"/>
    <w:rsid w:val="00E53C36"/>
    <w:rsid w:val="00E57011"/>
    <w:rsid w:val="00E641D8"/>
    <w:rsid w:val="00E646FF"/>
    <w:rsid w:val="00E66A2C"/>
    <w:rsid w:val="00E67C4A"/>
    <w:rsid w:val="00E67EF7"/>
    <w:rsid w:val="00E73B07"/>
    <w:rsid w:val="00E81087"/>
    <w:rsid w:val="00E85E73"/>
    <w:rsid w:val="00E92173"/>
    <w:rsid w:val="00E92683"/>
    <w:rsid w:val="00EA0EA5"/>
    <w:rsid w:val="00EA14EE"/>
    <w:rsid w:val="00EA1595"/>
    <w:rsid w:val="00EA3A00"/>
    <w:rsid w:val="00EA697C"/>
    <w:rsid w:val="00EB2496"/>
    <w:rsid w:val="00EB35A3"/>
    <w:rsid w:val="00EB392E"/>
    <w:rsid w:val="00EB549B"/>
    <w:rsid w:val="00EB61B8"/>
    <w:rsid w:val="00EC30AE"/>
    <w:rsid w:val="00EC3E4D"/>
    <w:rsid w:val="00ED2725"/>
    <w:rsid w:val="00ED5891"/>
    <w:rsid w:val="00ED6FE3"/>
    <w:rsid w:val="00EE027A"/>
    <w:rsid w:val="00EE5019"/>
    <w:rsid w:val="00EE57D1"/>
    <w:rsid w:val="00EE5BA3"/>
    <w:rsid w:val="00EE5DC7"/>
    <w:rsid w:val="00EE5E86"/>
    <w:rsid w:val="00EF0E49"/>
    <w:rsid w:val="00EF13C4"/>
    <w:rsid w:val="00EF3D75"/>
    <w:rsid w:val="00EF3F43"/>
    <w:rsid w:val="00EF41B6"/>
    <w:rsid w:val="00EF472A"/>
    <w:rsid w:val="00EF6E20"/>
    <w:rsid w:val="00F00AF5"/>
    <w:rsid w:val="00F01245"/>
    <w:rsid w:val="00F02301"/>
    <w:rsid w:val="00F02482"/>
    <w:rsid w:val="00F04E0B"/>
    <w:rsid w:val="00F052CF"/>
    <w:rsid w:val="00F0548F"/>
    <w:rsid w:val="00F07555"/>
    <w:rsid w:val="00F11D86"/>
    <w:rsid w:val="00F1532E"/>
    <w:rsid w:val="00F23671"/>
    <w:rsid w:val="00F27148"/>
    <w:rsid w:val="00F32563"/>
    <w:rsid w:val="00F33E49"/>
    <w:rsid w:val="00F35FAB"/>
    <w:rsid w:val="00F36E7A"/>
    <w:rsid w:val="00F42A1C"/>
    <w:rsid w:val="00F43622"/>
    <w:rsid w:val="00F4553A"/>
    <w:rsid w:val="00F47745"/>
    <w:rsid w:val="00F51335"/>
    <w:rsid w:val="00F5497C"/>
    <w:rsid w:val="00F56680"/>
    <w:rsid w:val="00F66122"/>
    <w:rsid w:val="00F66697"/>
    <w:rsid w:val="00F66CAF"/>
    <w:rsid w:val="00F67876"/>
    <w:rsid w:val="00F7225F"/>
    <w:rsid w:val="00F753C1"/>
    <w:rsid w:val="00F77D4B"/>
    <w:rsid w:val="00F83FB6"/>
    <w:rsid w:val="00F850AF"/>
    <w:rsid w:val="00F85ED0"/>
    <w:rsid w:val="00F87E08"/>
    <w:rsid w:val="00F912ED"/>
    <w:rsid w:val="00F94AE2"/>
    <w:rsid w:val="00F95D12"/>
    <w:rsid w:val="00F968FD"/>
    <w:rsid w:val="00FA1094"/>
    <w:rsid w:val="00FA17AB"/>
    <w:rsid w:val="00FA2135"/>
    <w:rsid w:val="00FA383A"/>
    <w:rsid w:val="00FA5FD2"/>
    <w:rsid w:val="00FB0B18"/>
    <w:rsid w:val="00FB1525"/>
    <w:rsid w:val="00FB5519"/>
    <w:rsid w:val="00FB583B"/>
    <w:rsid w:val="00FB68E0"/>
    <w:rsid w:val="00FC0422"/>
    <w:rsid w:val="00FC41DE"/>
    <w:rsid w:val="00FD3C38"/>
    <w:rsid w:val="00FD3DD2"/>
    <w:rsid w:val="00FD3ECD"/>
    <w:rsid w:val="00FD46E4"/>
    <w:rsid w:val="00FD67D6"/>
    <w:rsid w:val="00FD7047"/>
    <w:rsid w:val="00FE1138"/>
    <w:rsid w:val="00FE3211"/>
    <w:rsid w:val="00FF7E74"/>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country-region"/>
  <w:smartTagType w:namespaceuri="urn:schemas-microsoft-com:office:smarttags" w:name="place"/>
  <w:smartTagType w:namespaceuri="urn:schemas-microsoft-com:office:smarttags" w:name="City"/>
  <w:smartTagType w:namespaceuri="urn:schemas-microsoft-com:office:smarttags" w:name="State"/>
  <w:smartTagType w:namespaceuri="urn:schemas-microsoft-com:office:smarttags" w:name="PersonName"/>
  <w:shapeDefaults>
    <o:shapedefaults v:ext="edit" spidmax="1028"/>
    <o:shapelayout v:ext="edit">
      <o:idmap v:ext="edit" data="1"/>
    </o:shapelayout>
  </w:shapeDefaults>
  <w:decimalSymbol w:val="."/>
  <w:listSeparator w:val=","/>
  <w14:docId w14:val="3CC22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0" w:qFormat="1"/>
    <w:lsdException w:name="Body Text Indent" w:uiPriority="0"/>
    <w:lsdException w:name="Subtitle" w:semiHidden="0" w:uiPriority="0" w:unhideWhenUsed="0" w:qFormat="1"/>
    <w:lsdException w:name="Salutation" w:uiPriority="0"/>
    <w:lsdException w:name="Body Text 2" w:uiPriority="0"/>
    <w:lsdException w:name="Body Text Indent 2"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625C5"/>
    <w:pPr>
      <w:keepNext/>
      <w:spacing w:before="240" w:after="60"/>
      <w:outlineLvl w:val="0"/>
    </w:pPr>
    <w:rPr>
      <w:rFonts w:ascii="Arial" w:eastAsia="SimSun" w:hAnsi="Arial" w:cs="Arial"/>
      <w:b/>
      <w:bCs/>
      <w:caps/>
      <w:kern w:val="32"/>
      <w:szCs w:val="32"/>
      <w:lang w:eastAsia="en-US"/>
    </w:rPr>
  </w:style>
  <w:style w:type="paragraph" w:styleId="Heading2">
    <w:name w:val="heading 2"/>
    <w:basedOn w:val="Normal"/>
    <w:next w:val="Normal"/>
    <w:link w:val="Heading2Char"/>
    <w:unhideWhenUsed/>
    <w:qFormat/>
    <w:rsid w:val="00A42BF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293332"/>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Heading3"/>
    <w:next w:val="Normal"/>
    <w:link w:val="Heading4Char"/>
    <w:qFormat/>
    <w:rsid w:val="002523FB"/>
    <w:pPr>
      <w:keepLines w:val="0"/>
      <w:tabs>
        <w:tab w:val="num" w:pos="864"/>
      </w:tabs>
      <w:spacing w:before="0" w:line="300" w:lineRule="atLeast"/>
      <w:ind w:left="864" w:hanging="864"/>
      <w:outlineLvl w:val="3"/>
    </w:pPr>
    <w:rPr>
      <w:rFonts w:ascii="Arial" w:eastAsia="Times New Roman" w:hAnsi="Arial" w:cs="Arial"/>
      <w:caps/>
      <w:color w:val="3E484E"/>
      <w:szCs w:val="26"/>
      <w:lang w:val="en-GB" w:eastAsia="da-DK"/>
    </w:rPr>
  </w:style>
  <w:style w:type="paragraph" w:styleId="Heading5">
    <w:name w:val="heading 5"/>
    <w:basedOn w:val="Heading4"/>
    <w:next w:val="Normal"/>
    <w:link w:val="Heading5Char"/>
    <w:qFormat/>
    <w:rsid w:val="002523FB"/>
    <w:pPr>
      <w:tabs>
        <w:tab w:val="clear" w:pos="864"/>
        <w:tab w:val="num" w:pos="1008"/>
      </w:tabs>
      <w:ind w:left="1008" w:hanging="1008"/>
      <w:outlineLvl w:val="4"/>
    </w:pPr>
  </w:style>
  <w:style w:type="paragraph" w:styleId="Heading6">
    <w:name w:val="heading 6"/>
    <w:basedOn w:val="Normal"/>
    <w:next w:val="Normal"/>
    <w:link w:val="Heading6Char"/>
    <w:unhideWhenUsed/>
    <w:qFormat/>
    <w:rsid w:val="002523F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Heading6"/>
    <w:next w:val="Normal"/>
    <w:link w:val="Heading7Char"/>
    <w:qFormat/>
    <w:rsid w:val="002523FB"/>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A42BFB"/>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Heading8"/>
    <w:next w:val="Normal"/>
    <w:link w:val="Heading9Char"/>
    <w:qFormat/>
    <w:rsid w:val="002523FB"/>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60B44"/>
    <w:pPr>
      <w:tabs>
        <w:tab w:val="center" w:pos="4680"/>
        <w:tab w:val="right" w:pos="9360"/>
      </w:tabs>
    </w:pPr>
  </w:style>
  <w:style w:type="character" w:customStyle="1" w:styleId="HeaderChar">
    <w:name w:val="Header Char"/>
    <w:basedOn w:val="DefaultParagraphFont"/>
    <w:link w:val="Header"/>
    <w:rsid w:val="00060B44"/>
  </w:style>
  <w:style w:type="paragraph" w:styleId="Footer">
    <w:name w:val="footer"/>
    <w:basedOn w:val="Normal"/>
    <w:link w:val="FooterChar"/>
    <w:unhideWhenUsed/>
    <w:rsid w:val="00060B44"/>
    <w:pPr>
      <w:tabs>
        <w:tab w:val="center" w:pos="4680"/>
        <w:tab w:val="right" w:pos="9360"/>
      </w:tabs>
    </w:pPr>
  </w:style>
  <w:style w:type="character" w:customStyle="1" w:styleId="FooterChar">
    <w:name w:val="Footer Char"/>
    <w:basedOn w:val="DefaultParagraphFont"/>
    <w:link w:val="Footer"/>
    <w:rsid w:val="00060B44"/>
  </w:style>
  <w:style w:type="paragraph" w:styleId="BalloonText">
    <w:name w:val="Balloon Text"/>
    <w:basedOn w:val="Normal"/>
    <w:link w:val="BalloonTextChar"/>
    <w:semiHidden/>
    <w:unhideWhenUsed/>
    <w:rsid w:val="005706BE"/>
    <w:rPr>
      <w:rFonts w:ascii="Tahoma" w:hAnsi="Tahoma" w:cs="Tahoma"/>
      <w:sz w:val="16"/>
      <w:szCs w:val="16"/>
    </w:rPr>
  </w:style>
  <w:style w:type="character" w:customStyle="1" w:styleId="BalloonTextChar">
    <w:name w:val="Balloon Text Char"/>
    <w:basedOn w:val="DefaultParagraphFont"/>
    <w:link w:val="BalloonText"/>
    <w:semiHidden/>
    <w:rsid w:val="005706BE"/>
    <w:rPr>
      <w:rFonts w:ascii="Tahoma" w:hAnsi="Tahoma" w:cs="Tahoma"/>
      <w:sz w:val="16"/>
      <w:szCs w:val="16"/>
    </w:rPr>
  </w:style>
  <w:style w:type="character" w:styleId="CommentReference">
    <w:name w:val="annotation reference"/>
    <w:basedOn w:val="DefaultParagraphFont"/>
    <w:unhideWhenUsed/>
    <w:rsid w:val="00855738"/>
    <w:rPr>
      <w:sz w:val="16"/>
      <w:szCs w:val="16"/>
    </w:rPr>
  </w:style>
  <w:style w:type="paragraph" w:styleId="CommentText">
    <w:name w:val="annotation text"/>
    <w:basedOn w:val="Normal"/>
    <w:link w:val="CommentTextChar"/>
    <w:unhideWhenUsed/>
    <w:rsid w:val="00855738"/>
    <w:rPr>
      <w:sz w:val="20"/>
      <w:szCs w:val="20"/>
    </w:rPr>
  </w:style>
  <w:style w:type="character" w:customStyle="1" w:styleId="CommentTextChar">
    <w:name w:val="Comment Text Char"/>
    <w:basedOn w:val="DefaultParagraphFont"/>
    <w:link w:val="CommentText"/>
    <w:rsid w:val="00855738"/>
    <w:rPr>
      <w:sz w:val="20"/>
      <w:szCs w:val="20"/>
    </w:rPr>
  </w:style>
  <w:style w:type="paragraph" w:styleId="CommentSubject">
    <w:name w:val="annotation subject"/>
    <w:basedOn w:val="CommentText"/>
    <w:next w:val="CommentText"/>
    <w:link w:val="CommentSubjectChar"/>
    <w:unhideWhenUsed/>
    <w:rsid w:val="00855738"/>
    <w:rPr>
      <w:b/>
      <w:bCs/>
    </w:rPr>
  </w:style>
  <w:style w:type="character" w:customStyle="1" w:styleId="CommentSubjectChar">
    <w:name w:val="Comment Subject Char"/>
    <w:basedOn w:val="CommentTextChar"/>
    <w:link w:val="CommentSubject"/>
    <w:rsid w:val="00855738"/>
    <w:rPr>
      <w:b/>
      <w:bCs/>
      <w:sz w:val="20"/>
      <w:szCs w:val="20"/>
    </w:rPr>
  </w:style>
  <w:style w:type="paragraph" w:styleId="ListParagraph">
    <w:name w:val="List Paragraph"/>
    <w:basedOn w:val="Normal"/>
    <w:uiPriority w:val="34"/>
    <w:qFormat/>
    <w:rsid w:val="00E426AE"/>
    <w:pPr>
      <w:ind w:left="720"/>
      <w:contextualSpacing/>
    </w:pPr>
  </w:style>
  <w:style w:type="paragraph" w:customStyle="1" w:styleId="StyleHeading3ComplexItalic">
    <w:name w:val="Style Heading 3 + (Complex) Italic"/>
    <w:basedOn w:val="Heading3"/>
    <w:link w:val="StyleHeading3ComplexItalicChar"/>
    <w:rsid w:val="00293332"/>
    <w:pPr>
      <w:keepLines w:val="0"/>
      <w:tabs>
        <w:tab w:val="left" w:pos="1985"/>
      </w:tabs>
      <w:spacing w:before="0"/>
    </w:pPr>
    <w:rPr>
      <w:rFonts w:ascii="Arial" w:eastAsia="Times New Roman" w:hAnsi="Arial" w:cs="Arial"/>
      <w:bCs w:val="0"/>
      <w:iCs/>
      <w:caps/>
      <w:color w:val="auto"/>
      <w:lang w:eastAsia="en-US"/>
    </w:rPr>
  </w:style>
  <w:style w:type="character" w:customStyle="1" w:styleId="StyleHeading3ComplexItalicChar">
    <w:name w:val="Style Heading 3 + (Complex) Italic Char"/>
    <w:link w:val="StyleHeading3ComplexItalic"/>
    <w:rsid w:val="00293332"/>
    <w:rPr>
      <w:rFonts w:ascii="Arial" w:eastAsia="Times New Roman" w:hAnsi="Arial" w:cs="Arial"/>
      <w:b/>
      <w:iCs/>
      <w:caps/>
      <w:lang w:eastAsia="en-US"/>
    </w:rPr>
  </w:style>
  <w:style w:type="paragraph" w:customStyle="1" w:styleId="StyleStyleHeading3ComplexItalicLatin12pt">
    <w:name w:val="Style Style Heading 3 + (Complex) Italic + (Latin) 12 pt"/>
    <w:basedOn w:val="StyleHeading3ComplexItalic"/>
    <w:link w:val="StyleStyleHeading3ComplexItalicLatin12ptChar"/>
    <w:rsid w:val="00293332"/>
  </w:style>
  <w:style w:type="character" w:customStyle="1" w:styleId="StyleStyleHeading3ComplexItalicLatin12ptChar">
    <w:name w:val="Style Style Heading 3 + (Complex) Italic + (Latin) 12 pt Char"/>
    <w:basedOn w:val="StyleHeading3ComplexItalicChar"/>
    <w:link w:val="StyleStyleHeading3ComplexItalicLatin12pt"/>
    <w:rsid w:val="00293332"/>
    <w:rPr>
      <w:rFonts w:ascii="Arial" w:eastAsia="Times New Roman" w:hAnsi="Arial" w:cs="Arial"/>
      <w:b/>
      <w:iCs/>
      <w:caps/>
      <w:lang w:eastAsia="en-US"/>
    </w:rPr>
  </w:style>
  <w:style w:type="character" w:customStyle="1" w:styleId="Heading3Char">
    <w:name w:val="Heading 3 Char"/>
    <w:basedOn w:val="DefaultParagraphFont"/>
    <w:link w:val="Heading3"/>
    <w:rsid w:val="00293332"/>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rsid w:val="006625C5"/>
    <w:rPr>
      <w:rFonts w:ascii="Arial" w:eastAsia="SimSun" w:hAnsi="Arial" w:cs="Arial"/>
      <w:b/>
      <w:bCs/>
      <w:caps/>
      <w:kern w:val="32"/>
      <w:szCs w:val="32"/>
      <w:lang w:eastAsia="en-US"/>
    </w:rPr>
  </w:style>
  <w:style w:type="paragraph" w:styleId="BodyText">
    <w:name w:val="Body Text"/>
    <w:basedOn w:val="Normal"/>
    <w:link w:val="BodyTextChar"/>
    <w:qFormat/>
    <w:rsid w:val="00CC543A"/>
    <w:pPr>
      <w:spacing w:after="220"/>
    </w:pPr>
    <w:rPr>
      <w:rFonts w:ascii="Arial" w:eastAsia="Times New Roman" w:hAnsi="Arial" w:cs="Arial"/>
      <w:szCs w:val="20"/>
      <w:lang w:eastAsia="en-US"/>
    </w:rPr>
  </w:style>
  <w:style w:type="character" w:customStyle="1" w:styleId="BodyTextChar">
    <w:name w:val="Body Text Char"/>
    <w:basedOn w:val="DefaultParagraphFont"/>
    <w:link w:val="BodyText"/>
    <w:rsid w:val="00CC543A"/>
    <w:rPr>
      <w:rFonts w:ascii="Arial" w:eastAsia="Times New Roman" w:hAnsi="Arial" w:cs="Arial"/>
      <w:szCs w:val="20"/>
      <w:lang w:eastAsia="en-US"/>
    </w:rPr>
  </w:style>
  <w:style w:type="paragraph" w:styleId="BodyTextIndent">
    <w:name w:val="Body Text Indent"/>
    <w:basedOn w:val="Normal"/>
    <w:link w:val="BodyTextIndentChar"/>
    <w:rsid w:val="00E92683"/>
    <w:pPr>
      <w:ind w:left="567"/>
    </w:pPr>
    <w:rPr>
      <w:rFonts w:ascii="Times New Roman" w:eastAsia="Times New Roman" w:hAnsi="Times New Roman" w:cs="Times New Roman"/>
      <w:sz w:val="24"/>
      <w:szCs w:val="20"/>
      <w:lang w:eastAsia="en-US"/>
    </w:rPr>
  </w:style>
  <w:style w:type="character" w:customStyle="1" w:styleId="BodyTextIndentChar">
    <w:name w:val="Body Text Indent Char"/>
    <w:basedOn w:val="DefaultParagraphFont"/>
    <w:link w:val="BodyTextIndent"/>
    <w:rsid w:val="00E92683"/>
    <w:rPr>
      <w:rFonts w:ascii="Times New Roman" w:eastAsia="Times New Roman" w:hAnsi="Times New Roman" w:cs="Times New Roman"/>
      <w:sz w:val="24"/>
      <w:szCs w:val="20"/>
      <w:lang w:eastAsia="en-US"/>
    </w:rPr>
  </w:style>
  <w:style w:type="paragraph" w:styleId="TOCHeading">
    <w:name w:val="TOC Heading"/>
    <w:basedOn w:val="Heading1"/>
    <w:next w:val="Normal"/>
    <w:uiPriority w:val="39"/>
    <w:semiHidden/>
    <w:unhideWhenUsed/>
    <w:qFormat/>
    <w:rsid w:val="00D656E4"/>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unhideWhenUsed/>
    <w:rsid w:val="00B31F59"/>
    <w:pPr>
      <w:tabs>
        <w:tab w:val="left" w:pos="440"/>
        <w:tab w:val="left" w:pos="851"/>
        <w:tab w:val="right" w:leader="dot" w:pos="9394"/>
      </w:tabs>
      <w:spacing w:after="100"/>
    </w:pPr>
    <w:rPr>
      <w:rFonts w:ascii="Arial" w:hAnsi="Arial"/>
      <w:b/>
      <w:noProof/>
    </w:rPr>
  </w:style>
  <w:style w:type="paragraph" w:styleId="TOC3">
    <w:name w:val="toc 3"/>
    <w:basedOn w:val="Normal"/>
    <w:next w:val="Normal"/>
    <w:autoRedefine/>
    <w:uiPriority w:val="39"/>
    <w:unhideWhenUsed/>
    <w:rsid w:val="00BA6E61"/>
    <w:pPr>
      <w:tabs>
        <w:tab w:val="left" w:pos="1985"/>
        <w:tab w:val="right" w:leader="dot" w:pos="9394"/>
      </w:tabs>
      <w:spacing w:after="100"/>
      <w:ind w:left="1985" w:hanging="1545"/>
    </w:pPr>
    <w:rPr>
      <w:rFonts w:ascii="Arial" w:eastAsia="SimSun" w:hAnsi="Arial"/>
      <w:smallCaps/>
      <w:noProof/>
      <w:sz w:val="20"/>
    </w:rPr>
  </w:style>
  <w:style w:type="character" w:styleId="Hyperlink">
    <w:name w:val="Hyperlink"/>
    <w:basedOn w:val="DefaultParagraphFont"/>
    <w:uiPriority w:val="99"/>
    <w:unhideWhenUsed/>
    <w:rsid w:val="00D656E4"/>
    <w:rPr>
      <w:color w:val="0000FF" w:themeColor="hyperlink"/>
      <w:u w:val="single"/>
    </w:rPr>
  </w:style>
  <w:style w:type="paragraph" w:customStyle="1" w:styleId="Body1">
    <w:name w:val="Body 1"/>
    <w:rsid w:val="00865AEC"/>
    <w:rPr>
      <w:rFonts w:ascii="Helvetica" w:eastAsia="Arial Unicode MS" w:hAnsi="Helvetica" w:cs="Times New Roman"/>
      <w:color w:val="000000"/>
      <w:sz w:val="24"/>
      <w:szCs w:val="20"/>
      <w:lang w:eastAsia="en-US"/>
    </w:rPr>
  </w:style>
  <w:style w:type="paragraph" w:customStyle="1" w:styleId="p1">
    <w:name w:val="p1"/>
    <w:basedOn w:val="Normal"/>
    <w:rsid w:val="00186D1C"/>
    <w:pPr>
      <w:suppressAutoHyphens/>
    </w:pPr>
    <w:rPr>
      <w:rFonts w:ascii="Times New Roman" w:eastAsia="Calibri" w:hAnsi="Times New Roman" w:cs="Times New Roman"/>
      <w:sz w:val="24"/>
      <w:szCs w:val="24"/>
      <w:lang w:eastAsia="ar-SA"/>
    </w:rPr>
  </w:style>
  <w:style w:type="paragraph" w:customStyle="1" w:styleId="p2">
    <w:name w:val="p2"/>
    <w:basedOn w:val="Normal"/>
    <w:rsid w:val="00186D1C"/>
    <w:pPr>
      <w:suppressAutoHyphens/>
    </w:pPr>
    <w:rPr>
      <w:rFonts w:ascii="Times New Roman" w:eastAsia="Calibri" w:hAnsi="Times New Roman" w:cs="Times New Roman"/>
      <w:sz w:val="24"/>
      <w:szCs w:val="24"/>
      <w:lang w:eastAsia="ar-SA"/>
    </w:rPr>
  </w:style>
  <w:style w:type="paragraph" w:styleId="NormalWeb">
    <w:name w:val="Normal (Web)"/>
    <w:basedOn w:val="Normal"/>
    <w:unhideWhenUsed/>
    <w:rsid w:val="007A45E0"/>
    <w:rPr>
      <w:rFonts w:ascii="Times New Roman" w:eastAsiaTheme="minorHAnsi" w:hAnsi="Times New Roman" w:cs="Times New Roman"/>
      <w:sz w:val="24"/>
      <w:szCs w:val="24"/>
      <w:lang w:eastAsia="en-US"/>
    </w:rPr>
  </w:style>
  <w:style w:type="paragraph" w:customStyle="1" w:styleId="Default">
    <w:name w:val="Default"/>
    <w:basedOn w:val="Normal"/>
    <w:rsid w:val="002F58D0"/>
    <w:pPr>
      <w:autoSpaceDE w:val="0"/>
      <w:autoSpaceDN w:val="0"/>
    </w:pPr>
    <w:rPr>
      <w:rFonts w:ascii="Arial" w:eastAsiaTheme="minorHAnsi" w:hAnsi="Arial" w:cs="Arial"/>
      <w:color w:val="000000"/>
      <w:sz w:val="24"/>
      <w:szCs w:val="24"/>
      <w:lang w:eastAsia="en-US"/>
    </w:rPr>
  </w:style>
  <w:style w:type="paragraph" w:styleId="Revision">
    <w:name w:val="Revision"/>
    <w:hidden/>
    <w:uiPriority w:val="99"/>
    <w:semiHidden/>
    <w:rsid w:val="002F58D0"/>
  </w:style>
  <w:style w:type="character" w:customStyle="1" w:styleId="Heading8Char">
    <w:name w:val="Heading 8 Char"/>
    <w:basedOn w:val="DefaultParagraphFont"/>
    <w:link w:val="Heading8"/>
    <w:rsid w:val="00A42BFB"/>
    <w:rPr>
      <w:rFonts w:asciiTheme="majorHAnsi" w:eastAsiaTheme="majorEastAsia" w:hAnsiTheme="majorHAnsi" w:cstheme="majorBidi"/>
      <w:color w:val="404040" w:themeColor="text1" w:themeTint="BF"/>
      <w:sz w:val="20"/>
      <w:szCs w:val="20"/>
    </w:rPr>
  </w:style>
  <w:style w:type="paragraph" w:customStyle="1" w:styleId="StyleHeading214ptAuto">
    <w:name w:val="Style Heading 2 + 14 pt Auto"/>
    <w:basedOn w:val="Heading2"/>
    <w:rsid w:val="00A42BFB"/>
    <w:pPr>
      <w:keepNext w:val="0"/>
      <w:keepLines w:val="0"/>
      <w:widowControl w:val="0"/>
      <w:tabs>
        <w:tab w:val="num" w:pos="567"/>
      </w:tabs>
      <w:spacing w:before="0" w:line="300" w:lineRule="atLeast"/>
      <w:ind w:left="567" w:hanging="567"/>
      <w:jc w:val="center"/>
    </w:pPr>
    <w:rPr>
      <w:rFonts w:ascii="Arial Bold" w:eastAsia="Times New Roman" w:hAnsi="Arial Bold" w:cs="Arial"/>
      <w:iCs/>
      <w:caps/>
      <w:color w:val="auto"/>
      <w:sz w:val="24"/>
      <w:szCs w:val="28"/>
      <w:lang w:val="en-GB" w:eastAsia="da-DK"/>
    </w:rPr>
  </w:style>
  <w:style w:type="character" w:customStyle="1" w:styleId="Heading2Char">
    <w:name w:val="Heading 2 Char"/>
    <w:basedOn w:val="DefaultParagraphFont"/>
    <w:link w:val="Heading2"/>
    <w:rsid w:val="00A42BFB"/>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D42529"/>
    <w:pPr>
      <w:tabs>
        <w:tab w:val="left" w:pos="9072"/>
      </w:tabs>
      <w:spacing w:after="120"/>
      <w:ind w:left="221"/>
    </w:pPr>
    <w:rPr>
      <w:rFonts w:ascii="Arial" w:hAnsi="Arial"/>
      <w:caps/>
      <w:noProof/>
      <w:sz w:val="20"/>
    </w:rPr>
  </w:style>
  <w:style w:type="paragraph" w:styleId="BodyText2">
    <w:name w:val="Body Text 2"/>
    <w:basedOn w:val="Normal"/>
    <w:link w:val="BodyText2Char"/>
    <w:unhideWhenUsed/>
    <w:rsid w:val="00FB583B"/>
    <w:pPr>
      <w:spacing w:after="120" w:line="480" w:lineRule="auto"/>
    </w:pPr>
  </w:style>
  <w:style w:type="character" w:customStyle="1" w:styleId="BodyText2Char">
    <w:name w:val="Body Text 2 Char"/>
    <w:basedOn w:val="DefaultParagraphFont"/>
    <w:link w:val="BodyText2"/>
    <w:rsid w:val="00FB583B"/>
  </w:style>
  <w:style w:type="paragraph" w:customStyle="1" w:styleId="Endofdocument">
    <w:name w:val="End of document"/>
    <w:basedOn w:val="Normal"/>
    <w:rsid w:val="00FB583B"/>
    <w:pPr>
      <w:ind w:left="4536"/>
      <w:jc w:val="center"/>
    </w:pPr>
    <w:rPr>
      <w:rFonts w:ascii="Times New Roman" w:eastAsia="Times New Roman" w:hAnsi="Times New Roman" w:cs="Times New Roman"/>
      <w:sz w:val="24"/>
      <w:szCs w:val="20"/>
      <w:lang w:eastAsia="en-US"/>
    </w:rPr>
  </w:style>
  <w:style w:type="paragraph" w:styleId="BlockText">
    <w:name w:val="Block Text"/>
    <w:basedOn w:val="Normal"/>
    <w:rsid w:val="00FB583B"/>
    <w:pPr>
      <w:tabs>
        <w:tab w:val="left" w:pos="2127"/>
      </w:tabs>
      <w:spacing w:after="40"/>
      <w:ind w:left="2127" w:right="896" w:hanging="2127"/>
    </w:pPr>
    <w:rPr>
      <w:rFonts w:ascii="Times New Roman" w:eastAsia="Times New Roman" w:hAnsi="Times New Roman" w:cs="Times New Roman"/>
      <w:sz w:val="24"/>
      <w:szCs w:val="20"/>
      <w:lang w:eastAsia="en-US"/>
    </w:rPr>
  </w:style>
  <w:style w:type="paragraph" w:styleId="FootnoteText">
    <w:name w:val="footnote text"/>
    <w:basedOn w:val="Normal"/>
    <w:link w:val="FootnoteTextChar"/>
    <w:rsid w:val="00B67D0A"/>
    <w:rPr>
      <w:rFonts w:ascii="Times New Roman" w:eastAsia="Times New Roman" w:hAnsi="Times New Roman" w:cs="Times New Roman"/>
      <w:sz w:val="20"/>
      <w:szCs w:val="20"/>
      <w:lang w:eastAsia="en-US"/>
    </w:rPr>
  </w:style>
  <w:style w:type="character" w:customStyle="1" w:styleId="FootnoteTextChar">
    <w:name w:val="Footnote Text Char"/>
    <w:basedOn w:val="DefaultParagraphFont"/>
    <w:link w:val="FootnoteText"/>
    <w:rsid w:val="00B67D0A"/>
    <w:rPr>
      <w:rFonts w:ascii="Times New Roman" w:eastAsia="Times New Roman" w:hAnsi="Times New Roman" w:cs="Times New Roman"/>
      <w:sz w:val="20"/>
      <w:szCs w:val="20"/>
      <w:lang w:eastAsia="en-US"/>
    </w:rPr>
  </w:style>
  <w:style w:type="character" w:styleId="FootnoteReference">
    <w:name w:val="footnote reference"/>
    <w:aliases w:val="Footnote"/>
    <w:rsid w:val="00B67D0A"/>
    <w:rPr>
      <w:vertAlign w:val="superscript"/>
    </w:rPr>
  </w:style>
  <w:style w:type="paragraph" w:styleId="PlainText">
    <w:name w:val="Plain Text"/>
    <w:basedOn w:val="Normal"/>
    <w:link w:val="PlainTextChar"/>
    <w:uiPriority w:val="99"/>
    <w:rsid w:val="001A07FB"/>
    <w:rPr>
      <w:rFonts w:ascii="Courier New" w:eastAsia="SimSun" w:hAnsi="Courier New" w:cs="Courier New"/>
      <w:color w:val="0000FF"/>
      <w:sz w:val="20"/>
      <w:szCs w:val="20"/>
      <w:lang w:eastAsia="zh-CN"/>
    </w:rPr>
  </w:style>
  <w:style w:type="character" w:customStyle="1" w:styleId="PlainTextChar">
    <w:name w:val="Plain Text Char"/>
    <w:basedOn w:val="DefaultParagraphFont"/>
    <w:link w:val="PlainText"/>
    <w:uiPriority w:val="99"/>
    <w:rsid w:val="001A07FB"/>
    <w:rPr>
      <w:rFonts w:ascii="Courier New" w:eastAsia="SimSun" w:hAnsi="Courier New" w:cs="Courier New"/>
      <w:color w:val="0000FF"/>
      <w:sz w:val="20"/>
      <w:szCs w:val="20"/>
      <w:lang w:eastAsia="zh-CN"/>
    </w:rPr>
  </w:style>
  <w:style w:type="table" w:styleId="TableGrid">
    <w:name w:val="Table Grid"/>
    <w:basedOn w:val="TableNormal"/>
    <w:rsid w:val="000877C4"/>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nxtext">
    <w:name w:val="zanxtext"/>
    <w:basedOn w:val="Normal"/>
    <w:rsid w:val="005A1F7F"/>
    <w:pPr>
      <w:spacing w:before="120"/>
    </w:pPr>
    <w:rPr>
      <w:rFonts w:ascii="Times New Roman" w:eastAsia="Times New Roman" w:hAnsi="Times New Roman" w:cs="Times New Roman"/>
      <w:sz w:val="24"/>
      <w:szCs w:val="20"/>
      <w:lang w:eastAsia="en-US"/>
    </w:rPr>
  </w:style>
  <w:style w:type="character" w:customStyle="1" w:styleId="Heading6Char">
    <w:name w:val="Heading 6 Char"/>
    <w:basedOn w:val="DefaultParagraphFont"/>
    <w:link w:val="Heading6"/>
    <w:rsid w:val="002523FB"/>
    <w:rPr>
      <w:rFonts w:asciiTheme="majorHAnsi" w:eastAsiaTheme="majorEastAsia" w:hAnsiTheme="majorHAnsi" w:cstheme="majorBidi"/>
      <w:i/>
      <w:iCs/>
      <w:color w:val="243F60" w:themeColor="accent1" w:themeShade="7F"/>
    </w:rPr>
  </w:style>
  <w:style w:type="character" w:customStyle="1" w:styleId="Heading4Char">
    <w:name w:val="Heading 4 Char"/>
    <w:basedOn w:val="DefaultParagraphFont"/>
    <w:link w:val="Heading4"/>
    <w:rsid w:val="002523FB"/>
    <w:rPr>
      <w:rFonts w:ascii="Arial" w:eastAsia="Times New Roman" w:hAnsi="Arial" w:cs="Arial"/>
      <w:b/>
      <w:bCs/>
      <w:caps/>
      <w:color w:val="3E484E"/>
      <w:szCs w:val="26"/>
      <w:lang w:val="en-GB" w:eastAsia="da-DK"/>
    </w:rPr>
  </w:style>
  <w:style w:type="character" w:customStyle="1" w:styleId="Heading5Char">
    <w:name w:val="Heading 5 Char"/>
    <w:basedOn w:val="DefaultParagraphFont"/>
    <w:link w:val="Heading5"/>
    <w:rsid w:val="002523FB"/>
    <w:rPr>
      <w:rFonts w:ascii="Arial" w:eastAsia="Times New Roman" w:hAnsi="Arial" w:cs="Arial"/>
      <w:b/>
      <w:bCs/>
      <w:caps/>
      <w:color w:val="3E484E"/>
      <w:szCs w:val="26"/>
      <w:lang w:val="en-GB" w:eastAsia="da-DK"/>
    </w:rPr>
  </w:style>
  <w:style w:type="character" w:customStyle="1" w:styleId="Heading7Char">
    <w:name w:val="Heading 7 Char"/>
    <w:basedOn w:val="DefaultParagraphFont"/>
    <w:link w:val="Heading7"/>
    <w:rsid w:val="002523FB"/>
    <w:rPr>
      <w:rFonts w:ascii="Arial" w:eastAsia="Times New Roman" w:hAnsi="Arial" w:cs="Arial"/>
      <w:b/>
      <w:bCs/>
      <w:caps/>
      <w:color w:val="3E484E"/>
      <w:szCs w:val="26"/>
      <w:lang w:val="en-GB" w:eastAsia="da-DK"/>
    </w:rPr>
  </w:style>
  <w:style w:type="character" w:customStyle="1" w:styleId="Heading9Char">
    <w:name w:val="Heading 9 Char"/>
    <w:basedOn w:val="DefaultParagraphFont"/>
    <w:link w:val="Heading9"/>
    <w:rsid w:val="002523FB"/>
    <w:rPr>
      <w:rFonts w:ascii="Arial" w:eastAsia="Times New Roman" w:hAnsi="Arial" w:cs="Arial"/>
      <w:b/>
      <w:bCs/>
      <w:caps/>
      <w:color w:val="3E484E"/>
      <w:szCs w:val="26"/>
      <w:lang w:val="en-GB" w:eastAsia="da-DK"/>
    </w:rPr>
  </w:style>
  <w:style w:type="paragraph" w:customStyle="1" w:styleId="CharCharCharChar">
    <w:name w:val="Char Char Char Char"/>
    <w:basedOn w:val="Normal"/>
    <w:rsid w:val="002523FB"/>
    <w:pPr>
      <w:spacing w:after="160" w:line="240" w:lineRule="exact"/>
    </w:pPr>
    <w:rPr>
      <w:rFonts w:ascii="Verdana" w:eastAsia="Times New Roman" w:hAnsi="Verdana" w:cs="Times New Roman"/>
      <w:sz w:val="20"/>
      <w:szCs w:val="20"/>
      <w:lang w:val="en-GB" w:eastAsia="en-US"/>
    </w:rPr>
  </w:style>
  <w:style w:type="character" w:customStyle="1" w:styleId="hps">
    <w:name w:val="hps"/>
    <w:basedOn w:val="DefaultParagraphFont"/>
    <w:rsid w:val="002523FB"/>
  </w:style>
  <w:style w:type="character" w:styleId="PageNumber">
    <w:name w:val="page number"/>
    <w:basedOn w:val="DefaultParagraphFont"/>
    <w:rsid w:val="002523FB"/>
  </w:style>
  <w:style w:type="paragraph" w:customStyle="1" w:styleId="1">
    <w:name w:val="1"/>
    <w:basedOn w:val="Normal"/>
    <w:rsid w:val="002523FB"/>
    <w:pPr>
      <w:spacing w:after="160" w:line="240" w:lineRule="exact"/>
    </w:pPr>
    <w:rPr>
      <w:rFonts w:ascii="Verdana" w:eastAsia="Times New Roman" w:hAnsi="Verdana" w:cs="Times New Roman"/>
      <w:sz w:val="20"/>
      <w:szCs w:val="20"/>
      <w:lang w:val="en-GB" w:eastAsia="en-US"/>
    </w:rPr>
  </w:style>
  <w:style w:type="paragraph" w:customStyle="1" w:styleId="NormalArial">
    <w:name w:val="Normal + Arial"/>
    <w:aliases w:val="10 pt"/>
    <w:basedOn w:val="ListParagraph"/>
    <w:rsid w:val="002523FB"/>
    <w:pPr>
      <w:ind w:left="-28"/>
      <w:contextualSpacing w:val="0"/>
    </w:pPr>
    <w:rPr>
      <w:rFonts w:ascii="Arial" w:eastAsia="MS Mincho" w:hAnsi="Arial" w:cs="Arial"/>
      <w:bCs/>
      <w:sz w:val="20"/>
      <w:szCs w:val="20"/>
    </w:rPr>
  </w:style>
  <w:style w:type="paragraph" w:customStyle="1" w:styleId="Normal6">
    <w:name w:val="Normal+6"/>
    <w:basedOn w:val="Normal"/>
    <w:next w:val="Normal"/>
    <w:rsid w:val="002523FB"/>
    <w:pPr>
      <w:autoSpaceDE w:val="0"/>
      <w:autoSpaceDN w:val="0"/>
      <w:adjustRightInd w:val="0"/>
    </w:pPr>
    <w:rPr>
      <w:rFonts w:ascii="Arial" w:eastAsia="Times New Roman" w:hAnsi="Arial" w:cs="Times New Roman"/>
      <w:sz w:val="24"/>
      <w:szCs w:val="24"/>
      <w:lang w:eastAsia="en-US"/>
    </w:rPr>
  </w:style>
  <w:style w:type="character" w:customStyle="1" w:styleId="paracolourtext1">
    <w:name w:val="paracolourtext1"/>
    <w:rsid w:val="002523FB"/>
    <w:rPr>
      <w:b w:val="0"/>
      <w:bCs w:val="0"/>
      <w:i w:val="0"/>
      <w:iCs w:val="0"/>
      <w:color w:val="800000"/>
      <w:sz w:val="20"/>
      <w:szCs w:val="20"/>
    </w:rPr>
  </w:style>
  <w:style w:type="paragraph" w:customStyle="1" w:styleId="Body">
    <w:name w:val="Body"/>
    <w:rsid w:val="002523FB"/>
    <w:rPr>
      <w:rFonts w:ascii="Helvetica" w:eastAsia="ヒラギノ角ゴ Pro W3" w:hAnsi="Helvetica" w:cs="Angsana New"/>
      <w:color w:val="000000"/>
      <w:sz w:val="24"/>
      <w:szCs w:val="20"/>
      <w:lang w:eastAsia="en-US" w:bidi="th-TH"/>
    </w:rPr>
  </w:style>
  <w:style w:type="paragraph" w:customStyle="1" w:styleId="tes1">
    <w:name w:val="tes1"/>
    <w:basedOn w:val="Normal"/>
    <w:rsid w:val="002523FB"/>
    <w:pPr>
      <w:suppressAutoHyphens/>
      <w:ind w:left="1134" w:right="2195"/>
      <w:jc w:val="both"/>
    </w:pPr>
    <w:rPr>
      <w:rFonts w:ascii="Times New Roman" w:eastAsia="Times New Roman" w:hAnsi="Times New Roman" w:cs="Times New Roman"/>
      <w:b/>
      <w:spacing w:val="4"/>
      <w:w w:val="103"/>
      <w:kern w:val="14"/>
      <w:sz w:val="20"/>
      <w:szCs w:val="20"/>
      <w:lang w:val="en-GB" w:eastAsia="en-US"/>
    </w:rPr>
  </w:style>
  <w:style w:type="paragraph" w:customStyle="1" w:styleId="Style10">
    <w:name w:val="Style10"/>
    <w:basedOn w:val="Normal"/>
    <w:autoRedefine/>
    <w:rsid w:val="002523FB"/>
    <w:pPr>
      <w:tabs>
        <w:tab w:val="left" w:pos="340"/>
        <w:tab w:val="left" w:pos="680"/>
        <w:tab w:val="left" w:pos="1021"/>
        <w:tab w:val="left" w:pos="1361"/>
      </w:tabs>
      <w:suppressAutoHyphens/>
      <w:jc w:val="both"/>
    </w:pPr>
    <w:rPr>
      <w:rFonts w:ascii="Times New Roman" w:eastAsia="Times New Roman" w:hAnsi="Times New Roman" w:cs="Times New Roman"/>
      <w:snapToGrid w:val="0"/>
      <w:sz w:val="20"/>
      <w:szCs w:val="20"/>
      <w:lang w:eastAsia="en-US"/>
    </w:rPr>
  </w:style>
  <w:style w:type="paragraph" w:customStyle="1" w:styleId="Style11">
    <w:name w:val="Style11"/>
    <w:basedOn w:val="FootnoteText"/>
    <w:autoRedefine/>
    <w:rsid w:val="002523FB"/>
    <w:pPr>
      <w:suppressAutoHyphens/>
      <w:ind w:firstLine="340"/>
      <w:jc w:val="both"/>
    </w:pPr>
    <w:rPr>
      <w:snapToGrid w:val="0"/>
      <w:sz w:val="16"/>
    </w:rPr>
  </w:style>
  <w:style w:type="paragraph" w:styleId="Title">
    <w:name w:val="Title"/>
    <w:basedOn w:val="Normal"/>
    <w:link w:val="TitleChar"/>
    <w:qFormat/>
    <w:rsid w:val="002523FB"/>
    <w:pPr>
      <w:jc w:val="center"/>
    </w:pPr>
    <w:rPr>
      <w:rFonts w:ascii="Times New Roman" w:eastAsia="Times New Roman" w:hAnsi="Times New Roman" w:cs="Times New Roman"/>
      <w:b/>
      <w:sz w:val="24"/>
      <w:szCs w:val="20"/>
      <w:lang w:eastAsia="en-US"/>
    </w:rPr>
  </w:style>
  <w:style w:type="character" w:customStyle="1" w:styleId="TitleChar">
    <w:name w:val="Title Char"/>
    <w:basedOn w:val="DefaultParagraphFont"/>
    <w:link w:val="Title"/>
    <w:rsid w:val="002523FB"/>
    <w:rPr>
      <w:rFonts w:ascii="Times New Roman" w:eastAsia="Times New Roman" w:hAnsi="Times New Roman" w:cs="Times New Roman"/>
      <w:b/>
      <w:sz w:val="24"/>
      <w:szCs w:val="20"/>
      <w:lang w:eastAsia="en-US"/>
    </w:rPr>
  </w:style>
  <w:style w:type="paragraph" w:styleId="Subtitle">
    <w:name w:val="Subtitle"/>
    <w:basedOn w:val="Normal"/>
    <w:link w:val="SubtitleChar"/>
    <w:qFormat/>
    <w:rsid w:val="002523FB"/>
    <w:pPr>
      <w:jc w:val="center"/>
    </w:pPr>
    <w:rPr>
      <w:rFonts w:ascii="Times New Roman" w:eastAsia="Times New Roman" w:hAnsi="Times New Roman" w:cs="Times New Roman"/>
      <w:b/>
      <w:caps/>
      <w:color w:val="0000FF"/>
      <w:sz w:val="28"/>
      <w:szCs w:val="20"/>
      <w:lang w:eastAsia="en-US"/>
    </w:rPr>
  </w:style>
  <w:style w:type="character" w:customStyle="1" w:styleId="SubtitleChar">
    <w:name w:val="Subtitle Char"/>
    <w:basedOn w:val="DefaultParagraphFont"/>
    <w:link w:val="Subtitle"/>
    <w:rsid w:val="002523FB"/>
    <w:rPr>
      <w:rFonts w:ascii="Times New Roman" w:eastAsia="Times New Roman" w:hAnsi="Times New Roman" w:cs="Times New Roman"/>
      <w:b/>
      <w:caps/>
      <w:color w:val="0000FF"/>
      <w:sz w:val="28"/>
      <w:szCs w:val="20"/>
      <w:lang w:eastAsia="en-US"/>
    </w:rPr>
  </w:style>
  <w:style w:type="paragraph" w:styleId="BodyTextIndent2">
    <w:name w:val="Body Text Indent 2"/>
    <w:basedOn w:val="Normal"/>
    <w:link w:val="BodyTextIndent2Char"/>
    <w:rsid w:val="002523FB"/>
    <w:pPr>
      <w:tabs>
        <w:tab w:val="left" w:pos="714"/>
      </w:tabs>
      <w:spacing w:after="100"/>
      <w:ind w:hanging="6"/>
      <w:jc w:val="both"/>
    </w:pPr>
    <w:rPr>
      <w:rFonts w:ascii="Arial" w:eastAsia="Times New Roman" w:hAnsi="Arial" w:cs="Times New Roman"/>
      <w:snapToGrid w:val="0"/>
      <w:color w:val="000000"/>
      <w:sz w:val="20"/>
      <w:szCs w:val="20"/>
      <w:lang w:eastAsia="en-US"/>
    </w:rPr>
  </w:style>
  <w:style w:type="character" w:customStyle="1" w:styleId="BodyTextIndent2Char">
    <w:name w:val="Body Text Indent 2 Char"/>
    <w:basedOn w:val="DefaultParagraphFont"/>
    <w:link w:val="BodyTextIndent2"/>
    <w:rsid w:val="002523FB"/>
    <w:rPr>
      <w:rFonts w:ascii="Arial" w:eastAsia="Times New Roman" w:hAnsi="Arial" w:cs="Times New Roman"/>
      <w:snapToGrid w:val="0"/>
      <w:color w:val="000000"/>
      <w:sz w:val="20"/>
      <w:szCs w:val="20"/>
      <w:lang w:eastAsia="en-US"/>
    </w:rPr>
  </w:style>
  <w:style w:type="paragraph" w:customStyle="1" w:styleId="3029-Titrechapitre">
    <w:name w:val="3029-Titre chapitre"/>
    <w:basedOn w:val="Heading1"/>
    <w:rsid w:val="002523FB"/>
    <w:pPr>
      <w:spacing w:before="0" w:after="0"/>
    </w:pPr>
    <w:rPr>
      <w:rFonts w:ascii="Arial Black" w:eastAsia="Times" w:hAnsi="Arial Black" w:cs="Times New Roman"/>
      <w:b w:val="0"/>
      <w:bCs w:val="0"/>
      <w:caps w:val="0"/>
      <w:color w:val="000080"/>
      <w:kern w:val="0"/>
      <w:sz w:val="30"/>
      <w:szCs w:val="20"/>
      <w:lang w:val="fr-FR"/>
    </w:rPr>
  </w:style>
  <w:style w:type="character" w:customStyle="1" w:styleId="underline">
    <w:name w:val="underline"/>
    <w:rsid w:val="002523FB"/>
    <w:rPr>
      <w:u w:val="single"/>
    </w:rPr>
  </w:style>
  <w:style w:type="paragraph" w:customStyle="1" w:styleId="zanxhead">
    <w:name w:val="zanxhead"/>
    <w:basedOn w:val="Normal"/>
    <w:rsid w:val="002523FB"/>
    <w:pPr>
      <w:spacing w:before="200"/>
    </w:pPr>
    <w:rPr>
      <w:rFonts w:ascii="Times New Roman" w:eastAsia="Times New Roman" w:hAnsi="Times New Roman" w:cs="Times New Roman"/>
      <w:b/>
      <w:color w:val="0000FF"/>
      <w:sz w:val="24"/>
      <w:szCs w:val="20"/>
      <w:lang w:eastAsia="en-US"/>
    </w:rPr>
  </w:style>
  <w:style w:type="character" w:styleId="Emphasis">
    <w:name w:val="Emphasis"/>
    <w:uiPriority w:val="20"/>
    <w:qFormat/>
    <w:rsid w:val="002523FB"/>
    <w:rPr>
      <w:i/>
      <w:iCs/>
    </w:rPr>
  </w:style>
  <w:style w:type="character" w:styleId="Strong">
    <w:name w:val="Strong"/>
    <w:qFormat/>
    <w:rsid w:val="002523FB"/>
    <w:rPr>
      <w:b/>
      <w:bCs/>
    </w:rPr>
  </w:style>
  <w:style w:type="paragraph" w:customStyle="1" w:styleId="preparedby">
    <w:name w:val="prepared by"/>
    <w:basedOn w:val="Normal"/>
    <w:next w:val="Normal"/>
    <w:rsid w:val="002523FB"/>
    <w:pPr>
      <w:spacing w:before="120" w:after="480" w:line="260" w:lineRule="atLeast"/>
      <w:ind w:left="1021"/>
      <w:contextualSpacing/>
    </w:pPr>
    <w:rPr>
      <w:rFonts w:ascii="Arial" w:eastAsia="Times New Roman" w:hAnsi="Arial" w:cs="Times New Roman"/>
      <w:i/>
      <w:sz w:val="20"/>
      <w:szCs w:val="20"/>
      <w:lang w:eastAsia="en-US"/>
    </w:rPr>
  </w:style>
  <w:style w:type="paragraph" w:customStyle="1" w:styleId="Documenttitle">
    <w:name w:val="Document title"/>
    <w:basedOn w:val="Normal"/>
    <w:next w:val="preparedby"/>
    <w:rsid w:val="002523FB"/>
    <w:pPr>
      <w:spacing w:before="840" w:line="336" w:lineRule="exact"/>
      <w:ind w:left="1021"/>
      <w:contextualSpacing/>
    </w:pPr>
    <w:rPr>
      <w:rFonts w:ascii="Arial" w:eastAsia="Times New Roman" w:hAnsi="Arial" w:cs="Times New Roman"/>
      <w:sz w:val="24"/>
      <w:szCs w:val="20"/>
      <w:lang w:eastAsia="en-US"/>
    </w:rPr>
  </w:style>
  <w:style w:type="paragraph" w:customStyle="1" w:styleId="MeetinglanguageDate">
    <w:name w:val="Meeting language &amp; Date"/>
    <w:basedOn w:val="Normal"/>
    <w:next w:val="Meetingtitle"/>
    <w:rsid w:val="002523FB"/>
    <w:pPr>
      <w:spacing w:after="1680" w:line="160" w:lineRule="exact"/>
      <w:ind w:left="1021"/>
      <w:contextualSpacing/>
      <w:jc w:val="right"/>
    </w:pPr>
    <w:rPr>
      <w:rFonts w:ascii="Arial Black" w:eastAsia="Times New Roman" w:hAnsi="Arial Black" w:cs="Times New Roman"/>
      <w:b/>
      <w:caps/>
      <w:sz w:val="15"/>
      <w:szCs w:val="20"/>
      <w:lang w:eastAsia="en-US"/>
    </w:rPr>
  </w:style>
  <w:style w:type="paragraph" w:customStyle="1" w:styleId="Meetingtitle">
    <w:name w:val="Meeting title"/>
    <w:basedOn w:val="Normal"/>
    <w:next w:val="Sessiontitle"/>
    <w:rsid w:val="002523FB"/>
    <w:pPr>
      <w:spacing w:line="336" w:lineRule="exact"/>
      <w:ind w:left="1021"/>
    </w:pPr>
    <w:rPr>
      <w:rFonts w:ascii="Arial" w:eastAsia="Times New Roman" w:hAnsi="Arial" w:cs="Times New Roman"/>
      <w:b/>
      <w:sz w:val="28"/>
      <w:szCs w:val="20"/>
      <w:lang w:eastAsia="en-US"/>
    </w:rPr>
  </w:style>
  <w:style w:type="paragraph" w:customStyle="1" w:styleId="Sessiontitle">
    <w:name w:val="Session title"/>
    <w:basedOn w:val="Meetingtitle"/>
    <w:next w:val="Meetingplacedate"/>
    <w:rsid w:val="002523FB"/>
    <w:pPr>
      <w:spacing w:before="480"/>
      <w:contextualSpacing/>
    </w:pPr>
    <w:rPr>
      <w:sz w:val="24"/>
    </w:rPr>
  </w:style>
  <w:style w:type="paragraph" w:customStyle="1" w:styleId="Meetingplacedate">
    <w:name w:val="Meeting place &amp; date"/>
    <w:basedOn w:val="Sessiontitle"/>
    <w:next w:val="Documenttitle"/>
    <w:rsid w:val="002523FB"/>
    <w:pPr>
      <w:spacing w:before="0"/>
      <w:contextualSpacing w:val="0"/>
    </w:pPr>
  </w:style>
  <w:style w:type="paragraph" w:customStyle="1" w:styleId="Language">
    <w:name w:val="Language"/>
    <w:basedOn w:val="Normal"/>
    <w:next w:val="Normal"/>
    <w:rsid w:val="002523FB"/>
    <w:pPr>
      <w:spacing w:after="120" w:line="340" w:lineRule="atLeast"/>
      <w:ind w:left="1021"/>
      <w:contextualSpacing/>
      <w:jc w:val="right"/>
    </w:pPr>
    <w:rPr>
      <w:rFonts w:ascii="Arial" w:eastAsia="Times New Roman" w:hAnsi="Arial" w:cs="Times New Roman"/>
      <w:b/>
      <w:caps/>
      <w:sz w:val="40"/>
      <w:szCs w:val="20"/>
      <w:lang w:eastAsia="en-US"/>
    </w:rPr>
  </w:style>
  <w:style w:type="paragraph" w:customStyle="1" w:styleId="MeetingCode">
    <w:name w:val="Meeting Code"/>
    <w:basedOn w:val="MeetinglanguageDate"/>
    <w:rsid w:val="002523FB"/>
    <w:pPr>
      <w:spacing w:before="1800" w:after="0"/>
    </w:pPr>
  </w:style>
  <w:style w:type="paragraph" w:customStyle="1" w:styleId="CarCarCar">
    <w:name w:val="Car Car Car"/>
    <w:basedOn w:val="Normal"/>
    <w:rsid w:val="002523FB"/>
    <w:pPr>
      <w:spacing w:after="160" w:line="240" w:lineRule="exact"/>
    </w:pPr>
    <w:rPr>
      <w:rFonts w:ascii="Verdana" w:eastAsia="PMingLiU" w:hAnsi="Verdana" w:cs="Times New Roman"/>
      <w:sz w:val="20"/>
      <w:szCs w:val="20"/>
      <w:lang w:eastAsia="en-US"/>
    </w:rPr>
  </w:style>
  <w:style w:type="paragraph" w:customStyle="1" w:styleId="Paragraphedeliste">
    <w:name w:val="Paragraphe de liste"/>
    <w:autoRedefine/>
    <w:rsid w:val="002523FB"/>
    <w:pPr>
      <w:spacing w:after="200" w:line="276" w:lineRule="auto"/>
      <w:ind w:left="720"/>
    </w:pPr>
    <w:rPr>
      <w:rFonts w:ascii="Lucida Grande" w:eastAsia="ヒラギノ角ゴ Pro W3" w:hAnsi="Lucida Grande" w:cs="Times New Roman"/>
      <w:color w:val="000000"/>
      <w:szCs w:val="20"/>
      <w:lang w:val="en-GB" w:eastAsia="en-US"/>
    </w:rPr>
  </w:style>
  <w:style w:type="paragraph" w:customStyle="1" w:styleId="ONUME">
    <w:name w:val="ONUM E"/>
    <w:basedOn w:val="Normal"/>
    <w:link w:val="ONUMEChar"/>
    <w:rsid w:val="002523FB"/>
    <w:pPr>
      <w:numPr>
        <w:numId w:val="69"/>
      </w:numPr>
    </w:pPr>
    <w:rPr>
      <w:rFonts w:ascii="Times New Roman" w:eastAsia="Times New Roman" w:hAnsi="Times New Roman" w:cs="Times New Roman"/>
      <w:sz w:val="24"/>
      <w:szCs w:val="20"/>
      <w:lang w:eastAsia="en-US"/>
    </w:rPr>
  </w:style>
  <w:style w:type="character" w:styleId="FollowedHyperlink">
    <w:name w:val="FollowedHyperlink"/>
    <w:rsid w:val="002523FB"/>
    <w:rPr>
      <w:color w:val="606420"/>
      <w:u w:val="single"/>
    </w:rPr>
  </w:style>
  <w:style w:type="paragraph" w:customStyle="1" w:styleId="ONUMFS">
    <w:name w:val="ONUM FS"/>
    <w:basedOn w:val="BodyText"/>
    <w:rsid w:val="002523FB"/>
    <w:pPr>
      <w:numPr>
        <w:numId w:val="70"/>
      </w:numPr>
    </w:pPr>
    <w:rPr>
      <w:rFonts w:ascii="Times New Roman" w:hAnsi="Times New Roman" w:cs="Times New Roman"/>
      <w:sz w:val="24"/>
    </w:rPr>
  </w:style>
  <w:style w:type="paragraph" w:styleId="Salutation">
    <w:name w:val="Salutation"/>
    <w:basedOn w:val="Normal"/>
    <w:next w:val="Normal"/>
    <w:link w:val="SalutationChar"/>
    <w:semiHidden/>
    <w:rsid w:val="002523FB"/>
    <w:rPr>
      <w:rFonts w:ascii="Times New Roman" w:eastAsia="Times New Roman" w:hAnsi="Times New Roman" w:cs="Times New Roman"/>
      <w:sz w:val="24"/>
      <w:szCs w:val="20"/>
      <w:lang w:eastAsia="en-US"/>
    </w:rPr>
  </w:style>
  <w:style w:type="character" w:customStyle="1" w:styleId="SalutationChar">
    <w:name w:val="Salutation Char"/>
    <w:basedOn w:val="DefaultParagraphFont"/>
    <w:link w:val="Salutation"/>
    <w:semiHidden/>
    <w:rsid w:val="002523FB"/>
    <w:rPr>
      <w:rFonts w:ascii="Times New Roman" w:eastAsia="Times New Roman" w:hAnsi="Times New Roman" w:cs="Times New Roman"/>
      <w:sz w:val="24"/>
      <w:szCs w:val="20"/>
      <w:lang w:eastAsia="en-US"/>
    </w:rPr>
  </w:style>
  <w:style w:type="paragraph" w:styleId="Signature">
    <w:name w:val="Signature"/>
    <w:basedOn w:val="Normal"/>
    <w:link w:val="SignatureChar"/>
    <w:semiHidden/>
    <w:rsid w:val="002523FB"/>
    <w:pPr>
      <w:ind w:left="5250"/>
    </w:pPr>
    <w:rPr>
      <w:rFonts w:ascii="Times New Roman" w:eastAsia="Times New Roman" w:hAnsi="Times New Roman" w:cs="Times New Roman"/>
      <w:sz w:val="24"/>
      <w:szCs w:val="20"/>
      <w:lang w:eastAsia="en-US"/>
    </w:rPr>
  </w:style>
  <w:style w:type="character" w:customStyle="1" w:styleId="SignatureChar">
    <w:name w:val="Signature Char"/>
    <w:basedOn w:val="DefaultParagraphFont"/>
    <w:link w:val="Signature"/>
    <w:semiHidden/>
    <w:rsid w:val="002523FB"/>
    <w:rPr>
      <w:rFonts w:ascii="Times New Roman" w:eastAsia="Times New Roman" w:hAnsi="Times New Roman" w:cs="Times New Roman"/>
      <w:sz w:val="24"/>
      <w:szCs w:val="20"/>
      <w:lang w:eastAsia="en-US"/>
    </w:rPr>
  </w:style>
  <w:style w:type="paragraph" w:styleId="EndnoteText">
    <w:name w:val="endnote text"/>
    <w:basedOn w:val="Normal"/>
    <w:link w:val="EndnoteTextChar"/>
    <w:semiHidden/>
    <w:rsid w:val="002523FB"/>
    <w:rPr>
      <w:rFonts w:ascii="Times New Roman" w:eastAsia="Times New Roman" w:hAnsi="Times New Roman" w:cs="Times New Roman"/>
      <w:sz w:val="18"/>
      <w:szCs w:val="20"/>
      <w:lang w:eastAsia="en-US"/>
    </w:rPr>
  </w:style>
  <w:style w:type="character" w:customStyle="1" w:styleId="EndnoteTextChar">
    <w:name w:val="Endnote Text Char"/>
    <w:basedOn w:val="DefaultParagraphFont"/>
    <w:link w:val="EndnoteText"/>
    <w:semiHidden/>
    <w:rsid w:val="002523FB"/>
    <w:rPr>
      <w:rFonts w:ascii="Times New Roman" w:eastAsia="Times New Roman" w:hAnsi="Times New Roman" w:cs="Times New Roman"/>
      <w:sz w:val="18"/>
      <w:szCs w:val="20"/>
      <w:lang w:eastAsia="en-US"/>
    </w:rPr>
  </w:style>
  <w:style w:type="paragraph" w:styleId="Caption">
    <w:name w:val="caption"/>
    <w:basedOn w:val="Normal"/>
    <w:next w:val="Normal"/>
    <w:qFormat/>
    <w:rsid w:val="002523FB"/>
    <w:rPr>
      <w:rFonts w:ascii="Times New Roman" w:eastAsia="Times New Roman" w:hAnsi="Times New Roman" w:cs="Times New Roman"/>
      <w:b/>
      <w:bCs/>
      <w:sz w:val="18"/>
      <w:szCs w:val="20"/>
      <w:lang w:eastAsia="en-US"/>
    </w:rPr>
  </w:style>
  <w:style w:type="paragraph" w:styleId="ListNumber">
    <w:name w:val="List Number"/>
    <w:basedOn w:val="Normal"/>
    <w:semiHidden/>
    <w:rsid w:val="002523FB"/>
    <w:pPr>
      <w:numPr>
        <w:numId w:val="68"/>
      </w:numPr>
    </w:pPr>
    <w:rPr>
      <w:rFonts w:ascii="Times New Roman" w:eastAsia="Times New Roman" w:hAnsi="Times New Roman" w:cs="Times New Roman"/>
      <w:sz w:val="24"/>
      <w:szCs w:val="20"/>
      <w:lang w:eastAsia="en-US"/>
    </w:rPr>
  </w:style>
  <w:style w:type="character" w:customStyle="1" w:styleId="Bona">
    <w:name w:val="Bona"/>
    <w:semiHidden/>
    <w:rsid w:val="002523FB"/>
    <w:rPr>
      <w:rFonts w:ascii="Arial" w:hAnsi="Arial" w:cs="Arial"/>
      <w:color w:val="000080"/>
      <w:sz w:val="20"/>
      <w:szCs w:val="20"/>
    </w:rPr>
  </w:style>
  <w:style w:type="character" w:customStyle="1" w:styleId="ONUMEChar">
    <w:name w:val="ONUM E Char"/>
    <w:link w:val="ONUME"/>
    <w:rsid w:val="002523FB"/>
    <w:rPr>
      <w:rFonts w:ascii="Times New Roman" w:eastAsia="Times New Roman" w:hAnsi="Times New Roman" w:cs="Times New Roman"/>
      <w:sz w:val="24"/>
      <w:szCs w:val="20"/>
      <w:lang w:eastAsia="en-US"/>
    </w:rPr>
  </w:style>
  <w:style w:type="character" w:customStyle="1" w:styleId="st">
    <w:name w:val="st"/>
    <w:basedOn w:val="DefaultParagraphFont"/>
    <w:rsid w:val="00AE288C"/>
  </w:style>
  <w:style w:type="paragraph" w:customStyle="1" w:styleId="Endofdocument-Annex">
    <w:name w:val="[End of document - Annex]"/>
    <w:basedOn w:val="Normal"/>
    <w:rsid w:val="006B1E69"/>
    <w:pPr>
      <w:ind w:left="5534"/>
    </w:pPr>
    <w:rPr>
      <w:rFonts w:ascii="Arial" w:eastAsia="SimSun" w:hAnsi="Arial" w:cs="Arial"/>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0" w:unhideWhenUsed="0" w:qFormat="1"/>
    <w:lsdException w:name="Signature" w:uiPriority="0"/>
    <w:lsdException w:name="Default Paragraph Font" w:uiPriority="1"/>
    <w:lsdException w:name="Body Text" w:uiPriority="0" w:qFormat="1"/>
    <w:lsdException w:name="Body Text Indent" w:uiPriority="0"/>
    <w:lsdException w:name="Subtitle" w:semiHidden="0" w:uiPriority="0" w:unhideWhenUsed="0" w:qFormat="1"/>
    <w:lsdException w:name="Salutation" w:uiPriority="0"/>
    <w:lsdException w:name="Body Text 2" w:uiPriority="0"/>
    <w:lsdException w:name="Body Text Indent 2"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625C5"/>
    <w:pPr>
      <w:keepNext/>
      <w:spacing w:before="240" w:after="60"/>
      <w:outlineLvl w:val="0"/>
    </w:pPr>
    <w:rPr>
      <w:rFonts w:ascii="Arial" w:eastAsia="SimSun" w:hAnsi="Arial" w:cs="Arial"/>
      <w:b/>
      <w:bCs/>
      <w:caps/>
      <w:kern w:val="32"/>
      <w:szCs w:val="32"/>
      <w:lang w:eastAsia="en-US"/>
    </w:rPr>
  </w:style>
  <w:style w:type="paragraph" w:styleId="Heading2">
    <w:name w:val="heading 2"/>
    <w:basedOn w:val="Normal"/>
    <w:next w:val="Normal"/>
    <w:link w:val="Heading2Char"/>
    <w:unhideWhenUsed/>
    <w:qFormat/>
    <w:rsid w:val="00A42BF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293332"/>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Heading3"/>
    <w:next w:val="Normal"/>
    <w:link w:val="Heading4Char"/>
    <w:qFormat/>
    <w:rsid w:val="002523FB"/>
    <w:pPr>
      <w:keepLines w:val="0"/>
      <w:tabs>
        <w:tab w:val="num" w:pos="864"/>
      </w:tabs>
      <w:spacing w:before="0" w:line="300" w:lineRule="atLeast"/>
      <w:ind w:left="864" w:hanging="864"/>
      <w:outlineLvl w:val="3"/>
    </w:pPr>
    <w:rPr>
      <w:rFonts w:ascii="Arial" w:eastAsia="Times New Roman" w:hAnsi="Arial" w:cs="Arial"/>
      <w:caps/>
      <w:color w:val="3E484E"/>
      <w:szCs w:val="26"/>
      <w:lang w:val="en-GB" w:eastAsia="da-DK"/>
    </w:rPr>
  </w:style>
  <w:style w:type="paragraph" w:styleId="Heading5">
    <w:name w:val="heading 5"/>
    <w:basedOn w:val="Heading4"/>
    <w:next w:val="Normal"/>
    <w:link w:val="Heading5Char"/>
    <w:qFormat/>
    <w:rsid w:val="002523FB"/>
    <w:pPr>
      <w:tabs>
        <w:tab w:val="clear" w:pos="864"/>
        <w:tab w:val="num" w:pos="1008"/>
      </w:tabs>
      <w:ind w:left="1008" w:hanging="1008"/>
      <w:outlineLvl w:val="4"/>
    </w:pPr>
  </w:style>
  <w:style w:type="paragraph" w:styleId="Heading6">
    <w:name w:val="heading 6"/>
    <w:basedOn w:val="Normal"/>
    <w:next w:val="Normal"/>
    <w:link w:val="Heading6Char"/>
    <w:unhideWhenUsed/>
    <w:qFormat/>
    <w:rsid w:val="002523F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Heading6"/>
    <w:next w:val="Normal"/>
    <w:link w:val="Heading7Char"/>
    <w:qFormat/>
    <w:rsid w:val="002523FB"/>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A42BFB"/>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Heading8"/>
    <w:next w:val="Normal"/>
    <w:link w:val="Heading9Char"/>
    <w:qFormat/>
    <w:rsid w:val="002523FB"/>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60B44"/>
    <w:pPr>
      <w:tabs>
        <w:tab w:val="center" w:pos="4680"/>
        <w:tab w:val="right" w:pos="9360"/>
      </w:tabs>
    </w:pPr>
  </w:style>
  <w:style w:type="character" w:customStyle="1" w:styleId="HeaderChar">
    <w:name w:val="Header Char"/>
    <w:basedOn w:val="DefaultParagraphFont"/>
    <w:link w:val="Header"/>
    <w:rsid w:val="00060B44"/>
  </w:style>
  <w:style w:type="paragraph" w:styleId="Footer">
    <w:name w:val="footer"/>
    <w:basedOn w:val="Normal"/>
    <w:link w:val="FooterChar"/>
    <w:unhideWhenUsed/>
    <w:rsid w:val="00060B44"/>
    <w:pPr>
      <w:tabs>
        <w:tab w:val="center" w:pos="4680"/>
        <w:tab w:val="right" w:pos="9360"/>
      </w:tabs>
    </w:pPr>
  </w:style>
  <w:style w:type="character" w:customStyle="1" w:styleId="FooterChar">
    <w:name w:val="Footer Char"/>
    <w:basedOn w:val="DefaultParagraphFont"/>
    <w:link w:val="Footer"/>
    <w:rsid w:val="00060B44"/>
  </w:style>
  <w:style w:type="paragraph" w:styleId="BalloonText">
    <w:name w:val="Balloon Text"/>
    <w:basedOn w:val="Normal"/>
    <w:link w:val="BalloonTextChar"/>
    <w:semiHidden/>
    <w:unhideWhenUsed/>
    <w:rsid w:val="005706BE"/>
    <w:rPr>
      <w:rFonts w:ascii="Tahoma" w:hAnsi="Tahoma" w:cs="Tahoma"/>
      <w:sz w:val="16"/>
      <w:szCs w:val="16"/>
    </w:rPr>
  </w:style>
  <w:style w:type="character" w:customStyle="1" w:styleId="BalloonTextChar">
    <w:name w:val="Balloon Text Char"/>
    <w:basedOn w:val="DefaultParagraphFont"/>
    <w:link w:val="BalloonText"/>
    <w:semiHidden/>
    <w:rsid w:val="005706BE"/>
    <w:rPr>
      <w:rFonts w:ascii="Tahoma" w:hAnsi="Tahoma" w:cs="Tahoma"/>
      <w:sz w:val="16"/>
      <w:szCs w:val="16"/>
    </w:rPr>
  </w:style>
  <w:style w:type="character" w:styleId="CommentReference">
    <w:name w:val="annotation reference"/>
    <w:basedOn w:val="DefaultParagraphFont"/>
    <w:unhideWhenUsed/>
    <w:rsid w:val="00855738"/>
    <w:rPr>
      <w:sz w:val="16"/>
      <w:szCs w:val="16"/>
    </w:rPr>
  </w:style>
  <w:style w:type="paragraph" w:styleId="CommentText">
    <w:name w:val="annotation text"/>
    <w:basedOn w:val="Normal"/>
    <w:link w:val="CommentTextChar"/>
    <w:unhideWhenUsed/>
    <w:rsid w:val="00855738"/>
    <w:rPr>
      <w:sz w:val="20"/>
      <w:szCs w:val="20"/>
    </w:rPr>
  </w:style>
  <w:style w:type="character" w:customStyle="1" w:styleId="CommentTextChar">
    <w:name w:val="Comment Text Char"/>
    <w:basedOn w:val="DefaultParagraphFont"/>
    <w:link w:val="CommentText"/>
    <w:rsid w:val="00855738"/>
    <w:rPr>
      <w:sz w:val="20"/>
      <w:szCs w:val="20"/>
    </w:rPr>
  </w:style>
  <w:style w:type="paragraph" w:styleId="CommentSubject">
    <w:name w:val="annotation subject"/>
    <w:basedOn w:val="CommentText"/>
    <w:next w:val="CommentText"/>
    <w:link w:val="CommentSubjectChar"/>
    <w:unhideWhenUsed/>
    <w:rsid w:val="00855738"/>
    <w:rPr>
      <w:b/>
      <w:bCs/>
    </w:rPr>
  </w:style>
  <w:style w:type="character" w:customStyle="1" w:styleId="CommentSubjectChar">
    <w:name w:val="Comment Subject Char"/>
    <w:basedOn w:val="CommentTextChar"/>
    <w:link w:val="CommentSubject"/>
    <w:rsid w:val="00855738"/>
    <w:rPr>
      <w:b/>
      <w:bCs/>
      <w:sz w:val="20"/>
      <w:szCs w:val="20"/>
    </w:rPr>
  </w:style>
  <w:style w:type="paragraph" w:styleId="ListParagraph">
    <w:name w:val="List Paragraph"/>
    <w:basedOn w:val="Normal"/>
    <w:uiPriority w:val="34"/>
    <w:qFormat/>
    <w:rsid w:val="00E426AE"/>
    <w:pPr>
      <w:ind w:left="720"/>
      <w:contextualSpacing/>
    </w:pPr>
  </w:style>
  <w:style w:type="paragraph" w:customStyle="1" w:styleId="StyleHeading3ComplexItalic">
    <w:name w:val="Style Heading 3 + (Complex) Italic"/>
    <w:basedOn w:val="Heading3"/>
    <w:link w:val="StyleHeading3ComplexItalicChar"/>
    <w:rsid w:val="00293332"/>
    <w:pPr>
      <w:keepLines w:val="0"/>
      <w:tabs>
        <w:tab w:val="left" w:pos="1985"/>
      </w:tabs>
      <w:spacing w:before="0"/>
    </w:pPr>
    <w:rPr>
      <w:rFonts w:ascii="Arial" w:eastAsia="Times New Roman" w:hAnsi="Arial" w:cs="Arial"/>
      <w:bCs w:val="0"/>
      <w:iCs/>
      <w:caps/>
      <w:color w:val="auto"/>
      <w:lang w:eastAsia="en-US"/>
    </w:rPr>
  </w:style>
  <w:style w:type="character" w:customStyle="1" w:styleId="StyleHeading3ComplexItalicChar">
    <w:name w:val="Style Heading 3 + (Complex) Italic Char"/>
    <w:link w:val="StyleHeading3ComplexItalic"/>
    <w:rsid w:val="00293332"/>
    <w:rPr>
      <w:rFonts w:ascii="Arial" w:eastAsia="Times New Roman" w:hAnsi="Arial" w:cs="Arial"/>
      <w:b/>
      <w:iCs/>
      <w:caps/>
      <w:lang w:eastAsia="en-US"/>
    </w:rPr>
  </w:style>
  <w:style w:type="paragraph" w:customStyle="1" w:styleId="StyleStyleHeading3ComplexItalicLatin12pt">
    <w:name w:val="Style Style Heading 3 + (Complex) Italic + (Latin) 12 pt"/>
    <w:basedOn w:val="StyleHeading3ComplexItalic"/>
    <w:link w:val="StyleStyleHeading3ComplexItalicLatin12ptChar"/>
    <w:rsid w:val="00293332"/>
  </w:style>
  <w:style w:type="character" w:customStyle="1" w:styleId="StyleStyleHeading3ComplexItalicLatin12ptChar">
    <w:name w:val="Style Style Heading 3 + (Complex) Italic + (Latin) 12 pt Char"/>
    <w:basedOn w:val="StyleHeading3ComplexItalicChar"/>
    <w:link w:val="StyleStyleHeading3ComplexItalicLatin12pt"/>
    <w:rsid w:val="00293332"/>
    <w:rPr>
      <w:rFonts w:ascii="Arial" w:eastAsia="Times New Roman" w:hAnsi="Arial" w:cs="Arial"/>
      <w:b/>
      <w:iCs/>
      <w:caps/>
      <w:lang w:eastAsia="en-US"/>
    </w:rPr>
  </w:style>
  <w:style w:type="character" w:customStyle="1" w:styleId="Heading3Char">
    <w:name w:val="Heading 3 Char"/>
    <w:basedOn w:val="DefaultParagraphFont"/>
    <w:link w:val="Heading3"/>
    <w:rsid w:val="00293332"/>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rsid w:val="006625C5"/>
    <w:rPr>
      <w:rFonts w:ascii="Arial" w:eastAsia="SimSun" w:hAnsi="Arial" w:cs="Arial"/>
      <w:b/>
      <w:bCs/>
      <w:caps/>
      <w:kern w:val="32"/>
      <w:szCs w:val="32"/>
      <w:lang w:eastAsia="en-US"/>
    </w:rPr>
  </w:style>
  <w:style w:type="paragraph" w:styleId="BodyText">
    <w:name w:val="Body Text"/>
    <w:basedOn w:val="Normal"/>
    <w:link w:val="BodyTextChar"/>
    <w:qFormat/>
    <w:rsid w:val="00CC543A"/>
    <w:pPr>
      <w:spacing w:after="220"/>
    </w:pPr>
    <w:rPr>
      <w:rFonts w:ascii="Arial" w:eastAsia="Times New Roman" w:hAnsi="Arial" w:cs="Arial"/>
      <w:szCs w:val="20"/>
      <w:lang w:eastAsia="en-US"/>
    </w:rPr>
  </w:style>
  <w:style w:type="character" w:customStyle="1" w:styleId="BodyTextChar">
    <w:name w:val="Body Text Char"/>
    <w:basedOn w:val="DefaultParagraphFont"/>
    <w:link w:val="BodyText"/>
    <w:rsid w:val="00CC543A"/>
    <w:rPr>
      <w:rFonts w:ascii="Arial" w:eastAsia="Times New Roman" w:hAnsi="Arial" w:cs="Arial"/>
      <w:szCs w:val="20"/>
      <w:lang w:eastAsia="en-US"/>
    </w:rPr>
  </w:style>
  <w:style w:type="paragraph" w:styleId="BodyTextIndent">
    <w:name w:val="Body Text Indent"/>
    <w:basedOn w:val="Normal"/>
    <w:link w:val="BodyTextIndentChar"/>
    <w:rsid w:val="00E92683"/>
    <w:pPr>
      <w:ind w:left="567"/>
    </w:pPr>
    <w:rPr>
      <w:rFonts w:ascii="Times New Roman" w:eastAsia="Times New Roman" w:hAnsi="Times New Roman" w:cs="Times New Roman"/>
      <w:sz w:val="24"/>
      <w:szCs w:val="20"/>
      <w:lang w:eastAsia="en-US"/>
    </w:rPr>
  </w:style>
  <w:style w:type="character" w:customStyle="1" w:styleId="BodyTextIndentChar">
    <w:name w:val="Body Text Indent Char"/>
    <w:basedOn w:val="DefaultParagraphFont"/>
    <w:link w:val="BodyTextIndent"/>
    <w:rsid w:val="00E92683"/>
    <w:rPr>
      <w:rFonts w:ascii="Times New Roman" w:eastAsia="Times New Roman" w:hAnsi="Times New Roman" w:cs="Times New Roman"/>
      <w:sz w:val="24"/>
      <w:szCs w:val="20"/>
      <w:lang w:eastAsia="en-US"/>
    </w:rPr>
  </w:style>
  <w:style w:type="paragraph" w:styleId="TOCHeading">
    <w:name w:val="TOC Heading"/>
    <w:basedOn w:val="Heading1"/>
    <w:next w:val="Normal"/>
    <w:uiPriority w:val="39"/>
    <w:semiHidden/>
    <w:unhideWhenUsed/>
    <w:qFormat/>
    <w:rsid w:val="00D656E4"/>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unhideWhenUsed/>
    <w:rsid w:val="00B31F59"/>
    <w:pPr>
      <w:tabs>
        <w:tab w:val="left" w:pos="440"/>
        <w:tab w:val="left" w:pos="851"/>
        <w:tab w:val="right" w:leader="dot" w:pos="9394"/>
      </w:tabs>
      <w:spacing w:after="100"/>
    </w:pPr>
    <w:rPr>
      <w:rFonts w:ascii="Arial" w:hAnsi="Arial"/>
      <w:b/>
      <w:noProof/>
    </w:rPr>
  </w:style>
  <w:style w:type="paragraph" w:styleId="TOC3">
    <w:name w:val="toc 3"/>
    <w:basedOn w:val="Normal"/>
    <w:next w:val="Normal"/>
    <w:autoRedefine/>
    <w:uiPriority w:val="39"/>
    <w:unhideWhenUsed/>
    <w:rsid w:val="00BA6E61"/>
    <w:pPr>
      <w:tabs>
        <w:tab w:val="left" w:pos="1985"/>
        <w:tab w:val="right" w:leader="dot" w:pos="9394"/>
      </w:tabs>
      <w:spacing w:after="100"/>
      <w:ind w:left="1985" w:hanging="1545"/>
    </w:pPr>
    <w:rPr>
      <w:rFonts w:ascii="Arial" w:eastAsia="SimSun" w:hAnsi="Arial"/>
      <w:smallCaps/>
      <w:noProof/>
      <w:sz w:val="20"/>
    </w:rPr>
  </w:style>
  <w:style w:type="character" w:styleId="Hyperlink">
    <w:name w:val="Hyperlink"/>
    <w:basedOn w:val="DefaultParagraphFont"/>
    <w:uiPriority w:val="99"/>
    <w:unhideWhenUsed/>
    <w:rsid w:val="00D656E4"/>
    <w:rPr>
      <w:color w:val="0000FF" w:themeColor="hyperlink"/>
      <w:u w:val="single"/>
    </w:rPr>
  </w:style>
  <w:style w:type="paragraph" w:customStyle="1" w:styleId="Body1">
    <w:name w:val="Body 1"/>
    <w:rsid w:val="00865AEC"/>
    <w:rPr>
      <w:rFonts w:ascii="Helvetica" w:eastAsia="Arial Unicode MS" w:hAnsi="Helvetica" w:cs="Times New Roman"/>
      <w:color w:val="000000"/>
      <w:sz w:val="24"/>
      <w:szCs w:val="20"/>
      <w:lang w:eastAsia="en-US"/>
    </w:rPr>
  </w:style>
  <w:style w:type="paragraph" w:customStyle="1" w:styleId="p1">
    <w:name w:val="p1"/>
    <w:basedOn w:val="Normal"/>
    <w:rsid w:val="00186D1C"/>
    <w:pPr>
      <w:suppressAutoHyphens/>
    </w:pPr>
    <w:rPr>
      <w:rFonts w:ascii="Times New Roman" w:eastAsia="Calibri" w:hAnsi="Times New Roman" w:cs="Times New Roman"/>
      <w:sz w:val="24"/>
      <w:szCs w:val="24"/>
      <w:lang w:eastAsia="ar-SA"/>
    </w:rPr>
  </w:style>
  <w:style w:type="paragraph" w:customStyle="1" w:styleId="p2">
    <w:name w:val="p2"/>
    <w:basedOn w:val="Normal"/>
    <w:rsid w:val="00186D1C"/>
    <w:pPr>
      <w:suppressAutoHyphens/>
    </w:pPr>
    <w:rPr>
      <w:rFonts w:ascii="Times New Roman" w:eastAsia="Calibri" w:hAnsi="Times New Roman" w:cs="Times New Roman"/>
      <w:sz w:val="24"/>
      <w:szCs w:val="24"/>
      <w:lang w:eastAsia="ar-SA"/>
    </w:rPr>
  </w:style>
  <w:style w:type="paragraph" w:styleId="NormalWeb">
    <w:name w:val="Normal (Web)"/>
    <w:basedOn w:val="Normal"/>
    <w:unhideWhenUsed/>
    <w:rsid w:val="007A45E0"/>
    <w:rPr>
      <w:rFonts w:ascii="Times New Roman" w:eastAsiaTheme="minorHAnsi" w:hAnsi="Times New Roman" w:cs="Times New Roman"/>
      <w:sz w:val="24"/>
      <w:szCs w:val="24"/>
      <w:lang w:eastAsia="en-US"/>
    </w:rPr>
  </w:style>
  <w:style w:type="paragraph" w:customStyle="1" w:styleId="Default">
    <w:name w:val="Default"/>
    <w:basedOn w:val="Normal"/>
    <w:rsid w:val="002F58D0"/>
    <w:pPr>
      <w:autoSpaceDE w:val="0"/>
      <w:autoSpaceDN w:val="0"/>
    </w:pPr>
    <w:rPr>
      <w:rFonts w:ascii="Arial" w:eastAsiaTheme="minorHAnsi" w:hAnsi="Arial" w:cs="Arial"/>
      <w:color w:val="000000"/>
      <w:sz w:val="24"/>
      <w:szCs w:val="24"/>
      <w:lang w:eastAsia="en-US"/>
    </w:rPr>
  </w:style>
  <w:style w:type="paragraph" w:styleId="Revision">
    <w:name w:val="Revision"/>
    <w:hidden/>
    <w:uiPriority w:val="99"/>
    <w:semiHidden/>
    <w:rsid w:val="002F58D0"/>
  </w:style>
  <w:style w:type="character" w:customStyle="1" w:styleId="Heading8Char">
    <w:name w:val="Heading 8 Char"/>
    <w:basedOn w:val="DefaultParagraphFont"/>
    <w:link w:val="Heading8"/>
    <w:rsid w:val="00A42BFB"/>
    <w:rPr>
      <w:rFonts w:asciiTheme="majorHAnsi" w:eastAsiaTheme="majorEastAsia" w:hAnsiTheme="majorHAnsi" w:cstheme="majorBidi"/>
      <w:color w:val="404040" w:themeColor="text1" w:themeTint="BF"/>
      <w:sz w:val="20"/>
      <w:szCs w:val="20"/>
    </w:rPr>
  </w:style>
  <w:style w:type="paragraph" w:customStyle="1" w:styleId="StyleHeading214ptAuto">
    <w:name w:val="Style Heading 2 + 14 pt Auto"/>
    <w:basedOn w:val="Heading2"/>
    <w:rsid w:val="00A42BFB"/>
    <w:pPr>
      <w:keepNext w:val="0"/>
      <w:keepLines w:val="0"/>
      <w:widowControl w:val="0"/>
      <w:tabs>
        <w:tab w:val="num" w:pos="567"/>
      </w:tabs>
      <w:spacing w:before="0" w:line="300" w:lineRule="atLeast"/>
      <w:ind w:left="567" w:hanging="567"/>
      <w:jc w:val="center"/>
    </w:pPr>
    <w:rPr>
      <w:rFonts w:ascii="Arial Bold" w:eastAsia="Times New Roman" w:hAnsi="Arial Bold" w:cs="Arial"/>
      <w:iCs/>
      <w:caps/>
      <w:color w:val="auto"/>
      <w:sz w:val="24"/>
      <w:szCs w:val="28"/>
      <w:lang w:val="en-GB" w:eastAsia="da-DK"/>
    </w:rPr>
  </w:style>
  <w:style w:type="character" w:customStyle="1" w:styleId="Heading2Char">
    <w:name w:val="Heading 2 Char"/>
    <w:basedOn w:val="DefaultParagraphFont"/>
    <w:link w:val="Heading2"/>
    <w:rsid w:val="00A42BFB"/>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D42529"/>
    <w:pPr>
      <w:tabs>
        <w:tab w:val="left" w:pos="9072"/>
      </w:tabs>
      <w:spacing w:after="120"/>
      <w:ind w:left="221"/>
    </w:pPr>
    <w:rPr>
      <w:rFonts w:ascii="Arial" w:hAnsi="Arial"/>
      <w:caps/>
      <w:noProof/>
      <w:sz w:val="20"/>
    </w:rPr>
  </w:style>
  <w:style w:type="paragraph" w:styleId="BodyText2">
    <w:name w:val="Body Text 2"/>
    <w:basedOn w:val="Normal"/>
    <w:link w:val="BodyText2Char"/>
    <w:unhideWhenUsed/>
    <w:rsid w:val="00FB583B"/>
    <w:pPr>
      <w:spacing w:after="120" w:line="480" w:lineRule="auto"/>
    </w:pPr>
  </w:style>
  <w:style w:type="character" w:customStyle="1" w:styleId="BodyText2Char">
    <w:name w:val="Body Text 2 Char"/>
    <w:basedOn w:val="DefaultParagraphFont"/>
    <w:link w:val="BodyText2"/>
    <w:rsid w:val="00FB583B"/>
  </w:style>
  <w:style w:type="paragraph" w:customStyle="1" w:styleId="Endofdocument">
    <w:name w:val="End of document"/>
    <w:basedOn w:val="Normal"/>
    <w:rsid w:val="00FB583B"/>
    <w:pPr>
      <w:ind w:left="4536"/>
      <w:jc w:val="center"/>
    </w:pPr>
    <w:rPr>
      <w:rFonts w:ascii="Times New Roman" w:eastAsia="Times New Roman" w:hAnsi="Times New Roman" w:cs="Times New Roman"/>
      <w:sz w:val="24"/>
      <w:szCs w:val="20"/>
      <w:lang w:eastAsia="en-US"/>
    </w:rPr>
  </w:style>
  <w:style w:type="paragraph" w:styleId="BlockText">
    <w:name w:val="Block Text"/>
    <w:basedOn w:val="Normal"/>
    <w:rsid w:val="00FB583B"/>
    <w:pPr>
      <w:tabs>
        <w:tab w:val="left" w:pos="2127"/>
      </w:tabs>
      <w:spacing w:after="40"/>
      <w:ind w:left="2127" w:right="896" w:hanging="2127"/>
    </w:pPr>
    <w:rPr>
      <w:rFonts w:ascii="Times New Roman" w:eastAsia="Times New Roman" w:hAnsi="Times New Roman" w:cs="Times New Roman"/>
      <w:sz w:val="24"/>
      <w:szCs w:val="20"/>
      <w:lang w:eastAsia="en-US"/>
    </w:rPr>
  </w:style>
  <w:style w:type="paragraph" w:styleId="FootnoteText">
    <w:name w:val="footnote text"/>
    <w:basedOn w:val="Normal"/>
    <w:link w:val="FootnoteTextChar"/>
    <w:rsid w:val="00B67D0A"/>
    <w:rPr>
      <w:rFonts w:ascii="Times New Roman" w:eastAsia="Times New Roman" w:hAnsi="Times New Roman" w:cs="Times New Roman"/>
      <w:sz w:val="20"/>
      <w:szCs w:val="20"/>
      <w:lang w:eastAsia="en-US"/>
    </w:rPr>
  </w:style>
  <w:style w:type="character" w:customStyle="1" w:styleId="FootnoteTextChar">
    <w:name w:val="Footnote Text Char"/>
    <w:basedOn w:val="DefaultParagraphFont"/>
    <w:link w:val="FootnoteText"/>
    <w:rsid w:val="00B67D0A"/>
    <w:rPr>
      <w:rFonts w:ascii="Times New Roman" w:eastAsia="Times New Roman" w:hAnsi="Times New Roman" w:cs="Times New Roman"/>
      <w:sz w:val="20"/>
      <w:szCs w:val="20"/>
      <w:lang w:eastAsia="en-US"/>
    </w:rPr>
  </w:style>
  <w:style w:type="character" w:styleId="FootnoteReference">
    <w:name w:val="footnote reference"/>
    <w:aliases w:val="Footnote"/>
    <w:rsid w:val="00B67D0A"/>
    <w:rPr>
      <w:vertAlign w:val="superscript"/>
    </w:rPr>
  </w:style>
  <w:style w:type="paragraph" w:styleId="PlainText">
    <w:name w:val="Plain Text"/>
    <w:basedOn w:val="Normal"/>
    <w:link w:val="PlainTextChar"/>
    <w:uiPriority w:val="99"/>
    <w:rsid w:val="001A07FB"/>
    <w:rPr>
      <w:rFonts w:ascii="Courier New" w:eastAsia="SimSun" w:hAnsi="Courier New" w:cs="Courier New"/>
      <w:color w:val="0000FF"/>
      <w:sz w:val="20"/>
      <w:szCs w:val="20"/>
      <w:lang w:eastAsia="zh-CN"/>
    </w:rPr>
  </w:style>
  <w:style w:type="character" w:customStyle="1" w:styleId="PlainTextChar">
    <w:name w:val="Plain Text Char"/>
    <w:basedOn w:val="DefaultParagraphFont"/>
    <w:link w:val="PlainText"/>
    <w:uiPriority w:val="99"/>
    <w:rsid w:val="001A07FB"/>
    <w:rPr>
      <w:rFonts w:ascii="Courier New" w:eastAsia="SimSun" w:hAnsi="Courier New" w:cs="Courier New"/>
      <w:color w:val="0000FF"/>
      <w:sz w:val="20"/>
      <w:szCs w:val="20"/>
      <w:lang w:eastAsia="zh-CN"/>
    </w:rPr>
  </w:style>
  <w:style w:type="table" w:styleId="TableGrid">
    <w:name w:val="Table Grid"/>
    <w:basedOn w:val="TableNormal"/>
    <w:rsid w:val="000877C4"/>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nxtext">
    <w:name w:val="zanxtext"/>
    <w:basedOn w:val="Normal"/>
    <w:rsid w:val="005A1F7F"/>
    <w:pPr>
      <w:spacing w:before="120"/>
    </w:pPr>
    <w:rPr>
      <w:rFonts w:ascii="Times New Roman" w:eastAsia="Times New Roman" w:hAnsi="Times New Roman" w:cs="Times New Roman"/>
      <w:sz w:val="24"/>
      <w:szCs w:val="20"/>
      <w:lang w:eastAsia="en-US"/>
    </w:rPr>
  </w:style>
  <w:style w:type="character" w:customStyle="1" w:styleId="Heading6Char">
    <w:name w:val="Heading 6 Char"/>
    <w:basedOn w:val="DefaultParagraphFont"/>
    <w:link w:val="Heading6"/>
    <w:rsid w:val="002523FB"/>
    <w:rPr>
      <w:rFonts w:asciiTheme="majorHAnsi" w:eastAsiaTheme="majorEastAsia" w:hAnsiTheme="majorHAnsi" w:cstheme="majorBidi"/>
      <w:i/>
      <w:iCs/>
      <w:color w:val="243F60" w:themeColor="accent1" w:themeShade="7F"/>
    </w:rPr>
  </w:style>
  <w:style w:type="character" w:customStyle="1" w:styleId="Heading4Char">
    <w:name w:val="Heading 4 Char"/>
    <w:basedOn w:val="DefaultParagraphFont"/>
    <w:link w:val="Heading4"/>
    <w:rsid w:val="002523FB"/>
    <w:rPr>
      <w:rFonts w:ascii="Arial" w:eastAsia="Times New Roman" w:hAnsi="Arial" w:cs="Arial"/>
      <w:b/>
      <w:bCs/>
      <w:caps/>
      <w:color w:val="3E484E"/>
      <w:szCs w:val="26"/>
      <w:lang w:val="en-GB" w:eastAsia="da-DK"/>
    </w:rPr>
  </w:style>
  <w:style w:type="character" w:customStyle="1" w:styleId="Heading5Char">
    <w:name w:val="Heading 5 Char"/>
    <w:basedOn w:val="DefaultParagraphFont"/>
    <w:link w:val="Heading5"/>
    <w:rsid w:val="002523FB"/>
    <w:rPr>
      <w:rFonts w:ascii="Arial" w:eastAsia="Times New Roman" w:hAnsi="Arial" w:cs="Arial"/>
      <w:b/>
      <w:bCs/>
      <w:caps/>
      <w:color w:val="3E484E"/>
      <w:szCs w:val="26"/>
      <w:lang w:val="en-GB" w:eastAsia="da-DK"/>
    </w:rPr>
  </w:style>
  <w:style w:type="character" w:customStyle="1" w:styleId="Heading7Char">
    <w:name w:val="Heading 7 Char"/>
    <w:basedOn w:val="DefaultParagraphFont"/>
    <w:link w:val="Heading7"/>
    <w:rsid w:val="002523FB"/>
    <w:rPr>
      <w:rFonts w:ascii="Arial" w:eastAsia="Times New Roman" w:hAnsi="Arial" w:cs="Arial"/>
      <w:b/>
      <w:bCs/>
      <w:caps/>
      <w:color w:val="3E484E"/>
      <w:szCs w:val="26"/>
      <w:lang w:val="en-GB" w:eastAsia="da-DK"/>
    </w:rPr>
  </w:style>
  <w:style w:type="character" w:customStyle="1" w:styleId="Heading9Char">
    <w:name w:val="Heading 9 Char"/>
    <w:basedOn w:val="DefaultParagraphFont"/>
    <w:link w:val="Heading9"/>
    <w:rsid w:val="002523FB"/>
    <w:rPr>
      <w:rFonts w:ascii="Arial" w:eastAsia="Times New Roman" w:hAnsi="Arial" w:cs="Arial"/>
      <w:b/>
      <w:bCs/>
      <w:caps/>
      <w:color w:val="3E484E"/>
      <w:szCs w:val="26"/>
      <w:lang w:val="en-GB" w:eastAsia="da-DK"/>
    </w:rPr>
  </w:style>
  <w:style w:type="paragraph" w:customStyle="1" w:styleId="CharCharCharChar">
    <w:name w:val="Char Char Char Char"/>
    <w:basedOn w:val="Normal"/>
    <w:rsid w:val="002523FB"/>
    <w:pPr>
      <w:spacing w:after="160" w:line="240" w:lineRule="exact"/>
    </w:pPr>
    <w:rPr>
      <w:rFonts w:ascii="Verdana" w:eastAsia="Times New Roman" w:hAnsi="Verdana" w:cs="Times New Roman"/>
      <w:sz w:val="20"/>
      <w:szCs w:val="20"/>
      <w:lang w:val="en-GB" w:eastAsia="en-US"/>
    </w:rPr>
  </w:style>
  <w:style w:type="character" w:customStyle="1" w:styleId="hps">
    <w:name w:val="hps"/>
    <w:basedOn w:val="DefaultParagraphFont"/>
    <w:rsid w:val="002523FB"/>
  </w:style>
  <w:style w:type="character" w:styleId="PageNumber">
    <w:name w:val="page number"/>
    <w:basedOn w:val="DefaultParagraphFont"/>
    <w:rsid w:val="002523FB"/>
  </w:style>
  <w:style w:type="paragraph" w:customStyle="1" w:styleId="1">
    <w:name w:val="1"/>
    <w:basedOn w:val="Normal"/>
    <w:rsid w:val="002523FB"/>
    <w:pPr>
      <w:spacing w:after="160" w:line="240" w:lineRule="exact"/>
    </w:pPr>
    <w:rPr>
      <w:rFonts w:ascii="Verdana" w:eastAsia="Times New Roman" w:hAnsi="Verdana" w:cs="Times New Roman"/>
      <w:sz w:val="20"/>
      <w:szCs w:val="20"/>
      <w:lang w:val="en-GB" w:eastAsia="en-US"/>
    </w:rPr>
  </w:style>
  <w:style w:type="paragraph" w:customStyle="1" w:styleId="NormalArial">
    <w:name w:val="Normal + Arial"/>
    <w:aliases w:val="10 pt"/>
    <w:basedOn w:val="ListParagraph"/>
    <w:rsid w:val="002523FB"/>
    <w:pPr>
      <w:ind w:left="-28"/>
      <w:contextualSpacing w:val="0"/>
    </w:pPr>
    <w:rPr>
      <w:rFonts w:ascii="Arial" w:eastAsia="MS Mincho" w:hAnsi="Arial" w:cs="Arial"/>
      <w:bCs/>
      <w:sz w:val="20"/>
      <w:szCs w:val="20"/>
    </w:rPr>
  </w:style>
  <w:style w:type="paragraph" w:customStyle="1" w:styleId="Normal6">
    <w:name w:val="Normal+6"/>
    <w:basedOn w:val="Normal"/>
    <w:next w:val="Normal"/>
    <w:rsid w:val="002523FB"/>
    <w:pPr>
      <w:autoSpaceDE w:val="0"/>
      <w:autoSpaceDN w:val="0"/>
      <w:adjustRightInd w:val="0"/>
    </w:pPr>
    <w:rPr>
      <w:rFonts w:ascii="Arial" w:eastAsia="Times New Roman" w:hAnsi="Arial" w:cs="Times New Roman"/>
      <w:sz w:val="24"/>
      <w:szCs w:val="24"/>
      <w:lang w:eastAsia="en-US"/>
    </w:rPr>
  </w:style>
  <w:style w:type="character" w:customStyle="1" w:styleId="paracolourtext1">
    <w:name w:val="paracolourtext1"/>
    <w:rsid w:val="002523FB"/>
    <w:rPr>
      <w:b w:val="0"/>
      <w:bCs w:val="0"/>
      <w:i w:val="0"/>
      <w:iCs w:val="0"/>
      <w:color w:val="800000"/>
      <w:sz w:val="20"/>
      <w:szCs w:val="20"/>
    </w:rPr>
  </w:style>
  <w:style w:type="paragraph" w:customStyle="1" w:styleId="Body">
    <w:name w:val="Body"/>
    <w:rsid w:val="002523FB"/>
    <w:rPr>
      <w:rFonts w:ascii="Helvetica" w:eastAsia="ヒラギノ角ゴ Pro W3" w:hAnsi="Helvetica" w:cs="Angsana New"/>
      <w:color w:val="000000"/>
      <w:sz w:val="24"/>
      <w:szCs w:val="20"/>
      <w:lang w:eastAsia="en-US" w:bidi="th-TH"/>
    </w:rPr>
  </w:style>
  <w:style w:type="paragraph" w:customStyle="1" w:styleId="tes1">
    <w:name w:val="tes1"/>
    <w:basedOn w:val="Normal"/>
    <w:rsid w:val="002523FB"/>
    <w:pPr>
      <w:suppressAutoHyphens/>
      <w:ind w:left="1134" w:right="2195"/>
      <w:jc w:val="both"/>
    </w:pPr>
    <w:rPr>
      <w:rFonts w:ascii="Times New Roman" w:eastAsia="Times New Roman" w:hAnsi="Times New Roman" w:cs="Times New Roman"/>
      <w:b/>
      <w:spacing w:val="4"/>
      <w:w w:val="103"/>
      <w:kern w:val="14"/>
      <w:sz w:val="20"/>
      <w:szCs w:val="20"/>
      <w:lang w:val="en-GB" w:eastAsia="en-US"/>
    </w:rPr>
  </w:style>
  <w:style w:type="paragraph" w:customStyle="1" w:styleId="Style10">
    <w:name w:val="Style10"/>
    <w:basedOn w:val="Normal"/>
    <w:autoRedefine/>
    <w:rsid w:val="002523FB"/>
    <w:pPr>
      <w:tabs>
        <w:tab w:val="left" w:pos="340"/>
        <w:tab w:val="left" w:pos="680"/>
        <w:tab w:val="left" w:pos="1021"/>
        <w:tab w:val="left" w:pos="1361"/>
      </w:tabs>
      <w:suppressAutoHyphens/>
      <w:jc w:val="both"/>
    </w:pPr>
    <w:rPr>
      <w:rFonts w:ascii="Times New Roman" w:eastAsia="Times New Roman" w:hAnsi="Times New Roman" w:cs="Times New Roman"/>
      <w:snapToGrid w:val="0"/>
      <w:sz w:val="20"/>
      <w:szCs w:val="20"/>
      <w:lang w:eastAsia="en-US"/>
    </w:rPr>
  </w:style>
  <w:style w:type="paragraph" w:customStyle="1" w:styleId="Style11">
    <w:name w:val="Style11"/>
    <w:basedOn w:val="FootnoteText"/>
    <w:autoRedefine/>
    <w:rsid w:val="002523FB"/>
    <w:pPr>
      <w:suppressAutoHyphens/>
      <w:ind w:firstLine="340"/>
      <w:jc w:val="both"/>
    </w:pPr>
    <w:rPr>
      <w:snapToGrid w:val="0"/>
      <w:sz w:val="16"/>
    </w:rPr>
  </w:style>
  <w:style w:type="paragraph" w:styleId="Title">
    <w:name w:val="Title"/>
    <w:basedOn w:val="Normal"/>
    <w:link w:val="TitleChar"/>
    <w:qFormat/>
    <w:rsid w:val="002523FB"/>
    <w:pPr>
      <w:jc w:val="center"/>
    </w:pPr>
    <w:rPr>
      <w:rFonts w:ascii="Times New Roman" w:eastAsia="Times New Roman" w:hAnsi="Times New Roman" w:cs="Times New Roman"/>
      <w:b/>
      <w:sz w:val="24"/>
      <w:szCs w:val="20"/>
      <w:lang w:eastAsia="en-US"/>
    </w:rPr>
  </w:style>
  <w:style w:type="character" w:customStyle="1" w:styleId="TitleChar">
    <w:name w:val="Title Char"/>
    <w:basedOn w:val="DefaultParagraphFont"/>
    <w:link w:val="Title"/>
    <w:rsid w:val="002523FB"/>
    <w:rPr>
      <w:rFonts w:ascii="Times New Roman" w:eastAsia="Times New Roman" w:hAnsi="Times New Roman" w:cs="Times New Roman"/>
      <w:b/>
      <w:sz w:val="24"/>
      <w:szCs w:val="20"/>
      <w:lang w:eastAsia="en-US"/>
    </w:rPr>
  </w:style>
  <w:style w:type="paragraph" w:styleId="Subtitle">
    <w:name w:val="Subtitle"/>
    <w:basedOn w:val="Normal"/>
    <w:link w:val="SubtitleChar"/>
    <w:qFormat/>
    <w:rsid w:val="002523FB"/>
    <w:pPr>
      <w:jc w:val="center"/>
    </w:pPr>
    <w:rPr>
      <w:rFonts w:ascii="Times New Roman" w:eastAsia="Times New Roman" w:hAnsi="Times New Roman" w:cs="Times New Roman"/>
      <w:b/>
      <w:caps/>
      <w:color w:val="0000FF"/>
      <w:sz w:val="28"/>
      <w:szCs w:val="20"/>
      <w:lang w:eastAsia="en-US"/>
    </w:rPr>
  </w:style>
  <w:style w:type="character" w:customStyle="1" w:styleId="SubtitleChar">
    <w:name w:val="Subtitle Char"/>
    <w:basedOn w:val="DefaultParagraphFont"/>
    <w:link w:val="Subtitle"/>
    <w:rsid w:val="002523FB"/>
    <w:rPr>
      <w:rFonts w:ascii="Times New Roman" w:eastAsia="Times New Roman" w:hAnsi="Times New Roman" w:cs="Times New Roman"/>
      <w:b/>
      <w:caps/>
      <w:color w:val="0000FF"/>
      <w:sz w:val="28"/>
      <w:szCs w:val="20"/>
      <w:lang w:eastAsia="en-US"/>
    </w:rPr>
  </w:style>
  <w:style w:type="paragraph" w:styleId="BodyTextIndent2">
    <w:name w:val="Body Text Indent 2"/>
    <w:basedOn w:val="Normal"/>
    <w:link w:val="BodyTextIndent2Char"/>
    <w:rsid w:val="002523FB"/>
    <w:pPr>
      <w:tabs>
        <w:tab w:val="left" w:pos="714"/>
      </w:tabs>
      <w:spacing w:after="100"/>
      <w:ind w:hanging="6"/>
      <w:jc w:val="both"/>
    </w:pPr>
    <w:rPr>
      <w:rFonts w:ascii="Arial" w:eastAsia="Times New Roman" w:hAnsi="Arial" w:cs="Times New Roman"/>
      <w:snapToGrid w:val="0"/>
      <w:color w:val="000000"/>
      <w:sz w:val="20"/>
      <w:szCs w:val="20"/>
      <w:lang w:eastAsia="en-US"/>
    </w:rPr>
  </w:style>
  <w:style w:type="character" w:customStyle="1" w:styleId="BodyTextIndent2Char">
    <w:name w:val="Body Text Indent 2 Char"/>
    <w:basedOn w:val="DefaultParagraphFont"/>
    <w:link w:val="BodyTextIndent2"/>
    <w:rsid w:val="002523FB"/>
    <w:rPr>
      <w:rFonts w:ascii="Arial" w:eastAsia="Times New Roman" w:hAnsi="Arial" w:cs="Times New Roman"/>
      <w:snapToGrid w:val="0"/>
      <w:color w:val="000000"/>
      <w:sz w:val="20"/>
      <w:szCs w:val="20"/>
      <w:lang w:eastAsia="en-US"/>
    </w:rPr>
  </w:style>
  <w:style w:type="paragraph" w:customStyle="1" w:styleId="3029-Titrechapitre">
    <w:name w:val="3029-Titre chapitre"/>
    <w:basedOn w:val="Heading1"/>
    <w:rsid w:val="002523FB"/>
    <w:pPr>
      <w:spacing w:before="0" w:after="0"/>
    </w:pPr>
    <w:rPr>
      <w:rFonts w:ascii="Arial Black" w:eastAsia="Times" w:hAnsi="Arial Black" w:cs="Times New Roman"/>
      <w:b w:val="0"/>
      <w:bCs w:val="0"/>
      <w:caps w:val="0"/>
      <w:color w:val="000080"/>
      <w:kern w:val="0"/>
      <w:sz w:val="30"/>
      <w:szCs w:val="20"/>
      <w:lang w:val="fr-FR"/>
    </w:rPr>
  </w:style>
  <w:style w:type="character" w:customStyle="1" w:styleId="underline">
    <w:name w:val="underline"/>
    <w:rsid w:val="002523FB"/>
    <w:rPr>
      <w:u w:val="single"/>
    </w:rPr>
  </w:style>
  <w:style w:type="paragraph" w:customStyle="1" w:styleId="zanxhead">
    <w:name w:val="zanxhead"/>
    <w:basedOn w:val="Normal"/>
    <w:rsid w:val="002523FB"/>
    <w:pPr>
      <w:spacing w:before="200"/>
    </w:pPr>
    <w:rPr>
      <w:rFonts w:ascii="Times New Roman" w:eastAsia="Times New Roman" w:hAnsi="Times New Roman" w:cs="Times New Roman"/>
      <w:b/>
      <w:color w:val="0000FF"/>
      <w:sz w:val="24"/>
      <w:szCs w:val="20"/>
      <w:lang w:eastAsia="en-US"/>
    </w:rPr>
  </w:style>
  <w:style w:type="character" w:styleId="Emphasis">
    <w:name w:val="Emphasis"/>
    <w:uiPriority w:val="20"/>
    <w:qFormat/>
    <w:rsid w:val="002523FB"/>
    <w:rPr>
      <w:i/>
      <w:iCs/>
    </w:rPr>
  </w:style>
  <w:style w:type="character" w:styleId="Strong">
    <w:name w:val="Strong"/>
    <w:qFormat/>
    <w:rsid w:val="002523FB"/>
    <w:rPr>
      <w:b/>
      <w:bCs/>
    </w:rPr>
  </w:style>
  <w:style w:type="paragraph" w:customStyle="1" w:styleId="preparedby">
    <w:name w:val="prepared by"/>
    <w:basedOn w:val="Normal"/>
    <w:next w:val="Normal"/>
    <w:rsid w:val="002523FB"/>
    <w:pPr>
      <w:spacing w:before="120" w:after="480" w:line="260" w:lineRule="atLeast"/>
      <w:ind w:left="1021"/>
      <w:contextualSpacing/>
    </w:pPr>
    <w:rPr>
      <w:rFonts w:ascii="Arial" w:eastAsia="Times New Roman" w:hAnsi="Arial" w:cs="Times New Roman"/>
      <w:i/>
      <w:sz w:val="20"/>
      <w:szCs w:val="20"/>
      <w:lang w:eastAsia="en-US"/>
    </w:rPr>
  </w:style>
  <w:style w:type="paragraph" w:customStyle="1" w:styleId="Documenttitle">
    <w:name w:val="Document title"/>
    <w:basedOn w:val="Normal"/>
    <w:next w:val="preparedby"/>
    <w:rsid w:val="002523FB"/>
    <w:pPr>
      <w:spacing w:before="840" w:line="336" w:lineRule="exact"/>
      <w:ind w:left="1021"/>
      <w:contextualSpacing/>
    </w:pPr>
    <w:rPr>
      <w:rFonts w:ascii="Arial" w:eastAsia="Times New Roman" w:hAnsi="Arial" w:cs="Times New Roman"/>
      <w:sz w:val="24"/>
      <w:szCs w:val="20"/>
      <w:lang w:eastAsia="en-US"/>
    </w:rPr>
  </w:style>
  <w:style w:type="paragraph" w:customStyle="1" w:styleId="MeetinglanguageDate">
    <w:name w:val="Meeting language &amp; Date"/>
    <w:basedOn w:val="Normal"/>
    <w:next w:val="Meetingtitle"/>
    <w:rsid w:val="002523FB"/>
    <w:pPr>
      <w:spacing w:after="1680" w:line="160" w:lineRule="exact"/>
      <w:ind w:left="1021"/>
      <w:contextualSpacing/>
      <w:jc w:val="right"/>
    </w:pPr>
    <w:rPr>
      <w:rFonts w:ascii="Arial Black" w:eastAsia="Times New Roman" w:hAnsi="Arial Black" w:cs="Times New Roman"/>
      <w:b/>
      <w:caps/>
      <w:sz w:val="15"/>
      <w:szCs w:val="20"/>
      <w:lang w:eastAsia="en-US"/>
    </w:rPr>
  </w:style>
  <w:style w:type="paragraph" w:customStyle="1" w:styleId="Meetingtitle">
    <w:name w:val="Meeting title"/>
    <w:basedOn w:val="Normal"/>
    <w:next w:val="Sessiontitle"/>
    <w:rsid w:val="002523FB"/>
    <w:pPr>
      <w:spacing w:line="336" w:lineRule="exact"/>
      <w:ind w:left="1021"/>
    </w:pPr>
    <w:rPr>
      <w:rFonts w:ascii="Arial" w:eastAsia="Times New Roman" w:hAnsi="Arial" w:cs="Times New Roman"/>
      <w:b/>
      <w:sz w:val="28"/>
      <w:szCs w:val="20"/>
      <w:lang w:eastAsia="en-US"/>
    </w:rPr>
  </w:style>
  <w:style w:type="paragraph" w:customStyle="1" w:styleId="Sessiontitle">
    <w:name w:val="Session title"/>
    <w:basedOn w:val="Meetingtitle"/>
    <w:next w:val="Meetingplacedate"/>
    <w:rsid w:val="002523FB"/>
    <w:pPr>
      <w:spacing w:before="480"/>
      <w:contextualSpacing/>
    </w:pPr>
    <w:rPr>
      <w:sz w:val="24"/>
    </w:rPr>
  </w:style>
  <w:style w:type="paragraph" w:customStyle="1" w:styleId="Meetingplacedate">
    <w:name w:val="Meeting place &amp; date"/>
    <w:basedOn w:val="Sessiontitle"/>
    <w:next w:val="Documenttitle"/>
    <w:rsid w:val="002523FB"/>
    <w:pPr>
      <w:spacing w:before="0"/>
      <w:contextualSpacing w:val="0"/>
    </w:pPr>
  </w:style>
  <w:style w:type="paragraph" w:customStyle="1" w:styleId="Language">
    <w:name w:val="Language"/>
    <w:basedOn w:val="Normal"/>
    <w:next w:val="Normal"/>
    <w:rsid w:val="002523FB"/>
    <w:pPr>
      <w:spacing w:after="120" w:line="340" w:lineRule="atLeast"/>
      <w:ind w:left="1021"/>
      <w:contextualSpacing/>
      <w:jc w:val="right"/>
    </w:pPr>
    <w:rPr>
      <w:rFonts w:ascii="Arial" w:eastAsia="Times New Roman" w:hAnsi="Arial" w:cs="Times New Roman"/>
      <w:b/>
      <w:caps/>
      <w:sz w:val="40"/>
      <w:szCs w:val="20"/>
      <w:lang w:eastAsia="en-US"/>
    </w:rPr>
  </w:style>
  <w:style w:type="paragraph" w:customStyle="1" w:styleId="MeetingCode">
    <w:name w:val="Meeting Code"/>
    <w:basedOn w:val="MeetinglanguageDate"/>
    <w:rsid w:val="002523FB"/>
    <w:pPr>
      <w:spacing w:before="1800" w:after="0"/>
    </w:pPr>
  </w:style>
  <w:style w:type="paragraph" w:customStyle="1" w:styleId="CarCarCar">
    <w:name w:val="Car Car Car"/>
    <w:basedOn w:val="Normal"/>
    <w:rsid w:val="002523FB"/>
    <w:pPr>
      <w:spacing w:after="160" w:line="240" w:lineRule="exact"/>
    </w:pPr>
    <w:rPr>
      <w:rFonts w:ascii="Verdana" w:eastAsia="PMingLiU" w:hAnsi="Verdana" w:cs="Times New Roman"/>
      <w:sz w:val="20"/>
      <w:szCs w:val="20"/>
      <w:lang w:eastAsia="en-US"/>
    </w:rPr>
  </w:style>
  <w:style w:type="paragraph" w:customStyle="1" w:styleId="Paragraphedeliste">
    <w:name w:val="Paragraphe de liste"/>
    <w:autoRedefine/>
    <w:rsid w:val="002523FB"/>
    <w:pPr>
      <w:spacing w:after="200" w:line="276" w:lineRule="auto"/>
      <w:ind w:left="720"/>
    </w:pPr>
    <w:rPr>
      <w:rFonts w:ascii="Lucida Grande" w:eastAsia="ヒラギノ角ゴ Pro W3" w:hAnsi="Lucida Grande" w:cs="Times New Roman"/>
      <w:color w:val="000000"/>
      <w:szCs w:val="20"/>
      <w:lang w:val="en-GB" w:eastAsia="en-US"/>
    </w:rPr>
  </w:style>
  <w:style w:type="paragraph" w:customStyle="1" w:styleId="ONUME">
    <w:name w:val="ONUM E"/>
    <w:basedOn w:val="Normal"/>
    <w:link w:val="ONUMEChar"/>
    <w:rsid w:val="002523FB"/>
    <w:pPr>
      <w:numPr>
        <w:numId w:val="69"/>
      </w:numPr>
    </w:pPr>
    <w:rPr>
      <w:rFonts w:ascii="Times New Roman" w:eastAsia="Times New Roman" w:hAnsi="Times New Roman" w:cs="Times New Roman"/>
      <w:sz w:val="24"/>
      <w:szCs w:val="20"/>
      <w:lang w:eastAsia="en-US"/>
    </w:rPr>
  </w:style>
  <w:style w:type="character" w:styleId="FollowedHyperlink">
    <w:name w:val="FollowedHyperlink"/>
    <w:rsid w:val="002523FB"/>
    <w:rPr>
      <w:color w:val="606420"/>
      <w:u w:val="single"/>
    </w:rPr>
  </w:style>
  <w:style w:type="paragraph" w:customStyle="1" w:styleId="ONUMFS">
    <w:name w:val="ONUM FS"/>
    <w:basedOn w:val="BodyText"/>
    <w:rsid w:val="002523FB"/>
    <w:pPr>
      <w:numPr>
        <w:numId w:val="70"/>
      </w:numPr>
    </w:pPr>
    <w:rPr>
      <w:rFonts w:ascii="Times New Roman" w:hAnsi="Times New Roman" w:cs="Times New Roman"/>
      <w:sz w:val="24"/>
    </w:rPr>
  </w:style>
  <w:style w:type="paragraph" w:styleId="Salutation">
    <w:name w:val="Salutation"/>
    <w:basedOn w:val="Normal"/>
    <w:next w:val="Normal"/>
    <w:link w:val="SalutationChar"/>
    <w:semiHidden/>
    <w:rsid w:val="002523FB"/>
    <w:rPr>
      <w:rFonts w:ascii="Times New Roman" w:eastAsia="Times New Roman" w:hAnsi="Times New Roman" w:cs="Times New Roman"/>
      <w:sz w:val="24"/>
      <w:szCs w:val="20"/>
      <w:lang w:eastAsia="en-US"/>
    </w:rPr>
  </w:style>
  <w:style w:type="character" w:customStyle="1" w:styleId="SalutationChar">
    <w:name w:val="Salutation Char"/>
    <w:basedOn w:val="DefaultParagraphFont"/>
    <w:link w:val="Salutation"/>
    <w:semiHidden/>
    <w:rsid w:val="002523FB"/>
    <w:rPr>
      <w:rFonts w:ascii="Times New Roman" w:eastAsia="Times New Roman" w:hAnsi="Times New Roman" w:cs="Times New Roman"/>
      <w:sz w:val="24"/>
      <w:szCs w:val="20"/>
      <w:lang w:eastAsia="en-US"/>
    </w:rPr>
  </w:style>
  <w:style w:type="paragraph" w:styleId="Signature">
    <w:name w:val="Signature"/>
    <w:basedOn w:val="Normal"/>
    <w:link w:val="SignatureChar"/>
    <w:semiHidden/>
    <w:rsid w:val="002523FB"/>
    <w:pPr>
      <w:ind w:left="5250"/>
    </w:pPr>
    <w:rPr>
      <w:rFonts w:ascii="Times New Roman" w:eastAsia="Times New Roman" w:hAnsi="Times New Roman" w:cs="Times New Roman"/>
      <w:sz w:val="24"/>
      <w:szCs w:val="20"/>
      <w:lang w:eastAsia="en-US"/>
    </w:rPr>
  </w:style>
  <w:style w:type="character" w:customStyle="1" w:styleId="SignatureChar">
    <w:name w:val="Signature Char"/>
    <w:basedOn w:val="DefaultParagraphFont"/>
    <w:link w:val="Signature"/>
    <w:semiHidden/>
    <w:rsid w:val="002523FB"/>
    <w:rPr>
      <w:rFonts w:ascii="Times New Roman" w:eastAsia="Times New Roman" w:hAnsi="Times New Roman" w:cs="Times New Roman"/>
      <w:sz w:val="24"/>
      <w:szCs w:val="20"/>
      <w:lang w:eastAsia="en-US"/>
    </w:rPr>
  </w:style>
  <w:style w:type="paragraph" w:styleId="EndnoteText">
    <w:name w:val="endnote text"/>
    <w:basedOn w:val="Normal"/>
    <w:link w:val="EndnoteTextChar"/>
    <w:semiHidden/>
    <w:rsid w:val="002523FB"/>
    <w:rPr>
      <w:rFonts w:ascii="Times New Roman" w:eastAsia="Times New Roman" w:hAnsi="Times New Roman" w:cs="Times New Roman"/>
      <w:sz w:val="18"/>
      <w:szCs w:val="20"/>
      <w:lang w:eastAsia="en-US"/>
    </w:rPr>
  </w:style>
  <w:style w:type="character" w:customStyle="1" w:styleId="EndnoteTextChar">
    <w:name w:val="Endnote Text Char"/>
    <w:basedOn w:val="DefaultParagraphFont"/>
    <w:link w:val="EndnoteText"/>
    <w:semiHidden/>
    <w:rsid w:val="002523FB"/>
    <w:rPr>
      <w:rFonts w:ascii="Times New Roman" w:eastAsia="Times New Roman" w:hAnsi="Times New Roman" w:cs="Times New Roman"/>
      <w:sz w:val="18"/>
      <w:szCs w:val="20"/>
      <w:lang w:eastAsia="en-US"/>
    </w:rPr>
  </w:style>
  <w:style w:type="paragraph" w:styleId="Caption">
    <w:name w:val="caption"/>
    <w:basedOn w:val="Normal"/>
    <w:next w:val="Normal"/>
    <w:qFormat/>
    <w:rsid w:val="002523FB"/>
    <w:rPr>
      <w:rFonts w:ascii="Times New Roman" w:eastAsia="Times New Roman" w:hAnsi="Times New Roman" w:cs="Times New Roman"/>
      <w:b/>
      <w:bCs/>
      <w:sz w:val="18"/>
      <w:szCs w:val="20"/>
      <w:lang w:eastAsia="en-US"/>
    </w:rPr>
  </w:style>
  <w:style w:type="paragraph" w:styleId="ListNumber">
    <w:name w:val="List Number"/>
    <w:basedOn w:val="Normal"/>
    <w:semiHidden/>
    <w:rsid w:val="002523FB"/>
    <w:pPr>
      <w:numPr>
        <w:numId w:val="68"/>
      </w:numPr>
    </w:pPr>
    <w:rPr>
      <w:rFonts w:ascii="Times New Roman" w:eastAsia="Times New Roman" w:hAnsi="Times New Roman" w:cs="Times New Roman"/>
      <w:sz w:val="24"/>
      <w:szCs w:val="20"/>
      <w:lang w:eastAsia="en-US"/>
    </w:rPr>
  </w:style>
  <w:style w:type="character" w:customStyle="1" w:styleId="Bona">
    <w:name w:val="Bona"/>
    <w:semiHidden/>
    <w:rsid w:val="002523FB"/>
    <w:rPr>
      <w:rFonts w:ascii="Arial" w:hAnsi="Arial" w:cs="Arial"/>
      <w:color w:val="000080"/>
      <w:sz w:val="20"/>
      <w:szCs w:val="20"/>
    </w:rPr>
  </w:style>
  <w:style w:type="character" w:customStyle="1" w:styleId="ONUMEChar">
    <w:name w:val="ONUM E Char"/>
    <w:link w:val="ONUME"/>
    <w:rsid w:val="002523FB"/>
    <w:rPr>
      <w:rFonts w:ascii="Times New Roman" w:eastAsia="Times New Roman" w:hAnsi="Times New Roman" w:cs="Times New Roman"/>
      <w:sz w:val="24"/>
      <w:szCs w:val="20"/>
      <w:lang w:eastAsia="en-US"/>
    </w:rPr>
  </w:style>
  <w:style w:type="character" w:customStyle="1" w:styleId="st">
    <w:name w:val="st"/>
    <w:basedOn w:val="DefaultParagraphFont"/>
    <w:rsid w:val="00AE288C"/>
  </w:style>
  <w:style w:type="paragraph" w:customStyle="1" w:styleId="Endofdocument-Annex">
    <w:name w:val="[End of document - Annex]"/>
    <w:basedOn w:val="Normal"/>
    <w:rsid w:val="006B1E69"/>
    <w:pPr>
      <w:ind w:left="5534"/>
    </w:pPr>
    <w:rPr>
      <w:rFonts w:ascii="Arial" w:eastAsia="SimSun" w:hAnsi="Arial" w:cs="Arial"/>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300717">
      <w:bodyDiv w:val="1"/>
      <w:marLeft w:val="0"/>
      <w:marRight w:val="0"/>
      <w:marTop w:val="0"/>
      <w:marBottom w:val="0"/>
      <w:divBdr>
        <w:top w:val="none" w:sz="0" w:space="0" w:color="auto"/>
        <w:left w:val="none" w:sz="0" w:space="0" w:color="auto"/>
        <w:bottom w:val="none" w:sz="0" w:space="0" w:color="auto"/>
        <w:right w:val="none" w:sz="0" w:space="0" w:color="auto"/>
      </w:divBdr>
    </w:div>
    <w:div w:id="375088258">
      <w:bodyDiv w:val="1"/>
      <w:marLeft w:val="0"/>
      <w:marRight w:val="0"/>
      <w:marTop w:val="0"/>
      <w:marBottom w:val="0"/>
      <w:divBdr>
        <w:top w:val="none" w:sz="0" w:space="0" w:color="auto"/>
        <w:left w:val="none" w:sz="0" w:space="0" w:color="auto"/>
        <w:bottom w:val="none" w:sz="0" w:space="0" w:color="auto"/>
        <w:right w:val="none" w:sz="0" w:space="0" w:color="auto"/>
      </w:divBdr>
    </w:div>
    <w:div w:id="541408982">
      <w:bodyDiv w:val="1"/>
      <w:marLeft w:val="0"/>
      <w:marRight w:val="0"/>
      <w:marTop w:val="0"/>
      <w:marBottom w:val="0"/>
      <w:divBdr>
        <w:top w:val="none" w:sz="0" w:space="0" w:color="auto"/>
        <w:left w:val="none" w:sz="0" w:space="0" w:color="auto"/>
        <w:bottom w:val="none" w:sz="0" w:space="0" w:color="auto"/>
        <w:right w:val="none" w:sz="0" w:space="0" w:color="auto"/>
      </w:divBdr>
    </w:div>
    <w:div w:id="578946676">
      <w:bodyDiv w:val="1"/>
      <w:marLeft w:val="0"/>
      <w:marRight w:val="0"/>
      <w:marTop w:val="0"/>
      <w:marBottom w:val="0"/>
      <w:divBdr>
        <w:top w:val="none" w:sz="0" w:space="0" w:color="auto"/>
        <w:left w:val="none" w:sz="0" w:space="0" w:color="auto"/>
        <w:bottom w:val="none" w:sz="0" w:space="0" w:color="auto"/>
        <w:right w:val="none" w:sz="0" w:space="0" w:color="auto"/>
      </w:divBdr>
    </w:div>
    <w:div w:id="671026873">
      <w:bodyDiv w:val="1"/>
      <w:marLeft w:val="0"/>
      <w:marRight w:val="0"/>
      <w:marTop w:val="0"/>
      <w:marBottom w:val="0"/>
      <w:divBdr>
        <w:top w:val="none" w:sz="0" w:space="0" w:color="auto"/>
        <w:left w:val="none" w:sz="0" w:space="0" w:color="auto"/>
        <w:bottom w:val="none" w:sz="0" w:space="0" w:color="auto"/>
        <w:right w:val="none" w:sz="0" w:space="0" w:color="auto"/>
      </w:divBdr>
    </w:div>
    <w:div w:id="843668124">
      <w:bodyDiv w:val="1"/>
      <w:marLeft w:val="0"/>
      <w:marRight w:val="0"/>
      <w:marTop w:val="0"/>
      <w:marBottom w:val="0"/>
      <w:divBdr>
        <w:top w:val="none" w:sz="0" w:space="0" w:color="auto"/>
        <w:left w:val="none" w:sz="0" w:space="0" w:color="auto"/>
        <w:bottom w:val="none" w:sz="0" w:space="0" w:color="auto"/>
        <w:right w:val="none" w:sz="0" w:space="0" w:color="auto"/>
      </w:divBdr>
      <w:divsChild>
        <w:div w:id="1071468288">
          <w:marLeft w:val="547"/>
          <w:marRight w:val="0"/>
          <w:marTop w:val="0"/>
          <w:marBottom w:val="0"/>
          <w:divBdr>
            <w:top w:val="none" w:sz="0" w:space="0" w:color="auto"/>
            <w:left w:val="none" w:sz="0" w:space="0" w:color="auto"/>
            <w:bottom w:val="none" w:sz="0" w:space="0" w:color="auto"/>
            <w:right w:val="none" w:sz="0" w:space="0" w:color="auto"/>
          </w:divBdr>
        </w:div>
        <w:div w:id="999650043">
          <w:marLeft w:val="547"/>
          <w:marRight w:val="0"/>
          <w:marTop w:val="0"/>
          <w:marBottom w:val="0"/>
          <w:divBdr>
            <w:top w:val="none" w:sz="0" w:space="0" w:color="auto"/>
            <w:left w:val="none" w:sz="0" w:space="0" w:color="auto"/>
            <w:bottom w:val="none" w:sz="0" w:space="0" w:color="auto"/>
            <w:right w:val="none" w:sz="0" w:space="0" w:color="auto"/>
          </w:divBdr>
        </w:div>
      </w:divsChild>
    </w:div>
    <w:div w:id="887184606">
      <w:bodyDiv w:val="1"/>
      <w:marLeft w:val="0"/>
      <w:marRight w:val="0"/>
      <w:marTop w:val="0"/>
      <w:marBottom w:val="0"/>
      <w:divBdr>
        <w:top w:val="none" w:sz="0" w:space="0" w:color="auto"/>
        <w:left w:val="none" w:sz="0" w:space="0" w:color="auto"/>
        <w:bottom w:val="none" w:sz="0" w:space="0" w:color="auto"/>
        <w:right w:val="none" w:sz="0" w:space="0" w:color="auto"/>
      </w:divBdr>
    </w:div>
    <w:div w:id="912812662">
      <w:bodyDiv w:val="1"/>
      <w:marLeft w:val="0"/>
      <w:marRight w:val="0"/>
      <w:marTop w:val="0"/>
      <w:marBottom w:val="0"/>
      <w:divBdr>
        <w:top w:val="none" w:sz="0" w:space="0" w:color="auto"/>
        <w:left w:val="none" w:sz="0" w:space="0" w:color="auto"/>
        <w:bottom w:val="none" w:sz="0" w:space="0" w:color="auto"/>
        <w:right w:val="none" w:sz="0" w:space="0" w:color="auto"/>
      </w:divBdr>
    </w:div>
    <w:div w:id="1013805089">
      <w:bodyDiv w:val="1"/>
      <w:marLeft w:val="0"/>
      <w:marRight w:val="0"/>
      <w:marTop w:val="0"/>
      <w:marBottom w:val="0"/>
      <w:divBdr>
        <w:top w:val="none" w:sz="0" w:space="0" w:color="auto"/>
        <w:left w:val="none" w:sz="0" w:space="0" w:color="auto"/>
        <w:bottom w:val="none" w:sz="0" w:space="0" w:color="auto"/>
        <w:right w:val="none" w:sz="0" w:space="0" w:color="auto"/>
      </w:divBdr>
    </w:div>
    <w:div w:id="1288201343">
      <w:bodyDiv w:val="1"/>
      <w:marLeft w:val="0"/>
      <w:marRight w:val="0"/>
      <w:marTop w:val="0"/>
      <w:marBottom w:val="0"/>
      <w:divBdr>
        <w:top w:val="none" w:sz="0" w:space="0" w:color="auto"/>
        <w:left w:val="none" w:sz="0" w:space="0" w:color="auto"/>
        <w:bottom w:val="none" w:sz="0" w:space="0" w:color="auto"/>
        <w:right w:val="none" w:sz="0" w:space="0" w:color="auto"/>
      </w:divBdr>
    </w:div>
    <w:div w:id="1527401704">
      <w:bodyDiv w:val="1"/>
      <w:marLeft w:val="0"/>
      <w:marRight w:val="0"/>
      <w:marTop w:val="0"/>
      <w:marBottom w:val="0"/>
      <w:divBdr>
        <w:top w:val="none" w:sz="0" w:space="0" w:color="auto"/>
        <w:left w:val="none" w:sz="0" w:space="0" w:color="auto"/>
        <w:bottom w:val="none" w:sz="0" w:space="0" w:color="auto"/>
        <w:right w:val="none" w:sz="0" w:space="0" w:color="auto"/>
      </w:divBdr>
    </w:div>
    <w:div w:id="1604410876">
      <w:bodyDiv w:val="1"/>
      <w:marLeft w:val="0"/>
      <w:marRight w:val="0"/>
      <w:marTop w:val="0"/>
      <w:marBottom w:val="0"/>
      <w:divBdr>
        <w:top w:val="none" w:sz="0" w:space="0" w:color="auto"/>
        <w:left w:val="none" w:sz="0" w:space="0" w:color="auto"/>
        <w:bottom w:val="none" w:sz="0" w:space="0" w:color="auto"/>
        <w:right w:val="none" w:sz="0" w:space="0" w:color="auto"/>
      </w:divBdr>
    </w:div>
    <w:div w:id="1938904846">
      <w:bodyDiv w:val="1"/>
      <w:marLeft w:val="0"/>
      <w:marRight w:val="0"/>
      <w:marTop w:val="0"/>
      <w:marBottom w:val="0"/>
      <w:divBdr>
        <w:top w:val="none" w:sz="0" w:space="0" w:color="auto"/>
        <w:left w:val="none" w:sz="0" w:space="0" w:color="auto"/>
        <w:bottom w:val="none" w:sz="0" w:space="0" w:color="auto"/>
        <w:right w:val="none" w:sz="0" w:space="0" w:color="auto"/>
      </w:divBdr>
    </w:div>
    <w:div w:id="1960142620">
      <w:bodyDiv w:val="1"/>
      <w:marLeft w:val="0"/>
      <w:marRight w:val="0"/>
      <w:marTop w:val="0"/>
      <w:marBottom w:val="0"/>
      <w:divBdr>
        <w:top w:val="none" w:sz="0" w:space="0" w:color="auto"/>
        <w:left w:val="none" w:sz="0" w:space="0" w:color="auto"/>
        <w:bottom w:val="none" w:sz="0" w:space="0" w:color="auto"/>
        <w:right w:val="none" w:sz="0" w:space="0" w:color="auto"/>
      </w:divBdr>
    </w:div>
    <w:div w:id="2045666215">
      <w:bodyDiv w:val="1"/>
      <w:marLeft w:val="0"/>
      <w:marRight w:val="0"/>
      <w:marTop w:val="0"/>
      <w:marBottom w:val="0"/>
      <w:divBdr>
        <w:top w:val="none" w:sz="0" w:space="0" w:color="auto"/>
        <w:left w:val="none" w:sz="0" w:space="0" w:color="auto"/>
        <w:bottom w:val="none" w:sz="0" w:space="0" w:color="auto"/>
        <w:right w:val="none" w:sz="0" w:space="0" w:color="auto"/>
      </w:divBdr>
    </w:div>
    <w:div w:id="2049069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2.xml"/><Relationship Id="rId299" Type="http://schemas.openxmlformats.org/officeDocument/2006/relationships/image" Target="media/image176.png"/><Relationship Id="rId303" Type="http://schemas.openxmlformats.org/officeDocument/2006/relationships/image" Target="media/image180.png"/><Relationship Id="rId21" Type="http://schemas.openxmlformats.org/officeDocument/2006/relationships/image" Target="media/image4.emf"/><Relationship Id="rId42" Type="http://schemas.openxmlformats.org/officeDocument/2006/relationships/diagramQuickStyle" Target="diagrams/quickStyle2.xml"/><Relationship Id="rId63" Type="http://schemas.openxmlformats.org/officeDocument/2006/relationships/diagramLayout" Target="diagrams/layout5.xml"/><Relationship Id="rId84" Type="http://schemas.openxmlformats.org/officeDocument/2006/relationships/diagramLayout" Target="diagrams/layout8.xml"/><Relationship Id="rId138" Type="http://schemas.openxmlformats.org/officeDocument/2006/relationships/diagramQuickStyle" Target="diagrams/quickStyle15.xml"/><Relationship Id="rId159" Type="http://schemas.openxmlformats.org/officeDocument/2006/relationships/diagramLayout" Target="diagrams/layout18.xml"/><Relationship Id="rId324" Type="http://schemas.openxmlformats.org/officeDocument/2006/relationships/fontTable" Target="fontTable.xml"/><Relationship Id="rId170" Type="http://schemas.microsoft.com/office/2007/relationships/diagramDrawing" Target="diagrams/drawing19.xml"/><Relationship Id="rId191" Type="http://schemas.openxmlformats.org/officeDocument/2006/relationships/image" Target="media/image72.emf"/><Relationship Id="rId205" Type="http://schemas.openxmlformats.org/officeDocument/2006/relationships/header" Target="header7.xml"/><Relationship Id="rId226" Type="http://schemas.openxmlformats.org/officeDocument/2006/relationships/image" Target="media/image103.emf"/><Relationship Id="rId247" Type="http://schemas.openxmlformats.org/officeDocument/2006/relationships/image" Target="media/image124.jpeg"/><Relationship Id="rId107" Type="http://schemas.openxmlformats.org/officeDocument/2006/relationships/diagramData" Target="diagrams/data11.xml"/><Relationship Id="rId268" Type="http://schemas.openxmlformats.org/officeDocument/2006/relationships/image" Target="media/image145.emf"/><Relationship Id="rId289" Type="http://schemas.openxmlformats.org/officeDocument/2006/relationships/image" Target="media/image166.png"/><Relationship Id="rId11" Type="http://schemas.openxmlformats.org/officeDocument/2006/relationships/header" Target="header2.xml"/><Relationship Id="rId32" Type="http://schemas.openxmlformats.org/officeDocument/2006/relationships/image" Target="media/image14.emf"/><Relationship Id="rId53" Type="http://schemas.openxmlformats.org/officeDocument/2006/relationships/image" Target="media/image20.emf"/><Relationship Id="rId74" Type="http://schemas.openxmlformats.org/officeDocument/2006/relationships/image" Target="media/image26.emf"/><Relationship Id="rId128" Type="http://schemas.openxmlformats.org/officeDocument/2006/relationships/image" Target="media/image45.emf"/><Relationship Id="rId149" Type="http://schemas.openxmlformats.org/officeDocument/2006/relationships/image" Target="media/image50.emf"/><Relationship Id="rId314" Type="http://schemas.openxmlformats.org/officeDocument/2006/relationships/image" Target="media/image191.emf"/><Relationship Id="rId5" Type="http://schemas.openxmlformats.org/officeDocument/2006/relationships/settings" Target="settings.xml"/><Relationship Id="rId95" Type="http://schemas.openxmlformats.org/officeDocument/2006/relationships/diagramColors" Target="diagrams/colors9.xml"/><Relationship Id="rId160" Type="http://schemas.openxmlformats.org/officeDocument/2006/relationships/diagramQuickStyle" Target="diagrams/quickStyle18.xml"/><Relationship Id="rId181" Type="http://schemas.openxmlformats.org/officeDocument/2006/relationships/image" Target="media/image62.emf"/><Relationship Id="rId216" Type="http://schemas.openxmlformats.org/officeDocument/2006/relationships/image" Target="media/image93.emf"/><Relationship Id="rId237" Type="http://schemas.openxmlformats.org/officeDocument/2006/relationships/image" Target="media/image114.emf"/><Relationship Id="rId258" Type="http://schemas.openxmlformats.org/officeDocument/2006/relationships/image" Target="media/image135.emf"/><Relationship Id="rId279" Type="http://schemas.openxmlformats.org/officeDocument/2006/relationships/image" Target="media/image156.png"/><Relationship Id="rId22" Type="http://schemas.openxmlformats.org/officeDocument/2006/relationships/image" Target="media/image5.emf"/><Relationship Id="rId43" Type="http://schemas.openxmlformats.org/officeDocument/2006/relationships/diagramColors" Target="diagrams/colors2.xml"/><Relationship Id="rId64" Type="http://schemas.openxmlformats.org/officeDocument/2006/relationships/diagramQuickStyle" Target="diagrams/quickStyle5.xml"/><Relationship Id="rId118" Type="http://schemas.openxmlformats.org/officeDocument/2006/relationships/diagramColors" Target="diagrams/colors12.xml"/><Relationship Id="rId139" Type="http://schemas.openxmlformats.org/officeDocument/2006/relationships/diagramColors" Target="diagrams/colors15.xml"/><Relationship Id="rId290" Type="http://schemas.openxmlformats.org/officeDocument/2006/relationships/image" Target="media/image167.png"/><Relationship Id="rId304" Type="http://schemas.openxmlformats.org/officeDocument/2006/relationships/image" Target="media/image181.png"/><Relationship Id="rId325" Type="http://schemas.openxmlformats.org/officeDocument/2006/relationships/theme" Target="theme/theme1.xml"/><Relationship Id="rId85" Type="http://schemas.openxmlformats.org/officeDocument/2006/relationships/diagramQuickStyle" Target="diagrams/quickStyle8.xml"/><Relationship Id="rId150" Type="http://schemas.openxmlformats.org/officeDocument/2006/relationships/image" Target="media/image51.emf"/><Relationship Id="rId171" Type="http://schemas.openxmlformats.org/officeDocument/2006/relationships/image" Target="media/image57.emf"/><Relationship Id="rId192" Type="http://schemas.openxmlformats.org/officeDocument/2006/relationships/image" Target="media/image73.emf"/><Relationship Id="rId206" Type="http://schemas.openxmlformats.org/officeDocument/2006/relationships/header" Target="header8.xml"/><Relationship Id="rId227" Type="http://schemas.openxmlformats.org/officeDocument/2006/relationships/image" Target="media/image104.jpeg"/><Relationship Id="rId248" Type="http://schemas.openxmlformats.org/officeDocument/2006/relationships/image" Target="media/image125.emf"/><Relationship Id="rId269" Type="http://schemas.openxmlformats.org/officeDocument/2006/relationships/image" Target="media/image146.png"/><Relationship Id="rId12" Type="http://schemas.openxmlformats.org/officeDocument/2006/relationships/footer" Target="footer1.xml"/><Relationship Id="rId33" Type="http://schemas.openxmlformats.org/officeDocument/2006/relationships/diagramData" Target="diagrams/data1.xml"/><Relationship Id="rId108" Type="http://schemas.openxmlformats.org/officeDocument/2006/relationships/diagramLayout" Target="diagrams/layout11.xml"/><Relationship Id="rId129" Type="http://schemas.openxmlformats.org/officeDocument/2006/relationships/diagramData" Target="diagrams/data14.xml"/><Relationship Id="rId280" Type="http://schemas.openxmlformats.org/officeDocument/2006/relationships/image" Target="media/image157.png"/><Relationship Id="rId315" Type="http://schemas.openxmlformats.org/officeDocument/2006/relationships/image" Target="media/image192.emf"/><Relationship Id="rId54" Type="http://schemas.openxmlformats.org/officeDocument/2006/relationships/image" Target="media/image21.emf"/><Relationship Id="rId75" Type="http://schemas.openxmlformats.org/officeDocument/2006/relationships/image" Target="media/image27.emf"/><Relationship Id="rId96" Type="http://schemas.microsoft.com/office/2007/relationships/diagramDrawing" Target="diagrams/drawing9.xml"/><Relationship Id="rId140" Type="http://schemas.microsoft.com/office/2007/relationships/diagramDrawing" Target="diagrams/drawing15.xml"/><Relationship Id="rId161" Type="http://schemas.openxmlformats.org/officeDocument/2006/relationships/diagramColors" Target="diagrams/colors18.xml"/><Relationship Id="rId182" Type="http://schemas.openxmlformats.org/officeDocument/2006/relationships/image" Target="media/image63.emf"/><Relationship Id="rId217" Type="http://schemas.openxmlformats.org/officeDocument/2006/relationships/image" Target="media/image94.jpeg"/><Relationship Id="rId6" Type="http://schemas.openxmlformats.org/officeDocument/2006/relationships/webSettings" Target="webSettings.xml"/><Relationship Id="rId238" Type="http://schemas.openxmlformats.org/officeDocument/2006/relationships/image" Target="media/image115.emf"/><Relationship Id="rId259" Type="http://schemas.openxmlformats.org/officeDocument/2006/relationships/image" Target="media/image136.png"/><Relationship Id="rId23" Type="http://schemas.openxmlformats.org/officeDocument/2006/relationships/image" Target="media/image6.png"/><Relationship Id="rId119" Type="http://schemas.microsoft.com/office/2007/relationships/diagramDrawing" Target="diagrams/drawing12.xml"/><Relationship Id="rId270" Type="http://schemas.openxmlformats.org/officeDocument/2006/relationships/image" Target="media/image147.emf"/><Relationship Id="rId291" Type="http://schemas.openxmlformats.org/officeDocument/2006/relationships/image" Target="media/image168.png"/><Relationship Id="rId305" Type="http://schemas.openxmlformats.org/officeDocument/2006/relationships/image" Target="media/image182.png"/><Relationship Id="rId44" Type="http://schemas.microsoft.com/office/2007/relationships/diagramDrawing" Target="diagrams/drawing2.xml"/><Relationship Id="rId65" Type="http://schemas.openxmlformats.org/officeDocument/2006/relationships/diagramColors" Target="diagrams/colors5.xml"/><Relationship Id="rId86" Type="http://schemas.openxmlformats.org/officeDocument/2006/relationships/diagramColors" Target="diagrams/colors8.xml"/><Relationship Id="rId130" Type="http://schemas.openxmlformats.org/officeDocument/2006/relationships/diagramLayout" Target="diagrams/layout14.xml"/><Relationship Id="rId151" Type="http://schemas.openxmlformats.org/officeDocument/2006/relationships/diagramData" Target="diagrams/data17.xml"/><Relationship Id="rId172" Type="http://schemas.openxmlformats.org/officeDocument/2006/relationships/image" Target="media/image58.emf"/><Relationship Id="rId193" Type="http://schemas.openxmlformats.org/officeDocument/2006/relationships/image" Target="media/image74.emf"/><Relationship Id="rId207" Type="http://schemas.openxmlformats.org/officeDocument/2006/relationships/footer" Target="footer5.xml"/><Relationship Id="rId228" Type="http://schemas.openxmlformats.org/officeDocument/2006/relationships/image" Target="media/image105.emf"/><Relationship Id="rId249" Type="http://schemas.openxmlformats.org/officeDocument/2006/relationships/image" Target="media/image126.jpeg"/><Relationship Id="rId13" Type="http://schemas.openxmlformats.org/officeDocument/2006/relationships/footer" Target="footer2.xml"/><Relationship Id="rId109" Type="http://schemas.openxmlformats.org/officeDocument/2006/relationships/diagramQuickStyle" Target="diagrams/quickStyle11.xml"/><Relationship Id="rId260" Type="http://schemas.openxmlformats.org/officeDocument/2006/relationships/image" Target="media/image137.png"/><Relationship Id="rId281" Type="http://schemas.openxmlformats.org/officeDocument/2006/relationships/image" Target="media/image158.png"/><Relationship Id="rId316" Type="http://schemas.openxmlformats.org/officeDocument/2006/relationships/image" Target="media/image193.emf"/><Relationship Id="rId34" Type="http://schemas.openxmlformats.org/officeDocument/2006/relationships/diagramLayout" Target="diagrams/layout1.xml"/><Relationship Id="rId55" Type="http://schemas.openxmlformats.org/officeDocument/2006/relationships/diagramData" Target="diagrams/data4.xml"/><Relationship Id="rId76" Type="http://schemas.openxmlformats.org/officeDocument/2006/relationships/diagramData" Target="diagrams/data7.xml"/><Relationship Id="rId97" Type="http://schemas.openxmlformats.org/officeDocument/2006/relationships/image" Target="media/image34.emf"/><Relationship Id="rId120" Type="http://schemas.openxmlformats.org/officeDocument/2006/relationships/image" Target="media/image42.emf"/><Relationship Id="rId141" Type="http://schemas.openxmlformats.org/officeDocument/2006/relationships/image" Target="media/image48.emf"/><Relationship Id="rId7" Type="http://schemas.openxmlformats.org/officeDocument/2006/relationships/footnotes" Target="footnotes.xml"/><Relationship Id="rId162" Type="http://schemas.microsoft.com/office/2007/relationships/diagramDrawing" Target="diagrams/drawing18.xml"/><Relationship Id="rId183" Type="http://schemas.openxmlformats.org/officeDocument/2006/relationships/image" Target="media/image64.emf"/><Relationship Id="rId218" Type="http://schemas.openxmlformats.org/officeDocument/2006/relationships/image" Target="media/image95.emf"/><Relationship Id="rId239" Type="http://schemas.openxmlformats.org/officeDocument/2006/relationships/image" Target="media/image116.jpeg"/><Relationship Id="rId250" Type="http://schemas.openxmlformats.org/officeDocument/2006/relationships/image" Target="media/image127.emf"/><Relationship Id="rId271" Type="http://schemas.openxmlformats.org/officeDocument/2006/relationships/image" Target="media/image148.png"/><Relationship Id="rId292" Type="http://schemas.openxmlformats.org/officeDocument/2006/relationships/image" Target="media/image169.png"/><Relationship Id="rId306" Type="http://schemas.openxmlformats.org/officeDocument/2006/relationships/image" Target="media/image183.png"/><Relationship Id="rId24" Type="http://schemas.openxmlformats.org/officeDocument/2006/relationships/image" Target="media/image7.png"/><Relationship Id="rId45" Type="http://schemas.openxmlformats.org/officeDocument/2006/relationships/image" Target="media/image17.emf"/><Relationship Id="rId66" Type="http://schemas.microsoft.com/office/2007/relationships/diagramDrawing" Target="diagrams/drawing5.xml"/><Relationship Id="rId87" Type="http://schemas.microsoft.com/office/2007/relationships/diagramDrawing" Target="diagrams/drawing8.xml"/><Relationship Id="rId110" Type="http://schemas.openxmlformats.org/officeDocument/2006/relationships/diagramColors" Target="diagrams/colors11.xml"/><Relationship Id="rId131" Type="http://schemas.openxmlformats.org/officeDocument/2006/relationships/diagramQuickStyle" Target="diagrams/quickStyle14.xml"/><Relationship Id="rId152" Type="http://schemas.openxmlformats.org/officeDocument/2006/relationships/diagramLayout" Target="diagrams/layout17.xml"/><Relationship Id="rId173" Type="http://schemas.openxmlformats.org/officeDocument/2006/relationships/image" Target="media/image59.emf"/><Relationship Id="rId194" Type="http://schemas.openxmlformats.org/officeDocument/2006/relationships/image" Target="media/image75.emf"/><Relationship Id="rId208" Type="http://schemas.openxmlformats.org/officeDocument/2006/relationships/footer" Target="footer6.xml"/><Relationship Id="rId229" Type="http://schemas.openxmlformats.org/officeDocument/2006/relationships/image" Target="media/image106.jpeg"/><Relationship Id="rId240" Type="http://schemas.openxmlformats.org/officeDocument/2006/relationships/image" Target="media/image117.emf"/><Relationship Id="rId261" Type="http://schemas.openxmlformats.org/officeDocument/2006/relationships/image" Target="media/image138.png"/><Relationship Id="rId14" Type="http://schemas.openxmlformats.org/officeDocument/2006/relationships/footer" Target="footer3.xml"/><Relationship Id="rId30" Type="http://schemas.openxmlformats.org/officeDocument/2006/relationships/image" Target="media/image12.emf"/><Relationship Id="rId35" Type="http://schemas.openxmlformats.org/officeDocument/2006/relationships/diagramQuickStyle" Target="diagrams/quickStyle1.xml"/><Relationship Id="rId56" Type="http://schemas.openxmlformats.org/officeDocument/2006/relationships/diagramLayout" Target="diagrams/layout4.xml"/><Relationship Id="rId77" Type="http://schemas.openxmlformats.org/officeDocument/2006/relationships/diagramLayout" Target="diagrams/layout7.xml"/><Relationship Id="rId100" Type="http://schemas.openxmlformats.org/officeDocument/2006/relationships/diagramData" Target="diagrams/data10.xml"/><Relationship Id="rId105" Type="http://schemas.openxmlformats.org/officeDocument/2006/relationships/image" Target="media/image37.emf"/><Relationship Id="rId126" Type="http://schemas.microsoft.com/office/2007/relationships/diagramDrawing" Target="diagrams/drawing13.xml"/><Relationship Id="rId147" Type="http://schemas.openxmlformats.org/officeDocument/2006/relationships/diagramColors" Target="diagrams/colors16.xml"/><Relationship Id="rId168" Type="http://schemas.openxmlformats.org/officeDocument/2006/relationships/diagramQuickStyle" Target="diagrams/quickStyle19.xml"/><Relationship Id="rId282" Type="http://schemas.openxmlformats.org/officeDocument/2006/relationships/image" Target="media/image159.png"/><Relationship Id="rId312" Type="http://schemas.openxmlformats.org/officeDocument/2006/relationships/image" Target="media/image189.png"/><Relationship Id="rId317" Type="http://schemas.openxmlformats.org/officeDocument/2006/relationships/image" Target="media/image194.emf"/><Relationship Id="rId8" Type="http://schemas.openxmlformats.org/officeDocument/2006/relationships/endnotes" Target="endnotes.xml"/><Relationship Id="rId51" Type="http://schemas.microsoft.com/office/2007/relationships/diagramDrawing" Target="diagrams/drawing3.xml"/><Relationship Id="rId72" Type="http://schemas.openxmlformats.org/officeDocument/2006/relationships/diagramColors" Target="diagrams/colors6.xml"/><Relationship Id="rId93" Type="http://schemas.openxmlformats.org/officeDocument/2006/relationships/diagramLayout" Target="diagrams/layout9.xml"/><Relationship Id="rId98" Type="http://schemas.openxmlformats.org/officeDocument/2006/relationships/image" Target="media/image35.emf"/><Relationship Id="rId121" Type="http://schemas.openxmlformats.org/officeDocument/2006/relationships/image" Target="media/image43.emf"/><Relationship Id="rId142" Type="http://schemas.openxmlformats.org/officeDocument/2006/relationships/image" Target="media/image49.emf"/><Relationship Id="rId163" Type="http://schemas.openxmlformats.org/officeDocument/2006/relationships/image" Target="media/image54.emf"/><Relationship Id="rId184" Type="http://schemas.openxmlformats.org/officeDocument/2006/relationships/image" Target="media/image65.emf"/><Relationship Id="rId189" Type="http://schemas.openxmlformats.org/officeDocument/2006/relationships/image" Target="media/image70.emf"/><Relationship Id="rId219" Type="http://schemas.openxmlformats.org/officeDocument/2006/relationships/image" Target="media/image96.jpeg"/><Relationship Id="rId3" Type="http://schemas.openxmlformats.org/officeDocument/2006/relationships/styles" Target="styles.xml"/><Relationship Id="rId214" Type="http://schemas.openxmlformats.org/officeDocument/2006/relationships/image" Target="media/image91.emf"/><Relationship Id="rId230" Type="http://schemas.openxmlformats.org/officeDocument/2006/relationships/image" Target="media/image107.emf"/><Relationship Id="rId235" Type="http://schemas.openxmlformats.org/officeDocument/2006/relationships/image" Target="media/image112.jpeg"/><Relationship Id="rId251" Type="http://schemas.openxmlformats.org/officeDocument/2006/relationships/image" Target="media/image128.jpeg"/><Relationship Id="rId256" Type="http://schemas.openxmlformats.org/officeDocument/2006/relationships/image" Target="media/image133.png"/><Relationship Id="rId277" Type="http://schemas.openxmlformats.org/officeDocument/2006/relationships/image" Target="media/image154.png"/><Relationship Id="rId298" Type="http://schemas.openxmlformats.org/officeDocument/2006/relationships/image" Target="media/image175.png"/><Relationship Id="rId25" Type="http://schemas.openxmlformats.org/officeDocument/2006/relationships/image" Target="media/image8.png"/><Relationship Id="rId46" Type="http://schemas.openxmlformats.org/officeDocument/2006/relationships/image" Target="media/image18.emf"/><Relationship Id="rId67" Type="http://schemas.openxmlformats.org/officeDocument/2006/relationships/image" Target="media/image24.emf"/><Relationship Id="rId116" Type="http://schemas.openxmlformats.org/officeDocument/2006/relationships/diagramLayout" Target="diagrams/layout12.xml"/><Relationship Id="rId137" Type="http://schemas.openxmlformats.org/officeDocument/2006/relationships/diagramLayout" Target="diagrams/layout15.xml"/><Relationship Id="rId158" Type="http://schemas.openxmlformats.org/officeDocument/2006/relationships/diagramData" Target="diagrams/data18.xml"/><Relationship Id="rId272" Type="http://schemas.openxmlformats.org/officeDocument/2006/relationships/image" Target="media/image149.png"/><Relationship Id="rId293" Type="http://schemas.openxmlformats.org/officeDocument/2006/relationships/image" Target="media/image170.png"/><Relationship Id="rId302" Type="http://schemas.openxmlformats.org/officeDocument/2006/relationships/image" Target="media/image179.png"/><Relationship Id="rId307" Type="http://schemas.openxmlformats.org/officeDocument/2006/relationships/image" Target="media/image184.png"/><Relationship Id="rId323" Type="http://schemas.openxmlformats.org/officeDocument/2006/relationships/footer" Target="footer7.xml"/><Relationship Id="rId20" Type="http://schemas.openxmlformats.org/officeDocument/2006/relationships/image" Target="media/image3.emf"/><Relationship Id="rId41" Type="http://schemas.openxmlformats.org/officeDocument/2006/relationships/diagramLayout" Target="diagrams/layout2.xml"/><Relationship Id="rId62" Type="http://schemas.openxmlformats.org/officeDocument/2006/relationships/diagramData" Target="diagrams/data5.xml"/><Relationship Id="rId83" Type="http://schemas.openxmlformats.org/officeDocument/2006/relationships/diagramData" Target="diagrams/data8.xml"/><Relationship Id="rId88" Type="http://schemas.openxmlformats.org/officeDocument/2006/relationships/image" Target="media/image30.emf"/><Relationship Id="rId111" Type="http://schemas.microsoft.com/office/2007/relationships/diagramDrawing" Target="diagrams/drawing11.xml"/><Relationship Id="rId132" Type="http://schemas.openxmlformats.org/officeDocument/2006/relationships/diagramColors" Target="diagrams/colors14.xml"/><Relationship Id="rId153" Type="http://schemas.openxmlformats.org/officeDocument/2006/relationships/diagramQuickStyle" Target="diagrams/quickStyle17.xml"/><Relationship Id="rId174" Type="http://schemas.openxmlformats.org/officeDocument/2006/relationships/image" Target="media/image60.emf"/><Relationship Id="rId179" Type="http://schemas.microsoft.com/office/2007/relationships/diagramDrawing" Target="diagrams/drawing20.xml"/><Relationship Id="rId195" Type="http://schemas.openxmlformats.org/officeDocument/2006/relationships/image" Target="media/image76.emf"/><Relationship Id="rId209" Type="http://schemas.openxmlformats.org/officeDocument/2006/relationships/image" Target="media/image86.emf"/><Relationship Id="rId190" Type="http://schemas.openxmlformats.org/officeDocument/2006/relationships/image" Target="media/image71.emf"/><Relationship Id="rId204" Type="http://schemas.openxmlformats.org/officeDocument/2006/relationships/image" Target="media/image85.emf"/><Relationship Id="rId220" Type="http://schemas.openxmlformats.org/officeDocument/2006/relationships/image" Target="media/image97.emf"/><Relationship Id="rId225" Type="http://schemas.openxmlformats.org/officeDocument/2006/relationships/image" Target="media/image102.jpeg"/><Relationship Id="rId241" Type="http://schemas.openxmlformats.org/officeDocument/2006/relationships/image" Target="media/image118.emf"/><Relationship Id="rId246" Type="http://schemas.openxmlformats.org/officeDocument/2006/relationships/image" Target="media/image123.emf"/><Relationship Id="rId267" Type="http://schemas.openxmlformats.org/officeDocument/2006/relationships/image" Target="media/image144.png"/><Relationship Id="rId288" Type="http://schemas.openxmlformats.org/officeDocument/2006/relationships/image" Target="media/image165.png"/><Relationship Id="rId15" Type="http://schemas.openxmlformats.org/officeDocument/2006/relationships/header" Target="header3.xml"/><Relationship Id="rId36" Type="http://schemas.openxmlformats.org/officeDocument/2006/relationships/diagramColors" Target="diagrams/colors1.xml"/><Relationship Id="rId57" Type="http://schemas.openxmlformats.org/officeDocument/2006/relationships/diagramQuickStyle" Target="diagrams/quickStyle4.xml"/><Relationship Id="rId106" Type="http://schemas.openxmlformats.org/officeDocument/2006/relationships/image" Target="media/image38.emf"/><Relationship Id="rId127" Type="http://schemas.openxmlformats.org/officeDocument/2006/relationships/image" Target="media/image44.emf"/><Relationship Id="rId262" Type="http://schemas.openxmlformats.org/officeDocument/2006/relationships/image" Target="media/image139.png"/><Relationship Id="rId283" Type="http://schemas.openxmlformats.org/officeDocument/2006/relationships/image" Target="media/image160.png"/><Relationship Id="rId313" Type="http://schemas.openxmlformats.org/officeDocument/2006/relationships/image" Target="media/image190.emf"/><Relationship Id="rId318" Type="http://schemas.openxmlformats.org/officeDocument/2006/relationships/image" Target="media/image195.emf"/><Relationship Id="rId10" Type="http://schemas.openxmlformats.org/officeDocument/2006/relationships/header" Target="header1.xml"/><Relationship Id="rId31" Type="http://schemas.openxmlformats.org/officeDocument/2006/relationships/image" Target="media/image13.emf"/><Relationship Id="rId52" Type="http://schemas.openxmlformats.org/officeDocument/2006/relationships/image" Target="media/image19.emf"/><Relationship Id="rId73" Type="http://schemas.microsoft.com/office/2007/relationships/diagramDrawing" Target="diagrams/drawing6.xml"/><Relationship Id="rId78" Type="http://schemas.openxmlformats.org/officeDocument/2006/relationships/diagramQuickStyle" Target="diagrams/quickStyle7.xml"/><Relationship Id="rId94" Type="http://schemas.openxmlformats.org/officeDocument/2006/relationships/diagramQuickStyle" Target="diagrams/quickStyle9.xml"/><Relationship Id="rId99" Type="http://schemas.openxmlformats.org/officeDocument/2006/relationships/image" Target="media/image36.emf"/><Relationship Id="rId101" Type="http://schemas.openxmlformats.org/officeDocument/2006/relationships/diagramLayout" Target="diagrams/layout10.xml"/><Relationship Id="rId122" Type="http://schemas.openxmlformats.org/officeDocument/2006/relationships/diagramData" Target="diagrams/data13.xml"/><Relationship Id="rId143" Type="http://schemas.openxmlformats.org/officeDocument/2006/relationships/chart" Target="charts/chart1.xml"/><Relationship Id="rId148" Type="http://schemas.microsoft.com/office/2007/relationships/diagramDrawing" Target="diagrams/drawing16.xml"/><Relationship Id="rId164" Type="http://schemas.openxmlformats.org/officeDocument/2006/relationships/image" Target="media/image55.emf"/><Relationship Id="rId169" Type="http://schemas.openxmlformats.org/officeDocument/2006/relationships/diagramColors" Target="diagrams/colors19.xml"/><Relationship Id="rId185" Type="http://schemas.openxmlformats.org/officeDocument/2006/relationships/image" Target="media/image66.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61.emf"/><Relationship Id="rId210" Type="http://schemas.openxmlformats.org/officeDocument/2006/relationships/image" Target="media/image87.emf"/><Relationship Id="rId215" Type="http://schemas.openxmlformats.org/officeDocument/2006/relationships/image" Target="media/image92.emf"/><Relationship Id="rId236" Type="http://schemas.openxmlformats.org/officeDocument/2006/relationships/image" Target="media/image113.emf"/><Relationship Id="rId257" Type="http://schemas.openxmlformats.org/officeDocument/2006/relationships/image" Target="media/image134.png"/><Relationship Id="rId278" Type="http://schemas.openxmlformats.org/officeDocument/2006/relationships/image" Target="media/image155.png"/><Relationship Id="rId26" Type="http://schemas.openxmlformats.org/officeDocument/2006/relationships/header" Target="header6.xml"/><Relationship Id="rId231" Type="http://schemas.openxmlformats.org/officeDocument/2006/relationships/image" Target="media/image108.jpeg"/><Relationship Id="rId252" Type="http://schemas.openxmlformats.org/officeDocument/2006/relationships/image" Target="media/image129.emf"/><Relationship Id="rId273" Type="http://schemas.openxmlformats.org/officeDocument/2006/relationships/image" Target="media/image150.png"/><Relationship Id="rId294" Type="http://schemas.openxmlformats.org/officeDocument/2006/relationships/image" Target="media/image171.png"/><Relationship Id="rId308" Type="http://schemas.openxmlformats.org/officeDocument/2006/relationships/image" Target="media/image185.png"/><Relationship Id="rId47" Type="http://schemas.openxmlformats.org/officeDocument/2006/relationships/diagramData" Target="diagrams/data3.xml"/><Relationship Id="rId68" Type="http://schemas.openxmlformats.org/officeDocument/2006/relationships/image" Target="media/image25.emf"/><Relationship Id="rId89" Type="http://schemas.openxmlformats.org/officeDocument/2006/relationships/image" Target="media/image31.emf"/><Relationship Id="rId112" Type="http://schemas.openxmlformats.org/officeDocument/2006/relationships/image" Target="media/image39.emf"/><Relationship Id="rId133" Type="http://schemas.microsoft.com/office/2007/relationships/diagramDrawing" Target="diagrams/drawing14.xml"/><Relationship Id="rId154" Type="http://schemas.openxmlformats.org/officeDocument/2006/relationships/diagramColors" Target="diagrams/colors17.xml"/><Relationship Id="rId175" Type="http://schemas.openxmlformats.org/officeDocument/2006/relationships/diagramData" Target="diagrams/data20.xml"/><Relationship Id="rId196" Type="http://schemas.openxmlformats.org/officeDocument/2006/relationships/image" Target="media/image77.emf"/><Relationship Id="rId200" Type="http://schemas.openxmlformats.org/officeDocument/2006/relationships/image" Target="media/image81.emf"/><Relationship Id="rId16" Type="http://schemas.openxmlformats.org/officeDocument/2006/relationships/header" Target="header4.xml"/><Relationship Id="rId221" Type="http://schemas.openxmlformats.org/officeDocument/2006/relationships/image" Target="media/image98.jpeg"/><Relationship Id="rId242" Type="http://schemas.openxmlformats.org/officeDocument/2006/relationships/image" Target="media/image119.emf"/><Relationship Id="rId263" Type="http://schemas.openxmlformats.org/officeDocument/2006/relationships/image" Target="media/image140.png"/><Relationship Id="rId284" Type="http://schemas.openxmlformats.org/officeDocument/2006/relationships/image" Target="media/image161.png"/><Relationship Id="rId319" Type="http://schemas.openxmlformats.org/officeDocument/2006/relationships/image" Target="media/image196.emf"/><Relationship Id="rId37" Type="http://schemas.microsoft.com/office/2007/relationships/diagramDrawing" Target="diagrams/drawing1.xml"/><Relationship Id="rId58" Type="http://schemas.openxmlformats.org/officeDocument/2006/relationships/diagramColors" Target="diagrams/colors4.xml"/><Relationship Id="rId79" Type="http://schemas.openxmlformats.org/officeDocument/2006/relationships/diagramColors" Target="diagrams/colors7.xml"/><Relationship Id="rId102" Type="http://schemas.openxmlformats.org/officeDocument/2006/relationships/diagramQuickStyle" Target="diagrams/quickStyle10.xml"/><Relationship Id="rId123" Type="http://schemas.openxmlformats.org/officeDocument/2006/relationships/diagramLayout" Target="diagrams/layout13.xml"/><Relationship Id="rId144" Type="http://schemas.openxmlformats.org/officeDocument/2006/relationships/diagramData" Target="diagrams/data16.xml"/><Relationship Id="rId90" Type="http://schemas.openxmlformats.org/officeDocument/2006/relationships/image" Target="media/image32.emf"/><Relationship Id="rId165" Type="http://schemas.openxmlformats.org/officeDocument/2006/relationships/image" Target="media/image56.emf"/><Relationship Id="rId186" Type="http://schemas.openxmlformats.org/officeDocument/2006/relationships/image" Target="media/image67.emf"/><Relationship Id="rId211" Type="http://schemas.openxmlformats.org/officeDocument/2006/relationships/image" Target="media/image88.emf"/><Relationship Id="rId232" Type="http://schemas.openxmlformats.org/officeDocument/2006/relationships/image" Target="media/image109.emf"/><Relationship Id="rId253" Type="http://schemas.openxmlformats.org/officeDocument/2006/relationships/image" Target="media/image130.emf"/><Relationship Id="rId274" Type="http://schemas.openxmlformats.org/officeDocument/2006/relationships/image" Target="media/image151.png"/><Relationship Id="rId295" Type="http://schemas.openxmlformats.org/officeDocument/2006/relationships/image" Target="media/image172.png"/><Relationship Id="rId309" Type="http://schemas.openxmlformats.org/officeDocument/2006/relationships/image" Target="media/image186.png"/><Relationship Id="rId27" Type="http://schemas.openxmlformats.org/officeDocument/2006/relationships/image" Target="media/image9.emf"/><Relationship Id="rId48" Type="http://schemas.openxmlformats.org/officeDocument/2006/relationships/diagramLayout" Target="diagrams/layout3.xml"/><Relationship Id="rId69" Type="http://schemas.openxmlformats.org/officeDocument/2006/relationships/diagramData" Target="diagrams/data6.xml"/><Relationship Id="rId113" Type="http://schemas.openxmlformats.org/officeDocument/2006/relationships/image" Target="media/image40.emf"/><Relationship Id="rId134" Type="http://schemas.openxmlformats.org/officeDocument/2006/relationships/image" Target="media/image46.emf"/><Relationship Id="rId320" Type="http://schemas.openxmlformats.org/officeDocument/2006/relationships/image" Target="media/image197.emf"/><Relationship Id="rId80" Type="http://schemas.microsoft.com/office/2007/relationships/diagramDrawing" Target="diagrams/drawing7.xml"/><Relationship Id="rId155" Type="http://schemas.microsoft.com/office/2007/relationships/diagramDrawing" Target="diagrams/drawing17.xml"/><Relationship Id="rId176" Type="http://schemas.openxmlformats.org/officeDocument/2006/relationships/diagramLayout" Target="diagrams/layout20.xml"/><Relationship Id="rId197" Type="http://schemas.openxmlformats.org/officeDocument/2006/relationships/image" Target="media/image78.emf"/><Relationship Id="rId201" Type="http://schemas.openxmlformats.org/officeDocument/2006/relationships/image" Target="media/image82.emf"/><Relationship Id="rId222" Type="http://schemas.openxmlformats.org/officeDocument/2006/relationships/image" Target="media/image99.jpeg"/><Relationship Id="rId243" Type="http://schemas.openxmlformats.org/officeDocument/2006/relationships/image" Target="media/image120.jpeg"/><Relationship Id="rId264" Type="http://schemas.openxmlformats.org/officeDocument/2006/relationships/image" Target="media/image141.png"/><Relationship Id="rId285" Type="http://schemas.openxmlformats.org/officeDocument/2006/relationships/image" Target="media/image162.png"/><Relationship Id="rId17" Type="http://schemas.openxmlformats.org/officeDocument/2006/relationships/footer" Target="footer4.xml"/><Relationship Id="rId38" Type="http://schemas.openxmlformats.org/officeDocument/2006/relationships/image" Target="media/image15.emf"/><Relationship Id="rId59" Type="http://schemas.microsoft.com/office/2007/relationships/diagramDrawing" Target="diagrams/drawing4.xml"/><Relationship Id="rId103" Type="http://schemas.openxmlformats.org/officeDocument/2006/relationships/diagramColors" Target="diagrams/colors10.xml"/><Relationship Id="rId124" Type="http://schemas.openxmlformats.org/officeDocument/2006/relationships/diagramQuickStyle" Target="diagrams/quickStyle13.xml"/><Relationship Id="rId310" Type="http://schemas.openxmlformats.org/officeDocument/2006/relationships/image" Target="media/image187.png"/><Relationship Id="rId70" Type="http://schemas.openxmlformats.org/officeDocument/2006/relationships/diagramLayout" Target="diagrams/layout6.xml"/><Relationship Id="rId91" Type="http://schemas.openxmlformats.org/officeDocument/2006/relationships/image" Target="media/image33.emf"/><Relationship Id="rId145" Type="http://schemas.openxmlformats.org/officeDocument/2006/relationships/diagramLayout" Target="diagrams/layout16.xml"/><Relationship Id="rId166" Type="http://schemas.openxmlformats.org/officeDocument/2006/relationships/diagramData" Target="diagrams/data19.xml"/><Relationship Id="rId187" Type="http://schemas.openxmlformats.org/officeDocument/2006/relationships/image" Target="media/image68.emf"/><Relationship Id="rId1" Type="http://schemas.openxmlformats.org/officeDocument/2006/relationships/customXml" Target="../customXml/item1.xml"/><Relationship Id="rId212" Type="http://schemas.openxmlformats.org/officeDocument/2006/relationships/image" Target="media/image89.emf"/><Relationship Id="rId233" Type="http://schemas.openxmlformats.org/officeDocument/2006/relationships/image" Target="media/image110.jpeg"/><Relationship Id="rId254" Type="http://schemas.openxmlformats.org/officeDocument/2006/relationships/image" Target="media/image131.png"/><Relationship Id="rId28" Type="http://schemas.openxmlformats.org/officeDocument/2006/relationships/image" Target="media/image10.emf"/><Relationship Id="rId49" Type="http://schemas.openxmlformats.org/officeDocument/2006/relationships/diagramQuickStyle" Target="diagrams/quickStyle3.xml"/><Relationship Id="rId114" Type="http://schemas.openxmlformats.org/officeDocument/2006/relationships/image" Target="media/image41.emf"/><Relationship Id="rId275" Type="http://schemas.openxmlformats.org/officeDocument/2006/relationships/image" Target="media/image152.png"/><Relationship Id="rId296" Type="http://schemas.openxmlformats.org/officeDocument/2006/relationships/image" Target="media/image173.png"/><Relationship Id="rId300" Type="http://schemas.openxmlformats.org/officeDocument/2006/relationships/image" Target="media/image177.png"/><Relationship Id="rId60" Type="http://schemas.openxmlformats.org/officeDocument/2006/relationships/image" Target="media/image22.emf"/><Relationship Id="rId81" Type="http://schemas.openxmlformats.org/officeDocument/2006/relationships/image" Target="media/image28.emf"/><Relationship Id="rId135" Type="http://schemas.openxmlformats.org/officeDocument/2006/relationships/image" Target="media/image47.emf"/><Relationship Id="rId156" Type="http://schemas.openxmlformats.org/officeDocument/2006/relationships/image" Target="media/image52.emf"/><Relationship Id="rId177" Type="http://schemas.openxmlformats.org/officeDocument/2006/relationships/diagramQuickStyle" Target="diagrams/quickStyle20.xml"/><Relationship Id="rId198" Type="http://schemas.openxmlformats.org/officeDocument/2006/relationships/image" Target="media/image79.emf"/><Relationship Id="rId321" Type="http://schemas.openxmlformats.org/officeDocument/2006/relationships/image" Target="media/image198.emf"/><Relationship Id="rId202" Type="http://schemas.openxmlformats.org/officeDocument/2006/relationships/image" Target="media/image83.emf"/><Relationship Id="rId223" Type="http://schemas.openxmlformats.org/officeDocument/2006/relationships/image" Target="media/image100.emf"/><Relationship Id="rId244" Type="http://schemas.openxmlformats.org/officeDocument/2006/relationships/image" Target="media/image121.emf"/><Relationship Id="rId18" Type="http://schemas.openxmlformats.org/officeDocument/2006/relationships/header" Target="header5.xml"/><Relationship Id="rId39" Type="http://schemas.openxmlformats.org/officeDocument/2006/relationships/image" Target="media/image16.emf"/><Relationship Id="rId265" Type="http://schemas.openxmlformats.org/officeDocument/2006/relationships/image" Target="media/image142.png"/><Relationship Id="rId286" Type="http://schemas.openxmlformats.org/officeDocument/2006/relationships/image" Target="media/image163.png"/><Relationship Id="rId50" Type="http://schemas.openxmlformats.org/officeDocument/2006/relationships/diagramColors" Target="diagrams/colors3.xml"/><Relationship Id="rId104" Type="http://schemas.microsoft.com/office/2007/relationships/diagramDrawing" Target="diagrams/drawing10.xml"/><Relationship Id="rId125" Type="http://schemas.openxmlformats.org/officeDocument/2006/relationships/diagramColors" Target="diagrams/colors13.xml"/><Relationship Id="rId146" Type="http://schemas.openxmlformats.org/officeDocument/2006/relationships/diagramQuickStyle" Target="diagrams/quickStyle16.xml"/><Relationship Id="rId167" Type="http://schemas.openxmlformats.org/officeDocument/2006/relationships/diagramLayout" Target="diagrams/layout19.xml"/><Relationship Id="rId188" Type="http://schemas.openxmlformats.org/officeDocument/2006/relationships/image" Target="media/image69.emf"/><Relationship Id="rId311" Type="http://schemas.openxmlformats.org/officeDocument/2006/relationships/image" Target="media/image188.png"/><Relationship Id="rId71" Type="http://schemas.openxmlformats.org/officeDocument/2006/relationships/diagramQuickStyle" Target="diagrams/quickStyle6.xml"/><Relationship Id="rId92" Type="http://schemas.openxmlformats.org/officeDocument/2006/relationships/diagramData" Target="diagrams/data9.xml"/><Relationship Id="rId213" Type="http://schemas.openxmlformats.org/officeDocument/2006/relationships/image" Target="media/image90.emf"/><Relationship Id="rId234" Type="http://schemas.openxmlformats.org/officeDocument/2006/relationships/image" Target="media/image111.emf"/><Relationship Id="rId2" Type="http://schemas.openxmlformats.org/officeDocument/2006/relationships/numbering" Target="numbering.xml"/><Relationship Id="rId29" Type="http://schemas.openxmlformats.org/officeDocument/2006/relationships/image" Target="media/image11.png"/><Relationship Id="rId255" Type="http://schemas.openxmlformats.org/officeDocument/2006/relationships/image" Target="media/image132.png"/><Relationship Id="rId276" Type="http://schemas.openxmlformats.org/officeDocument/2006/relationships/image" Target="media/image153.png"/><Relationship Id="rId297" Type="http://schemas.openxmlformats.org/officeDocument/2006/relationships/image" Target="media/image174.png"/><Relationship Id="rId40" Type="http://schemas.openxmlformats.org/officeDocument/2006/relationships/diagramData" Target="diagrams/data2.xml"/><Relationship Id="rId115" Type="http://schemas.openxmlformats.org/officeDocument/2006/relationships/diagramData" Target="diagrams/data12.xml"/><Relationship Id="rId136" Type="http://schemas.openxmlformats.org/officeDocument/2006/relationships/diagramData" Target="diagrams/data15.xml"/><Relationship Id="rId157" Type="http://schemas.openxmlformats.org/officeDocument/2006/relationships/image" Target="media/image53.emf"/><Relationship Id="rId178" Type="http://schemas.openxmlformats.org/officeDocument/2006/relationships/diagramColors" Target="diagrams/colors20.xml"/><Relationship Id="rId301" Type="http://schemas.openxmlformats.org/officeDocument/2006/relationships/image" Target="media/image178.png"/><Relationship Id="rId322" Type="http://schemas.openxmlformats.org/officeDocument/2006/relationships/header" Target="header9.xml"/><Relationship Id="rId61" Type="http://schemas.openxmlformats.org/officeDocument/2006/relationships/image" Target="media/image23.emf"/><Relationship Id="rId82" Type="http://schemas.openxmlformats.org/officeDocument/2006/relationships/image" Target="media/image29.emf"/><Relationship Id="rId199" Type="http://schemas.openxmlformats.org/officeDocument/2006/relationships/image" Target="media/image80.emf"/><Relationship Id="rId203" Type="http://schemas.openxmlformats.org/officeDocument/2006/relationships/image" Target="media/image84.emf"/><Relationship Id="rId19" Type="http://schemas.openxmlformats.org/officeDocument/2006/relationships/image" Target="media/image2.emf"/><Relationship Id="rId224" Type="http://schemas.openxmlformats.org/officeDocument/2006/relationships/image" Target="media/image101.emf"/><Relationship Id="rId245" Type="http://schemas.openxmlformats.org/officeDocument/2006/relationships/image" Target="media/image122.jpeg"/><Relationship Id="rId266" Type="http://schemas.openxmlformats.org/officeDocument/2006/relationships/image" Target="media/image143.png"/><Relationship Id="rId287" Type="http://schemas.openxmlformats.org/officeDocument/2006/relationships/image" Target="media/image164.png"/></Relationships>
</file>

<file path=word/charts/_rels/chart1.xml.rels><?xml version="1.0" encoding="UTF-8" standalone="yes"?>
<Relationships xmlns="http://schemas.openxmlformats.org/package/2006/relationships"><Relationship Id="rId2" Type="http://schemas.openxmlformats.org/officeDocument/2006/relationships/oleObject" Target="file:///\\adi.wipo.int\wipodata\DAT1\Orgipoa\Confid\Planning%20&amp;%20Statistics\IP%20Office%20Reports.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WIPO IP Office Systems - Usage by Region</a:t>
            </a:r>
          </a:p>
        </c:rich>
      </c:tx>
      <c:overlay val="0"/>
    </c:title>
    <c:autoTitleDeleted val="0"/>
    <c:plotArea>
      <c:layout/>
      <c:barChart>
        <c:barDir val="col"/>
        <c:grouping val="clustered"/>
        <c:varyColors val="0"/>
        <c:ser>
          <c:idx val="0"/>
          <c:order val="0"/>
          <c:tx>
            <c:strRef>
              <c:f>'The Report'!$C$1</c:f>
              <c:strCache>
                <c:ptCount val="1"/>
                <c:pt idx="0">
                  <c:v>2010</c:v>
                </c:pt>
              </c:strCache>
            </c:strRef>
          </c:tx>
          <c:invertIfNegative val="0"/>
          <c:cat>
            <c:strRef>
              <c:f>'The Report'!$A$2:$A$7</c:f>
              <c:strCache>
                <c:ptCount val="6"/>
                <c:pt idx="0">
                  <c:v>AFRICA</c:v>
                </c:pt>
                <c:pt idx="1">
                  <c:v>ARAB</c:v>
                </c:pt>
                <c:pt idx="2">
                  <c:v>ASPAC</c:v>
                </c:pt>
                <c:pt idx="3">
                  <c:v>CCEA</c:v>
                </c:pt>
                <c:pt idx="4">
                  <c:v>LAC</c:v>
                </c:pt>
                <c:pt idx="5">
                  <c:v>Total</c:v>
                </c:pt>
              </c:strCache>
            </c:strRef>
          </c:cat>
          <c:val>
            <c:numRef>
              <c:f>'The Report'!$C$2:$C$7</c:f>
              <c:numCache>
                <c:formatCode>0</c:formatCode>
                <c:ptCount val="6"/>
                <c:pt idx="0">
                  <c:v>14</c:v>
                </c:pt>
                <c:pt idx="1">
                  <c:v>9</c:v>
                </c:pt>
                <c:pt idx="2">
                  <c:v>7</c:v>
                </c:pt>
                <c:pt idx="3">
                  <c:v>4</c:v>
                </c:pt>
                <c:pt idx="4">
                  <c:v>10</c:v>
                </c:pt>
                <c:pt idx="5" formatCode="General">
                  <c:v>44</c:v>
                </c:pt>
              </c:numCache>
            </c:numRef>
          </c:val>
        </c:ser>
        <c:ser>
          <c:idx val="1"/>
          <c:order val="1"/>
          <c:tx>
            <c:strRef>
              <c:f>'The Report'!$D$1</c:f>
              <c:strCache>
                <c:ptCount val="1"/>
                <c:pt idx="0">
                  <c:v>2011</c:v>
                </c:pt>
              </c:strCache>
            </c:strRef>
          </c:tx>
          <c:invertIfNegative val="0"/>
          <c:cat>
            <c:strRef>
              <c:f>'The Report'!$A$2:$A$7</c:f>
              <c:strCache>
                <c:ptCount val="6"/>
                <c:pt idx="0">
                  <c:v>AFRICA</c:v>
                </c:pt>
                <c:pt idx="1">
                  <c:v>ARAB</c:v>
                </c:pt>
                <c:pt idx="2">
                  <c:v>ASPAC</c:v>
                </c:pt>
                <c:pt idx="3">
                  <c:v>CCEA</c:v>
                </c:pt>
                <c:pt idx="4">
                  <c:v>LAC</c:v>
                </c:pt>
                <c:pt idx="5">
                  <c:v>Total</c:v>
                </c:pt>
              </c:strCache>
            </c:strRef>
          </c:cat>
          <c:val>
            <c:numRef>
              <c:f>'The Report'!$D$2:$D$7</c:f>
              <c:numCache>
                <c:formatCode>0</c:formatCode>
                <c:ptCount val="6"/>
                <c:pt idx="0">
                  <c:v>14</c:v>
                </c:pt>
                <c:pt idx="1">
                  <c:v>9</c:v>
                </c:pt>
                <c:pt idx="2">
                  <c:v>7</c:v>
                </c:pt>
                <c:pt idx="3">
                  <c:v>6</c:v>
                </c:pt>
                <c:pt idx="4">
                  <c:v>12</c:v>
                </c:pt>
                <c:pt idx="5" formatCode="General">
                  <c:v>48</c:v>
                </c:pt>
              </c:numCache>
            </c:numRef>
          </c:val>
        </c:ser>
        <c:ser>
          <c:idx val="2"/>
          <c:order val="2"/>
          <c:tx>
            <c:strRef>
              <c:f>'The Report'!$E$1</c:f>
              <c:strCache>
                <c:ptCount val="1"/>
                <c:pt idx="0">
                  <c:v>2012</c:v>
                </c:pt>
              </c:strCache>
            </c:strRef>
          </c:tx>
          <c:invertIfNegative val="0"/>
          <c:cat>
            <c:strRef>
              <c:f>'The Report'!$A$2:$A$7</c:f>
              <c:strCache>
                <c:ptCount val="6"/>
                <c:pt idx="0">
                  <c:v>AFRICA</c:v>
                </c:pt>
                <c:pt idx="1">
                  <c:v>ARAB</c:v>
                </c:pt>
                <c:pt idx="2">
                  <c:v>ASPAC</c:v>
                </c:pt>
                <c:pt idx="3">
                  <c:v>CCEA</c:v>
                </c:pt>
                <c:pt idx="4">
                  <c:v>LAC</c:v>
                </c:pt>
                <c:pt idx="5">
                  <c:v>Total</c:v>
                </c:pt>
              </c:strCache>
            </c:strRef>
          </c:cat>
          <c:val>
            <c:numRef>
              <c:f>'The Report'!$E$2:$E$7</c:f>
              <c:numCache>
                <c:formatCode>0</c:formatCode>
                <c:ptCount val="6"/>
                <c:pt idx="0">
                  <c:v>17</c:v>
                </c:pt>
                <c:pt idx="1">
                  <c:v>13</c:v>
                </c:pt>
                <c:pt idx="2">
                  <c:v>9</c:v>
                </c:pt>
                <c:pt idx="3">
                  <c:v>6</c:v>
                </c:pt>
                <c:pt idx="4">
                  <c:v>14</c:v>
                </c:pt>
                <c:pt idx="5" formatCode="General">
                  <c:v>59</c:v>
                </c:pt>
              </c:numCache>
            </c:numRef>
          </c:val>
        </c:ser>
        <c:ser>
          <c:idx val="3"/>
          <c:order val="3"/>
          <c:tx>
            <c:strRef>
              <c:f>'The Report'!$F$1</c:f>
              <c:strCache>
                <c:ptCount val="1"/>
                <c:pt idx="0">
                  <c:v>2013</c:v>
                </c:pt>
              </c:strCache>
            </c:strRef>
          </c:tx>
          <c:invertIfNegative val="0"/>
          <c:cat>
            <c:strRef>
              <c:f>'The Report'!$A$2:$A$7</c:f>
              <c:strCache>
                <c:ptCount val="6"/>
                <c:pt idx="0">
                  <c:v>AFRICA</c:v>
                </c:pt>
                <c:pt idx="1">
                  <c:v>ARAB</c:v>
                </c:pt>
                <c:pt idx="2">
                  <c:v>ASPAC</c:v>
                </c:pt>
                <c:pt idx="3">
                  <c:v>CCEA</c:v>
                </c:pt>
                <c:pt idx="4">
                  <c:v>LAC</c:v>
                </c:pt>
                <c:pt idx="5">
                  <c:v>Total</c:v>
                </c:pt>
              </c:strCache>
            </c:strRef>
          </c:cat>
          <c:val>
            <c:numRef>
              <c:f>'The Report'!$F$2:$F$7</c:f>
              <c:numCache>
                <c:formatCode>0</c:formatCode>
                <c:ptCount val="6"/>
                <c:pt idx="0">
                  <c:v>19</c:v>
                </c:pt>
                <c:pt idx="1">
                  <c:v>14</c:v>
                </c:pt>
                <c:pt idx="2">
                  <c:v>11</c:v>
                </c:pt>
                <c:pt idx="3">
                  <c:v>6</c:v>
                </c:pt>
                <c:pt idx="4">
                  <c:v>15</c:v>
                </c:pt>
                <c:pt idx="5" formatCode="General">
                  <c:v>65</c:v>
                </c:pt>
              </c:numCache>
            </c:numRef>
          </c:val>
        </c:ser>
        <c:ser>
          <c:idx val="4"/>
          <c:order val="4"/>
          <c:tx>
            <c:strRef>
              <c:f>'The Report'!$G$1</c:f>
              <c:strCache>
                <c:ptCount val="1"/>
                <c:pt idx="0">
                  <c:v>2014</c:v>
                </c:pt>
              </c:strCache>
            </c:strRef>
          </c:tx>
          <c:invertIfNegative val="0"/>
          <c:cat>
            <c:strRef>
              <c:f>'The Report'!$A$2:$A$7</c:f>
              <c:strCache>
                <c:ptCount val="6"/>
                <c:pt idx="0">
                  <c:v>AFRICA</c:v>
                </c:pt>
                <c:pt idx="1">
                  <c:v>ARAB</c:v>
                </c:pt>
                <c:pt idx="2">
                  <c:v>ASPAC</c:v>
                </c:pt>
                <c:pt idx="3">
                  <c:v>CCEA</c:v>
                </c:pt>
                <c:pt idx="4">
                  <c:v>LAC</c:v>
                </c:pt>
                <c:pt idx="5">
                  <c:v>Total</c:v>
                </c:pt>
              </c:strCache>
            </c:strRef>
          </c:cat>
          <c:val>
            <c:numRef>
              <c:f>'The Report'!$G$2:$G$7</c:f>
              <c:numCache>
                <c:formatCode>0</c:formatCode>
                <c:ptCount val="6"/>
                <c:pt idx="0">
                  <c:v>19</c:v>
                </c:pt>
                <c:pt idx="1">
                  <c:v>14</c:v>
                </c:pt>
                <c:pt idx="2">
                  <c:v>13</c:v>
                </c:pt>
                <c:pt idx="3">
                  <c:v>6</c:v>
                </c:pt>
                <c:pt idx="4">
                  <c:v>16</c:v>
                </c:pt>
                <c:pt idx="5" formatCode="General">
                  <c:v>68</c:v>
                </c:pt>
              </c:numCache>
            </c:numRef>
          </c:val>
        </c:ser>
        <c:dLbls>
          <c:showLegendKey val="0"/>
          <c:showVal val="0"/>
          <c:showCatName val="0"/>
          <c:showSerName val="0"/>
          <c:showPercent val="0"/>
          <c:showBubbleSize val="0"/>
        </c:dLbls>
        <c:gapWidth val="150"/>
        <c:axId val="123282944"/>
        <c:axId val="123284480"/>
      </c:barChart>
      <c:catAx>
        <c:axId val="123282944"/>
        <c:scaling>
          <c:orientation val="minMax"/>
        </c:scaling>
        <c:delete val="0"/>
        <c:axPos val="b"/>
        <c:majorTickMark val="out"/>
        <c:minorTickMark val="none"/>
        <c:tickLblPos val="nextTo"/>
        <c:crossAx val="123284480"/>
        <c:crosses val="autoZero"/>
        <c:auto val="1"/>
        <c:lblAlgn val="ctr"/>
        <c:lblOffset val="100"/>
        <c:noMultiLvlLbl val="0"/>
      </c:catAx>
      <c:valAx>
        <c:axId val="123284480"/>
        <c:scaling>
          <c:orientation val="minMax"/>
        </c:scaling>
        <c:delete val="0"/>
        <c:axPos val="l"/>
        <c:majorGridlines/>
        <c:numFmt formatCode="0" sourceLinked="1"/>
        <c:majorTickMark val="out"/>
        <c:minorTickMark val="none"/>
        <c:tickLblPos val="nextTo"/>
        <c:crossAx val="123282944"/>
        <c:crosses val="autoZero"/>
        <c:crossBetween val="between"/>
      </c:valAx>
      <c:dTable>
        <c:showHorzBorder val="1"/>
        <c:showVertBorder val="1"/>
        <c:showOutline val="1"/>
        <c:showKeys val="0"/>
      </c:dTable>
    </c:plotArea>
    <c:legend>
      <c:legendPos val="r"/>
      <c:overlay val="0"/>
    </c:legend>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gm:t>
    </dgm:pt>
    <dgm:pt modelId="{CF74A6F9-BA34-45B8-91B4-D30611FDBA60}" type="parTrans" cxnId="{9A60E343-BDF2-491A-A7D5-5299DFF2BE0A}">
      <dgm:prSet/>
      <dgm:spPr>
        <a:xfrm rot="16200000">
          <a:off x="2782382" y="630516"/>
          <a:ext cx="335872" cy="14519"/>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gm:t>
    </dgm:pt>
    <dgm:pt modelId="{0E1FEA62-81EE-4117-997B-69ED8651A7D0}" type="parTrans" cxnId="{1763FEA0-AAF8-4DB3-8B21-253B8F239228}">
      <dgm:prSet/>
      <dgm:spPr>
        <a:xfrm rot="19792485">
          <a:off x="3256246" y="790522"/>
          <a:ext cx="241706" cy="14519"/>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069AD1A8-1718-4E51-AEE7-85B69D54F950}" type="parTrans" cxnId="{4B8455E7-4B99-4C1B-A85F-368F4A08E0BE}">
      <dgm:prSet/>
      <dgm:spPr>
        <a:xfrm rot="13">
          <a:off x="3465337" y="1038173"/>
          <a:ext cx="1000123" cy="14519"/>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gm:t>
    </dgm:pt>
    <dgm:pt modelId="{F0719816-4AC2-4964-8797-61135BEDA83D}" type="parTrans" cxnId="{4E68C5E6-4E50-45B6-9E23-A7A97C86ED5E}">
      <dgm:prSet/>
      <dgm:spPr>
        <a:xfrm rot="1548005">
          <a:off x="3291555" y="1280610"/>
          <a:ext cx="320548" cy="14519"/>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 </a:t>
          </a:r>
        </a:p>
      </dgm:t>
    </dgm:pt>
    <dgm:pt modelId="{6FBFA200-28B9-441C-9603-B958FB3D45CE}" type="parTrans" cxnId="{427458F4-2128-4535-BC60-2C807BAEAB78}">
      <dgm:prSet/>
      <dgm:spPr>
        <a:xfrm rot="12476106">
          <a:off x="2414883" y="809342"/>
          <a:ext cx="207789" cy="14519"/>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gm:t>
    </dgm:pt>
    <dgm:pt modelId="{4DA931F6-88AF-4B28-AA68-7BB47161ABA9}" type="parTrans" cxnId="{070AEFE9-55EF-4F5A-B707-AF0518F7B8C6}">
      <dgm:prSet/>
      <dgm:spPr>
        <a:xfrm rot="5400000">
          <a:off x="2799596" y="1428608"/>
          <a:ext cx="301444" cy="14519"/>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FBCC7A9-248E-440C-A926-28CC42C6B860}">
      <dgm:prSet phldrT="[Text]" custT="1"/>
      <dgm:spPr>
        <a:xfrm>
          <a:off x="1314449" y="1209674"/>
          <a:ext cx="1139903" cy="5837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dgm:t>
    </dgm:pt>
    <dgm:pt modelId="{FEDE4186-485A-46BD-B210-B0BD4480CB16}" type="parTrans" cxnId="{1AA9EDCB-7AF6-406C-9BE6-B90918B1AE07}">
      <dgm:prSet/>
      <dgm:spPr>
        <a:xfrm rot="9410013">
          <a:off x="2310824" y="1253771"/>
          <a:ext cx="271289" cy="14519"/>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FBEBF4-A458-477D-AE50-1E5F0800CC74}" type="sibTrans" cxnId="{1AA9EDCB-7AF6-406C-9BE6-B90918B1AE07}">
      <dgm:prSet/>
      <dgm:spPr/>
      <dgm:t>
        <a:bodyPr/>
        <a:lstStyle/>
        <a:p>
          <a:endParaRPr lang="en-US"/>
        </a:p>
      </dgm:t>
    </dgm:pt>
    <dgm:pt modelId="{C8838BF5-4657-4DB6-B70A-DBA4AB5B97EE}">
      <dgm:prSet phldrT="[Text]" custT="1"/>
      <dgm:spPr>
        <a:xfrm>
          <a:off x="300990" y="811288"/>
          <a:ext cx="1050312" cy="46828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IP &amp; Global Challenges </a:t>
          </a:r>
        </a:p>
      </dgm:t>
    </dgm:pt>
    <dgm:pt modelId="{BD2843B5-7E3E-4680-8A25-01BA23D8CE69}" type="parTrans" cxnId="{64EB48A2-0615-4134-85EB-A4DAE785AB7D}">
      <dgm:prSet/>
      <dgm:spPr>
        <a:xfrm rot="10800000">
          <a:off x="1351302" y="1038169"/>
          <a:ext cx="1083997" cy="14519"/>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14845"/>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19100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186938"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36996" custScaleY="111996"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18051" custScaleY="102348" custRadScaleRad="137586" custRadScaleInc="-85333">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19554" custScaleY="114362">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19074" custScaleY="119114"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103" custScaleY="117284" custRadScaleRad="125722" custRadScaleInc="-75844">
        <dgm:presLayoutVars>
          <dgm:bulletEnabled val="1"/>
        </dgm:presLayoutVars>
      </dgm:prSet>
      <dgm:spPr>
        <a:prstGeom prst="ellipse">
          <a:avLst/>
        </a:prstGeom>
      </dgm:spPr>
      <dgm:t>
        <a:bodyPr/>
        <a:lstStyle/>
        <a:p>
          <a:endParaRPr lang="en-US"/>
        </a:p>
      </dgm:t>
    </dgm:pt>
  </dgm:ptLst>
  <dgm:cxnLst>
    <dgm:cxn modelId="{08B4657C-C958-4CCD-9DB6-CD42AEEC3C0A}" type="presOf" srcId="{6FBFA200-28B9-441C-9603-B958FB3D45CE}" destId="{7244ABB3-7BCC-4145-8C19-8C33F0A4C35F}" srcOrd="1" destOrd="0" presId="urn:microsoft.com/office/officeart/2005/8/layout/radial1"/>
    <dgm:cxn modelId="{1763FEA0-AAF8-4DB3-8B21-253B8F239228}" srcId="{615A8A4C-3386-41CB-B004-75AA2E0C8E7E}" destId="{FB911F09-22D9-48A7-A087-AEF5110B6682}" srcOrd="1" destOrd="0" parTransId="{0E1FEA62-81EE-4117-997B-69ED8651A7D0}" sibTransId="{98ACE05E-CC42-4FE0-BC36-110025A6B590}"/>
    <dgm:cxn modelId="{B6CE91CC-D1A5-4373-86BD-6B46CDF34277}" type="presOf" srcId="{CF74A6F9-BA34-45B8-91B4-D30611FDBA60}" destId="{2E00D982-49D5-455F-888E-68E4C81A2365}" srcOrd="0" destOrd="0" presId="urn:microsoft.com/office/officeart/2005/8/layout/radial1"/>
    <dgm:cxn modelId="{E0217BE3-EC29-46C9-B0CF-A38A0E4FE098}" type="presOf" srcId="{06E8F230-0A46-4973-959C-5518A0F634E1}" destId="{C7416AF2-49A6-451C-80C3-A5143C86D045}" srcOrd="0" destOrd="0" presId="urn:microsoft.com/office/officeart/2005/8/layout/radial1"/>
    <dgm:cxn modelId="{AC36A7DF-71A1-43B6-8268-D0C26BC732F7}" type="presOf" srcId="{17173E60-1AB7-4219-9E5D-2EB707D4762A}" destId="{A8CAB3F2-A4A1-434C-9CB4-641DE8526482}" srcOrd="0" destOrd="0" presId="urn:microsoft.com/office/officeart/2005/8/layout/radial1"/>
    <dgm:cxn modelId="{9DFCDE35-E614-4C52-8B23-191239894B00}" type="presOf" srcId="{069AD1A8-1718-4E51-AEE7-85B69D54F950}" destId="{E7C370CD-4B70-470B-B819-7260C176B479}" srcOrd="1"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C37CA5C3-32C0-48B0-AB67-1D52539F39F8}" type="presOf" srcId="{DD2E3765-25B6-48F8-B902-5C026C284173}" destId="{4B42C994-9F34-48FA-B0E9-245578FAC1C6}" srcOrd="0" destOrd="0" presId="urn:microsoft.com/office/officeart/2005/8/layout/radial1"/>
    <dgm:cxn modelId="{E55333C4-687C-4186-B8C3-1AC5CE56517A}" srcId="{DD2E3765-25B6-48F8-B902-5C026C284173}" destId="{615A8A4C-3386-41CB-B004-75AA2E0C8E7E}" srcOrd="0" destOrd="0" parTransId="{E2BD043E-B694-4760-8FC3-4BE59593050C}" sibTransId="{A7B35DF3-2893-4CFA-8C75-4D2DB5615E44}"/>
    <dgm:cxn modelId="{67C3B866-81E5-47D9-BB04-DA309CCFF373}" type="presOf" srcId="{BD2843B5-7E3E-4680-8A25-01BA23D8CE69}" destId="{37A775CB-7592-434E-A233-9CA00876798D}" srcOrd="1" destOrd="0" presId="urn:microsoft.com/office/officeart/2005/8/layout/radial1"/>
    <dgm:cxn modelId="{D692C3E1-BDB2-4D2E-8BF5-543C4E03AB59}" type="presOf" srcId="{C1693A50-4E68-4912-9A70-0C97C87B3D7E}" destId="{44473C27-A9A3-4167-AEAF-A01C156E33F0}" srcOrd="0" destOrd="0" presId="urn:microsoft.com/office/officeart/2005/8/layout/radial1"/>
    <dgm:cxn modelId="{9A60E343-BDF2-491A-A7D5-5299DFF2BE0A}" srcId="{615A8A4C-3386-41CB-B004-75AA2E0C8E7E}" destId="{C1693A50-4E68-4912-9A70-0C97C87B3D7E}" srcOrd="0" destOrd="0" parTransId="{CF74A6F9-BA34-45B8-91B4-D30611FDBA60}" sibTransId="{4B485C48-2801-485C-A89E-B43F912DB680}"/>
    <dgm:cxn modelId="{188CD60D-6254-4BCF-97E2-A6E68DFCDA09}" type="presOf" srcId="{DAF30ECC-CB4B-483A-93C7-47A100649D5D}" destId="{E01DCF12-19AC-4734-9210-5F881573D3F5}" srcOrd="0" destOrd="0" presId="urn:microsoft.com/office/officeart/2005/8/layout/radial1"/>
    <dgm:cxn modelId="{FC36FE19-180D-4CC5-ADBF-BFF926C657D6}" type="presOf" srcId="{0E1FEA62-81EE-4117-997B-69ED8651A7D0}" destId="{C8361934-9E8A-4B07-8048-7D48F9D9FCA9}" srcOrd="1" destOrd="0" presId="urn:microsoft.com/office/officeart/2005/8/layout/radial1"/>
    <dgm:cxn modelId="{8E883528-9973-4DE0-BE3F-E3D41B646FC6}" type="presOf" srcId="{615A8A4C-3386-41CB-B004-75AA2E0C8E7E}" destId="{262D173F-A40A-406A-BA41-067F590F5B00}" srcOrd="0" destOrd="0" presId="urn:microsoft.com/office/officeart/2005/8/layout/radial1"/>
    <dgm:cxn modelId="{CB81EE01-6D3D-4ABB-98B6-7A057ABBE40B}" type="presOf" srcId="{4DA931F6-88AF-4B28-AA68-7BB47161ABA9}" destId="{E19A1787-F640-4D8D-A88F-51D710E321CA}" srcOrd="1" destOrd="0" presId="urn:microsoft.com/office/officeart/2005/8/layout/radial1"/>
    <dgm:cxn modelId="{7E22B9DA-A032-44AC-A842-9B41CE0CA083}" type="presOf" srcId="{0E1FEA62-81EE-4117-997B-69ED8651A7D0}" destId="{3FE6E2C5-0D84-4EA6-8A7C-D44D396A169E}" srcOrd="0"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CBA537AC-56B5-46A0-BE0D-6B09E1A46608}" type="presOf" srcId="{CF74A6F9-BA34-45B8-91B4-D30611FDBA60}" destId="{B7B7A49F-5E78-4AC5-B18E-2DC80AECCF08}" srcOrd="1" destOrd="0" presId="urn:microsoft.com/office/officeart/2005/8/layout/radial1"/>
    <dgm:cxn modelId="{427458F4-2128-4535-BC60-2C807BAEAB78}" srcId="{615A8A4C-3386-41CB-B004-75AA2E0C8E7E}" destId="{17173E60-1AB7-4219-9E5D-2EB707D4762A}" srcOrd="7" destOrd="0" parTransId="{6FBFA200-28B9-441C-9603-B958FB3D45CE}" sibTransId="{4E9757A6-6A62-4D49-A0CB-E147D06AE7B1}"/>
    <dgm:cxn modelId="{4B8455E7-4B99-4C1B-A85F-368F4A08E0BE}" srcId="{615A8A4C-3386-41CB-B004-75AA2E0C8E7E}" destId="{447D5D1D-0860-4B1B-A10A-5D7EC9B637D8}" srcOrd="2" destOrd="0" parTransId="{069AD1A8-1718-4E51-AEE7-85B69D54F950}" sibTransId="{855AF909-31D3-4065-ABB3-82005C9FEF4C}"/>
    <dgm:cxn modelId="{BF16CE85-543B-4EAE-A6DF-A1AD4EA91A42}" type="presOf" srcId="{C8838BF5-4657-4DB6-B70A-DBA4AB5B97EE}" destId="{694C81C6-3E54-45BC-9ED9-5944CBD672A7}" srcOrd="0"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5781E0B3-BAB8-433B-B3AA-D0F7A035C867}" type="presOf" srcId="{FB911F09-22D9-48A7-A087-AEF5110B6682}" destId="{5F1C34CD-B8DF-45F7-A431-2126D61FFACC}" srcOrd="0" destOrd="0" presId="urn:microsoft.com/office/officeart/2005/8/layout/radial1"/>
    <dgm:cxn modelId="{76ED97CB-039B-4F35-AAAF-98F9BC08F7D4}" type="presOf" srcId="{4DA931F6-88AF-4B28-AA68-7BB47161ABA9}" destId="{9350C245-A165-4791-BD7A-BFCED0BB0361}" srcOrd="0"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061DF24F-7B75-4BAC-A11C-778C6DFD5115}" type="presOf" srcId="{069AD1A8-1718-4E51-AEE7-85B69D54F950}" destId="{93B3BE9E-D237-4DD9-937C-973455BC3658}" srcOrd="0" destOrd="0" presId="urn:microsoft.com/office/officeart/2005/8/layout/radial1"/>
    <dgm:cxn modelId="{39BE26E3-16A6-445E-9AE8-3B9B85F82AE7}" type="presOf" srcId="{F0719816-4AC2-4964-8797-61135BEDA83D}" destId="{7F30A5E4-3531-49F3-AC3C-8F1D2236451A}" srcOrd="0" destOrd="0" presId="urn:microsoft.com/office/officeart/2005/8/layout/radial1"/>
    <dgm:cxn modelId="{21D86761-840B-4A27-983E-ADCCB7570A94}" type="presOf" srcId="{FEDE4186-485A-46BD-B210-B0BD4480CB16}" destId="{2A6DC4FF-B426-4171-A201-27B83DA94370}" srcOrd="0" destOrd="0" presId="urn:microsoft.com/office/officeart/2005/8/layout/radial1"/>
    <dgm:cxn modelId="{09202C23-275D-42F1-A569-B0C2FA333EE0}" type="presOf" srcId="{447D5D1D-0860-4B1B-A10A-5D7EC9B637D8}" destId="{3A26272E-8DBD-422F-ABA2-A3DA0C9B3C69}" srcOrd="0" destOrd="0" presId="urn:microsoft.com/office/officeart/2005/8/layout/radial1"/>
    <dgm:cxn modelId="{B9045EBE-B77F-48C5-AA09-D0574C713D68}" type="presOf" srcId="{BD2843B5-7E3E-4680-8A25-01BA23D8CE69}" destId="{D3C62D02-BD66-40AA-8598-E6F03FA4330E}" srcOrd="0" destOrd="0" presId="urn:microsoft.com/office/officeart/2005/8/layout/radial1"/>
    <dgm:cxn modelId="{D7032461-DFF8-43AF-8240-5D6E6BAC8D74}" type="presOf" srcId="{CFBCC7A9-248E-440C-A926-28CC42C6B860}" destId="{353BAFE4-0977-4589-9534-7471241857D7}" srcOrd="0" destOrd="0" presId="urn:microsoft.com/office/officeart/2005/8/layout/radial1"/>
    <dgm:cxn modelId="{9B9F281C-C5AE-4D97-A908-813F5DFAD970}" type="presOf" srcId="{FEDE4186-485A-46BD-B210-B0BD4480CB16}" destId="{CB1335D7-B771-475A-BE82-89C2F00DAF8B}" srcOrd="1" destOrd="0" presId="urn:microsoft.com/office/officeart/2005/8/layout/radial1"/>
    <dgm:cxn modelId="{8AEB6C87-D0AB-4C75-8E57-2B247EA1580E}" type="presOf" srcId="{6FBFA200-28B9-441C-9603-B958FB3D45CE}" destId="{98E66AFE-BCED-48F2-B78A-230BF42B9FFC}" srcOrd="0" destOrd="0" presId="urn:microsoft.com/office/officeart/2005/8/layout/radial1"/>
    <dgm:cxn modelId="{63AF0CF4-9328-42FE-AC08-087FECF5078B}" type="presOf" srcId="{F0719816-4AC2-4964-8797-61135BEDA83D}" destId="{93F2ABB5-3A44-45ED-A792-C294D6962C8F}" srcOrd="1" destOrd="0" presId="urn:microsoft.com/office/officeart/2005/8/layout/radial1"/>
    <dgm:cxn modelId="{A68652DB-9195-40D4-B7D2-ABF9B0FE7A52}" type="presParOf" srcId="{4B42C994-9F34-48FA-B0E9-245578FAC1C6}" destId="{262D173F-A40A-406A-BA41-067F590F5B00}" srcOrd="0" destOrd="0" presId="urn:microsoft.com/office/officeart/2005/8/layout/radial1"/>
    <dgm:cxn modelId="{03D1BDA2-543D-4B0C-9C05-C1B98F17653E}" type="presParOf" srcId="{4B42C994-9F34-48FA-B0E9-245578FAC1C6}" destId="{2E00D982-49D5-455F-888E-68E4C81A2365}" srcOrd="1" destOrd="0" presId="urn:microsoft.com/office/officeart/2005/8/layout/radial1"/>
    <dgm:cxn modelId="{84DCC3B3-AD2D-4C6B-9007-D4E4490BB416}" type="presParOf" srcId="{2E00D982-49D5-455F-888E-68E4C81A2365}" destId="{B7B7A49F-5E78-4AC5-B18E-2DC80AECCF08}" srcOrd="0" destOrd="0" presId="urn:microsoft.com/office/officeart/2005/8/layout/radial1"/>
    <dgm:cxn modelId="{A1CAE083-A33E-4C8A-8E29-0FA904D3C050}" type="presParOf" srcId="{4B42C994-9F34-48FA-B0E9-245578FAC1C6}" destId="{44473C27-A9A3-4167-AEAF-A01C156E33F0}" srcOrd="2" destOrd="0" presId="urn:microsoft.com/office/officeart/2005/8/layout/radial1"/>
    <dgm:cxn modelId="{D02C3A5F-71F4-494C-896D-092B6CC02012}" type="presParOf" srcId="{4B42C994-9F34-48FA-B0E9-245578FAC1C6}" destId="{3FE6E2C5-0D84-4EA6-8A7C-D44D396A169E}" srcOrd="3" destOrd="0" presId="urn:microsoft.com/office/officeart/2005/8/layout/radial1"/>
    <dgm:cxn modelId="{2DEF81E4-6600-4490-8611-640BA520182B}" type="presParOf" srcId="{3FE6E2C5-0D84-4EA6-8A7C-D44D396A169E}" destId="{C8361934-9E8A-4B07-8048-7D48F9D9FCA9}" srcOrd="0" destOrd="0" presId="urn:microsoft.com/office/officeart/2005/8/layout/radial1"/>
    <dgm:cxn modelId="{030AF430-1ABA-4D3E-8A62-41DB70DB4257}" type="presParOf" srcId="{4B42C994-9F34-48FA-B0E9-245578FAC1C6}" destId="{5F1C34CD-B8DF-45F7-A431-2126D61FFACC}" srcOrd="4" destOrd="0" presId="urn:microsoft.com/office/officeart/2005/8/layout/radial1"/>
    <dgm:cxn modelId="{4CA0E262-F750-459D-BDA2-882BB8D49304}" type="presParOf" srcId="{4B42C994-9F34-48FA-B0E9-245578FAC1C6}" destId="{93B3BE9E-D237-4DD9-937C-973455BC3658}" srcOrd="5" destOrd="0" presId="urn:microsoft.com/office/officeart/2005/8/layout/radial1"/>
    <dgm:cxn modelId="{11E8DC40-F858-4569-A607-B1A86C52219E}" type="presParOf" srcId="{93B3BE9E-D237-4DD9-937C-973455BC3658}" destId="{E7C370CD-4B70-470B-B819-7260C176B479}" srcOrd="0" destOrd="0" presId="urn:microsoft.com/office/officeart/2005/8/layout/radial1"/>
    <dgm:cxn modelId="{89701CDD-D32A-46DE-BF0E-A927D5DB60F0}" type="presParOf" srcId="{4B42C994-9F34-48FA-B0E9-245578FAC1C6}" destId="{3A26272E-8DBD-422F-ABA2-A3DA0C9B3C69}" srcOrd="6" destOrd="0" presId="urn:microsoft.com/office/officeart/2005/8/layout/radial1"/>
    <dgm:cxn modelId="{9E4B53B8-4CF3-41B7-9D9F-7B38C593C9C8}" type="presParOf" srcId="{4B42C994-9F34-48FA-B0E9-245578FAC1C6}" destId="{7F30A5E4-3531-49F3-AC3C-8F1D2236451A}" srcOrd="7" destOrd="0" presId="urn:microsoft.com/office/officeart/2005/8/layout/radial1"/>
    <dgm:cxn modelId="{D4F208BC-AE29-4244-9BB0-E04803EB4874}" type="presParOf" srcId="{7F30A5E4-3531-49F3-AC3C-8F1D2236451A}" destId="{93F2ABB5-3A44-45ED-A792-C294D6962C8F}" srcOrd="0" destOrd="0" presId="urn:microsoft.com/office/officeart/2005/8/layout/radial1"/>
    <dgm:cxn modelId="{0C2B6C74-E495-428E-9DB8-52B5EFC83D44}" type="presParOf" srcId="{4B42C994-9F34-48FA-B0E9-245578FAC1C6}" destId="{E01DCF12-19AC-4734-9210-5F881573D3F5}" srcOrd="8" destOrd="0" presId="urn:microsoft.com/office/officeart/2005/8/layout/radial1"/>
    <dgm:cxn modelId="{05474213-2084-43F8-8409-A1E77403549E}" type="presParOf" srcId="{4B42C994-9F34-48FA-B0E9-245578FAC1C6}" destId="{9350C245-A165-4791-BD7A-BFCED0BB0361}" srcOrd="9" destOrd="0" presId="urn:microsoft.com/office/officeart/2005/8/layout/radial1"/>
    <dgm:cxn modelId="{E4C0B0ED-2B57-4996-880E-5182341BB5E8}" type="presParOf" srcId="{9350C245-A165-4791-BD7A-BFCED0BB0361}" destId="{E19A1787-F640-4D8D-A88F-51D710E321CA}" srcOrd="0" destOrd="0" presId="urn:microsoft.com/office/officeart/2005/8/layout/radial1"/>
    <dgm:cxn modelId="{DDD0C4F6-19D3-4EFE-ACB0-5BE394BC345C}" type="presParOf" srcId="{4B42C994-9F34-48FA-B0E9-245578FAC1C6}" destId="{C7416AF2-49A6-451C-80C3-A5143C86D045}" srcOrd="10" destOrd="0" presId="urn:microsoft.com/office/officeart/2005/8/layout/radial1"/>
    <dgm:cxn modelId="{B675433A-A8DF-411C-9897-77FB90821F0B}" type="presParOf" srcId="{4B42C994-9F34-48FA-B0E9-245578FAC1C6}" destId="{2A6DC4FF-B426-4171-A201-27B83DA94370}" srcOrd="11" destOrd="0" presId="urn:microsoft.com/office/officeart/2005/8/layout/radial1"/>
    <dgm:cxn modelId="{74148340-DA04-4A1B-886A-D11BCE4B57BC}" type="presParOf" srcId="{2A6DC4FF-B426-4171-A201-27B83DA94370}" destId="{CB1335D7-B771-475A-BE82-89C2F00DAF8B}" srcOrd="0" destOrd="0" presId="urn:microsoft.com/office/officeart/2005/8/layout/radial1"/>
    <dgm:cxn modelId="{BCE1E8BF-673C-44E9-8F2C-DD0B7F36C698}" type="presParOf" srcId="{4B42C994-9F34-48FA-B0E9-245578FAC1C6}" destId="{353BAFE4-0977-4589-9534-7471241857D7}" srcOrd="12" destOrd="0" presId="urn:microsoft.com/office/officeart/2005/8/layout/radial1"/>
    <dgm:cxn modelId="{224AD33F-2113-4868-B721-5375CCC3E9B3}" type="presParOf" srcId="{4B42C994-9F34-48FA-B0E9-245578FAC1C6}" destId="{D3C62D02-BD66-40AA-8598-E6F03FA4330E}" srcOrd="13" destOrd="0" presId="urn:microsoft.com/office/officeart/2005/8/layout/radial1"/>
    <dgm:cxn modelId="{09B51E86-9078-4C88-AD10-B93B1AA10A40}" type="presParOf" srcId="{D3C62D02-BD66-40AA-8598-E6F03FA4330E}" destId="{37A775CB-7592-434E-A233-9CA00876798D}" srcOrd="0" destOrd="0" presId="urn:microsoft.com/office/officeart/2005/8/layout/radial1"/>
    <dgm:cxn modelId="{4358F7EB-8DED-4D47-B519-0FFCA55FAF4D}" type="presParOf" srcId="{4B42C994-9F34-48FA-B0E9-245578FAC1C6}" destId="{694C81C6-3E54-45BC-9ED9-5944CBD672A7}" srcOrd="14" destOrd="0" presId="urn:microsoft.com/office/officeart/2005/8/layout/radial1"/>
    <dgm:cxn modelId="{2D97F6AC-8A40-4663-87DE-3AFEC333C8E1}" type="presParOf" srcId="{4B42C994-9F34-48FA-B0E9-245578FAC1C6}" destId="{98E66AFE-BCED-48F2-B78A-230BF42B9FFC}" srcOrd="15" destOrd="0" presId="urn:microsoft.com/office/officeart/2005/8/layout/radial1"/>
    <dgm:cxn modelId="{FD2D80CE-4408-465A-A640-B097602478A4}" type="presParOf" srcId="{98E66AFE-BCED-48F2-B78A-230BF42B9FFC}" destId="{7244ABB3-7BCC-4145-8C19-8C33F0A4C35F}" srcOrd="0" destOrd="0" presId="urn:microsoft.com/office/officeart/2005/8/layout/radial1"/>
    <dgm:cxn modelId="{5F494F59-A69D-4CB3-8785-B85859D05DAB}"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  </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6547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56898" custScaleY="110925"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11048" custRadScaleRad="333950" custRadScaleInc="100024">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730FF59C-7E84-4E3B-ACD9-3DC8D026E19C}" type="presOf" srcId="{34E6C8D5-8D4F-4714-8A12-8F4599A8E760}" destId="{08F189A1-AB47-41D1-8058-7A6DA66B3F52}" srcOrd="0" destOrd="0" presId="urn:microsoft.com/office/officeart/2005/8/layout/radial1"/>
    <dgm:cxn modelId="{725BE9FF-087C-4213-8E5C-DF4276FB23AF}" type="presOf" srcId="{0FABC453-0A5C-4CAE-813B-F0494A34E025}" destId="{EA4144E0-C5B2-4FC0-BDB2-550B61DB7DFD}" srcOrd="1" destOrd="0" presId="urn:microsoft.com/office/officeart/2005/8/layout/radial1"/>
    <dgm:cxn modelId="{23FB0EB5-9C90-48FD-8577-B5E9597CAABD}" type="presOf" srcId="{C06C39C9-71B8-489C-9C45-3DD37A424E39}" destId="{0FAF3FA1-8E6C-455E-B189-A468B3F4D8BC}" srcOrd="0" destOrd="0" presId="urn:microsoft.com/office/officeart/2005/8/layout/radial1"/>
    <dgm:cxn modelId="{DDC61281-9CBA-42AC-8D1F-2F52CE9BFC8D}" type="presOf" srcId="{4693CA52-075F-4BD8-ABEA-5368BE377DDA}" destId="{4AC11394-3179-4EC5-A97F-D1A1B521CE2F}" srcOrd="0" destOrd="0" presId="urn:microsoft.com/office/officeart/2005/8/layout/radial1"/>
    <dgm:cxn modelId="{6EA58C30-6C96-4292-B4FE-71CE6E72B3D0}" type="presOf" srcId="{0FABC453-0A5C-4CAE-813B-F0494A34E025}" destId="{ADF94B70-0D7F-4A27-8DF9-17BCD27F4A7A}"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D4929D7E-2532-4C6E-BF70-6267F9DE7809}" type="presOf" srcId="{DE541715-C648-404D-8124-F14F463E9202}" destId="{062AF917-2F47-4639-8A23-58AD52EC0F32}" srcOrd="0" destOrd="0" presId="urn:microsoft.com/office/officeart/2005/8/layout/radial1"/>
    <dgm:cxn modelId="{EBA4420F-365F-4595-B04B-E05A379697A3}" type="presOf" srcId="{4693CA52-075F-4BD8-ABEA-5368BE377DDA}" destId="{62A1F741-432F-46BE-AE07-15F0B6D5EA89}" srcOrd="1" destOrd="0" presId="urn:microsoft.com/office/officeart/2005/8/layout/radial1"/>
    <dgm:cxn modelId="{73BFD061-FD4E-4E39-9715-A550158CCE39}" type="presOf" srcId="{4631C2C5-1554-4289-90B0-F2D55D1595B6}" destId="{035B4C9A-0916-4FCC-A1CF-85DB358A289A}" srcOrd="0" destOrd="0" presId="urn:microsoft.com/office/officeart/2005/8/layout/radial1"/>
    <dgm:cxn modelId="{377D8414-CF95-4726-85D8-6C46E6AF43F7}" type="presParOf" srcId="{08F189A1-AB47-41D1-8058-7A6DA66B3F52}" destId="{062AF917-2F47-4639-8A23-58AD52EC0F32}" srcOrd="0" destOrd="0" presId="urn:microsoft.com/office/officeart/2005/8/layout/radial1"/>
    <dgm:cxn modelId="{3A9CECB8-9335-4560-8F28-3A561565B2BE}" type="presParOf" srcId="{08F189A1-AB47-41D1-8058-7A6DA66B3F52}" destId="{4AC11394-3179-4EC5-A97F-D1A1B521CE2F}" srcOrd="1" destOrd="0" presId="urn:microsoft.com/office/officeart/2005/8/layout/radial1"/>
    <dgm:cxn modelId="{57080A5E-06D6-4E03-9A60-7AC9803F5C33}" type="presParOf" srcId="{4AC11394-3179-4EC5-A97F-D1A1B521CE2F}" destId="{62A1F741-432F-46BE-AE07-15F0B6D5EA89}" srcOrd="0" destOrd="0" presId="urn:microsoft.com/office/officeart/2005/8/layout/radial1"/>
    <dgm:cxn modelId="{5C2628E5-FE0E-4F46-98F0-8FBB6D335064}" type="presParOf" srcId="{08F189A1-AB47-41D1-8058-7A6DA66B3F52}" destId="{035B4C9A-0916-4FCC-A1CF-85DB358A289A}" srcOrd="2" destOrd="0" presId="urn:microsoft.com/office/officeart/2005/8/layout/radial1"/>
    <dgm:cxn modelId="{2CE62DBC-23C9-41C5-8E2E-AD08EDF0BFE1}" type="presParOf" srcId="{08F189A1-AB47-41D1-8058-7A6DA66B3F52}" destId="{ADF94B70-0D7F-4A27-8DF9-17BCD27F4A7A}" srcOrd="3" destOrd="0" presId="urn:microsoft.com/office/officeart/2005/8/layout/radial1"/>
    <dgm:cxn modelId="{16B7D6F0-6CCC-415D-B56D-ED70951D6FE0}" type="presParOf" srcId="{ADF94B70-0D7F-4A27-8DF9-17BCD27F4A7A}" destId="{EA4144E0-C5B2-4FC0-BDB2-550B61DB7DFD}" srcOrd="0" destOrd="0" presId="urn:microsoft.com/office/officeart/2005/8/layout/radial1"/>
    <dgm:cxn modelId="{8C2FB3FA-A862-4C22-9538-157D09DAAD3F}"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44"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61616" y="601336"/>
          <a:ext cx="1104041" cy="34540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646320" y="557003"/>
          <a:ext cx="1044074" cy="4266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21594334">
          <a:off x="3465649" y="766762"/>
          <a:ext cx="1180676" cy="10791"/>
        </a:xfrm>
        <a:custGeom>
          <a:avLst/>
          <a:gdLst/>
          <a:ahLst/>
          <a:cxnLst/>
          <a:rect l="0" t="0" r="0" b="0"/>
          <a:pathLst>
            <a:path>
              <a:moveTo>
                <a:pt x="0" y="5395"/>
              </a:moveTo>
              <a:lnTo>
                <a:pt x="1258892"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47451" y="98352"/>
          <a:ext cx="1335769" cy="4082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484300">
          <a:off x="3273667" y="545155"/>
          <a:ext cx="608493" cy="10791"/>
        </a:xfrm>
        <a:custGeom>
          <a:avLst/>
          <a:gdLst/>
          <a:ahLst/>
          <a:cxnLst/>
          <a:rect l="0" t="0" r="0" b="0"/>
          <a:pathLst>
            <a:path>
              <a:moveTo>
                <a:pt x="0" y="5395"/>
              </a:moveTo>
              <a:lnTo>
                <a:pt x="653366"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480609" y="-15980"/>
          <a:ext cx="876388" cy="4106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0375">
          <a:off x="2812720" y="492589"/>
          <a:ext cx="206711" cy="10791"/>
        </a:xfrm>
        <a:custGeom>
          <a:avLst/>
          <a:gdLst/>
          <a:ahLst/>
          <a:cxnLst/>
          <a:rect l="0" t="0" r="0" b="0"/>
          <a:pathLst>
            <a:path>
              <a:moveTo>
                <a:pt x="0" y="5395"/>
              </a:moveTo>
              <a:lnTo>
                <a:pt x="225111"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690023" y="932609"/>
          <a:ext cx="1194842" cy="51809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B888D51-F36E-4A1A-AD65-530BDC7DD332}" type="parTrans" cxnId="{30B1AEB8-2F43-40DB-908B-C80EAFA6DFC6}">
      <dgm:prSet/>
      <dgm:spPr>
        <a:xfrm rot="1014511">
          <a:off x="3298508" y="963276"/>
          <a:ext cx="510793" cy="10791"/>
        </a:xfrm>
        <a:custGeom>
          <a:avLst/>
          <a:gdLst/>
          <a:ahLst/>
          <a:cxnLst/>
          <a:rect l="0" t="0" r="0" b="0"/>
          <a:pathLst>
            <a:path>
              <a:moveTo>
                <a:pt x="0" y="5395"/>
              </a:moveTo>
              <a:lnTo>
                <a:pt x="667894"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2241020" y="1093532"/>
          <a:ext cx="1336238" cy="4840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E014B54-4FFC-4271-A6FD-00D3C5F85913}" type="parTrans" cxnId="{1CDC68B5-EB25-4F4F-9CBB-8563203CE59F}">
      <dgm:prSet/>
      <dgm:spPr>
        <a:xfrm rot="5427536">
          <a:off x="2838269" y="1014743"/>
          <a:ext cx="146793" cy="10791"/>
        </a:xfrm>
        <a:custGeom>
          <a:avLst/>
          <a:gdLst/>
          <a:ahLst/>
          <a:cxnLst/>
          <a:rect l="0" t="0" r="0" b="0"/>
          <a:pathLst>
            <a:path>
              <a:moveTo>
                <a:pt x="0" y="5395"/>
              </a:moveTo>
              <a:lnTo>
                <a:pt x="172578"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3" y="507225"/>
          <a:ext cx="1175913" cy="5191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810718">
          <a:off x="1175899" y="765075"/>
          <a:ext cx="1185747" cy="10791"/>
        </a:xfrm>
        <a:custGeom>
          <a:avLst/>
          <a:gdLst/>
          <a:ahLst/>
          <a:cxnLst/>
          <a:rect l="0" t="0" r="0" b="0"/>
          <a:pathLst>
            <a:path>
              <a:moveTo>
                <a:pt x="0" y="5395"/>
              </a:moveTo>
              <a:lnTo>
                <a:pt x="1264119"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000810" y="64211"/>
          <a:ext cx="1190731" cy="4665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Executive Mgmt </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1993118">
          <a:off x="2017209" y="544187"/>
          <a:ext cx="551749" cy="10791"/>
        </a:xfrm>
        <a:custGeom>
          <a:avLst/>
          <a:gdLst/>
          <a:ahLst/>
          <a:cxnLst/>
          <a:rect l="0" t="0" r="0" b="0"/>
          <a:pathLst>
            <a:path>
              <a:moveTo>
                <a:pt x="0" y="5395"/>
              </a:moveTo>
              <a:lnTo>
                <a:pt x="597469"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6CB633D8-E17A-4DE4-A2CF-9D4454C0DFA7}">
      <dgm:prSet phldrT="[Text]" custT="1"/>
      <dgm:spPr>
        <a:xfrm>
          <a:off x="920148" y="954757"/>
          <a:ext cx="1169855" cy="5041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a:p>
          <a:endPar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9C50F4B-2CBA-4FCE-9BB6-CCE0C01C661E}" type="parTrans" cxnId="{6C865254-BB0C-46C7-BB45-F9AA32C0CDC7}">
      <dgm:prSet/>
      <dgm:spPr>
        <a:xfrm rot="9775202">
          <a:off x="1968924" y="972377"/>
          <a:ext cx="563287" cy="10791"/>
        </a:xfrm>
        <a:custGeom>
          <a:avLst/>
          <a:gdLst/>
          <a:ahLst/>
          <a:cxnLst/>
          <a:rect l="0" t="0" r="0" b="0"/>
          <a:pathLst>
            <a:path>
              <a:moveTo>
                <a:pt x="0" y="5395"/>
              </a:moveTo>
              <a:lnTo>
                <a:pt x="603884" y="5395"/>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35D8BBE-2377-4E15-9110-72BF718B05E7}" type="sibTrans" cxnId="{6C865254-BB0C-46C7-BB45-F9AA32C0CDC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19633" custLinFactNeighborY="221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8"/>
      <dgm:spPr>
        <a:custGeom>
          <a:avLst/>
          <a:gdLst/>
          <a:ahLst/>
          <a:cxnLst/>
          <a:rect l="0" t="0" r="0" b="0"/>
          <a:pathLst>
            <a:path>
              <a:moveTo>
                <a:pt x="0" y="5395"/>
              </a:moveTo>
              <a:lnTo>
                <a:pt x="225111" y="5395"/>
              </a:lnTo>
            </a:path>
          </a:pathLst>
        </a:custGeom>
      </dgm:spPr>
      <dgm:t>
        <a:bodyPr/>
        <a:lstStyle/>
        <a:p>
          <a:endParaRPr lang="en-US"/>
        </a:p>
      </dgm:t>
    </dgm:pt>
    <dgm:pt modelId="{326412CE-9911-4799-A459-B56F02EB4473}" type="pres">
      <dgm:prSet presAssocID="{7AF774ED-547E-4C04-8670-B0C1D08C5EE9}" presName="connTx" presStyleLbl="parChTrans1D2" presStyleIdx="0" presStyleCnt="8"/>
      <dgm:spPr/>
      <dgm:t>
        <a:bodyPr/>
        <a:lstStyle/>
        <a:p>
          <a:endParaRPr lang="en-US"/>
        </a:p>
      </dgm:t>
    </dgm:pt>
    <dgm:pt modelId="{CED9197C-8322-406B-917C-172FA36E7B76}" type="pres">
      <dgm:prSet presAssocID="{960C5593-E0FF-4AA5-AA0B-E8BDFFBC5E53}" presName="node" presStyleLbl="node1" presStyleIdx="0" presStyleCnt="8" custScaleX="253725" custScaleY="118878" custRadScaleRad="95080" custRadScaleInc="235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8"/>
      <dgm:spPr>
        <a:custGeom>
          <a:avLst/>
          <a:gdLst/>
          <a:ahLst/>
          <a:cxnLst/>
          <a:rect l="0" t="0" r="0" b="0"/>
          <a:pathLst>
            <a:path>
              <a:moveTo>
                <a:pt x="0" y="5395"/>
              </a:moveTo>
              <a:lnTo>
                <a:pt x="653366" y="5395"/>
              </a:lnTo>
            </a:path>
          </a:pathLst>
        </a:custGeom>
      </dgm:spPr>
      <dgm:t>
        <a:bodyPr/>
        <a:lstStyle/>
        <a:p>
          <a:endParaRPr lang="en-US"/>
        </a:p>
      </dgm:t>
    </dgm:pt>
    <dgm:pt modelId="{62A1F741-432F-46BE-AE07-15F0B6D5EA89}" type="pres">
      <dgm:prSet presAssocID="{4693CA52-075F-4BD8-ABEA-5368BE377DDA}" presName="connTx" presStyleLbl="parChTrans1D2" presStyleIdx="1" presStyleCnt="8"/>
      <dgm:spPr/>
      <dgm:t>
        <a:bodyPr/>
        <a:lstStyle/>
        <a:p>
          <a:endParaRPr lang="en-US"/>
        </a:p>
      </dgm:t>
    </dgm:pt>
    <dgm:pt modelId="{035B4C9A-0916-4FCC-A1CF-85DB358A289A}" type="pres">
      <dgm:prSet presAssocID="{4631C2C5-1554-4289-90B0-F2D55D1595B6}" presName="node" presStyleLbl="node1" presStyleIdx="1" presStyleCnt="8" custScaleX="386721" custScaleY="118179" custRadScaleRad="250314" custRadScaleInc="121633">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8"/>
      <dgm:spPr>
        <a:custGeom>
          <a:avLst/>
          <a:gdLst/>
          <a:ahLst/>
          <a:cxnLst/>
          <a:rect l="0" t="0" r="0" b="0"/>
          <a:pathLst>
            <a:path>
              <a:moveTo>
                <a:pt x="0" y="5395"/>
              </a:moveTo>
              <a:lnTo>
                <a:pt x="1258892" y="5395"/>
              </a:lnTo>
            </a:path>
          </a:pathLst>
        </a:custGeom>
      </dgm:spPr>
      <dgm:t>
        <a:bodyPr/>
        <a:lstStyle/>
        <a:p>
          <a:endParaRPr lang="en-US"/>
        </a:p>
      </dgm:t>
    </dgm:pt>
    <dgm:pt modelId="{EA4144E0-C5B2-4FC0-BDB2-550B61DB7DFD}" type="pres">
      <dgm:prSet presAssocID="{0FABC453-0A5C-4CAE-813B-F0494A34E025}" presName="connTx" presStyleLbl="parChTrans1D2" presStyleIdx="2" presStyleCnt="8"/>
      <dgm:spPr/>
      <dgm:t>
        <a:bodyPr/>
        <a:lstStyle/>
        <a:p>
          <a:endParaRPr lang="en-US"/>
        </a:p>
      </dgm:t>
    </dgm:pt>
    <dgm:pt modelId="{0FAF3FA1-8E6C-455E-B189-A468B3F4D8BC}" type="pres">
      <dgm:prSet presAssocID="{C06C39C9-71B8-489C-9C45-3DD37A424E39}" presName="node" presStyleLbl="node1" presStyleIdx="2" presStyleCnt="8" custScaleX="302272" custScaleY="123518" custRadScaleRad="383748" custRadScaleInc="2524">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8"/>
      <dgm:spPr>
        <a:custGeom>
          <a:avLst/>
          <a:gdLst/>
          <a:ahLst/>
          <a:cxnLst/>
          <a:rect l="0" t="0" r="0" b="0"/>
          <a:pathLst>
            <a:path>
              <a:moveTo>
                <a:pt x="0" y="5395"/>
              </a:moveTo>
              <a:lnTo>
                <a:pt x="667894" y="5395"/>
              </a:lnTo>
            </a:path>
          </a:pathLst>
        </a:custGeom>
      </dgm:spPr>
      <dgm:t>
        <a:bodyPr/>
        <a:lstStyle/>
        <a:p>
          <a:endParaRPr lang="en-US"/>
        </a:p>
      </dgm:t>
    </dgm:pt>
    <dgm:pt modelId="{0AC78349-4F42-425B-8A1A-4393D65C2051}" type="pres">
      <dgm:prSet presAssocID="{BB888D51-F36E-4A1A-AD65-530BDC7DD332}" presName="connTx" presStyleLbl="parChTrans1D2" presStyleIdx="3" presStyleCnt="8"/>
      <dgm:spPr/>
      <dgm:t>
        <a:bodyPr/>
        <a:lstStyle/>
        <a:p>
          <a:endParaRPr lang="en-US"/>
        </a:p>
      </dgm:t>
    </dgm:pt>
    <dgm:pt modelId="{3F1A2A14-E080-4448-96C3-A8E6002E7EE2}" type="pres">
      <dgm:prSet presAssocID="{7088B3AC-9EBC-4ABD-B45F-EC2EC96E416C}" presName="node" presStyleLbl="node1" presStyleIdx="3" presStyleCnt="8" custScaleX="345921" custScaleY="149995" custRadScaleRad="245698" custRadScaleInc="-120452">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8"/>
      <dgm:spPr>
        <a:custGeom>
          <a:avLst/>
          <a:gdLst/>
          <a:ahLst/>
          <a:cxnLst/>
          <a:rect l="0" t="0" r="0" b="0"/>
          <a:pathLst>
            <a:path>
              <a:moveTo>
                <a:pt x="0" y="5395"/>
              </a:moveTo>
              <a:lnTo>
                <a:pt x="172578" y="5395"/>
              </a:lnTo>
            </a:path>
          </a:pathLst>
        </a:custGeom>
      </dgm:spPr>
      <dgm:t>
        <a:bodyPr/>
        <a:lstStyle/>
        <a:p>
          <a:endParaRPr lang="en-US"/>
        </a:p>
      </dgm:t>
    </dgm:pt>
    <dgm:pt modelId="{073D7962-B31D-49BD-AB47-082CE21EAD80}" type="pres">
      <dgm:prSet presAssocID="{AE014B54-4FFC-4271-A6FD-00D3C5F85913}" presName="connTx" presStyleLbl="parChTrans1D2" presStyleIdx="4" presStyleCnt="8"/>
      <dgm:spPr/>
      <dgm:t>
        <a:bodyPr/>
        <a:lstStyle/>
        <a:p>
          <a:endParaRPr lang="en-US"/>
        </a:p>
      </dgm:t>
    </dgm:pt>
    <dgm:pt modelId="{97004BB0-64D3-4A92-A1C1-813788F5650F}" type="pres">
      <dgm:prSet presAssocID="{1ED1F83B-CD97-4E51-9FD1-4E2191C87DD9}" presName="node" presStyleLbl="node1" presStyleIdx="4" presStyleCnt="8" custScaleX="386857" custScaleY="140138" custRadScaleRad="115204" custRadScaleInc="1692">
        <dgm:presLayoutVars>
          <dgm:bulletEnabled val="1"/>
        </dgm:presLayoutVars>
      </dgm:prSet>
      <dgm:spPr>
        <a:prstGeom prst="ellipse">
          <a:avLst/>
        </a:prstGeom>
      </dgm:spPr>
      <dgm:t>
        <a:bodyPr/>
        <a:lstStyle/>
        <a:p>
          <a:endParaRPr lang="en-US"/>
        </a:p>
      </dgm:t>
    </dgm:pt>
    <dgm:pt modelId="{B6AECE84-7D2E-4CE5-85C8-4C69518D07D3}" type="pres">
      <dgm:prSet presAssocID="{59C50F4B-2CBA-4FCE-9BB6-CCE0C01C661E}" presName="Name9" presStyleLbl="parChTrans1D2" presStyleIdx="5" presStyleCnt="8"/>
      <dgm:spPr>
        <a:custGeom>
          <a:avLst/>
          <a:gdLst/>
          <a:ahLst/>
          <a:cxnLst/>
          <a:rect l="0" t="0" r="0" b="0"/>
          <a:pathLst>
            <a:path>
              <a:moveTo>
                <a:pt x="0" y="5395"/>
              </a:moveTo>
              <a:lnTo>
                <a:pt x="603884" y="5395"/>
              </a:lnTo>
            </a:path>
          </a:pathLst>
        </a:custGeom>
      </dgm:spPr>
      <dgm:t>
        <a:bodyPr/>
        <a:lstStyle/>
        <a:p>
          <a:endParaRPr lang="en-US"/>
        </a:p>
      </dgm:t>
    </dgm:pt>
    <dgm:pt modelId="{50CE434F-BB05-46ED-AE97-2E3FB93A7239}" type="pres">
      <dgm:prSet presAssocID="{59C50F4B-2CBA-4FCE-9BB6-CCE0C01C661E}" presName="connTx" presStyleLbl="parChTrans1D2" presStyleIdx="5" presStyleCnt="8"/>
      <dgm:spPr/>
      <dgm:t>
        <a:bodyPr/>
        <a:lstStyle/>
        <a:p>
          <a:endParaRPr lang="en-US"/>
        </a:p>
      </dgm:t>
    </dgm:pt>
    <dgm:pt modelId="{1E378005-6F69-4397-8C2A-FC05D53E797D}" type="pres">
      <dgm:prSet presAssocID="{6CB633D8-E17A-4DE4-A2CF-9D4454C0DFA7}" presName="node" presStyleLbl="node1" presStyleIdx="5" presStyleCnt="8" custScaleX="338687" custScaleY="145957" custRadScaleRad="252121" custRadScaleInc="11980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6" presStyleCnt="8"/>
      <dgm:spPr>
        <a:custGeom>
          <a:avLst/>
          <a:gdLst/>
          <a:ahLst/>
          <a:cxnLst/>
          <a:rect l="0" t="0" r="0" b="0"/>
          <a:pathLst>
            <a:path>
              <a:moveTo>
                <a:pt x="0" y="5395"/>
              </a:moveTo>
              <a:lnTo>
                <a:pt x="1264119" y="5395"/>
              </a:lnTo>
            </a:path>
          </a:pathLst>
        </a:custGeom>
      </dgm:spPr>
      <dgm:t>
        <a:bodyPr/>
        <a:lstStyle/>
        <a:p>
          <a:endParaRPr lang="en-US"/>
        </a:p>
      </dgm:t>
    </dgm:pt>
    <dgm:pt modelId="{4733965B-CB9A-4F14-BD3E-CB16D7A3032B}" type="pres">
      <dgm:prSet presAssocID="{E936BDD9-A5D4-4D21-8A3B-A9B992679F1F}" presName="connTx" presStyleLbl="parChTrans1D2" presStyleIdx="6" presStyleCnt="8"/>
      <dgm:spPr/>
      <dgm:t>
        <a:bodyPr/>
        <a:lstStyle/>
        <a:p>
          <a:endParaRPr lang="en-US"/>
        </a:p>
      </dgm:t>
    </dgm:pt>
    <dgm:pt modelId="{755CFD49-3313-42A9-A1A9-D99CF689F3D7}" type="pres">
      <dgm:prSet presAssocID="{A94E6E4E-9ABC-4D91-9437-4DC447452660}" presName="node" presStyleLbl="node1" presStyleIdx="6" presStyleCnt="8" custScaleX="340441" custScaleY="150294" custRadScaleRad="395818" custRadScaleInc="-2060">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7" presStyleCnt="8"/>
      <dgm:spPr>
        <a:custGeom>
          <a:avLst/>
          <a:gdLst/>
          <a:ahLst/>
          <a:cxnLst/>
          <a:rect l="0" t="0" r="0" b="0"/>
          <a:pathLst>
            <a:path>
              <a:moveTo>
                <a:pt x="0" y="5395"/>
              </a:moveTo>
              <a:lnTo>
                <a:pt x="597469" y="5395"/>
              </a:lnTo>
            </a:path>
          </a:pathLst>
        </a:custGeom>
      </dgm:spPr>
      <dgm:t>
        <a:bodyPr/>
        <a:lstStyle/>
        <a:p>
          <a:endParaRPr lang="en-US"/>
        </a:p>
      </dgm:t>
    </dgm:pt>
    <dgm:pt modelId="{A608A501-C2D4-466C-80D2-8354150DE79D}" type="pres">
      <dgm:prSet presAssocID="{D748ED0F-9025-4150-81AF-C1AEFFEE2246}" presName="connTx" presStyleLbl="parChTrans1D2" presStyleIdx="7" presStyleCnt="8"/>
      <dgm:spPr/>
      <dgm:t>
        <a:bodyPr/>
        <a:lstStyle/>
        <a:p>
          <a:endParaRPr lang="en-US"/>
        </a:p>
      </dgm:t>
    </dgm:pt>
    <dgm:pt modelId="{16FD236C-1C35-46D3-A6E9-C486F23997B9}" type="pres">
      <dgm:prSet presAssocID="{47774346-E18D-4F76-8BAA-0550FDAF03CE}" presName="node" presStyleLbl="node1" presStyleIdx="7" presStyleCnt="8" custScaleX="344731" custScaleY="135085" custRadScaleRad="236962" custRadScaleInc="-116104">
        <dgm:presLayoutVars>
          <dgm:bulletEnabled val="1"/>
        </dgm:presLayoutVars>
      </dgm:prSet>
      <dgm:spPr>
        <a:prstGeom prst="ellipse">
          <a:avLst/>
        </a:prstGeom>
      </dgm:spPr>
      <dgm:t>
        <a:bodyPr/>
        <a:lstStyle/>
        <a:p>
          <a:endParaRPr lang="en-US"/>
        </a:p>
      </dgm:t>
    </dgm:pt>
  </dgm:ptLst>
  <dgm:cxnLst>
    <dgm:cxn modelId="{21D100DE-12D9-412A-A32C-B52822BBAE19}" type="presOf" srcId="{BB888D51-F36E-4A1A-AD65-530BDC7DD332}" destId="{0AC78349-4F42-425B-8A1A-4393D65C2051}" srcOrd="1" destOrd="0" presId="urn:microsoft.com/office/officeart/2005/8/layout/radial1"/>
    <dgm:cxn modelId="{23F12468-D135-438D-AC86-66D99706468D}" type="presOf" srcId="{4631C2C5-1554-4289-90B0-F2D55D1595B6}" destId="{035B4C9A-0916-4FCC-A1CF-85DB358A289A}" srcOrd="0" destOrd="0" presId="urn:microsoft.com/office/officeart/2005/8/layout/radial1"/>
    <dgm:cxn modelId="{6D91285C-F7A2-4AFE-A91E-A275E9FC19CE}" type="presOf" srcId="{7AF774ED-547E-4C04-8670-B0C1D08C5EE9}" destId="{5337AE63-3722-42CC-AF72-36670EB7C5E1}" srcOrd="0" destOrd="0" presId="urn:microsoft.com/office/officeart/2005/8/layout/radial1"/>
    <dgm:cxn modelId="{6E1082AF-BD9C-4F2C-BC18-E8867AE3316D}" type="presOf" srcId="{59C50F4B-2CBA-4FCE-9BB6-CCE0C01C661E}" destId="{B6AECE84-7D2E-4CE5-85C8-4C69518D07D3}" srcOrd="0" destOrd="0" presId="urn:microsoft.com/office/officeart/2005/8/layout/radial1"/>
    <dgm:cxn modelId="{E0AB0FDC-F5E4-4186-901A-8D22F66FEA38}" type="presOf" srcId="{4693CA52-075F-4BD8-ABEA-5368BE377DDA}" destId="{62A1F741-432F-46BE-AE07-15F0B6D5EA89}"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36FE8F30-2699-454D-96F7-5A73652F340C}" type="presOf" srcId="{1ED1F83B-CD97-4E51-9FD1-4E2191C87DD9}" destId="{97004BB0-64D3-4A92-A1C1-813788F5650F}" srcOrd="0" destOrd="0" presId="urn:microsoft.com/office/officeart/2005/8/layout/radial1"/>
    <dgm:cxn modelId="{6CE1933D-E702-4CA1-AA0E-AFCB0451D05F}" type="presOf" srcId="{59C50F4B-2CBA-4FCE-9BB6-CCE0C01C661E}" destId="{50CE434F-BB05-46ED-AE97-2E3FB93A7239}" srcOrd="1"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77F04ADC-E7EC-4764-8502-A46473DB6982}" type="presOf" srcId="{960C5593-E0FF-4AA5-AA0B-E8BDFFBC5E53}" destId="{CED9197C-8322-406B-917C-172FA36E7B76}" srcOrd="0" destOrd="0" presId="urn:microsoft.com/office/officeart/2005/8/layout/radial1"/>
    <dgm:cxn modelId="{7A2F3881-9A85-4A8C-9C4B-5CC9408F5855}" srcId="{DE541715-C648-404D-8124-F14F463E9202}" destId="{47774346-E18D-4F76-8BAA-0550FDAF03CE}" srcOrd="7" destOrd="0" parTransId="{D748ED0F-9025-4150-81AF-C1AEFFEE2246}" sibTransId="{1B5C7858-3354-40C7-A720-7E7DAAC6B51B}"/>
    <dgm:cxn modelId="{18EC46B3-AD3E-4033-8A00-111DB71BD19A}" type="presOf" srcId="{DE541715-C648-404D-8124-F14F463E9202}" destId="{062AF917-2F47-4639-8A23-58AD52EC0F32}" srcOrd="0" destOrd="0" presId="urn:microsoft.com/office/officeart/2005/8/layout/radial1"/>
    <dgm:cxn modelId="{BD587306-6ED3-4776-8AE0-E66C37DFEA5A}" type="presOf" srcId="{BB888D51-F36E-4A1A-AD65-530BDC7DD332}" destId="{447FEE0B-EFE1-4BAD-80EF-66C3DD36014A}" srcOrd="0" destOrd="0" presId="urn:microsoft.com/office/officeart/2005/8/layout/radial1"/>
    <dgm:cxn modelId="{CF8E5F6A-9524-4AAC-BC02-6868917074D3}" type="presOf" srcId="{A94E6E4E-9ABC-4D91-9437-4DC447452660}" destId="{755CFD49-3313-42A9-A1A9-D99CF689F3D7}" srcOrd="0" destOrd="0" presId="urn:microsoft.com/office/officeart/2005/8/layout/radial1"/>
    <dgm:cxn modelId="{372DAFC2-25A7-4DAF-83E5-B4823398C020}" type="presOf" srcId="{4693CA52-075F-4BD8-ABEA-5368BE377DDA}" destId="{4AC11394-3179-4EC5-A97F-D1A1B521CE2F}" srcOrd="0"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CD477517-A82D-4A04-BFA7-D4C99505805F}" type="presOf" srcId="{E936BDD9-A5D4-4D21-8A3B-A9B992679F1F}" destId="{D74286FF-AAFA-441A-87F1-98384D680093}" srcOrd="0" destOrd="0" presId="urn:microsoft.com/office/officeart/2005/8/layout/radial1"/>
    <dgm:cxn modelId="{03547C23-C264-4E8B-AE11-B612F97D7343}" type="presOf" srcId="{E936BDD9-A5D4-4D21-8A3B-A9B992679F1F}" destId="{4733965B-CB9A-4F14-BD3E-CB16D7A3032B}" srcOrd="1" destOrd="0" presId="urn:microsoft.com/office/officeart/2005/8/layout/radial1"/>
    <dgm:cxn modelId="{6244737B-C9B3-4ECD-BB29-8A05A475F262}" type="presOf" srcId="{0FABC453-0A5C-4CAE-813B-F0494A34E025}" destId="{EA4144E0-C5B2-4FC0-BDB2-550B61DB7DFD}" srcOrd="1" destOrd="0" presId="urn:microsoft.com/office/officeart/2005/8/layout/radial1"/>
    <dgm:cxn modelId="{7F82DB1F-80C9-484F-975A-D66DFDE8778C}" type="presOf" srcId="{AE014B54-4FFC-4271-A6FD-00D3C5F85913}" destId="{E64AB50F-BCCF-45E7-A4E4-85ABC4F0C76B}"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7E89E051-CD5C-4130-A5D7-C99408C8CCA0}" srcId="{DE541715-C648-404D-8124-F14F463E9202}" destId="{A94E6E4E-9ABC-4D91-9437-4DC447452660}" srcOrd="6" destOrd="0" parTransId="{E936BDD9-A5D4-4D21-8A3B-A9B992679F1F}" sibTransId="{8B40EA14-C029-4AFD-8980-3E0592BA1C58}"/>
    <dgm:cxn modelId="{7A762E00-81A3-4FFE-B51D-4D50B680116D}" type="presOf" srcId="{7AF774ED-547E-4C04-8670-B0C1D08C5EE9}" destId="{326412CE-9911-4799-A459-B56F02EB4473}" srcOrd="1" destOrd="0" presId="urn:microsoft.com/office/officeart/2005/8/layout/radial1"/>
    <dgm:cxn modelId="{1CDC68B5-EB25-4F4F-9CBB-8563203CE59F}" srcId="{DE541715-C648-404D-8124-F14F463E9202}" destId="{1ED1F83B-CD97-4E51-9FD1-4E2191C87DD9}" srcOrd="4" destOrd="0" parTransId="{AE014B54-4FFC-4271-A6FD-00D3C5F85913}" sibTransId="{CB5AF736-2B95-46CE-82BA-DD5FB8A9AAE3}"/>
    <dgm:cxn modelId="{6B67BA61-AE1E-48EB-B53A-B838A38423B0}" type="presOf" srcId="{47774346-E18D-4F76-8BAA-0550FDAF03CE}" destId="{16FD236C-1C35-46D3-A6E9-C486F23997B9}"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78CF6717-5EB6-460C-B77E-1710576CB32A}" type="presOf" srcId="{6CB633D8-E17A-4DE4-A2CF-9D4454C0DFA7}" destId="{1E378005-6F69-4397-8C2A-FC05D53E797D}" srcOrd="0" destOrd="0" presId="urn:microsoft.com/office/officeart/2005/8/layout/radial1"/>
    <dgm:cxn modelId="{9862BEAD-A2F9-4E00-87C0-1C484AA6E00C}" type="presOf" srcId="{0FABC453-0A5C-4CAE-813B-F0494A34E025}" destId="{ADF94B70-0D7F-4A27-8DF9-17BCD27F4A7A}" srcOrd="0" destOrd="0" presId="urn:microsoft.com/office/officeart/2005/8/layout/radial1"/>
    <dgm:cxn modelId="{BF65F824-D4F4-4A84-83B4-6B1944B62AAD}" srcId="{DE541715-C648-404D-8124-F14F463E9202}" destId="{4631C2C5-1554-4289-90B0-F2D55D1595B6}" srcOrd="1" destOrd="0" parTransId="{4693CA52-075F-4BD8-ABEA-5368BE377DDA}" sibTransId="{9B3CB24D-A47A-4081-B256-B868D89D5387}"/>
    <dgm:cxn modelId="{B1E8CDDA-E861-400C-97FE-580D4237BA68}" type="presOf" srcId="{7088B3AC-9EBC-4ABD-B45F-EC2EC96E416C}" destId="{3F1A2A14-E080-4448-96C3-A8E6002E7EE2}" srcOrd="0" destOrd="0" presId="urn:microsoft.com/office/officeart/2005/8/layout/radial1"/>
    <dgm:cxn modelId="{09B9E19D-CA84-4C6A-B80D-ACAFAEDB4E95}" type="presOf" srcId="{D748ED0F-9025-4150-81AF-C1AEFFEE2246}" destId="{A608A501-C2D4-466C-80D2-8354150DE79D}" srcOrd="1" destOrd="0" presId="urn:microsoft.com/office/officeart/2005/8/layout/radial1"/>
    <dgm:cxn modelId="{443E103E-0B06-44AB-8EAA-A47B13B07704}" type="presOf" srcId="{C06C39C9-71B8-489C-9C45-3DD37A424E39}" destId="{0FAF3FA1-8E6C-455E-B189-A468B3F4D8BC}" srcOrd="0" destOrd="0" presId="urn:microsoft.com/office/officeart/2005/8/layout/radial1"/>
    <dgm:cxn modelId="{87A72B6D-2705-48BE-AC9F-AD515C2CB95D}" type="presOf" srcId="{AE014B54-4FFC-4271-A6FD-00D3C5F85913}" destId="{073D7962-B31D-49BD-AB47-082CE21EAD80}" srcOrd="1" destOrd="0" presId="urn:microsoft.com/office/officeart/2005/8/layout/radial1"/>
    <dgm:cxn modelId="{FA6E5FDA-218C-427F-9E88-43790957438F}" type="presOf" srcId="{D748ED0F-9025-4150-81AF-C1AEFFEE2246}" destId="{6674A0B6-35AA-4763-B890-1E2177289BCF}" srcOrd="0" destOrd="0" presId="urn:microsoft.com/office/officeart/2005/8/layout/radial1"/>
    <dgm:cxn modelId="{6C865254-BB0C-46C7-BB45-F9AA32C0CDC7}" srcId="{DE541715-C648-404D-8124-F14F463E9202}" destId="{6CB633D8-E17A-4DE4-A2CF-9D4454C0DFA7}" srcOrd="5" destOrd="0" parTransId="{59C50F4B-2CBA-4FCE-9BB6-CCE0C01C661E}" sibTransId="{235D8BBE-2377-4E15-9110-72BF718B05E7}"/>
    <dgm:cxn modelId="{44DF0316-6920-4211-B847-646F837C1945}" type="presOf" srcId="{34E6C8D5-8D4F-4714-8A12-8F4599A8E760}" destId="{08F189A1-AB47-41D1-8058-7A6DA66B3F52}" srcOrd="0" destOrd="0" presId="urn:microsoft.com/office/officeart/2005/8/layout/radial1"/>
    <dgm:cxn modelId="{86E9BBB2-D414-4596-876F-1069C673A688}" type="presParOf" srcId="{08F189A1-AB47-41D1-8058-7A6DA66B3F52}" destId="{062AF917-2F47-4639-8A23-58AD52EC0F32}" srcOrd="0" destOrd="0" presId="urn:microsoft.com/office/officeart/2005/8/layout/radial1"/>
    <dgm:cxn modelId="{06E9BBB4-96AF-4529-A0A9-BA5BE94894AA}" type="presParOf" srcId="{08F189A1-AB47-41D1-8058-7A6DA66B3F52}" destId="{5337AE63-3722-42CC-AF72-36670EB7C5E1}" srcOrd="1" destOrd="0" presId="urn:microsoft.com/office/officeart/2005/8/layout/radial1"/>
    <dgm:cxn modelId="{76A2859C-85D1-4C5B-98E3-9362476250E6}" type="presParOf" srcId="{5337AE63-3722-42CC-AF72-36670EB7C5E1}" destId="{326412CE-9911-4799-A459-B56F02EB4473}" srcOrd="0" destOrd="0" presId="urn:microsoft.com/office/officeart/2005/8/layout/radial1"/>
    <dgm:cxn modelId="{5F99909E-FF15-492D-A432-800FF107729A}" type="presParOf" srcId="{08F189A1-AB47-41D1-8058-7A6DA66B3F52}" destId="{CED9197C-8322-406B-917C-172FA36E7B76}" srcOrd="2" destOrd="0" presId="urn:microsoft.com/office/officeart/2005/8/layout/radial1"/>
    <dgm:cxn modelId="{F5ACCA76-FADE-4E6B-BAC6-F6C8C5A26FC9}" type="presParOf" srcId="{08F189A1-AB47-41D1-8058-7A6DA66B3F52}" destId="{4AC11394-3179-4EC5-A97F-D1A1B521CE2F}" srcOrd="3" destOrd="0" presId="urn:microsoft.com/office/officeart/2005/8/layout/radial1"/>
    <dgm:cxn modelId="{984E63FD-C260-4874-A5C0-E50B95C51B56}" type="presParOf" srcId="{4AC11394-3179-4EC5-A97F-D1A1B521CE2F}" destId="{62A1F741-432F-46BE-AE07-15F0B6D5EA89}" srcOrd="0" destOrd="0" presId="urn:microsoft.com/office/officeart/2005/8/layout/radial1"/>
    <dgm:cxn modelId="{0C848E59-0372-4999-B25A-E6AF2268850F}" type="presParOf" srcId="{08F189A1-AB47-41D1-8058-7A6DA66B3F52}" destId="{035B4C9A-0916-4FCC-A1CF-85DB358A289A}" srcOrd="4" destOrd="0" presId="urn:microsoft.com/office/officeart/2005/8/layout/radial1"/>
    <dgm:cxn modelId="{9CB6D8E4-97C6-4E47-BC2D-49C3A966C31C}" type="presParOf" srcId="{08F189A1-AB47-41D1-8058-7A6DA66B3F52}" destId="{ADF94B70-0D7F-4A27-8DF9-17BCD27F4A7A}" srcOrd="5" destOrd="0" presId="urn:microsoft.com/office/officeart/2005/8/layout/radial1"/>
    <dgm:cxn modelId="{E14CBC45-6E96-4016-A16D-1189F8E77FB6}" type="presParOf" srcId="{ADF94B70-0D7F-4A27-8DF9-17BCD27F4A7A}" destId="{EA4144E0-C5B2-4FC0-BDB2-550B61DB7DFD}" srcOrd="0" destOrd="0" presId="urn:microsoft.com/office/officeart/2005/8/layout/radial1"/>
    <dgm:cxn modelId="{B76A07A0-282A-47D7-A59E-2F73A02665FB}" type="presParOf" srcId="{08F189A1-AB47-41D1-8058-7A6DA66B3F52}" destId="{0FAF3FA1-8E6C-455E-B189-A468B3F4D8BC}" srcOrd="6" destOrd="0" presId="urn:microsoft.com/office/officeart/2005/8/layout/radial1"/>
    <dgm:cxn modelId="{6F0E9737-050B-4402-A336-3B34C3FF6366}" type="presParOf" srcId="{08F189A1-AB47-41D1-8058-7A6DA66B3F52}" destId="{447FEE0B-EFE1-4BAD-80EF-66C3DD36014A}" srcOrd="7" destOrd="0" presId="urn:microsoft.com/office/officeart/2005/8/layout/radial1"/>
    <dgm:cxn modelId="{C8D1E130-92F9-46A4-B59F-1A320B6619AB}" type="presParOf" srcId="{447FEE0B-EFE1-4BAD-80EF-66C3DD36014A}" destId="{0AC78349-4F42-425B-8A1A-4393D65C2051}" srcOrd="0" destOrd="0" presId="urn:microsoft.com/office/officeart/2005/8/layout/radial1"/>
    <dgm:cxn modelId="{4A2AFBD8-E9C7-49F3-AF04-05380AB15F4B}" type="presParOf" srcId="{08F189A1-AB47-41D1-8058-7A6DA66B3F52}" destId="{3F1A2A14-E080-4448-96C3-A8E6002E7EE2}" srcOrd="8" destOrd="0" presId="urn:microsoft.com/office/officeart/2005/8/layout/radial1"/>
    <dgm:cxn modelId="{D2DF5F45-59A0-4D5F-8903-9AE2BBA63A06}" type="presParOf" srcId="{08F189A1-AB47-41D1-8058-7A6DA66B3F52}" destId="{E64AB50F-BCCF-45E7-A4E4-85ABC4F0C76B}" srcOrd="9" destOrd="0" presId="urn:microsoft.com/office/officeart/2005/8/layout/radial1"/>
    <dgm:cxn modelId="{E6ADAB4D-598F-4262-9D8C-AE61159C4A8E}" type="presParOf" srcId="{E64AB50F-BCCF-45E7-A4E4-85ABC4F0C76B}" destId="{073D7962-B31D-49BD-AB47-082CE21EAD80}" srcOrd="0" destOrd="0" presId="urn:microsoft.com/office/officeart/2005/8/layout/radial1"/>
    <dgm:cxn modelId="{B39752FE-7734-4230-8139-CB4196D15F1E}" type="presParOf" srcId="{08F189A1-AB47-41D1-8058-7A6DA66B3F52}" destId="{97004BB0-64D3-4A92-A1C1-813788F5650F}" srcOrd="10" destOrd="0" presId="urn:microsoft.com/office/officeart/2005/8/layout/radial1"/>
    <dgm:cxn modelId="{1429F8BE-F41C-41A7-955A-A288D56C4AB5}" type="presParOf" srcId="{08F189A1-AB47-41D1-8058-7A6DA66B3F52}" destId="{B6AECE84-7D2E-4CE5-85C8-4C69518D07D3}" srcOrd="11" destOrd="0" presId="urn:microsoft.com/office/officeart/2005/8/layout/radial1"/>
    <dgm:cxn modelId="{2364055D-F839-43D4-A609-3610310BC8AB}" type="presParOf" srcId="{B6AECE84-7D2E-4CE5-85C8-4C69518D07D3}" destId="{50CE434F-BB05-46ED-AE97-2E3FB93A7239}" srcOrd="0" destOrd="0" presId="urn:microsoft.com/office/officeart/2005/8/layout/radial1"/>
    <dgm:cxn modelId="{29F54977-0C0C-4987-8330-E98904A59384}" type="presParOf" srcId="{08F189A1-AB47-41D1-8058-7A6DA66B3F52}" destId="{1E378005-6F69-4397-8C2A-FC05D53E797D}" srcOrd="12" destOrd="0" presId="urn:microsoft.com/office/officeart/2005/8/layout/radial1"/>
    <dgm:cxn modelId="{C85C9EB4-891C-4B87-AEBE-E1DDCB97AFB0}" type="presParOf" srcId="{08F189A1-AB47-41D1-8058-7A6DA66B3F52}" destId="{D74286FF-AAFA-441A-87F1-98384D680093}" srcOrd="13" destOrd="0" presId="urn:microsoft.com/office/officeart/2005/8/layout/radial1"/>
    <dgm:cxn modelId="{328F9E18-95BB-4FAE-BA20-BFAEE8D1AAF4}" type="presParOf" srcId="{D74286FF-AAFA-441A-87F1-98384D680093}" destId="{4733965B-CB9A-4F14-BD3E-CB16D7A3032B}" srcOrd="0" destOrd="0" presId="urn:microsoft.com/office/officeart/2005/8/layout/radial1"/>
    <dgm:cxn modelId="{1E69669C-90B6-4440-BFE6-DE4D029328D8}" type="presParOf" srcId="{08F189A1-AB47-41D1-8058-7A6DA66B3F52}" destId="{755CFD49-3313-42A9-A1A9-D99CF689F3D7}" srcOrd="14" destOrd="0" presId="urn:microsoft.com/office/officeart/2005/8/layout/radial1"/>
    <dgm:cxn modelId="{0A079DF3-BDAE-4596-AB74-392208B10BF6}" type="presParOf" srcId="{08F189A1-AB47-41D1-8058-7A6DA66B3F52}" destId="{6674A0B6-35AA-4763-B890-1E2177289BCF}" srcOrd="15" destOrd="0" presId="urn:microsoft.com/office/officeart/2005/8/layout/radial1"/>
    <dgm:cxn modelId="{AF62A04C-0A92-4807-B789-7638048D9E84}" type="presParOf" srcId="{6674A0B6-35AA-4763-B890-1E2177289BCF}" destId="{A608A501-C2D4-466C-80D2-8354150DE79D}" srcOrd="0" destOrd="0" presId="urn:microsoft.com/office/officeart/2005/8/layout/radial1"/>
    <dgm:cxn modelId="{F5ADFDCD-9961-4125-9E6F-4CF94FEAD859}" type="presParOf" srcId="{08F189A1-AB47-41D1-8058-7A6DA66B3F52}" destId="{16FD236C-1C35-46D3-A6E9-C486F23997B9}" srcOrd="16" destOrd="0" presId="urn:microsoft.com/office/officeart/2005/8/layout/radial1"/>
  </dgm:cxnLst>
  <dgm:bg/>
  <dgm:whole/>
  <dgm:extLst>
    <a:ext uri="http://schemas.microsoft.com/office/drawing/2008/diagram">
      <dsp:dataModelExt xmlns:dsp="http://schemas.microsoft.com/office/drawing/2008/diagram" relId="rId51"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a:endParaRPr lang="en-US"/>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a:t>
          </a: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7</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AMC</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 </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09871"/>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151338">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175434" custRadScaleRad="137993" custRadScaleInc="38866">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153665"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191612"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183894"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180533" custRadScaleRad="137469" custRadScaleInc="-39889">
        <dgm:presLayoutVars>
          <dgm:bulletEnabled val="1"/>
        </dgm:presLayoutVars>
      </dgm:prSet>
      <dgm:spPr>
        <a:prstGeom prst="ellipse">
          <a:avLst/>
        </a:prstGeom>
      </dgm:spPr>
      <dgm:t>
        <a:bodyPr/>
        <a:lstStyle/>
        <a:p>
          <a:endParaRPr lang="en-US"/>
        </a:p>
      </dgm:t>
    </dgm:pt>
  </dgm:ptLst>
  <dgm:cxnLst>
    <dgm:cxn modelId="{FF862692-6FE1-4C1B-8C29-4A220C00E54C}" srcId="{DE541715-C648-404D-8124-F14F463E9202}" destId="{115F3686-56C2-4580-9E8B-FA213D3DA5F6}" srcOrd="3" destOrd="0" parTransId="{0740ED97-4265-4052-8B1C-8A14B3879E4E}" sibTransId="{E9E35A43-605C-4C5A-B200-2A3B564FFAF5}"/>
    <dgm:cxn modelId="{062A7ED9-AAEC-42AA-87C0-E2F2E71174B4}" type="presOf" srcId="{7DB15392-F5F7-49E2-8294-51A0B1B620AB}" destId="{E48FCD09-4C54-4A10-9BB3-1920483E872B}" srcOrd="1" destOrd="0" presId="urn:microsoft.com/office/officeart/2005/8/layout/radial1"/>
    <dgm:cxn modelId="{0C5D916B-F0A1-4B5D-92EA-0B998784DE6E}" type="presOf" srcId="{31D2845E-7763-4EAF-A91C-F687BE68CFA9}" destId="{0D67A745-92A7-4C43-8F28-25B89678FC62}" srcOrd="1" destOrd="0" presId="urn:microsoft.com/office/officeart/2005/8/layout/radial1"/>
    <dgm:cxn modelId="{C620AD5B-0874-4758-9C2D-04EFA3F2C69D}" type="presOf" srcId="{7A68E894-33D2-492F-8570-E4DDFD311B12}" destId="{DA6728FC-5C85-4235-8ABB-D0CDA49DEB12}" srcOrd="1" destOrd="0" presId="urn:microsoft.com/office/officeart/2005/8/layout/radial1"/>
    <dgm:cxn modelId="{DCA7258D-F4DA-4A2A-80EA-5CDAE3139118}" type="presOf" srcId="{D9BD11F2-6636-4646-B3CF-323669445FAB}" destId="{5F2F4C57-6D86-42F3-B46C-09D84EF99051}" srcOrd="1" destOrd="0" presId="urn:microsoft.com/office/officeart/2005/8/layout/radial1"/>
    <dgm:cxn modelId="{2408D4D7-4104-4E30-9781-5B7FFA3CF92F}" type="presOf" srcId="{7A68E894-33D2-492F-8570-E4DDFD311B12}" destId="{9D7A60DE-15BF-4701-8167-A6BE55521FB0}" srcOrd="0" destOrd="0" presId="urn:microsoft.com/office/officeart/2005/8/layout/radial1"/>
    <dgm:cxn modelId="{E5582B63-BEAC-467F-ADAD-1ABA9677292A}"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FE974F28-473D-4CD4-A6D6-B707FE5061BF}" type="presOf" srcId="{115F3686-56C2-4580-9E8B-FA213D3DA5F6}" destId="{3DB28723-07CF-4EFC-8E24-18E41E76D4AF}" srcOrd="0" destOrd="0" presId="urn:microsoft.com/office/officeart/2005/8/layout/radial1"/>
    <dgm:cxn modelId="{60C424C7-CC54-4027-B080-4425E7B5050C}" srcId="{DE541715-C648-404D-8124-F14F463E9202}" destId="{CDE3C2D2-2338-40D3-9864-33A39CCB5CF4}" srcOrd="2" destOrd="0" parTransId="{00297025-FE49-44ED-8151-9AC4B35C0885}" sibTransId="{59703DE8-812C-459A-A996-B99B877A6FDC}"/>
    <dgm:cxn modelId="{107A73F9-6602-4BC6-A9C9-6386B24F5CFC}" type="presOf" srcId="{CB6E0A53-B07E-4B2B-89E7-D1FB86B27272}" destId="{04068EB3-8728-47DB-8B53-1F3F6EA0E656}" srcOrd="1" destOrd="0" presId="urn:microsoft.com/office/officeart/2005/8/layout/radial1"/>
    <dgm:cxn modelId="{762E42DC-3D2B-4F49-9DD4-03C01C22B626}" type="presOf" srcId="{45870664-60BD-4390-952C-AB2EEF07F4DD}" destId="{8441BECF-C9FE-4C31-BFA4-B45EB6B3D1F0}" srcOrd="0" destOrd="0" presId="urn:microsoft.com/office/officeart/2005/8/layout/radial1"/>
    <dgm:cxn modelId="{822FCA41-416C-4710-9E30-94DA6C839A6E}" type="presOf" srcId="{3BD68AEB-F6E8-461F-8590-A67172B04D7C}" destId="{77E0AE60-7058-4D43-911F-C57FA8C6CA9F}" srcOrd="0"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B929453E-838E-4855-A25E-F8A7669F3AB3}" type="presOf" srcId="{CDE3C2D2-2338-40D3-9864-33A39CCB5CF4}" destId="{05994623-F04A-4AAC-82E3-2D63726DAA8A}" srcOrd="0" destOrd="0" presId="urn:microsoft.com/office/officeart/2005/8/layout/radial1"/>
    <dgm:cxn modelId="{43BD8867-C0C7-4979-99F4-CDB9FE58D01E}" type="presOf" srcId="{31D2845E-7763-4EAF-A91C-F687BE68CFA9}" destId="{27678B34-738D-4B59-81F4-6EB54DA6F256}" srcOrd="0" destOrd="0" presId="urn:microsoft.com/office/officeart/2005/8/layout/radial1"/>
    <dgm:cxn modelId="{F8A15388-F6C2-4041-8F7F-DEB4F123BC02}" type="presOf" srcId="{00297025-FE49-44ED-8151-9AC4B35C0885}" destId="{BEAB3A6A-1AD1-41B3-BDFE-B268898D2300}" srcOrd="1" destOrd="0" presId="urn:microsoft.com/office/officeart/2005/8/layout/radial1"/>
    <dgm:cxn modelId="{C80DF295-9AAD-4C0B-B8AF-3EDA956AFFF7}" srcId="{DE541715-C648-404D-8124-F14F463E9202}" destId="{45870664-60BD-4390-952C-AB2EEF07F4DD}" srcOrd="0" destOrd="0" parTransId="{CB6E0A53-B07E-4B2B-89E7-D1FB86B27272}" sibTransId="{E74149DA-41AA-4BE0-B8E7-7965A33DC1B0}"/>
    <dgm:cxn modelId="{91F1AEB7-DD3B-452D-BF98-0CB86E9E5D5A}" type="presOf" srcId="{CB6E0A53-B07E-4B2B-89E7-D1FB86B27272}" destId="{27C08CD6-CB73-4E0E-BA37-473C15E9C926}" srcOrd="0" destOrd="0" presId="urn:microsoft.com/office/officeart/2005/8/layout/radial1"/>
    <dgm:cxn modelId="{02346692-2B6D-4928-8FBD-D8F0F91B3A0D}" type="presOf" srcId="{C45608E5-C683-4F82-AC41-6429A24EED40}" destId="{53F278CD-DAFE-4670-A5E7-7708D74F671E}" srcOrd="0" destOrd="0" presId="urn:microsoft.com/office/officeart/2005/8/layout/radial1"/>
    <dgm:cxn modelId="{318812D4-FA3F-4A4F-B599-F76554C8F5E9}" type="presOf" srcId="{D9BD11F2-6636-4646-B3CF-323669445FAB}" destId="{C58C2EC9-2FE7-4521-9408-887873CF9CD6}" srcOrd="0"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E0594360-5C4F-4C47-B047-3E60D22AD80D}" srcId="{DE541715-C648-404D-8124-F14F463E9202}" destId="{C45608E5-C683-4F82-AC41-6429A24EED40}" srcOrd="5" destOrd="0" parTransId="{D9BD11F2-6636-4646-B3CF-323669445FAB}" sibTransId="{2C17D791-E651-44AA-801E-D486EB358D8A}"/>
    <dgm:cxn modelId="{A12C036A-14E7-451C-80B8-9B5BE762C5B4}" srcId="{DE541715-C648-404D-8124-F14F463E9202}" destId="{4E654411-73AD-4DF6-AD3B-E400E531439B}" srcOrd="4" destOrd="0" parTransId="{7DB15392-F5F7-49E2-8294-51A0B1B620AB}" sibTransId="{2B759E48-7284-455B-851A-DFF88118946F}"/>
    <dgm:cxn modelId="{D66FA0EB-381E-4583-881C-9CECE4BF2EF8}" type="presOf" srcId="{B343370C-8FB3-481F-B4DA-6C9C41B047BC}" destId="{0FDECDAE-6064-4D03-98A4-386BBAAFB761}" srcOrd="0" destOrd="0" presId="urn:microsoft.com/office/officeart/2005/8/layout/radial1"/>
    <dgm:cxn modelId="{E3CA3E9E-3C0A-4151-ADA4-09ABAE79B306}" type="presOf" srcId="{00297025-FE49-44ED-8151-9AC4B35C0885}" destId="{EED79A7F-2696-484A-8083-D28DF0387AD5}" srcOrd="0" destOrd="0" presId="urn:microsoft.com/office/officeart/2005/8/layout/radial1"/>
    <dgm:cxn modelId="{58894133-609C-4ACE-91C3-FAED54D28ABB}" type="presOf" srcId="{4E654411-73AD-4DF6-AD3B-E400E531439B}" destId="{2BEED572-A282-4C32-95EB-3B1996D142B1}"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628D5B7A-2F26-41AE-AB53-D3AAFD70AF62}" type="presOf" srcId="{DE541715-C648-404D-8124-F14F463E9202}" destId="{062AF917-2F47-4639-8A23-58AD52EC0F32}" srcOrd="0" destOrd="0" presId="urn:microsoft.com/office/officeart/2005/8/layout/radial1"/>
    <dgm:cxn modelId="{9FD88F9E-8722-46C0-A9CF-BDEB71BE6238}" type="presOf" srcId="{0740ED97-4265-4052-8B1C-8A14B3879E4E}" destId="{BA4F9CC8-82E2-4BE5-8120-3D5D089F9CF4}" srcOrd="1" destOrd="0" presId="urn:microsoft.com/office/officeart/2005/8/layout/radial1"/>
    <dgm:cxn modelId="{3811A0F9-5086-4DFC-B808-3DA90338E0B0}" type="presOf" srcId="{0740ED97-4265-4052-8B1C-8A14B3879E4E}" destId="{B654B038-4242-46EF-A10B-FF9B1A085532}" srcOrd="0" destOrd="0" presId="urn:microsoft.com/office/officeart/2005/8/layout/radial1"/>
    <dgm:cxn modelId="{871A5D55-6900-4743-B3F9-F730DE131749}" type="presOf" srcId="{7DB15392-F5F7-49E2-8294-51A0B1B620AB}" destId="{AD2F0D4B-AECA-4B10-81AC-261AA8BE8E98}" srcOrd="0" destOrd="0" presId="urn:microsoft.com/office/officeart/2005/8/layout/radial1"/>
    <dgm:cxn modelId="{8308705F-97C0-41B1-AAD2-079D57B17D7F}" type="presParOf" srcId="{08F189A1-AB47-41D1-8058-7A6DA66B3F52}" destId="{062AF917-2F47-4639-8A23-58AD52EC0F32}" srcOrd="0" destOrd="0" presId="urn:microsoft.com/office/officeart/2005/8/layout/radial1"/>
    <dgm:cxn modelId="{5D4F15B7-334F-442B-8321-B27070062ED2}" type="presParOf" srcId="{08F189A1-AB47-41D1-8058-7A6DA66B3F52}" destId="{27C08CD6-CB73-4E0E-BA37-473C15E9C926}" srcOrd="1" destOrd="0" presId="urn:microsoft.com/office/officeart/2005/8/layout/radial1"/>
    <dgm:cxn modelId="{55A1E650-55FE-43BF-A3C4-0516916D1B37}" type="presParOf" srcId="{27C08CD6-CB73-4E0E-BA37-473C15E9C926}" destId="{04068EB3-8728-47DB-8B53-1F3F6EA0E656}" srcOrd="0" destOrd="0" presId="urn:microsoft.com/office/officeart/2005/8/layout/radial1"/>
    <dgm:cxn modelId="{5866092C-BF98-41FA-BB9F-C08502AD8B23}" type="presParOf" srcId="{08F189A1-AB47-41D1-8058-7A6DA66B3F52}" destId="{8441BECF-C9FE-4C31-BFA4-B45EB6B3D1F0}" srcOrd="2" destOrd="0" presId="urn:microsoft.com/office/officeart/2005/8/layout/radial1"/>
    <dgm:cxn modelId="{CC61281D-8B3E-4CB6-BFA2-557A3544D538}" type="presParOf" srcId="{08F189A1-AB47-41D1-8058-7A6DA66B3F52}" destId="{27678B34-738D-4B59-81F4-6EB54DA6F256}" srcOrd="3" destOrd="0" presId="urn:microsoft.com/office/officeart/2005/8/layout/radial1"/>
    <dgm:cxn modelId="{3228ECB6-C4B0-481F-B2FE-5B3523A2973F}" type="presParOf" srcId="{27678B34-738D-4B59-81F4-6EB54DA6F256}" destId="{0D67A745-92A7-4C43-8F28-25B89678FC62}" srcOrd="0" destOrd="0" presId="urn:microsoft.com/office/officeart/2005/8/layout/radial1"/>
    <dgm:cxn modelId="{0A6DF8AD-9663-4A69-90C9-F5581DC83CEE}" type="presParOf" srcId="{08F189A1-AB47-41D1-8058-7A6DA66B3F52}" destId="{77E0AE60-7058-4D43-911F-C57FA8C6CA9F}" srcOrd="4" destOrd="0" presId="urn:microsoft.com/office/officeart/2005/8/layout/radial1"/>
    <dgm:cxn modelId="{51EE58DD-225C-4B37-98EE-32E129F48095}" type="presParOf" srcId="{08F189A1-AB47-41D1-8058-7A6DA66B3F52}" destId="{EED79A7F-2696-484A-8083-D28DF0387AD5}" srcOrd="5" destOrd="0" presId="urn:microsoft.com/office/officeart/2005/8/layout/radial1"/>
    <dgm:cxn modelId="{F85B4162-7A07-40BC-A6C3-165FA3B8626F}" type="presParOf" srcId="{EED79A7F-2696-484A-8083-D28DF0387AD5}" destId="{BEAB3A6A-1AD1-41B3-BDFE-B268898D2300}" srcOrd="0" destOrd="0" presId="urn:microsoft.com/office/officeart/2005/8/layout/radial1"/>
    <dgm:cxn modelId="{D986F56B-211B-4EB5-A1E3-48DDDE5CD711}" type="presParOf" srcId="{08F189A1-AB47-41D1-8058-7A6DA66B3F52}" destId="{05994623-F04A-4AAC-82E3-2D63726DAA8A}" srcOrd="6" destOrd="0" presId="urn:microsoft.com/office/officeart/2005/8/layout/radial1"/>
    <dgm:cxn modelId="{09910739-29C1-4808-A086-A0717AF347C4}" type="presParOf" srcId="{08F189A1-AB47-41D1-8058-7A6DA66B3F52}" destId="{B654B038-4242-46EF-A10B-FF9B1A085532}" srcOrd="7" destOrd="0" presId="urn:microsoft.com/office/officeart/2005/8/layout/radial1"/>
    <dgm:cxn modelId="{92D802B9-51C5-4F23-B5E7-A26BC049F327}" type="presParOf" srcId="{B654B038-4242-46EF-A10B-FF9B1A085532}" destId="{BA4F9CC8-82E2-4BE5-8120-3D5D089F9CF4}" srcOrd="0" destOrd="0" presId="urn:microsoft.com/office/officeart/2005/8/layout/radial1"/>
    <dgm:cxn modelId="{BAFB62EB-943B-469E-BB95-8504118BA826}" type="presParOf" srcId="{08F189A1-AB47-41D1-8058-7A6DA66B3F52}" destId="{3DB28723-07CF-4EFC-8E24-18E41E76D4AF}" srcOrd="8" destOrd="0" presId="urn:microsoft.com/office/officeart/2005/8/layout/radial1"/>
    <dgm:cxn modelId="{0D22D7B5-F794-4CDD-B6F4-A4ED156B8178}" type="presParOf" srcId="{08F189A1-AB47-41D1-8058-7A6DA66B3F52}" destId="{AD2F0D4B-AECA-4B10-81AC-261AA8BE8E98}" srcOrd="9" destOrd="0" presId="urn:microsoft.com/office/officeart/2005/8/layout/radial1"/>
    <dgm:cxn modelId="{1925C91B-F980-44B8-85BF-0C4DEF4EC662}" type="presParOf" srcId="{AD2F0D4B-AECA-4B10-81AC-261AA8BE8E98}" destId="{E48FCD09-4C54-4A10-9BB3-1920483E872B}" srcOrd="0" destOrd="0" presId="urn:microsoft.com/office/officeart/2005/8/layout/radial1"/>
    <dgm:cxn modelId="{57FBCBB7-424B-4E52-B62A-AF75C32B65A7}" type="presParOf" srcId="{08F189A1-AB47-41D1-8058-7A6DA66B3F52}" destId="{2BEED572-A282-4C32-95EB-3B1996D142B1}" srcOrd="10" destOrd="0" presId="urn:microsoft.com/office/officeart/2005/8/layout/radial1"/>
    <dgm:cxn modelId="{F387DEA1-C543-48BB-B8CF-6ED00B368653}" type="presParOf" srcId="{08F189A1-AB47-41D1-8058-7A6DA66B3F52}" destId="{C58C2EC9-2FE7-4521-9408-887873CF9CD6}" srcOrd="11" destOrd="0" presId="urn:microsoft.com/office/officeart/2005/8/layout/radial1"/>
    <dgm:cxn modelId="{FB780EB5-F1B7-4D21-B3B1-D7852A53435A}" type="presParOf" srcId="{C58C2EC9-2FE7-4521-9408-887873CF9CD6}" destId="{5F2F4C57-6D86-42F3-B46C-09D84EF99051}" srcOrd="0" destOrd="0" presId="urn:microsoft.com/office/officeart/2005/8/layout/radial1"/>
    <dgm:cxn modelId="{1884D81F-CCEC-444A-ADCF-68C3CE1EC855}" type="presParOf" srcId="{08F189A1-AB47-41D1-8058-7A6DA66B3F52}" destId="{53F278CD-DAFE-4670-A5E7-7708D74F671E}" srcOrd="12" destOrd="0" presId="urn:microsoft.com/office/officeart/2005/8/layout/radial1"/>
    <dgm:cxn modelId="{D117CDED-38D6-4AC3-821F-22373BD1DA94}" type="presParOf" srcId="{08F189A1-AB47-41D1-8058-7A6DA66B3F52}" destId="{9D7A60DE-15BF-4701-8167-A6BE55521FB0}" srcOrd="13" destOrd="0" presId="urn:microsoft.com/office/officeart/2005/8/layout/radial1"/>
    <dgm:cxn modelId="{75E1BF1A-8302-4B44-BD10-5CF105A61E0E}" type="presParOf" srcId="{9D7A60DE-15BF-4701-8167-A6BE55521FB0}" destId="{DA6728FC-5C85-4235-8ABB-D0CDA49DEB12}" srcOrd="0" destOrd="0" presId="urn:microsoft.com/office/officeart/2005/8/layout/radial1"/>
    <dgm:cxn modelId="{B3BA877B-1E80-422A-985B-B810B4BD42A9}"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59"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636790" y="937096"/>
          <a:ext cx="1044697" cy="7127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CB6E0A53-B07E-4B2B-89E7-D1FB86B27272}" type="parTrans" cxnId="{C80DF295-9AAD-4C0B-B8AF-3EDA956AFFF7}">
      <dgm:prSet/>
      <dgm:spPr>
        <a:xfrm rot="16200000">
          <a:off x="3051731" y="819453"/>
          <a:ext cx="214815" cy="20471"/>
        </a:xfrm>
      </dgm:spPr>
      <dgm:t>
        <a:bodyPr/>
        <a:lstStyle/>
        <a:p>
          <a:endParaRPr lang="en-US"/>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737226" y="312872"/>
          <a:ext cx="1061733"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31D2845E-7763-4EAF-A91C-F687BE68CFA9}" type="parTrans" cxnId="{8219E8C0-11D9-4ECE-9E9E-751EEF5551F9}">
      <dgm:prSet/>
      <dgm:spPr>
        <a:xfrm rot="19837505">
          <a:off x="3539989" y="972232"/>
          <a:ext cx="343383" cy="20471"/>
        </a:xfrm>
      </dgm:spPr>
      <dgm:t>
        <a:bodyPr/>
        <a:lstStyle/>
        <a:p>
          <a:endParaRPr lang="en-US"/>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4864205" y="947008"/>
          <a:ext cx="1096809"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Classifications &amp; Standards</a:t>
          </a:r>
        </a:p>
      </dgm:t>
    </dgm:pt>
    <dgm:pt modelId="{00297025-FE49-44ED-8151-9AC4B35C0885}" type="parTrans" cxnId="{60C424C7-CC54-4027-B080-4425E7B5050C}">
      <dgm:prSet/>
      <dgm:spPr>
        <a:xfrm rot="15120">
          <a:off x="3681471" y="1288153"/>
          <a:ext cx="1182752" cy="20471"/>
        </a:xfrm>
      </dgm:spPr>
      <dgm:t>
        <a:bodyPr/>
        <a:lstStyle/>
        <a:p>
          <a:endParaRPr lang="en-US"/>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380999" y="938359"/>
          <a:ext cx="1039814"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Global Databases</a:t>
          </a:r>
        </a:p>
      </dgm:t>
    </dgm:pt>
    <dgm:pt modelId="{0740ED97-4265-4052-8B1C-8A14B3879E4E}" type="parTrans" cxnId="{FF862692-6FE1-4C1B-8C29-4A220C00E54C}">
      <dgm:prSet/>
      <dgm:spPr>
        <a:xfrm rot="10798078">
          <a:off x="1420814" y="1283887"/>
          <a:ext cx="1215976" cy="20471"/>
        </a:xfrm>
      </dgm:spPr>
      <dgm:t>
        <a:bodyPr/>
        <a:lstStyle/>
        <a:p>
          <a:endParaRPr lang="en-US"/>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477987" y="343345"/>
          <a:ext cx="1163390"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p>
      </dgm:t>
    </dgm:pt>
    <dgm:pt modelId="{7DB15392-F5F7-49E2-8294-51A0B1B620AB}" type="parTrans" cxnId="{A12C036A-14E7-451C-80B8-9B5BE762C5B4}">
      <dgm:prSet/>
      <dgm:spPr>
        <a:xfrm rot="12502253">
          <a:off x="2478756" y="993615"/>
          <a:ext cx="288109" cy="20471"/>
        </a:xfrm>
      </dgm:spPr>
      <dgm:t>
        <a:bodyPr/>
        <a:lstStyle/>
        <a:p>
          <a:endParaRPr lang="en-US"/>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AMC</a:t>
          </a:r>
        </a:p>
      </dgm:t>
    </dgm:pt>
    <dgm:pt modelId="{92995B63-ADD2-4A50-AE0E-6CB45D8C6E35}" type="parTrans" cxnId="{97CE5D63-B5EC-4910-A585-3916F3D90753}">
      <dgm:prSet/>
      <dgm:spPr/>
      <dgm:t>
        <a:bodyPr/>
        <a:lstStyle/>
        <a:p>
          <a:endParaRPr lang="en-US"/>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 </a:t>
          </a:r>
        </a:p>
      </dgm:t>
    </dgm:pt>
    <dgm:pt modelId="{D048942C-F61A-4F2B-B900-E08A5C266B6D}" type="parTrans" cxnId="{7A8622CA-DAE5-441B-AF51-EADD298D7EC2}">
      <dgm:prSet/>
      <dgm:spPr/>
      <dgm:t>
        <a:bodyPr/>
        <a:lstStyle/>
        <a:p>
          <a:endParaRPr lang="en-US"/>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12848" custScaleY="81858"/>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188087" custScaleY="89227">
        <dgm:presLayoutVars>
          <dgm:bulletEnabled val="1"/>
        </dgm:presLayoutVars>
      </dgm:prSet>
      <dgm:spPr/>
      <dgm:t>
        <a:bodyPr/>
        <a:lstStyle/>
        <a:p>
          <a:endParaRPr lang="en-US"/>
        </a:p>
      </dgm:t>
    </dgm:pt>
    <dgm:pt modelId="{64B847BA-C336-4F4D-BCB1-E9F8B02329EB}" type="pres">
      <dgm:prSet presAssocID="{92995B63-ADD2-4A50-AE0E-6CB45D8C6E35}" presName="Name9" presStyleLbl="parChTrans1D2" presStyleIdx="1" presStyleCnt="7"/>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190073" custRadScaleRad="177017" custRadScaleInc="58500">
        <dgm:presLayoutVars>
          <dgm:bulletEnabled val="1"/>
        </dgm:presLayoutVars>
      </dgm:prSet>
      <dgm:spPr/>
      <dgm:t>
        <a:bodyPr/>
        <a:lstStyle/>
        <a:p>
          <a:endParaRPr lang="en-US"/>
        </a:p>
      </dgm:t>
    </dgm:pt>
    <dgm:pt modelId="{27C08CD6-CB73-4E0E-BA37-473C15E9C926}" type="pres">
      <dgm:prSet presAssocID="{CB6E0A53-B07E-4B2B-89E7-D1FB86B27272}" presName="Name9" presStyleLbl="parChTrans1D2" presStyleIdx="2" presStyleCnt="7"/>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64679" custScaleY="84583"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06308" custRadScaleRad="163923" custRadScaleInc="-171759">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38465" custScaleY="101315" custRadScaleRad="164216" custRadScaleInc="16922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96061" custRadScaleRad="290578" custRadScaleInc="50655">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211294" custScaleY="110412" custRadScaleRad="172566" custRadScaleInc="-59787">
        <dgm:presLayoutVars>
          <dgm:bulletEnabled val="1"/>
        </dgm:presLayoutVars>
      </dgm:prSet>
      <dgm:spPr>
        <a:prstGeom prst="ellipse">
          <a:avLst/>
        </a:prstGeom>
      </dgm:spPr>
      <dgm:t>
        <a:bodyPr/>
        <a:lstStyle/>
        <a:p>
          <a:endParaRPr lang="en-US"/>
        </a:p>
      </dgm:t>
    </dgm:pt>
  </dgm:ptLst>
  <dgm:cxnLst>
    <dgm:cxn modelId="{FF862692-6FE1-4C1B-8C29-4A220C00E54C}" srcId="{DE541715-C648-404D-8124-F14F463E9202}" destId="{115F3686-56C2-4580-9E8B-FA213D3DA5F6}" srcOrd="5" destOrd="0" parTransId="{0740ED97-4265-4052-8B1C-8A14B3879E4E}" sibTransId="{E9E35A43-605C-4C5A-B200-2A3B564FFAF5}"/>
    <dgm:cxn modelId="{BD766831-7EE2-4DEA-B87E-718619859B32}" type="presOf" srcId="{CB6E0A53-B07E-4B2B-89E7-D1FB86B27272}" destId="{04068EB3-8728-47DB-8B53-1F3F6EA0E656}" srcOrd="1" destOrd="0" presId="urn:microsoft.com/office/officeart/2005/8/layout/radial1"/>
    <dgm:cxn modelId="{BF95E313-A265-4E2F-80F7-733A93934C77}" type="presOf" srcId="{45870664-60BD-4390-952C-AB2EEF07F4DD}" destId="{8441BECF-C9FE-4C31-BFA4-B45EB6B3D1F0}" srcOrd="0" destOrd="0" presId="urn:microsoft.com/office/officeart/2005/8/layout/radial1"/>
    <dgm:cxn modelId="{47165198-D4BD-46BA-A542-F4140F739E7D}" type="presOf" srcId="{3617534A-E595-427C-AC8F-9064DFBAF0A6}" destId="{5A264607-8295-4AD5-8D4E-5E0F0A25C928}" srcOrd="0" destOrd="0" presId="urn:microsoft.com/office/officeart/2005/8/layout/radial1"/>
    <dgm:cxn modelId="{C92ED547-B995-42B0-811F-76FF54E673FD}" type="presOf" srcId="{0312DC60-63F3-4695-A4B2-2143D87CBA69}" destId="{1AB73DFF-B172-4EE5-8B1D-E235635E7315}" srcOrd="0" destOrd="0" presId="urn:microsoft.com/office/officeart/2005/8/layout/radial1"/>
    <dgm:cxn modelId="{68669603-ACE5-4118-A2A9-F646CA1C536E}" type="presOf" srcId="{3BD68AEB-F6E8-461F-8590-A67172B04D7C}" destId="{77E0AE60-7058-4D43-911F-C57FA8C6CA9F}" srcOrd="0" destOrd="0" presId="urn:microsoft.com/office/officeart/2005/8/layout/radial1"/>
    <dgm:cxn modelId="{5CA5D7C9-FCD8-4E7E-8F7B-D6EEA23ABC95}" type="presOf" srcId="{7DB15392-F5F7-49E2-8294-51A0B1B620AB}" destId="{E48FCD09-4C54-4A10-9BB3-1920483E872B}" srcOrd="1" destOrd="0" presId="urn:microsoft.com/office/officeart/2005/8/layout/radial1"/>
    <dgm:cxn modelId="{3FF5A068-742E-4D2E-B8EB-C1BFE31FFCB2}" type="presOf" srcId="{92995B63-ADD2-4A50-AE0E-6CB45D8C6E35}" destId="{64B847BA-C336-4F4D-BCB1-E9F8B02329EB}" srcOrd="0" destOrd="0" presId="urn:microsoft.com/office/officeart/2005/8/layout/radial1"/>
    <dgm:cxn modelId="{CA15AF15-8A3E-4135-9783-52E1CC80D8B3}" type="presOf" srcId="{CDE3C2D2-2338-40D3-9864-33A39CCB5CF4}" destId="{05994623-F04A-4AAC-82E3-2D63726DAA8A}"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F5872782-7B42-4C18-A712-6D6B1CCE9B36}" type="presOf" srcId="{00297025-FE49-44ED-8151-9AC4B35C0885}" destId="{EED79A7F-2696-484A-8083-D28DF0387AD5}" srcOrd="0" destOrd="0" presId="urn:microsoft.com/office/officeart/2005/8/layout/radial1"/>
    <dgm:cxn modelId="{60C424C7-CC54-4027-B080-4425E7B5050C}" srcId="{DE541715-C648-404D-8124-F14F463E9202}" destId="{CDE3C2D2-2338-40D3-9864-33A39CCB5CF4}" srcOrd="4" destOrd="0" parTransId="{00297025-FE49-44ED-8151-9AC4B35C0885}" sibTransId="{59703DE8-812C-459A-A996-B99B877A6FDC}"/>
    <dgm:cxn modelId="{DED8A1AD-D8F2-432A-A25D-5E5D3C23E375}" type="presOf" srcId="{D048942C-F61A-4F2B-B900-E08A5C266B6D}" destId="{7452C467-723D-40C3-B847-788D2E8C3669}" srcOrd="1" destOrd="0" presId="urn:microsoft.com/office/officeart/2005/8/layout/radial1"/>
    <dgm:cxn modelId="{4B3CF179-FDE3-4E57-BF47-F06754B09764}" type="presOf" srcId="{31D2845E-7763-4EAF-A91C-F687BE68CFA9}" destId="{0D67A745-92A7-4C43-8F28-25B89678FC62}" srcOrd="1"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4499AB43-A3AB-4C43-A2DF-404283294581}" type="presOf" srcId="{DE541715-C648-404D-8124-F14F463E9202}" destId="{062AF917-2F47-4639-8A23-58AD52EC0F32}" srcOrd="0" destOrd="0" presId="urn:microsoft.com/office/officeart/2005/8/layout/radial1"/>
    <dgm:cxn modelId="{B756B770-9D20-4C38-82C3-933A57DE2F9B}" type="presOf" srcId="{00297025-FE49-44ED-8151-9AC4B35C0885}" destId="{BEAB3A6A-1AD1-41B3-BDFE-B268898D2300}" srcOrd="1" destOrd="0" presId="urn:microsoft.com/office/officeart/2005/8/layout/radial1"/>
    <dgm:cxn modelId="{C80DF295-9AAD-4C0B-B8AF-3EDA956AFFF7}" srcId="{DE541715-C648-404D-8124-F14F463E9202}" destId="{45870664-60BD-4390-952C-AB2EEF07F4DD}" srcOrd="2" destOrd="0" parTransId="{CB6E0A53-B07E-4B2B-89E7-D1FB86B27272}" sibTransId="{E74149DA-41AA-4BE0-B8E7-7965A33DC1B0}"/>
    <dgm:cxn modelId="{20718819-5FF9-445C-B2D2-2B25A44357C4}" type="presOf" srcId="{115F3686-56C2-4580-9E8B-FA213D3DA5F6}" destId="{3DB28723-07CF-4EFC-8E24-18E41E76D4AF}" srcOrd="0" destOrd="0" presId="urn:microsoft.com/office/officeart/2005/8/layout/radial1"/>
    <dgm:cxn modelId="{69D0C9A8-435C-4D2C-BD10-96589C42E7CE}" type="presOf" srcId="{92995B63-ADD2-4A50-AE0E-6CB45D8C6E35}" destId="{826F95A3-91FC-4B4C-BC2D-78EBAEA00899}" srcOrd="1"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43CCF283-2854-4845-9A3E-FF0CA4335CE8}" type="presOf" srcId="{0740ED97-4265-4052-8B1C-8A14B3879E4E}" destId="{BA4F9CC8-82E2-4BE5-8120-3D5D089F9CF4}" srcOrd="1" destOrd="0" presId="urn:microsoft.com/office/officeart/2005/8/layout/radial1"/>
    <dgm:cxn modelId="{7A8622CA-DAE5-441B-AF51-EADD298D7EC2}" srcId="{DE541715-C648-404D-8124-F14F463E9202}" destId="{3617534A-E595-427C-AC8F-9064DFBAF0A6}" srcOrd="0" destOrd="0" parTransId="{D048942C-F61A-4F2B-B900-E08A5C266B6D}" sibTransId="{14D43D76-EF3E-4E3A-A784-4FA35B591162}"/>
    <dgm:cxn modelId="{97CE5D63-B5EC-4910-A585-3916F3D90753}" srcId="{DE541715-C648-404D-8124-F14F463E9202}" destId="{0312DC60-63F3-4695-A4B2-2143D87CBA69}" srcOrd="1" destOrd="0" parTransId="{92995B63-ADD2-4A50-AE0E-6CB45D8C6E35}" sibTransId="{27B22FCA-D743-4668-A987-13511BDD8FC7}"/>
    <dgm:cxn modelId="{90A1A51D-43DF-44F8-8AE6-C2D0F0FD61B4}" type="presOf" srcId="{31D2845E-7763-4EAF-A91C-F687BE68CFA9}" destId="{27678B34-738D-4B59-81F4-6EB54DA6F256}"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33C43D1-246B-4CAF-91D6-728CEA1EAB75}" type="presOf" srcId="{CB6E0A53-B07E-4B2B-89E7-D1FB86B27272}" destId="{27C08CD6-CB73-4E0E-BA37-473C15E9C926}" srcOrd="0" destOrd="0" presId="urn:microsoft.com/office/officeart/2005/8/layout/radial1"/>
    <dgm:cxn modelId="{4F1895DB-DCB8-4160-AE81-A87E40D36801}" type="presOf" srcId="{0740ED97-4265-4052-8B1C-8A14B3879E4E}" destId="{B654B038-4242-46EF-A10B-FF9B1A085532}" srcOrd="0" destOrd="0" presId="urn:microsoft.com/office/officeart/2005/8/layout/radial1"/>
    <dgm:cxn modelId="{8700C86B-E9B9-43B8-9C29-A463E802C48D}" type="presOf" srcId="{4E654411-73AD-4DF6-AD3B-E400E531439B}" destId="{2BEED572-A282-4C32-95EB-3B1996D142B1}" srcOrd="0" destOrd="0" presId="urn:microsoft.com/office/officeart/2005/8/layout/radial1"/>
    <dgm:cxn modelId="{12F044CD-63D5-4C75-8F26-A4873EF3BC6E}" type="presOf" srcId="{34E6C8D5-8D4F-4714-8A12-8F4599A8E760}" destId="{08F189A1-AB47-41D1-8058-7A6DA66B3F52}" srcOrd="0" destOrd="0" presId="urn:microsoft.com/office/officeart/2005/8/layout/radial1"/>
    <dgm:cxn modelId="{49BF2849-7C1B-4162-9914-4E39674726B9}" type="presOf" srcId="{7DB15392-F5F7-49E2-8294-51A0B1B620AB}" destId="{AD2F0D4B-AECA-4B10-81AC-261AA8BE8E98}" srcOrd="0" destOrd="0" presId="urn:microsoft.com/office/officeart/2005/8/layout/radial1"/>
    <dgm:cxn modelId="{61B228D3-1343-48E3-8150-DD2647841545}" type="presOf" srcId="{D048942C-F61A-4F2B-B900-E08A5C266B6D}" destId="{DDE83488-D0AF-4A61-9C32-0D1EF5D54320}" srcOrd="0" destOrd="0" presId="urn:microsoft.com/office/officeart/2005/8/layout/radial1"/>
    <dgm:cxn modelId="{526EA8C9-0CD6-4F2A-BDB0-6729DFE3D5DC}" type="presParOf" srcId="{08F189A1-AB47-41D1-8058-7A6DA66B3F52}" destId="{062AF917-2F47-4639-8A23-58AD52EC0F32}" srcOrd="0" destOrd="0" presId="urn:microsoft.com/office/officeart/2005/8/layout/radial1"/>
    <dgm:cxn modelId="{5B53BCFE-B69D-4DC9-A6BF-42B2B7564B26}" type="presParOf" srcId="{08F189A1-AB47-41D1-8058-7A6DA66B3F52}" destId="{DDE83488-D0AF-4A61-9C32-0D1EF5D54320}" srcOrd="1" destOrd="0" presId="urn:microsoft.com/office/officeart/2005/8/layout/radial1"/>
    <dgm:cxn modelId="{B5E2712B-6779-489D-9B15-50B4EF347C81}" type="presParOf" srcId="{DDE83488-D0AF-4A61-9C32-0D1EF5D54320}" destId="{7452C467-723D-40C3-B847-788D2E8C3669}" srcOrd="0" destOrd="0" presId="urn:microsoft.com/office/officeart/2005/8/layout/radial1"/>
    <dgm:cxn modelId="{A957A39C-9140-4BFA-804F-004C36530BBC}" type="presParOf" srcId="{08F189A1-AB47-41D1-8058-7A6DA66B3F52}" destId="{5A264607-8295-4AD5-8D4E-5E0F0A25C928}" srcOrd="2" destOrd="0" presId="urn:microsoft.com/office/officeart/2005/8/layout/radial1"/>
    <dgm:cxn modelId="{36752CC4-9DF2-4407-8DBE-FFC2DF7CD2A1}" type="presParOf" srcId="{08F189A1-AB47-41D1-8058-7A6DA66B3F52}" destId="{64B847BA-C336-4F4D-BCB1-E9F8B02329EB}" srcOrd="3" destOrd="0" presId="urn:microsoft.com/office/officeart/2005/8/layout/radial1"/>
    <dgm:cxn modelId="{ECA663B8-BE2D-4CC8-91CE-1EEB11B5CC5A}" type="presParOf" srcId="{64B847BA-C336-4F4D-BCB1-E9F8B02329EB}" destId="{826F95A3-91FC-4B4C-BC2D-78EBAEA00899}" srcOrd="0" destOrd="0" presId="urn:microsoft.com/office/officeart/2005/8/layout/radial1"/>
    <dgm:cxn modelId="{E27A6E5A-4E30-4F9F-8DBA-BF85A796315D}" type="presParOf" srcId="{08F189A1-AB47-41D1-8058-7A6DA66B3F52}" destId="{1AB73DFF-B172-4EE5-8B1D-E235635E7315}" srcOrd="4" destOrd="0" presId="urn:microsoft.com/office/officeart/2005/8/layout/radial1"/>
    <dgm:cxn modelId="{A0DB5536-B570-4BD6-A78E-D406A64B3E6A}" type="presParOf" srcId="{08F189A1-AB47-41D1-8058-7A6DA66B3F52}" destId="{27C08CD6-CB73-4E0E-BA37-473C15E9C926}" srcOrd="5" destOrd="0" presId="urn:microsoft.com/office/officeart/2005/8/layout/radial1"/>
    <dgm:cxn modelId="{9A942389-0D42-4806-B4BF-931BD037B91F}" type="presParOf" srcId="{27C08CD6-CB73-4E0E-BA37-473C15E9C926}" destId="{04068EB3-8728-47DB-8B53-1F3F6EA0E656}" srcOrd="0" destOrd="0" presId="urn:microsoft.com/office/officeart/2005/8/layout/radial1"/>
    <dgm:cxn modelId="{802E2925-0A25-4C49-AB79-9B950AEF2467}" type="presParOf" srcId="{08F189A1-AB47-41D1-8058-7A6DA66B3F52}" destId="{8441BECF-C9FE-4C31-BFA4-B45EB6B3D1F0}" srcOrd="6" destOrd="0" presId="urn:microsoft.com/office/officeart/2005/8/layout/radial1"/>
    <dgm:cxn modelId="{313D80C1-87AF-4D37-8105-CE8A813B597D}" type="presParOf" srcId="{08F189A1-AB47-41D1-8058-7A6DA66B3F52}" destId="{27678B34-738D-4B59-81F4-6EB54DA6F256}" srcOrd="7" destOrd="0" presId="urn:microsoft.com/office/officeart/2005/8/layout/radial1"/>
    <dgm:cxn modelId="{EABEE4EA-355F-422B-AEC2-77B23ECB8CD9}" type="presParOf" srcId="{27678B34-738D-4B59-81F4-6EB54DA6F256}" destId="{0D67A745-92A7-4C43-8F28-25B89678FC62}" srcOrd="0" destOrd="0" presId="urn:microsoft.com/office/officeart/2005/8/layout/radial1"/>
    <dgm:cxn modelId="{7206DECD-F409-40D4-91D7-7E65E17F8ADE}" type="presParOf" srcId="{08F189A1-AB47-41D1-8058-7A6DA66B3F52}" destId="{77E0AE60-7058-4D43-911F-C57FA8C6CA9F}" srcOrd="8" destOrd="0" presId="urn:microsoft.com/office/officeart/2005/8/layout/radial1"/>
    <dgm:cxn modelId="{76F911AD-3E21-4981-8861-38D9D91A2D20}" type="presParOf" srcId="{08F189A1-AB47-41D1-8058-7A6DA66B3F52}" destId="{EED79A7F-2696-484A-8083-D28DF0387AD5}" srcOrd="9" destOrd="0" presId="urn:microsoft.com/office/officeart/2005/8/layout/radial1"/>
    <dgm:cxn modelId="{F2A2E045-0200-4342-8ED1-A2F648CB49F0}" type="presParOf" srcId="{EED79A7F-2696-484A-8083-D28DF0387AD5}" destId="{BEAB3A6A-1AD1-41B3-BDFE-B268898D2300}" srcOrd="0" destOrd="0" presId="urn:microsoft.com/office/officeart/2005/8/layout/radial1"/>
    <dgm:cxn modelId="{90EE06A0-D29E-478C-BDFE-1A9B0D7BAD70}" type="presParOf" srcId="{08F189A1-AB47-41D1-8058-7A6DA66B3F52}" destId="{05994623-F04A-4AAC-82E3-2D63726DAA8A}" srcOrd="10" destOrd="0" presId="urn:microsoft.com/office/officeart/2005/8/layout/radial1"/>
    <dgm:cxn modelId="{BE61C4F5-8F02-4476-9C81-5C4EC7A98B96}" type="presParOf" srcId="{08F189A1-AB47-41D1-8058-7A6DA66B3F52}" destId="{B654B038-4242-46EF-A10B-FF9B1A085532}" srcOrd="11" destOrd="0" presId="urn:microsoft.com/office/officeart/2005/8/layout/radial1"/>
    <dgm:cxn modelId="{78221B9E-33BA-491E-878F-D528AF695782}" type="presParOf" srcId="{B654B038-4242-46EF-A10B-FF9B1A085532}" destId="{BA4F9CC8-82E2-4BE5-8120-3D5D089F9CF4}" srcOrd="0" destOrd="0" presId="urn:microsoft.com/office/officeart/2005/8/layout/radial1"/>
    <dgm:cxn modelId="{465BB5FA-5049-4CB3-8552-3A6CC4B38E07}" type="presParOf" srcId="{08F189A1-AB47-41D1-8058-7A6DA66B3F52}" destId="{3DB28723-07CF-4EFC-8E24-18E41E76D4AF}" srcOrd="12" destOrd="0" presId="urn:microsoft.com/office/officeart/2005/8/layout/radial1"/>
    <dgm:cxn modelId="{F3B48A57-BF7B-4B57-B7F4-B67011232D97}" type="presParOf" srcId="{08F189A1-AB47-41D1-8058-7A6DA66B3F52}" destId="{AD2F0D4B-AECA-4B10-81AC-261AA8BE8E98}" srcOrd="13" destOrd="0" presId="urn:microsoft.com/office/officeart/2005/8/layout/radial1"/>
    <dgm:cxn modelId="{19AD4003-D869-459A-AFC2-A5CACF93EEAB}" type="presParOf" srcId="{AD2F0D4B-AECA-4B10-81AC-261AA8BE8E98}" destId="{E48FCD09-4C54-4A10-9BB3-1920483E872B}" srcOrd="0" destOrd="0" presId="urn:microsoft.com/office/officeart/2005/8/layout/radial1"/>
    <dgm:cxn modelId="{2A1C9C1C-BCC7-45A9-971B-7ED7A4086374}"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66"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70529" y="78558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678204" y="775418"/>
          <a:ext cx="1236856" cy="5153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1915059" y="1025996"/>
          <a:ext cx="455470"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088070" y="782090"/>
          <a:ext cx="1222536" cy="5001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580228" y="1025534"/>
          <a:ext cx="507844"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25435" y="90112"/>
          <a:ext cx="1330197" cy="4798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875184" y="670234"/>
          <a:ext cx="215727"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7815"/>
              </a:moveTo>
              <a:lnTo>
                <a:pt x="150618" y="7815"/>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267802" custScaleY="96598" custRadScaleRad="77487" custRadScaleInc="-98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7815"/>
              </a:moveTo>
              <a:lnTo>
                <a:pt x="468343" y="7815"/>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246127" custScaleY="100693" custRadScaleRad="257116" custRadScaleInc="-4193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7815"/>
              </a:moveTo>
              <a:lnTo>
                <a:pt x="439465" y="7815"/>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49010" custScaleY="103751" custRadScaleRad="255380" custRadScaleInc="41822">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AAB72BC9-EA7D-4B6E-982C-CA729AB383AF}" type="presOf" srcId="{960C5593-E0FF-4AA5-AA0B-E8BDFFBC5E53}" destId="{CED9197C-8322-406B-917C-172FA36E7B76}"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A5693A82-7B70-42E1-9A27-802FCB875859}" type="presOf" srcId="{0FABC453-0A5C-4CAE-813B-F0494A34E025}" destId="{ADF94B70-0D7F-4A27-8DF9-17BCD27F4A7A}" srcOrd="0" destOrd="0" presId="urn:microsoft.com/office/officeart/2005/8/layout/radial1"/>
    <dgm:cxn modelId="{E371B1ED-25FB-4FAB-831D-F40CA3CD1806}" type="presOf" srcId="{C06C39C9-71B8-489C-9C45-3DD37A424E39}" destId="{0FAF3FA1-8E6C-455E-B189-A468B3F4D8BC}"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78F319EC-4844-438C-B9A5-6558A9EB407B}" type="presOf" srcId="{4693CA52-075F-4BD8-ABEA-5368BE377DDA}" destId="{4AC11394-3179-4EC5-A97F-D1A1B521CE2F}"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F37BC545-3DBE-4DDC-A10C-C3444437D38E}" type="presOf" srcId="{DE541715-C648-404D-8124-F14F463E9202}" destId="{062AF917-2F47-4639-8A23-58AD52EC0F32}" srcOrd="0" destOrd="0" presId="urn:microsoft.com/office/officeart/2005/8/layout/radial1"/>
    <dgm:cxn modelId="{ECDFACA5-23B5-4827-BD63-B3D636F86D36}" type="presOf" srcId="{7AF774ED-547E-4C04-8670-B0C1D08C5EE9}" destId="{326412CE-9911-4799-A459-B56F02EB4473}" srcOrd="1" destOrd="0" presId="urn:microsoft.com/office/officeart/2005/8/layout/radial1"/>
    <dgm:cxn modelId="{FCCA70DD-0458-415E-A2DA-FD980B1C7F0E}" type="presOf" srcId="{7AF774ED-547E-4C04-8670-B0C1D08C5EE9}" destId="{5337AE63-3722-42CC-AF72-36670EB7C5E1}" srcOrd="0" destOrd="0" presId="urn:microsoft.com/office/officeart/2005/8/layout/radial1"/>
    <dgm:cxn modelId="{7BDB140D-355E-42E5-9982-14BC09E77D9F}" type="presOf" srcId="{4631C2C5-1554-4289-90B0-F2D55D1595B6}" destId="{035B4C9A-0916-4FCC-A1CF-85DB358A289A}" srcOrd="0" destOrd="0" presId="urn:microsoft.com/office/officeart/2005/8/layout/radial1"/>
    <dgm:cxn modelId="{E902995E-3A14-4CC5-AEB5-6CE76F43897C}" type="presOf" srcId="{34E6C8D5-8D4F-4714-8A12-8F4599A8E760}" destId="{08F189A1-AB47-41D1-8058-7A6DA66B3F52}" srcOrd="0" destOrd="0" presId="urn:microsoft.com/office/officeart/2005/8/layout/radial1"/>
    <dgm:cxn modelId="{DF7B3AC8-422B-4091-A7D4-1302336086E5}" type="presOf" srcId="{0FABC453-0A5C-4CAE-813B-F0494A34E025}" destId="{EA4144E0-C5B2-4FC0-BDB2-550B61DB7DFD}" srcOrd="1" destOrd="0" presId="urn:microsoft.com/office/officeart/2005/8/layout/radial1"/>
    <dgm:cxn modelId="{627DE056-8935-47A6-ACD9-8A0AFA6AAC6C}" type="presOf" srcId="{4693CA52-075F-4BD8-ABEA-5368BE377DDA}" destId="{62A1F741-432F-46BE-AE07-15F0B6D5EA89}" srcOrd="1" destOrd="0" presId="urn:microsoft.com/office/officeart/2005/8/layout/radial1"/>
    <dgm:cxn modelId="{9379D0F4-C6FE-4054-A4D6-33C373F26CE8}" type="presParOf" srcId="{08F189A1-AB47-41D1-8058-7A6DA66B3F52}" destId="{062AF917-2F47-4639-8A23-58AD52EC0F32}" srcOrd="0" destOrd="0" presId="urn:microsoft.com/office/officeart/2005/8/layout/radial1"/>
    <dgm:cxn modelId="{EFE7D31C-674D-4CFF-8607-56DA46C1BFC8}" type="presParOf" srcId="{08F189A1-AB47-41D1-8058-7A6DA66B3F52}" destId="{5337AE63-3722-42CC-AF72-36670EB7C5E1}" srcOrd="1" destOrd="0" presId="urn:microsoft.com/office/officeart/2005/8/layout/radial1"/>
    <dgm:cxn modelId="{5412622C-808F-4438-9006-0E4FFE484FEA}" type="presParOf" srcId="{5337AE63-3722-42CC-AF72-36670EB7C5E1}" destId="{326412CE-9911-4799-A459-B56F02EB4473}" srcOrd="0" destOrd="0" presId="urn:microsoft.com/office/officeart/2005/8/layout/radial1"/>
    <dgm:cxn modelId="{4D81F7F4-9097-4BEF-BCC7-64359C6F0C44}" type="presParOf" srcId="{08F189A1-AB47-41D1-8058-7A6DA66B3F52}" destId="{CED9197C-8322-406B-917C-172FA36E7B76}" srcOrd="2" destOrd="0" presId="urn:microsoft.com/office/officeart/2005/8/layout/radial1"/>
    <dgm:cxn modelId="{143BE37A-EE05-46B1-BFA7-22E60BEB135C}" type="presParOf" srcId="{08F189A1-AB47-41D1-8058-7A6DA66B3F52}" destId="{4AC11394-3179-4EC5-A97F-D1A1B521CE2F}" srcOrd="3" destOrd="0" presId="urn:microsoft.com/office/officeart/2005/8/layout/radial1"/>
    <dgm:cxn modelId="{523527B4-2B81-47CF-AF7C-81391CE398EE}" type="presParOf" srcId="{4AC11394-3179-4EC5-A97F-D1A1B521CE2F}" destId="{62A1F741-432F-46BE-AE07-15F0B6D5EA89}" srcOrd="0" destOrd="0" presId="urn:microsoft.com/office/officeart/2005/8/layout/radial1"/>
    <dgm:cxn modelId="{B4BBB82A-86DA-444E-9CF2-078B7A06D210}" type="presParOf" srcId="{08F189A1-AB47-41D1-8058-7A6DA66B3F52}" destId="{035B4C9A-0916-4FCC-A1CF-85DB358A289A}" srcOrd="4" destOrd="0" presId="urn:microsoft.com/office/officeart/2005/8/layout/radial1"/>
    <dgm:cxn modelId="{39E0E553-4652-40AA-B7EB-61A62C9AB1B3}" type="presParOf" srcId="{08F189A1-AB47-41D1-8058-7A6DA66B3F52}" destId="{ADF94B70-0D7F-4A27-8DF9-17BCD27F4A7A}" srcOrd="5" destOrd="0" presId="urn:microsoft.com/office/officeart/2005/8/layout/radial1"/>
    <dgm:cxn modelId="{8AD9F984-4AEB-47E9-81BD-FF3DB409767A}" type="presParOf" srcId="{ADF94B70-0D7F-4A27-8DF9-17BCD27F4A7A}" destId="{EA4144E0-C5B2-4FC0-BDB2-550B61DB7DFD}" srcOrd="0" destOrd="0" presId="urn:microsoft.com/office/officeart/2005/8/layout/radial1"/>
    <dgm:cxn modelId="{66F3F07A-BEB1-4B80-89CC-FA4C5895ADC0}"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73"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endPar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8" y="0"/>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86">
          <a:off x="2637251" y="654832"/>
          <a:ext cx="174270"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70688"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A99494F1-A175-4813-9A32-8BD52D0A3052}"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7ABB250C-90D6-4B79-913F-8F4E75E302D8}" type="presOf" srcId="{34E6C8D5-8D4F-4714-8A12-8F4599A8E760}" destId="{08F189A1-AB47-41D1-8058-7A6DA66B3F52}" srcOrd="0" destOrd="0" presId="urn:microsoft.com/office/officeart/2005/8/layout/radial1"/>
    <dgm:cxn modelId="{1C9165CB-6AEB-44EE-98B7-A7D09AF20700}" type="presOf" srcId="{DE541715-C648-404D-8124-F14F463E9202}" destId="{062AF917-2F47-4639-8A23-58AD52EC0F32}" srcOrd="0" destOrd="0" presId="urn:microsoft.com/office/officeart/2005/8/layout/radial1"/>
    <dgm:cxn modelId="{7831DC65-5285-47E7-A088-A1AFE05544B4}" type="presOf" srcId="{C06C39C9-71B8-489C-9C45-3DD37A424E39}" destId="{0FAF3FA1-8E6C-455E-B189-A468B3F4D8BC}" srcOrd="0" destOrd="0" presId="urn:microsoft.com/office/officeart/2005/8/layout/radial1"/>
    <dgm:cxn modelId="{99131A38-6A62-47FD-99C3-D8E881106C1B}" type="presOf" srcId="{4631C2C5-1554-4289-90B0-F2D55D1595B6}" destId="{035B4C9A-0916-4FCC-A1CF-85DB358A289A}"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248698A6-055B-40E3-B808-D624056EF2B0}" srcId="{DE541715-C648-404D-8124-F14F463E9202}" destId="{C06C39C9-71B8-489C-9C45-3DD37A424E39}" srcOrd="2" destOrd="0" parTransId="{0FABC453-0A5C-4CAE-813B-F0494A34E025}" sibTransId="{DCD34884-F96E-475A-9010-14DE66A403A6}"/>
    <dgm:cxn modelId="{66A4E586-042C-46AD-BB9A-4F8AE27FA882}" type="presOf" srcId="{45A6C23B-D452-4078-BA3A-466D0894B9EB}" destId="{C7C9B7EB-2DEF-4B99-8D38-AC2E9641BEB5}" srcOrd="1" destOrd="0" presId="urn:microsoft.com/office/officeart/2005/8/layout/radial1"/>
    <dgm:cxn modelId="{13F76B63-4755-4CDE-A4B5-FC26DFDF8EBA}" type="presOf" srcId="{0FABC453-0A5C-4CAE-813B-F0494A34E025}" destId="{EA4144E0-C5B2-4FC0-BDB2-550B61DB7DFD}" srcOrd="1" destOrd="0" presId="urn:microsoft.com/office/officeart/2005/8/layout/radial1"/>
    <dgm:cxn modelId="{C7C2506A-25A7-4E84-AFAE-83FB6F1F75A6}" type="presOf" srcId="{5C260341-F1C3-4458-A657-957289015FC3}" destId="{976BA53C-17D4-4F7C-9078-1272C469C9E5}" srcOrd="0" destOrd="0" presId="urn:microsoft.com/office/officeart/2005/8/layout/radial1"/>
    <dgm:cxn modelId="{2F6C2565-6AD9-488D-92FF-3AA910E96DDF}" type="presOf" srcId="{4693CA52-075F-4BD8-ABEA-5368BE377DDA}" destId="{62A1F741-432F-46BE-AE07-15F0B6D5EA89}" srcOrd="1" destOrd="0" presId="urn:microsoft.com/office/officeart/2005/8/layout/radial1"/>
    <dgm:cxn modelId="{6D99FD77-58A9-450D-B4D9-D43E5910429B}" type="presOf" srcId="{45A6C23B-D452-4078-BA3A-466D0894B9EB}" destId="{64248C57-3CE0-4657-BC67-6279BA0257B1}" srcOrd="0" destOrd="0" presId="urn:microsoft.com/office/officeart/2005/8/layout/radial1"/>
    <dgm:cxn modelId="{6A84DCF3-FFA6-4927-9677-9ADC2EACDD57}" type="presOf" srcId="{4693CA52-075F-4BD8-ABEA-5368BE377DDA}" destId="{4AC11394-3179-4EC5-A97F-D1A1B521CE2F}" srcOrd="0" destOrd="0" presId="urn:microsoft.com/office/officeart/2005/8/layout/radial1"/>
    <dgm:cxn modelId="{78145FD1-24E2-4EAD-AC83-5D22E815C584}" type="presParOf" srcId="{08F189A1-AB47-41D1-8058-7A6DA66B3F52}" destId="{062AF917-2F47-4639-8A23-58AD52EC0F32}" srcOrd="0" destOrd="0" presId="urn:microsoft.com/office/officeart/2005/8/layout/radial1"/>
    <dgm:cxn modelId="{16DE89EF-6177-4408-9021-1F544C67DA3D}" type="presParOf" srcId="{08F189A1-AB47-41D1-8058-7A6DA66B3F52}" destId="{4AC11394-3179-4EC5-A97F-D1A1B521CE2F}" srcOrd="1" destOrd="0" presId="urn:microsoft.com/office/officeart/2005/8/layout/radial1"/>
    <dgm:cxn modelId="{657884BA-15B8-4BE8-9525-0C602A2B8D07}" type="presParOf" srcId="{4AC11394-3179-4EC5-A97F-D1A1B521CE2F}" destId="{62A1F741-432F-46BE-AE07-15F0B6D5EA89}" srcOrd="0" destOrd="0" presId="urn:microsoft.com/office/officeart/2005/8/layout/radial1"/>
    <dgm:cxn modelId="{DE4A8D9C-6581-4302-AF0F-93BC1398294C}" type="presParOf" srcId="{08F189A1-AB47-41D1-8058-7A6DA66B3F52}" destId="{035B4C9A-0916-4FCC-A1CF-85DB358A289A}" srcOrd="2" destOrd="0" presId="urn:microsoft.com/office/officeart/2005/8/layout/radial1"/>
    <dgm:cxn modelId="{BD8FA146-387E-4AFC-B604-FAB3AB99BB30}" type="presParOf" srcId="{08F189A1-AB47-41D1-8058-7A6DA66B3F52}" destId="{64248C57-3CE0-4657-BC67-6279BA0257B1}" srcOrd="3" destOrd="0" presId="urn:microsoft.com/office/officeart/2005/8/layout/radial1"/>
    <dgm:cxn modelId="{98574113-F3B7-46EB-A74F-CD76DFFD624E}" type="presParOf" srcId="{64248C57-3CE0-4657-BC67-6279BA0257B1}" destId="{C7C9B7EB-2DEF-4B99-8D38-AC2E9641BEB5}" srcOrd="0" destOrd="0" presId="urn:microsoft.com/office/officeart/2005/8/layout/radial1"/>
    <dgm:cxn modelId="{69365B69-85EC-4DBC-8EBE-ADF93991CC6D}" type="presParOf" srcId="{08F189A1-AB47-41D1-8058-7A6DA66B3F52}" destId="{976BA53C-17D4-4F7C-9078-1272C469C9E5}" srcOrd="4" destOrd="0" presId="urn:microsoft.com/office/officeart/2005/8/layout/radial1"/>
    <dgm:cxn modelId="{9781A65D-71ED-4B67-9B88-0CB00BD1FE38}" type="presParOf" srcId="{08F189A1-AB47-41D1-8058-7A6DA66B3F52}" destId="{ADF94B70-0D7F-4A27-8DF9-17BCD27F4A7A}" srcOrd="5" destOrd="0" presId="urn:microsoft.com/office/officeart/2005/8/layout/radial1"/>
    <dgm:cxn modelId="{1A9D85C6-4B25-4AE2-8335-F95396FA98B5}" type="presParOf" srcId="{ADF94B70-0D7F-4A27-8DF9-17BCD27F4A7A}" destId="{EA4144E0-C5B2-4FC0-BDB2-550B61DB7DFD}" srcOrd="0" destOrd="0" presId="urn:microsoft.com/office/officeart/2005/8/layout/radial1"/>
    <dgm:cxn modelId="{EEB771E9-600A-4388-BB02-4345931CE6DC}"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80"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dgm:t>
        <a:bodyPr/>
        <a:lstStyle/>
        <a:p>
          <a:r>
            <a:rPr lang="en-US" sz="1200">
              <a:latin typeface="Arial" panose="020B0604020202020204" pitchFamily="34" charset="0"/>
              <a:cs typeface="Arial" panose="020B0604020202020204" pitchFamily="34" charset="0"/>
            </a:rPr>
            <a:t>Program 7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20 </a:t>
          </a:r>
        </a:p>
        <a:p>
          <a:r>
            <a:rPr lang="en-US" sz="900">
              <a:latin typeface="Arial" panose="020B0604020202020204" pitchFamily="34" charset="0"/>
              <a:cs typeface="Arial" panose="020B0604020202020204" pitchFamily="34" charset="0"/>
            </a:rPr>
            <a:t>External Relations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dgm:t>
        <a:bodyPr/>
        <a:lstStyle/>
        <a:p>
          <a:endParaRPr lang="en-US"/>
        </a:p>
      </dgm:t>
    </dgm:pt>
    <dgm:pt modelId="{44FBC2E2-D754-42C1-BEE4-69029644251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18 </a:t>
          </a:r>
        </a:p>
        <a:p>
          <a:r>
            <a:rPr lang="en-US" sz="900">
              <a:latin typeface="Arial" panose="020B0604020202020204" pitchFamily="34" charset="0"/>
              <a:cs typeface="Arial" panose="020B0604020202020204" pitchFamily="34" charset="0"/>
            </a:rPr>
            <a:t>IP &amp; GC</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dgm:t>
        <a:bodyPr/>
        <a:lstStyle/>
        <a:p>
          <a:endParaRPr lang="en-US"/>
        </a:p>
      </dgm:t>
    </dgm:pt>
    <dgm:pt modelId="{2628F477-2289-4CEE-9618-96DDAFCD429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17 </a:t>
          </a:r>
        </a:p>
        <a:p>
          <a:r>
            <a:rPr lang="en-US" sz="900">
              <a:latin typeface="Arial" panose="020B0604020202020204" pitchFamily="34" charset="0"/>
              <a:cs typeface="Arial" panose="020B0604020202020204" pitchFamily="34" charset="0"/>
            </a:rPr>
            <a:t>Building Respect for IP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dgm:t>
        <a:bodyPr/>
        <a:lstStyle/>
        <a:p>
          <a:endParaRPr lang="en-US"/>
        </a:p>
      </dgm:t>
    </dgm:pt>
    <dgm:pt modelId="{7C1FA040-4399-40F0-866F-845B7914F68D}">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10 </a:t>
          </a:r>
        </a:p>
        <a:p>
          <a:r>
            <a:rPr lang="en-US" sz="900">
              <a:latin typeface="Arial" panose="020B0604020202020204" pitchFamily="34" charset="0"/>
              <a:cs typeface="Arial" panose="020B0604020202020204" pitchFamily="34" charset="0"/>
            </a:rPr>
            <a:t>TDC</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dgm:t>
        <a:bodyPr/>
        <a:lstStyle/>
        <a:p>
          <a:endParaRPr lang="en-US"/>
        </a:p>
      </dgm:t>
    </dgm:pt>
    <dgm:pt modelId="{14602118-D739-48CC-85E0-791974AFA995}">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9</a:t>
          </a:r>
        </a:p>
        <a:p>
          <a:r>
            <a:rPr lang="en-US" sz="900">
              <a:latin typeface="Arial" panose="020B0604020202020204" pitchFamily="34" charset="0"/>
              <a:cs typeface="Arial" panose="020B0604020202020204" pitchFamily="34" charset="0"/>
            </a:rPr>
            <a:t> Regional Bureaus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dgm:t>
        <a:bodyPr/>
        <a:lstStyle/>
        <a:p>
          <a:endParaRPr lang="en-US"/>
        </a:p>
      </dgm:t>
    </dgm:pt>
    <dgm:pt modelId="{DB0D84B1-C440-4746-9EEF-F1ED71D64DD2}">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6</a:t>
          </a:r>
        </a:p>
        <a:p>
          <a:r>
            <a:rPr lang="en-US" sz="900">
              <a:latin typeface="Arial" panose="020B0604020202020204" pitchFamily="34" charset="0"/>
              <a:cs typeface="Arial" panose="020B0604020202020204" pitchFamily="34" charset="0"/>
            </a:rPr>
            <a:t>Madrid &amp; Lisbon Systems </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dgm:t>
        <a:bodyPr/>
        <a:lstStyle/>
        <a:p>
          <a:endParaRPr lang="en-US"/>
        </a:p>
      </dgm:t>
    </dgm:pt>
    <dgm:pt modelId="{6DAE892F-3F2D-42A5-BB1C-58D0E6BD9A47}">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5 </a:t>
          </a:r>
        </a:p>
        <a:p>
          <a:r>
            <a:rPr lang="en-US" sz="900">
              <a:latin typeface="Arial" panose="020B0604020202020204" pitchFamily="34" charset="0"/>
              <a:cs typeface="Arial" panose="020B0604020202020204" pitchFamily="34" charset="0"/>
            </a:rPr>
            <a:t>PCT</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dgm:t>
        <a:bodyPr/>
        <a:lstStyle/>
        <a:p>
          <a:endParaRPr lang="en-US"/>
        </a:p>
      </dgm:t>
    </dgm:pt>
    <dgm:pt modelId="{898446A3-EA8C-4C13-8A65-DF8A110D0838}">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3 </a:t>
          </a:r>
        </a:p>
        <a:p>
          <a:r>
            <a:rPr lang="en-US" sz="900">
              <a:latin typeface="Arial" panose="020B0604020202020204" pitchFamily="34" charset="0"/>
              <a:cs typeface="Arial" panose="020B0604020202020204" pitchFamily="34" charset="0"/>
            </a:rPr>
            <a:t>CRR</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dgm:t>
        <a:bodyPr/>
        <a:lstStyle/>
        <a:p>
          <a:endParaRPr lang="en-US"/>
        </a:p>
      </dgm:t>
    </dgm:pt>
    <dgm:pt modelId="{68A5766F-115C-487E-B7CB-4ADE150678D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2 </a:t>
          </a:r>
        </a:p>
        <a:p>
          <a:r>
            <a:rPr lang="en-US" sz="900">
              <a:latin typeface="Arial" panose="020B0604020202020204" pitchFamily="34" charset="0"/>
              <a:cs typeface="Arial" panose="020B0604020202020204" pitchFamily="34" charset="0"/>
            </a:rPr>
            <a:t>TM, ID &amp; GI </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dgm:t>
        <a:bodyPr/>
        <a:lstStyle/>
        <a:p>
          <a:endParaRPr lang="en-US"/>
        </a:p>
      </dgm:t>
    </dgm:pt>
    <dgm:pt modelId="{3869496C-0E19-4CE4-AC4D-8E2619BF9D68}">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 31 </a:t>
          </a:r>
        </a:p>
        <a:p>
          <a:r>
            <a:rPr lang="en-US" sz="1000">
              <a:latin typeface="Arial" panose="020B0604020202020204" pitchFamily="34" charset="0"/>
              <a:cs typeface="Arial" panose="020B0604020202020204" pitchFamily="34" charset="0"/>
            </a:rPr>
            <a:t>Hague System  </a:t>
          </a:r>
        </a:p>
      </dgm:t>
    </dgm:pt>
    <dgm:pt modelId="{AD80D2A2-2CDC-439E-8A80-49FDDE50F566}" type="parTrans" cxnId="{A5794848-FA88-45E4-9420-D1C7392B5B45}">
      <dgm:prSet/>
      <dgm:spPr/>
      <dgm:t>
        <a:bodyPr/>
        <a:lstStyle/>
        <a:p>
          <a:endParaRPr lang="en-US"/>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dgm:t>
        <a:bodyPr/>
        <a:lstStyle/>
        <a:p>
          <a:endParaRPr lang="en-US"/>
        </a:p>
      </dgm:t>
    </dgm:pt>
    <dgm:pt modelId="{E6ACA703-0949-41B3-BE6B-C702E5C7275F}" type="pres">
      <dgm:prSet presAssocID="{BA28F4A6-AD16-499D-88C1-DBE004B28175}" presName="Name9" presStyleLbl="parChTrans1D2" presStyleIdx="0" presStyleCnt="10"/>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194732" custScaleY="96645" custRadScaleRad="100976" custRadScaleInc="23834">
        <dgm:presLayoutVars>
          <dgm:bulletEnabled val="1"/>
        </dgm:presLayoutVars>
      </dgm:prSet>
      <dgm:spPr/>
      <dgm:t>
        <a:bodyPr/>
        <a:lstStyle/>
        <a:p>
          <a:endParaRPr lang="en-US"/>
        </a:p>
      </dgm:t>
    </dgm:pt>
    <dgm:pt modelId="{34515D96-C834-4D67-AF5C-3B293601CBC3}" type="pres">
      <dgm:prSet presAssocID="{DB9FEC62-86A7-454A-89B3-F32F1907C71A}" presName="Name9" presStyleLbl="parChTrans1D2" presStyleIdx="1" presStyleCnt="10"/>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179880" custRadScaleRad="133162" custRadScaleInc="70776">
        <dgm:presLayoutVars>
          <dgm:bulletEnabled val="1"/>
        </dgm:presLayoutVars>
      </dgm:prSet>
      <dgm:spPr/>
      <dgm:t>
        <a:bodyPr/>
        <a:lstStyle/>
        <a:p>
          <a:endParaRPr lang="en-US"/>
        </a:p>
      </dgm:t>
    </dgm:pt>
    <dgm:pt modelId="{5CF8296B-0142-429D-A71A-20799D2EB74B}" type="pres">
      <dgm:prSet presAssocID="{D22DE764-173E-47DF-9480-722F8D8EA62C}" presName="Name9" presStyleLbl="parChTrans1D2" presStyleIdx="2" presStyleCnt="10"/>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2822" custRadScaleInc="-41">
        <dgm:presLayoutVars>
          <dgm:bulletEnabled val="1"/>
        </dgm:presLayoutVars>
      </dgm:prSet>
      <dgm:spPr/>
      <dgm:t>
        <a:bodyPr/>
        <a:lstStyle/>
        <a:p>
          <a:endParaRPr lang="en-US"/>
        </a:p>
      </dgm:t>
    </dgm:pt>
    <dgm:pt modelId="{DC281168-2DBC-4CFB-B21D-C54E9628B383}" type="pres">
      <dgm:prSet presAssocID="{9E510621-404D-46D6-8EB3-39712C8626D4}" presName="Name9" presStyleLbl="parChTrans1D2" presStyleIdx="3" presStyleCnt="10"/>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63276" custScaleY="112032" custRadScaleRad="188111" custRadScaleInc="-97025">
        <dgm:presLayoutVars>
          <dgm:bulletEnabled val="1"/>
        </dgm:presLayoutVars>
      </dgm:prSet>
      <dgm:spPr/>
      <dgm:t>
        <a:bodyPr/>
        <a:lstStyle/>
        <a:p>
          <a:endParaRPr lang="en-US"/>
        </a:p>
      </dgm:t>
    </dgm:pt>
    <dgm:pt modelId="{4DF1B0BE-A63A-4BEA-9EE5-4168481CC99E}" type="pres">
      <dgm:prSet presAssocID="{3F89048A-3F9F-4897-8631-4599F4976029}" presName="Name9" presStyleLbl="parChTrans1D2" presStyleIdx="4" presStyleCnt="10"/>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25113" custRadScaleRad="136236" custRadScaleInc="-181027">
        <dgm:presLayoutVars>
          <dgm:bulletEnabled val="1"/>
        </dgm:presLayoutVars>
      </dgm:prSet>
      <dgm:spPr/>
      <dgm:t>
        <a:bodyPr/>
        <a:lstStyle/>
        <a:p>
          <a:endParaRPr lang="en-US"/>
        </a:p>
      </dgm:t>
    </dgm:pt>
    <dgm:pt modelId="{E49C447F-3477-4311-B10B-FFFA7DE7209F}" type="pres">
      <dgm:prSet presAssocID="{98585C11-761C-43C4-979D-FB1B8BABF102}" presName="Name9" presStyleLbl="parChTrans1D2" presStyleIdx="5" presStyleCnt="10"/>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69551" custRadScaleInc="-76119">
        <dgm:presLayoutVars>
          <dgm:bulletEnabled val="1"/>
        </dgm:presLayoutVars>
      </dgm:prSet>
      <dgm:spPr/>
      <dgm:t>
        <a:bodyPr/>
        <a:lstStyle/>
        <a:p>
          <a:endParaRPr lang="en-US"/>
        </a:p>
      </dgm:t>
    </dgm:pt>
    <dgm:pt modelId="{FCC14444-D5E7-4E9C-B980-A27CD799E442}" type="pres">
      <dgm:prSet presAssocID="{DEF73824-C893-4963-9504-7E97D2FF5253}" presName="Name9" presStyleLbl="parChTrans1D2" presStyleIdx="6" presStyleCnt="10"/>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36735" custScaleY="109229" custRadScaleRad="111852" custRadScaleInc="140081">
        <dgm:presLayoutVars>
          <dgm:bulletEnabled val="1"/>
        </dgm:presLayoutVars>
      </dgm:prSet>
      <dgm:spPr/>
      <dgm:t>
        <a:bodyPr/>
        <a:lstStyle/>
        <a:p>
          <a:endParaRPr lang="en-US"/>
        </a:p>
      </dgm:t>
    </dgm:pt>
    <dgm:pt modelId="{7B59CB2C-C82F-41EE-B3CF-ADD4878ADBA6}" type="pres">
      <dgm:prSet presAssocID="{2F72DDEE-62D3-48A5-836A-4C87596541F0}" presName="Name9" presStyleLbl="parChTrans1D2" presStyleIdx="7" presStyleCnt="10"/>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16441" custScaleY="105604" custRadScaleRad="180961" custRadScaleInc="70653">
        <dgm:presLayoutVars>
          <dgm:bulletEnabled val="1"/>
        </dgm:presLayoutVars>
      </dgm:prSet>
      <dgm:spPr/>
      <dgm:t>
        <a:bodyPr/>
        <a:lstStyle/>
        <a:p>
          <a:endParaRPr lang="en-US"/>
        </a:p>
      </dgm:t>
    </dgm:pt>
    <dgm:pt modelId="{EFB9CB5A-411C-454B-96B1-9ED988829CBE}" type="pres">
      <dgm:prSet presAssocID="{B4A5C031-92B2-438E-80BC-EAA05F5C7CF7}" presName="Name9" presStyleLbl="parChTrans1D2" presStyleIdx="8" presStyleCnt="10"/>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dgm:t>
        <a:bodyPr/>
        <a:lstStyle/>
        <a:p>
          <a:endParaRPr lang="en-US"/>
        </a:p>
      </dgm:t>
    </dgm:pt>
    <dgm:pt modelId="{5DC5D51E-945B-4CCC-B580-737CA66D42E3}" type="pres">
      <dgm:prSet presAssocID="{AD80D2A2-2CDC-439E-8A80-49FDDE50F566}" presName="Name9" presStyleLbl="parChTrans1D2" presStyleIdx="9" presStyleCnt="10"/>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15842" custScaleY="119916" custRadScaleRad="124792" custRadScaleInc="-64483">
        <dgm:presLayoutVars>
          <dgm:bulletEnabled val="1"/>
        </dgm:presLayoutVars>
      </dgm:prSet>
      <dgm:spPr/>
      <dgm:t>
        <a:bodyPr/>
        <a:lstStyle/>
        <a:p>
          <a:endParaRPr lang="en-US"/>
        </a:p>
      </dgm:t>
    </dgm:pt>
  </dgm:ptLst>
  <dgm:cxnLst>
    <dgm:cxn modelId="{F1535F88-782C-4788-BDFB-67A6AC73B7A6}" type="presOf" srcId="{BA28F4A6-AD16-499D-88C1-DBE004B28175}" destId="{E6ACA703-0949-41B3-BE6B-C702E5C7275F}" srcOrd="0" destOrd="0" presId="urn:microsoft.com/office/officeart/2005/8/layout/radial1"/>
    <dgm:cxn modelId="{FE1169E0-24DF-4FBB-A1C9-8F332C85663A}" srcId="{A7516A72-1FC0-46ED-AAC4-AF0F7063F737}" destId="{6DAE892F-3F2D-42A5-BB1C-58D0E6BD9A47}" srcOrd="2" destOrd="0" parTransId="{D22DE764-173E-47DF-9480-722F8D8EA62C}" sibTransId="{28BD2EB6-8814-456D-B684-C7C0E2C0705F}"/>
    <dgm:cxn modelId="{2F9D8B5C-160F-4043-992D-FD2A10275602}" type="presOf" srcId="{2F72DDEE-62D3-48A5-836A-4C87596541F0}" destId="{7B59CB2C-C82F-41EE-B3CF-ADD4878ADBA6}" srcOrd="0" destOrd="0" presId="urn:microsoft.com/office/officeart/2005/8/layout/radial1"/>
    <dgm:cxn modelId="{C58E9752-797E-42A1-9220-C045D6C759E2}" type="presOf" srcId="{3F89048A-3F9F-4897-8631-4599F4976029}" destId="{4DF1B0BE-A63A-4BEA-9EE5-4168481CC99E}" srcOrd="0" destOrd="0" presId="urn:microsoft.com/office/officeart/2005/8/layout/radial1"/>
    <dgm:cxn modelId="{98551B47-37B1-47BB-AE53-DA7AC0FA03E4}" type="presOf" srcId="{D22DE764-173E-47DF-9480-722F8D8EA62C}" destId="{48797E66-4F8B-4B79-BCA7-6F88E85CF835}" srcOrd="1" destOrd="0" presId="urn:microsoft.com/office/officeart/2005/8/layout/radial1"/>
    <dgm:cxn modelId="{7A9E4ADE-5C58-4EF7-8D21-A4899F52CF16}" type="presOf" srcId="{3F89048A-3F9F-4897-8631-4599F4976029}" destId="{32B4D7AF-BD29-4AC4-BA11-37F2AE9561F4}" srcOrd="1" destOrd="0" presId="urn:microsoft.com/office/officeart/2005/8/layout/radial1"/>
    <dgm:cxn modelId="{7B615431-4ADA-4810-8EB7-AB952B32FE50}" type="presOf" srcId="{BA28F4A6-AD16-499D-88C1-DBE004B28175}" destId="{B06AADB2-5D51-41DC-8677-C0CC2357518B}" srcOrd="1" destOrd="0" presId="urn:microsoft.com/office/officeart/2005/8/layout/radial1"/>
    <dgm:cxn modelId="{028E1B54-DFC4-4C71-BBD4-5C668D748116}" type="presOf" srcId="{3869496C-0E19-4CE4-AC4D-8E2619BF9D68}" destId="{26661F75-1D9F-48E2-8FB0-82462D91AB89}" srcOrd="0" destOrd="0" presId="urn:microsoft.com/office/officeart/2005/8/layout/radial1"/>
    <dgm:cxn modelId="{6BE3CFB2-37E3-4BA5-9C54-9D0EA49D1EB2}" type="presOf" srcId="{AD80D2A2-2CDC-439E-8A80-49FDDE50F566}" destId="{653D05C2-436A-4268-A4B1-DA090CACDDFB}" srcOrd="1" destOrd="0" presId="urn:microsoft.com/office/officeart/2005/8/layout/radial1"/>
    <dgm:cxn modelId="{FFD436EA-AEB1-444A-A0B1-B37230FC9D10}" type="presOf" srcId="{44FBC2E2-D754-42C1-BEE4-690296442511}" destId="{402B25BB-F397-46B5-AAB7-C38C2276BF82}" srcOrd="0" destOrd="0" presId="urn:microsoft.com/office/officeart/2005/8/layout/radial1"/>
    <dgm:cxn modelId="{3E6C0E56-E670-4C37-A400-AC504DD34902}" type="presOf" srcId="{7C1FA040-4399-40F0-866F-845B7914F68D}" destId="{69F18085-0AC3-4BAE-9B16-F8478FFBD61E}" srcOrd="0" destOrd="0" presId="urn:microsoft.com/office/officeart/2005/8/layout/radial1"/>
    <dgm:cxn modelId="{95ABF0B8-3255-4F4D-B1F8-8B409C1D7EC3}" type="presOf" srcId="{A7516A72-1FC0-46ED-AAC4-AF0F7063F737}" destId="{493DA7EC-5D69-41B7-92E4-ED7ED9F48883}" srcOrd="0" destOrd="0" presId="urn:microsoft.com/office/officeart/2005/8/layout/radial1"/>
    <dgm:cxn modelId="{A1357B0A-C240-4A91-89D8-A39634308683}" srcId="{A7516A72-1FC0-46ED-AAC4-AF0F7063F737}" destId="{44FBC2E2-D754-42C1-BEE4-690296442511}" srcOrd="7" destOrd="0" parTransId="{2F72DDEE-62D3-48A5-836A-4C87596541F0}" sibTransId="{A8D506B7-E9B0-4378-B011-FCC599FE960D}"/>
    <dgm:cxn modelId="{61589C9C-2ABA-4F79-9733-E70E92C00DE3}" type="presOf" srcId="{D460D018-736B-4CE5-A14B-061F8EFE829B}" destId="{5AF8D9AC-0C15-4D1B-BCD3-7FFCFF0A581D}" srcOrd="0" destOrd="0" presId="urn:microsoft.com/office/officeart/2005/8/layout/radial1"/>
    <dgm:cxn modelId="{34F9B48C-D5D7-4C08-ADB7-8A963ECE0283}" type="presOf" srcId="{14602118-D739-48CC-85E0-791974AFA995}" destId="{DB594876-4070-4577-942D-67F5CD4D6A19}" srcOrd="0" destOrd="0" presId="urn:microsoft.com/office/officeart/2005/8/layout/radial1"/>
    <dgm:cxn modelId="{0A4B440B-B4D6-42FB-B3BD-90D61180579C}" type="presOf" srcId="{98585C11-761C-43C4-979D-FB1B8BABF102}" destId="{E49C447F-3477-4311-B10B-FFFA7DE7209F}" srcOrd="0" destOrd="0" presId="urn:microsoft.com/office/officeart/2005/8/layout/radial1"/>
    <dgm:cxn modelId="{9028E205-7BDA-4EB6-AE07-A7AEBFE3BCB0}" type="presOf" srcId="{DB0D84B1-C440-4746-9EEF-F1ED71D64DD2}" destId="{66DADE40-99AE-41BE-B997-129EED231064}" srcOrd="0"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6429227C-662D-4AFB-99E3-788DDAEC5919}" type="presOf" srcId="{9E510621-404D-46D6-8EB3-39712C8626D4}" destId="{0D3BFC0A-5ED4-4CCF-A336-A529B3363890}" srcOrd="1" destOrd="0" presId="urn:microsoft.com/office/officeart/2005/8/layout/radial1"/>
    <dgm:cxn modelId="{58DC060B-5C2C-4774-A3D3-FE3683CA8123}" type="presOf" srcId="{98585C11-761C-43C4-979D-FB1B8BABF102}" destId="{B930024E-8665-4782-9C41-36517A71FCD4}" srcOrd="1" destOrd="0" presId="urn:microsoft.com/office/officeart/2005/8/layout/radial1"/>
    <dgm:cxn modelId="{017AB341-3182-4472-98E4-2442868CDE59}" type="presOf" srcId="{B4A5C031-92B2-438E-80BC-EAA05F5C7CF7}" destId="{A140118B-14B1-45A7-9CF9-17E4D006F84D}" srcOrd="1"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A5794848-FA88-45E4-9420-D1C7392B5B45}" srcId="{A7516A72-1FC0-46ED-AAC4-AF0F7063F737}" destId="{3869496C-0E19-4CE4-AC4D-8E2619BF9D68}" srcOrd="9" destOrd="0" parTransId="{AD80D2A2-2CDC-439E-8A80-49FDDE50F566}" sibTransId="{3C80BB14-F31D-405F-A95F-B4434486AD2E}"/>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5" destOrd="0" parTransId="{98585C11-761C-43C4-979D-FB1B8BABF102}" sibTransId="{82A7CC90-6A4C-422A-B221-BA4CF5B4D442}"/>
    <dgm:cxn modelId="{ABE906B9-96B7-4767-8641-393D9FF09214}" type="presOf" srcId="{DEF73824-C893-4963-9504-7E97D2FF5253}" destId="{FCC14444-D5E7-4E9C-B980-A27CD799E442}" srcOrd="0" destOrd="0" presId="urn:microsoft.com/office/officeart/2005/8/layout/radial1"/>
    <dgm:cxn modelId="{7B2C2D01-EA47-4A00-8ED0-20BBEF64C45B}" type="presOf" srcId="{D981426F-5B7B-4AA5-957A-6E8C9E1A2487}" destId="{9D8B49BD-1DF7-4888-9A7E-2CFD4320CC2B}" srcOrd="0" destOrd="0" presId="urn:microsoft.com/office/officeart/2005/8/layout/radial1"/>
    <dgm:cxn modelId="{05EBE09E-2130-41C9-A83A-4BBF10579432}" type="presOf" srcId="{9E510621-404D-46D6-8EB3-39712C8626D4}" destId="{DC281168-2DBC-4CFB-B21D-C54E9628B383}" srcOrd="0" destOrd="0" presId="urn:microsoft.com/office/officeart/2005/8/layout/radial1"/>
    <dgm:cxn modelId="{C7DD68AE-99B2-4937-A127-D654A2E99784}" srcId="{A7516A72-1FC0-46ED-AAC4-AF0F7063F737}" destId="{DB0D84B1-C440-4746-9EEF-F1ED71D64DD2}" srcOrd="3" destOrd="0" parTransId="{9E510621-404D-46D6-8EB3-39712C8626D4}" sibTransId="{99C4878C-8523-40E3-93C5-8DC55D31DB77}"/>
    <dgm:cxn modelId="{E5DD3C3F-F401-46C8-9D1F-CEE8478EFA81}" srcId="{A7516A72-1FC0-46ED-AAC4-AF0F7063F737}" destId="{2628F477-2289-4CEE-9618-96DDAFCD4291}" srcOrd="6" destOrd="0" parTransId="{DEF73824-C893-4963-9504-7E97D2FF5253}" sibTransId="{6D6ABE48-6FEB-4EAA-849C-585AC08FCF5B}"/>
    <dgm:cxn modelId="{4D4C8994-3584-43CF-BE03-7490E485E430}" type="presOf" srcId="{DB9FEC62-86A7-454A-89B3-F32F1907C71A}" destId="{A8CF68B1-7D91-429E-8C8D-53007288E1DC}" srcOrd="1" destOrd="0" presId="urn:microsoft.com/office/officeart/2005/8/layout/radial1"/>
    <dgm:cxn modelId="{8A57EC0E-1BB1-4857-B52E-F604CF89CE37}" type="presOf" srcId="{2628F477-2289-4CEE-9618-96DDAFCD4291}" destId="{49C45DFA-0A15-4DAA-80DC-CAE4ABCC6B43}" srcOrd="0" destOrd="0" presId="urn:microsoft.com/office/officeart/2005/8/layout/radial1"/>
    <dgm:cxn modelId="{F8BA948F-1F5E-47C8-9C5B-3670FCC62669}" type="presOf" srcId="{898446A3-EA8C-4C13-8A65-DF8A110D0838}" destId="{D9366F31-B7D7-4B43-830C-AD5E2193A794}" srcOrd="0" destOrd="0" presId="urn:microsoft.com/office/officeart/2005/8/layout/radial1"/>
    <dgm:cxn modelId="{68597347-1F74-4B8F-AD57-CE4E14AE0AB0}" type="presOf" srcId="{2F72DDEE-62D3-48A5-836A-4C87596541F0}" destId="{280B3AB5-4999-4B99-8BE9-E09C9DF5D482}" srcOrd="1" destOrd="0" presId="urn:microsoft.com/office/officeart/2005/8/layout/radial1"/>
    <dgm:cxn modelId="{1A24ED44-390B-42F7-93AC-6334ABF8B6FD}" type="presOf" srcId="{D22DE764-173E-47DF-9480-722F8D8EA62C}" destId="{5CF8296B-0142-429D-A71A-20799D2EB74B}" srcOrd="0" destOrd="0" presId="urn:microsoft.com/office/officeart/2005/8/layout/radial1"/>
    <dgm:cxn modelId="{F9162081-92C5-45E3-81E0-8687BEE67D2A}" type="presOf" srcId="{DB9FEC62-86A7-454A-89B3-F32F1907C71A}" destId="{34515D96-C834-4D67-AF5C-3B293601CBC3}" srcOrd="0" destOrd="0" presId="urn:microsoft.com/office/officeart/2005/8/layout/radial1"/>
    <dgm:cxn modelId="{D6FC7AA2-9C00-484C-939F-337F7DC2B864}" type="presOf" srcId="{AD80D2A2-2CDC-439E-8A80-49FDDE50F566}" destId="{5DC5D51E-945B-4CCC-B580-737CA66D42E3}" srcOrd="0" destOrd="0" presId="urn:microsoft.com/office/officeart/2005/8/layout/radial1"/>
    <dgm:cxn modelId="{84EE2315-0918-4963-B3F9-E65B13216AAC}" type="presOf" srcId="{B4A5C031-92B2-438E-80BC-EAA05F5C7CF7}" destId="{EFB9CB5A-411C-454B-96B1-9ED988829CBE}" srcOrd="0"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8F5B3EA7-E45E-4A04-86D9-B4587ABF4746}" type="presOf" srcId="{6DAE892F-3F2D-42A5-BB1C-58D0E6BD9A47}" destId="{7E7DDE23-6C04-407D-AAB6-669511EA704E}"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02E26EE3-9B35-4CA5-883B-DC6FBAD2E678}" type="presOf" srcId="{DEF73824-C893-4963-9504-7E97D2FF5253}" destId="{3EA6B60F-F2E8-4D48-9EC1-CAAE09243949}" srcOrd="1" destOrd="0" presId="urn:microsoft.com/office/officeart/2005/8/layout/radial1"/>
    <dgm:cxn modelId="{F4CECBC7-6958-4CA6-ACE4-AB81C3FB65FE}" type="presOf" srcId="{68A5766F-115C-487E-B7CB-4ADE150678D1}" destId="{AFD0CC05-9AD4-4A51-8739-4FB4CA1E4ACE}" srcOrd="0" destOrd="0" presId="urn:microsoft.com/office/officeart/2005/8/layout/radial1"/>
    <dgm:cxn modelId="{2202C7FA-4C01-42AC-B4B2-A0052B062BA4}" type="presParOf" srcId="{9D8B49BD-1DF7-4888-9A7E-2CFD4320CC2B}" destId="{493DA7EC-5D69-41B7-92E4-ED7ED9F48883}" srcOrd="0" destOrd="0" presId="urn:microsoft.com/office/officeart/2005/8/layout/radial1"/>
    <dgm:cxn modelId="{499A34B8-1125-4E71-9CDF-CEB6D19EF532}" type="presParOf" srcId="{9D8B49BD-1DF7-4888-9A7E-2CFD4320CC2B}" destId="{E6ACA703-0949-41B3-BE6B-C702E5C7275F}" srcOrd="1" destOrd="0" presId="urn:microsoft.com/office/officeart/2005/8/layout/radial1"/>
    <dgm:cxn modelId="{35E89E28-79A7-4B29-9898-1F6C3E127C33}" type="presParOf" srcId="{E6ACA703-0949-41B3-BE6B-C702E5C7275F}" destId="{B06AADB2-5D51-41DC-8677-C0CC2357518B}" srcOrd="0" destOrd="0" presId="urn:microsoft.com/office/officeart/2005/8/layout/radial1"/>
    <dgm:cxn modelId="{CE9D26C4-A03C-413D-B611-C987B57A036F}" type="presParOf" srcId="{9D8B49BD-1DF7-4888-9A7E-2CFD4320CC2B}" destId="{AFD0CC05-9AD4-4A51-8739-4FB4CA1E4ACE}" srcOrd="2" destOrd="0" presId="urn:microsoft.com/office/officeart/2005/8/layout/radial1"/>
    <dgm:cxn modelId="{7AF7F373-1FCE-4769-8397-CEE22B6D3C72}" type="presParOf" srcId="{9D8B49BD-1DF7-4888-9A7E-2CFD4320CC2B}" destId="{34515D96-C834-4D67-AF5C-3B293601CBC3}" srcOrd="3" destOrd="0" presId="urn:microsoft.com/office/officeart/2005/8/layout/radial1"/>
    <dgm:cxn modelId="{EB10FADE-53F5-420B-8875-9181458FCC94}" type="presParOf" srcId="{34515D96-C834-4D67-AF5C-3B293601CBC3}" destId="{A8CF68B1-7D91-429E-8C8D-53007288E1DC}" srcOrd="0" destOrd="0" presId="urn:microsoft.com/office/officeart/2005/8/layout/radial1"/>
    <dgm:cxn modelId="{E69FBDDF-45B9-428F-80F7-77B340BF4564}" type="presParOf" srcId="{9D8B49BD-1DF7-4888-9A7E-2CFD4320CC2B}" destId="{D9366F31-B7D7-4B43-830C-AD5E2193A794}" srcOrd="4" destOrd="0" presId="urn:microsoft.com/office/officeart/2005/8/layout/radial1"/>
    <dgm:cxn modelId="{03C5E5A7-1989-4472-9222-72B74DD5D58E}" type="presParOf" srcId="{9D8B49BD-1DF7-4888-9A7E-2CFD4320CC2B}" destId="{5CF8296B-0142-429D-A71A-20799D2EB74B}" srcOrd="5" destOrd="0" presId="urn:microsoft.com/office/officeart/2005/8/layout/radial1"/>
    <dgm:cxn modelId="{F2DF2693-F933-4222-AFA3-332ACC2F18BC}" type="presParOf" srcId="{5CF8296B-0142-429D-A71A-20799D2EB74B}" destId="{48797E66-4F8B-4B79-BCA7-6F88E85CF835}" srcOrd="0" destOrd="0" presId="urn:microsoft.com/office/officeart/2005/8/layout/radial1"/>
    <dgm:cxn modelId="{6957D61B-1C72-4A38-A1B6-4200D81E86B9}" type="presParOf" srcId="{9D8B49BD-1DF7-4888-9A7E-2CFD4320CC2B}" destId="{7E7DDE23-6C04-407D-AAB6-669511EA704E}" srcOrd="6" destOrd="0" presId="urn:microsoft.com/office/officeart/2005/8/layout/radial1"/>
    <dgm:cxn modelId="{4EABD1DC-68A3-4922-9CD7-F5C755DF94B3}" type="presParOf" srcId="{9D8B49BD-1DF7-4888-9A7E-2CFD4320CC2B}" destId="{DC281168-2DBC-4CFB-B21D-C54E9628B383}" srcOrd="7" destOrd="0" presId="urn:microsoft.com/office/officeart/2005/8/layout/radial1"/>
    <dgm:cxn modelId="{F3412D48-E1A7-495D-8C0A-38993C6F1552}" type="presParOf" srcId="{DC281168-2DBC-4CFB-B21D-C54E9628B383}" destId="{0D3BFC0A-5ED4-4CCF-A336-A529B3363890}" srcOrd="0" destOrd="0" presId="urn:microsoft.com/office/officeart/2005/8/layout/radial1"/>
    <dgm:cxn modelId="{6C5CF6B3-81EA-4744-9CB1-E78EE0F54180}" type="presParOf" srcId="{9D8B49BD-1DF7-4888-9A7E-2CFD4320CC2B}" destId="{66DADE40-99AE-41BE-B997-129EED231064}" srcOrd="8" destOrd="0" presId="urn:microsoft.com/office/officeart/2005/8/layout/radial1"/>
    <dgm:cxn modelId="{8C54B32A-5F0C-48DF-8624-D930FF5CAE18}" type="presParOf" srcId="{9D8B49BD-1DF7-4888-9A7E-2CFD4320CC2B}" destId="{4DF1B0BE-A63A-4BEA-9EE5-4168481CC99E}" srcOrd="9" destOrd="0" presId="urn:microsoft.com/office/officeart/2005/8/layout/radial1"/>
    <dgm:cxn modelId="{69B98185-6232-46D3-A155-FD2616158879}" type="presParOf" srcId="{4DF1B0BE-A63A-4BEA-9EE5-4168481CC99E}" destId="{32B4D7AF-BD29-4AC4-BA11-37F2AE9561F4}" srcOrd="0" destOrd="0" presId="urn:microsoft.com/office/officeart/2005/8/layout/radial1"/>
    <dgm:cxn modelId="{73427138-764B-455A-B03B-EF07E33FCAE5}" type="presParOf" srcId="{9D8B49BD-1DF7-4888-9A7E-2CFD4320CC2B}" destId="{DB594876-4070-4577-942D-67F5CD4D6A19}" srcOrd="10" destOrd="0" presId="urn:microsoft.com/office/officeart/2005/8/layout/radial1"/>
    <dgm:cxn modelId="{E4618BAD-EA2F-4B43-B7B9-51F602B691B6}" type="presParOf" srcId="{9D8B49BD-1DF7-4888-9A7E-2CFD4320CC2B}" destId="{E49C447F-3477-4311-B10B-FFFA7DE7209F}" srcOrd="11" destOrd="0" presId="urn:microsoft.com/office/officeart/2005/8/layout/radial1"/>
    <dgm:cxn modelId="{5A55AA27-7AB8-4413-8984-5C2AA09BDA93}" type="presParOf" srcId="{E49C447F-3477-4311-B10B-FFFA7DE7209F}" destId="{B930024E-8665-4782-9C41-36517A71FCD4}" srcOrd="0" destOrd="0" presId="urn:microsoft.com/office/officeart/2005/8/layout/radial1"/>
    <dgm:cxn modelId="{2F49C5F9-E727-4736-8D6B-4BD0B0F05716}" type="presParOf" srcId="{9D8B49BD-1DF7-4888-9A7E-2CFD4320CC2B}" destId="{69F18085-0AC3-4BAE-9B16-F8478FFBD61E}" srcOrd="12" destOrd="0" presId="urn:microsoft.com/office/officeart/2005/8/layout/radial1"/>
    <dgm:cxn modelId="{14D3E405-8F25-4D35-888E-B087B56D85BC}" type="presParOf" srcId="{9D8B49BD-1DF7-4888-9A7E-2CFD4320CC2B}" destId="{FCC14444-D5E7-4E9C-B980-A27CD799E442}" srcOrd="13" destOrd="0" presId="urn:microsoft.com/office/officeart/2005/8/layout/radial1"/>
    <dgm:cxn modelId="{06748914-21DC-4793-823A-490EB8EBD738}" type="presParOf" srcId="{FCC14444-D5E7-4E9C-B980-A27CD799E442}" destId="{3EA6B60F-F2E8-4D48-9EC1-CAAE09243949}" srcOrd="0" destOrd="0" presId="urn:microsoft.com/office/officeart/2005/8/layout/radial1"/>
    <dgm:cxn modelId="{3DF34842-5274-45C7-85CC-1E63B80A3D42}" type="presParOf" srcId="{9D8B49BD-1DF7-4888-9A7E-2CFD4320CC2B}" destId="{49C45DFA-0A15-4DAA-80DC-CAE4ABCC6B43}" srcOrd="14" destOrd="0" presId="urn:microsoft.com/office/officeart/2005/8/layout/radial1"/>
    <dgm:cxn modelId="{D64E27CA-AF45-4D7D-9FEC-505DA393041C}" type="presParOf" srcId="{9D8B49BD-1DF7-4888-9A7E-2CFD4320CC2B}" destId="{7B59CB2C-C82F-41EE-B3CF-ADD4878ADBA6}" srcOrd="15" destOrd="0" presId="urn:microsoft.com/office/officeart/2005/8/layout/radial1"/>
    <dgm:cxn modelId="{A2DC85B8-FD08-4250-8013-AA7C17614691}" type="presParOf" srcId="{7B59CB2C-C82F-41EE-B3CF-ADD4878ADBA6}" destId="{280B3AB5-4999-4B99-8BE9-E09C9DF5D482}" srcOrd="0" destOrd="0" presId="urn:microsoft.com/office/officeart/2005/8/layout/radial1"/>
    <dgm:cxn modelId="{8C7B975A-307E-45B4-842E-831BD315ACF5}" type="presParOf" srcId="{9D8B49BD-1DF7-4888-9A7E-2CFD4320CC2B}" destId="{402B25BB-F397-46B5-AAB7-C38C2276BF82}" srcOrd="16" destOrd="0" presId="urn:microsoft.com/office/officeart/2005/8/layout/radial1"/>
    <dgm:cxn modelId="{02B24144-D3D2-4433-9B27-056CEA17FA29}" type="presParOf" srcId="{9D8B49BD-1DF7-4888-9A7E-2CFD4320CC2B}" destId="{EFB9CB5A-411C-454B-96B1-9ED988829CBE}" srcOrd="17" destOrd="0" presId="urn:microsoft.com/office/officeart/2005/8/layout/radial1"/>
    <dgm:cxn modelId="{130167D5-055D-4F4B-888C-A27C7B48E351}" type="presParOf" srcId="{EFB9CB5A-411C-454B-96B1-9ED988829CBE}" destId="{A140118B-14B1-45A7-9CF9-17E4D006F84D}" srcOrd="0" destOrd="0" presId="urn:microsoft.com/office/officeart/2005/8/layout/radial1"/>
    <dgm:cxn modelId="{1C6429E6-2A92-42A6-9FD9-85178B4C1D7D}" type="presParOf" srcId="{9D8B49BD-1DF7-4888-9A7E-2CFD4320CC2B}" destId="{5AF8D9AC-0C15-4D1B-BCD3-7FFCFF0A581D}" srcOrd="18" destOrd="0" presId="urn:microsoft.com/office/officeart/2005/8/layout/radial1"/>
    <dgm:cxn modelId="{7529BAFB-BF90-4553-8C44-EDE78DE5EBF6}" type="presParOf" srcId="{9D8B49BD-1DF7-4888-9A7E-2CFD4320CC2B}" destId="{5DC5D51E-945B-4CCC-B580-737CA66D42E3}" srcOrd="19" destOrd="0" presId="urn:microsoft.com/office/officeart/2005/8/layout/radial1"/>
    <dgm:cxn modelId="{704942E1-678A-49B7-A0F3-4734676EEAAD}" type="presParOf" srcId="{5DC5D51E-945B-4CCC-B580-737CA66D42E3}" destId="{653D05C2-436A-4268-A4B1-DA090CACDDFB}" srcOrd="0" destOrd="0" presId="urn:microsoft.com/office/officeart/2005/8/layout/radial1"/>
    <dgm:cxn modelId="{46297A9E-E69D-4F7B-94F3-427087521661}"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66934" y="1144150"/>
          <a:ext cx="1195416" cy="3798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262" y="1038204"/>
          <a:ext cx="1254006" cy="50528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64935">
          <a:off x="1302486" y="1306005"/>
          <a:ext cx="106559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76204" y="1624792"/>
          <a:ext cx="1223025" cy="5949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930924">
          <a:off x="1206907" y="1611583"/>
          <a:ext cx="131485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84935" y="1914967"/>
          <a:ext cx="1094664" cy="5695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56156">
          <a:off x="2063255" y="1730154"/>
          <a:ext cx="74895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437807" y="2038792"/>
          <a:ext cx="1244544" cy="4909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55876">
          <a:off x="2750739" y="1774708"/>
          <a:ext cx="51767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13445" y="1898854"/>
          <a:ext cx="1321459" cy="4994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801296">
          <a:off x="3193774" y="1713307"/>
          <a:ext cx="8776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732145" y="1462025"/>
          <a:ext cx="930144" cy="44487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535167">
          <a:off x="3492868" y="1509911"/>
          <a:ext cx="127013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557211" y="850654"/>
          <a:ext cx="1282634"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223332">
          <a:off x="3526279" y="1207215"/>
          <a:ext cx="106062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78724" y="339379"/>
          <a:ext cx="965618" cy="4516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276127">
          <a:off x="3287436" y="942109"/>
          <a:ext cx="12552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8074" y="63164"/>
          <a:ext cx="988454" cy="508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850491">
          <a:off x="3012570" y="842102"/>
          <a:ext cx="84706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81099" y="2230"/>
          <a:ext cx="949660" cy="4196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599212" y="776274"/>
          <a:ext cx="7223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62868" y="495301"/>
          <a:ext cx="1380183" cy="466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gm:t>
    </dgm:pt>
    <dgm:pt modelId="{98B9F8AD-7347-45A5-BC2B-65EB3DDF63CC}" type="parTrans" cxnId="{DF9EB478-C224-42F7-822E-5C2EA98D82E9}">
      <dgm:prSet/>
      <dgm:spPr>
        <a:xfrm rot="11760165">
          <a:off x="1356041" y="1036342"/>
          <a:ext cx="118791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1200971" y="67118"/>
          <a:ext cx="1265733" cy="527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 30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SMEs &amp; Entrepreneurship</a:t>
          </a:r>
        </a:p>
      </dgm:t>
    </dgm:pt>
    <dgm:pt modelId="{ED17F2E8-0F2C-4806-A165-056066C1285B}" type="parTrans" cxnId="{A38B847D-D226-4A6D-B270-7F561245ACC8}">
      <dgm:prSet/>
      <dgm:spPr>
        <a:xfrm rot="13294674">
          <a:off x="1991764" y="855706"/>
          <a:ext cx="88250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870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722303"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3465"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47062"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22185"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255203"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7052"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06062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270138"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09078"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877603"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97038" custScaleY="112266" custRadScaleRad="145532" custRadScaleInc="-199856">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517671"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79749" custScaleY="110366" custRadScaleRad="85373" custRadScaleInc="-3823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748956"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46059" custScaleY="128032" custRadScaleRad="127423" custRadScaleInc="150684">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14852"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4912" custScaleY="133737" custRadScaleRad="210231" custRadScaleInc="103436">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065596"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81876" custScaleY="113578" custRadScaleRad="204609" custRadScaleInc="721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310238" custScaleY="104815" custRadScaleRad="196387" custRadScaleInc="-933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2"/>
      <dgm:spPr>
        <a:custGeom>
          <a:avLst/>
          <a:gdLst/>
          <a:ahLst/>
          <a:cxnLst/>
          <a:rect l="0" t="0" r="0" b="0"/>
          <a:pathLst>
            <a:path>
              <a:moveTo>
                <a:pt x="0" y="6736"/>
              </a:moveTo>
              <a:lnTo>
                <a:pt x="882504" y="6736"/>
              </a:lnTo>
            </a:path>
          </a:pathLst>
        </a:custGeom>
      </dgm:spPr>
      <dgm:t>
        <a:bodyPr/>
        <a:lstStyle/>
        <a:p>
          <a:endParaRPr lang="en-US"/>
        </a:p>
      </dgm:t>
    </dgm:pt>
    <dgm:pt modelId="{3534FF94-72C6-43FB-8F21-668E71284740}" type="pres">
      <dgm:prSet presAssocID="{ED17F2E8-0F2C-4806-A165-056066C1285B}" presName="connTx" presStyleLbl="parChTrans1D2" presStyleIdx="11" presStyleCnt="12"/>
      <dgm:spPr/>
      <dgm:t>
        <a:bodyPr/>
        <a:lstStyle/>
        <a:p>
          <a:endParaRPr lang="en-US"/>
        </a:p>
      </dgm:t>
    </dgm:pt>
    <dgm:pt modelId="{2CC81EFE-1B09-4239-A772-C0141AEBEE08}" type="pres">
      <dgm:prSet presAssocID="{AAAA106F-E487-47CE-9BAB-D684E19C81DF}" presName="node" presStyleLbl="node1" presStyleIdx="11" presStyleCnt="12" custScaleX="284512" custScaleY="118577" custRadScaleRad="135137" custRadScaleInc="-122814">
        <dgm:presLayoutVars>
          <dgm:bulletEnabled val="1"/>
        </dgm:presLayoutVars>
      </dgm:prSet>
      <dgm:spPr>
        <a:prstGeom prst="ellipse">
          <a:avLst/>
        </a:prstGeom>
      </dgm:spPr>
      <dgm:t>
        <a:bodyPr/>
        <a:lstStyle/>
        <a:p>
          <a:endParaRPr lang="en-US"/>
        </a:p>
      </dgm:t>
    </dgm:pt>
  </dgm:ptLst>
  <dgm:cxnLst>
    <dgm:cxn modelId="{C7DD68AE-99B2-4937-A127-D654A2E99784}" srcId="{A7516A72-1FC0-46ED-AAC4-AF0F7063F737}" destId="{DB0D84B1-C440-4746-9EEF-F1ED71D64DD2}" srcOrd="4" destOrd="0" parTransId="{9E510621-404D-46D6-8EB3-39712C8626D4}" sibTransId="{99C4878C-8523-40E3-93C5-8DC55D31DB77}"/>
    <dgm:cxn modelId="{0D9F1C01-359D-4966-B535-1CE9CB708671}" type="presOf" srcId="{D65A13E9-3C79-4155-B943-C33E81DAC317}" destId="{A86195D8-E78B-4F8B-B1C4-EFBBA8999B88}" srcOrd="0" destOrd="0" presId="urn:microsoft.com/office/officeart/2005/8/layout/radial1"/>
    <dgm:cxn modelId="{FA4B88E7-AEA2-4F4A-BE60-B32234D56781}" type="presOf" srcId="{98B9F8AD-7347-45A5-BC2B-65EB3DDF63CC}" destId="{282CA825-226C-4E92-9F37-4F68B159DB24}" srcOrd="1" destOrd="0" presId="urn:microsoft.com/office/officeart/2005/8/layout/radial1"/>
    <dgm:cxn modelId="{4590230B-B327-43D8-8D62-CA97E5E92E60}" type="presOf" srcId="{BA28F4A6-AD16-499D-88C1-DBE004B28175}" destId="{E6ACA703-0949-41B3-BE6B-C702E5C7275F}" srcOrd="0" destOrd="0" presId="urn:microsoft.com/office/officeart/2005/8/layout/radial1"/>
    <dgm:cxn modelId="{22EB6549-64CD-4855-AA3F-ED7865479E61}" type="presOf" srcId="{98B9F8AD-7347-45A5-BC2B-65EB3DDF63CC}" destId="{701CC827-3AE5-4421-983B-6398C783C82F}" srcOrd="0" destOrd="0" presId="urn:microsoft.com/office/officeart/2005/8/layout/radial1"/>
    <dgm:cxn modelId="{A5068ECB-F491-4975-94E9-0B93C02617A9}" type="presOf" srcId="{3F89048A-3F9F-4897-8631-4599F4976029}" destId="{4DF1B0BE-A63A-4BEA-9EE5-4168481CC99E}" srcOrd="0" destOrd="0" presId="urn:microsoft.com/office/officeart/2005/8/layout/radial1"/>
    <dgm:cxn modelId="{7E0BDA9E-2027-4FE1-A9B2-F8539B689DFB}" type="presOf" srcId="{DB0D84B1-C440-4746-9EEF-F1ED71D64DD2}" destId="{66DADE40-99AE-41BE-B997-129EED231064}" srcOrd="0"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978E9F22-2890-4B7B-B5EB-AA4A5AE52955}" type="presOf" srcId="{D22DE764-173E-47DF-9480-722F8D8EA62C}" destId="{48797E66-4F8B-4B79-BCA7-6F88E85CF835}" srcOrd="1" destOrd="0" presId="urn:microsoft.com/office/officeart/2005/8/layout/radial1"/>
    <dgm:cxn modelId="{504D6F99-5F0C-4D35-9EDE-DF91EA282AA1}" type="presOf" srcId="{3F89048A-3F9F-4897-8631-4599F4976029}" destId="{32B4D7AF-BD29-4AC4-BA11-37F2AE9561F4}" srcOrd="1" destOrd="0" presId="urn:microsoft.com/office/officeart/2005/8/layout/radial1"/>
    <dgm:cxn modelId="{529A3940-B10D-4DCF-9D94-F5B1FC0A9D6D}" type="presOf" srcId="{2628F477-2289-4CEE-9618-96DDAFCD4291}" destId="{49C45DFA-0A15-4DAA-80DC-CAE4ABCC6B43}" srcOrd="0" destOrd="0" presId="urn:microsoft.com/office/officeart/2005/8/layout/radial1"/>
    <dgm:cxn modelId="{FB942434-0C3A-493F-AB4B-4BCB83C0C1D7}" type="presOf" srcId="{AAAA106F-E487-47CE-9BAB-D684E19C81DF}" destId="{2CC81EFE-1B09-4239-A772-C0141AEBEE08}"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996B9653-906A-49F8-9E4B-3836F7905D4E}" srcId="{D981426F-5B7B-4AA5-957A-6E8C9E1A2487}" destId="{A7516A72-1FC0-46ED-AAC4-AF0F7063F737}" srcOrd="0" destOrd="0" parTransId="{D9E0AFEB-65B5-4280-ADD0-766B3ADA6CFD}" sibTransId="{6B1EB84D-437E-47A1-87CB-9027EE716AD0}"/>
    <dgm:cxn modelId="{3138FD81-FCE3-4020-9313-BAD8BCAF820B}" srcId="{A7516A72-1FC0-46ED-AAC4-AF0F7063F737}" destId="{14602118-D739-48CC-85E0-791974AFA995}" srcOrd="5" destOrd="0" parTransId="{3F89048A-3F9F-4897-8631-4599F4976029}" sibTransId="{85730AA2-ED16-41DB-9898-B2A63ECD874D}"/>
    <dgm:cxn modelId="{9F727A64-3722-4881-8AC4-EBBB8A99C966}" type="presOf" srcId="{98585C11-761C-43C4-979D-FB1B8BABF102}" destId="{B930024E-8665-4782-9C41-36517A71FCD4}" srcOrd="1" destOrd="0" presId="urn:microsoft.com/office/officeart/2005/8/layout/radial1"/>
    <dgm:cxn modelId="{0C1216DF-BB95-4E3A-887B-C4DDED997ED7}" type="presOf" srcId="{F0FE4372-65E6-4D92-B9B0-D2B79F26FB27}" destId="{ECD2D13D-466C-468B-BD6C-1B646D8E5B8E}"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FB8ED374-6D74-400D-B69A-EAB572355F1A}" type="presOf" srcId="{ED17F2E8-0F2C-4806-A165-056066C1285B}" destId="{48D8EFE9-A375-4136-B36E-91EB3A5F0349}"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02E2A162-B855-469B-BBF8-921C1253E7B5}" type="presOf" srcId="{9E510621-404D-46D6-8EB3-39712C8626D4}" destId="{0D3BFC0A-5ED4-4CCF-A336-A529B3363890}"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613EC999-647B-48A5-A8CB-98B437719E52}" type="presOf" srcId="{B4A5C031-92B2-438E-80BC-EAA05F5C7CF7}" destId="{A140118B-14B1-45A7-9CF9-17E4D006F84D}" srcOrd="1"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FE1169E0-24DF-4FBB-A1C9-8F332C85663A}" srcId="{A7516A72-1FC0-46ED-AAC4-AF0F7063F737}" destId="{6DAE892F-3F2D-42A5-BB1C-58D0E6BD9A47}" srcOrd="3" destOrd="0" parTransId="{D22DE764-173E-47DF-9480-722F8D8EA62C}" sibTransId="{28BD2EB6-8814-456D-B684-C7C0E2C0705F}"/>
    <dgm:cxn modelId="{345C13DF-1D3F-4982-AF23-DC2641540559}" srcId="{A7516A72-1FC0-46ED-AAC4-AF0F7063F737}" destId="{7C1FA040-4399-40F0-866F-845B7914F68D}" srcOrd="6" destOrd="0" parTransId="{98585C11-761C-43C4-979D-FB1B8BABF102}" sibTransId="{82A7CC90-6A4C-422A-B221-BA4CF5B4D442}"/>
    <dgm:cxn modelId="{FBB35FFE-7140-4AF2-B8BD-976885CB996E}" type="presOf" srcId="{6DAE892F-3F2D-42A5-BB1C-58D0E6BD9A47}" destId="{7E7DDE23-6C04-407D-AAB6-669511EA704E}" srcOrd="0" destOrd="0" presId="urn:microsoft.com/office/officeart/2005/8/layout/radial1"/>
    <dgm:cxn modelId="{74E1FF78-BA8C-42B0-973C-E5B29AB9FA71}" type="presOf" srcId="{2F72DDEE-62D3-48A5-836A-4C87596541F0}" destId="{7B59CB2C-C82F-41EE-B3CF-ADD4878ADBA6}" srcOrd="0" destOrd="0" presId="urn:microsoft.com/office/officeart/2005/8/layout/radial1"/>
    <dgm:cxn modelId="{55E0D5FF-43BC-4700-9B97-FB62F17D18E1}" type="presOf" srcId="{68A5766F-115C-487E-B7CB-4ADE150678D1}" destId="{AFD0CC05-9AD4-4A51-8739-4FB4CA1E4ACE}" srcOrd="0" destOrd="0" presId="urn:microsoft.com/office/officeart/2005/8/layout/radial1"/>
    <dgm:cxn modelId="{5114D8E4-D470-4675-A1A9-C2E91FCD4F49}" type="presOf" srcId="{D981426F-5B7B-4AA5-957A-6E8C9E1A2487}" destId="{9D8B49BD-1DF7-4888-9A7E-2CFD4320CC2B}" srcOrd="0" destOrd="0" presId="urn:microsoft.com/office/officeart/2005/8/layout/radial1"/>
    <dgm:cxn modelId="{41BE0DDD-FAB9-476B-808F-B9A55BF4E607}" type="presOf" srcId="{7C1FA040-4399-40F0-866F-845B7914F68D}" destId="{69F18085-0AC3-4BAE-9B16-F8478FFBD61E}" srcOrd="0" destOrd="0" presId="urn:microsoft.com/office/officeart/2005/8/layout/radial1"/>
    <dgm:cxn modelId="{48354005-95CD-411C-A5B0-C455386A01B6}" type="presOf" srcId="{98585C11-761C-43C4-979D-FB1B8BABF102}" destId="{E49C447F-3477-4311-B10B-FFFA7DE7209F}" srcOrd="0" destOrd="0" presId="urn:microsoft.com/office/officeart/2005/8/layout/radial1"/>
    <dgm:cxn modelId="{D73AAD13-E332-413F-93F9-C98B9E61B8D9}" type="presOf" srcId="{B4A5C031-92B2-438E-80BC-EAA05F5C7CF7}" destId="{EFB9CB5A-411C-454B-96B1-9ED988829CBE}" srcOrd="0" destOrd="0" presId="urn:microsoft.com/office/officeart/2005/8/layout/radial1"/>
    <dgm:cxn modelId="{27266864-AACC-44F8-9704-568A21D657F9}" type="presOf" srcId="{DEF73824-C893-4963-9504-7E97D2FF5253}" destId="{FCC14444-D5E7-4E9C-B980-A27CD799E442}" srcOrd="0" destOrd="0" presId="urn:microsoft.com/office/officeart/2005/8/layout/radial1"/>
    <dgm:cxn modelId="{620F81ED-964E-434B-9933-2625812A00D0}" type="presOf" srcId="{44FBC2E2-D754-42C1-BEE4-690296442511}" destId="{402B25BB-F397-46B5-AAB7-C38C2276BF82}" srcOrd="0" destOrd="0" presId="urn:microsoft.com/office/officeart/2005/8/layout/radial1"/>
    <dgm:cxn modelId="{E2CD6BB5-A92A-4FBB-8231-B60357EF74D7}" type="presOf" srcId="{14602118-D739-48CC-85E0-791974AFA995}" destId="{DB594876-4070-4577-942D-67F5CD4D6A19}" srcOrd="0" destOrd="0" presId="urn:microsoft.com/office/officeart/2005/8/layout/radial1"/>
    <dgm:cxn modelId="{33919221-BE1E-4110-B1D0-A2CDCB7CA945}" type="presOf" srcId="{D94B5549-C2D2-4629-ACDF-33C6E334FA3A}" destId="{3F0F15B6-4D5A-493B-B03E-AE8141DC3DCE}" srcOrd="0" destOrd="0" presId="urn:microsoft.com/office/officeart/2005/8/layout/radial1"/>
    <dgm:cxn modelId="{ABF9847F-AC79-476B-AE27-E6DB65591A6F}" type="presOf" srcId="{DB9FEC62-86A7-454A-89B3-F32F1907C71A}" destId="{A8CF68B1-7D91-429E-8C8D-53007288E1DC}" srcOrd="1" destOrd="0" presId="urn:microsoft.com/office/officeart/2005/8/layout/radial1"/>
    <dgm:cxn modelId="{448A89B3-CB63-4635-82D5-1C800A4D458B}" type="presOf" srcId="{2F72DDEE-62D3-48A5-836A-4C87596541F0}" destId="{280B3AB5-4999-4B99-8BE9-E09C9DF5D482}" srcOrd="1" destOrd="0" presId="urn:microsoft.com/office/officeart/2005/8/layout/radial1"/>
    <dgm:cxn modelId="{DDEA75CB-9851-4C70-9928-7CC406B28CD1}" type="presOf" srcId="{D94B5549-C2D2-4629-ACDF-33C6E334FA3A}" destId="{905DF954-A0B6-4A5F-9CE2-F1C3ADBDD0C1}" srcOrd="1"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A1357B0A-C240-4A91-89D8-A39634308683}" srcId="{A7516A72-1FC0-46ED-AAC4-AF0F7063F737}" destId="{44FBC2E2-D754-42C1-BEE4-690296442511}" srcOrd="8" destOrd="0" parTransId="{2F72DDEE-62D3-48A5-836A-4C87596541F0}" sibTransId="{A8D506B7-E9B0-4378-B011-FCC599FE960D}"/>
    <dgm:cxn modelId="{6D8CBFD7-F56A-48DF-B5D4-296A42396EEE}" type="presOf" srcId="{ED17F2E8-0F2C-4806-A165-056066C1285B}" destId="{3534FF94-72C6-43FB-8F21-668E71284740}" srcOrd="1" destOrd="0" presId="urn:microsoft.com/office/officeart/2005/8/layout/radial1"/>
    <dgm:cxn modelId="{3B6573B7-1B2E-4595-87CA-7F992C2976F2}" type="presOf" srcId="{BA28F4A6-AD16-499D-88C1-DBE004B28175}" destId="{B06AADB2-5D51-41DC-8677-C0CC2357518B}" srcOrd="1" destOrd="0" presId="urn:microsoft.com/office/officeart/2005/8/layout/radial1"/>
    <dgm:cxn modelId="{53CAD1C4-590F-403C-B1FD-E33A161D85C2}" type="presOf" srcId="{DB9FEC62-86A7-454A-89B3-F32F1907C71A}" destId="{34515D96-C834-4D67-AF5C-3B293601CBC3}" srcOrd="0" destOrd="0" presId="urn:microsoft.com/office/officeart/2005/8/layout/radial1"/>
    <dgm:cxn modelId="{D0B98C16-BF4A-4906-9521-990065B428C3}" type="presOf" srcId="{9E510621-404D-46D6-8EB3-39712C8626D4}" destId="{DC281168-2DBC-4CFB-B21D-C54E9628B383}" srcOrd="0" destOrd="0" presId="urn:microsoft.com/office/officeart/2005/8/layout/radial1"/>
    <dgm:cxn modelId="{D6BDC8CA-A134-4616-9869-6707E83204BE}" type="presOf" srcId="{A7516A72-1FC0-46ED-AAC4-AF0F7063F737}" destId="{493DA7EC-5D69-41B7-92E4-ED7ED9F48883}" srcOrd="0" destOrd="0" presId="urn:microsoft.com/office/officeart/2005/8/layout/radial1"/>
    <dgm:cxn modelId="{9380E082-23C7-42E1-9A96-0C61C56953B5}" type="presOf" srcId="{D460D018-736B-4CE5-A14B-061F8EFE829B}" destId="{5AF8D9AC-0C15-4D1B-BCD3-7FFCFF0A581D}" srcOrd="0" destOrd="0" presId="urn:microsoft.com/office/officeart/2005/8/layout/radial1"/>
    <dgm:cxn modelId="{5B789E68-2D01-40EA-AFAB-AB794892AD68}" type="presOf" srcId="{DEF73824-C893-4963-9504-7E97D2FF5253}" destId="{3EA6B60F-F2E8-4D48-9EC1-CAAE09243949}" srcOrd="1" destOrd="0" presId="urn:microsoft.com/office/officeart/2005/8/layout/radial1"/>
    <dgm:cxn modelId="{D5EFC363-C9AC-49AA-8E02-1D9F947F01FE}" type="presOf" srcId="{D22DE764-173E-47DF-9480-722F8D8EA62C}" destId="{5CF8296B-0142-429D-A71A-20799D2EB74B}" srcOrd="0" destOrd="0" presId="urn:microsoft.com/office/officeart/2005/8/layout/radial1"/>
    <dgm:cxn modelId="{0C3E6660-5E68-40BC-A810-88604C24B695}" type="presOf" srcId="{898446A3-EA8C-4C13-8A65-DF8A110D0838}" destId="{D9366F31-B7D7-4B43-830C-AD5E2193A794}" srcOrd="0" destOrd="0" presId="urn:microsoft.com/office/officeart/2005/8/layout/radial1"/>
    <dgm:cxn modelId="{4B7027AF-1989-43AA-9289-0EEA2C9C09FF}" type="presParOf" srcId="{9D8B49BD-1DF7-4888-9A7E-2CFD4320CC2B}" destId="{493DA7EC-5D69-41B7-92E4-ED7ED9F48883}" srcOrd="0" destOrd="0" presId="urn:microsoft.com/office/officeart/2005/8/layout/radial1"/>
    <dgm:cxn modelId="{A6672312-C776-4546-B3A0-E7D056B44546}" type="presParOf" srcId="{9D8B49BD-1DF7-4888-9A7E-2CFD4320CC2B}" destId="{E6ACA703-0949-41B3-BE6B-C702E5C7275F}" srcOrd="1" destOrd="0" presId="urn:microsoft.com/office/officeart/2005/8/layout/radial1"/>
    <dgm:cxn modelId="{C6AA4418-CFD7-4C5E-B4BE-1CCC0095178C}" type="presParOf" srcId="{E6ACA703-0949-41B3-BE6B-C702E5C7275F}" destId="{B06AADB2-5D51-41DC-8677-C0CC2357518B}" srcOrd="0" destOrd="0" presId="urn:microsoft.com/office/officeart/2005/8/layout/radial1"/>
    <dgm:cxn modelId="{88B7060D-C9D6-440C-82CD-F98449F0E4F2}" type="presParOf" srcId="{9D8B49BD-1DF7-4888-9A7E-2CFD4320CC2B}" destId="{AFD0CC05-9AD4-4A51-8739-4FB4CA1E4ACE}" srcOrd="2" destOrd="0" presId="urn:microsoft.com/office/officeart/2005/8/layout/radial1"/>
    <dgm:cxn modelId="{AE1C4ED7-A30C-4B38-A63B-1E1989387F37}" type="presParOf" srcId="{9D8B49BD-1DF7-4888-9A7E-2CFD4320CC2B}" destId="{34515D96-C834-4D67-AF5C-3B293601CBC3}" srcOrd="3" destOrd="0" presId="urn:microsoft.com/office/officeart/2005/8/layout/radial1"/>
    <dgm:cxn modelId="{93BDF02F-FBB3-44A0-98BA-E3FEB44B9FA7}" type="presParOf" srcId="{34515D96-C834-4D67-AF5C-3B293601CBC3}" destId="{A8CF68B1-7D91-429E-8C8D-53007288E1DC}" srcOrd="0" destOrd="0" presId="urn:microsoft.com/office/officeart/2005/8/layout/radial1"/>
    <dgm:cxn modelId="{3179761E-3F74-46CE-A45B-A675A0DF4C67}" type="presParOf" srcId="{9D8B49BD-1DF7-4888-9A7E-2CFD4320CC2B}" destId="{D9366F31-B7D7-4B43-830C-AD5E2193A794}" srcOrd="4" destOrd="0" presId="urn:microsoft.com/office/officeart/2005/8/layout/radial1"/>
    <dgm:cxn modelId="{659ABB90-717E-4FFD-A09C-DCF3602F63A6}" type="presParOf" srcId="{9D8B49BD-1DF7-4888-9A7E-2CFD4320CC2B}" destId="{3F0F15B6-4D5A-493B-B03E-AE8141DC3DCE}" srcOrd="5" destOrd="0" presId="urn:microsoft.com/office/officeart/2005/8/layout/radial1"/>
    <dgm:cxn modelId="{C8057B55-ACB5-4D7A-AD6D-BA926E5B65F4}" type="presParOf" srcId="{3F0F15B6-4D5A-493B-B03E-AE8141DC3DCE}" destId="{905DF954-A0B6-4A5F-9CE2-F1C3ADBDD0C1}" srcOrd="0" destOrd="0" presId="urn:microsoft.com/office/officeart/2005/8/layout/radial1"/>
    <dgm:cxn modelId="{70AE6DF2-573E-4026-89C4-8E89A5C25F84}" type="presParOf" srcId="{9D8B49BD-1DF7-4888-9A7E-2CFD4320CC2B}" destId="{ECD2D13D-466C-468B-BD6C-1B646D8E5B8E}" srcOrd="6" destOrd="0" presId="urn:microsoft.com/office/officeart/2005/8/layout/radial1"/>
    <dgm:cxn modelId="{5035C5CE-8326-4281-B08B-9CD89E1BFDF1}" type="presParOf" srcId="{9D8B49BD-1DF7-4888-9A7E-2CFD4320CC2B}" destId="{5CF8296B-0142-429D-A71A-20799D2EB74B}" srcOrd="7" destOrd="0" presId="urn:microsoft.com/office/officeart/2005/8/layout/radial1"/>
    <dgm:cxn modelId="{AD60902D-C9DB-49F7-AF36-C60DFDBF0D25}" type="presParOf" srcId="{5CF8296B-0142-429D-A71A-20799D2EB74B}" destId="{48797E66-4F8B-4B79-BCA7-6F88E85CF835}" srcOrd="0" destOrd="0" presId="urn:microsoft.com/office/officeart/2005/8/layout/radial1"/>
    <dgm:cxn modelId="{3FC52E6E-40A2-45AB-9B90-DCAE78959817}" type="presParOf" srcId="{9D8B49BD-1DF7-4888-9A7E-2CFD4320CC2B}" destId="{7E7DDE23-6C04-407D-AAB6-669511EA704E}" srcOrd="8" destOrd="0" presId="urn:microsoft.com/office/officeart/2005/8/layout/radial1"/>
    <dgm:cxn modelId="{07B70DF6-FEAE-44AD-981A-8FF0B8294B61}" type="presParOf" srcId="{9D8B49BD-1DF7-4888-9A7E-2CFD4320CC2B}" destId="{DC281168-2DBC-4CFB-B21D-C54E9628B383}" srcOrd="9" destOrd="0" presId="urn:microsoft.com/office/officeart/2005/8/layout/radial1"/>
    <dgm:cxn modelId="{2B69740B-F5B9-4A80-A4C2-4CD7F523B387}" type="presParOf" srcId="{DC281168-2DBC-4CFB-B21D-C54E9628B383}" destId="{0D3BFC0A-5ED4-4CCF-A336-A529B3363890}" srcOrd="0" destOrd="0" presId="urn:microsoft.com/office/officeart/2005/8/layout/radial1"/>
    <dgm:cxn modelId="{FEC44930-8AF2-44C3-85CC-C199FD67AA97}" type="presParOf" srcId="{9D8B49BD-1DF7-4888-9A7E-2CFD4320CC2B}" destId="{66DADE40-99AE-41BE-B997-129EED231064}" srcOrd="10" destOrd="0" presId="urn:microsoft.com/office/officeart/2005/8/layout/radial1"/>
    <dgm:cxn modelId="{9855275E-834E-4BBD-BF38-45B9A622AFB6}" type="presParOf" srcId="{9D8B49BD-1DF7-4888-9A7E-2CFD4320CC2B}" destId="{4DF1B0BE-A63A-4BEA-9EE5-4168481CC99E}" srcOrd="11" destOrd="0" presId="urn:microsoft.com/office/officeart/2005/8/layout/radial1"/>
    <dgm:cxn modelId="{9185B9C7-5986-4AFF-92CD-91BD53CFB230}" type="presParOf" srcId="{4DF1B0BE-A63A-4BEA-9EE5-4168481CC99E}" destId="{32B4D7AF-BD29-4AC4-BA11-37F2AE9561F4}" srcOrd="0" destOrd="0" presId="urn:microsoft.com/office/officeart/2005/8/layout/radial1"/>
    <dgm:cxn modelId="{E0423978-8974-47EB-8487-225C224AC118}" type="presParOf" srcId="{9D8B49BD-1DF7-4888-9A7E-2CFD4320CC2B}" destId="{DB594876-4070-4577-942D-67F5CD4D6A19}" srcOrd="12" destOrd="0" presId="urn:microsoft.com/office/officeart/2005/8/layout/radial1"/>
    <dgm:cxn modelId="{35ABE43B-FA17-4216-A049-717FDB8BCBD8}" type="presParOf" srcId="{9D8B49BD-1DF7-4888-9A7E-2CFD4320CC2B}" destId="{E49C447F-3477-4311-B10B-FFFA7DE7209F}" srcOrd="13" destOrd="0" presId="urn:microsoft.com/office/officeart/2005/8/layout/radial1"/>
    <dgm:cxn modelId="{4D17F1E8-E456-4A43-8218-D65DAAF783EA}" type="presParOf" srcId="{E49C447F-3477-4311-B10B-FFFA7DE7209F}" destId="{B930024E-8665-4782-9C41-36517A71FCD4}" srcOrd="0" destOrd="0" presId="urn:microsoft.com/office/officeart/2005/8/layout/radial1"/>
    <dgm:cxn modelId="{98F54030-6C49-422F-9DAA-AF1924F92B1F}" type="presParOf" srcId="{9D8B49BD-1DF7-4888-9A7E-2CFD4320CC2B}" destId="{69F18085-0AC3-4BAE-9B16-F8478FFBD61E}" srcOrd="14" destOrd="0" presId="urn:microsoft.com/office/officeart/2005/8/layout/radial1"/>
    <dgm:cxn modelId="{84165ECA-DFF9-4031-90FA-8FB9DA422E73}" type="presParOf" srcId="{9D8B49BD-1DF7-4888-9A7E-2CFD4320CC2B}" destId="{FCC14444-D5E7-4E9C-B980-A27CD799E442}" srcOrd="15" destOrd="0" presId="urn:microsoft.com/office/officeart/2005/8/layout/radial1"/>
    <dgm:cxn modelId="{AFC3174C-86F9-4019-9757-72A818E23A28}" type="presParOf" srcId="{FCC14444-D5E7-4E9C-B980-A27CD799E442}" destId="{3EA6B60F-F2E8-4D48-9EC1-CAAE09243949}" srcOrd="0" destOrd="0" presId="urn:microsoft.com/office/officeart/2005/8/layout/radial1"/>
    <dgm:cxn modelId="{4CA8C1A0-DF92-48AB-81A8-48B6B4748C65}" type="presParOf" srcId="{9D8B49BD-1DF7-4888-9A7E-2CFD4320CC2B}" destId="{49C45DFA-0A15-4DAA-80DC-CAE4ABCC6B43}" srcOrd="16" destOrd="0" presId="urn:microsoft.com/office/officeart/2005/8/layout/radial1"/>
    <dgm:cxn modelId="{AB46A9EB-DC25-40BF-88DE-3DBEDC43918D}" type="presParOf" srcId="{9D8B49BD-1DF7-4888-9A7E-2CFD4320CC2B}" destId="{7B59CB2C-C82F-41EE-B3CF-ADD4878ADBA6}" srcOrd="17" destOrd="0" presId="urn:microsoft.com/office/officeart/2005/8/layout/radial1"/>
    <dgm:cxn modelId="{CC56C0E2-3582-4D75-A947-9DFE12CDE551}" type="presParOf" srcId="{7B59CB2C-C82F-41EE-B3CF-ADD4878ADBA6}" destId="{280B3AB5-4999-4B99-8BE9-E09C9DF5D482}" srcOrd="0" destOrd="0" presId="urn:microsoft.com/office/officeart/2005/8/layout/radial1"/>
    <dgm:cxn modelId="{51C42465-A30B-4D0E-B7DA-D6F48A470837}" type="presParOf" srcId="{9D8B49BD-1DF7-4888-9A7E-2CFD4320CC2B}" destId="{402B25BB-F397-46B5-AAB7-C38C2276BF82}" srcOrd="18" destOrd="0" presId="urn:microsoft.com/office/officeart/2005/8/layout/radial1"/>
    <dgm:cxn modelId="{C62CAC9C-2E7B-49DA-9E1B-F1740A6BA763}" type="presParOf" srcId="{9D8B49BD-1DF7-4888-9A7E-2CFD4320CC2B}" destId="{EFB9CB5A-411C-454B-96B1-9ED988829CBE}" srcOrd="19" destOrd="0" presId="urn:microsoft.com/office/officeart/2005/8/layout/radial1"/>
    <dgm:cxn modelId="{7032576C-DB4D-4CEF-B3E9-4F7A6F277385}" type="presParOf" srcId="{EFB9CB5A-411C-454B-96B1-9ED988829CBE}" destId="{A140118B-14B1-45A7-9CF9-17E4D006F84D}" srcOrd="0" destOrd="0" presId="urn:microsoft.com/office/officeart/2005/8/layout/radial1"/>
    <dgm:cxn modelId="{2A2949D7-B623-4B0B-8303-BD27A22A2D89}" type="presParOf" srcId="{9D8B49BD-1DF7-4888-9A7E-2CFD4320CC2B}" destId="{5AF8D9AC-0C15-4D1B-BCD3-7FFCFF0A581D}" srcOrd="20" destOrd="0" presId="urn:microsoft.com/office/officeart/2005/8/layout/radial1"/>
    <dgm:cxn modelId="{4AAFC586-255C-4AFF-84A6-EF11A837E9B3}" type="presParOf" srcId="{9D8B49BD-1DF7-4888-9A7E-2CFD4320CC2B}" destId="{701CC827-3AE5-4421-983B-6398C783C82F}" srcOrd="21" destOrd="0" presId="urn:microsoft.com/office/officeart/2005/8/layout/radial1"/>
    <dgm:cxn modelId="{65F322ED-04DB-4211-A274-8D2D855C0A11}" type="presParOf" srcId="{701CC827-3AE5-4421-983B-6398C783C82F}" destId="{282CA825-226C-4E92-9F37-4F68B159DB24}" srcOrd="0" destOrd="0" presId="urn:microsoft.com/office/officeart/2005/8/layout/radial1"/>
    <dgm:cxn modelId="{DA0ABB3E-BBAA-4508-80A2-FBB036F79DEB}" type="presParOf" srcId="{9D8B49BD-1DF7-4888-9A7E-2CFD4320CC2B}" destId="{A86195D8-E78B-4F8B-B1C4-EFBBA8999B88}" srcOrd="22" destOrd="0" presId="urn:microsoft.com/office/officeart/2005/8/layout/radial1"/>
    <dgm:cxn modelId="{CCFA18E6-0E6C-4DF0-A113-2C6154DAA2C1}" type="presParOf" srcId="{9D8B49BD-1DF7-4888-9A7E-2CFD4320CC2B}" destId="{48D8EFE9-A375-4136-B36E-91EB3A5F0349}" srcOrd="23" destOrd="0" presId="urn:microsoft.com/office/officeart/2005/8/layout/radial1"/>
    <dgm:cxn modelId="{83335F7A-36D8-47A8-B4AC-977EEAFC17D4}" type="presParOf" srcId="{48D8EFE9-A375-4136-B36E-91EB3A5F0349}" destId="{3534FF94-72C6-43FB-8F21-668E71284740}" srcOrd="0" destOrd="0" presId="urn:microsoft.com/office/officeart/2005/8/layout/radial1"/>
    <dgm:cxn modelId="{6F87FC0B-70F8-4312-ADC2-0C9BA68DE518}" type="presParOf" srcId="{9D8B49BD-1DF7-4888-9A7E-2CFD4320CC2B}" destId="{2CC81EFE-1B09-4239-A772-C0141AEBEE08}" srcOrd="24" destOrd="0" presId="urn:microsoft.com/office/officeart/2005/8/layout/radial1"/>
  </dgm:cxnLst>
  <dgm:bg>
    <a:noFill/>
  </dgm:bg>
  <dgm:whole/>
  <dgm:extLst>
    <a:ext uri="http://schemas.microsoft.com/office/drawing/2008/diagram">
      <dsp:dataModelExt xmlns:dsp="http://schemas.microsoft.com/office/drawing/2008/diagram" relId="rId9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53876" y="1135605"/>
          <a:ext cx="1197049" cy="44487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6624" y="1080638"/>
          <a:ext cx="1096159" cy="54454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07515">
          <a:off x="1152777" y="1348687"/>
          <a:ext cx="120111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47623" y="1724025"/>
          <a:ext cx="1242831" cy="5016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893043">
          <a:off x="1162476" y="1655340"/>
          <a:ext cx="132875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009651" y="2123636"/>
          <a:ext cx="1277848" cy="4859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36599">
          <a:off x="1829671" y="1846815"/>
          <a:ext cx="96431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382822" y="2206113"/>
          <a:ext cx="1177630" cy="4405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338107">
          <a:off x="2649168" y="1886562"/>
          <a:ext cx="62573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610838" y="1963835"/>
          <a:ext cx="1178346" cy="5126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078712">
          <a:off x="3165832" y="1771862"/>
          <a:ext cx="79033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597805" y="1502352"/>
          <a:ext cx="964795" cy="5074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635706">
          <a:off x="3477151" y="1557811"/>
          <a:ext cx="115842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769844" y="950820"/>
          <a:ext cx="1173755"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57974">
          <a:off x="3538896" y="1266186"/>
          <a:ext cx="124118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45518" y="457200"/>
          <a:ext cx="950381" cy="4925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41511">
          <a:off x="3356948" y="1016694"/>
          <a:ext cx="110105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7576" y="82960"/>
          <a:ext cx="1117371" cy="49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62181">
          <a:off x="3048040" y="847527"/>
          <a:ext cx="85340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74601" y="3477"/>
          <a:ext cx="938174" cy="46508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614550" y="795347"/>
          <a:ext cx="66706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90501" y="487596"/>
          <a:ext cx="1219030" cy="52965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 </a:t>
          </a:r>
        </a:p>
      </dgm:t>
    </dgm:pt>
    <dgm:pt modelId="{98B9F8AD-7347-45A5-BC2B-65EB3DDF63CC}" type="parTrans" cxnId="{DF9EB478-C224-42F7-822E-5C2EA98D82E9}">
      <dgm:prSet/>
      <dgm:spPr>
        <a:xfrm rot="11742912">
          <a:off x="1289029" y="1053338"/>
          <a:ext cx="120877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B5C2DFB0-7F22-4F16-BFC5-827634DBBB86}">
      <dgm:prSet phldrT="[Text]" custT="1"/>
      <dgm:spPr>
        <a:xfrm>
          <a:off x="1197160" y="95254"/>
          <a:ext cx="1267927" cy="546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SMEs &amp; Entrepreneurship </a:t>
          </a:r>
        </a:p>
        <a:p>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B491DD-4CE9-49F2-B4D3-F1DB91178D32}" type="parTrans" cxnId="{995CF8D1-4BF5-4F86-9B58-5047CF3CBA94}">
      <dgm:prSet/>
      <dgm:spPr>
        <a:xfrm rot="13285665">
          <a:off x="2007481" y="876834"/>
          <a:ext cx="814517"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95F378-0A86-44D0-AD56-ADCA8BB5C969}" type="sibTrans" cxnId="{995CF8D1-4BF5-4F86-9B58-5047CF3CBA9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907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667066"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0883" custScaleY="104542"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53408"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51163" custScaleY="111954" custRadScaleRad="132131" custRadScaleInc="10690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101050"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3627" custScaleY="110715" custRadScaleRad="176974" custRadScaleInc="71279">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24118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63837" custScaleY="106849" custRadScaleRad="217692" custRadScaleInc="-26617">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158420"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16867" custScaleY="114059" custRadScaleRad="193517" custRadScaleInc="-129366">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790334"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89988" custScaleY="118616" custRadScaleRad="135570" custRadScaleInc="-169032">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625739"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82016" custScaleY="125413" custRadScaleRad="95522" custRadScaleInc="-6877">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964315"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87235" custScaleY="109229" custRadScaleRad="147359" custRadScaleInc="14851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28759"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9364" custScaleY="112750" custRadScaleRad="211440" custRadScaleInc="99227">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201111"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46395" custScaleY="122404" custRadScaleRad="209876" custRadScaleInc="83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208775"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274014" custScaleY="119055" custRadScaleRad="199887" custRadScaleInc="-95232">
        <dgm:presLayoutVars>
          <dgm:bulletEnabled val="1"/>
        </dgm:presLayoutVars>
      </dgm:prSet>
      <dgm:spPr>
        <a:prstGeom prst="ellipse">
          <a:avLst/>
        </a:prstGeom>
      </dgm:spPr>
      <dgm:t>
        <a:bodyPr/>
        <a:lstStyle/>
        <a:p>
          <a:endParaRPr lang="en-US"/>
        </a:p>
      </dgm:t>
    </dgm:pt>
    <dgm:pt modelId="{155F429B-0A10-4501-ADF1-CAD1F85BB50E}" type="pres">
      <dgm:prSet presAssocID="{6BB491DD-4CE9-49F2-B4D3-F1DB91178D32}" presName="Name9" presStyleLbl="parChTrans1D2" presStyleIdx="11" presStyleCnt="12"/>
      <dgm:spPr>
        <a:custGeom>
          <a:avLst/>
          <a:gdLst/>
          <a:ahLst/>
          <a:cxnLst/>
          <a:rect l="0" t="0" r="0" b="0"/>
          <a:pathLst>
            <a:path>
              <a:moveTo>
                <a:pt x="0" y="6736"/>
              </a:moveTo>
              <a:lnTo>
                <a:pt x="814517" y="6736"/>
              </a:lnTo>
            </a:path>
          </a:pathLst>
        </a:custGeom>
      </dgm:spPr>
      <dgm:t>
        <a:bodyPr/>
        <a:lstStyle/>
        <a:p>
          <a:endParaRPr lang="en-US"/>
        </a:p>
      </dgm:t>
    </dgm:pt>
    <dgm:pt modelId="{8C19F320-E7BE-4A6B-961D-98CF34160A4C}" type="pres">
      <dgm:prSet presAssocID="{6BB491DD-4CE9-49F2-B4D3-F1DB91178D32}" presName="connTx" presStyleLbl="parChTrans1D2" presStyleIdx="11" presStyleCnt="12"/>
      <dgm:spPr/>
      <dgm:t>
        <a:bodyPr/>
        <a:lstStyle/>
        <a:p>
          <a:endParaRPr lang="en-US"/>
        </a:p>
      </dgm:t>
    </dgm:pt>
    <dgm:pt modelId="{04A81C5D-1DF3-47DF-8447-322057132F11}" type="pres">
      <dgm:prSet presAssocID="{B5C2DFB0-7F22-4F16-BFC5-827634DBBB86}" presName="node" presStyleLbl="node1" presStyleIdx="11" presStyleCnt="12" custScaleX="303542" custScaleY="125140" custRadScaleRad="133688" custRadScaleInc="-123815">
        <dgm:presLayoutVars>
          <dgm:bulletEnabled val="1"/>
        </dgm:presLayoutVars>
      </dgm:prSet>
      <dgm:spPr>
        <a:prstGeom prst="ellipse">
          <a:avLst/>
        </a:prstGeom>
      </dgm:spPr>
      <dgm:t>
        <a:bodyPr/>
        <a:lstStyle/>
        <a:p>
          <a:endParaRPr lang="en-US"/>
        </a:p>
      </dgm:t>
    </dgm:pt>
  </dgm:ptLst>
  <dgm:cxnLst>
    <dgm:cxn modelId="{FE1169E0-24DF-4FBB-A1C9-8F332C85663A}" srcId="{A7516A72-1FC0-46ED-AAC4-AF0F7063F737}" destId="{6DAE892F-3F2D-42A5-BB1C-58D0E6BD9A47}" srcOrd="3" destOrd="0" parTransId="{D22DE764-173E-47DF-9480-722F8D8EA62C}" sibTransId="{28BD2EB6-8814-456D-B684-C7C0E2C0705F}"/>
    <dgm:cxn modelId="{8F041B4D-93F3-4E23-A02D-8ECB759488E7}" type="presOf" srcId="{D94B5549-C2D2-4629-ACDF-33C6E334FA3A}" destId="{3F0F15B6-4D5A-493B-B03E-AE8141DC3DCE}" srcOrd="0" destOrd="0" presId="urn:microsoft.com/office/officeart/2005/8/layout/radial1"/>
    <dgm:cxn modelId="{0E97281A-9E91-40B1-9386-8E6297151114}" type="presOf" srcId="{F0FE4372-65E6-4D92-B9B0-D2B79F26FB27}" destId="{ECD2D13D-466C-468B-BD6C-1B646D8E5B8E}" srcOrd="0" destOrd="0" presId="urn:microsoft.com/office/officeart/2005/8/layout/radial1"/>
    <dgm:cxn modelId="{617F9A06-65E6-4567-9387-E7ECDC17872E}" type="presOf" srcId="{6DAE892F-3F2D-42A5-BB1C-58D0E6BD9A47}" destId="{7E7DDE23-6C04-407D-AAB6-669511EA704E}" srcOrd="0" destOrd="0" presId="urn:microsoft.com/office/officeart/2005/8/layout/radial1"/>
    <dgm:cxn modelId="{F702C1C3-0730-4D61-A2D7-EE937C673193}" type="presOf" srcId="{14602118-D739-48CC-85E0-791974AFA995}" destId="{DB594876-4070-4577-942D-67F5CD4D6A19}" srcOrd="0" destOrd="0" presId="urn:microsoft.com/office/officeart/2005/8/layout/radial1"/>
    <dgm:cxn modelId="{17CF68F1-9CF9-482B-8A58-94B7F9E5A914}" type="presOf" srcId="{2F72DDEE-62D3-48A5-836A-4C87596541F0}" destId="{280B3AB5-4999-4B99-8BE9-E09C9DF5D482}" srcOrd="1" destOrd="0" presId="urn:microsoft.com/office/officeart/2005/8/layout/radial1"/>
    <dgm:cxn modelId="{69045D3A-C4C0-4ABC-A2D9-3858C3D5B86A}" type="presOf" srcId="{98B9F8AD-7347-45A5-BC2B-65EB3DDF63CC}" destId="{282CA825-226C-4E92-9F37-4F68B159DB24}" srcOrd="1" destOrd="0" presId="urn:microsoft.com/office/officeart/2005/8/layout/radial1"/>
    <dgm:cxn modelId="{E3AE407B-22BA-4311-A6A7-CAF870D97752}" type="presOf" srcId="{2628F477-2289-4CEE-9618-96DDAFCD4291}" destId="{49C45DFA-0A15-4DAA-80DC-CAE4ABCC6B43}" srcOrd="0" destOrd="0" presId="urn:microsoft.com/office/officeart/2005/8/layout/radial1"/>
    <dgm:cxn modelId="{15E80342-B416-4D02-8ECA-B36B46BD4CB1}" type="presOf" srcId="{BA28F4A6-AD16-499D-88C1-DBE004B28175}" destId="{E6ACA703-0949-41B3-BE6B-C702E5C7275F}" srcOrd="0" destOrd="0" presId="urn:microsoft.com/office/officeart/2005/8/layout/radial1"/>
    <dgm:cxn modelId="{1D8F3491-FF78-4265-B476-3C517AA944C3}" type="presOf" srcId="{BA28F4A6-AD16-499D-88C1-DBE004B28175}" destId="{B06AADB2-5D51-41DC-8677-C0CC2357518B}" srcOrd="1" destOrd="0" presId="urn:microsoft.com/office/officeart/2005/8/layout/radial1"/>
    <dgm:cxn modelId="{45A06F9F-F209-46F1-83EB-6EB21F43D933}" type="presOf" srcId="{A7516A72-1FC0-46ED-AAC4-AF0F7063F737}" destId="{493DA7EC-5D69-41B7-92E4-ED7ED9F48883}"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A1357B0A-C240-4A91-89D8-A39634308683}" srcId="{A7516A72-1FC0-46ED-AAC4-AF0F7063F737}" destId="{44FBC2E2-D754-42C1-BEE4-690296442511}" srcOrd="8" destOrd="0" parTransId="{2F72DDEE-62D3-48A5-836A-4C87596541F0}" sibTransId="{A8D506B7-E9B0-4378-B011-FCC599FE960D}"/>
    <dgm:cxn modelId="{193FFA21-A8AD-440A-8081-7B42A50B2C4B}" type="presOf" srcId="{D981426F-5B7B-4AA5-957A-6E8C9E1A2487}" destId="{9D8B49BD-1DF7-4888-9A7E-2CFD4320CC2B}" srcOrd="0" destOrd="0" presId="urn:microsoft.com/office/officeart/2005/8/layout/radial1"/>
    <dgm:cxn modelId="{420FD6CF-50D9-4697-B0F0-C0C0C7C4DEF0}" type="presOf" srcId="{D65A13E9-3C79-4155-B943-C33E81DAC317}" destId="{A86195D8-E78B-4F8B-B1C4-EFBBA8999B88}" srcOrd="0" destOrd="0" presId="urn:microsoft.com/office/officeart/2005/8/layout/radial1"/>
    <dgm:cxn modelId="{337292B4-AE31-4B9B-82DC-3BEB53409254}" type="presOf" srcId="{3F89048A-3F9F-4897-8631-4599F4976029}" destId="{4DF1B0BE-A63A-4BEA-9EE5-4168481CC99E}" srcOrd="0" destOrd="0" presId="urn:microsoft.com/office/officeart/2005/8/layout/radial1"/>
    <dgm:cxn modelId="{C0CA86B1-EA7D-48B4-B620-99F5D43DFE7A}" type="presOf" srcId="{D460D018-736B-4CE5-A14B-061F8EFE829B}" destId="{5AF8D9AC-0C15-4D1B-BCD3-7FFCFF0A581D}" srcOrd="0" destOrd="0" presId="urn:microsoft.com/office/officeart/2005/8/layout/radial1"/>
    <dgm:cxn modelId="{5BED896B-87F7-44E5-A29C-C6ABFB7D73C4}" type="presOf" srcId="{DB9FEC62-86A7-454A-89B3-F32F1907C71A}" destId="{A8CF68B1-7D91-429E-8C8D-53007288E1DC}" srcOrd="1" destOrd="0" presId="urn:microsoft.com/office/officeart/2005/8/layout/radial1"/>
    <dgm:cxn modelId="{AFA9EB04-3C72-44BC-B6EF-6A334B657B02}" type="presOf" srcId="{2F72DDEE-62D3-48A5-836A-4C87596541F0}" destId="{7B59CB2C-C82F-41EE-B3CF-ADD4878ADBA6}" srcOrd="0" destOrd="0" presId="urn:microsoft.com/office/officeart/2005/8/layout/radial1"/>
    <dgm:cxn modelId="{1E301245-62B7-47CC-AA8E-BA86C57F3635}" type="presOf" srcId="{DEF73824-C893-4963-9504-7E97D2FF5253}" destId="{3EA6B60F-F2E8-4D48-9EC1-CAAE09243949}" srcOrd="1" destOrd="0" presId="urn:microsoft.com/office/officeart/2005/8/layout/radial1"/>
    <dgm:cxn modelId="{CA57C83A-45D7-463D-AFE4-5BDE2A8C8F32}" type="presOf" srcId="{B4A5C031-92B2-438E-80BC-EAA05F5C7CF7}" destId="{EFB9CB5A-411C-454B-96B1-9ED988829CBE}" srcOrd="0" destOrd="0" presId="urn:microsoft.com/office/officeart/2005/8/layout/radial1"/>
    <dgm:cxn modelId="{D4C2C9DB-A1BB-4128-9A64-40B49AC0A44F}" type="presOf" srcId="{7C1FA040-4399-40F0-866F-845B7914F68D}" destId="{69F18085-0AC3-4BAE-9B16-F8478FFBD61E}" srcOrd="0" destOrd="0" presId="urn:microsoft.com/office/officeart/2005/8/layout/radial1"/>
    <dgm:cxn modelId="{87C2E3A1-4D3D-49F9-A716-07F0E1522C2A}" type="presOf" srcId="{98585C11-761C-43C4-979D-FB1B8BABF102}" destId="{E49C447F-3477-4311-B10B-FFFA7DE7209F}" srcOrd="0" destOrd="0" presId="urn:microsoft.com/office/officeart/2005/8/layout/radial1"/>
    <dgm:cxn modelId="{839CB9E2-FA3C-412A-83F0-C893EFDDAF29}" type="presOf" srcId="{6BB491DD-4CE9-49F2-B4D3-F1DB91178D32}" destId="{155F429B-0A10-4501-ADF1-CAD1F85BB50E}" srcOrd="0" destOrd="0" presId="urn:microsoft.com/office/officeart/2005/8/layout/radial1"/>
    <dgm:cxn modelId="{C3629726-C028-45A9-A727-44D9CEC9F4AA}" type="presOf" srcId="{D94B5549-C2D2-4629-ACDF-33C6E334FA3A}" destId="{905DF954-A0B6-4A5F-9CE2-F1C3ADBDD0C1}" srcOrd="1" destOrd="0" presId="urn:microsoft.com/office/officeart/2005/8/layout/radial1"/>
    <dgm:cxn modelId="{7047C10D-424A-4388-9E97-F36A97B8EC5E}" type="presOf" srcId="{9E510621-404D-46D6-8EB3-39712C8626D4}" destId="{0D3BFC0A-5ED4-4CCF-A336-A529B3363890}" srcOrd="1" destOrd="0" presId="urn:microsoft.com/office/officeart/2005/8/layout/radial1"/>
    <dgm:cxn modelId="{54F3672A-7952-4B74-87CA-078EA0987A83}" type="presOf" srcId="{D22DE764-173E-47DF-9480-722F8D8EA62C}" destId="{48797E66-4F8B-4B79-BCA7-6F88E85CF835}" srcOrd="1" destOrd="0" presId="urn:microsoft.com/office/officeart/2005/8/layout/radial1"/>
    <dgm:cxn modelId="{50556330-743A-4200-9DDE-BBEF3776CC5E}" type="presOf" srcId="{DB0D84B1-C440-4746-9EEF-F1ED71D64DD2}" destId="{66DADE40-99AE-41BE-B997-129EED231064}" srcOrd="0" destOrd="0" presId="urn:microsoft.com/office/officeart/2005/8/layout/radial1"/>
    <dgm:cxn modelId="{7618ECB5-4661-4D86-B670-BA66059AEB1B}" type="presOf" srcId="{3F89048A-3F9F-4897-8631-4599F4976029}" destId="{32B4D7AF-BD29-4AC4-BA11-37F2AE9561F4}" srcOrd="1"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8AD023D5-1A9F-4A88-8F24-9DFAD0E59641}" type="presOf" srcId="{9E510621-404D-46D6-8EB3-39712C8626D4}" destId="{DC281168-2DBC-4CFB-B21D-C54E9628B383}"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BD866E3E-B9D6-43CA-9B76-ABB38A0A3B56}" type="presOf" srcId="{68A5766F-115C-487E-B7CB-4ADE150678D1}" destId="{AFD0CC05-9AD4-4A51-8739-4FB4CA1E4ACE}"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4098E903-29EF-49A4-9D27-27E7958D7E14}" type="presOf" srcId="{B4A5C031-92B2-438E-80BC-EAA05F5C7CF7}" destId="{A140118B-14B1-45A7-9CF9-17E4D006F84D}" srcOrd="1"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C1DD3078-AD59-4E48-AB83-57BC22F7D532}" type="presOf" srcId="{898446A3-EA8C-4C13-8A65-DF8A110D0838}" destId="{D9366F31-B7D7-4B43-830C-AD5E2193A794}" srcOrd="0" destOrd="0" presId="urn:microsoft.com/office/officeart/2005/8/layout/radial1"/>
    <dgm:cxn modelId="{BD1AED26-B8EC-4BF7-B074-24CE612D0551}" type="presOf" srcId="{D22DE764-173E-47DF-9480-722F8D8EA62C}" destId="{5CF8296B-0142-429D-A71A-20799D2EB74B}"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D3191D39-8E34-4D6F-A194-58FBFCA26118}" type="presOf" srcId="{98B9F8AD-7347-45A5-BC2B-65EB3DDF63CC}" destId="{701CC827-3AE5-4421-983B-6398C783C82F}" srcOrd="0" destOrd="0" presId="urn:microsoft.com/office/officeart/2005/8/layout/radial1"/>
    <dgm:cxn modelId="{086BF23D-52CA-40C2-925A-6B75E3179BCD}" type="presOf" srcId="{6BB491DD-4CE9-49F2-B4D3-F1DB91178D32}" destId="{8C19F320-E7BE-4A6B-961D-98CF34160A4C}" srcOrd="1"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0D8765F6-AF0C-47BD-B111-B944D4A4088E}" type="presOf" srcId="{B5C2DFB0-7F22-4F16-BFC5-827634DBBB86}" destId="{04A81C5D-1DF3-47DF-8447-322057132F11}" srcOrd="0" destOrd="0" presId="urn:microsoft.com/office/officeart/2005/8/layout/radial1"/>
    <dgm:cxn modelId="{62F824D2-86D1-4342-889D-A524068E7E1F}" type="presOf" srcId="{DEF73824-C893-4963-9504-7E97D2FF5253}" destId="{FCC14444-D5E7-4E9C-B980-A27CD799E442}" srcOrd="0" destOrd="0" presId="urn:microsoft.com/office/officeart/2005/8/layout/radial1"/>
    <dgm:cxn modelId="{995CF8D1-4BF5-4F86-9B58-5047CF3CBA94}" srcId="{A7516A72-1FC0-46ED-AAC4-AF0F7063F737}" destId="{B5C2DFB0-7F22-4F16-BFC5-827634DBBB86}" srcOrd="11" destOrd="0" parTransId="{6BB491DD-4CE9-49F2-B4D3-F1DB91178D32}" sibTransId="{7995F378-0A86-44D0-AD56-ADCA8BB5C969}"/>
    <dgm:cxn modelId="{9871D05C-AECE-4656-8A7B-96A19F3A4CBE}" type="presOf" srcId="{44FBC2E2-D754-42C1-BEE4-690296442511}" destId="{402B25BB-F397-46B5-AAB7-C38C2276BF82}" srcOrd="0" destOrd="0" presId="urn:microsoft.com/office/officeart/2005/8/layout/radial1"/>
    <dgm:cxn modelId="{62E0FBF1-2E1B-47A5-8B56-04408D4E8416}" type="presOf" srcId="{DB9FEC62-86A7-454A-89B3-F32F1907C71A}" destId="{34515D96-C834-4D67-AF5C-3B293601CBC3}"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C45BD8FB-C196-405F-A35A-AE8080B666F0}" type="presOf" srcId="{98585C11-761C-43C4-979D-FB1B8BABF102}" destId="{B930024E-8665-4782-9C41-36517A71FCD4}" srcOrd="1" destOrd="0" presId="urn:microsoft.com/office/officeart/2005/8/layout/radial1"/>
    <dgm:cxn modelId="{DD0D5B2C-4FEE-4C7B-BE1D-C9D07028556E}" type="presParOf" srcId="{9D8B49BD-1DF7-4888-9A7E-2CFD4320CC2B}" destId="{493DA7EC-5D69-41B7-92E4-ED7ED9F48883}" srcOrd="0" destOrd="0" presId="urn:microsoft.com/office/officeart/2005/8/layout/radial1"/>
    <dgm:cxn modelId="{00BD539E-AE5A-445C-AC75-1D47BD77C021}" type="presParOf" srcId="{9D8B49BD-1DF7-4888-9A7E-2CFD4320CC2B}" destId="{E6ACA703-0949-41B3-BE6B-C702E5C7275F}" srcOrd="1" destOrd="0" presId="urn:microsoft.com/office/officeart/2005/8/layout/radial1"/>
    <dgm:cxn modelId="{982679DA-062A-45DC-AFED-44A1452AB2DA}" type="presParOf" srcId="{E6ACA703-0949-41B3-BE6B-C702E5C7275F}" destId="{B06AADB2-5D51-41DC-8677-C0CC2357518B}" srcOrd="0" destOrd="0" presId="urn:microsoft.com/office/officeart/2005/8/layout/radial1"/>
    <dgm:cxn modelId="{2EA9944D-E065-4522-9C8E-25E56475FB4C}" type="presParOf" srcId="{9D8B49BD-1DF7-4888-9A7E-2CFD4320CC2B}" destId="{AFD0CC05-9AD4-4A51-8739-4FB4CA1E4ACE}" srcOrd="2" destOrd="0" presId="urn:microsoft.com/office/officeart/2005/8/layout/radial1"/>
    <dgm:cxn modelId="{FA05E442-EE32-4ECE-AEE1-84831C32336D}" type="presParOf" srcId="{9D8B49BD-1DF7-4888-9A7E-2CFD4320CC2B}" destId="{34515D96-C834-4D67-AF5C-3B293601CBC3}" srcOrd="3" destOrd="0" presId="urn:microsoft.com/office/officeart/2005/8/layout/radial1"/>
    <dgm:cxn modelId="{0B3F6D5C-2AF3-479D-B666-9AD17AD61FAD}" type="presParOf" srcId="{34515D96-C834-4D67-AF5C-3B293601CBC3}" destId="{A8CF68B1-7D91-429E-8C8D-53007288E1DC}" srcOrd="0" destOrd="0" presId="urn:microsoft.com/office/officeart/2005/8/layout/radial1"/>
    <dgm:cxn modelId="{AEF72F38-AD8E-496C-BD5D-946D418783FE}" type="presParOf" srcId="{9D8B49BD-1DF7-4888-9A7E-2CFD4320CC2B}" destId="{D9366F31-B7D7-4B43-830C-AD5E2193A794}" srcOrd="4" destOrd="0" presId="urn:microsoft.com/office/officeart/2005/8/layout/radial1"/>
    <dgm:cxn modelId="{B8D2792F-2BA1-48A2-A691-055197D9F0A6}" type="presParOf" srcId="{9D8B49BD-1DF7-4888-9A7E-2CFD4320CC2B}" destId="{3F0F15B6-4D5A-493B-B03E-AE8141DC3DCE}" srcOrd="5" destOrd="0" presId="urn:microsoft.com/office/officeart/2005/8/layout/radial1"/>
    <dgm:cxn modelId="{98416F1E-4201-4E52-8D8C-8BB09A088006}" type="presParOf" srcId="{3F0F15B6-4D5A-493B-B03E-AE8141DC3DCE}" destId="{905DF954-A0B6-4A5F-9CE2-F1C3ADBDD0C1}" srcOrd="0" destOrd="0" presId="urn:microsoft.com/office/officeart/2005/8/layout/radial1"/>
    <dgm:cxn modelId="{D18148AB-A7CB-44EA-BD5F-0FD625FE7A62}" type="presParOf" srcId="{9D8B49BD-1DF7-4888-9A7E-2CFD4320CC2B}" destId="{ECD2D13D-466C-468B-BD6C-1B646D8E5B8E}" srcOrd="6" destOrd="0" presId="urn:microsoft.com/office/officeart/2005/8/layout/radial1"/>
    <dgm:cxn modelId="{88D36781-22FB-4701-AE2C-131D129F9A28}" type="presParOf" srcId="{9D8B49BD-1DF7-4888-9A7E-2CFD4320CC2B}" destId="{5CF8296B-0142-429D-A71A-20799D2EB74B}" srcOrd="7" destOrd="0" presId="urn:microsoft.com/office/officeart/2005/8/layout/radial1"/>
    <dgm:cxn modelId="{8E1946A1-3AC5-460F-B3EA-ED522D9716C1}" type="presParOf" srcId="{5CF8296B-0142-429D-A71A-20799D2EB74B}" destId="{48797E66-4F8B-4B79-BCA7-6F88E85CF835}" srcOrd="0" destOrd="0" presId="urn:microsoft.com/office/officeart/2005/8/layout/radial1"/>
    <dgm:cxn modelId="{28EA03DD-73CA-4B79-A06B-7457331EA330}" type="presParOf" srcId="{9D8B49BD-1DF7-4888-9A7E-2CFD4320CC2B}" destId="{7E7DDE23-6C04-407D-AAB6-669511EA704E}" srcOrd="8" destOrd="0" presId="urn:microsoft.com/office/officeart/2005/8/layout/radial1"/>
    <dgm:cxn modelId="{1FE14C41-5E9E-4852-9928-81BF0505A006}" type="presParOf" srcId="{9D8B49BD-1DF7-4888-9A7E-2CFD4320CC2B}" destId="{DC281168-2DBC-4CFB-B21D-C54E9628B383}" srcOrd="9" destOrd="0" presId="urn:microsoft.com/office/officeart/2005/8/layout/radial1"/>
    <dgm:cxn modelId="{319421F3-D35C-41BA-B9D8-2014BA75BC7B}" type="presParOf" srcId="{DC281168-2DBC-4CFB-B21D-C54E9628B383}" destId="{0D3BFC0A-5ED4-4CCF-A336-A529B3363890}" srcOrd="0" destOrd="0" presId="urn:microsoft.com/office/officeart/2005/8/layout/radial1"/>
    <dgm:cxn modelId="{76038C2A-B6ED-46BB-80EE-75A35375AA95}" type="presParOf" srcId="{9D8B49BD-1DF7-4888-9A7E-2CFD4320CC2B}" destId="{66DADE40-99AE-41BE-B997-129EED231064}" srcOrd="10" destOrd="0" presId="urn:microsoft.com/office/officeart/2005/8/layout/radial1"/>
    <dgm:cxn modelId="{F3B54A1F-7C69-4980-B213-6D854D2F5CF5}" type="presParOf" srcId="{9D8B49BD-1DF7-4888-9A7E-2CFD4320CC2B}" destId="{4DF1B0BE-A63A-4BEA-9EE5-4168481CC99E}" srcOrd="11" destOrd="0" presId="urn:microsoft.com/office/officeart/2005/8/layout/radial1"/>
    <dgm:cxn modelId="{455800F8-3B3B-4BDC-94A6-77B66A0D745C}" type="presParOf" srcId="{4DF1B0BE-A63A-4BEA-9EE5-4168481CC99E}" destId="{32B4D7AF-BD29-4AC4-BA11-37F2AE9561F4}" srcOrd="0" destOrd="0" presId="urn:microsoft.com/office/officeart/2005/8/layout/radial1"/>
    <dgm:cxn modelId="{A2035DF1-1B4A-492E-B31C-A63DBF1EAD7B}" type="presParOf" srcId="{9D8B49BD-1DF7-4888-9A7E-2CFD4320CC2B}" destId="{DB594876-4070-4577-942D-67F5CD4D6A19}" srcOrd="12" destOrd="0" presId="urn:microsoft.com/office/officeart/2005/8/layout/radial1"/>
    <dgm:cxn modelId="{28A891F6-1061-43D1-893C-4F60C703A474}" type="presParOf" srcId="{9D8B49BD-1DF7-4888-9A7E-2CFD4320CC2B}" destId="{E49C447F-3477-4311-B10B-FFFA7DE7209F}" srcOrd="13" destOrd="0" presId="urn:microsoft.com/office/officeart/2005/8/layout/radial1"/>
    <dgm:cxn modelId="{7E615135-2B02-4509-BFB3-4846974AF30F}" type="presParOf" srcId="{E49C447F-3477-4311-B10B-FFFA7DE7209F}" destId="{B930024E-8665-4782-9C41-36517A71FCD4}" srcOrd="0" destOrd="0" presId="urn:microsoft.com/office/officeart/2005/8/layout/radial1"/>
    <dgm:cxn modelId="{78B31C94-76CE-47D9-9006-F4D27E2FDCDA}" type="presParOf" srcId="{9D8B49BD-1DF7-4888-9A7E-2CFD4320CC2B}" destId="{69F18085-0AC3-4BAE-9B16-F8478FFBD61E}" srcOrd="14" destOrd="0" presId="urn:microsoft.com/office/officeart/2005/8/layout/radial1"/>
    <dgm:cxn modelId="{B1B687E2-383B-4CBA-BF46-CCC2158D4EF4}" type="presParOf" srcId="{9D8B49BD-1DF7-4888-9A7E-2CFD4320CC2B}" destId="{FCC14444-D5E7-4E9C-B980-A27CD799E442}" srcOrd="15" destOrd="0" presId="urn:microsoft.com/office/officeart/2005/8/layout/radial1"/>
    <dgm:cxn modelId="{5E899C6D-7C30-484B-BCD8-A64D57345681}" type="presParOf" srcId="{FCC14444-D5E7-4E9C-B980-A27CD799E442}" destId="{3EA6B60F-F2E8-4D48-9EC1-CAAE09243949}" srcOrd="0" destOrd="0" presId="urn:microsoft.com/office/officeart/2005/8/layout/radial1"/>
    <dgm:cxn modelId="{28E88245-72CF-47A0-911C-B49CD8700EFD}" type="presParOf" srcId="{9D8B49BD-1DF7-4888-9A7E-2CFD4320CC2B}" destId="{49C45DFA-0A15-4DAA-80DC-CAE4ABCC6B43}" srcOrd="16" destOrd="0" presId="urn:microsoft.com/office/officeart/2005/8/layout/radial1"/>
    <dgm:cxn modelId="{E659FA0F-6B66-452A-8DA4-885E7CD69007}" type="presParOf" srcId="{9D8B49BD-1DF7-4888-9A7E-2CFD4320CC2B}" destId="{7B59CB2C-C82F-41EE-B3CF-ADD4878ADBA6}" srcOrd="17" destOrd="0" presId="urn:microsoft.com/office/officeart/2005/8/layout/radial1"/>
    <dgm:cxn modelId="{3ADCB3A0-AFBE-4C9B-90C8-A8CC9867B4A9}" type="presParOf" srcId="{7B59CB2C-C82F-41EE-B3CF-ADD4878ADBA6}" destId="{280B3AB5-4999-4B99-8BE9-E09C9DF5D482}" srcOrd="0" destOrd="0" presId="urn:microsoft.com/office/officeart/2005/8/layout/radial1"/>
    <dgm:cxn modelId="{2192B564-378A-40B8-A105-3DA5746E38A5}" type="presParOf" srcId="{9D8B49BD-1DF7-4888-9A7E-2CFD4320CC2B}" destId="{402B25BB-F397-46B5-AAB7-C38C2276BF82}" srcOrd="18" destOrd="0" presId="urn:microsoft.com/office/officeart/2005/8/layout/radial1"/>
    <dgm:cxn modelId="{04438527-22F5-47AD-8158-F5D16CA67E5F}" type="presParOf" srcId="{9D8B49BD-1DF7-4888-9A7E-2CFD4320CC2B}" destId="{EFB9CB5A-411C-454B-96B1-9ED988829CBE}" srcOrd="19" destOrd="0" presId="urn:microsoft.com/office/officeart/2005/8/layout/radial1"/>
    <dgm:cxn modelId="{D5FEA881-FAE5-454B-9E07-4B82E7965820}" type="presParOf" srcId="{EFB9CB5A-411C-454B-96B1-9ED988829CBE}" destId="{A140118B-14B1-45A7-9CF9-17E4D006F84D}" srcOrd="0" destOrd="0" presId="urn:microsoft.com/office/officeart/2005/8/layout/radial1"/>
    <dgm:cxn modelId="{36E8CE14-DF4E-4842-9872-B0623E889869}" type="presParOf" srcId="{9D8B49BD-1DF7-4888-9A7E-2CFD4320CC2B}" destId="{5AF8D9AC-0C15-4D1B-BCD3-7FFCFF0A581D}" srcOrd="20" destOrd="0" presId="urn:microsoft.com/office/officeart/2005/8/layout/radial1"/>
    <dgm:cxn modelId="{D884FB61-566F-499B-AE2C-2BC3233938C5}" type="presParOf" srcId="{9D8B49BD-1DF7-4888-9A7E-2CFD4320CC2B}" destId="{701CC827-3AE5-4421-983B-6398C783C82F}" srcOrd="21" destOrd="0" presId="urn:microsoft.com/office/officeart/2005/8/layout/radial1"/>
    <dgm:cxn modelId="{B4DB33F6-C34D-4ACE-BFB2-C0B7B18FED91}" type="presParOf" srcId="{701CC827-3AE5-4421-983B-6398C783C82F}" destId="{282CA825-226C-4E92-9F37-4F68B159DB24}" srcOrd="0" destOrd="0" presId="urn:microsoft.com/office/officeart/2005/8/layout/radial1"/>
    <dgm:cxn modelId="{F29406BD-0828-40A3-86DD-A982E189A68B}" type="presParOf" srcId="{9D8B49BD-1DF7-4888-9A7E-2CFD4320CC2B}" destId="{A86195D8-E78B-4F8B-B1C4-EFBBA8999B88}" srcOrd="22" destOrd="0" presId="urn:microsoft.com/office/officeart/2005/8/layout/radial1"/>
    <dgm:cxn modelId="{44C6D158-2AE4-4E2C-B855-164DA7E9B8D6}" type="presParOf" srcId="{9D8B49BD-1DF7-4888-9A7E-2CFD4320CC2B}" destId="{155F429B-0A10-4501-ADF1-CAD1F85BB50E}" srcOrd="23" destOrd="0" presId="urn:microsoft.com/office/officeart/2005/8/layout/radial1"/>
    <dgm:cxn modelId="{4AD141FA-382A-4A3B-BD57-93EE2AC5B922}" type="presParOf" srcId="{155F429B-0A10-4501-ADF1-CAD1F85BB50E}" destId="{8C19F320-E7BE-4A6B-961D-98CF34160A4C}" srcOrd="0" destOrd="0" presId="urn:microsoft.com/office/officeart/2005/8/layout/radial1"/>
    <dgm:cxn modelId="{E1549DC8-EAA9-4F8D-ACB0-6816128ADAA6}" type="presParOf" srcId="{9D8B49BD-1DF7-4888-9A7E-2CFD4320CC2B}" destId="{04A81C5D-1DF3-47DF-8447-322057132F11}" srcOrd="24" destOrd="0" presId="urn:microsoft.com/office/officeart/2005/8/layout/radial1"/>
  </dgm:cxnLst>
  <dgm:bg>
    <a:noFill/>
  </dgm:bg>
  <dgm:whole/>
  <dgm:extLst>
    <a:ext uri="http://schemas.microsoft.com/office/drawing/2008/diagram">
      <dsp:dataModelExt xmlns:dsp="http://schemas.microsoft.com/office/drawing/2008/diagram" relId="rId104"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2477" y="76803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514738" y="689702"/>
          <a:ext cx="1606452" cy="6516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2121191" y="1008492"/>
          <a:ext cx="271287" cy="15042"/>
        </a:xfrm>
      </dgm:spPr>
      <dgm:t>
        <a:bodyPr/>
        <a:lstStyle/>
        <a:p>
          <a:endParaRPr lang="en-US"/>
        </a:p>
      </dgm:t>
    </dgm:pt>
    <dgm:pt modelId="{4631C2C5-1554-4289-90B0-F2D55D1595B6}">
      <dgm:prSet phldrT="[Text]" custT="1"/>
      <dgm:spPr>
        <a:xfrm>
          <a:off x="3969749" y="673535"/>
          <a:ext cx="1504339" cy="682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602177" y="1008056"/>
          <a:ext cx="367574" cy="15042"/>
        </a:xfrm>
      </dgm:spPr>
      <dgm:t>
        <a:bodyPr/>
        <a:lstStyle/>
        <a:p>
          <a:endParaRPr lang="en-US"/>
        </a:p>
      </dgm:t>
    </dgm:pt>
    <dgm:pt modelId="{960C5593-E0FF-4AA5-AA0B-E8BDFFBC5E53}">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920287" y="676342"/>
          <a:ext cx="168399" cy="15042"/>
        </a:xfrm>
      </dgm:spPr>
      <dgm:t>
        <a:bodyPr/>
        <a:lstStyle/>
        <a:p>
          <a:endParaRPr lang="en-US"/>
        </a:p>
      </dgm:t>
    </dgm:pt>
    <dgm:pt modelId="{E8B72980-4234-42F0-8A76-7022BE1A23D4}">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 </a:t>
          </a:r>
        </a:p>
      </dgm:t>
    </dgm:pt>
    <dgm:pt modelId="{6A15E0A4-5C3C-46EC-813C-B512B6A8F114}" type="parTrans" cxnId="{2D0162FD-7690-42FF-BBB8-1147EFF1D173}">
      <dgm:prSet/>
      <dgm:spPr/>
      <dgm:t>
        <a:bodyPr/>
        <a:lstStyle/>
        <a:p>
          <a:endParaRPr lang="en-US"/>
        </a:p>
      </dgm:t>
    </dgm:pt>
    <dgm:pt modelId="{67FC8A0D-2667-483F-B383-42D270B4AFFA}" type="sibTrans" cxnId="{2D0162FD-7690-42FF-BBB8-1147EFF1D1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76739" custScaleY="93936"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256143" custScaleY="88595" custRadScaleRad="102451" custRadScaleInc="13735">
        <dgm:presLayoutVars>
          <dgm:bulletEnabled val="1"/>
        </dgm:presLayoutVars>
      </dgm:prSet>
      <dgm:spPr/>
      <dgm:t>
        <a:bodyPr/>
        <a:lstStyle/>
        <a:p>
          <a:endParaRPr lang="en-US"/>
        </a:p>
      </dgm:t>
    </dgm:pt>
    <dgm:pt modelId="{5337AE63-3722-42CC-AF72-36670EB7C5E1}" type="pres">
      <dgm:prSet presAssocID="{7AF774ED-547E-4C04-8670-B0C1D08C5EE9}" presName="Name9" presStyleLbl="parChTrans1D2" presStyleIdx="1" presStyleCnt="4"/>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24870" custScaleY="105334"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91575"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35154" custScaleY="104292" custRadScaleRad="416028" custRadScaleInc="3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1E6300E9-62A6-472B-A8E0-260A0A589B6D}" type="presOf" srcId="{7AF774ED-547E-4C04-8670-B0C1D08C5EE9}" destId="{326412CE-9911-4799-A459-B56F02EB4473}" srcOrd="1" destOrd="0" presId="urn:microsoft.com/office/officeart/2005/8/layout/radial1"/>
    <dgm:cxn modelId="{2D0162FD-7690-42FF-BBB8-1147EFF1D173}" srcId="{DE541715-C648-404D-8124-F14F463E9202}" destId="{E8B72980-4234-42F0-8A76-7022BE1A23D4}" srcOrd="0" destOrd="0" parTransId="{6A15E0A4-5C3C-46EC-813C-B512B6A8F114}" sibTransId="{67FC8A0D-2667-483F-B383-42D270B4AFFA}"/>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2" destOrd="0" parTransId="{4693CA52-075F-4BD8-ABEA-5368BE377DDA}" sibTransId="{9B3CB24D-A47A-4081-B256-B868D89D5387}"/>
    <dgm:cxn modelId="{FE37B3F3-E0D1-4395-9F11-108CC813F695}" type="presOf" srcId="{C06C39C9-71B8-489C-9C45-3DD37A424E39}" destId="{0FAF3FA1-8E6C-455E-B189-A468B3F4D8BC}" srcOrd="0" destOrd="0" presId="urn:microsoft.com/office/officeart/2005/8/layout/radial1"/>
    <dgm:cxn modelId="{3EAE543E-9C2C-4479-8C3A-1CF29F395EC4}" type="presOf" srcId="{4693CA52-075F-4BD8-ABEA-5368BE377DDA}" destId="{4AC11394-3179-4EC5-A97F-D1A1B521CE2F}" srcOrd="0" destOrd="0" presId="urn:microsoft.com/office/officeart/2005/8/layout/radial1"/>
    <dgm:cxn modelId="{DFAC5BD5-9CBF-4F2E-8785-292C7A6F8AD2}" type="presOf" srcId="{6A15E0A4-5C3C-46EC-813C-B512B6A8F114}" destId="{2E49232F-4FB2-4DC8-A6DD-3902EF154437}" srcOrd="1" destOrd="0" presId="urn:microsoft.com/office/officeart/2005/8/layout/radial1"/>
    <dgm:cxn modelId="{797944C8-4272-4278-8645-D0F80400F8DE}" type="presOf" srcId="{E8B72980-4234-42F0-8A76-7022BE1A23D4}" destId="{19ACA16F-4F02-4741-A973-0858AA9E727D}" srcOrd="0" destOrd="0" presId="urn:microsoft.com/office/officeart/2005/8/layout/radial1"/>
    <dgm:cxn modelId="{2770BBF8-8617-4794-AB55-A7AA22AA45B6}" type="presOf" srcId="{4631C2C5-1554-4289-90B0-F2D55D1595B6}" destId="{035B4C9A-0916-4FCC-A1CF-85DB358A289A}" srcOrd="0" destOrd="0" presId="urn:microsoft.com/office/officeart/2005/8/layout/radial1"/>
    <dgm:cxn modelId="{1FB20274-EE4C-4356-9879-1730BCE829E4}" type="presOf" srcId="{6A15E0A4-5C3C-46EC-813C-B512B6A8F114}" destId="{4344ACFB-6B44-4AAF-B1DB-49AB3ED02AF7}" srcOrd="0" destOrd="0" presId="urn:microsoft.com/office/officeart/2005/8/layout/radial1"/>
    <dgm:cxn modelId="{ED4F5F9E-763C-4789-85A3-188803865AD1}" type="presOf" srcId="{0FABC453-0A5C-4CAE-813B-F0494A34E025}" destId="{EA4144E0-C5B2-4FC0-BDB2-550B61DB7DFD}" srcOrd="1"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40353B63-95B4-4E78-9C81-047BCA7F38B8}" type="presOf" srcId="{960C5593-E0FF-4AA5-AA0B-E8BDFFBC5E53}" destId="{CED9197C-8322-406B-917C-172FA36E7B76}" srcOrd="0" destOrd="0" presId="urn:microsoft.com/office/officeart/2005/8/layout/radial1"/>
    <dgm:cxn modelId="{529D05ED-97D5-4116-BE13-DE3D93351F7F}" srcId="{DE541715-C648-404D-8124-F14F463E9202}" destId="{960C5593-E0FF-4AA5-AA0B-E8BDFFBC5E53}" srcOrd="1" destOrd="0" parTransId="{7AF774ED-547E-4C04-8670-B0C1D08C5EE9}" sibTransId="{88F12DF7-015F-4F26-950A-DAE493699644}"/>
    <dgm:cxn modelId="{0303DA07-2808-48EE-8F4F-49EB50E42EA4}" type="presOf" srcId="{DE541715-C648-404D-8124-F14F463E9202}" destId="{062AF917-2F47-4639-8A23-58AD52EC0F32}" srcOrd="0" destOrd="0" presId="urn:microsoft.com/office/officeart/2005/8/layout/radial1"/>
    <dgm:cxn modelId="{9DD98554-A84C-41F0-944D-64B950ADB70D}" type="presOf" srcId="{0FABC453-0A5C-4CAE-813B-F0494A34E025}" destId="{ADF94B70-0D7F-4A27-8DF9-17BCD27F4A7A}" srcOrd="0" destOrd="0" presId="urn:microsoft.com/office/officeart/2005/8/layout/radial1"/>
    <dgm:cxn modelId="{AAF9912A-8B9A-4003-9D5B-DAF8D7BBDFAB}" type="presOf" srcId="{7AF774ED-547E-4C04-8670-B0C1D08C5EE9}" destId="{5337AE63-3722-42CC-AF72-36670EB7C5E1}" srcOrd="0" destOrd="0" presId="urn:microsoft.com/office/officeart/2005/8/layout/radial1"/>
    <dgm:cxn modelId="{4347ADF7-FAB6-460A-A45D-AC7036E38EC4}" type="presOf" srcId="{4693CA52-075F-4BD8-ABEA-5368BE377DDA}" destId="{62A1F741-432F-46BE-AE07-15F0B6D5EA89}" srcOrd="1" destOrd="0" presId="urn:microsoft.com/office/officeart/2005/8/layout/radial1"/>
    <dgm:cxn modelId="{69E6A49C-1EA3-4682-A60B-29B5A300B39A}" type="presOf" srcId="{34E6C8D5-8D4F-4714-8A12-8F4599A8E760}" destId="{08F189A1-AB47-41D1-8058-7A6DA66B3F52}" srcOrd="0" destOrd="0" presId="urn:microsoft.com/office/officeart/2005/8/layout/radial1"/>
    <dgm:cxn modelId="{4B0A3EC0-5C1F-47A2-B4C3-9F6117FDC9AA}" type="presParOf" srcId="{08F189A1-AB47-41D1-8058-7A6DA66B3F52}" destId="{062AF917-2F47-4639-8A23-58AD52EC0F32}" srcOrd="0" destOrd="0" presId="urn:microsoft.com/office/officeart/2005/8/layout/radial1"/>
    <dgm:cxn modelId="{1727378E-33E4-4AB1-A742-FA9D8D913266}" type="presParOf" srcId="{08F189A1-AB47-41D1-8058-7A6DA66B3F52}" destId="{4344ACFB-6B44-4AAF-B1DB-49AB3ED02AF7}" srcOrd="1" destOrd="0" presId="urn:microsoft.com/office/officeart/2005/8/layout/radial1"/>
    <dgm:cxn modelId="{370EBC78-E6C0-49DE-888B-A0EC9C64E981}" type="presParOf" srcId="{4344ACFB-6B44-4AAF-B1DB-49AB3ED02AF7}" destId="{2E49232F-4FB2-4DC8-A6DD-3902EF154437}" srcOrd="0" destOrd="0" presId="urn:microsoft.com/office/officeart/2005/8/layout/radial1"/>
    <dgm:cxn modelId="{12DC8199-04E3-4118-AC2B-7049A55486B5}" type="presParOf" srcId="{08F189A1-AB47-41D1-8058-7A6DA66B3F52}" destId="{19ACA16F-4F02-4741-A973-0858AA9E727D}" srcOrd="2" destOrd="0" presId="urn:microsoft.com/office/officeart/2005/8/layout/radial1"/>
    <dgm:cxn modelId="{0B95C75C-A998-4E3E-9389-7E869FEA8918}" type="presParOf" srcId="{08F189A1-AB47-41D1-8058-7A6DA66B3F52}" destId="{5337AE63-3722-42CC-AF72-36670EB7C5E1}" srcOrd="3" destOrd="0" presId="urn:microsoft.com/office/officeart/2005/8/layout/radial1"/>
    <dgm:cxn modelId="{F67CF255-5087-4FCA-B268-EE201BCF3537}" type="presParOf" srcId="{5337AE63-3722-42CC-AF72-36670EB7C5E1}" destId="{326412CE-9911-4799-A459-B56F02EB4473}" srcOrd="0" destOrd="0" presId="urn:microsoft.com/office/officeart/2005/8/layout/radial1"/>
    <dgm:cxn modelId="{BB2C12C0-2C41-490D-9FD7-39C4BFFC84AC}" type="presParOf" srcId="{08F189A1-AB47-41D1-8058-7A6DA66B3F52}" destId="{CED9197C-8322-406B-917C-172FA36E7B76}" srcOrd="4" destOrd="0" presId="urn:microsoft.com/office/officeart/2005/8/layout/radial1"/>
    <dgm:cxn modelId="{B4F0FB0E-E362-4FA3-8ADD-BA87A69D28C2}" type="presParOf" srcId="{08F189A1-AB47-41D1-8058-7A6DA66B3F52}" destId="{4AC11394-3179-4EC5-A97F-D1A1B521CE2F}" srcOrd="5" destOrd="0" presId="urn:microsoft.com/office/officeart/2005/8/layout/radial1"/>
    <dgm:cxn modelId="{071ED986-E4C3-40DB-9715-1CD7E0B4E4D5}" type="presParOf" srcId="{4AC11394-3179-4EC5-A97F-D1A1B521CE2F}" destId="{62A1F741-432F-46BE-AE07-15F0B6D5EA89}" srcOrd="0" destOrd="0" presId="urn:microsoft.com/office/officeart/2005/8/layout/radial1"/>
    <dgm:cxn modelId="{23C4287F-F6E9-4F35-B856-C9CACB3139DB}" type="presParOf" srcId="{08F189A1-AB47-41D1-8058-7A6DA66B3F52}" destId="{035B4C9A-0916-4FCC-A1CF-85DB358A289A}" srcOrd="6" destOrd="0" presId="urn:microsoft.com/office/officeart/2005/8/layout/radial1"/>
    <dgm:cxn modelId="{3B8012DD-28F6-4D82-99B5-F14062ACC5E1}" type="presParOf" srcId="{08F189A1-AB47-41D1-8058-7A6DA66B3F52}" destId="{ADF94B70-0D7F-4A27-8DF9-17BCD27F4A7A}" srcOrd="7" destOrd="0" presId="urn:microsoft.com/office/officeart/2005/8/layout/radial1"/>
    <dgm:cxn modelId="{58C7A5C8-C006-468C-BB41-C54F926C7113}" type="presParOf" srcId="{ADF94B70-0D7F-4A27-8DF9-17BCD27F4A7A}" destId="{EA4144E0-C5B2-4FC0-BDB2-550B61DB7DFD}" srcOrd="0" destOrd="0" presId="urn:microsoft.com/office/officeart/2005/8/layout/radial1"/>
    <dgm:cxn modelId="{FAF463CD-969B-4ABD-9700-8773C3E56A25}"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11" minVer="http://schemas.openxmlformats.org/drawingml/2006/diagram"/>
    </a:ext>
    <a:ext uri="{C62137D5-CB1D-491B-B009-E17868A290BF}">
      <dgm14:recolorImg xmlns:dgm14="http://schemas.microsoft.com/office/drawing/2010/diagram" val="1"/>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52588" y="668343"/>
          <a:ext cx="1260722" cy="51765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30</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524557" y="663886"/>
          <a:ext cx="1254593" cy="5295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a:p>
          <a:pPr algn="ct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7369">
          <a:off x="1779149" y="920376"/>
          <a:ext cx="673440" cy="15073"/>
        </a:xfrm>
      </dgm:spPr>
      <dgm:t>
        <a:bodyPr/>
        <a:lstStyle/>
        <a:p>
          <a:pPr algn="ctr"/>
          <a:endParaRPr lang="en-US"/>
        </a:p>
      </dgm:t>
    </dgm:pt>
    <dgm:pt modelId="{4631C2C5-1554-4289-90B0-F2D55D1595B6}">
      <dgm:prSet phldrT="[Text]" custT="1"/>
      <dgm:spPr>
        <a:xfrm>
          <a:off x="4299215" y="666184"/>
          <a:ext cx="1286243" cy="5095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21588558">
          <a:off x="3713289" y="916563"/>
          <a:ext cx="585950" cy="15073"/>
        </a:xfrm>
      </dgm:spPr>
      <dgm:t>
        <a:bodyPr/>
        <a:lstStyle/>
        <a:p>
          <a:pPr algn="ctr"/>
          <a:endParaRPr lang="en-US"/>
        </a:p>
      </dgm:t>
    </dgm:pt>
    <dgm:pt modelId="{5C260341-F1C3-4458-A657-957289015FC3}">
      <dgm:prSet phldrT="[Text]" custT="1"/>
      <dgm:spPr>
        <a:xfrm>
          <a:off x="2412268" y="1327152"/>
          <a:ext cx="1341363" cy="5397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45A6C23B-D452-4078-BA3A-466D0894B9EB}" type="parTrans" cxnId="{0266A1D0-CEC9-45F3-8B31-A21772E8AA19}">
      <dgm:prSet/>
      <dgm:spPr>
        <a:xfrm rot="5400000">
          <a:off x="3012375" y="1249040"/>
          <a:ext cx="141149" cy="15073"/>
        </a:xfrm>
      </dgm:spPr>
      <dgm:t>
        <a:bodyPr/>
        <a:lstStyle/>
        <a:p>
          <a:pPr algn="ctr"/>
          <a:endParaRPr lang="en-US"/>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0" destOrd="0" parTransId="{4693CA52-075F-4BD8-ABEA-5368BE377DDA}" sibTransId="{9B3CB24D-A47A-4081-B256-B868D89D5387}"/>
    <dgm:cxn modelId="{BD8CFE06-1012-4CEE-B7EB-3A502A625EE0}" type="presOf" srcId="{4693CA52-075F-4BD8-ABEA-5368BE377DDA}" destId="{62A1F741-432F-46BE-AE07-15F0B6D5EA89}" srcOrd="1" destOrd="0" presId="urn:microsoft.com/office/officeart/2005/8/layout/radial1"/>
    <dgm:cxn modelId="{BC1E9313-698B-4847-840C-6A745877E59F}" type="presOf" srcId="{C06C39C9-71B8-489C-9C45-3DD37A424E39}" destId="{0FAF3FA1-8E6C-455E-B189-A468B3F4D8BC}" srcOrd="0" destOrd="0" presId="urn:microsoft.com/office/officeart/2005/8/layout/radial1"/>
    <dgm:cxn modelId="{41073B1B-7568-4EF6-A011-11B7BD2807AA}" type="presOf" srcId="{5C260341-F1C3-4458-A657-957289015FC3}" destId="{976BA53C-17D4-4F7C-9078-1272C469C9E5}" srcOrd="0" destOrd="0" presId="urn:microsoft.com/office/officeart/2005/8/layout/radial1"/>
    <dgm:cxn modelId="{326DB833-8A38-4F97-BFDA-DB58CC60F6B0}" type="presOf" srcId="{45A6C23B-D452-4078-BA3A-466D0894B9EB}" destId="{64248C57-3CE0-4657-BC67-6279BA0257B1}"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62E86A5A-34AE-4704-9243-ACB1FA5CB146}" type="presOf" srcId="{34E6C8D5-8D4F-4714-8A12-8F4599A8E760}" destId="{08F189A1-AB47-41D1-8058-7A6DA66B3F52}"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059E302F-AF41-464F-9A88-B4732C512F25}" type="presOf" srcId="{0FABC453-0A5C-4CAE-813B-F0494A34E025}" destId="{ADF94B70-0D7F-4A27-8DF9-17BCD27F4A7A}" srcOrd="0" destOrd="0" presId="urn:microsoft.com/office/officeart/2005/8/layout/radial1"/>
    <dgm:cxn modelId="{B8B9B358-72F8-4E68-8FE7-EBF4BB2BC10F}" type="presOf" srcId="{0FABC453-0A5C-4CAE-813B-F0494A34E025}" destId="{EA4144E0-C5B2-4FC0-BDB2-550B61DB7DFD}" srcOrd="1" destOrd="0" presId="urn:microsoft.com/office/officeart/2005/8/layout/radial1"/>
    <dgm:cxn modelId="{DD39B026-B26A-40DC-BD12-DC2732E5980C}" type="presOf" srcId="{45A6C23B-D452-4078-BA3A-466D0894B9EB}" destId="{C7C9B7EB-2DEF-4B99-8D38-AC2E9641BEB5}" srcOrd="1" destOrd="0" presId="urn:microsoft.com/office/officeart/2005/8/layout/radial1"/>
    <dgm:cxn modelId="{6C10B5FF-034C-4496-9FB9-3EA8C3AE93F3}" type="presOf" srcId="{4631C2C5-1554-4289-90B0-F2D55D1595B6}" destId="{035B4C9A-0916-4FCC-A1CF-85DB358A289A}" srcOrd="0" destOrd="0" presId="urn:microsoft.com/office/officeart/2005/8/layout/radial1"/>
    <dgm:cxn modelId="{76CE26C2-D6E5-434A-94FC-A3E25DE1DD6B}" type="presOf" srcId="{DE541715-C648-404D-8124-F14F463E9202}" destId="{062AF917-2F47-4639-8A23-58AD52EC0F32}" srcOrd="0" destOrd="0" presId="urn:microsoft.com/office/officeart/2005/8/layout/radial1"/>
    <dgm:cxn modelId="{6C28FB82-0A46-43EA-A26F-FA224066829D}" type="presOf" srcId="{4693CA52-075F-4BD8-ABEA-5368BE377DDA}" destId="{4AC11394-3179-4EC5-A97F-D1A1B521CE2F}" srcOrd="0" destOrd="0" presId="urn:microsoft.com/office/officeart/2005/8/layout/radial1"/>
    <dgm:cxn modelId="{5DB5BE92-0BFF-430E-B5CF-2B3B002D1AA0}" type="presParOf" srcId="{08F189A1-AB47-41D1-8058-7A6DA66B3F52}" destId="{062AF917-2F47-4639-8A23-58AD52EC0F32}" srcOrd="0" destOrd="0" presId="urn:microsoft.com/office/officeart/2005/8/layout/radial1"/>
    <dgm:cxn modelId="{0284139C-1E20-450F-8F27-A3C3E916B4DB}" type="presParOf" srcId="{08F189A1-AB47-41D1-8058-7A6DA66B3F52}" destId="{4AC11394-3179-4EC5-A97F-D1A1B521CE2F}" srcOrd="1" destOrd="0" presId="urn:microsoft.com/office/officeart/2005/8/layout/radial1"/>
    <dgm:cxn modelId="{773A417A-1CD8-4CD3-8498-4A92D67AC00A}" type="presParOf" srcId="{4AC11394-3179-4EC5-A97F-D1A1B521CE2F}" destId="{62A1F741-432F-46BE-AE07-15F0B6D5EA89}" srcOrd="0" destOrd="0" presId="urn:microsoft.com/office/officeart/2005/8/layout/radial1"/>
    <dgm:cxn modelId="{72DA9824-6BF4-4007-B92B-100D8A1C339E}" type="presParOf" srcId="{08F189A1-AB47-41D1-8058-7A6DA66B3F52}" destId="{035B4C9A-0916-4FCC-A1CF-85DB358A289A}" srcOrd="2" destOrd="0" presId="urn:microsoft.com/office/officeart/2005/8/layout/radial1"/>
    <dgm:cxn modelId="{B6FC6B7D-D76E-4971-BA0A-E131068C321D}" type="presParOf" srcId="{08F189A1-AB47-41D1-8058-7A6DA66B3F52}" destId="{64248C57-3CE0-4657-BC67-6279BA0257B1}" srcOrd="3" destOrd="0" presId="urn:microsoft.com/office/officeart/2005/8/layout/radial1"/>
    <dgm:cxn modelId="{D2E73A09-6A8E-4A62-AC8A-331D01CEA5CA}" type="presParOf" srcId="{64248C57-3CE0-4657-BC67-6279BA0257B1}" destId="{C7C9B7EB-2DEF-4B99-8D38-AC2E9641BEB5}" srcOrd="0" destOrd="0" presId="urn:microsoft.com/office/officeart/2005/8/layout/radial1"/>
    <dgm:cxn modelId="{CF0FAC95-CAA6-4826-82E3-4693FF31FC28}" type="presParOf" srcId="{08F189A1-AB47-41D1-8058-7A6DA66B3F52}" destId="{976BA53C-17D4-4F7C-9078-1272C469C9E5}" srcOrd="4" destOrd="0" presId="urn:microsoft.com/office/officeart/2005/8/layout/radial1"/>
    <dgm:cxn modelId="{2797F27F-A216-461F-98EC-AA17B587CEED}" type="presParOf" srcId="{08F189A1-AB47-41D1-8058-7A6DA66B3F52}" destId="{ADF94B70-0D7F-4A27-8DF9-17BCD27F4A7A}" srcOrd="5" destOrd="0" presId="urn:microsoft.com/office/officeart/2005/8/layout/radial1"/>
    <dgm:cxn modelId="{5A25425C-95C8-4417-A1F9-2A75D3B0F94F}" type="presParOf" srcId="{ADF94B70-0D7F-4A27-8DF9-17BCD27F4A7A}" destId="{EA4144E0-C5B2-4FC0-BDB2-550B61DB7DFD}" srcOrd="0" destOrd="0" presId="urn:microsoft.com/office/officeart/2005/8/layout/radial1"/>
    <dgm:cxn modelId="{AE2B9776-9A91-4420-A50A-844CE4970318}"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19"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535348" y="521400"/>
          <a:ext cx="1408251" cy="6079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Lisbon Systems  </a:t>
          </a:r>
        </a:p>
      </dgm:t>
    </dgm:pt>
    <dgm:pt modelId="{960C5593-E0FF-4AA5-AA0B-E8BDFFBC5E53}">
      <dgm:prSet phldrT="[Text]" custT="1"/>
      <dgm:spPr>
        <a:xfrm>
          <a:off x="2225035" y="12800"/>
          <a:ext cx="1231485" cy="47373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122013" y="645022"/>
          <a:ext cx="1402238" cy="41225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523761" y="831280"/>
          <a:ext cx="1011830"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300827">
          <a:off x="2752218" y="558779"/>
          <a:ext cx="158573"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86671"/>
          <a:ext cx="1234693" cy="5658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gm:t>
    </dgm:pt>
    <dgm:pt modelId="{3D1DE322-E296-4167-BF53-8B5CE5EC28D8}" type="parTrans" cxnId="{E0E640E9-CB57-4A88-8E14-E556A0185FE5}">
      <dgm:prSet/>
      <dgm:spPr>
        <a:xfrm rot="10771247">
          <a:off x="1234575" y="853725"/>
          <a:ext cx="88773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107352" y="1206642"/>
          <a:ext cx="1453945" cy="4602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p>
      </dgm:t>
    </dgm:pt>
    <dgm:pt modelId="{A5C3F0DB-E0F1-41F2-9F0F-D8D34C792173}" type="parTrans" cxnId="{8F24CB25-C32E-457C-ADA9-0EEDE78E6073}">
      <dgm:prSet/>
      <dgm:spPr>
        <a:xfrm rot="5334304">
          <a:off x="2753798" y="1124961"/>
          <a:ext cx="149401"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14593" custScaleY="99582"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2" destOrd="0" parTransId="{4492527F-B2BC-4423-9ACC-2816666249A0}" sibTransId="{A0A859C5-79E5-4C97-AF72-54A6D166EEA1}"/>
    <dgm:cxn modelId="{73EE0B25-0264-4E72-9B38-708A7902B071}" type="presOf" srcId="{4631C2C5-1554-4289-90B0-F2D55D1595B6}" destId="{035B4C9A-0916-4FCC-A1CF-85DB358A289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8F24CB25-C32E-457C-ADA9-0EEDE78E6073}" srcId="{DE541715-C648-404D-8124-F14F463E9202}" destId="{261B861F-8791-4E33-9941-A33DE5A2A768}" srcOrd="2" destOrd="0" parTransId="{A5C3F0DB-E0F1-41F2-9F0F-D8D34C792173}" sibTransId="{5D4991A9-47A2-4376-80F0-AA0E581C042E}"/>
    <dgm:cxn modelId="{E0E640E9-CB57-4A88-8E14-E556A0185FE5}" srcId="{DE541715-C648-404D-8124-F14F463E9202}" destId="{1D0CE537-45F5-4C46-960F-D6A82B00F3DE}" srcOrd="3" destOrd="0" parTransId="{3D1DE322-E296-4167-BF53-8B5CE5EC28D8}" sibTransId="{96979818-0E55-4CAF-81D6-7E33DA768B1C}"/>
    <dgm:cxn modelId="{8A192081-27FA-4B3A-A68B-C6CA134995F8}" type="presOf" srcId="{7AF774ED-547E-4C04-8670-B0C1D08C5EE9}" destId="{326412CE-9911-4799-A459-B56F02EB4473}" srcOrd="1" destOrd="0" presId="urn:microsoft.com/office/officeart/2005/8/layout/radial1"/>
    <dgm:cxn modelId="{32F150A4-55DF-4C39-8273-1C3CD380045A}" type="presOf" srcId="{7AF774ED-547E-4C04-8670-B0C1D08C5EE9}" destId="{5337AE63-3722-42CC-AF72-36670EB7C5E1}" srcOrd="0" destOrd="0" presId="urn:microsoft.com/office/officeart/2005/8/layout/radial1"/>
    <dgm:cxn modelId="{F66EFE1B-3020-437C-B637-0533AE4202E8}" type="presOf" srcId="{4693CA52-075F-4BD8-ABEA-5368BE377DDA}" destId="{62A1F741-432F-46BE-AE07-15F0B6D5EA89}" srcOrd="1" destOrd="0" presId="urn:microsoft.com/office/officeart/2005/8/layout/radial1"/>
    <dgm:cxn modelId="{4B307919-7DA5-4698-B24B-65A99D698431}" type="presOf" srcId="{960C5593-E0FF-4AA5-AA0B-E8BDFFBC5E53}" destId="{CED9197C-8322-406B-917C-172FA36E7B76}" srcOrd="0" destOrd="0" presId="urn:microsoft.com/office/officeart/2005/8/layout/radial1"/>
    <dgm:cxn modelId="{436AD808-0DEB-49B2-9E8B-8EFE883F5213}" type="presOf" srcId="{DE541715-C648-404D-8124-F14F463E9202}" destId="{062AF917-2F47-4639-8A23-58AD52EC0F32}" srcOrd="0" destOrd="0" presId="urn:microsoft.com/office/officeart/2005/8/layout/radial1"/>
    <dgm:cxn modelId="{D9C6EDC2-DBF1-45DB-9310-2DC2D2A3150F}" type="presOf" srcId="{A5C3F0DB-E0F1-41F2-9F0F-D8D34C792173}" destId="{2F4F44BF-1E04-4136-A0FB-1DED4AC75151}" srcOrd="1" destOrd="0" presId="urn:microsoft.com/office/officeart/2005/8/layout/radial1"/>
    <dgm:cxn modelId="{5F0A3EB3-4B6C-4A72-A546-E0DA1BD92A6D}" type="presOf" srcId="{261B861F-8791-4E33-9941-A33DE5A2A768}" destId="{9D8804DD-C1C3-4668-9E8F-40BB54189D15}"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8389AB31-BAD0-4C1D-9342-7D17730524D1}" type="presOf" srcId="{A5C3F0DB-E0F1-41F2-9F0F-D8D34C792173}" destId="{1281FAF2-438A-4E06-A630-42C5CD6DB1D1}" srcOrd="0" destOrd="0" presId="urn:microsoft.com/office/officeart/2005/8/layout/radial1"/>
    <dgm:cxn modelId="{19DB0586-3459-461E-A3CB-51ABA65CB0EB}" type="presOf" srcId="{1D0CE537-45F5-4C46-960F-D6A82B00F3DE}" destId="{F1CADBCB-761B-4EBD-8811-73EECDD73DC5}"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9D81BB17-380B-4648-8738-D2C311746C09}" type="presOf" srcId="{3D1DE322-E296-4167-BF53-8B5CE5EC28D8}" destId="{D0E3F8D6-DE9C-4394-8B02-9C131280903E}" srcOrd="0" destOrd="0" presId="urn:microsoft.com/office/officeart/2005/8/layout/radial1"/>
    <dgm:cxn modelId="{3F40C316-A9A4-4D7E-8784-AB2AC568F9E7}" type="presOf" srcId="{3D1DE322-E296-4167-BF53-8B5CE5EC28D8}" destId="{D9125633-39F7-4B37-B444-5ECC3B34BA4C}" srcOrd="1" destOrd="0" presId="urn:microsoft.com/office/officeart/2005/8/layout/radial1"/>
    <dgm:cxn modelId="{2496F2F4-4C5D-4E14-8F0A-DB3A0963B275}" type="presOf" srcId="{4693CA52-075F-4BD8-ABEA-5368BE377DDA}" destId="{4AC11394-3179-4EC5-A97F-D1A1B521CE2F}" srcOrd="0" destOrd="0" presId="urn:microsoft.com/office/officeart/2005/8/layout/radial1"/>
    <dgm:cxn modelId="{3A4E6F6B-E254-4CCC-A6F3-4A86860E0375}" type="presOf" srcId="{34E6C8D5-8D4F-4714-8A12-8F4599A8E760}" destId="{08F189A1-AB47-41D1-8058-7A6DA66B3F52}" srcOrd="0" destOrd="0" presId="urn:microsoft.com/office/officeart/2005/8/layout/radial1"/>
    <dgm:cxn modelId="{743561D2-286D-4D12-8833-33254BD1D98D}" type="presParOf" srcId="{08F189A1-AB47-41D1-8058-7A6DA66B3F52}" destId="{062AF917-2F47-4639-8A23-58AD52EC0F32}" srcOrd="0" destOrd="0" presId="urn:microsoft.com/office/officeart/2005/8/layout/radial1"/>
    <dgm:cxn modelId="{2044E458-D0B2-4EF6-9BA8-083B374267EA}" type="presParOf" srcId="{08F189A1-AB47-41D1-8058-7A6DA66B3F52}" destId="{5337AE63-3722-42CC-AF72-36670EB7C5E1}" srcOrd="1" destOrd="0" presId="urn:microsoft.com/office/officeart/2005/8/layout/radial1"/>
    <dgm:cxn modelId="{89A92E9A-42F8-4C17-A0AC-EA1462DD0B6D}" type="presParOf" srcId="{5337AE63-3722-42CC-AF72-36670EB7C5E1}" destId="{326412CE-9911-4799-A459-B56F02EB4473}" srcOrd="0" destOrd="0" presId="urn:microsoft.com/office/officeart/2005/8/layout/radial1"/>
    <dgm:cxn modelId="{CD5E8533-BFDE-4477-A959-EFAD7B99D8A8}" type="presParOf" srcId="{08F189A1-AB47-41D1-8058-7A6DA66B3F52}" destId="{CED9197C-8322-406B-917C-172FA36E7B76}" srcOrd="2" destOrd="0" presId="urn:microsoft.com/office/officeart/2005/8/layout/radial1"/>
    <dgm:cxn modelId="{5EAD3684-8C14-4A2F-9ADD-9211CAA5D073}" type="presParOf" srcId="{08F189A1-AB47-41D1-8058-7A6DA66B3F52}" destId="{4AC11394-3179-4EC5-A97F-D1A1B521CE2F}" srcOrd="3" destOrd="0" presId="urn:microsoft.com/office/officeart/2005/8/layout/radial1"/>
    <dgm:cxn modelId="{C85B0180-212F-4407-96A0-7EC521834107}" type="presParOf" srcId="{4AC11394-3179-4EC5-A97F-D1A1B521CE2F}" destId="{62A1F741-432F-46BE-AE07-15F0B6D5EA89}" srcOrd="0" destOrd="0" presId="urn:microsoft.com/office/officeart/2005/8/layout/radial1"/>
    <dgm:cxn modelId="{2E6383B5-E849-4FBE-82FE-C445A506CA12}" type="presParOf" srcId="{08F189A1-AB47-41D1-8058-7A6DA66B3F52}" destId="{035B4C9A-0916-4FCC-A1CF-85DB358A289A}" srcOrd="4" destOrd="0" presId="urn:microsoft.com/office/officeart/2005/8/layout/radial1"/>
    <dgm:cxn modelId="{695894BE-6925-49B1-A6CD-2A6370762924}" type="presParOf" srcId="{08F189A1-AB47-41D1-8058-7A6DA66B3F52}" destId="{1281FAF2-438A-4E06-A630-42C5CD6DB1D1}" srcOrd="5" destOrd="0" presId="urn:microsoft.com/office/officeart/2005/8/layout/radial1"/>
    <dgm:cxn modelId="{C9E18141-BCBB-48EA-B39D-E735809D05AF}" type="presParOf" srcId="{1281FAF2-438A-4E06-A630-42C5CD6DB1D1}" destId="{2F4F44BF-1E04-4136-A0FB-1DED4AC75151}" srcOrd="0" destOrd="0" presId="urn:microsoft.com/office/officeart/2005/8/layout/radial1"/>
    <dgm:cxn modelId="{4BB819DF-9EBE-4C29-BD47-B57E81636A59}" type="presParOf" srcId="{08F189A1-AB47-41D1-8058-7A6DA66B3F52}" destId="{9D8804DD-C1C3-4668-9E8F-40BB54189D15}" srcOrd="6" destOrd="0" presId="urn:microsoft.com/office/officeart/2005/8/layout/radial1"/>
    <dgm:cxn modelId="{8778AACE-813A-4BFE-A22D-8F3117BCC8E3}" type="presParOf" srcId="{08F189A1-AB47-41D1-8058-7A6DA66B3F52}" destId="{D0E3F8D6-DE9C-4394-8B02-9C131280903E}" srcOrd="7" destOrd="0" presId="urn:microsoft.com/office/officeart/2005/8/layout/radial1"/>
    <dgm:cxn modelId="{B0247E09-3D7D-43A8-AFFD-C1CFFD4DBC95}" type="presParOf" srcId="{D0E3F8D6-DE9C-4394-8B02-9C131280903E}" destId="{D9125633-39F7-4B37-B444-5ECC3B34BA4C}" srcOrd="0" destOrd="0" presId="urn:microsoft.com/office/officeart/2005/8/layout/radial1"/>
    <dgm:cxn modelId="{366C7D14-D627-4F7E-AA5B-142780B453C4}"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26"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561767" y="706361"/>
          <a:ext cx="1207026" cy="3723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784467" y="942977"/>
          <a:ext cx="1315515" cy="5301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Buisness  Solutions for IP</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177423">
          <a:off x="2036028" y="1035914"/>
          <a:ext cx="615314"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496492" y="1301045"/>
          <a:ext cx="1323034" cy="49917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5437981">
          <a:off x="3050811" y="1182817"/>
          <a:ext cx="222368"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236591" y="962026"/>
          <a:ext cx="1307853" cy="5169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Classifications &amp; Standards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645857">
          <a:off x="3673483" y="1042290"/>
          <a:ext cx="63329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596760" y="3708"/>
          <a:ext cx="1137041" cy="5050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2FC291C-D685-4C64-9B85-7318D8496566}" type="parTrans" cxnId="{3597F8D4-E0D8-45F4-BB48-7FD22AAE79C7}">
      <dgm:prSet/>
      <dgm:spPr>
        <a:xfrm rot="16200000">
          <a:off x="3066496" y="600523"/>
          <a:ext cx="197570"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4233189" y="189047"/>
          <a:ext cx="1295879" cy="5093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gm:t>
    </dgm:pt>
    <dgm:pt modelId="{8350B580-CEC5-40B7-8EB5-A172D5915A6B}" type="parTrans" cxnId="{DB613666-54CF-4D7E-982B-E399CC961051}">
      <dgm:prSet/>
      <dgm:spPr>
        <a:xfrm rot="20720515">
          <a:off x="3613544" y="671419"/>
          <a:ext cx="74021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889243" y="200027"/>
          <a:ext cx="1319778" cy="510127"/>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1708708">
          <a:off x="2078479" y="678516"/>
          <a:ext cx="644351"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8256" custScaleY="75126"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6"/>
      <dgm:spPr>
        <a:custGeom>
          <a:avLst/>
          <a:gdLst/>
          <a:ahLst/>
          <a:cxnLst/>
          <a:rect l="0" t="0" r="0" b="0"/>
          <a:pathLst>
            <a:path>
              <a:moveTo>
                <a:pt x="0" y="7052"/>
              </a:moveTo>
              <a:lnTo>
                <a:pt x="197570" y="7052"/>
              </a:lnTo>
            </a:path>
          </a:pathLst>
        </a:custGeom>
      </dgm:spPr>
      <dgm:t>
        <a:bodyPr/>
        <a:lstStyle/>
        <a:p>
          <a:endParaRPr lang="en-US"/>
        </a:p>
      </dgm:t>
    </dgm:pt>
    <dgm:pt modelId="{AB25BD6D-C05F-49D2-AE4A-144CA3C0FC88}" type="pres">
      <dgm:prSet presAssocID="{E2FC291C-D685-4C64-9B85-7318D8496566}" presName="connTx" presStyleLbl="parChTrans1D2" presStyleIdx="0" presStyleCnt="6"/>
      <dgm:spPr/>
      <dgm:t>
        <a:bodyPr/>
        <a:lstStyle/>
        <a:p>
          <a:endParaRPr lang="en-US"/>
        </a:p>
      </dgm:t>
    </dgm:pt>
    <dgm:pt modelId="{825B4589-2D50-4097-AF2B-6D3BD9DDE0B2}" type="pres">
      <dgm:prSet presAssocID="{70EC699C-58C9-413E-92A6-88F3FF9B1DC9}" presName="node" presStyleLbl="node1" presStyleIdx="0" presStyleCnt="6"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6"/>
      <dgm:spPr>
        <a:custGeom>
          <a:avLst/>
          <a:gdLst/>
          <a:ahLst/>
          <a:cxnLst/>
          <a:rect l="0" t="0" r="0" b="0"/>
          <a:pathLst>
            <a:path>
              <a:moveTo>
                <a:pt x="0" y="7052"/>
              </a:moveTo>
              <a:lnTo>
                <a:pt x="740212" y="7052"/>
              </a:lnTo>
            </a:path>
          </a:pathLst>
        </a:custGeom>
      </dgm:spPr>
      <dgm:t>
        <a:bodyPr/>
        <a:lstStyle/>
        <a:p>
          <a:endParaRPr lang="en-US"/>
        </a:p>
      </dgm:t>
    </dgm:pt>
    <dgm:pt modelId="{55614E8E-7D68-4791-82B7-FD152FE54268}" type="pres">
      <dgm:prSet presAssocID="{8350B580-CEC5-40B7-8EB5-A172D5915A6B}" presName="connTx" presStyleLbl="parChTrans1D2" presStyleIdx="1" presStyleCnt="6"/>
      <dgm:spPr/>
      <dgm:t>
        <a:bodyPr/>
        <a:lstStyle/>
        <a:p>
          <a:endParaRPr lang="en-US"/>
        </a:p>
      </dgm:t>
    </dgm:pt>
    <dgm:pt modelId="{9DCD972B-1513-465A-AD2B-AD5E9EEB7291}" type="pres">
      <dgm:prSet presAssocID="{8D95C031-B53C-42FF-A312-F15FA4C9B96F}" presName="node" presStyleLbl="node1" presStyleIdx="1" presStyleCnt="6" custScaleX="261471" custScaleY="102773" custRadScaleRad="275187" custRadScaleInc="50197">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6"/>
      <dgm:spPr>
        <a:custGeom>
          <a:avLst/>
          <a:gdLst/>
          <a:ahLst/>
          <a:cxnLst/>
          <a:rect l="0" t="0" r="0" b="0"/>
          <a:pathLst>
            <a:path>
              <a:moveTo>
                <a:pt x="0" y="7052"/>
              </a:moveTo>
              <a:lnTo>
                <a:pt x="633292" y="7052"/>
              </a:lnTo>
            </a:path>
          </a:pathLst>
        </a:custGeom>
      </dgm:spPr>
      <dgm:t>
        <a:bodyPr/>
        <a:lstStyle/>
        <a:p>
          <a:endParaRPr lang="en-US"/>
        </a:p>
      </dgm:t>
    </dgm:pt>
    <dgm:pt modelId="{326412CE-9911-4799-A459-B56F02EB4473}" type="pres">
      <dgm:prSet presAssocID="{7AF774ED-547E-4C04-8670-B0C1D08C5EE9}" presName="connTx" presStyleLbl="parChTrans1D2" presStyleIdx="2" presStyleCnt="6"/>
      <dgm:spPr/>
      <dgm:t>
        <a:bodyPr/>
        <a:lstStyle/>
        <a:p>
          <a:endParaRPr lang="en-US"/>
        </a:p>
      </dgm:t>
    </dgm:pt>
    <dgm:pt modelId="{CED9197C-8322-406B-917C-172FA36E7B76}" type="pres">
      <dgm:prSet presAssocID="{960C5593-E0FF-4AA5-AA0B-E8BDFFBC5E53}" presName="node" presStyleLbl="node1" presStyleIdx="2" presStyleCnt="6" custScaleX="263887" custScaleY="104313" custRadScaleRad="271868" custRadScaleInc="-6508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6"/>
      <dgm:spPr>
        <a:custGeom>
          <a:avLst/>
          <a:gdLst/>
          <a:ahLst/>
          <a:cxnLst/>
          <a:rect l="0" t="0" r="0" b="0"/>
          <a:pathLst>
            <a:path>
              <a:moveTo>
                <a:pt x="0" y="7052"/>
              </a:moveTo>
              <a:lnTo>
                <a:pt x="222368" y="7052"/>
              </a:lnTo>
            </a:path>
          </a:pathLst>
        </a:custGeom>
      </dgm:spPr>
      <dgm:t>
        <a:bodyPr/>
        <a:lstStyle/>
        <a:p>
          <a:endParaRPr lang="en-US"/>
        </a:p>
      </dgm:t>
    </dgm:pt>
    <dgm:pt modelId="{62A1F741-432F-46BE-AE07-15F0B6D5EA89}" type="pres">
      <dgm:prSet presAssocID="{4693CA52-075F-4BD8-ABEA-5368BE377DDA}" presName="connTx" presStyleLbl="parChTrans1D2" presStyleIdx="3" presStyleCnt="6"/>
      <dgm:spPr/>
      <dgm:t>
        <a:bodyPr/>
        <a:lstStyle/>
        <a:p>
          <a:endParaRPr lang="en-US"/>
        </a:p>
      </dgm:t>
    </dgm:pt>
    <dgm:pt modelId="{035B4C9A-0916-4FCC-A1CF-85DB358A289A}" type="pres">
      <dgm:prSet presAssocID="{4631C2C5-1554-4289-90B0-F2D55D1595B6}" presName="node" presStyleLbl="node1" presStyleIdx="3" presStyleCnt="6" custScaleX="266950" custScaleY="100720" custRadScaleRad="103909" custRadScaleInc="207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6"/>
      <dgm:spPr>
        <a:custGeom>
          <a:avLst/>
          <a:gdLst/>
          <a:ahLst/>
          <a:cxnLst/>
          <a:rect l="0" t="0" r="0" b="0"/>
          <a:pathLst>
            <a:path>
              <a:moveTo>
                <a:pt x="0" y="7052"/>
              </a:moveTo>
              <a:lnTo>
                <a:pt x="615314" y="7052"/>
              </a:lnTo>
            </a:path>
          </a:pathLst>
        </a:custGeom>
      </dgm:spPr>
      <dgm:t>
        <a:bodyPr/>
        <a:lstStyle/>
        <a:p>
          <a:endParaRPr lang="en-US"/>
        </a:p>
      </dgm:t>
    </dgm:pt>
    <dgm:pt modelId="{EA4144E0-C5B2-4FC0-BDB2-550B61DB7DFD}" type="pres">
      <dgm:prSet presAssocID="{0FABC453-0A5C-4CAE-813B-F0494A34E025}" presName="connTx" presStyleLbl="parChTrans1D2" presStyleIdx="4" presStyleCnt="6"/>
      <dgm:spPr/>
      <dgm:t>
        <a:bodyPr/>
        <a:lstStyle/>
        <a:p>
          <a:endParaRPr lang="en-US"/>
        </a:p>
      </dgm:t>
    </dgm:pt>
    <dgm:pt modelId="{0FAF3FA1-8E6C-455E-B189-A468B3F4D8BC}" type="pres">
      <dgm:prSet presAssocID="{C06C39C9-71B8-489C-9C45-3DD37A424E39}" presName="node" presStyleLbl="node1" presStyleIdx="4" presStyleCnt="6" custScaleX="265433" custScaleY="106960" custRadScaleRad="271190" custRadScaleInc="66385">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6"/>
      <dgm:spPr>
        <a:custGeom>
          <a:avLst/>
          <a:gdLst/>
          <a:ahLst/>
          <a:cxnLst/>
          <a:rect l="0" t="0" r="0" b="0"/>
          <a:pathLst>
            <a:path>
              <a:moveTo>
                <a:pt x="0" y="7052"/>
              </a:moveTo>
              <a:lnTo>
                <a:pt x="644351" y="7052"/>
              </a:lnTo>
            </a:path>
          </a:pathLst>
        </a:custGeom>
      </dgm:spPr>
      <dgm:t>
        <a:bodyPr/>
        <a:lstStyle/>
        <a:p>
          <a:endParaRPr lang="en-US"/>
        </a:p>
      </dgm:t>
    </dgm:pt>
    <dgm:pt modelId="{7ABA132F-4D21-4791-9A9A-84D258152BDE}" type="pres">
      <dgm:prSet presAssocID="{E6BC16BB-F93A-4745-8B71-07703A9D0891}" presName="connTx" presStyleLbl="parChTrans1D2" presStyleIdx="5" presStyleCnt="6"/>
      <dgm:spPr/>
      <dgm:t>
        <a:bodyPr/>
        <a:lstStyle/>
        <a:p>
          <a:endParaRPr lang="en-US"/>
        </a:p>
      </dgm:t>
    </dgm:pt>
    <dgm:pt modelId="{24E3E7DC-0BA5-48AF-955A-AA52F4F430B1}" type="pres">
      <dgm:prSet presAssocID="{0BE60BA9-2025-462F-AA1B-F34616BD63F6}" presName="node" presStyleLbl="node1" presStyleIdx="5" presStyleCnt="6" custScaleX="266293" custScaleY="102929" custRadScaleRad="259816" custRadScaleInc="-4852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E25A2C1F-B7BF-4988-AE8B-859279591EAE}" type="presOf" srcId="{8350B580-CEC5-40B7-8EB5-A172D5915A6B}" destId="{55614E8E-7D68-4791-82B7-FD152FE54268}" srcOrd="1" destOrd="0" presId="urn:microsoft.com/office/officeart/2005/8/layout/radial1"/>
    <dgm:cxn modelId="{40AD6EAA-4790-4D9A-A0F6-21886D4366A7}" type="presOf" srcId="{DE541715-C648-404D-8124-F14F463E9202}" destId="{062AF917-2F47-4639-8A23-58AD52EC0F32}" srcOrd="0" destOrd="0" presId="urn:microsoft.com/office/officeart/2005/8/layout/radial1"/>
    <dgm:cxn modelId="{59A4A52C-4D60-483A-88AB-54328E09F055}" type="presOf" srcId="{70EC699C-58C9-413E-92A6-88F3FF9B1DC9}" destId="{825B4589-2D50-4097-AF2B-6D3BD9DDE0B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B613666-54CF-4D7E-982B-E399CC961051}" srcId="{DE541715-C648-404D-8124-F14F463E9202}" destId="{8D95C031-B53C-42FF-A312-F15FA4C9B96F}" srcOrd="1" destOrd="0" parTransId="{8350B580-CEC5-40B7-8EB5-A172D5915A6B}" sibTransId="{F52C44D8-90AA-45A0-B521-998C42893448}"/>
    <dgm:cxn modelId="{BF65F824-D4F4-4A84-83B4-6B1944B62AAD}" srcId="{DE541715-C648-404D-8124-F14F463E9202}" destId="{4631C2C5-1554-4289-90B0-F2D55D1595B6}" srcOrd="3" destOrd="0" parTransId="{4693CA52-075F-4BD8-ABEA-5368BE377DDA}" sibTransId="{9B3CB24D-A47A-4081-B256-B868D89D5387}"/>
    <dgm:cxn modelId="{73A8D24A-3075-4BE6-9F01-87505540B091}" type="presOf" srcId="{7AF774ED-547E-4C04-8670-B0C1D08C5EE9}" destId="{326412CE-9911-4799-A459-B56F02EB4473}" srcOrd="1" destOrd="0" presId="urn:microsoft.com/office/officeart/2005/8/layout/radial1"/>
    <dgm:cxn modelId="{0FAE1C08-1241-4860-9CEE-D7BE2A1C31FD}" type="presOf" srcId="{E6BC16BB-F93A-4745-8B71-07703A9D0891}" destId="{4C755D63-E57A-4826-AD35-228CF0B8702F}" srcOrd="0" destOrd="0" presId="urn:microsoft.com/office/officeart/2005/8/layout/radial1"/>
    <dgm:cxn modelId="{716E040C-E448-490B-A43F-1BA67C5DEDA3}" type="presOf" srcId="{34E6C8D5-8D4F-4714-8A12-8F4599A8E760}" destId="{08F189A1-AB47-41D1-8058-7A6DA66B3F52}" srcOrd="0" destOrd="0" presId="urn:microsoft.com/office/officeart/2005/8/layout/radial1"/>
    <dgm:cxn modelId="{6FBBCB01-E8D7-464E-A780-BA31959E948C}" type="presOf" srcId="{4693CA52-075F-4BD8-ABEA-5368BE377DDA}" destId="{62A1F741-432F-46BE-AE07-15F0B6D5EA89}" srcOrd="1" destOrd="0" presId="urn:microsoft.com/office/officeart/2005/8/layout/radial1"/>
    <dgm:cxn modelId="{FBE0D0D2-AEBD-45E2-97C3-DCA17DB39CF7}" type="presOf" srcId="{0FABC453-0A5C-4CAE-813B-F0494A34E025}" destId="{ADF94B70-0D7F-4A27-8DF9-17BCD27F4A7A}" srcOrd="0" destOrd="0" presId="urn:microsoft.com/office/officeart/2005/8/layout/radial1"/>
    <dgm:cxn modelId="{567AA5F7-9BDE-4704-93C1-7F2D264A3EDC}" type="presOf" srcId="{960C5593-E0FF-4AA5-AA0B-E8BDFFBC5E53}" destId="{CED9197C-8322-406B-917C-172FA36E7B76}" srcOrd="0" destOrd="0" presId="urn:microsoft.com/office/officeart/2005/8/layout/radial1"/>
    <dgm:cxn modelId="{75F0A292-5D18-4866-A838-E3666BDEC6CF}" type="presOf" srcId="{0BE60BA9-2025-462F-AA1B-F34616BD63F6}" destId="{24E3E7DC-0BA5-48AF-955A-AA52F4F430B1}" srcOrd="0" destOrd="0" presId="urn:microsoft.com/office/officeart/2005/8/layout/radial1"/>
    <dgm:cxn modelId="{13D104A2-93FE-41FF-AA2F-4A03EC0E61B9}" type="presOf" srcId="{8350B580-CEC5-40B7-8EB5-A172D5915A6B}" destId="{7A96B68C-E15D-4E1B-A46C-7E5DE405A90C}" srcOrd="0" destOrd="0" presId="urn:microsoft.com/office/officeart/2005/8/layout/radial1"/>
    <dgm:cxn modelId="{C80A9BD7-CD2C-467D-B77B-E2742EC338F6}" type="presOf" srcId="{E2FC291C-D685-4C64-9B85-7318D8496566}" destId="{743B4520-8441-42A0-AFCB-45C212516FFF}" srcOrd="0" destOrd="0" presId="urn:microsoft.com/office/officeart/2005/8/layout/radial1"/>
    <dgm:cxn modelId="{B065CF41-FF01-4A6D-8FCE-274AF7971750}" type="presOf" srcId="{7AF774ED-547E-4C04-8670-B0C1D08C5EE9}" destId="{5337AE63-3722-42CC-AF72-36670EB7C5E1}" srcOrd="0" destOrd="0" presId="urn:microsoft.com/office/officeart/2005/8/layout/radial1"/>
    <dgm:cxn modelId="{248698A6-055B-40E3-B808-D624056EF2B0}" srcId="{DE541715-C648-404D-8124-F14F463E9202}" destId="{C06C39C9-71B8-489C-9C45-3DD37A424E39}" srcOrd="4" destOrd="0" parTransId="{0FABC453-0A5C-4CAE-813B-F0494A34E025}" sibTransId="{DCD34884-F96E-475A-9010-14DE66A403A6}"/>
    <dgm:cxn modelId="{3597F8D4-E0D8-45F4-BB48-7FD22AAE79C7}" srcId="{DE541715-C648-404D-8124-F14F463E9202}" destId="{70EC699C-58C9-413E-92A6-88F3FF9B1DC9}" srcOrd="0" destOrd="0" parTransId="{E2FC291C-D685-4C64-9B85-7318D8496566}" sibTransId="{18BDC942-54AA-48C8-9849-2287B2AEC32C}"/>
    <dgm:cxn modelId="{529D05ED-97D5-4116-BE13-DE3D93351F7F}" srcId="{DE541715-C648-404D-8124-F14F463E9202}" destId="{960C5593-E0FF-4AA5-AA0B-E8BDFFBC5E53}" srcOrd="2" destOrd="0" parTransId="{7AF774ED-547E-4C04-8670-B0C1D08C5EE9}" sibTransId="{88F12DF7-015F-4F26-950A-DAE493699644}"/>
    <dgm:cxn modelId="{AD2EB3D2-1381-46CB-80E7-BA9A804B7DD3}" srcId="{DE541715-C648-404D-8124-F14F463E9202}" destId="{0BE60BA9-2025-462F-AA1B-F34616BD63F6}" srcOrd="5" destOrd="0" parTransId="{E6BC16BB-F93A-4745-8B71-07703A9D0891}" sibTransId="{C8DD518E-881E-4111-9EDE-7F061DEDE6FF}"/>
    <dgm:cxn modelId="{48A596F6-291A-4F72-8D3C-487E981CB799}" type="presOf" srcId="{4631C2C5-1554-4289-90B0-F2D55D1595B6}" destId="{035B4C9A-0916-4FCC-A1CF-85DB358A289A}" srcOrd="0" destOrd="0" presId="urn:microsoft.com/office/officeart/2005/8/layout/radial1"/>
    <dgm:cxn modelId="{98A9B142-DB91-4FE1-99DE-85A1E7CEB0A0}" type="presOf" srcId="{4693CA52-075F-4BD8-ABEA-5368BE377DDA}" destId="{4AC11394-3179-4EC5-A97F-D1A1B521CE2F}" srcOrd="0" destOrd="0" presId="urn:microsoft.com/office/officeart/2005/8/layout/radial1"/>
    <dgm:cxn modelId="{FEEDF28C-97E3-4FB4-8573-7E4AA9768B65}" type="presOf" srcId="{E2FC291C-D685-4C64-9B85-7318D8496566}" destId="{AB25BD6D-C05F-49D2-AE4A-144CA3C0FC88}" srcOrd="1" destOrd="0" presId="urn:microsoft.com/office/officeart/2005/8/layout/radial1"/>
    <dgm:cxn modelId="{44151B78-B282-43ED-A74D-630FD6C6DA61}" type="presOf" srcId="{C06C39C9-71B8-489C-9C45-3DD37A424E39}" destId="{0FAF3FA1-8E6C-455E-B189-A468B3F4D8BC}" srcOrd="0" destOrd="0" presId="urn:microsoft.com/office/officeart/2005/8/layout/radial1"/>
    <dgm:cxn modelId="{76613E48-9AED-49FB-B507-622A72AC3773}" type="presOf" srcId="{E6BC16BB-F93A-4745-8B71-07703A9D0891}" destId="{7ABA132F-4D21-4791-9A9A-84D258152BDE}" srcOrd="1" destOrd="0" presId="urn:microsoft.com/office/officeart/2005/8/layout/radial1"/>
    <dgm:cxn modelId="{8140F2B6-FCC2-4AFD-8E38-E745505C18DF}" type="presOf" srcId="{0FABC453-0A5C-4CAE-813B-F0494A34E025}" destId="{EA4144E0-C5B2-4FC0-BDB2-550B61DB7DFD}" srcOrd="1" destOrd="0" presId="urn:microsoft.com/office/officeart/2005/8/layout/radial1"/>
    <dgm:cxn modelId="{4B953038-8800-4DDD-9DD5-1C17A0EB263A}" type="presOf" srcId="{8D95C031-B53C-42FF-A312-F15FA4C9B96F}" destId="{9DCD972B-1513-465A-AD2B-AD5E9EEB7291}" srcOrd="0" destOrd="0" presId="urn:microsoft.com/office/officeart/2005/8/layout/radial1"/>
    <dgm:cxn modelId="{EBBF1BD9-C333-49D1-90CA-DA8F3DA08E8C}" type="presParOf" srcId="{08F189A1-AB47-41D1-8058-7A6DA66B3F52}" destId="{062AF917-2F47-4639-8A23-58AD52EC0F32}" srcOrd="0" destOrd="0" presId="urn:microsoft.com/office/officeart/2005/8/layout/radial1"/>
    <dgm:cxn modelId="{87BD5035-3AB0-4F80-8C1B-E29CBCB491BB}" type="presParOf" srcId="{08F189A1-AB47-41D1-8058-7A6DA66B3F52}" destId="{743B4520-8441-42A0-AFCB-45C212516FFF}" srcOrd="1" destOrd="0" presId="urn:microsoft.com/office/officeart/2005/8/layout/radial1"/>
    <dgm:cxn modelId="{1B5AE917-B8E4-4C09-8145-DF78F770A404}" type="presParOf" srcId="{743B4520-8441-42A0-AFCB-45C212516FFF}" destId="{AB25BD6D-C05F-49D2-AE4A-144CA3C0FC88}" srcOrd="0" destOrd="0" presId="urn:microsoft.com/office/officeart/2005/8/layout/radial1"/>
    <dgm:cxn modelId="{A139CCFD-8DCA-4D09-BB69-19ECE160D1EA}" type="presParOf" srcId="{08F189A1-AB47-41D1-8058-7A6DA66B3F52}" destId="{825B4589-2D50-4097-AF2B-6D3BD9DDE0B2}" srcOrd="2" destOrd="0" presId="urn:microsoft.com/office/officeart/2005/8/layout/radial1"/>
    <dgm:cxn modelId="{5B8674C7-3A62-4240-9157-D90419FC416D}" type="presParOf" srcId="{08F189A1-AB47-41D1-8058-7A6DA66B3F52}" destId="{7A96B68C-E15D-4E1B-A46C-7E5DE405A90C}" srcOrd="3" destOrd="0" presId="urn:microsoft.com/office/officeart/2005/8/layout/radial1"/>
    <dgm:cxn modelId="{9E825D0F-22E9-4AF6-8E89-99D6CCD25CC9}" type="presParOf" srcId="{7A96B68C-E15D-4E1B-A46C-7E5DE405A90C}" destId="{55614E8E-7D68-4791-82B7-FD152FE54268}" srcOrd="0" destOrd="0" presId="urn:microsoft.com/office/officeart/2005/8/layout/radial1"/>
    <dgm:cxn modelId="{0B2ED2D9-A670-4807-9885-105BD0C9F0FB}" type="presParOf" srcId="{08F189A1-AB47-41D1-8058-7A6DA66B3F52}" destId="{9DCD972B-1513-465A-AD2B-AD5E9EEB7291}" srcOrd="4" destOrd="0" presId="urn:microsoft.com/office/officeart/2005/8/layout/radial1"/>
    <dgm:cxn modelId="{8D3C29AA-D8BC-4E41-ADA9-B83A6E9D8F52}" type="presParOf" srcId="{08F189A1-AB47-41D1-8058-7A6DA66B3F52}" destId="{5337AE63-3722-42CC-AF72-36670EB7C5E1}" srcOrd="5" destOrd="0" presId="urn:microsoft.com/office/officeart/2005/8/layout/radial1"/>
    <dgm:cxn modelId="{D4C402B9-D436-4087-BF20-253640FB91EA}" type="presParOf" srcId="{5337AE63-3722-42CC-AF72-36670EB7C5E1}" destId="{326412CE-9911-4799-A459-B56F02EB4473}" srcOrd="0" destOrd="0" presId="urn:microsoft.com/office/officeart/2005/8/layout/radial1"/>
    <dgm:cxn modelId="{E18AEBE1-FB16-48CB-80A3-14F67FC25659}" type="presParOf" srcId="{08F189A1-AB47-41D1-8058-7A6DA66B3F52}" destId="{CED9197C-8322-406B-917C-172FA36E7B76}" srcOrd="6" destOrd="0" presId="urn:microsoft.com/office/officeart/2005/8/layout/radial1"/>
    <dgm:cxn modelId="{DBEE97D7-ACBD-424B-ADAF-865AE6C62BE8}" type="presParOf" srcId="{08F189A1-AB47-41D1-8058-7A6DA66B3F52}" destId="{4AC11394-3179-4EC5-A97F-D1A1B521CE2F}" srcOrd="7" destOrd="0" presId="urn:microsoft.com/office/officeart/2005/8/layout/radial1"/>
    <dgm:cxn modelId="{A8F526C0-3C46-4F62-844F-C4C216F6D821}" type="presParOf" srcId="{4AC11394-3179-4EC5-A97F-D1A1B521CE2F}" destId="{62A1F741-432F-46BE-AE07-15F0B6D5EA89}" srcOrd="0" destOrd="0" presId="urn:microsoft.com/office/officeart/2005/8/layout/radial1"/>
    <dgm:cxn modelId="{55F68083-FB56-4FAA-943A-2C3C14CAC07B}" type="presParOf" srcId="{08F189A1-AB47-41D1-8058-7A6DA66B3F52}" destId="{035B4C9A-0916-4FCC-A1CF-85DB358A289A}" srcOrd="8" destOrd="0" presId="urn:microsoft.com/office/officeart/2005/8/layout/radial1"/>
    <dgm:cxn modelId="{94DD8339-77DE-46E6-9A13-81B00330730F}" type="presParOf" srcId="{08F189A1-AB47-41D1-8058-7A6DA66B3F52}" destId="{ADF94B70-0D7F-4A27-8DF9-17BCD27F4A7A}" srcOrd="9" destOrd="0" presId="urn:microsoft.com/office/officeart/2005/8/layout/radial1"/>
    <dgm:cxn modelId="{E538EC89-7C4D-4590-80BE-F853D6AF616D}" type="presParOf" srcId="{ADF94B70-0D7F-4A27-8DF9-17BCD27F4A7A}" destId="{EA4144E0-C5B2-4FC0-BDB2-550B61DB7DFD}" srcOrd="0" destOrd="0" presId="urn:microsoft.com/office/officeart/2005/8/layout/radial1"/>
    <dgm:cxn modelId="{5DC73680-4BB9-4CA8-8C4C-881B63206816}" type="presParOf" srcId="{08F189A1-AB47-41D1-8058-7A6DA66B3F52}" destId="{0FAF3FA1-8E6C-455E-B189-A468B3F4D8BC}" srcOrd="10" destOrd="0" presId="urn:microsoft.com/office/officeart/2005/8/layout/radial1"/>
    <dgm:cxn modelId="{435C9069-F079-409A-8454-E4E4A65A66D8}" type="presParOf" srcId="{08F189A1-AB47-41D1-8058-7A6DA66B3F52}" destId="{4C755D63-E57A-4826-AD35-228CF0B8702F}" srcOrd="11" destOrd="0" presId="urn:microsoft.com/office/officeart/2005/8/layout/radial1"/>
    <dgm:cxn modelId="{7E48CF2C-6A0D-4CB4-B402-994A4BF74909}" type="presParOf" srcId="{4C755D63-E57A-4826-AD35-228CF0B8702F}" destId="{7ABA132F-4D21-4791-9A9A-84D258152BDE}" srcOrd="0" destOrd="0" presId="urn:microsoft.com/office/officeart/2005/8/layout/radial1"/>
    <dgm:cxn modelId="{FBE52334-173C-48FA-B259-086C08886010}" type="presParOf" srcId="{08F189A1-AB47-41D1-8058-7A6DA66B3F52}" destId="{24E3E7DC-0BA5-48AF-955A-AA52F4F430B1}" srcOrd="12" destOrd="0" presId="urn:microsoft.com/office/officeart/2005/8/layout/radial1"/>
  </dgm:cxnLst>
  <dgm:bg/>
  <dgm:whole/>
  <dgm:extLst>
    <a:ext uri="http://schemas.microsoft.com/office/drawing/2008/diagram">
      <dsp:dataModelExt xmlns:dsp="http://schemas.microsoft.com/office/drawing/2008/diagram" relId="rId133"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Global Databases</a:t>
          </a: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a:t>
          </a: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07213"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00697" custScaleY="94929"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06169" custScaleY="104464"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31493" custScaleY="91134" custRadScaleRad="200324" custRadScaleInc="-3443">
        <dgm:presLayoutVars>
          <dgm:bulletEnabled val="1"/>
        </dgm:presLayoutVars>
      </dgm:prSet>
      <dgm:spPr>
        <a:prstGeom prst="ellipse">
          <a:avLst/>
        </a:prstGeom>
      </dgm:spPr>
      <dgm:t>
        <a:bodyPr/>
        <a:lstStyle/>
        <a:p>
          <a:endParaRPr lang="en-US"/>
        </a:p>
      </dgm:t>
    </dgm:pt>
  </dgm:ptLst>
  <dgm:cxnLst>
    <dgm:cxn modelId="{D4C1BC69-C745-405B-9248-C6E8862DD509}" srcId="{60F584FC-F7FF-4FD7-86E3-8773293C0460}" destId="{CEEBDBB9-7602-49B1-BBEB-80C6D1238598}" srcOrd="4" destOrd="0" parTransId="{D6278D4F-93AB-42D0-B837-2B99BC1EE808}" sibTransId="{3F7B98CE-94D6-4D7D-8314-AFA01590058A}"/>
    <dgm:cxn modelId="{BD8D6ADE-EC44-459F-BA83-8828A6DCC5C3}" srcId="{60F584FC-F7FF-4FD7-86E3-8773293C0460}" destId="{21293A80-0F61-406E-BFCA-C5725BC3581F}" srcOrd="2" destOrd="0" parTransId="{93D773F4-8F00-40EC-A451-C5A5ADE485BC}" sibTransId="{257D66A3-5C96-41AD-A09B-F6DC2C7DFB10}"/>
    <dgm:cxn modelId="{CE332109-B35B-4E1B-A9B4-71364C783CB6}" type="presOf" srcId="{D6278D4F-93AB-42D0-B837-2B99BC1EE808}" destId="{AC7E3352-64BC-4978-9AB6-2DD833483239}" srcOrd="0" destOrd="0" presId="urn:microsoft.com/office/officeart/2005/8/layout/radial1"/>
    <dgm:cxn modelId="{AF10AAF1-A8E3-41E1-8298-68F44722B079}" type="presOf" srcId="{52A69187-F965-4704-9C1A-29B2281F912F}" destId="{E01163DA-75CF-4C32-B81E-41BBCCC937B3}" srcOrd="1" destOrd="0" presId="urn:microsoft.com/office/officeart/2005/8/layout/radial1"/>
    <dgm:cxn modelId="{BA0B21AC-350F-4DDA-A443-58447D95EEF1}" srcId="{60F584FC-F7FF-4FD7-86E3-8773293C0460}" destId="{576E161B-59E2-4177-8320-584EBC426979}" srcOrd="3" destOrd="0" parTransId="{52A69187-F965-4704-9C1A-29B2281F912F}" sibTransId="{E9F92651-5262-450E-9258-F1F8976476A8}"/>
    <dgm:cxn modelId="{2B9A8E11-9EA6-4344-B1A2-0A6DE566AC63}" type="presOf" srcId="{576E161B-59E2-4177-8320-584EBC426979}" destId="{F74F2681-A109-4B75-8C08-B2B26769CF03}" srcOrd="0" destOrd="0" presId="urn:microsoft.com/office/officeart/2005/8/layout/radial1"/>
    <dgm:cxn modelId="{602A20CA-B1A3-4569-B35A-1713EF04D9EE}" type="presOf" srcId="{3E4183EF-B989-4620-A02C-D54686D6628F}" destId="{4FC73BDC-CE2C-45F4-85CD-F387963DA006}"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C00EBD62-B13C-45D8-A215-2747C593AFAE}" type="presOf" srcId="{66F0DCEC-2B26-4038-AF1F-D0A98A0F7930}" destId="{7FE108B5-F558-4942-A9EC-465F3C2E5813}" srcOrd="1"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22207747-407D-4401-A9DE-F24316AB4F71}" type="presOf" srcId="{60F584FC-F7FF-4FD7-86E3-8773293C0460}" destId="{3C7CADF7-0742-432E-9EEF-EA9C347A7661}" srcOrd="0" destOrd="0" presId="urn:microsoft.com/office/officeart/2005/8/layout/radial1"/>
    <dgm:cxn modelId="{221607F7-2558-4CCA-9E15-6CCDFD04872D}" type="presOf" srcId="{21293A80-0F61-406E-BFCA-C5725BC3581F}" destId="{638FE4E5-2063-40D0-A44F-91C88716CF8C}" srcOrd="0" destOrd="0" presId="urn:microsoft.com/office/officeart/2005/8/layout/radial1"/>
    <dgm:cxn modelId="{E76ABA4C-C849-4444-9C6D-61681C9D06CD}" type="presOf" srcId="{F6DE2413-45CD-453B-A258-F22A53BBB241}" destId="{DEF09AAB-E09E-4486-8914-E37D47E60824}" srcOrd="0" destOrd="0" presId="urn:microsoft.com/office/officeart/2005/8/layout/radial1"/>
    <dgm:cxn modelId="{FACDF588-E15D-4D4E-AAEE-14C4C6C4949A}" type="presOf" srcId="{F6DE2413-45CD-453B-A258-F22A53BBB241}" destId="{B0514361-30D3-4311-BC21-0743B7F01673}" srcOrd="1" destOrd="0" presId="urn:microsoft.com/office/officeart/2005/8/layout/radial1"/>
    <dgm:cxn modelId="{AC4C9C5F-7EB5-471C-8EC0-7C38224304F2}" type="presOf" srcId="{D6278D4F-93AB-42D0-B837-2B99BC1EE808}" destId="{C620A703-6BE9-4C0F-B737-266F7434DAB4}" srcOrd="1" destOrd="0" presId="urn:microsoft.com/office/officeart/2005/8/layout/radial1"/>
    <dgm:cxn modelId="{D0987D88-807B-4994-94E2-80A6C1D9AE52}" srcId="{60F584FC-F7FF-4FD7-86E3-8773293C0460}" destId="{2EF75B39-F486-43BE-8B27-294595126005}" srcOrd="0" destOrd="0" parTransId="{66F0DCEC-2B26-4038-AF1F-D0A98A0F7930}" sibTransId="{A29EC13D-3B1F-4904-8025-5B38BEEF3183}"/>
    <dgm:cxn modelId="{31599FC0-2CD4-4CFD-AF75-B7F4F1123136}" type="presOf" srcId="{93D773F4-8F00-40EC-A451-C5A5ADE485BC}" destId="{6A5F15CA-77E2-4C48-8498-A7C7D3C4428C}" srcOrd="0" destOrd="0" presId="urn:microsoft.com/office/officeart/2005/8/layout/radial1"/>
    <dgm:cxn modelId="{BF7CC52E-CE18-4DBB-8D2A-BD009802FA2E}" type="presOf" srcId="{52A69187-F965-4704-9C1A-29B2281F912F}" destId="{EAF47FDD-7D57-4FF6-9F6B-6E604D2CC0DE}" srcOrd="0" destOrd="0" presId="urn:microsoft.com/office/officeart/2005/8/layout/radial1"/>
    <dgm:cxn modelId="{6FC404C3-51D6-454B-B452-5686E079E5D5}" type="presOf" srcId="{4761FE57-664D-44AD-8EF1-E6096D64297F}" destId="{2ED32773-10C9-4671-A0BF-4C0DAB40AE25}" srcOrd="0" destOrd="0" presId="urn:microsoft.com/office/officeart/2005/8/layout/radial1"/>
    <dgm:cxn modelId="{58868746-DBB7-4BAA-BDEB-A5EB477B0124}" type="presOf" srcId="{66F0DCEC-2B26-4038-AF1F-D0A98A0F7930}" destId="{650854B0-9FE7-4FFD-96B2-18F6452E0859}" srcOrd="0" destOrd="0" presId="urn:microsoft.com/office/officeart/2005/8/layout/radial1"/>
    <dgm:cxn modelId="{F5B6E197-225D-4EA1-997A-05099766103A}" type="presOf" srcId="{2EF75B39-F486-43BE-8B27-294595126005}" destId="{6394B413-6D12-4C4F-9A8D-E0508CAE8617}" srcOrd="0" destOrd="0" presId="urn:microsoft.com/office/officeart/2005/8/layout/radial1"/>
    <dgm:cxn modelId="{7FF5BCAE-1F72-477D-BF68-09E1CF533A8B}" type="presOf" srcId="{CEEBDBB9-7602-49B1-BBEB-80C6D1238598}" destId="{05C48364-E63B-4056-87CF-0BE50D74190B}" srcOrd="0" destOrd="0" presId="urn:microsoft.com/office/officeart/2005/8/layout/radial1"/>
    <dgm:cxn modelId="{1793B792-6BD2-4570-8C39-4835A1F8C64E}" type="presOf" srcId="{93D773F4-8F00-40EC-A451-C5A5ADE485BC}" destId="{F87499B4-AA7B-416D-9B28-377D046017EC}" srcOrd="1" destOrd="0" presId="urn:microsoft.com/office/officeart/2005/8/layout/radial1"/>
    <dgm:cxn modelId="{557D312B-FDDC-4F17-8656-44B9DA646212}" type="presParOf" srcId="{4FC73BDC-CE2C-45F4-85CD-F387963DA006}" destId="{3C7CADF7-0742-432E-9EEF-EA9C347A7661}" srcOrd="0" destOrd="0" presId="urn:microsoft.com/office/officeart/2005/8/layout/radial1"/>
    <dgm:cxn modelId="{888F6B32-AFF2-4108-BFCF-E370B0E2786A}" type="presParOf" srcId="{4FC73BDC-CE2C-45F4-85CD-F387963DA006}" destId="{650854B0-9FE7-4FFD-96B2-18F6452E0859}" srcOrd="1" destOrd="0" presId="urn:microsoft.com/office/officeart/2005/8/layout/radial1"/>
    <dgm:cxn modelId="{3D493F84-9B65-45F1-BF12-4EF74F6553DE}" type="presParOf" srcId="{650854B0-9FE7-4FFD-96B2-18F6452E0859}" destId="{7FE108B5-F558-4942-A9EC-465F3C2E5813}" srcOrd="0" destOrd="0" presId="urn:microsoft.com/office/officeart/2005/8/layout/radial1"/>
    <dgm:cxn modelId="{E88C387E-3CB3-4EF8-A1C2-A9E9ED1EB63F}" type="presParOf" srcId="{4FC73BDC-CE2C-45F4-85CD-F387963DA006}" destId="{6394B413-6D12-4C4F-9A8D-E0508CAE8617}" srcOrd="2" destOrd="0" presId="urn:microsoft.com/office/officeart/2005/8/layout/radial1"/>
    <dgm:cxn modelId="{5120B297-8794-42A1-9FFB-D95C3CCD4B99}" type="presParOf" srcId="{4FC73BDC-CE2C-45F4-85CD-F387963DA006}" destId="{DEF09AAB-E09E-4486-8914-E37D47E60824}" srcOrd="3" destOrd="0" presId="urn:microsoft.com/office/officeart/2005/8/layout/radial1"/>
    <dgm:cxn modelId="{E28C9DC7-BC5B-44D9-8945-38E53442672D}" type="presParOf" srcId="{DEF09AAB-E09E-4486-8914-E37D47E60824}" destId="{B0514361-30D3-4311-BC21-0743B7F01673}" srcOrd="0" destOrd="0" presId="urn:microsoft.com/office/officeart/2005/8/layout/radial1"/>
    <dgm:cxn modelId="{2C07B5E6-06F1-4B82-9268-4F02D6990336}" type="presParOf" srcId="{4FC73BDC-CE2C-45F4-85CD-F387963DA006}" destId="{2ED32773-10C9-4671-A0BF-4C0DAB40AE25}" srcOrd="4" destOrd="0" presId="urn:microsoft.com/office/officeart/2005/8/layout/radial1"/>
    <dgm:cxn modelId="{4F6DE997-FF11-4DEC-B54E-4DED17435273}" type="presParOf" srcId="{4FC73BDC-CE2C-45F4-85CD-F387963DA006}" destId="{6A5F15CA-77E2-4C48-8498-A7C7D3C4428C}" srcOrd="5" destOrd="0" presId="urn:microsoft.com/office/officeart/2005/8/layout/radial1"/>
    <dgm:cxn modelId="{B4384BBD-4AD7-4CFD-99D7-B77F6F68A43F}" type="presParOf" srcId="{6A5F15CA-77E2-4C48-8498-A7C7D3C4428C}" destId="{F87499B4-AA7B-416D-9B28-377D046017EC}" srcOrd="0" destOrd="0" presId="urn:microsoft.com/office/officeart/2005/8/layout/radial1"/>
    <dgm:cxn modelId="{E0370D22-C9A9-4559-A14C-0920432F2410}" type="presParOf" srcId="{4FC73BDC-CE2C-45F4-85CD-F387963DA006}" destId="{638FE4E5-2063-40D0-A44F-91C88716CF8C}" srcOrd="6" destOrd="0" presId="urn:microsoft.com/office/officeart/2005/8/layout/radial1"/>
    <dgm:cxn modelId="{D29410F8-DD15-4CC0-9839-5BA6D183AD99}" type="presParOf" srcId="{4FC73BDC-CE2C-45F4-85CD-F387963DA006}" destId="{EAF47FDD-7D57-4FF6-9F6B-6E604D2CC0DE}" srcOrd="7" destOrd="0" presId="urn:microsoft.com/office/officeart/2005/8/layout/radial1"/>
    <dgm:cxn modelId="{4EB19656-28BE-4DD9-A298-E542E458B482}" type="presParOf" srcId="{EAF47FDD-7D57-4FF6-9F6B-6E604D2CC0DE}" destId="{E01163DA-75CF-4C32-B81E-41BBCCC937B3}" srcOrd="0" destOrd="0" presId="urn:microsoft.com/office/officeart/2005/8/layout/radial1"/>
    <dgm:cxn modelId="{CD160319-3B23-4C9A-9FC1-FF8E8150E7DC}" type="presParOf" srcId="{4FC73BDC-CE2C-45F4-85CD-F387963DA006}" destId="{F74F2681-A109-4B75-8C08-B2B26769CF03}" srcOrd="8" destOrd="0" presId="urn:microsoft.com/office/officeart/2005/8/layout/radial1"/>
    <dgm:cxn modelId="{CA3373AD-AD7C-4557-B11D-CA200E76B09A}" type="presParOf" srcId="{4FC73BDC-CE2C-45F4-85CD-F387963DA006}" destId="{AC7E3352-64BC-4978-9AB6-2DD833483239}" srcOrd="9" destOrd="0" presId="urn:microsoft.com/office/officeart/2005/8/layout/radial1"/>
    <dgm:cxn modelId="{19EAB909-259A-4D42-9114-89BD1479CCC7}" type="presParOf" srcId="{AC7E3352-64BC-4978-9AB6-2DD833483239}" destId="{C620A703-6BE9-4C0F-B737-266F7434DAB4}" srcOrd="0" destOrd="0" presId="urn:microsoft.com/office/officeart/2005/8/layout/radial1"/>
    <dgm:cxn modelId="{BABD9273-E295-4167-A79E-42D274FBA1C2}"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0006" y="676165"/>
          <a:ext cx="1197503" cy="44922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2377322" y="58667"/>
          <a:ext cx="1007929" cy="50475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 </a:t>
          </a:r>
        </a:p>
      </dgm:t>
    </dgm:pt>
    <dgm:pt modelId="{1F889DAC-CE52-4F0F-B94D-85598619AB82}" type="parTrans" cxnId="{E719C6E7-4776-4FC2-9ECD-F0D273135B37}">
      <dgm:prSet/>
      <dgm:spPr>
        <a:xfrm rot="16214742">
          <a:off x="2823589" y="612015"/>
          <a:ext cx="11274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3499843" y="278257"/>
          <a:ext cx="1111588" cy="4420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gm:t>
    </dgm:pt>
    <dgm:pt modelId="{5BE92476-635C-4AE2-AD14-BF50BB0972EC}" type="parTrans" cxnId="{44EB880B-7660-4CF0-97E5-4E577ACA821D}">
      <dgm:prSet/>
      <dgm:spPr>
        <a:xfrm rot="20469744">
          <a:off x="3312890" y="688641"/>
          <a:ext cx="32975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3892329" y="936890"/>
          <a:ext cx="1238703" cy="4958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gm:t>
    </dgm:pt>
    <dgm:pt modelId="{66F0DCEC-2B26-4038-AF1F-D0A98A0F7930}" type="parTrans" cxnId="{D0987D88-807B-4994-94E2-80A6C1D9AE52}">
      <dgm:prSet/>
      <dgm:spPr>
        <a:xfrm rot="592092">
          <a:off x="3418031" y="1032866"/>
          <a:ext cx="52952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576E161B-59E2-4177-8320-584EBC426979}">
      <dgm:prSet phldrT="[Text]" custT="1"/>
      <dgm:spPr>
        <a:xfrm>
          <a:off x="695950" y="957721"/>
          <a:ext cx="1154436" cy="5323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52A69187-F965-4704-9C1A-29B2281F912F}" type="parTrans" cxnId="{BA0B21AC-350F-4DDA-A443-58447D95EEF1}">
      <dgm:prSet/>
      <dgm:spPr>
        <a:xfrm rot="10117332">
          <a:off x="1796698" y="1054406"/>
          <a:ext cx="55993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1071148" y="211517"/>
          <a:ext cx="1234835" cy="4860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p>
      </dgm:t>
    </dgm:pt>
    <dgm:pt modelId="{D6278D4F-93AB-42D0-B837-2B99BC1EE808}" type="parTrans" cxnId="{D4C1BC69-C745-405B-9248-C6E8862DD509}">
      <dgm:prSet/>
      <dgm:spPr>
        <a:xfrm rot="12033108">
          <a:off x="2124787" y="674308"/>
          <a:ext cx="341328"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2213689" y="1254483"/>
          <a:ext cx="1356105" cy="49149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93D773F4-8F00-40EC-A451-C5A5ADE485BC}" type="parTrans" cxnId="{BD8D6ADE-EC44-459F-BA83-8828A6DCC5C3}">
      <dgm:prSet/>
      <dgm:spPr>
        <a:xfrm rot="5325552">
          <a:off x="2820451" y="1182158"/>
          <a:ext cx="129140"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0576"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192115" custRadScaleInc="37208">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48853" custScaleY="99623" custRadScaleRad="256071" custRadScaleInc="-67106">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72439"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53032" custRadScaleInc="62074">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248076" custScaleY="97652" custRadScaleRad="196380" custRadScaleInc="-31494">
        <dgm:presLayoutVars>
          <dgm:bulletEnabled val="1"/>
        </dgm:presLayoutVars>
      </dgm:prSet>
      <dgm:spPr>
        <a:prstGeom prst="ellipse">
          <a:avLst/>
        </a:prstGeom>
      </dgm:spPr>
      <dgm:t>
        <a:bodyPr/>
        <a:lstStyle/>
        <a:p>
          <a:endParaRPr lang="en-US"/>
        </a:p>
      </dgm:t>
    </dgm:pt>
  </dgm:ptLst>
  <dgm:cxnLst>
    <dgm:cxn modelId="{734CEBBB-E986-4982-A256-14549ABD2E55}" type="presOf" srcId="{52A69187-F965-4704-9C1A-29B2281F912F}" destId="{EAF47FDD-7D57-4FF6-9F6B-6E604D2CC0DE}"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BD8D6ADE-EC44-459F-BA83-8828A6DCC5C3}" srcId="{60F584FC-F7FF-4FD7-86E3-8773293C0460}" destId="{21293A80-0F61-406E-BFCA-C5725BC3581F}" srcOrd="3" destOrd="0" parTransId="{93D773F4-8F00-40EC-A451-C5A5ADE485BC}" sibTransId="{257D66A3-5C96-41AD-A09B-F6DC2C7DFB10}"/>
    <dgm:cxn modelId="{D4C1BC69-C745-405B-9248-C6E8862DD509}" srcId="{60F584FC-F7FF-4FD7-86E3-8773293C0460}" destId="{CEEBDBB9-7602-49B1-BBEB-80C6D1238598}" srcOrd="5" destOrd="0" parTransId="{D6278D4F-93AB-42D0-B837-2B99BC1EE808}" sibTransId="{3F7B98CE-94D6-4D7D-8314-AFA01590058A}"/>
    <dgm:cxn modelId="{0872B5C3-971C-4397-94C1-FDC0412A9ADC}" srcId="{3E4183EF-B989-4620-A02C-D54686D6628F}" destId="{60F584FC-F7FF-4FD7-86E3-8773293C0460}" srcOrd="0" destOrd="0" parTransId="{474A81AD-BFE3-4D32-9342-2C25E06E5B46}" sibTransId="{28FB44EF-A1AD-4FBB-B0D1-E98EB36FC510}"/>
    <dgm:cxn modelId="{66813AA9-4C7F-44B9-A6AE-F1CB35F7F4EC}" type="presOf" srcId="{93D773F4-8F00-40EC-A451-C5A5ADE485BC}" destId="{6A5F15CA-77E2-4C48-8498-A7C7D3C4428C}" srcOrd="0" destOrd="0" presId="urn:microsoft.com/office/officeart/2005/8/layout/radial1"/>
    <dgm:cxn modelId="{68CDEB99-AED9-4986-BD77-2FB69EE9D4DF}" type="presOf" srcId="{5BE92476-635C-4AE2-AD14-BF50BB0972EC}" destId="{48B32C5A-7076-4480-B5CB-D9EFDA8D8FDB}" srcOrd="1" destOrd="0" presId="urn:microsoft.com/office/officeart/2005/8/layout/radial1"/>
    <dgm:cxn modelId="{FF348CEC-3D57-4A5B-AC61-0E5275CD5B50}" type="presOf" srcId="{52A69187-F965-4704-9C1A-29B2281F912F}" destId="{E01163DA-75CF-4C32-B81E-41BBCCC937B3}" srcOrd="1" destOrd="0" presId="urn:microsoft.com/office/officeart/2005/8/layout/radial1"/>
    <dgm:cxn modelId="{14A4B539-D330-4F20-93D0-4446CFC23339}" type="presOf" srcId="{1F889DAC-CE52-4F0F-B94D-85598619AB82}" destId="{72463A3F-A956-4917-8722-9FD79FB3E09A}" srcOrd="0"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6C170040-F833-4286-9EBC-7654A097AB16}" type="presOf" srcId="{584F0456-7C88-4E15-A6D5-3DF2BDDC45F2}" destId="{423B6D89-2000-40C7-8429-BD38C7402395}" srcOrd="0" destOrd="0" presId="urn:microsoft.com/office/officeart/2005/8/layout/radial1"/>
    <dgm:cxn modelId="{98C0A674-39C9-4E82-8377-5F9974D25C47}" type="presOf" srcId="{60F584FC-F7FF-4FD7-86E3-8773293C0460}" destId="{3C7CADF7-0742-432E-9EEF-EA9C347A7661}" srcOrd="0" destOrd="0" presId="urn:microsoft.com/office/officeart/2005/8/layout/radial1"/>
    <dgm:cxn modelId="{6F44A646-E89F-4303-BCF9-30C6C746E370}" type="presOf" srcId="{5BE92476-635C-4AE2-AD14-BF50BB0972EC}" destId="{00112A8F-12E8-45AC-B551-DFB66BE45059}" srcOrd="0" destOrd="0" presId="urn:microsoft.com/office/officeart/2005/8/layout/radial1"/>
    <dgm:cxn modelId="{FF6C073A-9397-40EF-B753-7B03F592B149}" type="presOf" srcId="{576E161B-59E2-4177-8320-584EBC426979}" destId="{F74F2681-A109-4B75-8C08-B2B26769CF03}" srcOrd="0" destOrd="0" presId="urn:microsoft.com/office/officeart/2005/8/layout/radial1"/>
    <dgm:cxn modelId="{C0F68DDA-4598-4486-B096-FCC8BC734430}" type="presOf" srcId="{21293A80-0F61-406E-BFCA-C5725BC3581F}" destId="{638FE4E5-2063-40D0-A44F-91C88716CF8C}" srcOrd="0" destOrd="0" presId="urn:microsoft.com/office/officeart/2005/8/layout/radial1"/>
    <dgm:cxn modelId="{9977542B-5704-4188-A305-17E9AF9A05E2}" type="presOf" srcId="{3E4183EF-B989-4620-A02C-D54686D6628F}" destId="{4FC73BDC-CE2C-45F4-85CD-F387963DA006}" srcOrd="0" destOrd="0" presId="urn:microsoft.com/office/officeart/2005/8/layout/radial1"/>
    <dgm:cxn modelId="{C98B907B-7A75-4AB8-B115-DB85BA50CA00}" type="presOf" srcId="{66F0DCEC-2B26-4038-AF1F-D0A98A0F7930}" destId="{7FE108B5-F558-4942-A9EC-465F3C2E5813}" srcOrd="1"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10C847C2-99F4-44FF-9F67-0D28C9620C4A}" type="presOf" srcId="{93D773F4-8F00-40EC-A451-C5A5ADE485BC}" destId="{F87499B4-AA7B-416D-9B28-377D046017EC}" srcOrd="1" destOrd="0" presId="urn:microsoft.com/office/officeart/2005/8/layout/radial1"/>
    <dgm:cxn modelId="{56598144-8892-462C-9A71-002F8A4CA045}" type="presOf" srcId="{66F0DCEC-2B26-4038-AF1F-D0A98A0F7930}" destId="{650854B0-9FE7-4FFD-96B2-18F6452E0859}" srcOrd="0" destOrd="0" presId="urn:microsoft.com/office/officeart/2005/8/layout/radial1"/>
    <dgm:cxn modelId="{BA0B21AC-350F-4DDA-A443-58447D95EEF1}" srcId="{60F584FC-F7FF-4FD7-86E3-8773293C0460}" destId="{576E161B-59E2-4177-8320-584EBC426979}" srcOrd="4" destOrd="0" parTransId="{52A69187-F965-4704-9C1A-29B2281F912F}" sibTransId="{E9F92651-5262-450E-9258-F1F8976476A8}"/>
    <dgm:cxn modelId="{CF092F4B-4FC9-45A9-94E7-35FC02B316EA}" type="presOf" srcId="{2EF75B39-F486-43BE-8B27-294595126005}" destId="{6394B413-6D12-4C4F-9A8D-E0508CAE8617}" srcOrd="0" destOrd="0" presId="urn:microsoft.com/office/officeart/2005/8/layout/radial1"/>
    <dgm:cxn modelId="{71907B0B-D868-4D75-B1A3-4D664F137F1C}" type="presOf" srcId="{1F889DAC-CE52-4F0F-B94D-85598619AB82}" destId="{E5E0F749-58A7-4B5D-B40F-552D5369ABEE}" srcOrd="1" destOrd="0" presId="urn:microsoft.com/office/officeart/2005/8/layout/radial1"/>
    <dgm:cxn modelId="{743C5551-A861-45E2-846E-317BF1D5F568}" type="presOf" srcId="{CEEBDBB9-7602-49B1-BBEB-80C6D1238598}" destId="{05C48364-E63B-4056-87CF-0BE50D74190B}" srcOrd="0" destOrd="0" presId="urn:microsoft.com/office/officeart/2005/8/layout/radial1"/>
    <dgm:cxn modelId="{11B58494-2709-4756-827F-9E16710F937F}" type="presOf" srcId="{94B19768-91E8-4E7A-A857-C8521D65AF24}" destId="{A030EF9D-9337-4706-B87A-64BDE162520A}" srcOrd="0" destOrd="0" presId="urn:microsoft.com/office/officeart/2005/8/layout/radial1"/>
    <dgm:cxn modelId="{AD6C57B3-D585-459C-9C2B-52A3092CFB9D}" type="presOf" srcId="{D6278D4F-93AB-42D0-B837-2B99BC1EE808}" destId="{AC7E3352-64BC-4978-9AB6-2DD833483239}" srcOrd="0" destOrd="0" presId="urn:microsoft.com/office/officeart/2005/8/layout/radial1"/>
    <dgm:cxn modelId="{45602B51-6F07-4CA9-8474-79C7F90D1E5C}" type="presOf" srcId="{D6278D4F-93AB-42D0-B837-2B99BC1EE808}" destId="{C620A703-6BE9-4C0F-B737-266F7434DAB4}" srcOrd="1" destOrd="0" presId="urn:microsoft.com/office/officeart/2005/8/layout/radial1"/>
    <dgm:cxn modelId="{E7C61DE6-D431-43F0-B3B2-4E3BCC562A77}" type="presParOf" srcId="{4FC73BDC-CE2C-45F4-85CD-F387963DA006}" destId="{3C7CADF7-0742-432E-9EEF-EA9C347A7661}" srcOrd="0" destOrd="0" presId="urn:microsoft.com/office/officeart/2005/8/layout/radial1"/>
    <dgm:cxn modelId="{13537286-FD9B-4B32-B51C-8F8B3E123A5E}" type="presParOf" srcId="{4FC73BDC-CE2C-45F4-85CD-F387963DA006}" destId="{72463A3F-A956-4917-8722-9FD79FB3E09A}" srcOrd="1" destOrd="0" presId="urn:microsoft.com/office/officeart/2005/8/layout/radial1"/>
    <dgm:cxn modelId="{D4C86DF1-0987-401C-AB54-037C1A0BDE27}" type="presParOf" srcId="{72463A3F-A956-4917-8722-9FD79FB3E09A}" destId="{E5E0F749-58A7-4B5D-B40F-552D5369ABEE}" srcOrd="0" destOrd="0" presId="urn:microsoft.com/office/officeart/2005/8/layout/radial1"/>
    <dgm:cxn modelId="{8F8C3EFD-FFE0-4644-8570-5B15A6A85837}" type="presParOf" srcId="{4FC73BDC-CE2C-45F4-85CD-F387963DA006}" destId="{A030EF9D-9337-4706-B87A-64BDE162520A}" srcOrd="2" destOrd="0" presId="urn:microsoft.com/office/officeart/2005/8/layout/radial1"/>
    <dgm:cxn modelId="{01BBE4DF-0F7E-42A4-B6C3-48B73DA10A9D}" type="presParOf" srcId="{4FC73BDC-CE2C-45F4-85CD-F387963DA006}" destId="{00112A8F-12E8-45AC-B551-DFB66BE45059}" srcOrd="3" destOrd="0" presId="urn:microsoft.com/office/officeart/2005/8/layout/radial1"/>
    <dgm:cxn modelId="{D39D83B7-8A3F-4500-A2F4-9F3CE84CE3F0}" type="presParOf" srcId="{00112A8F-12E8-45AC-B551-DFB66BE45059}" destId="{48B32C5A-7076-4480-B5CB-D9EFDA8D8FDB}" srcOrd="0" destOrd="0" presId="urn:microsoft.com/office/officeart/2005/8/layout/radial1"/>
    <dgm:cxn modelId="{8A3DA231-A20A-4113-B255-A60FED3BB70A}" type="presParOf" srcId="{4FC73BDC-CE2C-45F4-85CD-F387963DA006}" destId="{423B6D89-2000-40C7-8429-BD38C7402395}" srcOrd="4" destOrd="0" presId="urn:microsoft.com/office/officeart/2005/8/layout/radial1"/>
    <dgm:cxn modelId="{5022F883-DCE9-4CCB-8D00-AE702996E4EF}" type="presParOf" srcId="{4FC73BDC-CE2C-45F4-85CD-F387963DA006}" destId="{650854B0-9FE7-4FFD-96B2-18F6452E0859}" srcOrd="5" destOrd="0" presId="urn:microsoft.com/office/officeart/2005/8/layout/radial1"/>
    <dgm:cxn modelId="{14988945-19C3-4981-A7A0-2420160AFAD2}" type="presParOf" srcId="{650854B0-9FE7-4FFD-96B2-18F6452E0859}" destId="{7FE108B5-F558-4942-A9EC-465F3C2E5813}" srcOrd="0" destOrd="0" presId="urn:microsoft.com/office/officeart/2005/8/layout/radial1"/>
    <dgm:cxn modelId="{F5F89EE1-7E8D-4A34-857D-4B45B02526E4}" type="presParOf" srcId="{4FC73BDC-CE2C-45F4-85CD-F387963DA006}" destId="{6394B413-6D12-4C4F-9A8D-E0508CAE8617}" srcOrd="6" destOrd="0" presId="urn:microsoft.com/office/officeart/2005/8/layout/radial1"/>
    <dgm:cxn modelId="{4E82D958-A2E9-459B-B9D2-BB02D44F7600}" type="presParOf" srcId="{4FC73BDC-CE2C-45F4-85CD-F387963DA006}" destId="{6A5F15CA-77E2-4C48-8498-A7C7D3C4428C}" srcOrd="7" destOrd="0" presId="urn:microsoft.com/office/officeart/2005/8/layout/radial1"/>
    <dgm:cxn modelId="{D0EF54B1-54D7-4D7E-872B-2DF30F24D042}" type="presParOf" srcId="{6A5F15CA-77E2-4C48-8498-A7C7D3C4428C}" destId="{F87499B4-AA7B-416D-9B28-377D046017EC}" srcOrd="0" destOrd="0" presId="urn:microsoft.com/office/officeart/2005/8/layout/radial1"/>
    <dgm:cxn modelId="{E2B453B4-BA14-4982-A7B1-B03E7DA4918C}" type="presParOf" srcId="{4FC73BDC-CE2C-45F4-85CD-F387963DA006}" destId="{638FE4E5-2063-40D0-A44F-91C88716CF8C}" srcOrd="8" destOrd="0" presId="urn:microsoft.com/office/officeart/2005/8/layout/radial1"/>
    <dgm:cxn modelId="{B3CB491D-C821-40BD-AE1C-392259642B1C}" type="presParOf" srcId="{4FC73BDC-CE2C-45F4-85CD-F387963DA006}" destId="{EAF47FDD-7D57-4FF6-9F6B-6E604D2CC0DE}" srcOrd="9" destOrd="0" presId="urn:microsoft.com/office/officeart/2005/8/layout/radial1"/>
    <dgm:cxn modelId="{C2E914EE-E40B-4F2D-94AB-F4508D753FA6}" type="presParOf" srcId="{EAF47FDD-7D57-4FF6-9F6B-6E604D2CC0DE}" destId="{E01163DA-75CF-4C32-B81E-41BBCCC937B3}" srcOrd="0" destOrd="0" presId="urn:microsoft.com/office/officeart/2005/8/layout/radial1"/>
    <dgm:cxn modelId="{FD3D9345-7F37-472D-B9FB-FB4A0F9C8D25}" type="presParOf" srcId="{4FC73BDC-CE2C-45F4-85CD-F387963DA006}" destId="{F74F2681-A109-4B75-8C08-B2B26769CF03}" srcOrd="10" destOrd="0" presId="urn:microsoft.com/office/officeart/2005/8/layout/radial1"/>
    <dgm:cxn modelId="{786478E9-B4FA-4A5A-962A-F0106AC060CB}" type="presParOf" srcId="{4FC73BDC-CE2C-45F4-85CD-F387963DA006}" destId="{AC7E3352-64BC-4978-9AB6-2DD833483239}" srcOrd="11" destOrd="0" presId="urn:microsoft.com/office/officeart/2005/8/layout/radial1"/>
    <dgm:cxn modelId="{12352302-79CD-4C29-BC04-9229E8540D83}" type="presParOf" srcId="{AC7E3352-64BC-4978-9AB6-2DD833483239}" destId="{C620A703-6BE9-4C0F-B737-266F7434DAB4}" srcOrd="0" destOrd="0" presId="urn:microsoft.com/office/officeart/2005/8/layout/radial1"/>
    <dgm:cxn modelId="{6B2DC48B-55D2-4250-BF66-3090901F7312}"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59945" y="971107"/>
          <a:ext cx="1212033" cy="35110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4B19768-91E8-4E7A-A857-C8521D65AF24}">
      <dgm:prSet phldrT="[Text]" custT="1"/>
      <dgm:spPr>
        <a:xfrm>
          <a:off x="4108932" y="408027"/>
          <a:ext cx="1327351" cy="50100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 </a:t>
          </a:r>
        </a:p>
      </dgm:t>
    </dgm:pt>
    <dgm:pt modelId="{1F889DAC-CE52-4F0F-B94D-85598619AB82}" type="parTrans" cxnId="{E719C6E7-4776-4FC2-9ECD-F0D273135B37}">
      <dgm:prSet/>
      <dgm:spPr>
        <a:xfrm rot="20738388">
          <a:off x="3305490" y="908443"/>
          <a:ext cx="932436" cy="12666"/>
        </a:xfrm>
        <a:custGeom>
          <a:avLst/>
          <a:gdLst/>
          <a:ahLst/>
          <a:cxnLst/>
          <a:rect l="0" t="0" r="0" b="0"/>
          <a:pathLst>
            <a:path>
              <a:moveTo>
                <a:pt x="0" y="6333"/>
              </a:moveTo>
              <a:lnTo>
                <a:pt x="1024358"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701139" y="968467"/>
          <a:ext cx="986790" cy="4191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gm:t>
    </dgm:pt>
    <dgm:pt modelId="{5BE92476-635C-4AE2-AD14-BF50BB0972EC}" type="parTrans" cxnId="{44EB880B-7660-4CF0-97E5-4E577ACA821D}">
      <dgm:prSet/>
      <dgm:spPr>
        <a:xfrm rot="46295">
          <a:off x="3471269" y="1156765"/>
          <a:ext cx="1230173" cy="12666"/>
        </a:xfrm>
        <a:custGeom>
          <a:avLst/>
          <a:gdLst/>
          <a:ahLst/>
          <a:cxnLst/>
          <a:rect l="0" t="0" r="0" b="0"/>
          <a:pathLst>
            <a:path>
              <a:moveTo>
                <a:pt x="0" y="6333"/>
              </a:moveTo>
              <a:lnTo>
                <a:pt x="1274989"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190812" y="1446489"/>
          <a:ext cx="1339039" cy="4236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6F0DCEC-2B26-4038-AF1F-D0A98A0F7930}" type="parTrans" cxnId="{D0987D88-807B-4994-94E2-80A6C1D9AE52}">
      <dgm:prSet/>
      <dgm:spPr>
        <a:xfrm rot="863322">
          <a:off x="3303118" y="1387642"/>
          <a:ext cx="1053705" cy="12666"/>
        </a:xfrm>
        <a:custGeom>
          <a:avLst/>
          <a:gdLst/>
          <a:ahLst/>
          <a:cxnLst/>
          <a:rect l="0" t="0" r="0" b="0"/>
          <a:pathLst>
            <a:path>
              <a:moveTo>
                <a:pt x="0" y="6333"/>
              </a:moveTo>
              <a:lnTo>
                <a:pt x="1148356"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177150" y="1653819"/>
          <a:ext cx="1066366" cy="4284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F6DE2413-45CD-453B-A258-F22A53BBB241}" type="parTrans" cxnId="{A5666C79-BF01-4153-AB0A-BB16CAE1F135}">
      <dgm:prSet/>
      <dgm:spPr>
        <a:xfrm rot="2430467">
          <a:off x="2993917" y="1487217"/>
          <a:ext cx="556173" cy="12666"/>
        </a:xfrm>
        <a:custGeom>
          <a:avLst/>
          <a:gdLst/>
          <a:ahLst/>
          <a:cxnLst/>
          <a:rect l="0" t="0" r="0" b="0"/>
          <a:pathLst>
            <a:path>
              <a:moveTo>
                <a:pt x="0" y="6333"/>
              </a:moveTo>
              <a:lnTo>
                <a:pt x="59858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1806599" y="1701049"/>
          <a:ext cx="1320114" cy="4068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gm:t>
    </dgm:pt>
    <dgm:pt modelId="{52A69187-F965-4704-9C1A-29B2281F912F}" type="parTrans" cxnId="{BA0B21AC-350F-4DDA-A443-58447D95EEF1}">
      <dgm:prSet/>
      <dgm:spPr>
        <a:xfrm rot="7067139">
          <a:off x="2456762" y="1505610"/>
          <a:ext cx="433450" cy="12666"/>
        </a:xfrm>
        <a:custGeom>
          <a:avLst/>
          <a:gdLst/>
          <a:ahLst/>
          <a:cxnLst/>
          <a:rect l="0" t="0" r="0" b="0"/>
          <a:pathLst>
            <a:path>
              <a:moveTo>
                <a:pt x="0" y="6333"/>
              </a:moveTo>
              <a:lnTo>
                <a:pt x="468721"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456976" y="1559451"/>
          <a:ext cx="1372669" cy="4100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19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Communications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9616227">
          <a:off x="1554411" y="1438749"/>
          <a:ext cx="958896" cy="12666"/>
        </a:xfrm>
        <a:custGeom>
          <a:avLst/>
          <a:gdLst/>
          <a:ahLst/>
          <a:cxnLst/>
          <a:rect l="0" t="0" r="0" b="0"/>
          <a:pathLst>
            <a:path>
              <a:moveTo>
                <a:pt x="0" y="6333"/>
              </a:moveTo>
              <a:lnTo>
                <a:pt x="1001679"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03345" y="1059403"/>
          <a:ext cx="1182628" cy="4609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Executive Mgmt </a:t>
          </a:r>
        </a:p>
      </dgm:t>
    </dgm:pt>
    <dgm:pt modelId="{19A5BFAE-AE0D-4BC3-821E-ACDBC402E1F3}" type="parTrans" cxnId="{7A10D267-5114-47D3-9B72-BCDF70FFAB8C}">
      <dgm:prSet/>
      <dgm:spPr>
        <a:xfrm rot="10573551">
          <a:off x="1276600" y="1212205"/>
          <a:ext cx="999554" cy="12666"/>
        </a:xfrm>
        <a:custGeom>
          <a:avLst/>
          <a:gdLst/>
          <a:ahLst/>
          <a:cxnLst/>
          <a:rect l="0" t="0" r="0" b="0"/>
          <a:pathLst>
            <a:path>
              <a:moveTo>
                <a:pt x="0" y="6333"/>
              </a:moveTo>
              <a:lnTo>
                <a:pt x="1057724"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49719" y="131830"/>
          <a:ext cx="1109264" cy="4548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dgm:t>
    </dgm:pt>
    <dgm:pt modelId="{2C8D74EC-0F5E-4E72-B00E-305D37408E09}" type="parTrans" cxnId="{12DD7879-5DAB-453E-8626-CC034CCD481D}">
      <dgm:prSet/>
      <dgm:spPr>
        <a:xfrm rot="12993863">
          <a:off x="2002530" y="764387"/>
          <a:ext cx="713136" cy="12666"/>
        </a:xfrm>
        <a:custGeom>
          <a:avLst/>
          <a:gdLst/>
          <a:ahLst/>
          <a:cxnLst/>
          <a:rect l="0" t="0" r="0" b="0"/>
          <a:pathLst>
            <a:path>
              <a:moveTo>
                <a:pt x="0" y="6333"/>
              </a:moveTo>
              <a:lnTo>
                <a:pt x="75938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143557" y="481627"/>
          <a:ext cx="1334198" cy="5165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&amp; Resources Mgmt </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96F5D54-1A60-4750-86C5-C7C55223704E}" type="parTrans" cxnId="{5DAFA89F-4C50-49EC-868E-81320326A617}">
      <dgm:prSet/>
      <dgm:spPr>
        <a:xfrm rot="11471665">
          <a:off x="1395337" y="946215"/>
          <a:ext cx="979549" cy="12666"/>
        </a:xfrm>
        <a:custGeom>
          <a:avLst/>
          <a:gdLst/>
          <a:ahLst/>
          <a:cxnLst/>
          <a:rect l="0" t="0" r="0" b="0"/>
          <a:pathLst>
            <a:path>
              <a:moveTo>
                <a:pt x="0" y="6333"/>
              </a:moveTo>
              <a:lnTo>
                <a:pt x="1060003"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3110F8A9-A32E-44E7-AAE5-A9281BC11D7B}">
      <dgm:prSet phldrT="[Text]" custT="1"/>
      <dgm:spPr>
        <a:xfrm>
          <a:off x="3351129" y="121781"/>
          <a:ext cx="915035" cy="44558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EB3B77C7-59D8-43B0-9BA2-3E78FCCABCCC}" type="parTrans" cxnId="{DE06B915-0368-4A58-89A2-BA3A28BA167F}">
      <dgm:prSet/>
      <dgm:spPr>
        <a:xfrm rot="19176424">
          <a:off x="2979884" y="752874"/>
          <a:ext cx="682897" cy="12666"/>
        </a:xfrm>
        <a:custGeom>
          <a:avLst/>
          <a:gdLst/>
          <a:ahLst/>
          <a:cxnLst/>
          <a:rect l="0" t="0" r="0" b="0"/>
          <a:pathLst>
            <a:path>
              <a:moveTo>
                <a:pt x="0" y="6333"/>
              </a:moveTo>
              <a:lnTo>
                <a:pt x="753376"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223407A-018E-42E6-9FD5-98A2D63554C9}" type="sibTrans" cxnId="{DE06B915-0368-4A58-89A2-BA3A28BA167F}">
      <dgm:prSet/>
      <dgm:spPr/>
      <dgm:t>
        <a:bodyPr/>
        <a:lstStyle/>
        <a:p>
          <a:endParaRPr lang="en-US"/>
        </a:p>
      </dgm:t>
    </dgm:pt>
    <dgm:pt modelId="{9A4BDCAE-D9CA-400C-8B2D-68AB68A08E2A}">
      <dgm:prSet phldrT="[Text]" custT="1"/>
      <dgm:spPr>
        <a:xfrm>
          <a:off x="2423687" y="70806"/>
          <a:ext cx="898320" cy="4039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gm:t>
    </dgm:pt>
    <dgm:pt modelId="{D8ADEECF-D7D2-4E14-BB97-4FB081DAC71A}" type="sibTrans" cxnId="{A0D7B160-B2D6-4FF0-B898-61A69264BA8C}">
      <dgm:prSet/>
      <dgm:spPr/>
      <dgm:t>
        <a:bodyPr/>
        <a:lstStyle/>
        <a:p>
          <a:endParaRPr lang="en-US"/>
        </a:p>
      </dgm:t>
    </dgm:pt>
    <dgm:pt modelId="{E9A3E352-4E95-497B-A994-2D750C2A9509}" type="parTrans" cxnId="{A0D7B160-B2D6-4FF0-B898-61A69264BA8C}">
      <dgm:prSet/>
      <dgm:spPr>
        <a:xfrm rot="16227085">
          <a:off x="2621098" y="716581"/>
          <a:ext cx="496403" cy="12666"/>
        </a:xfrm>
        <a:custGeom>
          <a:avLst/>
          <a:gdLst/>
          <a:ahLst/>
          <a:cxnLst/>
          <a:rect l="0" t="0" r="0" b="0"/>
          <a:pathLst>
            <a:path>
              <a:moveTo>
                <a:pt x="0" y="6333"/>
              </a:moveTo>
              <a:lnTo>
                <a:pt x="534915" y="6333"/>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98958" custScaleY="86604" custLinFactNeighborX="-877" custLinFactNeighborY="230"/>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1"/>
      <dgm:spPr>
        <a:custGeom>
          <a:avLst/>
          <a:gdLst/>
          <a:ahLst/>
          <a:cxnLst/>
          <a:rect l="0" t="0" r="0" b="0"/>
          <a:pathLst>
            <a:path>
              <a:moveTo>
                <a:pt x="0" y="6333"/>
              </a:moveTo>
              <a:lnTo>
                <a:pt x="534915" y="6333"/>
              </a:lnTo>
            </a:path>
          </a:pathLst>
        </a:custGeom>
      </dgm:spPr>
      <dgm:t>
        <a:bodyPr/>
        <a:lstStyle/>
        <a:p>
          <a:endParaRPr lang="en-US"/>
        </a:p>
      </dgm:t>
    </dgm:pt>
    <dgm:pt modelId="{0C3245EA-B4A2-4A29-A94D-6F5271E8D13D}" type="pres">
      <dgm:prSet presAssocID="{E9A3E352-4E95-497B-A994-2D750C2A9509}" presName="connTx" presStyleLbl="parChTrans1D2" presStyleIdx="0" presStyleCnt="11"/>
      <dgm:spPr/>
      <dgm:t>
        <a:bodyPr/>
        <a:lstStyle/>
        <a:p>
          <a:endParaRPr lang="en-US"/>
        </a:p>
      </dgm:t>
    </dgm:pt>
    <dgm:pt modelId="{3EA08C86-6A87-4381-A9A9-F10D993E2D53}" type="pres">
      <dgm:prSet presAssocID="{9A4BDCAE-D9CA-400C-8B2D-68AB68A08E2A}" presName="node" presStyleLbl="node1" presStyleIdx="0" presStyleCnt="11" custScaleX="221578" custScaleY="99629" custRadScaleRad="92854" custRadScaleInc="-3842">
        <dgm:presLayoutVars>
          <dgm:bulletEnabled val="1"/>
        </dgm:presLayoutVars>
      </dgm:prSet>
      <dgm:spPr>
        <a:prstGeom prst="ellipse">
          <a:avLst/>
        </a:prstGeom>
      </dgm:spPr>
      <dgm:t>
        <a:bodyPr/>
        <a:lstStyle/>
        <a:p>
          <a:endParaRPr lang="en-US"/>
        </a:p>
      </dgm:t>
    </dgm:pt>
    <dgm:pt modelId="{3DC5E90A-495A-4818-A1D5-03E6AF30AA1D}" type="pres">
      <dgm:prSet presAssocID="{EB3B77C7-59D8-43B0-9BA2-3E78FCCABCCC}" presName="Name9" presStyleLbl="parChTrans1D2" presStyleIdx="1" presStyleCnt="11"/>
      <dgm:spPr>
        <a:custGeom>
          <a:avLst/>
          <a:gdLst/>
          <a:ahLst/>
          <a:cxnLst/>
          <a:rect l="0" t="0" r="0" b="0"/>
          <a:pathLst>
            <a:path>
              <a:moveTo>
                <a:pt x="0" y="6333"/>
              </a:moveTo>
              <a:lnTo>
                <a:pt x="753376" y="6333"/>
              </a:lnTo>
            </a:path>
          </a:pathLst>
        </a:custGeom>
      </dgm:spPr>
      <dgm:t>
        <a:bodyPr/>
        <a:lstStyle/>
        <a:p>
          <a:endParaRPr lang="en-US"/>
        </a:p>
      </dgm:t>
    </dgm:pt>
    <dgm:pt modelId="{3AE7EF91-FC65-4BEB-9007-70FE25DE1AD2}" type="pres">
      <dgm:prSet presAssocID="{EB3B77C7-59D8-43B0-9BA2-3E78FCCABCCC}" presName="connTx" presStyleLbl="parChTrans1D2" presStyleIdx="1" presStyleCnt="11"/>
      <dgm:spPr/>
      <dgm:t>
        <a:bodyPr/>
        <a:lstStyle/>
        <a:p>
          <a:endParaRPr lang="en-US"/>
        </a:p>
      </dgm:t>
    </dgm:pt>
    <dgm:pt modelId="{43DCCA43-33C0-4CEE-BAB5-C639F5D70563}" type="pres">
      <dgm:prSet presAssocID="{3110F8A9-A32E-44E7-AAE5-A9281BC11D7B}" presName="node" presStyleLbl="node1" presStyleIdx="1" presStyleCnt="11" custScaleX="225701" custScaleY="109908" custRadScaleRad="130525" custRadScaleInc="101045">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2" presStyleCnt="11"/>
      <dgm:spPr>
        <a:custGeom>
          <a:avLst/>
          <a:gdLst/>
          <a:ahLst/>
          <a:cxnLst/>
          <a:rect l="0" t="0" r="0" b="0"/>
          <a:pathLst>
            <a:path>
              <a:moveTo>
                <a:pt x="0" y="6333"/>
              </a:moveTo>
              <a:lnTo>
                <a:pt x="1024358" y="6333"/>
              </a:lnTo>
            </a:path>
          </a:pathLst>
        </a:custGeom>
      </dgm:spPr>
      <dgm:t>
        <a:bodyPr/>
        <a:lstStyle/>
        <a:p>
          <a:endParaRPr lang="en-US"/>
        </a:p>
      </dgm:t>
    </dgm:pt>
    <dgm:pt modelId="{E5E0F749-58A7-4B5D-B40F-552D5369ABEE}" type="pres">
      <dgm:prSet presAssocID="{1F889DAC-CE52-4F0F-B94D-85598619AB82}" presName="connTx" presStyleLbl="parChTrans1D2" presStyleIdx="2" presStyleCnt="11"/>
      <dgm:spPr/>
      <dgm:t>
        <a:bodyPr/>
        <a:lstStyle/>
        <a:p>
          <a:endParaRPr lang="en-US"/>
        </a:p>
      </dgm:t>
    </dgm:pt>
    <dgm:pt modelId="{A030EF9D-9337-4706-B87A-64BDE162520A}" type="pres">
      <dgm:prSet presAssocID="{94B19768-91E8-4E7A-A857-C8521D65AF24}" presName="node" presStyleLbl="node1" presStyleIdx="2" presStyleCnt="11" custScaleX="327402" custScaleY="123577" custRadScaleRad="208330" custRadScaleInc="62261">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3" presStyleCnt="11"/>
      <dgm:spPr>
        <a:custGeom>
          <a:avLst/>
          <a:gdLst/>
          <a:ahLst/>
          <a:cxnLst/>
          <a:rect l="0" t="0" r="0" b="0"/>
          <a:pathLst>
            <a:path>
              <a:moveTo>
                <a:pt x="0" y="6333"/>
              </a:moveTo>
              <a:lnTo>
                <a:pt x="1274989" y="6333"/>
              </a:lnTo>
            </a:path>
          </a:pathLst>
        </a:custGeom>
      </dgm:spPr>
      <dgm:t>
        <a:bodyPr/>
        <a:lstStyle/>
        <a:p>
          <a:endParaRPr lang="en-US"/>
        </a:p>
      </dgm:t>
    </dgm:pt>
    <dgm:pt modelId="{48B32C5A-7076-4480-B5CB-D9EFDA8D8FDB}" type="pres">
      <dgm:prSet presAssocID="{5BE92476-635C-4AE2-AD14-BF50BB0972EC}" presName="connTx" presStyleLbl="parChTrans1D2" presStyleIdx="3" presStyleCnt="11"/>
      <dgm:spPr/>
      <dgm:t>
        <a:bodyPr/>
        <a:lstStyle/>
        <a:p>
          <a:endParaRPr lang="en-US"/>
        </a:p>
      </dgm:t>
    </dgm:pt>
    <dgm:pt modelId="{423B6D89-2000-40C7-8429-BD38C7402395}" type="pres">
      <dgm:prSet presAssocID="{584F0456-7C88-4E15-A6D5-3DF2BDDC45F2}" presName="node" presStyleLbl="node1" presStyleIdx="3" presStyleCnt="11" custScaleX="243400" custScaleY="103377" custRadScaleRad="246903" custRadScaleInc="-44599">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4" presStyleCnt="11"/>
      <dgm:spPr>
        <a:custGeom>
          <a:avLst/>
          <a:gdLst/>
          <a:ahLst/>
          <a:cxnLst/>
          <a:rect l="0" t="0" r="0" b="0"/>
          <a:pathLst>
            <a:path>
              <a:moveTo>
                <a:pt x="0" y="6333"/>
              </a:moveTo>
              <a:lnTo>
                <a:pt x="1148356" y="6333"/>
              </a:lnTo>
            </a:path>
          </a:pathLst>
        </a:custGeom>
      </dgm:spPr>
      <dgm:t>
        <a:bodyPr/>
        <a:lstStyle/>
        <a:p>
          <a:endParaRPr lang="en-US"/>
        </a:p>
      </dgm:t>
    </dgm:pt>
    <dgm:pt modelId="{7FE108B5-F558-4942-A9EC-465F3C2E5813}" type="pres">
      <dgm:prSet presAssocID="{66F0DCEC-2B26-4038-AF1F-D0A98A0F7930}" presName="connTx" presStyleLbl="parChTrans1D2" presStyleIdx="4" presStyleCnt="11"/>
      <dgm:spPr/>
      <dgm:t>
        <a:bodyPr/>
        <a:lstStyle/>
        <a:p>
          <a:endParaRPr lang="en-US"/>
        </a:p>
      </dgm:t>
    </dgm:pt>
    <dgm:pt modelId="{6394B413-6D12-4C4F-9A8D-E0508CAE8617}" type="pres">
      <dgm:prSet presAssocID="{2EF75B39-F486-43BE-8B27-294595126005}" presName="node" presStyleLbl="node1" presStyleIdx="4" presStyleCnt="11" custScaleX="330285" custScaleY="104495" custRadScaleRad="218257" custRadScaleInc="-160655">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5" presStyleCnt="11"/>
      <dgm:spPr>
        <a:custGeom>
          <a:avLst/>
          <a:gdLst/>
          <a:ahLst/>
          <a:cxnLst/>
          <a:rect l="0" t="0" r="0" b="0"/>
          <a:pathLst>
            <a:path>
              <a:moveTo>
                <a:pt x="0" y="6333"/>
              </a:moveTo>
              <a:lnTo>
                <a:pt x="598583" y="6333"/>
              </a:lnTo>
            </a:path>
          </a:pathLst>
        </a:custGeom>
      </dgm:spPr>
      <dgm:t>
        <a:bodyPr/>
        <a:lstStyle/>
        <a:p>
          <a:endParaRPr lang="en-US"/>
        </a:p>
      </dgm:t>
    </dgm:pt>
    <dgm:pt modelId="{B0514361-30D3-4311-BC21-0743B7F01673}" type="pres">
      <dgm:prSet presAssocID="{F6DE2413-45CD-453B-A258-F22A53BBB241}" presName="connTx" presStyleLbl="parChTrans1D2" presStyleIdx="5" presStyleCnt="11"/>
      <dgm:spPr/>
      <dgm:t>
        <a:bodyPr/>
        <a:lstStyle/>
        <a:p>
          <a:endParaRPr lang="en-US"/>
        </a:p>
      </dgm:t>
    </dgm:pt>
    <dgm:pt modelId="{2ED32773-10C9-4671-A0BF-4C0DAB40AE25}" type="pres">
      <dgm:prSet presAssocID="{4761FE57-664D-44AD-8EF1-E6096D64297F}" presName="node" presStyleLbl="node1" presStyleIdx="5" presStyleCnt="11" custScaleX="263028" custScaleY="105670" custRadScaleRad="117551" custRadScaleInc="-198017">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6" presStyleCnt="11"/>
      <dgm:spPr>
        <a:custGeom>
          <a:avLst/>
          <a:gdLst/>
          <a:ahLst/>
          <a:cxnLst/>
          <a:rect l="0" t="0" r="0" b="0"/>
          <a:pathLst>
            <a:path>
              <a:moveTo>
                <a:pt x="0" y="6333"/>
              </a:moveTo>
              <a:lnTo>
                <a:pt x="468721" y="6333"/>
              </a:lnTo>
            </a:path>
          </a:pathLst>
        </a:custGeom>
      </dgm:spPr>
      <dgm:t>
        <a:bodyPr/>
        <a:lstStyle/>
        <a:p>
          <a:endParaRPr lang="en-US"/>
        </a:p>
      </dgm:t>
    </dgm:pt>
    <dgm:pt modelId="{E01163DA-75CF-4C32-B81E-41BBCCC937B3}" type="pres">
      <dgm:prSet presAssocID="{52A69187-F965-4704-9C1A-29B2281F912F}" presName="connTx" presStyleLbl="parChTrans1D2" presStyleIdx="6" presStyleCnt="11"/>
      <dgm:spPr/>
      <dgm:t>
        <a:bodyPr/>
        <a:lstStyle/>
        <a:p>
          <a:endParaRPr lang="en-US"/>
        </a:p>
      </dgm:t>
    </dgm:pt>
    <dgm:pt modelId="{F74F2681-A109-4B75-8C08-B2B26769CF03}" type="pres">
      <dgm:prSet presAssocID="{576E161B-59E2-4177-8320-584EBC426979}" presName="node" presStyleLbl="node1" presStyleIdx="6" presStyleCnt="11" custScaleX="325617" custScaleY="100352" custRadScaleRad="92693" custRadScaleInc="74853">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7" presStyleCnt="11"/>
      <dgm:spPr>
        <a:custGeom>
          <a:avLst/>
          <a:gdLst/>
          <a:ahLst/>
          <a:cxnLst/>
          <a:rect l="0" t="0" r="0" b="0"/>
          <a:pathLst>
            <a:path>
              <a:moveTo>
                <a:pt x="0" y="6333"/>
              </a:moveTo>
              <a:lnTo>
                <a:pt x="1001679" y="6333"/>
              </a:lnTo>
            </a:path>
          </a:pathLst>
        </a:custGeom>
      </dgm:spPr>
      <dgm:t>
        <a:bodyPr/>
        <a:lstStyle/>
        <a:p>
          <a:endParaRPr lang="en-US"/>
        </a:p>
      </dgm:t>
    </dgm:pt>
    <dgm:pt modelId="{C620A703-6BE9-4C0F-B737-266F7434DAB4}" type="pres">
      <dgm:prSet presAssocID="{D6278D4F-93AB-42D0-B837-2B99BC1EE808}" presName="connTx" presStyleLbl="parChTrans1D2" presStyleIdx="7" presStyleCnt="11"/>
      <dgm:spPr/>
      <dgm:t>
        <a:bodyPr/>
        <a:lstStyle/>
        <a:p>
          <a:endParaRPr lang="en-US"/>
        </a:p>
      </dgm:t>
    </dgm:pt>
    <dgm:pt modelId="{05C48364-E63B-4056-87CF-0BE50D74190B}" type="pres">
      <dgm:prSet presAssocID="{CEEBDBB9-7602-49B1-BBEB-80C6D1238598}" presName="node" presStyleLbl="node1" presStyleIdx="7" presStyleCnt="11" custScaleX="338580" custScaleY="101136" custRadScaleRad="197209" custRadScaleInc="129713">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8" presStyleCnt="11"/>
      <dgm:spPr>
        <a:custGeom>
          <a:avLst/>
          <a:gdLst/>
          <a:ahLst/>
          <a:cxnLst/>
          <a:rect l="0" t="0" r="0" b="0"/>
          <a:pathLst>
            <a:path>
              <a:moveTo>
                <a:pt x="0" y="6333"/>
              </a:moveTo>
              <a:lnTo>
                <a:pt x="1057724" y="6333"/>
              </a:lnTo>
            </a:path>
          </a:pathLst>
        </a:custGeom>
      </dgm:spPr>
      <dgm:t>
        <a:bodyPr/>
        <a:lstStyle/>
        <a:p>
          <a:endParaRPr lang="en-US"/>
        </a:p>
      </dgm:t>
    </dgm:pt>
    <dgm:pt modelId="{2261EECA-A4AA-4C81-9B4D-3893A28ED758}" type="pres">
      <dgm:prSet presAssocID="{19A5BFAE-AE0D-4BC3-821E-ACDBC402E1F3}" presName="connTx" presStyleLbl="parChTrans1D2" presStyleIdx="8" presStyleCnt="11"/>
      <dgm:spPr/>
      <dgm:t>
        <a:bodyPr/>
        <a:lstStyle/>
        <a:p>
          <a:endParaRPr lang="en-US"/>
        </a:p>
      </dgm:t>
    </dgm:pt>
    <dgm:pt modelId="{CFBB929F-8BEB-442D-8D00-28EE1C02C39C}" type="pres">
      <dgm:prSet presAssocID="{61905482-A221-41E9-B64F-E0DDCF7406CB}" presName="node" presStyleLbl="node1" presStyleIdx="8" presStyleCnt="11" custScaleX="291705" custScaleY="113706" custRadScaleRad="234120" custRadScaleInc="26422">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9" presStyleCnt="11"/>
      <dgm:spPr>
        <a:custGeom>
          <a:avLst/>
          <a:gdLst/>
          <a:ahLst/>
          <a:cxnLst/>
          <a:rect l="0" t="0" r="0" b="0"/>
          <a:pathLst>
            <a:path>
              <a:moveTo>
                <a:pt x="0" y="6333"/>
              </a:moveTo>
              <a:lnTo>
                <a:pt x="1060003" y="6333"/>
              </a:lnTo>
            </a:path>
          </a:pathLst>
        </a:custGeom>
      </dgm:spPr>
      <dgm:t>
        <a:bodyPr/>
        <a:lstStyle/>
        <a:p>
          <a:endParaRPr lang="en-US"/>
        </a:p>
      </dgm:t>
    </dgm:pt>
    <dgm:pt modelId="{0DC7814B-4209-4BC4-A177-2102084D3CE1}" type="pres">
      <dgm:prSet presAssocID="{B96F5D54-1A60-4750-86C5-C7C55223704E}" presName="connTx" presStyleLbl="parChTrans1D2" presStyleIdx="9" presStyleCnt="11"/>
      <dgm:spPr/>
      <dgm:t>
        <a:bodyPr/>
        <a:lstStyle/>
        <a:p>
          <a:endParaRPr lang="en-US"/>
        </a:p>
      </dgm:t>
    </dgm:pt>
    <dgm:pt modelId="{77FEFA40-E907-476F-8675-3DC698720930}" type="pres">
      <dgm:prSet presAssocID="{8EC353A6-4F6A-4502-96F3-6C0A4C1DAA96}" presName="node" presStyleLbl="node1" presStyleIdx="9" presStyleCnt="11" custScaleX="329091" custScaleY="127415" custRadScaleRad="225339" custRadScaleInc="-82820">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10" presStyleCnt="11"/>
      <dgm:spPr>
        <a:custGeom>
          <a:avLst/>
          <a:gdLst/>
          <a:ahLst/>
          <a:cxnLst/>
          <a:rect l="0" t="0" r="0" b="0"/>
          <a:pathLst>
            <a:path>
              <a:moveTo>
                <a:pt x="0" y="6333"/>
              </a:moveTo>
              <a:lnTo>
                <a:pt x="759383" y="6333"/>
              </a:lnTo>
            </a:path>
          </a:pathLst>
        </a:custGeom>
      </dgm:spPr>
      <dgm:t>
        <a:bodyPr/>
        <a:lstStyle/>
        <a:p>
          <a:endParaRPr lang="en-US"/>
        </a:p>
      </dgm:t>
    </dgm:pt>
    <dgm:pt modelId="{4E2AD2D6-918F-4857-8567-9FCA82A4E2B0}" type="pres">
      <dgm:prSet presAssocID="{2C8D74EC-0F5E-4E72-B00E-305D37408E09}" presName="connTx" presStyleLbl="parChTrans1D2" presStyleIdx="10" presStyleCnt="11"/>
      <dgm:spPr/>
      <dgm:t>
        <a:bodyPr/>
        <a:lstStyle/>
        <a:p>
          <a:endParaRPr lang="en-US"/>
        </a:p>
      </dgm:t>
    </dgm:pt>
    <dgm:pt modelId="{C8187693-0532-46C7-A6F3-C4A32348C87B}" type="pres">
      <dgm:prSet presAssocID="{39DF5EDE-47C5-44AA-84A0-610EE4D8EEAF}" presName="node" presStyleLbl="node1" presStyleIdx="10" presStyleCnt="11" custScaleX="273609" custScaleY="112197" custRadScaleRad="142268" custRadScaleInc="-130032">
        <dgm:presLayoutVars>
          <dgm:bulletEnabled val="1"/>
        </dgm:presLayoutVars>
      </dgm:prSet>
      <dgm:spPr>
        <a:prstGeom prst="ellipse">
          <a:avLst/>
        </a:prstGeom>
      </dgm:spPr>
      <dgm:t>
        <a:bodyPr/>
        <a:lstStyle/>
        <a:p>
          <a:endParaRPr lang="en-US"/>
        </a:p>
      </dgm:t>
    </dgm:pt>
  </dgm:ptLst>
  <dgm:cxnLst>
    <dgm:cxn modelId="{40939190-2B27-4EFB-8A09-5D472F9B1910}" type="presOf" srcId="{8EC353A6-4F6A-4502-96F3-6C0A4C1DAA96}" destId="{77FEFA40-E907-476F-8675-3DC698720930}" srcOrd="0" destOrd="0" presId="urn:microsoft.com/office/officeart/2005/8/layout/radial1"/>
    <dgm:cxn modelId="{DE06B915-0368-4A58-89A2-BA3A28BA167F}" srcId="{60F584FC-F7FF-4FD7-86E3-8773293C0460}" destId="{3110F8A9-A32E-44E7-AAE5-A9281BC11D7B}" srcOrd="1" destOrd="0" parTransId="{EB3B77C7-59D8-43B0-9BA2-3E78FCCABCCC}" sibTransId="{7223407A-018E-42E6-9FD5-98A2D63554C9}"/>
    <dgm:cxn modelId="{E719C6E7-4776-4FC2-9ECD-F0D273135B37}" srcId="{60F584FC-F7FF-4FD7-86E3-8773293C0460}" destId="{94B19768-91E8-4E7A-A857-C8521D65AF24}" srcOrd="2" destOrd="0" parTransId="{1F889DAC-CE52-4F0F-B94D-85598619AB82}" sibTransId="{174FD7F3-8467-46EB-ACD9-4B0EA7D3C4BA}"/>
    <dgm:cxn modelId="{665CD47C-1E25-4268-9158-84DEA83B444E}" type="presOf" srcId="{B96F5D54-1A60-4750-86C5-C7C55223704E}" destId="{C494819C-C98E-47AA-9AF0-D23BA2FEB24F}" srcOrd="0" destOrd="0" presId="urn:microsoft.com/office/officeart/2005/8/layout/radial1"/>
    <dgm:cxn modelId="{D4905AA6-7A6C-491D-AA2A-5C9ED75E6821}" type="presOf" srcId="{9A4BDCAE-D9CA-400C-8B2D-68AB68A08E2A}" destId="{3EA08C86-6A87-4381-A9A9-F10D993E2D53}" srcOrd="0" destOrd="0" presId="urn:microsoft.com/office/officeart/2005/8/layout/radial1"/>
    <dgm:cxn modelId="{4B9E2207-3946-4744-AFF6-F6BD639C946A}" type="presOf" srcId="{576E161B-59E2-4177-8320-584EBC426979}" destId="{F74F2681-A109-4B75-8C08-B2B26769CF03}" srcOrd="0" destOrd="0" presId="urn:microsoft.com/office/officeart/2005/8/layout/radial1"/>
    <dgm:cxn modelId="{87EC57B4-A2C0-45DE-807F-779E1344847C}" type="presOf" srcId="{B96F5D54-1A60-4750-86C5-C7C55223704E}" destId="{0DC7814B-4209-4BC4-A177-2102084D3CE1}" srcOrd="1" destOrd="0" presId="urn:microsoft.com/office/officeart/2005/8/layout/radial1"/>
    <dgm:cxn modelId="{12DD7879-5DAB-453E-8626-CC034CCD481D}" srcId="{60F584FC-F7FF-4FD7-86E3-8773293C0460}" destId="{39DF5EDE-47C5-44AA-84A0-610EE4D8EEAF}" srcOrd="10" destOrd="0" parTransId="{2C8D74EC-0F5E-4E72-B00E-305D37408E09}" sibTransId="{7B460AF1-5C69-4760-9FBE-539FD0921E3A}"/>
    <dgm:cxn modelId="{7E9C1D03-193C-41AE-90AA-A0D3E540B1ED}" type="presOf" srcId="{3E4183EF-B989-4620-A02C-D54686D6628F}" destId="{4FC73BDC-CE2C-45F4-85CD-F387963DA006}" srcOrd="0" destOrd="0" presId="urn:microsoft.com/office/officeart/2005/8/layout/radial1"/>
    <dgm:cxn modelId="{2AD790C5-4D54-41D3-8586-3F632FBBCDF2}" type="presOf" srcId="{EB3B77C7-59D8-43B0-9BA2-3E78FCCABCCC}" destId="{3DC5E90A-495A-4818-A1D5-03E6AF30AA1D}" srcOrd="0" destOrd="0" presId="urn:microsoft.com/office/officeart/2005/8/layout/radial1"/>
    <dgm:cxn modelId="{7BF0ADDE-CED9-4393-BAA3-5338FBCDD764}" type="presOf" srcId="{4761FE57-664D-44AD-8EF1-E6096D64297F}" destId="{2ED32773-10C9-4671-A0BF-4C0DAB40AE25}" srcOrd="0" destOrd="0" presId="urn:microsoft.com/office/officeart/2005/8/layout/radial1"/>
    <dgm:cxn modelId="{EDAF6A78-3CEA-408E-890B-F6007533A202}" type="presOf" srcId="{52A69187-F965-4704-9C1A-29B2281F912F}" destId="{E01163DA-75CF-4C32-B81E-41BBCCC937B3}" srcOrd="1" destOrd="0" presId="urn:microsoft.com/office/officeart/2005/8/layout/radial1"/>
    <dgm:cxn modelId="{6C6F1118-6F77-4ABE-A77E-B7178ACB7238}" type="presOf" srcId="{CEEBDBB9-7602-49B1-BBEB-80C6D1238598}" destId="{05C48364-E63B-4056-87CF-0BE50D74190B}" srcOrd="0" destOrd="0" presId="urn:microsoft.com/office/officeart/2005/8/layout/radial1"/>
    <dgm:cxn modelId="{26CFBA07-33A7-4B14-84C1-4384F281FBAC}" type="presOf" srcId="{5BE92476-635C-4AE2-AD14-BF50BB0972EC}" destId="{00112A8F-12E8-45AC-B551-DFB66BE45059}" srcOrd="0" destOrd="0" presId="urn:microsoft.com/office/officeart/2005/8/layout/radial1"/>
    <dgm:cxn modelId="{A8B523A4-CBE7-4CE4-841D-C47E4D31C9DF}" type="presOf" srcId="{2EF75B39-F486-43BE-8B27-294595126005}" destId="{6394B413-6D12-4C4F-9A8D-E0508CAE8617}" srcOrd="0" destOrd="0" presId="urn:microsoft.com/office/officeart/2005/8/layout/radial1"/>
    <dgm:cxn modelId="{7A10D267-5114-47D3-9B72-BCDF70FFAB8C}" srcId="{60F584FC-F7FF-4FD7-86E3-8773293C0460}" destId="{61905482-A221-41E9-B64F-E0DDCF7406CB}" srcOrd="8" destOrd="0" parTransId="{19A5BFAE-AE0D-4BC3-821E-ACDBC402E1F3}" sibTransId="{41B3C576-1467-4E2A-8F61-40CA47AE2A73}"/>
    <dgm:cxn modelId="{984CAC95-711B-4F6B-ACDA-D34D653F7DB9}" type="presOf" srcId="{3110F8A9-A32E-44E7-AAE5-A9281BC11D7B}" destId="{43DCCA43-33C0-4CEE-BAB5-C639F5D70563}" srcOrd="0" destOrd="0" presId="urn:microsoft.com/office/officeart/2005/8/layout/radial1"/>
    <dgm:cxn modelId="{081218CB-8B06-49B9-9857-C43FE1DD0D4B}" type="presOf" srcId="{E9A3E352-4E95-497B-A994-2D750C2A9509}" destId="{E887F142-3B93-49E1-A09D-1DCD207D21D1}" srcOrd="0" destOrd="0" presId="urn:microsoft.com/office/officeart/2005/8/layout/radial1"/>
    <dgm:cxn modelId="{6989F7B3-BDE8-48FA-B92E-5D60EDC2980C}" type="presOf" srcId="{D6278D4F-93AB-42D0-B837-2B99BC1EE808}" destId="{C620A703-6BE9-4C0F-B737-266F7434DAB4}" srcOrd="1" destOrd="0" presId="urn:microsoft.com/office/officeart/2005/8/layout/radial1"/>
    <dgm:cxn modelId="{BA0B21AC-350F-4DDA-A443-58447D95EEF1}" srcId="{60F584FC-F7FF-4FD7-86E3-8773293C0460}" destId="{576E161B-59E2-4177-8320-584EBC426979}" srcOrd="6" destOrd="0" parTransId="{52A69187-F965-4704-9C1A-29B2281F912F}" sibTransId="{E9F92651-5262-450E-9258-F1F8976476A8}"/>
    <dgm:cxn modelId="{2069FFE3-DF38-402F-8A4B-1773A9D38A31}" type="presOf" srcId="{61905482-A221-41E9-B64F-E0DDCF7406CB}" destId="{CFBB929F-8BEB-442D-8D00-28EE1C02C39C}" srcOrd="0" destOrd="0" presId="urn:microsoft.com/office/officeart/2005/8/layout/radial1"/>
    <dgm:cxn modelId="{646A10A1-8008-42A2-846C-90C3AA0B958B}" type="presOf" srcId="{D6278D4F-93AB-42D0-B837-2B99BC1EE808}" destId="{AC7E3352-64BC-4978-9AB6-2DD833483239}" srcOrd="0" destOrd="0" presId="urn:microsoft.com/office/officeart/2005/8/layout/radial1"/>
    <dgm:cxn modelId="{D95C8F90-209B-4FBE-AEA9-A302C7AF08F2}" type="presOf" srcId="{1F889DAC-CE52-4F0F-B94D-85598619AB82}" destId="{72463A3F-A956-4917-8722-9FD79FB3E09A}" srcOrd="0" destOrd="0" presId="urn:microsoft.com/office/officeart/2005/8/layout/radial1"/>
    <dgm:cxn modelId="{CADA0106-E271-412E-8AAA-E46CFFDDB3BE}" type="presOf" srcId="{66F0DCEC-2B26-4038-AF1F-D0A98A0F7930}" destId="{7FE108B5-F558-4942-A9EC-465F3C2E5813}" srcOrd="1" destOrd="0" presId="urn:microsoft.com/office/officeart/2005/8/layout/radial1"/>
    <dgm:cxn modelId="{3FA6727B-0D00-4BDC-BDB8-B885E1CA9417}" type="presOf" srcId="{19A5BFAE-AE0D-4BC3-821E-ACDBC402E1F3}" destId="{2261EECA-A4AA-4C81-9B4D-3893A28ED758}" srcOrd="1" destOrd="0" presId="urn:microsoft.com/office/officeart/2005/8/layout/radial1"/>
    <dgm:cxn modelId="{E9FA7BCE-A78B-475C-ABF0-2BD32B1DB985}" type="presOf" srcId="{E9A3E352-4E95-497B-A994-2D750C2A9509}" destId="{0C3245EA-B4A2-4A29-A94D-6F5271E8D13D}" srcOrd="1" destOrd="0" presId="urn:microsoft.com/office/officeart/2005/8/layout/radial1"/>
    <dgm:cxn modelId="{4ED9B492-B579-41D8-AA15-D6F966E50135}" type="presOf" srcId="{2C8D74EC-0F5E-4E72-B00E-305D37408E09}" destId="{EF98737B-1136-4CD3-A0AC-E4FF8E58DD83}" srcOrd="0" destOrd="0" presId="urn:microsoft.com/office/officeart/2005/8/layout/radial1"/>
    <dgm:cxn modelId="{4F8B60C5-BAA3-4DE8-A211-602B6B00ACB3}" type="presOf" srcId="{F6DE2413-45CD-453B-A258-F22A53BBB241}" destId="{DEF09AAB-E09E-4486-8914-E37D47E60824}"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59AB9D19-BC6E-465E-ADB6-4F6226F2404B}" type="presOf" srcId="{584F0456-7C88-4E15-A6D5-3DF2BDDC45F2}" destId="{423B6D89-2000-40C7-8429-BD38C7402395}" srcOrd="0" destOrd="0" presId="urn:microsoft.com/office/officeart/2005/8/layout/radial1"/>
    <dgm:cxn modelId="{94912CD5-2124-45E3-A36D-DAC845EA8E2C}" type="presOf" srcId="{5BE92476-635C-4AE2-AD14-BF50BB0972EC}" destId="{48B32C5A-7076-4480-B5CB-D9EFDA8D8FDB}" srcOrd="1" destOrd="0" presId="urn:microsoft.com/office/officeart/2005/8/layout/radial1"/>
    <dgm:cxn modelId="{0E7335E7-8B36-4446-B2DA-7A41CDD354B1}" type="presOf" srcId="{60F584FC-F7FF-4FD7-86E3-8773293C0460}" destId="{3C7CADF7-0742-432E-9EEF-EA9C347A7661}" srcOrd="0" destOrd="0" presId="urn:microsoft.com/office/officeart/2005/8/layout/radial1"/>
    <dgm:cxn modelId="{44EB880B-7660-4CF0-97E5-4E577ACA821D}" srcId="{60F584FC-F7FF-4FD7-86E3-8773293C0460}" destId="{584F0456-7C88-4E15-A6D5-3DF2BDDC45F2}" srcOrd="3" destOrd="0" parTransId="{5BE92476-635C-4AE2-AD14-BF50BB0972EC}" sibTransId="{3EF0F88F-A3C1-4CFC-8CDA-621CE91394E1}"/>
    <dgm:cxn modelId="{A0D7B160-B2D6-4FF0-B898-61A69264BA8C}" srcId="{60F584FC-F7FF-4FD7-86E3-8773293C0460}" destId="{9A4BDCAE-D9CA-400C-8B2D-68AB68A08E2A}" srcOrd="0" destOrd="0" parTransId="{E9A3E352-4E95-497B-A994-2D750C2A9509}" sibTransId="{D8ADEECF-D7D2-4E14-BB97-4FB081DAC71A}"/>
    <dgm:cxn modelId="{5DAFA89F-4C50-49EC-868E-81320326A617}" srcId="{60F584FC-F7FF-4FD7-86E3-8773293C0460}" destId="{8EC353A6-4F6A-4502-96F3-6C0A4C1DAA96}" srcOrd="9" destOrd="0" parTransId="{B96F5D54-1A60-4750-86C5-C7C55223704E}" sibTransId="{1F43BDEE-CFCB-4DD6-B860-72E17A3E4431}"/>
    <dgm:cxn modelId="{6A60FA25-90C1-4DB8-A25D-1465FF324D57}" type="presOf" srcId="{2C8D74EC-0F5E-4E72-B00E-305D37408E09}" destId="{4E2AD2D6-918F-4857-8567-9FCA82A4E2B0}" srcOrd="1" destOrd="0" presId="urn:microsoft.com/office/officeart/2005/8/layout/radial1"/>
    <dgm:cxn modelId="{D0987D88-807B-4994-94E2-80A6C1D9AE52}" srcId="{60F584FC-F7FF-4FD7-86E3-8773293C0460}" destId="{2EF75B39-F486-43BE-8B27-294595126005}" srcOrd="4" destOrd="0" parTransId="{66F0DCEC-2B26-4038-AF1F-D0A98A0F7930}" sibTransId="{A29EC13D-3B1F-4904-8025-5B38BEEF3183}"/>
    <dgm:cxn modelId="{D4C1BC69-C745-405B-9248-C6E8862DD509}" srcId="{60F584FC-F7FF-4FD7-86E3-8773293C0460}" destId="{CEEBDBB9-7602-49B1-BBEB-80C6D1238598}" srcOrd="7" destOrd="0" parTransId="{D6278D4F-93AB-42D0-B837-2B99BC1EE808}" sibTransId="{3F7B98CE-94D6-4D7D-8314-AFA01590058A}"/>
    <dgm:cxn modelId="{FFF1DAF2-DECD-4CAD-9C81-978AC1A21EBE}" type="presOf" srcId="{66F0DCEC-2B26-4038-AF1F-D0A98A0F7930}" destId="{650854B0-9FE7-4FFD-96B2-18F6452E0859}" srcOrd="0" destOrd="0" presId="urn:microsoft.com/office/officeart/2005/8/layout/radial1"/>
    <dgm:cxn modelId="{E9ADAB59-2B08-4B23-9BF8-C5069148994F}" type="presOf" srcId="{1F889DAC-CE52-4F0F-B94D-85598619AB82}" destId="{E5E0F749-58A7-4B5D-B40F-552D5369ABEE}" srcOrd="1" destOrd="0" presId="urn:microsoft.com/office/officeart/2005/8/layout/radial1"/>
    <dgm:cxn modelId="{1A46576B-5B9A-4DE5-8BE1-086637C270F7}" type="presOf" srcId="{F6DE2413-45CD-453B-A258-F22A53BBB241}" destId="{B0514361-30D3-4311-BC21-0743B7F01673}" srcOrd="1" destOrd="0" presId="urn:microsoft.com/office/officeart/2005/8/layout/radial1"/>
    <dgm:cxn modelId="{E34DA6D0-853B-4A1B-AA64-9478FD35E955}" type="presOf" srcId="{EB3B77C7-59D8-43B0-9BA2-3E78FCCABCCC}" destId="{3AE7EF91-FC65-4BEB-9007-70FE25DE1AD2}" srcOrd="1" destOrd="0" presId="urn:microsoft.com/office/officeart/2005/8/layout/radial1"/>
    <dgm:cxn modelId="{2D7BA55A-D2F2-448B-960C-9BE827A0CCD8}" type="presOf" srcId="{39DF5EDE-47C5-44AA-84A0-610EE4D8EEAF}" destId="{C8187693-0532-46C7-A6F3-C4A32348C87B}" srcOrd="0" destOrd="0" presId="urn:microsoft.com/office/officeart/2005/8/layout/radial1"/>
    <dgm:cxn modelId="{1386F0BE-ADEC-41B7-83BF-1BD5D8B9BC3D}" type="presOf" srcId="{52A69187-F965-4704-9C1A-29B2281F912F}" destId="{EAF47FDD-7D57-4FF6-9F6B-6E604D2CC0DE}" srcOrd="0" destOrd="0" presId="urn:microsoft.com/office/officeart/2005/8/layout/radial1"/>
    <dgm:cxn modelId="{215AD99A-8018-4D8C-B6EE-C650415489B2}" type="presOf" srcId="{19A5BFAE-AE0D-4BC3-821E-ACDBC402E1F3}" destId="{06FD983D-3F71-4BCE-AD7F-6DD1041A2F23}" srcOrd="0" destOrd="0" presId="urn:microsoft.com/office/officeart/2005/8/layout/radial1"/>
    <dgm:cxn modelId="{A5666C79-BF01-4153-AB0A-BB16CAE1F135}" srcId="{60F584FC-F7FF-4FD7-86E3-8773293C0460}" destId="{4761FE57-664D-44AD-8EF1-E6096D64297F}" srcOrd="5" destOrd="0" parTransId="{F6DE2413-45CD-453B-A258-F22A53BBB241}" sibTransId="{288511AC-ECAB-47A8-A0B0-D7AAFEE02A39}"/>
    <dgm:cxn modelId="{0D9E2B69-29BA-42CB-A67B-39C31FEFFF65}" type="presOf" srcId="{94B19768-91E8-4E7A-A857-C8521D65AF24}" destId="{A030EF9D-9337-4706-B87A-64BDE162520A}" srcOrd="0" destOrd="0" presId="urn:microsoft.com/office/officeart/2005/8/layout/radial1"/>
    <dgm:cxn modelId="{C3983E82-E948-468F-A9A0-8D4C9F695A54}" type="presParOf" srcId="{4FC73BDC-CE2C-45F4-85CD-F387963DA006}" destId="{3C7CADF7-0742-432E-9EEF-EA9C347A7661}" srcOrd="0" destOrd="0" presId="urn:microsoft.com/office/officeart/2005/8/layout/radial1"/>
    <dgm:cxn modelId="{471F3D93-FBB8-4275-824F-D550B9E76A48}" type="presParOf" srcId="{4FC73BDC-CE2C-45F4-85CD-F387963DA006}" destId="{E887F142-3B93-49E1-A09D-1DCD207D21D1}" srcOrd="1" destOrd="0" presId="urn:microsoft.com/office/officeart/2005/8/layout/radial1"/>
    <dgm:cxn modelId="{99F63968-5CA5-4A1D-BF36-90748302540D}" type="presParOf" srcId="{E887F142-3B93-49E1-A09D-1DCD207D21D1}" destId="{0C3245EA-B4A2-4A29-A94D-6F5271E8D13D}" srcOrd="0" destOrd="0" presId="urn:microsoft.com/office/officeart/2005/8/layout/radial1"/>
    <dgm:cxn modelId="{CCF439BC-8E03-4583-8F67-A402A952F7F0}" type="presParOf" srcId="{4FC73BDC-CE2C-45F4-85CD-F387963DA006}" destId="{3EA08C86-6A87-4381-A9A9-F10D993E2D53}" srcOrd="2" destOrd="0" presId="urn:microsoft.com/office/officeart/2005/8/layout/radial1"/>
    <dgm:cxn modelId="{BBCD52C6-6C56-400E-A478-5850D7D57809}" type="presParOf" srcId="{4FC73BDC-CE2C-45F4-85CD-F387963DA006}" destId="{3DC5E90A-495A-4818-A1D5-03E6AF30AA1D}" srcOrd="3" destOrd="0" presId="urn:microsoft.com/office/officeart/2005/8/layout/radial1"/>
    <dgm:cxn modelId="{2E84EE88-6190-40B4-862F-021976EF039C}" type="presParOf" srcId="{3DC5E90A-495A-4818-A1D5-03E6AF30AA1D}" destId="{3AE7EF91-FC65-4BEB-9007-70FE25DE1AD2}" srcOrd="0" destOrd="0" presId="urn:microsoft.com/office/officeart/2005/8/layout/radial1"/>
    <dgm:cxn modelId="{69E8ED49-2D2E-458E-A147-FEB81B95C784}" type="presParOf" srcId="{4FC73BDC-CE2C-45F4-85CD-F387963DA006}" destId="{43DCCA43-33C0-4CEE-BAB5-C639F5D70563}" srcOrd="4" destOrd="0" presId="urn:microsoft.com/office/officeart/2005/8/layout/radial1"/>
    <dgm:cxn modelId="{7366B08C-B79A-42D4-9564-1406998011D2}" type="presParOf" srcId="{4FC73BDC-CE2C-45F4-85CD-F387963DA006}" destId="{72463A3F-A956-4917-8722-9FD79FB3E09A}" srcOrd="5" destOrd="0" presId="urn:microsoft.com/office/officeart/2005/8/layout/radial1"/>
    <dgm:cxn modelId="{48C60BF4-FA68-4DF6-B9C0-358C884B13E0}" type="presParOf" srcId="{72463A3F-A956-4917-8722-9FD79FB3E09A}" destId="{E5E0F749-58A7-4B5D-B40F-552D5369ABEE}" srcOrd="0" destOrd="0" presId="urn:microsoft.com/office/officeart/2005/8/layout/radial1"/>
    <dgm:cxn modelId="{6C8E003D-CF7B-4999-B96D-0A176E941179}" type="presParOf" srcId="{4FC73BDC-CE2C-45F4-85CD-F387963DA006}" destId="{A030EF9D-9337-4706-B87A-64BDE162520A}" srcOrd="6" destOrd="0" presId="urn:microsoft.com/office/officeart/2005/8/layout/radial1"/>
    <dgm:cxn modelId="{3E00262D-A88A-44A6-904B-934D3E22D501}" type="presParOf" srcId="{4FC73BDC-CE2C-45F4-85CD-F387963DA006}" destId="{00112A8F-12E8-45AC-B551-DFB66BE45059}" srcOrd="7" destOrd="0" presId="urn:microsoft.com/office/officeart/2005/8/layout/radial1"/>
    <dgm:cxn modelId="{61CCE0EE-D588-4F7B-90EE-6054A3A718FC}" type="presParOf" srcId="{00112A8F-12E8-45AC-B551-DFB66BE45059}" destId="{48B32C5A-7076-4480-B5CB-D9EFDA8D8FDB}" srcOrd="0" destOrd="0" presId="urn:microsoft.com/office/officeart/2005/8/layout/radial1"/>
    <dgm:cxn modelId="{33BCF6A3-ED72-48E5-AD15-F12B3BE54EF0}" type="presParOf" srcId="{4FC73BDC-CE2C-45F4-85CD-F387963DA006}" destId="{423B6D89-2000-40C7-8429-BD38C7402395}" srcOrd="8" destOrd="0" presId="urn:microsoft.com/office/officeart/2005/8/layout/radial1"/>
    <dgm:cxn modelId="{7FBE8D2E-3FDD-4312-9CC0-DF9A3BFCAC63}" type="presParOf" srcId="{4FC73BDC-CE2C-45F4-85CD-F387963DA006}" destId="{650854B0-9FE7-4FFD-96B2-18F6452E0859}" srcOrd="9" destOrd="0" presId="urn:microsoft.com/office/officeart/2005/8/layout/radial1"/>
    <dgm:cxn modelId="{E399BEE6-D9FF-47FF-A8A1-ECD5BF36C183}" type="presParOf" srcId="{650854B0-9FE7-4FFD-96B2-18F6452E0859}" destId="{7FE108B5-F558-4942-A9EC-465F3C2E5813}" srcOrd="0" destOrd="0" presId="urn:microsoft.com/office/officeart/2005/8/layout/radial1"/>
    <dgm:cxn modelId="{3191D8CB-6C93-43E1-9DA3-3910629BF630}" type="presParOf" srcId="{4FC73BDC-CE2C-45F4-85CD-F387963DA006}" destId="{6394B413-6D12-4C4F-9A8D-E0508CAE8617}" srcOrd="10" destOrd="0" presId="urn:microsoft.com/office/officeart/2005/8/layout/radial1"/>
    <dgm:cxn modelId="{51B4FCA5-E90C-4D68-8816-8E904933627A}" type="presParOf" srcId="{4FC73BDC-CE2C-45F4-85CD-F387963DA006}" destId="{DEF09AAB-E09E-4486-8914-E37D47E60824}" srcOrd="11" destOrd="0" presId="urn:microsoft.com/office/officeart/2005/8/layout/radial1"/>
    <dgm:cxn modelId="{0123F04D-F43A-4BDD-8346-B9BCFF6EB6DA}" type="presParOf" srcId="{DEF09AAB-E09E-4486-8914-E37D47E60824}" destId="{B0514361-30D3-4311-BC21-0743B7F01673}" srcOrd="0" destOrd="0" presId="urn:microsoft.com/office/officeart/2005/8/layout/radial1"/>
    <dgm:cxn modelId="{7D4C309B-2D87-4021-ACC4-98B579358FD0}" type="presParOf" srcId="{4FC73BDC-CE2C-45F4-85CD-F387963DA006}" destId="{2ED32773-10C9-4671-A0BF-4C0DAB40AE25}" srcOrd="12" destOrd="0" presId="urn:microsoft.com/office/officeart/2005/8/layout/radial1"/>
    <dgm:cxn modelId="{957B6200-CB20-430E-9792-53DA1564155A}" type="presParOf" srcId="{4FC73BDC-CE2C-45F4-85CD-F387963DA006}" destId="{EAF47FDD-7D57-4FF6-9F6B-6E604D2CC0DE}" srcOrd="13" destOrd="0" presId="urn:microsoft.com/office/officeart/2005/8/layout/radial1"/>
    <dgm:cxn modelId="{ED22C237-D9A9-430F-9D26-ABD392578EF3}" type="presParOf" srcId="{EAF47FDD-7D57-4FF6-9F6B-6E604D2CC0DE}" destId="{E01163DA-75CF-4C32-B81E-41BBCCC937B3}" srcOrd="0" destOrd="0" presId="urn:microsoft.com/office/officeart/2005/8/layout/radial1"/>
    <dgm:cxn modelId="{FF7858FE-6D56-40F8-B4C5-714C797298C9}" type="presParOf" srcId="{4FC73BDC-CE2C-45F4-85CD-F387963DA006}" destId="{F74F2681-A109-4B75-8C08-B2B26769CF03}" srcOrd="14" destOrd="0" presId="urn:microsoft.com/office/officeart/2005/8/layout/radial1"/>
    <dgm:cxn modelId="{9D5F539F-238B-44D7-AE3A-142B6F214B3F}" type="presParOf" srcId="{4FC73BDC-CE2C-45F4-85CD-F387963DA006}" destId="{AC7E3352-64BC-4978-9AB6-2DD833483239}" srcOrd="15" destOrd="0" presId="urn:microsoft.com/office/officeart/2005/8/layout/radial1"/>
    <dgm:cxn modelId="{78651886-2CBB-41A3-BE44-7AB8F85902EC}" type="presParOf" srcId="{AC7E3352-64BC-4978-9AB6-2DD833483239}" destId="{C620A703-6BE9-4C0F-B737-266F7434DAB4}" srcOrd="0" destOrd="0" presId="urn:microsoft.com/office/officeart/2005/8/layout/radial1"/>
    <dgm:cxn modelId="{7EA9533A-73AF-4869-81C2-DC5492056C8F}" type="presParOf" srcId="{4FC73BDC-CE2C-45F4-85CD-F387963DA006}" destId="{05C48364-E63B-4056-87CF-0BE50D74190B}" srcOrd="16" destOrd="0" presId="urn:microsoft.com/office/officeart/2005/8/layout/radial1"/>
    <dgm:cxn modelId="{ACD40E60-8612-4F23-9732-A193AC20179B}" type="presParOf" srcId="{4FC73BDC-CE2C-45F4-85CD-F387963DA006}" destId="{06FD983D-3F71-4BCE-AD7F-6DD1041A2F23}" srcOrd="17" destOrd="0" presId="urn:microsoft.com/office/officeart/2005/8/layout/radial1"/>
    <dgm:cxn modelId="{9DB93436-0353-46F9-AB5B-338EBDCB03D0}" type="presParOf" srcId="{06FD983D-3F71-4BCE-AD7F-6DD1041A2F23}" destId="{2261EECA-A4AA-4C81-9B4D-3893A28ED758}" srcOrd="0" destOrd="0" presId="urn:microsoft.com/office/officeart/2005/8/layout/radial1"/>
    <dgm:cxn modelId="{28F2B78C-F849-4668-BB63-0B058881F0DF}" type="presParOf" srcId="{4FC73BDC-CE2C-45F4-85CD-F387963DA006}" destId="{CFBB929F-8BEB-442D-8D00-28EE1C02C39C}" srcOrd="18" destOrd="0" presId="urn:microsoft.com/office/officeart/2005/8/layout/radial1"/>
    <dgm:cxn modelId="{A295C846-B423-4472-992C-DE87533F35B7}" type="presParOf" srcId="{4FC73BDC-CE2C-45F4-85CD-F387963DA006}" destId="{C494819C-C98E-47AA-9AF0-D23BA2FEB24F}" srcOrd="19" destOrd="0" presId="urn:microsoft.com/office/officeart/2005/8/layout/radial1"/>
    <dgm:cxn modelId="{A4B283F5-2DD1-4EE1-B81F-3385E4DA9D1B}" type="presParOf" srcId="{C494819C-C98E-47AA-9AF0-D23BA2FEB24F}" destId="{0DC7814B-4209-4BC4-A177-2102084D3CE1}" srcOrd="0" destOrd="0" presId="urn:microsoft.com/office/officeart/2005/8/layout/radial1"/>
    <dgm:cxn modelId="{E58E9224-737B-42CF-99CB-F0B39B70357B}" type="presParOf" srcId="{4FC73BDC-CE2C-45F4-85CD-F387963DA006}" destId="{77FEFA40-E907-476F-8675-3DC698720930}" srcOrd="20" destOrd="0" presId="urn:microsoft.com/office/officeart/2005/8/layout/radial1"/>
    <dgm:cxn modelId="{F28BAD54-521F-4192-94F1-9D41F7D16A10}" type="presParOf" srcId="{4FC73BDC-CE2C-45F4-85CD-F387963DA006}" destId="{EF98737B-1136-4CD3-A0AC-E4FF8E58DD83}" srcOrd="21" destOrd="0" presId="urn:microsoft.com/office/officeart/2005/8/layout/radial1"/>
    <dgm:cxn modelId="{D0172CB0-EAEE-417D-932B-5361ABFC2694}" type="presParOf" srcId="{EF98737B-1136-4CD3-A0AC-E4FF8E58DD83}" destId="{4E2AD2D6-918F-4857-8567-9FCA82A4E2B0}" srcOrd="0" destOrd="0" presId="urn:microsoft.com/office/officeart/2005/8/layout/radial1"/>
    <dgm:cxn modelId="{A0024898-2D20-43A1-961C-F2C585A2D4CC}" type="presParOf" srcId="{4FC73BDC-CE2C-45F4-85CD-F387963DA006}" destId="{C8187693-0532-46C7-A6F3-C4A32348C87B}" srcOrd="22" destOrd="0" presId="urn:microsoft.com/office/officeart/2005/8/layout/radial1"/>
  </dgm:cxnLst>
  <dgm:bg/>
  <dgm:whole/>
  <dgm:extLst>
    <a:ext uri="http://schemas.microsoft.com/office/drawing/2008/diagram">
      <dsp:dataModelExt xmlns:dsp="http://schemas.microsoft.com/office/drawing/2008/diagram" relId="rId155"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2403"/>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1896" y="625000"/>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Communications</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320" y="897504"/>
          <a:ext cx="10905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5066" y="1041246"/>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6" y="1094015"/>
          <a:ext cx="39219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26660"/>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898808"/>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5968"/>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gm:t>
    </dgm:pt>
    <dgm:pt modelId="{45A6C23B-D452-4078-BA3A-466D0894B9EB}" type="parTrans" cxnId="{0266A1D0-CEC9-45F3-8B31-A21772E8AA19}">
      <dgm:prSet/>
      <dgm:spPr>
        <a:xfrm rot="5388050">
          <a:off x="2879337" y="1170235"/>
          <a:ext cx="13921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426605" y="-22710"/>
          <a:ext cx="1042790" cy="46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 </a:t>
          </a:r>
        </a:p>
      </dgm:t>
    </dgm:pt>
    <dgm:pt modelId="{E848F776-8237-42C9-A1C0-B5B0EB7FE51B}" type="parTrans" cxnId="{C4CE955B-C7EA-442D-BA54-FCED6F4F9301}">
      <dgm:prSet/>
      <dgm:spPr>
        <a:xfrm rot="16200000">
          <a:off x="2819473" y="567750"/>
          <a:ext cx="257054"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878" y="283122"/>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a:t>
          </a:r>
        </a:p>
      </dgm:t>
    </dgm:pt>
    <dgm:pt modelId="{8D28B5B3-293B-4D04-9ABB-EE16A5C97D16}" type="parTrans" cxnId="{19C1565A-DB23-4F9C-ABEF-4480DF7D14CE}">
      <dgm:prSet/>
      <dgm:spPr>
        <a:xfrm rot="20606743">
          <a:off x="3388403" y="704791"/>
          <a:ext cx="422238"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180" y="1076125"/>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dgm:t>
    </dgm:pt>
    <dgm:pt modelId="{42DDAC3B-802E-470C-B26C-35741B306D27}" type="parTrans" cxnId="{0C88C0B3-8AAC-4FA9-BE4C-2222B2B4A1BE}">
      <dgm:prSet/>
      <dgm:spPr>
        <a:xfrm rot="9635897">
          <a:off x="2160256" y="1108179"/>
          <a:ext cx="38449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230" y="225908"/>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gm:t>
    </dgm:pt>
    <dgm:pt modelId="{24258538-4C68-461F-9E82-62C8DF009C0A}" type="parTrans" cxnId="{AFEA8542-2500-4D00-B2F1-3B6B93AA3E37}">
      <dgm:prSet/>
      <dgm:spPr>
        <a:xfrm rot="12018079">
          <a:off x="2200369" y="687578"/>
          <a:ext cx="35520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5840"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257893" custScaleY="115756">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37826"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34290"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BF65F824-D4F4-4A84-83B4-6B1944B62AAD}" srcId="{DE541715-C648-404D-8124-F14F463E9202}" destId="{4631C2C5-1554-4289-90B0-F2D55D1595B6}" srcOrd="3" destOrd="0" parTransId="{4693CA52-075F-4BD8-ABEA-5368BE377DDA}" sibTransId="{9B3CB24D-A47A-4081-B256-B868D89D5387}"/>
    <dgm:cxn modelId="{44886F6F-F035-4AAC-A191-8E0FAE3156B5}" type="presOf" srcId="{0FABC453-0A5C-4CAE-813B-F0494A34E025}" destId="{EA4144E0-C5B2-4FC0-BDB2-550B61DB7DFD}" srcOrd="1" destOrd="0" presId="urn:microsoft.com/office/officeart/2005/8/layout/radial1"/>
    <dgm:cxn modelId="{D6BA23A6-23DB-4643-8097-1FA147FE29A2}" type="presOf" srcId="{F87686C8-F658-4DC2-BC5F-AB0B4E40ED1C}" destId="{2BDBEDDB-6DE8-44DC-8FC2-1ED793273BD1}" srcOrd="0" destOrd="0" presId="urn:microsoft.com/office/officeart/2005/8/layout/radial1"/>
    <dgm:cxn modelId="{8F0BDF3F-FFAB-4846-9C61-223F389FF2E1}" type="presOf" srcId="{880B408D-A44E-4E41-A0D3-775A9D2AA162}" destId="{8C16842D-5717-4E53-9353-18DF877708CF}"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AFEA8542-2500-4D00-B2F1-3B6B93AA3E37}" srcId="{DE541715-C648-404D-8124-F14F463E9202}" destId="{11C12EEB-5340-467D-991C-E6C3B5DBDAEA}" srcOrd="7" destOrd="0" parTransId="{24258538-4C68-461F-9E82-62C8DF009C0A}" sibTransId="{79B0886E-99F7-4F88-AD18-3A305D812CB8}"/>
    <dgm:cxn modelId="{C4CE955B-C7EA-442D-BA54-FCED6F4F9301}" srcId="{DE541715-C648-404D-8124-F14F463E9202}" destId="{880B408D-A44E-4E41-A0D3-775A9D2AA162}" srcOrd="0" destOrd="0" parTransId="{E848F776-8237-42C9-A1C0-B5B0EB7FE51B}" sibTransId="{C6C0D1BD-440F-496E-8208-41C1352C17C4}"/>
    <dgm:cxn modelId="{0C88C0B3-8AAC-4FA9-BE4C-2222B2B4A1BE}" srcId="{DE541715-C648-404D-8124-F14F463E9202}" destId="{F87686C8-F658-4DC2-BC5F-AB0B4E40ED1C}" srcOrd="5" destOrd="0" parTransId="{42DDAC3B-802E-470C-B26C-35741B306D27}" sibTransId="{FE7B45A4-A643-4A31-AD3B-09FF641A16EC}"/>
    <dgm:cxn modelId="{ACE6A6BA-C690-465E-914B-BA59C012D729}" type="presOf" srcId="{45A6C23B-D452-4078-BA3A-466D0894B9EB}" destId="{64248C57-3CE0-4657-BC67-6279BA0257B1}" srcOrd="0" destOrd="0" presId="urn:microsoft.com/office/officeart/2005/8/layout/radial1"/>
    <dgm:cxn modelId="{32B1B98F-7BA5-4280-835F-18B10CDB9863}" type="presOf" srcId="{8D28B5B3-293B-4D04-9ABB-EE16A5C97D16}" destId="{F32845D8-3F89-45CE-82D0-5F6D6B81E25D}" srcOrd="0" destOrd="0" presId="urn:microsoft.com/office/officeart/2005/8/layout/radial1"/>
    <dgm:cxn modelId="{0266A1D0-CEC9-45F3-8B31-A21772E8AA19}" srcId="{DE541715-C648-404D-8124-F14F463E9202}" destId="{5C260341-F1C3-4458-A657-957289015FC3}" srcOrd="4" destOrd="0" parTransId="{45A6C23B-D452-4078-BA3A-466D0894B9EB}" sibTransId="{89B7C331-6FB9-4771-84B2-9F75AB1415C9}"/>
    <dgm:cxn modelId="{BB37ED7F-EF08-418C-B9FE-E8F5CBB95F89}" type="presOf" srcId="{5C260341-F1C3-4458-A657-957289015FC3}" destId="{976BA53C-17D4-4F7C-9078-1272C469C9E5}" srcOrd="0" destOrd="0" presId="urn:microsoft.com/office/officeart/2005/8/layout/radial1"/>
    <dgm:cxn modelId="{853D10B2-2A26-4AC9-B01A-8F6F7EEA4A8E}" type="presOf" srcId="{7AF774ED-547E-4C04-8670-B0C1D08C5EE9}" destId="{5337AE63-3722-42CC-AF72-36670EB7C5E1}" srcOrd="0" destOrd="0" presId="urn:microsoft.com/office/officeart/2005/8/layout/radial1"/>
    <dgm:cxn modelId="{248698A6-055B-40E3-B808-D624056EF2B0}" srcId="{DE541715-C648-404D-8124-F14F463E9202}" destId="{C06C39C9-71B8-489C-9C45-3DD37A424E39}" srcOrd="6" destOrd="0" parTransId="{0FABC453-0A5C-4CAE-813B-F0494A34E025}" sibTransId="{DCD34884-F96E-475A-9010-14DE66A403A6}"/>
    <dgm:cxn modelId="{C24E6499-695B-438C-A80F-43BC312EF117}" type="presOf" srcId="{4693CA52-075F-4BD8-ABEA-5368BE377DDA}" destId="{4AC11394-3179-4EC5-A97F-D1A1B521CE2F}" srcOrd="0" destOrd="0" presId="urn:microsoft.com/office/officeart/2005/8/layout/radial1"/>
    <dgm:cxn modelId="{FAA39817-EF8C-450A-B2D1-27709A701FEC}" type="presOf" srcId="{24258538-4C68-461F-9E82-62C8DF009C0A}" destId="{7DF391B8-9498-4F55-ACE3-A6D0DB9A80F6}" srcOrd="0" destOrd="0" presId="urn:microsoft.com/office/officeart/2005/8/layout/radial1"/>
    <dgm:cxn modelId="{18C6037B-60DB-44D4-B1CD-C9BA099D75DF}" type="presOf" srcId="{24258538-4C68-461F-9E82-62C8DF009C0A}" destId="{9D0B803B-5ADE-4578-AB67-EBE1C99F7C08}" srcOrd="1" destOrd="0" presId="urn:microsoft.com/office/officeart/2005/8/layout/radial1"/>
    <dgm:cxn modelId="{E2EDD77C-E338-47F6-8C5F-F16EA1394D53}" type="presOf" srcId="{8D28B5B3-293B-4D04-9ABB-EE16A5C97D16}" destId="{22743AED-C443-4F2B-8D4D-266AC58BB10F}" srcOrd="1" destOrd="0" presId="urn:microsoft.com/office/officeart/2005/8/layout/radial1"/>
    <dgm:cxn modelId="{EE152ACB-2476-4FB6-ACEF-8F8FD8855F97}" type="presOf" srcId="{4693CA52-075F-4BD8-ABEA-5368BE377DDA}" destId="{62A1F741-432F-46BE-AE07-15F0B6D5EA89}" srcOrd="1" destOrd="0" presId="urn:microsoft.com/office/officeart/2005/8/layout/radial1"/>
    <dgm:cxn modelId="{1577FA04-9FF7-4F79-8211-715E45FDB8A8}" type="presOf" srcId="{42DDAC3B-802E-470C-B26C-35741B306D27}" destId="{F5AD7B03-58D4-4480-B85C-FFEEB047B4AA}" srcOrd="1" destOrd="0" presId="urn:microsoft.com/office/officeart/2005/8/layout/radial1"/>
    <dgm:cxn modelId="{FCD034F9-A9E3-4A52-B40D-D417FC93AF7D}" type="presOf" srcId="{DE541715-C648-404D-8124-F14F463E9202}" destId="{062AF917-2F47-4639-8A23-58AD52EC0F32}" srcOrd="0" destOrd="0" presId="urn:microsoft.com/office/officeart/2005/8/layout/radial1"/>
    <dgm:cxn modelId="{D436FAC7-3894-4176-877F-5D4E8CC2E3CE}" type="presOf" srcId="{C06C39C9-71B8-489C-9C45-3DD37A424E39}" destId="{0FAF3FA1-8E6C-455E-B189-A468B3F4D8BC}" srcOrd="0" destOrd="0" presId="urn:microsoft.com/office/officeart/2005/8/layout/radial1"/>
    <dgm:cxn modelId="{0DE38FCE-4A3F-4704-A183-4D2285483E30}" type="presOf" srcId="{34E6C8D5-8D4F-4714-8A12-8F4599A8E760}" destId="{08F189A1-AB47-41D1-8058-7A6DA66B3F52}" srcOrd="0" destOrd="0" presId="urn:microsoft.com/office/officeart/2005/8/layout/radial1"/>
    <dgm:cxn modelId="{A6BBD0E7-4427-40C3-83C4-10A14C9D1E1B}" type="presOf" srcId="{960C5593-E0FF-4AA5-AA0B-E8BDFFBC5E53}" destId="{CED9197C-8322-406B-917C-172FA36E7B76}" srcOrd="0" destOrd="0" presId="urn:microsoft.com/office/officeart/2005/8/layout/radial1"/>
    <dgm:cxn modelId="{62AB69CB-9555-4ADD-8496-CAEAAA33E427}" type="presOf" srcId="{11C12EEB-5340-467D-991C-E6C3B5DBDAEA}" destId="{E3F75BBA-60EC-4D9A-B0CC-E18ADA53928C}" srcOrd="0" destOrd="0" presId="urn:microsoft.com/office/officeart/2005/8/layout/radial1"/>
    <dgm:cxn modelId="{07D2CD90-1F10-4636-9F2F-FA3929BEC3B9}"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93E3050E-58BD-45C4-BC3E-BFB4B44D5C12}" type="presOf" srcId="{4631C2C5-1554-4289-90B0-F2D55D1595B6}" destId="{035B4C9A-0916-4FCC-A1CF-85DB358A289A}" srcOrd="0" destOrd="0" presId="urn:microsoft.com/office/officeart/2005/8/layout/radial1"/>
    <dgm:cxn modelId="{175C3B6B-3B43-489B-86DF-13640FE66600}" type="presOf" srcId="{7E91AD2C-2762-4D69-BFD6-4095380ECAB8}" destId="{56946440-4960-4194-9471-9ABCF62950BA}" srcOrd="0" destOrd="0" presId="urn:microsoft.com/office/officeart/2005/8/layout/radial1"/>
    <dgm:cxn modelId="{E8D5AE8F-93E5-4660-A790-73139A441780}" type="presOf" srcId="{E848F776-8237-42C9-A1C0-B5B0EB7FE51B}" destId="{DB73B42A-BE4F-46BC-B512-015EB15734E7}"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C59FE52A-F6F0-4F56-9BFE-82B42B535EE8}" type="presOf" srcId="{45A6C23B-D452-4078-BA3A-466D0894B9EB}" destId="{C7C9B7EB-2DEF-4B99-8D38-AC2E9641BEB5}" srcOrd="1" destOrd="0" presId="urn:microsoft.com/office/officeart/2005/8/layout/radial1"/>
    <dgm:cxn modelId="{002A3F8F-734E-4AC5-ADEC-A2B41F7033B8}" type="presOf" srcId="{7AF774ED-547E-4C04-8670-B0C1D08C5EE9}" destId="{326412CE-9911-4799-A459-B56F02EB4473}" srcOrd="1" destOrd="0" presId="urn:microsoft.com/office/officeart/2005/8/layout/radial1"/>
    <dgm:cxn modelId="{7BE6A53B-7438-4619-8AA9-B1CB6F605BFD}" type="presOf" srcId="{42DDAC3B-802E-470C-B26C-35741B306D27}" destId="{73944B9B-8143-474E-A2B5-719E57EA1FE0}" srcOrd="0" destOrd="0" presId="urn:microsoft.com/office/officeart/2005/8/layout/radial1"/>
    <dgm:cxn modelId="{B36481AA-1FEB-4065-8EB0-DE466ADC972E}" type="presOf" srcId="{E848F776-8237-42C9-A1C0-B5B0EB7FE51B}" destId="{498B4397-C22F-4D1E-9B41-E3ABFC4C6934}" srcOrd="1"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4CF18E5A-B8CB-441C-A70B-B86CB072589E}" type="presParOf" srcId="{08F189A1-AB47-41D1-8058-7A6DA66B3F52}" destId="{062AF917-2F47-4639-8A23-58AD52EC0F32}" srcOrd="0" destOrd="0" presId="urn:microsoft.com/office/officeart/2005/8/layout/radial1"/>
    <dgm:cxn modelId="{152BAE1D-AF5B-4628-A475-ABCA6724FE63}" type="presParOf" srcId="{08F189A1-AB47-41D1-8058-7A6DA66B3F52}" destId="{DB73B42A-BE4F-46BC-B512-015EB15734E7}" srcOrd="1" destOrd="0" presId="urn:microsoft.com/office/officeart/2005/8/layout/radial1"/>
    <dgm:cxn modelId="{52F8FD7C-3797-44B9-AE65-8A085602478D}" type="presParOf" srcId="{DB73B42A-BE4F-46BC-B512-015EB15734E7}" destId="{498B4397-C22F-4D1E-9B41-E3ABFC4C6934}" srcOrd="0" destOrd="0" presId="urn:microsoft.com/office/officeart/2005/8/layout/radial1"/>
    <dgm:cxn modelId="{6D572E2A-C0C1-4E73-BB8A-B7B91E25FC21}" type="presParOf" srcId="{08F189A1-AB47-41D1-8058-7A6DA66B3F52}" destId="{8C16842D-5717-4E53-9353-18DF877708CF}" srcOrd="2" destOrd="0" presId="urn:microsoft.com/office/officeart/2005/8/layout/radial1"/>
    <dgm:cxn modelId="{FA59E6A4-4DC0-4986-AC87-E374C8B0339A}" type="presParOf" srcId="{08F189A1-AB47-41D1-8058-7A6DA66B3F52}" destId="{F32845D8-3F89-45CE-82D0-5F6D6B81E25D}" srcOrd="3" destOrd="0" presId="urn:microsoft.com/office/officeart/2005/8/layout/radial1"/>
    <dgm:cxn modelId="{40777151-A7E0-42C8-90CD-5E3F8D689699}" type="presParOf" srcId="{F32845D8-3F89-45CE-82D0-5F6D6B81E25D}" destId="{22743AED-C443-4F2B-8D4D-266AC58BB10F}" srcOrd="0" destOrd="0" presId="urn:microsoft.com/office/officeart/2005/8/layout/radial1"/>
    <dgm:cxn modelId="{6C500CA2-C9C7-4C5F-BEE5-115BB5E22A8C}" type="presParOf" srcId="{08F189A1-AB47-41D1-8058-7A6DA66B3F52}" destId="{56946440-4960-4194-9471-9ABCF62950BA}" srcOrd="4" destOrd="0" presId="urn:microsoft.com/office/officeart/2005/8/layout/radial1"/>
    <dgm:cxn modelId="{8E199A13-D393-4EAD-8860-BAD2FEABEF90}" type="presParOf" srcId="{08F189A1-AB47-41D1-8058-7A6DA66B3F52}" destId="{5337AE63-3722-42CC-AF72-36670EB7C5E1}" srcOrd="5" destOrd="0" presId="urn:microsoft.com/office/officeart/2005/8/layout/radial1"/>
    <dgm:cxn modelId="{7815D74D-2B29-43F2-B53A-A27B14E94852}" type="presParOf" srcId="{5337AE63-3722-42CC-AF72-36670EB7C5E1}" destId="{326412CE-9911-4799-A459-B56F02EB4473}" srcOrd="0" destOrd="0" presId="urn:microsoft.com/office/officeart/2005/8/layout/radial1"/>
    <dgm:cxn modelId="{D758F38B-2E52-4FA8-80D6-0DBC89630C15}" type="presParOf" srcId="{08F189A1-AB47-41D1-8058-7A6DA66B3F52}" destId="{CED9197C-8322-406B-917C-172FA36E7B76}" srcOrd="6" destOrd="0" presId="urn:microsoft.com/office/officeart/2005/8/layout/radial1"/>
    <dgm:cxn modelId="{AEED0D0C-600B-4A80-AE00-8BD74D4BBB67}" type="presParOf" srcId="{08F189A1-AB47-41D1-8058-7A6DA66B3F52}" destId="{4AC11394-3179-4EC5-A97F-D1A1B521CE2F}" srcOrd="7" destOrd="0" presId="urn:microsoft.com/office/officeart/2005/8/layout/radial1"/>
    <dgm:cxn modelId="{63050698-D032-40D0-A256-5559F1DD8416}" type="presParOf" srcId="{4AC11394-3179-4EC5-A97F-D1A1B521CE2F}" destId="{62A1F741-432F-46BE-AE07-15F0B6D5EA89}" srcOrd="0" destOrd="0" presId="urn:microsoft.com/office/officeart/2005/8/layout/radial1"/>
    <dgm:cxn modelId="{77CB746A-3E46-450C-BC68-2510CA69C7CA}" type="presParOf" srcId="{08F189A1-AB47-41D1-8058-7A6DA66B3F52}" destId="{035B4C9A-0916-4FCC-A1CF-85DB358A289A}" srcOrd="8" destOrd="0" presId="urn:microsoft.com/office/officeart/2005/8/layout/radial1"/>
    <dgm:cxn modelId="{D891273C-7473-4E41-977D-A80208A93DED}" type="presParOf" srcId="{08F189A1-AB47-41D1-8058-7A6DA66B3F52}" destId="{64248C57-3CE0-4657-BC67-6279BA0257B1}" srcOrd="9" destOrd="0" presId="urn:microsoft.com/office/officeart/2005/8/layout/radial1"/>
    <dgm:cxn modelId="{21585868-02FF-496D-BF04-B9E128E06027}" type="presParOf" srcId="{64248C57-3CE0-4657-BC67-6279BA0257B1}" destId="{C7C9B7EB-2DEF-4B99-8D38-AC2E9641BEB5}" srcOrd="0" destOrd="0" presId="urn:microsoft.com/office/officeart/2005/8/layout/radial1"/>
    <dgm:cxn modelId="{361D5453-29F7-4089-AAB4-33F47E34992F}" type="presParOf" srcId="{08F189A1-AB47-41D1-8058-7A6DA66B3F52}" destId="{976BA53C-17D4-4F7C-9078-1272C469C9E5}" srcOrd="10" destOrd="0" presId="urn:microsoft.com/office/officeart/2005/8/layout/radial1"/>
    <dgm:cxn modelId="{DFC9ECA0-8A5D-4FCF-AC9E-869B7E2EF83A}" type="presParOf" srcId="{08F189A1-AB47-41D1-8058-7A6DA66B3F52}" destId="{73944B9B-8143-474E-A2B5-719E57EA1FE0}" srcOrd="11" destOrd="0" presId="urn:microsoft.com/office/officeart/2005/8/layout/radial1"/>
    <dgm:cxn modelId="{8F06F511-F71C-4018-A72B-78C603D5B588}" type="presParOf" srcId="{73944B9B-8143-474E-A2B5-719E57EA1FE0}" destId="{F5AD7B03-58D4-4480-B85C-FFEEB047B4AA}" srcOrd="0" destOrd="0" presId="urn:microsoft.com/office/officeart/2005/8/layout/radial1"/>
    <dgm:cxn modelId="{9F215CEF-17F6-484D-B559-39328ECF8D62}" type="presParOf" srcId="{08F189A1-AB47-41D1-8058-7A6DA66B3F52}" destId="{2BDBEDDB-6DE8-44DC-8FC2-1ED793273BD1}" srcOrd="12" destOrd="0" presId="urn:microsoft.com/office/officeart/2005/8/layout/radial1"/>
    <dgm:cxn modelId="{680F7C53-33EC-4427-B67F-BAE912C49BE0}" type="presParOf" srcId="{08F189A1-AB47-41D1-8058-7A6DA66B3F52}" destId="{ADF94B70-0D7F-4A27-8DF9-17BCD27F4A7A}" srcOrd="13" destOrd="0" presId="urn:microsoft.com/office/officeart/2005/8/layout/radial1"/>
    <dgm:cxn modelId="{9E1B60DD-3C13-44E1-9E40-D28C9BBB1DD3}" type="presParOf" srcId="{ADF94B70-0D7F-4A27-8DF9-17BCD27F4A7A}" destId="{EA4144E0-C5B2-4FC0-BDB2-550B61DB7DFD}" srcOrd="0" destOrd="0" presId="urn:microsoft.com/office/officeart/2005/8/layout/radial1"/>
    <dgm:cxn modelId="{BA29DFB5-9332-4A27-BB03-8A5935F57FBA}" type="presParOf" srcId="{08F189A1-AB47-41D1-8058-7A6DA66B3F52}" destId="{0FAF3FA1-8E6C-455E-B189-A468B3F4D8BC}" srcOrd="14" destOrd="0" presId="urn:microsoft.com/office/officeart/2005/8/layout/radial1"/>
    <dgm:cxn modelId="{A280C793-C392-4EB7-8D70-D7E684FDC56A}" type="presParOf" srcId="{08F189A1-AB47-41D1-8058-7A6DA66B3F52}" destId="{7DF391B8-9498-4F55-ACE3-A6D0DB9A80F6}" srcOrd="15" destOrd="0" presId="urn:microsoft.com/office/officeart/2005/8/layout/radial1"/>
    <dgm:cxn modelId="{F9E4B6B3-E8D9-4E49-B22B-C7CF9BD2A85A}" type="presParOf" srcId="{7DF391B8-9498-4F55-ACE3-A6D0DB9A80F6}" destId="{9D0B803B-5ADE-4578-AB67-EBE1C99F7C08}" srcOrd="0" destOrd="0" presId="urn:microsoft.com/office/officeart/2005/8/layout/radial1"/>
    <dgm:cxn modelId="{C22DD69A-438D-4F1D-95CD-E37C0B26B13E}"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62" minVer="http://schemas.openxmlformats.org/drawingml/2006/diagram"/>
    </a:ext>
    <a:ext uri="{C62137D5-CB1D-491B-B009-E17868A290BF}">
      <dgm14:recolorImg xmlns:dgm14="http://schemas.microsoft.com/office/drawing/2010/diagram" val="1"/>
    </a:ext>
  </dgm:extLst>
</dgm:dataModel>
</file>

<file path=word/diagrams/data19.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663065" y="833696"/>
          <a:ext cx="1185081" cy="38306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710462" y="104713"/>
          <a:ext cx="1080487" cy="445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PL</a:t>
          </a: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3111703" y="685815"/>
          <a:ext cx="283126"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4126469" y="161929"/>
          <a:ext cx="1307093" cy="54142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gm:t>
    </dgm:pt>
    <dgm:pt modelId="{5BE92476-635C-4AE2-AD14-BF50BB0972EC}" type="parTrans" cxnId="{44EB880B-7660-4CF0-97E5-4E577ACA821D}">
      <dgm:prSet/>
      <dgm:spPr>
        <a:xfrm rot="20325438">
          <a:off x="3610069" y="741604"/>
          <a:ext cx="717773"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5191175" y="771614"/>
          <a:ext cx="1131445" cy="5090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gm:t>
    </dgm:pt>
    <dgm:pt modelId="{66F0DCEC-2B26-4038-AF1F-D0A98A0F7930}" type="parTrans" cxnId="{D0987D88-807B-4994-94E2-80A6C1D9AE52}">
      <dgm:prSet/>
      <dgm:spPr>
        <a:xfrm rot="1232">
          <a:off x="3848146" y="1019360"/>
          <a:ext cx="134302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304732" y="756443"/>
          <a:ext cx="1244234" cy="53133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gm:t>
    </dgm:pt>
    <dgm:pt modelId="{F6DE2413-45CD-453B-A258-F22A53BBB241}" type="parTrans" cxnId="{A5666C79-BF01-4153-AB0A-BB16CAE1F135}">
      <dgm:prSet/>
      <dgm:spPr>
        <a:xfrm rot="10804604">
          <a:off x="1548963" y="1017367"/>
          <a:ext cx="1114107"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121477" y="161925"/>
          <a:ext cx="1470776" cy="5581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gm:t>
    </dgm:pt>
    <dgm:pt modelId="{19A5BFAE-AE0D-4BC3-821E-ACDBC402E1F3}" type="parTrans" cxnId="{7A10D267-5114-47D3-9B72-BCDF70FFAB8C}">
      <dgm:prSet/>
      <dgm:spPr>
        <a:xfrm rot="12160169">
          <a:off x="2328712" y="754331"/>
          <a:ext cx="58691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5902"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39943" custScaleY="118876" custRadScaleRad="79981" custRadScaleInc="156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15793" custScaleY="120234"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51259"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96116" custScaleY="117993"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26614" custScaleY="123947" custRadScaleRad="244547" custRadScaleInc="-10114">
        <dgm:presLayoutVars>
          <dgm:bulletEnabled val="1"/>
        </dgm:presLayoutVars>
      </dgm:prSet>
      <dgm:spPr>
        <a:prstGeom prst="ellipse">
          <a:avLst/>
        </a:prstGeom>
      </dgm:spPr>
      <dgm:t>
        <a:bodyPr/>
        <a:lstStyle/>
        <a:p>
          <a:endParaRPr lang="en-US"/>
        </a:p>
      </dgm:t>
    </dgm:pt>
  </dgm:ptLst>
  <dgm:cxnLst>
    <dgm:cxn modelId="{2E470C18-8374-42F8-ABB3-C72229DBA11C}" type="presOf" srcId="{60F584FC-F7FF-4FD7-86E3-8773293C0460}" destId="{3C7CADF7-0742-432E-9EEF-EA9C347A7661}" srcOrd="0" destOrd="0" presId="urn:microsoft.com/office/officeart/2005/8/layout/radial1"/>
    <dgm:cxn modelId="{EED24806-9797-407B-A699-F280FFA1DB1E}" type="presOf" srcId="{2EF75B39-F486-43BE-8B27-294595126005}" destId="{6394B413-6D12-4C4F-9A8D-E0508CAE8617}" srcOrd="0" destOrd="0" presId="urn:microsoft.com/office/officeart/2005/8/layout/radial1"/>
    <dgm:cxn modelId="{D32BE933-567C-4947-B81D-E0D6491E4039}" type="presOf" srcId="{F6DE2413-45CD-453B-A258-F22A53BBB241}" destId="{DEF09AAB-E09E-4486-8914-E37D47E60824}"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4D478C67-2EFE-44A1-A161-BBC3838DF810}" type="presOf" srcId="{61905482-A221-41E9-B64F-E0DDCF7406CB}" destId="{CFBB929F-8BEB-442D-8D00-28EE1C02C39C}" srcOrd="0" destOrd="0" presId="urn:microsoft.com/office/officeart/2005/8/layout/radial1"/>
    <dgm:cxn modelId="{A294A3DC-1750-4B0B-B759-533D5ABA3E9B}" type="presOf" srcId="{E9A3E352-4E95-497B-A994-2D750C2A9509}" destId="{E887F142-3B93-49E1-A09D-1DCD207D21D1}" srcOrd="0" destOrd="0" presId="urn:microsoft.com/office/officeart/2005/8/layout/radial1"/>
    <dgm:cxn modelId="{B4F54128-D2A9-4208-AF23-A672D3E7F820}" type="presOf" srcId="{E9A3E352-4E95-497B-A994-2D750C2A9509}" destId="{0C3245EA-B4A2-4A29-A94D-6F5271E8D13D}" srcOrd="1"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A0D7B160-B2D6-4FF0-B898-61A69264BA8C}" srcId="{60F584FC-F7FF-4FD7-86E3-8773293C0460}" destId="{9A4BDCAE-D9CA-400C-8B2D-68AB68A08E2A}" srcOrd="0" destOrd="0" parTransId="{E9A3E352-4E95-497B-A994-2D750C2A9509}" sibTransId="{D8ADEECF-D7D2-4E14-BB97-4FB081DAC71A}"/>
    <dgm:cxn modelId="{CDD89F74-5851-4773-99B4-C66DF0C114BD}" type="presOf" srcId="{5BE92476-635C-4AE2-AD14-BF50BB0972EC}" destId="{00112A8F-12E8-45AC-B551-DFB66BE45059}" srcOrd="0" destOrd="0" presId="urn:microsoft.com/office/officeart/2005/8/layout/radial1"/>
    <dgm:cxn modelId="{B80B9368-D6DF-43C4-B219-ED42C663F8A4}" type="presOf" srcId="{3E4183EF-B989-4620-A02C-D54686D6628F}" destId="{4FC73BDC-CE2C-45F4-85CD-F387963DA006}" srcOrd="0" destOrd="0" presId="urn:microsoft.com/office/officeart/2005/8/layout/radial1"/>
    <dgm:cxn modelId="{BE9A23D9-D3FC-4A1D-98C2-9051B2EB8467}" type="presOf" srcId="{19A5BFAE-AE0D-4BC3-821E-ACDBC402E1F3}" destId="{06FD983D-3F71-4BCE-AD7F-6DD1041A2F23}" srcOrd="0" destOrd="0" presId="urn:microsoft.com/office/officeart/2005/8/layout/radial1"/>
    <dgm:cxn modelId="{7A10D267-5114-47D3-9B72-BCDF70FFAB8C}" srcId="{60F584FC-F7FF-4FD7-86E3-8773293C0460}" destId="{61905482-A221-41E9-B64F-E0DDCF7406CB}" srcOrd="4" destOrd="0" parTransId="{19A5BFAE-AE0D-4BC3-821E-ACDBC402E1F3}" sibTransId="{41B3C576-1467-4E2A-8F61-40CA47AE2A73}"/>
    <dgm:cxn modelId="{A5666C79-BF01-4153-AB0A-BB16CAE1F135}" srcId="{60F584FC-F7FF-4FD7-86E3-8773293C0460}" destId="{4761FE57-664D-44AD-8EF1-E6096D64297F}" srcOrd="3" destOrd="0" parTransId="{F6DE2413-45CD-453B-A258-F22A53BBB241}" sibTransId="{288511AC-ECAB-47A8-A0B0-D7AAFEE02A39}"/>
    <dgm:cxn modelId="{6B4E9DF0-F8F8-488D-BDAE-6B8E210B72A2}" type="presOf" srcId="{9A4BDCAE-D9CA-400C-8B2D-68AB68A08E2A}" destId="{3EA08C86-6A87-4381-A9A9-F10D993E2D53}" srcOrd="0" destOrd="0" presId="urn:microsoft.com/office/officeart/2005/8/layout/radial1"/>
    <dgm:cxn modelId="{E27E7512-A9DF-4D7B-8EE2-094E383584C5}" type="presOf" srcId="{5BE92476-635C-4AE2-AD14-BF50BB0972EC}" destId="{48B32C5A-7076-4480-B5CB-D9EFDA8D8FDB}" srcOrd="1" destOrd="0" presId="urn:microsoft.com/office/officeart/2005/8/layout/radial1"/>
    <dgm:cxn modelId="{8200B15A-960F-402E-BD06-0337BF43016D}" type="presOf" srcId="{19A5BFAE-AE0D-4BC3-821E-ACDBC402E1F3}" destId="{2261EECA-A4AA-4C81-9B4D-3893A28ED758}" srcOrd="1" destOrd="0" presId="urn:microsoft.com/office/officeart/2005/8/layout/radial1"/>
    <dgm:cxn modelId="{E607A643-323B-435E-8609-2A165B4BC763}" type="presOf" srcId="{4761FE57-664D-44AD-8EF1-E6096D64297F}" destId="{2ED32773-10C9-4671-A0BF-4C0DAB40AE25}" srcOrd="0" destOrd="0" presId="urn:microsoft.com/office/officeart/2005/8/layout/radial1"/>
    <dgm:cxn modelId="{6CD3AF66-B79F-4DD1-8F32-57755DCD4870}" type="presOf" srcId="{66F0DCEC-2B26-4038-AF1F-D0A98A0F7930}" destId="{7FE108B5-F558-4942-A9EC-465F3C2E5813}" srcOrd="1"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17C24AEB-74D2-43AD-8A5F-595EB53317DB}" type="presOf" srcId="{F6DE2413-45CD-453B-A258-F22A53BBB241}" destId="{B0514361-30D3-4311-BC21-0743B7F01673}" srcOrd="1" destOrd="0" presId="urn:microsoft.com/office/officeart/2005/8/layout/radial1"/>
    <dgm:cxn modelId="{E9CE572F-EF91-4E36-8DC1-D523402583CC}" type="presOf" srcId="{66F0DCEC-2B26-4038-AF1F-D0A98A0F7930}" destId="{650854B0-9FE7-4FFD-96B2-18F6452E0859}" srcOrd="0" destOrd="0" presId="urn:microsoft.com/office/officeart/2005/8/layout/radial1"/>
    <dgm:cxn modelId="{0201C05E-A9EB-4042-9278-E7FAAE06275B}" type="presOf" srcId="{584F0456-7C88-4E15-A6D5-3DF2BDDC45F2}" destId="{423B6D89-2000-40C7-8429-BD38C7402395}" srcOrd="0" destOrd="0" presId="urn:microsoft.com/office/officeart/2005/8/layout/radial1"/>
    <dgm:cxn modelId="{B48A30CF-19B9-4268-A6F7-74D4D8BC86D8}" type="presParOf" srcId="{4FC73BDC-CE2C-45F4-85CD-F387963DA006}" destId="{3C7CADF7-0742-432E-9EEF-EA9C347A7661}" srcOrd="0" destOrd="0" presId="urn:microsoft.com/office/officeart/2005/8/layout/radial1"/>
    <dgm:cxn modelId="{1427ABB0-F5E6-433E-A49C-D6B15B853BDA}" type="presParOf" srcId="{4FC73BDC-CE2C-45F4-85CD-F387963DA006}" destId="{E887F142-3B93-49E1-A09D-1DCD207D21D1}" srcOrd="1" destOrd="0" presId="urn:microsoft.com/office/officeart/2005/8/layout/radial1"/>
    <dgm:cxn modelId="{A3BBDED8-3099-4BE0-8757-AAEA61764777}" type="presParOf" srcId="{E887F142-3B93-49E1-A09D-1DCD207D21D1}" destId="{0C3245EA-B4A2-4A29-A94D-6F5271E8D13D}" srcOrd="0" destOrd="0" presId="urn:microsoft.com/office/officeart/2005/8/layout/radial1"/>
    <dgm:cxn modelId="{AFCB3EAB-B696-40DA-96F4-18A52C233991}" type="presParOf" srcId="{4FC73BDC-CE2C-45F4-85CD-F387963DA006}" destId="{3EA08C86-6A87-4381-A9A9-F10D993E2D53}" srcOrd="2" destOrd="0" presId="urn:microsoft.com/office/officeart/2005/8/layout/radial1"/>
    <dgm:cxn modelId="{2E1C4C7E-059F-4FA7-9FE9-F38535DF38D5}" type="presParOf" srcId="{4FC73BDC-CE2C-45F4-85CD-F387963DA006}" destId="{00112A8F-12E8-45AC-B551-DFB66BE45059}" srcOrd="3" destOrd="0" presId="urn:microsoft.com/office/officeart/2005/8/layout/radial1"/>
    <dgm:cxn modelId="{92FEF455-8AC5-4FDE-89C4-28A708433886}" type="presParOf" srcId="{00112A8F-12E8-45AC-B551-DFB66BE45059}" destId="{48B32C5A-7076-4480-B5CB-D9EFDA8D8FDB}" srcOrd="0" destOrd="0" presId="urn:microsoft.com/office/officeart/2005/8/layout/radial1"/>
    <dgm:cxn modelId="{78CD0277-77FB-4079-8348-5E08430DB7B5}" type="presParOf" srcId="{4FC73BDC-CE2C-45F4-85CD-F387963DA006}" destId="{423B6D89-2000-40C7-8429-BD38C7402395}" srcOrd="4" destOrd="0" presId="urn:microsoft.com/office/officeart/2005/8/layout/radial1"/>
    <dgm:cxn modelId="{0A4D219E-436E-48E1-987A-963A20245D70}" type="presParOf" srcId="{4FC73BDC-CE2C-45F4-85CD-F387963DA006}" destId="{650854B0-9FE7-4FFD-96B2-18F6452E0859}" srcOrd="5" destOrd="0" presId="urn:microsoft.com/office/officeart/2005/8/layout/radial1"/>
    <dgm:cxn modelId="{D42FAAC9-CF25-4C48-9A87-AA88EF942AAA}" type="presParOf" srcId="{650854B0-9FE7-4FFD-96B2-18F6452E0859}" destId="{7FE108B5-F558-4942-A9EC-465F3C2E5813}" srcOrd="0" destOrd="0" presId="urn:microsoft.com/office/officeart/2005/8/layout/radial1"/>
    <dgm:cxn modelId="{7B528A74-ABD6-4B97-BB1C-87F946653159}" type="presParOf" srcId="{4FC73BDC-CE2C-45F4-85CD-F387963DA006}" destId="{6394B413-6D12-4C4F-9A8D-E0508CAE8617}" srcOrd="6" destOrd="0" presId="urn:microsoft.com/office/officeart/2005/8/layout/radial1"/>
    <dgm:cxn modelId="{F0261034-811C-42A6-B489-E0A87463FE2E}" type="presParOf" srcId="{4FC73BDC-CE2C-45F4-85CD-F387963DA006}" destId="{DEF09AAB-E09E-4486-8914-E37D47E60824}" srcOrd="7" destOrd="0" presId="urn:microsoft.com/office/officeart/2005/8/layout/radial1"/>
    <dgm:cxn modelId="{42FEF18D-7843-496B-8F13-0F73D32106D2}" type="presParOf" srcId="{DEF09AAB-E09E-4486-8914-E37D47E60824}" destId="{B0514361-30D3-4311-BC21-0743B7F01673}" srcOrd="0" destOrd="0" presId="urn:microsoft.com/office/officeart/2005/8/layout/radial1"/>
    <dgm:cxn modelId="{6E527AA7-17C6-410F-B498-A28286271569}" type="presParOf" srcId="{4FC73BDC-CE2C-45F4-85CD-F387963DA006}" destId="{2ED32773-10C9-4671-A0BF-4C0DAB40AE25}" srcOrd="8" destOrd="0" presId="urn:microsoft.com/office/officeart/2005/8/layout/radial1"/>
    <dgm:cxn modelId="{8028B19B-18A0-4056-8264-B5CC35F7308A}" type="presParOf" srcId="{4FC73BDC-CE2C-45F4-85CD-F387963DA006}" destId="{06FD983D-3F71-4BCE-AD7F-6DD1041A2F23}" srcOrd="9" destOrd="0" presId="urn:microsoft.com/office/officeart/2005/8/layout/radial1"/>
    <dgm:cxn modelId="{8B5C0BC0-0101-4331-87AC-40CA30A985E0}" type="presParOf" srcId="{06FD983D-3F71-4BCE-AD7F-6DD1041A2F23}" destId="{2261EECA-A4AA-4C81-9B4D-3893A28ED758}" srcOrd="0" destOrd="0" presId="urn:microsoft.com/office/officeart/2005/8/layout/radial1"/>
    <dgm:cxn modelId="{6469BDF0-1017-48AB-80B6-420DB74E2F88}"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20526" y="1093081"/>
          <a:ext cx="1151350" cy="51803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3395629">
          <a:off x="2151725" y="874173"/>
          <a:ext cx="689899" cy="15688"/>
        </a:xfrm>
      </dgm:spPr>
      <dgm:t>
        <a:bodyPr/>
        <a:lstStyle/>
        <a:p>
          <a:endParaRPr lang="en-US"/>
        </a:p>
      </dgm:t>
    </dgm:pt>
    <dgm:pt modelId="{44FBC2E2-D754-42C1-BEE4-690296442511}">
      <dgm:prSet phldrT="[Text]" custT="1"/>
      <dgm:spPr>
        <a:xfrm>
          <a:off x="394362" y="394362"/>
          <a:ext cx="1121236" cy="5470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1911849">
          <a:off x="1386509" y="1002224"/>
          <a:ext cx="1178596" cy="15688"/>
        </a:xfrm>
      </dgm:spPr>
      <dgm:t>
        <a:bodyPr/>
        <a:lstStyle/>
        <a:p>
          <a:endParaRPr lang="en-US"/>
        </a:p>
      </dgm:t>
    </dgm:pt>
    <dgm:pt modelId="{2628F477-2289-4CEE-9618-96DDAFCD4291}">
      <dgm:prSet phldrT="[Text]" custT="1"/>
      <dgm:spPr>
        <a:xfrm>
          <a:off x="125838" y="1077331"/>
          <a:ext cx="1226366" cy="5658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10787580">
          <a:off x="1352182" y="1348263"/>
          <a:ext cx="1068366" cy="15688"/>
        </a:xfrm>
      </dgm:spPr>
      <dgm:t>
        <a:bodyPr/>
        <a:lstStyle/>
        <a:p>
          <a:endParaRPr lang="en-US"/>
        </a:p>
      </dgm:t>
    </dgm:pt>
    <dgm:pt modelId="{7C1FA040-4399-40F0-866F-845B7914F68D}">
      <dgm:prSet phldrT="[Text]" custT="1"/>
      <dgm:spPr>
        <a:xfrm>
          <a:off x="1161917" y="1599226"/>
          <a:ext cx="118547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9469235">
          <a:off x="2172826" y="1595939"/>
          <a:ext cx="412013" cy="15688"/>
        </a:xfrm>
      </dgm:spPr>
      <dgm:t>
        <a:bodyPr/>
        <a:lstStyle/>
        <a:p>
          <a:endParaRPr lang="en-US"/>
        </a:p>
      </dgm:t>
    </dgm:pt>
    <dgm:pt modelId="{14602118-D739-48CC-85E0-791974AFA995}">
      <dgm:prSet phldrT="[Text]" custT="1"/>
      <dgm:spPr>
        <a:xfrm>
          <a:off x="2431900" y="1816765"/>
          <a:ext cx="1166160"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5310814">
          <a:off x="2902714" y="1706095"/>
          <a:ext cx="205754" cy="15688"/>
        </a:xfrm>
      </dgm:spPr>
      <dgm:t>
        <a:bodyPr/>
        <a:lstStyle/>
        <a:p>
          <a:endParaRPr lang="en-US"/>
        </a:p>
      </dgm:t>
    </dgm:pt>
    <dgm:pt modelId="{DB0D84B1-C440-4746-9EEF-F1ED71D64DD2}">
      <dgm:prSet phldrT="[Text]" custT="1"/>
      <dgm:spPr>
        <a:xfrm>
          <a:off x="3686814" y="1599228"/>
          <a:ext cx="1083094"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1339913">
          <a:off x="3405281" y="1600267"/>
          <a:ext cx="428315" cy="15688"/>
        </a:xfrm>
      </dgm:spPr>
      <dgm:t>
        <a:bodyPr/>
        <a:lstStyle/>
        <a:p>
          <a:endParaRPr lang="en-US"/>
        </a:p>
      </dgm:t>
    </dgm:pt>
    <dgm:pt modelId="{6DAE892F-3F2D-42A5-BB1C-58D0E6BD9A47}">
      <dgm:prSet phldrT="[Text]" custT="1"/>
      <dgm:spPr>
        <a:xfrm>
          <a:off x="4623265" y="1091842"/>
          <a:ext cx="112875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598056">
          <a:off x="3571876" y="1343631"/>
          <a:ext cx="1051389" cy="15688"/>
        </a:xfrm>
      </dgm:spPr>
      <dgm:t>
        <a:bodyPr/>
        <a:lstStyle/>
        <a:p>
          <a:endParaRPr lang="en-US"/>
        </a:p>
      </dgm:t>
    </dgm:pt>
    <dgm:pt modelId="{F0FE4372-65E6-4D92-B9B0-D2B79F26FB27}">
      <dgm:prSet phldrT="[Text]" custT="1"/>
      <dgm:spPr>
        <a:xfrm>
          <a:off x="4493860" y="399485"/>
          <a:ext cx="95566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39227">
          <a:off x="3416518" y="988188"/>
          <a:ext cx="1187650" cy="15688"/>
        </a:xfrm>
      </dgm:spPr>
      <dgm:t>
        <a:bodyPr/>
        <a:lstStyle/>
        <a:p>
          <a:endParaRPr lang="en-US"/>
        </a:p>
      </dgm:t>
    </dgm:pt>
    <dgm:pt modelId="{898446A3-EA8C-4C13-8A65-DF8A110D0838}">
      <dgm:prSet phldrT="[Text]" custT="1"/>
      <dgm:spPr>
        <a:xfrm>
          <a:off x="3565254" y="108069"/>
          <a:ext cx="93183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85007">
          <a:off x="3136860" y="846492"/>
          <a:ext cx="764698" cy="15688"/>
        </a:xfrm>
      </dgm:spPr>
      <dgm:t>
        <a:bodyPr/>
        <a:lstStyle/>
        <a:p>
          <a:endParaRPr lang="en-US"/>
        </a:p>
      </dgm:t>
    </dgm:pt>
    <dgm:pt modelId="{68A5766F-115C-487E-B7CB-4ADE150678D1}">
      <dgm:prSet phldrT="[Text]" custT="1"/>
      <dgm:spPr>
        <a:xfrm>
          <a:off x="2544575" y="3207"/>
          <a:ext cx="90325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710281" y="799317"/>
          <a:ext cx="571840" cy="15688"/>
        </a:xfrm>
      </dgm:spPr>
      <dgm:t>
        <a:bodyPr/>
        <a:lstStyle/>
        <a:p>
          <a:endParaRPr lang="en-US"/>
        </a:p>
      </dgm:t>
    </dgm:pt>
    <dgm:pt modelId="{30FB17EC-C15B-4BC5-A5F8-93316C76A7D4}">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IP &amp; GC</a:t>
          </a:r>
        </a:p>
      </dgm:t>
    </dgm:pt>
    <dgm:pt modelId="{0B9D3332-6506-49A3-B313-03598D7AB1F1}" type="parTrans" cxnId="{D234319B-4C2D-4168-B829-6322CF3AD3F4}">
      <dgm:prSet/>
      <dgm:spPr/>
      <dgm:t>
        <a:bodyPr/>
        <a:lstStyle/>
        <a:p>
          <a:endParaRPr lang="en-US"/>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46597" custScaleY="80160"/>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192395" custScaleY="92452">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02723"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184479" custScaleY="94335" custRadScaleRad="177540" custRadScaleInc="28027">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34928" custScaleY="106461" custRadScaleRad="199386" custRadScaleInc="-71430">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9078" custScaleY="87974" custRadScaleRad="169902" custRadScaleInc="-16886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96687" custRadScaleInc="-198557">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83542" custRadScaleInc="124950">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36735" custScaleY="109229" custRadScaleRad="163082" custRadScaleInc="144805">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07715" custRadScaleRad="203521" custRadScaleInc="51054">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30890" custScaleY="117568" custRadScaleRad="173048" custRadScaleInc="-4335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08433" custRadScaleRad="128221" custRadScaleInc="-81981">
        <dgm:presLayoutVars>
          <dgm:bulletEnabled val="1"/>
        </dgm:presLayoutVars>
      </dgm:prSet>
      <dgm:spPr/>
      <dgm:t>
        <a:bodyPr/>
        <a:lstStyle/>
        <a:p>
          <a:endParaRPr lang="en-US"/>
        </a:p>
      </dgm:t>
    </dgm:pt>
  </dgm:ptLst>
  <dgm:cxnLst>
    <dgm:cxn modelId="{C7DD68AE-99B2-4937-A127-D654A2E99784}" srcId="{A7516A72-1FC0-46ED-AAC4-AF0F7063F737}" destId="{DB0D84B1-C440-4746-9EEF-F1ED71D64DD2}" srcOrd="4" destOrd="0" parTransId="{9E510621-404D-46D6-8EB3-39712C8626D4}" sibTransId="{99C4878C-8523-40E3-93C5-8DC55D31DB77}"/>
    <dgm:cxn modelId="{79DCD86C-78E2-4CC9-BB68-182320209A98}" type="presOf" srcId="{3F89048A-3F9F-4897-8631-4599F4976029}" destId="{4DF1B0BE-A63A-4BEA-9EE5-4168481CC99E}" srcOrd="0" destOrd="0" presId="urn:microsoft.com/office/officeart/2005/8/layout/radial1"/>
    <dgm:cxn modelId="{595A02FA-8720-409F-91D0-39D70A27030E}" type="presOf" srcId="{D94B5549-C2D2-4629-ACDF-33C6E334FA3A}" destId="{905DF954-A0B6-4A5F-9CE2-F1C3ADBDD0C1}" srcOrd="1" destOrd="0" presId="urn:microsoft.com/office/officeart/2005/8/layout/radial1"/>
    <dgm:cxn modelId="{2B941E00-F538-497D-AAF6-72FFD1329EE5}" type="presOf" srcId="{7C1FA040-4399-40F0-866F-845B7914F68D}" destId="{69F18085-0AC3-4BAE-9B16-F8478FFBD61E}" srcOrd="0" destOrd="0" presId="urn:microsoft.com/office/officeart/2005/8/layout/radial1"/>
    <dgm:cxn modelId="{E70D26C9-4D74-4C0A-9DD0-1AE3C22461FF}" type="presOf" srcId="{B4A5C031-92B2-438E-80BC-EAA05F5C7CF7}" destId="{A140118B-14B1-45A7-9CF9-17E4D006F84D}" srcOrd="1" destOrd="0" presId="urn:microsoft.com/office/officeart/2005/8/layout/radial1"/>
    <dgm:cxn modelId="{4A28B57A-D46C-4591-96F4-1B2F03C71725}" type="presOf" srcId="{D22DE764-173E-47DF-9480-722F8D8EA62C}" destId="{5CF8296B-0142-429D-A71A-20799D2EB74B}" srcOrd="0" destOrd="0" presId="urn:microsoft.com/office/officeart/2005/8/layout/radial1"/>
    <dgm:cxn modelId="{BB48938F-BAF9-44A1-880B-4F4AC1150B27}" type="presOf" srcId="{DB0D84B1-C440-4746-9EEF-F1ED71D64DD2}" destId="{66DADE40-99AE-41BE-B997-129EED231064}"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70FF09D1-7C4C-4360-A8B7-3CA651D3DEA9}" type="presOf" srcId="{2F72DDEE-62D3-48A5-836A-4C87596541F0}" destId="{7B59CB2C-C82F-41EE-B3CF-ADD4878ADBA6}" srcOrd="0" destOrd="0" presId="urn:microsoft.com/office/officeart/2005/8/layout/radial1"/>
    <dgm:cxn modelId="{5BA545A2-9D98-41B5-B79B-4A8A122377EC}" type="presOf" srcId="{DB9FEC62-86A7-454A-89B3-F32F1907C71A}" destId="{34515D96-C834-4D67-AF5C-3B293601CBC3}" srcOrd="0" destOrd="0" presId="urn:microsoft.com/office/officeart/2005/8/layout/radial1"/>
    <dgm:cxn modelId="{C148BF09-1E39-4575-BE1A-74A6888A4772}" type="presOf" srcId="{98585C11-761C-43C4-979D-FB1B8BABF102}" destId="{E49C447F-3477-4311-B10B-FFFA7DE7209F}"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996B9653-906A-49F8-9E4B-3836F7905D4E}" srcId="{D981426F-5B7B-4AA5-957A-6E8C9E1A2487}" destId="{A7516A72-1FC0-46ED-AAC4-AF0F7063F737}" srcOrd="0" destOrd="0" parTransId="{D9E0AFEB-65B5-4280-ADD0-766B3ADA6CFD}" sibTransId="{6B1EB84D-437E-47A1-87CB-9027EE716AD0}"/>
    <dgm:cxn modelId="{CAFBDECC-0446-4E57-8549-D97331843E1A}" type="presOf" srcId="{3F89048A-3F9F-4897-8631-4599F4976029}" destId="{32B4D7AF-BD29-4AC4-BA11-37F2AE9561F4}" srcOrd="1" destOrd="0" presId="urn:microsoft.com/office/officeart/2005/8/layout/radial1"/>
    <dgm:cxn modelId="{1EEBC355-4713-42DA-827A-F6A3E5C218F5}" type="presOf" srcId="{44FBC2E2-D754-42C1-BEE4-690296442511}" destId="{402B25BB-F397-46B5-AAB7-C38C2276BF82}" srcOrd="0" destOrd="0" presId="urn:microsoft.com/office/officeart/2005/8/layout/radial1"/>
    <dgm:cxn modelId="{B52FAA7D-1EE7-4C85-A35D-C72902AFFB60}" type="presOf" srcId="{9E510621-404D-46D6-8EB3-39712C8626D4}" destId="{0D3BFC0A-5ED4-4CCF-A336-A529B3363890}" srcOrd="1" destOrd="0" presId="urn:microsoft.com/office/officeart/2005/8/layout/radial1"/>
    <dgm:cxn modelId="{FEB232F2-A8D4-444A-833E-252ED4BEF571}" type="presOf" srcId="{DB9FEC62-86A7-454A-89B3-F32F1907C71A}" destId="{A8CF68B1-7D91-429E-8C8D-53007288E1DC}" srcOrd="1" destOrd="0" presId="urn:microsoft.com/office/officeart/2005/8/layout/radial1"/>
    <dgm:cxn modelId="{A2A50F90-A189-4853-8612-807C019FFF1B}" type="presOf" srcId="{14602118-D739-48CC-85E0-791974AFA995}" destId="{DB594876-4070-4577-942D-67F5CD4D6A19}" srcOrd="0" destOrd="0" presId="urn:microsoft.com/office/officeart/2005/8/layout/radial1"/>
    <dgm:cxn modelId="{1734D512-F410-42CE-839C-E18EBD3F2A96}" type="presOf" srcId="{D22DE764-173E-47DF-9480-722F8D8EA62C}" destId="{48797E66-4F8B-4B79-BCA7-6F88E85CF835}" srcOrd="1" destOrd="0" presId="urn:microsoft.com/office/officeart/2005/8/layout/radial1"/>
    <dgm:cxn modelId="{0BA4E6D3-DA27-4607-A021-DF467D133906}" type="presOf" srcId="{6DAE892F-3F2D-42A5-BB1C-58D0E6BD9A47}" destId="{7E7DDE23-6C04-407D-AAB6-669511EA704E}" srcOrd="0" destOrd="0" presId="urn:microsoft.com/office/officeart/2005/8/layout/radial1"/>
    <dgm:cxn modelId="{D3C7FE10-2514-42A0-A37C-292F89702934}" type="presOf" srcId="{DEF73824-C893-4963-9504-7E97D2FF5253}" destId="{FCC14444-D5E7-4E9C-B980-A27CD799E442}"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75C5934D-8C83-431A-8AAA-2AA0A27DCB87}" type="presOf" srcId="{2628F477-2289-4CEE-9618-96DDAFCD4291}" destId="{49C45DFA-0A15-4DAA-80DC-CAE4ABCC6B43}"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1229807D-6A59-498C-A707-9DD6CEEA0C8D}" srcId="{A7516A72-1FC0-46ED-AAC4-AF0F7063F737}" destId="{F0FE4372-65E6-4D92-B9B0-D2B79F26FB27}" srcOrd="2" destOrd="0" parTransId="{D94B5549-C2D2-4629-ACDF-33C6E334FA3A}" sibTransId="{E2B06661-55BE-4022-AD18-067DB2509F93}"/>
    <dgm:cxn modelId="{FE1169E0-24DF-4FBB-A1C9-8F332C85663A}" srcId="{A7516A72-1FC0-46ED-AAC4-AF0F7063F737}" destId="{6DAE892F-3F2D-42A5-BB1C-58D0E6BD9A47}" srcOrd="3" destOrd="0" parTransId="{D22DE764-173E-47DF-9480-722F8D8EA62C}" sibTransId="{28BD2EB6-8814-456D-B684-C7C0E2C0705F}"/>
    <dgm:cxn modelId="{D234319B-4C2D-4168-B829-6322CF3AD3F4}" srcId="{A7516A72-1FC0-46ED-AAC4-AF0F7063F737}" destId="{30FB17EC-C15B-4BC5-A5F8-93316C76A7D4}" srcOrd="10" destOrd="0" parTransId="{0B9D3332-6506-49A3-B313-03598D7AB1F1}" sibTransId="{CBA5F467-8B69-4E2F-97AD-8C76474C75DA}"/>
    <dgm:cxn modelId="{345C13DF-1D3F-4982-AF23-DC2641540559}" srcId="{A7516A72-1FC0-46ED-AAC4-AF0F7063F737}" destId="{7C1FA040-4399-40F0-866F-845B7914F68D}" srcOrd="6" destOrd="0" parTransId="{98585C11-761C-43C4-979D-FB1B8BABF102}" sibTransId="{82A7CC90-6A4C-422A-B221-BA4CF5B4D442}"/>
    <dgm:cxn modelId="{8DB18D10-DAAC-4952-8A7A-4679B6CA87CF}" type="presOf" srcId="{0B9D3332-6506-49A3-B313-03598D7AB1F1}" destId="{5EA7C01D-B441-4CF8-BC42-1137E519F776}" srcOrd="1" destOrd="0" presId="urn:microsoft.com/office/officeart/2005/8/layout/radial1"/>
    <dgm:cxn modelId="{F8675F30-D536-4E77-A30E-B9D988856DAB}" type="presOf" srcId="{30FB17EC-C15B-4BC5-A5F8-93316C76A7D4}" destId="{0BAA02DA-E841-4BF5-8708-178825E9BEE2}" srcOrd="0" destOrd="0" presId="urn:microsoft.com/office/officeart/2005/8/layout/radial1"/>
    <dgm:cxn modelId="{767D79FF-6ECC-4255-8378-86F931A2CA3B}" type="presOf" srcId="{DEF73824-C893-4963-9504-7E97D2FF5253}" destId="{3EA6B60F-F2E8-4D48-9EC1-CAAE09243949}" srcOrd="1" destOrd="0" presId="urn:microsoft.com/office/officeart/2005/8/layout/radial1"/>
    <dgm:cxn modelId="{A7635B98-7E08-49D8-A7F8-1241E2D94C60}" type="presOf" srcId="{0B9D3332-6506-49A3-B313-03598D7AB1F1}" destId="{EA581F84-B016-4CDB-99D6-9E3DD9F505FC}" srcOrd="0" destOrd="0" presId="urn:microsoft.com/office/officeart/2005/8/layout/radial1"/>
    <dgm:cxn modelId="{077717FA-A8F4-4186-87AE-08C0688F6F97}" type="presOf" srcId="{D981426F-5B7B-4AA5-957A-6E8C9E1A2487}" destId="{9D8B49BD-1DF7-4888-9A7E-2CFD4320CC2B}" srcOrd="0" destOrd="0" presId="urn:microsoft.com/office/officeart/2005/8/layout/radial1"/>
    <dgm:cxn modelId="{98DF536C-2A79-4207-9707-CD61F2E29C3A}" type="presOf" srcId="{BA28F4A6-AD16-499D-88C1-DBE004B28175}" destId="{E6ACA703-0949-41B3-BE6B-C702E5C7275F}" srcOrd="0" destOrd="0" presId="urn:microsoft.com/office/officeart/2005/8/layout/radial1"/>
    <dgm:cxn modelId="{E8BF5C2D-4126-4803-8CB1-6FCE8CDC9ADE}" type="presOf" srcId="{898446A3-EA8C-4C13-8A65-DF8A110D0838}" destId="{D9366F31-B7D7-4B43-830C-AD5E2193A794}" srcOrd="0" destOrd="0" presId="urn:microsoft.com/office/officeart/2005/8/layout/radial1"/>
    <dgm:cxn modelId="{897DCA6E-B00D-4633-A932-42F24F9AF848}" type="presOf" srcId="{B4A5C031-92B2-438E-80BC-EAA05F5C7CF7}" destId="{EFB9CB5A-411C-454B-96B1-9ED988829CBE}" srcOrd="0" destOrd="0" presId="urn:microsoft.com/office/officeart/2005/8/layout/radial1"/>
    <dgm:cxn modelId="{A477C323-2D50-4612-8686-B628A238CD4A}" type="presOf" srcId="{98585C11-761C-43C4-979D-FB1B8BABF102}" destId="{B930024E-8665-4782-9C41-36517A71FCD4}" srcOrd="1" destOrd="0" presId="urn:microsoft.com/office/officeart/2005/8/layout/radial1"/>
    <dgm:cxn modelId="{7593ACB4-0F9F-44A9-BBEC-14CB2F869623}" type="presOf" srcId="{D94B5549-C2D2-4629-ACDF-33C6E334FA3A}" destId="{3F0F15B6-4D5A-493B-B03E-AE8141DC3DCE}" srcOrd="0" destOrd="0" presId="urn:microsoft.com/office/officeart/2005/8/layout/radial1"/>
    <dgm:cxn modelId="{C2B58DD1-E748-44C9-807D-EA93A748DD7D}" type="presOf" srcId="{2F72DDEE-62D3-48A5-836A-4C87596541F0}" destId="{280B3AB5-4999-4B99-8BE9-E09C9DF5D482}" srcOrd="1" destOrd="0" presId="urn:microsoft.com/office/officeart/2005/8/layout/radial1"/>
    <dgm:cxn modelId="{1E3E3480-E35C-4B79-BBB1-DD3A530ED38D}" type="presOf" srcId="{A7516A72-1FC0-46ED-AAC4-AF0F7063F737}" destId="{493DA7EC-5D69-41B7-92E4-ED7ED9F48883}"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B1B377B5-D449-48C0-AA32-99269B05F167}" type="presOf" srcId="{9E510621-404D-46D6-8EB3-39712C8626D4}" destId="{DC281168-2DBC-4CFB-B21D-C54E9628B383}"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AC6A76E3-A286-449E-834B-55DC7C782179}" type="presOf" srcId="{F0FE4372-65E6-4D92-B9B0-D2B79F26FB27}" destId="{ECD2D13D-466C-468B-BD6C-1B646D8E5B8E}" srcOrd="0" destOrd="0" presId="urn:microsoft.com/office/officeart/2005/8/layout/radial1"/>
    <dgm:cxn modelId="{A89BBFEF-774A-4B69-BEE4-FE5816117B81}" type="presOf" srcId="{D460D018-736B-4CE5-A14B-061F8EFE829B}" destId="{5AF8D9AC-0C15-4D1B-BCD3-7FFCFF0A581D}" srcOrd="0" destOrd="0" presId="urn:microsoft.com/office/officeart/2005/8/layout/radial1"/>
    <dgm:cxn modelId="{627E99D2-C2A4-48C6-A269-23E4C1D7F035}" type="presOf" srcId="{68A5766F-115C-487E-B7CB-4ADE150678D1}" destId="{AFD0CC05-9AD4-4A51-8739-4FB4CA1E4ACE}" srcOrd="0" destOrd="0" presId="urn:microsoft.com/office/officeart/2005/8/layout/radial1"/>
    <dgm:cxn modelId="{BFD1FD76-1B41-4016-93FD-BDB5EBA24857}" type="presOf" srcId="{BA28F4A6-AD16-499D-88C1-DBE004B28175}" destId="{B06AADB2-5D51-41DC-8677-C0CC2357518B}" srcOrd="1" destOrd="0" presId="urn:microsoft.com/office/officeart/2005/8/layout/radial1"/>
    <dgm:cxn modelId="{78E9175F-CFED-4016-B0FE-75C55A80169A}" type="presParOf" srcId="{9D8B49BD-1DF7-4888-9A7E-2CFD4320CC2B}" destId="{493DA7EC-5D69-41B7-92E4-ED7ED9F48883}" srcOrd="0" destOrd="0" presId="urn:microsoft.com/office/officeart/2005/8/layout/radial1"/>
    <dgm:cxn modelId="{0CB0C005-DFB5-4D2F-8BB4-2C09649CD9B3}" type="presParOf" srcId="{9D8B49BD-1DF7-4888-9A7E-2CFD4320CC2B}" destId="{E6ACA703-0949-41B3-BE6B-C702E5C7275F}" srcOrd="1" destOrd="0" presId="urn:microsoft.com/office/officeart/2005/8/layout/radial1"/>
    <dgm:cxn modelId="{9E64FC97-9725-4B1C-8AA9-96CD9AAB6E6F}" type="presParOf" srcId="{E6ACA703-0949-41B3-BE6B-C702E5C7275F}" destId="{B06AADB2-5D51-41DC-8677-C0CC2357518B}" srcOrd="0" destOrd="0" presId="urn:microsoft.com/office/officeart/2005/8/layout/radial1"/>
    <dgm:cxn modelId="{E731905B-3BFB-46F6-AA84-5E6CC0BE6418}" type="presParOf" srcId="{9D8B49BD-1DF7-4888-9A7E-2CFD4320CC2B}" destId="{AFD0CC05-9AD4-4A51-8739-4FB4CA1E4ACE}" srcOrd="2" destOrd="0" presId="urn:microsoft.com/office/officeart/2005/8/layout/radial1"/>
    <dgm:cxn modelId="{8CB47875-5E3F-4FE1-9C3E-B83EF50BCEC3}" type="presParOf" srcId="{9D8B49BD-1DF7-4888-9A7E-2CFD4320CC2B}" destId="{34515D96-C834-4D67-AF5C-3B293601CBC3}" srcOrd="3" destOrd="0" presId="urn:microsoft.com/office/officeart/2005/8/layout/radial1"/>
    <dgm:cxn modelId="{6C01419F-99AC-4998-9498-C227CA658A3A}" type="presParOf" srcId="{34515D96-C834-4D67-AF5C-3B293601CBC3}" destId="{A8CF68B1-7D91-429E-8C8D-53007288E1DC}" srcOrd="0" destOrd="0" presId="urn:microsoft.com/office/officeart/2005/8/layout/radial1"/>
    <dgm:cxn modelId="{21348089-9B8D-4130-AEFE-400E06BF4C2C}" type="presParOf" srcId="{9D8B49BD-1DF7-4888-9A7E-2CFD4320CC2B}" destId="{D9366F31-B7D7-4B43-830C-AD5E2193A794}" srcOrd="4" destOrd="0" presId="urn:microsoft.com/office/officeart/2005/8/layout/radial1"/>
    <dgm:cxn modelId="{6093CEEE-38B9-4F34-9B30-3378C0D9CE54}" type="presParOf" srcId="{9D8B49BD-1DF7-4888-9A7E-2CFD4320CC2B}" destId="{3F0F15B6-4D5A-493B-B03E-AE8141DC3DCE}" srcOrd="5" destOrd="0" presId="urn:microsoft.com/office/officeart/2005/8/layout/radial1"/>
    <dgm:cxn modelId="{920B2E06-6D21-416C-85AE-7A8F5A45955A}" type="presParOf" srcId="{3F0F15B6-4D5A-493B-B03E-AE8141DC3DCE}" destId="{905DF954-A0B6-4A5F-9CE2-F1C3ADBDD0C1}" srcOrd="0" destOrd="0" presId="urn:microsoft.com/office/officeart/2005/8/layout/radial1"/>
    <dgm:cxn modelId="{D31F4331-EC30-4A83-A86B-D1DE5E97E00E}" type="presParOf" srcId="{9D8B49BD-1DF7-4888-9A7E-2CFD4320CC2B}" destId="{ECD2D13D-466C-468B-BD6C-1B646D8E5B8E}" srcOrd="6" destOrd="0" presId="urn:microsoft.com/office/officeart/2005/8/layout/radial1"/>
    <dgm:cxn modelId="{0443FBE1-4DA6-4310-82CE-64C7FC2CBD43}" type="presParOf" srcId="{9D8B49BD-1DF7-4888-9A7E-2CFD4320CC2B}" destId="{5CF8296B-0142-429D-A71A-20799D2EB74B}" srcOrd="7" destOrd="0" presId="urn:microsoft.com/office/officeart/2005/8/layout/radial1"/>
    <dgm:cxn modelId="{8A0A93A8-DB6D-4362-8D8A-37AE69F6BFD5}" type="presParOf" srcId="{5CF8296B-0142-429D-A71A-20799D2EB74B}" destId="{48797E66-4F8B-4B79-BCA7-6F88E85CF835}" srcOrd="0" destOrd="0" presId="urn:microsoft.com/office/officeart/2005/8/layout/radial1"/>
    <dgm:cxn modelId="{62109925-CE40-4EB9-8D64-70C0AB2B03F3}" type="presParOf" srcId="{9D8B49BD-1DF7-4888-9A7E-2CFD4320CC2B}" destId="{7E7DDE23-6C04-407D-AAB6-669511EA704E}" srcOrd="8" destOrd="0" presId="urn:microsoft.com/office/officeart/2005/8/layout/radial1"/>
    <dgm:cxn modelId="{6C4FC54B-4AB9-493F-958E-ABB58BF54E43}" type="presParOf" srcId="{9D8B49BD-1DF7-4888-9A7E-2CFD4320CC2B}" destId="{DC281168-2DBC-4CFB-B21D-C54E9628B383}" srcOrd="9" destOrd="0" presId="urn:microsoft.com/office/officeart/2005/8/layout/radial1"/>
    <dgm:cxn modelId="{92150378-A4AF-44AC-9666-13CB14FB0673}" type="presParOf" srcId="{DC281168-2DBC-4CFB-B21D-C54E9628B383}" destId="{0D3BFC0A-5ED4-4CCF-A336-A529B3363890}" srcOrd="0" destOrd="0" presId="urn:microsoft.com/office/officeart/2005/8/layout/radial1"/>
    <dgm:cxn modelId="{7D3CF2B9-12EE-4286-92E9-072601A60611}" type="presParOf" srcId="{9D8B49BD-1DF7-4888-9A7E-2CFD4320CC2B}" destId="{66DADE40-99AE-41BE-B997-129EED231064}" srcOrd="10" destOrd="0" presId="urn:microsoft.com/office/officeart/2005/8/layout/radial1"/>
    <dgm:cxn modelId="{3118B1B6-090C-4C00-B175-A9A0DBBB264C}" type="presParOf" srcId="{9D8B49BD-1DF7-4888-9A7E-2CFD4320CC2B}" destId="{4DF1B0BE-A63A-4BEA-9EE5-4168481CC99E}" srcOrd="11" destOrd="0" presId="urn:microsoft.com/office/officeart/2005/8/layout/radial1"/>
    <dgm:cxn modelId="{444C8781-0089-4482-A876-900645064FDB}" type="presParOf" srcId="{4DF1B0BE-A63A-4BEA-9EE5-4168481CC99E}" destId="{32B4D7AF-BD29-4AC4-BA11-37F2AE9561F4}" srcOrd="0" destOrd="0" presId="urn:microsoft.com/office/officeart/2005/8/layout/radial1"/>
    <dgm:cxn modelId="{C1BF2340-EC4D-4C0F-B0E2-379D9549DA32}" type="presParOf" srcId="{9D8B49BD-1DF7-4888-9A7E-2CFD4320CC2B}" destId="{DB594876-4070-4577-942D-67F5CD4D6A19}" srcOrd="12" destOrd="0" presId="urn:microsoft.com/office/officeart/2005/8/layout/radial1"/>
    <dgm:cxn modelId="{0EEC4D63-CA0D-4167-8A88-C97D3162E92E}" type="presParOf" srcId="{9D8B49BD-1DF7-4888-9A7E-2CFD4320CC2B}" destId="{E49C447F-3477-4311-B10B-FFFA7DE7209F}" srcOrd="13" destOrd="0" presId="urn:microsoft.com/office/officeart/2005/8/layout/radial1"/>
    <dgm:cxn modelId="{90836477-0144-45CE-B67C-B731811014A0}" type="presParOf" srcId="{E49C447F-3477-4311-B10B-FFFA7DE7209F}" destId="{B930024E-8665-4782-9C41-36517A71FCD4}" srcOrd="0" destOrd="0" presId="urn:microsoft.com/office/officeart/2005/8/layout/radial1"/>
    <dgm:cxn modelId="{5B9F58CB-4BDF-409C-9F46-44C9917F1433}" type="presParOf" srcId="{9D8B49BD-1DF7-4888-9A7E-2CFD4320CC2B}" destId="{69F18085-0AC3-4BAE-9B16-F8478FFBD61E}" srcOrd="14" destOrd="0" presId="urn:microsoft.com/office/officeart/2005/8/layout/radial1"/>
    <dgm:cxn modelId="{EF2554F7-8B2D-4B52-9A2A-493FF0C2E282}" type="presParOf" srcId="{9D8B49BD-1DF7-4888-9A7E-2CFD4320CC2B}" destId="{FCC14444-D5E7-4E9C-B980-A27CD799E442}" srcOrd="15" destOrd="0" presId="urn:microsoft.com/office/officeart/2005/8/layout/radial1"/>
    <dgm:cxn modelId="{1851860B-7550-4E93-A9C1-DC09E41DD453}" type="presParOf" srcId="{FCC14444-D5E7-4E9C-B980-A27CD799E442}" destId="{3EA6B60F-F2E8-4D48-9EC1-CAAE09243949}" srcOrd="0" destOrd="0" presId="urn:microsoft.com/office/officeart/2005/8/layout/radial1"/>
    <dgm:cxn modelId="{FF6BB669-B901-482C-AFA0-061691FB0250}" type="presParOf" srcId="{9D8B49BD-1DF7-4888-9A7E-2CFD4320CC2B}" destId="{49C45DFA-0A15-4DAA-80DC-CAE4ABCC6B43}" srcOrd="16" destOrd="0" presId="urn:microsoft.com/office/officeart/2005/8/layout/radial1"/>
    <dgm:cxn modelId="{15B1208D-9955-40DB-8AC4-464E7FDB031F}" type="presParOf" srcId="{9D8B49BD-1DF7-4888-9A7E-2CFD4320CC2B}" destId="{7B59CB2C-C82F-41EE-B3CF-ADD4878ADBA6}" srcOrd="17" destOrd="0" presId="urn:microsoft.com/office/officeart/2005/8/layout/radial1"/>
    <dgm:cxn modelId="{24F63F07-5A29-4F03-AB9B-0D410DC1A0EC}" type="presParOf" srcId="{7B59CB2C-C82F-41EE-B3CF-ADD4878ADBA6}" destId="{280B3AB5-4999-4B99-8BE9-E09C9DF5D482}" srcOrd="0" destOrd="0" presId="urn:microsoft.com/office/officeart/2005/8/layout/radial1"/>
    <dgm:cxn modelId="{53D7F51D-2AE8-411D-B7BB-BE2925D2261F}" type="presParOf" srcId="{9D8B49BD-1DF7-4888-9A7E-2CFD4320CC2B}" destId="{402B25BB-F397-46B5-AAB7-C38C2276BF82}" srcOrd="18" destOrd="0" presId="urn:microsoft.com/office/officeart/2005/8/layout/radial1"/>
    <dgm:cxn modelId="{D743C6B4-9F70-48CD-97D2-DB1C7DB96979}" type="presParOf" srcId="{9D8B49BD-1DF7-4888-9A7E-2CFD4320CC2B}" destId="{EFB9CB5A-411C-454B-96B1-9ED988829CBE}" srcOrd="19" destOrd="0" presId="urn:microsoft.com/office/officeart/2005/8/layout/radial1"/>
    <dgm:cxn modelId="{49B755A0-914B-4F02-8B1B-24BA236A3565}" type="presParOf" srcId="{EFB9CB5A-411C-454B-96B1-9ED988829CBE}" destId="{A140118B-14B1-45A7-9CF9-17E4D006F84D}" srcOrd="0" destOrd="0" presId="urn:microsoft.com/office/officeart/2005/8/layout/radial1"/>
    <dgm:cxn modelId="{E9766ACB-6B3E-4E93-A12A-D335F3A44002}" type="presParOf" srcId="{9D8B49BD-1DF7-4888-9A7E-2CFD4320CC2B}" destId="{5AF8D9AC-0C15-4D1B-BCD3-7FFCFF0A581D}" srcOrd="20" destOrd="0" presId="urn:microsoft.com/office/officeart/2005/8/layout/radial1"/>
    <dgm:cxn modelId="{7DEECB52-E276-4784-8423-AE5D621CFAEF}" type="presParOf" srcId="{9D8B49BD-1DF7-4888-9A7E-2CFD4320CC2B}" destId="{EA581F84-B016-4CDB-99D6-9E3DD9F505FC}" srcOrd="21" destOrd="0" presId="urn:microsoft.com/office/officeart/2005/8/layout/radial1"/>
    <dgm:cxn modelId="{8ADE627C-C98D-4A33-902F-63F6AB9E1939}" type="presParOf" srcId="{EA581F84-B016-4CDB-99D6-9E3DD9F505FC}" destId="{5EA7C01D-B441-4CF8-BC42-1137E519F776}" srcOrd="0" destOrd="0" presId="urn:microsoft.com/office/officeart/2005/8/layout/radial1"/>
    <dgm:cxn modelId="{E4E3C6B0-2691-44FC-B091-9AE1530CB20E}"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7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436106" y="805810"/>
          <a:ext cx="1028490"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dsp:txBody>
      <dsp:txXfrm>
        <a:off x="2586725" y="875916"/>
        <a:ext cx="727252" cy="338500"/>
      </dsp:txXfrm>
    </dsp:sp>
    <dsp:sp modelId="{2E00D982-49D5-455F-888E-68E4C81A2365}">
      <dsp:nvSpPr>
        <dsp:cNvPr id="0" name=""/>
        <dsp:cNvSpPr/>
      </dsp:nvSpPr>
      <dsp:spPr>
        <a:xfrm rot="16200000">
          <a:off x="2782625" y="630836"/>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1964" y="646470"/>
        <a:ext cx="0" cy="0"/>
      </dsp:txXfrm>
    </dsp:sp>
    <dsp:sp modelId="{44473C27-A9A3-4167-AEAF-A01C156E33F0}">
      <dsp:nvSpPr>
        <dsp:cNvPr id="0" name=""/>
        <dsp:cNvSpPr/>
      </dsp:nvSpPr>
      <dsp:spPr>
        <a:xfrm>
          <a:off x="2493170" y="-8353"/>
          <a:ext cx="914360"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sp:txBody>
      <dsp:txXfrm>
        <a:off x="2627075" y="61753"/>
        <a:ext cx="646550" cy="338500"/>
      </dsp:txXfrm>
    </dsp:sp>
    <dsp:sp modelId="{3FE6E2C5-0D84-4EA6-8A7C-D44D396A169E}">
      <dsp:nvSpPr>
        <dsp:cNvPr id="0" name=""/>
        <dsp:cNvSpPr/>
      </dsp:nvSpPr>
      <dsp:spPr>
        <a:xfrm rot="19792485">
          <a:off x="3255813" y="790617"/>
          <a:ext cx="24144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68284" y="795675"/>
        <a:ext cx="0" cy="0"/>
      </dsp:txXfrm>
    </dsp:sp>
    <dsp:sp modelId="{5F1C34CD-B8DF-45F7-A431-2126D61FFACC}">
      <dsp:nvSpPr>
        <dsp:cNvPr id="0" name=""/>
        <dsp:cNvSpPr/>
      </dsp:nvSpPr>
      <dsp:spPr>
        <a:xfrm>
          <a:off x="3343092" y="308810"/>
          <a:ext cx="894896"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sp:txBody>
      <dsp:txXfrm>
        <a:off x="3474146" y="381688"/>
        <a:ext cx="632788" cy="351885"/>
      </dsp:txXfrm>
    </dsp:sp>
    <dsp:sp modelId="{93B3BE9E-D237-4DD9-937C-973455BC3658}">
      <dsp:nvSpPr>
        <dsp:cNvPr id="0" name=""/>
        <dsp:cNvSpPr/>
      </dsp:nvSpPr>
      <dsp:spPr>
        <a:xfrm rot="13">
          <a:off x="3464596" y="1037921"/>
          <a:ext cx="998832"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39042" y="1020199"/>
        <a:ext cx="0" cy="0"/>
      </dsp:txXfrm>
    </dsp:sp>
    <dsp:sp modelId="{3A26272E-8DBD-422F-ABA2-A3DA0C9B3C69}">
      <dsp:nvSpPr>
        <dsp:cNvPr id="0" name=""/>
        <dsp:cNvSpPr/>
      </dsp:nvSpPr>
      <dsp:spPr>
        <a:xfrm>
          <a:off x="4463429" y="777105"/>
          <a:ext cx="1134530" cy="5361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4629577" y="855621"/>
        <a:ext cx="802234" cy="379107"/>
      </dsp:txXfrm>
    </dsp:sp>
    <dsp:sp modelId="{7F30A5E4-3531-49F3-AC3C-8F1D2236451A}">
      <dsp:nvSpPr>
        <dsp:cNvPr id="0" name=""/>
        <dsp:cNvSpPr/>
      </dsp:nvSpPr>
      <dsp:spPr>
        <a:xfrm rot="1548004">
          <a:off x="3291069" y="1280019"/>
          <a:ext cx="320180"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47437" y="1276577"/>
        <a:ext cx="0" cy="0"/>
      </dsp:txXfrm>
    </dsp:sp>
    <dsp:sp modelId="{E01DCF12-19AC-4734-9210-5F881573D3F5}">
      <dsp:nvSpPr>
        <dsp:cNvPr id="0" name=""/>
        <dsp:cNvSpPr/>
      </dsp:nvSpPr>
      <dsp:spPr>
        <a:xfrm>
          <a:off x="3436946" y="1287726"/>
          <a:ext cx="1043838"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sp:txBody>
      <dsp:txXfrm>
        <a:off x="3589813" y="1359478"/>
        <a:ext cx="738104" cy="346448"/>
      </dsp:txXfrm>
    </dsp:sp>
    <dsp:sp modelId="{9350C245-A165-4791-BD7A-BFCED0BB0361}">
      <dsp:nvSpPr>
        <dsp:cNvPr id="0" name=""/>
        <dsp:cNvSpPr/>
      </dsp:nvSpPr>
      <dsp:spPr>
        <a:xfrm rot="5400000">
          <a:off x="2799813" y="1427811"/>
          <a:ext cx="301074"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57877" y="1427533"/>
        <a:ext cx="0" cy="0"/>
      </dsp:txXfrm>
    </dsp:sp>
    <dsp:sp modelId="{C7416AF2-49A6-451C-80C3-A5143C86D045}">
      <dsp:nvSpPr>
        <dsp:cNvPr id="0" name=""/>
        <dsp:cNvSpPr/>
      </dsp:nvSpPr>
      <dsp:spPr>
        <a:xfrm>
          <a:off x="2424834" y="1585597"/>
          <a:ext cx="1051033" cy="5474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sp:txBody>
      <dsp:txXfrm>
        <a:off x="2578754" y="1665771"/>
        <a:ext cx="743193" cy="387117"/>
      </dsp:txXfrm>
    </dsp:sp>
    <dsp:sp modelId="{2A6DC4FF-B426-4171-A201-27B83DA94370}">
      <dsp:nvSpPr>
        <dsp:cNvPr id="0" name=""/>
        <dsp:cNvSpPr/>
      </dsp:nvSpPr>
      <dsp:spPr>
        <a:xfrm rot="9410013">
          <a:off x="2311704" y="1253218"/>
          <a:ext cx="270999"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56096" y="1264030"/>
        <a:ext cx="0" cy="0"/>
      </dsp:txXfrm>
    </dsp:sp>
    <dsp:sp modelId="{353BAFE4-0977-4589-9534-7471241857D7}">
      <dsp:nvSpPr>
        <dsp:cNvPr id="0" name=""/>
        <dsp:cNvSpPr/>
      </dsp:nvSpPr>
      <dsp:spPr>
        <a:xfrm>
          <a:off x="1316830" y="1209211"/>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dsp:txBody>
      <dsp:txXfrm>
        <a:off x="1483514" y="1294569"/>
        <a:ext cx="804824" cy="412145"/>
      </dsp:txXfrm>
    </dsp:sp>
    <dsp:sp modelId="{D3C62D02-BD66-40AA-8598-E6F03FA4330E}">
      <dsp:nvSpPr>
        <dsp:cNvPr id="0" name=""/>
        <dsp:cNvSpPr/>
      </dsp:nvSpPr>
      <dsp:spPr>
        <a:xfrm rot="10800000">
          <a:off x="1353520" y="1037917"/>
          <a:ext cx="1082585"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21877" y="1072231"/>
        <a:ext cx="0" cy="0"/>
      </dsp:txXfrm>
    </dsp:sp>
    <dsp:sp modelId="{694C81C6-3E54-45BC-9ED9-5944CBD672A7}">
      <dsp:nvSpPr>
        <dsp:cNvPr id="0" name=""/>
        <dsp:cNvSpPr/>
      </dsp:nvSpPr>
      <dsp:spPr>
        <a:xfrm>
          <a:off x="304785" y="760059"/>
          <a:ext cx="1048735" cy="5702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IP &amp; Global Challenges </a:t>
          </a:r>
        </a:p>
      </dsp:txBody>
      <dsp:txXfrm>
        <a:off x="458369" y="843565"/>
        <a:ext cx="741567" cy="403201"/>
      </dsp:txXfrm>
    </dsp:sp>
    <dsp:sp modelId="{98E66AFE-BCED-48F2-B78A-230BF42B9FFC}">
      <dsp:nvSpPr>
        <dsp:cNvPr id="0" name=""/>
        <dsp:cNvSpPr/>
      </dsp:nvSpPr>
      <dsp:spPr>
        <a:xfrm rot="12476106">
          <a:off x="2415621" y="809409"/>
          <a:ext cx="207581"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21565" y="823673"/>
        <a:ext cx="0" cy="0"/>
      </dsp:txXfrm>
    </dsp:sp>
    <dsp:sp modelId="{A8CAB3F2-A4A1-434C-9CB4-641DE8526482}">
      <dsp:nvSpPr>
        <dsp:cNvPr id="0" name=""/>
        <dsp:cNvSpPr/>
      </dsp:nvSpPr>
      <dsp:spPr>
        <a:xfrm>
          <a:off x="1495271" y="284920"/>
          <a:ext cx="1101532" cy="56145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 </a:t>
          </a:r>
        </a:p>
      </dsp:txBody>
      <dsp:txXfrm>
        <a:off x="1656587" y="367143"/>
        <a:ext cx="778900" cy="397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33625" y="538314"/>
          <a:ext cx="1085848"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a:t>
          </a:r>
        </a:p>
      </dsp:txBody>
      <dsp:txXfrm>
        <a:off x="2492644" y="598213"/>
        <a:ext cx="767810" cy="289221"/>
      </dsp:txXfrm>
    </dsp:sp>
    <dsp:sp modelId="{4AC11394-3179-4EC5-A97F-D1A1B521CE2F}">
      <dsp:nvSpPr>
        <dsp:cNvPr id="0" name=""/>
        <dsp:cNvSpPr/>
      </dsp:nvSpPr>
      <dsp:spPr>
        <a:xfrm rot="1134">
          <a:off x="3419473" y="736731"/>
          <a:ext cx="769072"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4783" y="723903"/>
        <a:ext cx="38453" cy="38453"/>
      </dsp:txXfrm>
    </dsp:sp>
    <dsp:sp modelId="{035B4C9A-0916-4FCC-A1CF-85DB358A289A}">
      <dsp:nvSpPr>
        <dsp:cNvPr id="0" name=""/>
        <dsp:cNvSpPr/>
      </dsp:nvSpPr>
      <dsp:spPr>
        <a:xfrm>
          <a:off x="4188545" y="516645"/>
          <a:ext cx="1459781" cy="4537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4402325" y="583088"/>
        <a:ext cx="1032221" cy="320818"/>
      </dsp:txXfrm>
    </dsp:sp>
    <dsp:sp modelId="{ADF94B70-0D7F-4A27-8DF9-17BCD27F4A7A}">
      <dsp:nvSpPr>
        <dsp:cNvPr id="0" name=""/>
        <dsp:cNvSpPr/>
      </dsp:nvSpPr>
      <dsp:spPr>
        <a:xfrm rot="10801296">
          <a:off x="1728239" y="736106"/>
          <a:ext cx="605386"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15798" y="727370"/>
        <a:ext cx="30269" cy="30269"/>
      </dsp:txXfrm>
    </dsp:sp>
    <dsp:sp modelId="{0FAF3FA1-8E6C-455E-B189-A468B3F4D8BC}">
      <dsp:nvSpPr>
        <dsp:cNvPr id="0" name=""/>
        <dsp:cNvSpPr/>
      </dsp:nvSpPr>
      <dsp:spPr>
        <a:xfrm>
          <a:off x="466725" y="515049"/>
          <a:ext cx="1261513" cy="454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  </a:t>
          </a: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sp:txBody>
      <dsp:txXfrm>
        <a:off x="651469" y="581566"/>
        <a:ext cx="892025" cy="32117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61096" y="600989"/>
          <a:ext cx="1103797" cy="3453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dsp:txBody>
      <dsp:txXfrm>
        <a:off x="2522743" y="651562"/>
        <a:ext cx="780503" cy="244186"/>
      </dsp:txXfrm>
    </dsp:sp>
    <dsp:sp modelId="{5337AE63-3722-42CC-AF72-36670EB7C5E1}">
      <dsp:nvSpPr>
        <dsp:cNvPr id="0" name=""/>
        <dsp:cNvSpPr/>
      </dsp:nvSpPr>
      <dsp:spPr>
        <a:xfrm rot="16230375">
          <a:off x="2812178" y="492344"/>
          <a:ext cx="206508" cy="10791"/>
        </a:xfrm>
        <a:custGeom>
          <a:avLst/>
          <a:gdLst/>
          <a:ahLst/>
          <a:cxnLst/>
          <a:rect l="0" t="0" r="0" b="0"/>
          <a:pathLst>
            <a:path>
              <a:moveTo>
                <a:pt x="0" y="5395"/>
              </a:moveTo>
              <a:lnTo>
                <a:pt x="225111"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10225" y="502856"/>
        <a:ext cx="0" cy="0"/>
      </dsp:txXfrm>
    </dsp:sp>
    <dsp:sp modelId="{CED9197C-8322-406B-917C-172FA36E7B76}">
      <dsp:nvSpPr>
        <dsp:cNvPr id="0" name=""/>
        <dsp:cNvSpPr/>
      </dsp:nvSpPr>
      <dsp:spPr>
        <a:xfrm>
          <a:off x="2480061" y="-16033"/>
          <a:ext cx="876195" cy="410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sp:txBody>
      <dsp:txXfrm>
        <a:off x="2608377" y="44087"/>
        <a:ext cx="619563" cy="290284"/>
      </dsp:txXfrm>
    </dsp:sp>
    <dsp:sp modelId="{4AC11394-3179-4EC5-A97F-D1A1B521CE2F}">
      <dsp:nvSpPr>
        <dsp:cNvPr id="0" name=""/>
        <dsp:cNvSpPr/>
      </dsp:nvSpPr>
      <dsp:spPr>
        <a:xfrm rot="20484300">
          <a:off x="3272956" y="544884"/>
          <a:ext cx="607960" cy="10791"/>
        </a:xfrm>
        <a:custGeom>
          <a:avLst/>
          <a:gdLst/>
          <a:ahLst/>
          <a:cxnLst/>
          <a:rect l="0" t="0" r="0" b="0"/>
          <a:pathLst>
            <a:path>
              <a:moveTo>
                <a:pt x="0" y="5395"/>
              </a:moveTo>
              <a:lnTo>
                <a:pt x="653366"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57685" y="540720"/>
        <a:ext cx="0" cy="0"/>
      </dsp:txXfrm>
    </dsp:sp>
    <dsp:sp modelId="{035B4C9A-0916-4FCC-A1CF-85DB358A289A}">
      <dsp:nvSpPr>
        <dsp:cNvPr id="0" name=""/>
        <dsp:cNvSpPr/>
      </dsp:nvSpPr>
      <dsp:spPr>
        <a:xfrm>
          <a:off x="3646269" y="98244"/>
          <a:ext cx="1335474" cy="4081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3841845" y="158010"/>
        <a:ext cx="944322" cy="288578"/>
      </dsp:txXfrm>
    </dsp:sp>
    <dsp:sp modelId="{ADF94B70-0D7F-4A27-8DF9-17BCD27F4A7A}">
      <dsp:nvSpPr>
        <dsp:cNvPr id="0" name=""/>
        <dsp:cNvSpPr/>
      </dsp:nvSpPr>
      <dsp:spPr>
        <a:xfrm rot="21594334">
          <a:off x="3464885" y="766378"/>
          <a:ext cx="1179808" cy="10791"/>
        </a:xfrm>
        <a:custGeom>
          <a:avLst/>
          <a:gdLst/>
          <a:ahLst/>
          <a:cxnLst/>
          <a:rect l="0" t="0" r="0" b="0"/>
          <a:pathLst>
            <a:path>
              <a:moveTo>
                <a:pt x="0" y="5395"/>
              </a:moveTo>
              <a:lnTo>
                <a:pt x="1258892"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25245" y="742328"/>
        <a:ext cx="0" cy="0"/>
      </dsp:txXfrm>
    </dsp:sp>
    <dsp:sp modelId="{0FAF3FA1-8E6C-455E-B189-A468B3F4D8BC}">
      <dsp:nvSpPr>
        <dsp:cNvPr id="0" name=""/>
        <dsp:cNvSpPr/>
      </dsp:nvSpPr>
      <dsp:spPr>
        <a:xfrm>
          <a:off x="4644688" y="556667"/>
          <a:ext cx="1043844" cy="4265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97555" y="619134"/>
        <a:ext cx="738110" cy="301614"/>
      </dsp:txXfrm>
    </dsp:sp>
    <dsp:sp modelId="{447FEE0B-EFE1-4BAD-80EF-66C3DD36014A}">
      <dsp:nvSpPr>
        <dsp:cNvPr id="0" name=""/>
        <dsp:cNvSpPr/>
      </dsp:nvSpPr>
      <dsp:spPr>
        <a:xfrm rot="1014511">
          <a:off x="3297789" y="962793"/>
          <a:ext cx="510293" cy="10791"/>
        </a:xfrm>
        <a:custGeom>
          <a:avLst/>
          <a:gdLst/>
          <a:ahLst/>
          <a:cxnLst/>
          <a:rect l="0" t="0" r="0" b="0"/>
          <a:pathLst>
            <a:path>
              <a:moveTo>
                <a:pt x="0" y="5395"/>
              </a:moveTo>
              <a:lnTo>
                <a:pt x="667894"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44440" y="952272"/>
        <a:ext cx="0" cy="0"/>
      </dsp:txXfrm>
    </dsp:sp>
    <dsp:sp modelId="{3F1A2A14-E080-4448-96C3-A8E6002E7EE2}">
      <dsp:nvSpPr>
        <dsp:cNvPr id="0" name=""/>
        <dsp:cNvSpPr/>
      </dsp:nvSpPr>
      <dsp:spPr>
        <a:xfrm>
          <a:off x="3688839" y="932078"/>
          <a:ext cx="1194578" cy="5179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63781" y="1007935"/>
        <a:ext cx="844694" cy="366268"/>
      </dsp:txXfrm>
    </dsp:sp>
    <dsp:sp modelId="{E64AB50F-BCCF-45E7-A4E4-85ABC4F0C76B}">
      <dsp:nvSpPr>
        <dsp:cNvPr id="0" name=""/>
        <dsp:cNvSpPr/>
      </dsp:nvSpPr>
      <dsp:spPr>
        <a:xfrm rot="5427536">
          <a:off x="2837719" y="1014229"/>
          <a:ext cx="146609" cy="10791"/>
        </a:xfrm>
        <a:custGeom>
          <a:avLst/>
          <a:gdLst/>
          <a:ahLst/>
          <a:cxnLst/>
          <a:rect l="0" t="0" r="0" b="0"/>
          <a:pathLst>
            <a:path>
              <a:moveTo>
                <a:pt x="0" y="5395"/>
              </a:moveTo>
              <a:lnTo>
                <a:pt x="172578"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14718" y="1015988"/>
        <a:ext cx="0" cy="0"/>
      </dsp:txXfrm>
    </dsp:sp>
    <dsp:sp modelId="{97004BB0-64D3-4A92-A1C1-813788F5650F}">
      <dsp:nvSpPr>
        <dsp:cNvPr id="0" name=""/>
        <dsp:cNvSpPr/>
      </dsp:nvSpPr>
      <dsp:spPr>
        <a:xfrm>
          <a:off x="2240527" y="1092926"/>
          <a:ext cx="1335944" cy="4839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36171" y="1163798"/>
        <a:ext cx="944656" cy="342198"/>
      </dsp:txXfrm>
    </dsp:sp>
    <dsp:sp modelId="{B6AECE84-7D2E-4CE5-85C8-4C69518D07D3}">
      <dsp:nvSpPr>
        <dsp:cNvPr id="0" name=""/>
        <dsp:cNvSpPr/>
      </dsp:nvSpPr>
      <dsp:spPr>
        <a:xfrm rot="9775202">
          <a:off x="1968878" y="971890"/>
          <a:ext cx="562766" cy="10791"/>
        </a:xfrm>
        <a:custGeom>
          <a:avLst/>
          <a:gdLst/>
          <a:ahLst/>
          <a:cxnLst/>
          <a:rect l="0" t="0" r="0" b="0"/>
          <a:pathLst>
            <a:path>
              <a:moveTo>
                <a:pt x="0" y="5395"/>
              </a:moveTo>
              <a:lnTo>
                <a:pt x="603884"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67842" y="986601"/>
        <a:ext cx="0" cy="0"/>
      </dsp:txXfrm>
    </dsp:sp>
    <dsp:sp modelId="{1E378005-6F69-4397-8C2A-FC05D53E797D}">
      <dsp:nvSpPr>
        <dsp:cNvPr id="0" name=""/>
        <dsp:cNvSpPr/>
      </dsp:nvSpPr>
      <dsp:spPr>
        <a:xfrm>
          <a:off x="920325" y="954216"/>
          <a:ext cx="1169597" cy="50403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a:p>
          <a:pPr lvl="0" algn="ctr" defTabSz="444500">
            <a:lnSpc>
              <a:spcPct val="90000"/>
            </a:lnSpc>
            <a:spcBef>
              <a:spcPct val="0"/>
            </a:spcBef>
            <a:spcAft>
              <a:spcPct val="35000"/>
            </a:spcAft>
          </a:pPr>
          <a:endPar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91609" y="1028031"/>
        <a:ext cx="827029" cy="356407"/>
      </dsp:txXfrm>
    </dsp:sp>
    <dsp:sp modelId="{D74286FF-AAFA-441A-87F1-98384D680093}">
      <dsp:nvSpPr>
        <dsp:cNvPr id="0" name=""/>
        <dsp:cNvSpPr/>
      </dsp:nvSpPr>
      <dsp:spPr>
        <a:xfrm rot="10810718">
          <a:off x="1176267" y="764693"/>
          <a:ext cx="1184858" cy="10791"/>
        </a:xfrm>
        <a:custGeom>
          <a:avLst/>
          <a:gdLst/>
          <a:ahLst/>
          <a:cxnLst/>
          <a:rect l="0" t="0" r="0" b="0"/>
          <a:pathLst>
            <a:path>
              <a:moveTo>
                <a:pt x="0" y="5395"/>
              </a:moveTo>
              <a:lnTo>
                <a:pt x="1264119"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98225" y="799801"/>
        <a:ext cx="0" cy="0"/>
      </dsp:txXfrm>
    </dsp:sp>
    <dsp:sp modelId="{755CFD49-3313-42A9-A1A9-D99CF689F3D7}">
      <dsp:nvSpPr>
        <dsp:cNvPr id="0" name=""/>
        <dsp:cNvSpPr/>
      </dsp:nvSpPr>
      <dsp:spPr>
        <a:xfrm>
          <a:off x="630" y="506901"/>
          <a:ext cx="1175654" cy="519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72801" y="582909"/>
        <a:ext cx="831312" cy="366998"/>
      </dsp:txXfrm>
    </dsp:sp>
    <dsp:sp modelId="{6674A0B6-35AA-4763-B890-1E2177289BCF}">
      <dsp:nvSpPr>
        <dsp:cNvPr id="0" name=""/>
        <dsp:cNvSpPr/>
      </dsp:nvSpPr>
      <dsp:spPr>
        <a:xfrm rot="11993118">
          <a:off x="2017131" y="543917"/>
          <a:ext cx="551250" cy="10791"/>
        </a:xfrm>
        <a:custGeom>
          <a:avLst/>
          <a:gdLst/>
          <a:ahLst/>
          <a:cxnLst/>
          <a:rect l="0" t="0" r="0" b="0"/>
          <a:pathLst>
            <a:path>
              <a:moveTo>
                <a:pt x="0" y="5395"/>
              </a:moveTo>
              <a:lnTo>
                <a:pt x="597469" y="539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01027" y="566959"/>
        <a:ext cx="0" cy="0"/>
      </dsp:txXfrm>
    </dsp:sp>
    <dsp:sp modelId="{16FD236C-1C35-46D3-A6E9-C486F23997B9}">
      <dsp:nvSpPr>
        <dsp:cNvPr id="0" name=""/>
        <dsp:cNvSpPr/>
      </dsp:nvSpPr>
      <dsp:spPr>
        <a:xfrm>
          <a:off x="1000944" y="64111"/>
          <a:ext cx="1190469" cy="4664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Executive Mgmt </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175284" y="132427"/>
        <a:ext cx="841789" cy="32986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553615" y="789398"/>
          <a:ext cx="1092192" cy="52041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a:t>
          </a:r>
        </a:p>
      </dsp:txBody>
      <dsp:txXfrm>
        <a:off x="2713563" y="865610"/>
        <a:ext cx="772296" cy="367987"/>
      </dsp:txXfrm>
    </dsp:sp>
    <dsp:sp modelId="{27C08CD6-CB73-4E0E-BA37-473C15E9C926}">
      <dsp:nvSpPr>
        <dsp:cNvPr id="0" name=""/>
        <dsp:cNvSpPr/>
      </dsp:nvSpPr>
      <dsp:spPr>
        <a:xfrm rot="16200000">
          <a:off x="2969460" y="651496"/>
          <a:ext cx="260500"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93198" y="652635"/>
        <a:ext cx="13025" cy="13025"/>
      </dsp:txXfrm>
    </dsp:sp>
    <dsp:sp modelId="{8441BECF-C9FE-4C31-BFA4-B45EB6B3D1F0}">
      <dsp:nvSpPr>
        <dsp:cNvPr id="0" name=""/>
        <dsp:cNvSpPr/>
      </dsp:nvSpPr>
      <dsp:spPr>
        <a:xfrm>
          <a:off x="2705921" y="8486"/>
          <a:ext cx="787579"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sp:txBody>
      <dsp:txXfrm>
        <a:off x="2821259" y="84698"/>
        <a:ext cx="556903" cy="367987"/>
      </dsp:txXfrm>
    </dsp:sp>
    <dsp:sp modelId="{27678B34-738D-4B59-81F4-6EB54DA6F256}">
      <dsp:nvSpPr>
        <dsp:cNvPr id="0" name=""/>
        <dsp:cNvSpPr/>
      </dsp:nvSpPr>
      <dsp:spPr>
        <a:xfrm rot="19885361">
          <a:off x="3441452" y="776179"/>
          <a:ext cx="292358" cy="15304"/>
        </a:xfrm>
        <a:custGeom>
          <a:avLst/>
          <a:gdLst/>
          <a:ahLst/>
          <a:cxnLst/>
          <a:rect l="0" t="0" r="0" b="0"/>
          <a:pathLst>
            <a:path>
              <a:moveTo>
                <a:pt x="0" y="7652"/>
              </a:moveTo>
              <a:lnTo>
                <a:pt x="292358"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80322" y="776522"/>
        <a:ext cx="14617" cy="14617"/>
      </dsp:txXfrm>
    </dsp:sp>
    <dsp:sp modelId="{77E0AE60-7058-4D43-911F-C57FA8C6CA9F}">
      <dsp:nvSpPr>
        <dsp:cNvPr id="0" name=""/>
        <dsp:cNvSpPr/>
      </dsp:nvSpPr>
      <dsp:spPr>
        <a:xfrm>
          <a:off x="3589544" y="273933"/>
          <a:ext cx="912978"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a:t>
          </a:r>
        </a:p>
      </dsp:txBody>
      <dsp:txXfrm>
        <a:off x="3723247" y="350145"/>
        <a:ext cx="645572" cy="367987"/>
      </dsp:txXfrm>
    </dsp:sp>
    <dsp:sp modelId="{EED79A7F-2696-484A-8083-D28DF0387AD5}">
      <dsp:nvSpPr>
        <dsp:cNvPr id="0" name=""/>
        <dsp:cNvSpPr/>
      </dsp:nvSpPr>
      <dsp:spPr>
        <a:xfrm rot="21587580">
          <a:off x="3645788" y="1038068"/>
          <a:ext cx="1057941" cy="15304"/>
        </a:xfrm>
        <a:custGeom>
          <a:avLst/>
          <a:gdLst/>
          <a:ahLst/>
          <a:cxnLst/>
          <a:rect l="0" t="0" r="0" b="0"/>
          <a:pathLst>
            <a:path>
              <a:moveTo>
                <a:pt x="0" y="7652"/>
              </a:moveTo>
              <a:lnTo>
                <a:pt x="105794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48310" y="1019271"/>
        <a:ext cx="52897" cy="52897"/>
      </dsp:txXfrm>
    </dsp:sp>
    <dsp:sp modelId="{05994623-F04A-4AAC-82E3-2D63726DAA8A}">
      <dsp:nvSpPr>
        <dsp:cNvPr id="0" name=""/>
        <dsp:cNvSpPr/>
      </dsp:nvSpPr>
      <dsp:spPr>
        <a:xfrm>
          <a:off x="4703720" y="782159"/>
          <a:ext cx="799689"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7</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AMC</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820832" y="858371"/>
        <a:ext cx="565465" cy="367987"/>
      </dsp:txXfrm>
    </dsp:sp>
    <dsp:sp modelId="{B654B038-4242-46EF-A10B-FF9B1A085532}">
      <dsp:nvSpPr>
        <dsp:cNvPr id="0" name=""/>
        <dsp:cNvSpPr/>
      </dsp:nvSpPr>
      <dsp:spPr>
        <a:xfrm rot="1837435">
          <a:off x="3420709" y="1322886"/>
          <a:ext cx="307166"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6613" y="1322859"/>
        <a:ext cx="15358" cy="15358"/>
      </dsp:txXfrm>
    </dsp:sp>
    <dsp:sp modelId="{3DB28723-07CF-4EFC-8E24-18E41E76D4AF}">
      <dsp:nvSpPr>
        <dsp:cNvPr id="0" name=""/>
        <dsp:cNvSpPr/>
      </dsp:nvSpPr>
      <dsp:spPr>
        <a:xfrm>
          <a:off x="3530085" y="1345514"/>
          <a:ext cx="1018142"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79188" y="1421726"/>
        <a:ext cx="719936" cy="367987"/>
      </dsp:txXfrm>
    </dsp:sp>
    <dsp:sp modelId="{AD2F0D4B-AECA-4B10-81AC-261AA8BE8E98}">
      <dsp:nvSpPr>
        <dsp:cNvPr id="0" name=""/>
        <dsp:cNvSpPr/>
      </dsp:nvSpPr>
      <dsp:spPr>
        <a:xfrm rot="9033691">
          <a:off x="2484163" y="1309929"/>
          <a:ext cx="281421" cy="15304"/>
        </a:xfrm>
        <a:custGeom>
          <a:avLst/>
          <a:gdLst/>
          <a:ahLst/>
          <a:cxnLst/>
          <a:rect l="0" t="0" r="0" b="0"/>
          <a:pathLst>
            <a:path>
              <a:moveTo>
                <a:pt x="0" y="7652"/>
              </a:moveTo>
              <a:lnTo>
                <a:pt x="281421"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17838" y="1310545"/>
        <a:ext cx="14071" cy="14071"/>
      </dsp:txXfrm>
    </dsp:sp>
    <dsp:sp modelId="{2BEED572-A282-4C32-95EB-3B1996D142B1}">
      <dsp:nvSpPr>
        <dsp:cNvPr id="0" name=""/>
        <dsp:cNvSpPr/>
      </dsp:nvSpPr>
      <dsp:spPr>
        <a:xfrm>
          <a:off x="1665235" y="1317574"/>
          <a:ext cx="997170"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 </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p>
      </dsp:txBody>
      <dsp:txXfrm>
        <a:off x="1811267" y="1393786"/>
        <a:ext cx="705106" cy="367987"/>
      </dsp:txXfrm>
    </dsp:sp>
    <dsp:sp modelId="{C58C2EC9-2FE7-4521-9408-887873CF9CD6}">
      <dsp:nvSpPr>
        <dsp:cNvPr id="0" name=""/>
        <dsp:cNvSpPr/>
      </dsp:nvSpPr>
      <dsp:spPr>
        <a:xfrm rot="10801435">
          <a:off x="1562149" y="1041517"/>
          <a:ext cx="991466" cy="15304"/>
        </a:xfrm>
        <a:custGeom>
          <a:avLst/>
          <a:gdLst/>
          <a:ahLst/>
          <a:cxnLst/>
          <a:rect l="0" t="0" r="0" b="0"/>
          <a:pathLst>
            <a:path>
              <a:moveTo>
                <a:pt x="0" y="7652"/>
              </a:moveTo>
              <a:lnTo>
                <a:pt x="991466"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33095" y="1024382"/>
        <a:ext cx="49573" cy="49573"/>
      </dsp:txXfrm>
    </dsp:sp>
    <dsp:sp modelId="{53F278CD-DAFE-4670-A5E7-7708D74F671E}">
      <dsp:nvSpPr>
        <dsp:cNvPr id="0" name=""/>
        <dsp:cNvSpPr/>
      </dsp:nvSpPr>
      <dsp:spPr>
        <a:xfrm>
          <a:off x="605144" y="788557"/>
          <a:ext cx="957004"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745294" y="864769"/>
        <a:ext cx="676704" cy="367987"/>
      </dsp:txXfrm>
    </dsp:sp>
    <dsp:sp modelId="{9D7A60DE-15BF-4701-8167-A6BE55521FB0}">
      <dsp:nvSpPr>
        <dsp:cNvPr id="0" name=""/>
        <dsp:cNvSpPr/>
      </dsp:nvSpPr>
      <dsp:spPr>
        <a:xfrm rot="12498855">
          <a:off x="2474623" y="780620"/>
          <a:ext cx="280062" cy="15304"/>
        </a:xfrm>
        <a:custGeom>
          <a:avLst/>
          <a:gdLst/>
          <a:ahLst/>
          <a:cxnLst/>
          <a:rect l="0" t="0" r="0" b="0"/>
          <a:pathLst>
            <a:path>
              <a:moveTo>
                <a:pt x="0" y="7652"/>
              </a:moveTo>
              <a:lnTo>
                <a:pt x="28006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07652" y="781270"/>
        <a:ext cx="14003" cy="14003"/>
      </dsp:txXfrm>
    </dsp:sp>
    <dsp:sp modelId="{0FDECDAE-6064-4D03-98A4-386BBAAFB761}">
      <dsp:nvSpPr>
        <dsp:cNvPr id="0" name=""/>
        <dsp:cNvSpPr/>
      </dsp:nvSpPr>
      <dsp:spPr>
        <a:xfrm>
          <a:off x="1684878" y="280224"/>
          <a:ext cx="939513"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sp:txBody>
      <dsp:txXfrm>
        <a:off x="1822466" y="356436"/>
        <a:ext cx="664337" cy="36798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37719" y="794790"/>
          <a:ext cx="1074090" cy="41307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dsp:txBody>
      <dsp:txXfrm>
        <a:off x="2595016" y="855284"/>
        <a:ext cx="759496" cy="292090"/>
      </dsp:txXfrm>
    </dsp:sp>
    <dsp:sp modelId="{DDE83488-D0AF-4A61-9C32-0D1EF5D54320}">
      <dsp:nvSpPr>
        <dsp:cNvPr id="0" name=""/>
        <dsp:cNvSpPr/>
      </dsp:nvSpPr>
      <dsp:spPr>
        <a:xfrm rot="16200000">
          <a:off x="2812113" y="624498"/>
          <a:ext cx="325302" cy="15282"/>
        </a:xfrm>
        <a:custGeom>
          <a:avLst/>
          <a:gdLst/>
          <a:ahLst/>
          <a:cxnLst/>
          <a:rect l="0" t="0" r="0" b="0"/>
          <a:pathLst>
            <a:path>
              <a:moveTo>
                <a:pt x="0" y="7641"/>
              </a:moveTo>
              <a:lnTo>
                <a:pt x="325302"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66632" y="624007"/>
        <a:ext cx="16265" cy="16265"/>
      </dsp:txXfrm>
    </dsp:sp>
    <dsp:sp modelId="{5A264607-8295-4AD5-8D4E-5E0F0A25C928}">
      <dsp:nvSpPr>
        <dsp:cNvPr id="0" name=""/>
        <dsp:cNvSpPr/>
      </dsp:nvSpPr>
      <dsp:spPr>
        <a:xfrm>
          <a:off x="2500194" y="19223"/>
          <a:ext cx="949139" cy="4502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 </a:t>
          </a:r>
        </a:p>
      </dsp:txBody>
      <dsp:txXfrm>
        <a:off x="2639192" y="85163"/>
        <a:ext cx="671143" cy="318384"/>
      </dsp:txXfrm>
    </dsp:sp>
    <dsp:sp modelId="{64B847BA-C336-4F4D-BCB1-E9F8B02329EB}">
      <dsp:nvSpPr>
        <dsp:cNvPr id="0" name=""/>
        <dsp:cNvSpPr/>
      </dsp:nvSpPr>
      <dsp:spPr>
        <a:xfrm rot="20188286">
          <a:off x="3307463" y="729259"/>
          <a:ext cx="549235" cy="15282"/>
        </a:xfrm>
        <a:custGeom>
          <a:avLst/>
          <a:gdLst/>
          <a:ahLst/>
          <a:cxnLst/>
          <a:rect l="0" t="0" r="0" b="0"/>
          <a:pathLst>
            <a:path>
              <a:moveTo>
                <a:pt x="0" y="7641"/>
              </a:moveTo>
              <a:lnTo>
                <a:pt x="549235"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68350" y="723170"/>
        <a:ext cx="27461" cy="27461"/>
      </dsp:txXfrm>
    </dsp:sp>
    <dsp:sp modelId="{1AB73DFF-B172-4EE5-8B1D-E235635E7315}">
      <dsp:nvSpPr>
        <dsp:cNvPr id="0" name=""/>
        <dsp:cNvSpPr/>
      </dsp:nvSpPr>
      <dsp:spPr>
        <a:xfrm>
          <a:off x="3723752" y="214090"/>
          <a:ext cx="959161" cy="5046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AMC</a:t>
          </a:r>
        </a:p>
      </dsp:txBody>
      <dsp:txXfrm>
        <a:off x="3864218" y="287991"/>
        <a:ext cx="678229" cy="356826"/>
      </dsp:txXfrm>
    </dsp:sp>
    <dsp:sp modelId="{27C08CD6-CB73-4E0E-BA37-473C15E9C926}">
      <dsp:nvSpPr>
        <dsp:cNvPr id="0" name=""/>
        <dsp:cNvSpPr/>
      </dsp:nvSpPr>
      <dsp:spPr>
        <a:xfrm rot="21594430">
          <a:off x="3511804" y="992102"/>
          <a:ext cx="884384" cy="15282"/>
        </a:xfrm>
        <a:custGeom>
          <a:avLst/>
          <a:gdLst/>
          <a:ahLst/>
          <a:cxnLst/>
          <a:rect l="0" t="0" r="0" b="0"/>
          <a:pathLst>
            <a:path>
              <a:moveTo>
                <a:pt x="0" y="7641"/>
              </a:moveTo>
              <a:lnTo>
                <a:pt x="88438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31887" y="977633"/>
        <a:ext cx="44219" cy="44219"/>
      </dsp:txXfrm>
    </dsp:sp>
    <dsp:sp modelId="{8441BECF-C9FE-4C31-BFA4-B45EB6B3D1F0}">
      <dsp:nvSpPr>
        <dsp:cNvPr id="0" name=""/>
        <dsp:cNvSpPr/>
      </dsp:nvSpPr>
      <dsp:spPr>
        <a:xfrm>
          <a:off x="4396180" y="784530"/>
          <a:ext cx="1335644" cy="42682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4591781" y="847038"/>
        <a:ext cx="944442" cy="301813"/>
      </dsp:txXfrm>
    </dsp:sp>
    <dsp:sp modelId="{27678B34-738D-4B59-81F4-6EB54DA6F256}">
      <dsp:nvSpPr>
        <dsp:cNvPr id="0" name=""/>
        <dsp:cNvSpPr/>
      </dsp:nvSpPr>
      <dsp:spPr>
        <a:xfrm rot="1207147">
          <a:off x="3351902" y="1202260"/>
          <a:ext cx="384444" cy="15282"/>
        </a:xfrm>
        <a:custGeom>
          <a:avLst/>
          <a:gdLst/>
          <a:ahLst/>
          <a:cxnLst/>
          <a:rect l="0" t="0" r="0" b="0"/>
          <a:pathLst>
            <a:path>
              <a:moveTo>
                <a:pt x="0" y="7641"/>
              </a:moveTo>
              <a:lnTo>
                <a:pt x="38444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34513" y="1200290"/>
        <a:ext cx="19222" cy="19222"/>
      </dsp:txXfrm>
    </dsp:sp>
    <dsp:sp modelId="{77E0AE60-7058-4D43-911F-C57FA8C6CA9F}">
      <dsp:nvSpPr>
        <dsp:cNvPr id="0" name=""/>
        <dsp:cNvSpPr/>
      </dsp:nvSpPr>
      <dsp:spPr>
        <a:xfrm>
          <a:off x="3619357" y="1175836"/>
          <a:ext cx="1041088" cy="5046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3771821" y="1249737"/>
        <a:ext cx="736160" cy="356826"/>
      </dsp:txXfrm>
    </dsp:sp>
    <dsp:sp modelId="{EED79A7F-2696-484A-8083-D28DF0387AD5}">
      <dsp:nvSpPr>
        <dsp:cNvPr id="0" name=""/>
        <dsp:cNvSpPr/>
      </dsp:nvSpPr>
      <dsp:spPr>
        <a:xfrm rot="9553788">
          <a:off x="2249828" y="1201492"/>
          <a:ext cx="354059" cy="15282"/>
        </a:xfrm>
        <a:custGeom>
          <a:avLst/>
          <a:gdLst/>
          <a:ahLst/>
          <a:cxnLst/>
          <a:rect l="0" t="0" r="0" b="0"/>
          <a:pathLst>
            <a:path>
              <a:moveTo>
                <a:pt x="0" y="7641"/>
              </a:moveTo>
              <a:lnTo>
                <a:pt x="354059"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18006" y="1200282"/>
        <a:ext cx="17702" cy="17702"/>
      </dsp:txXfrm>
    </dsp:sp>
    <dsp:sp modelId="{05994623-F04A-4AAC-82E3-2D63726DAA8A}">
      <dsp:nvSpPr>
        <dsp:cNvPr id="0" name=""/>
        <dsp:cNvSpPr/>
      </dsp:nvSpPr>
      <dsp:spPr>
        <a:xfrm>
          <a:off x="1210798" y="1186517"/>
          <a:ext cx="1203361" cy="5112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a:p>
          <a:pPr lvl="0" algn="ctr" defTabSz="466725">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Classifications &amp; Standards</a:t>
          </a:r>
        </a:p>
      </dsp:txBody>
      <dsp:txXfrm>
        <a:off x="1387026" y="1261390"/>
        <a:ext cx="850905" cy="361517"/>
      </dsp:txXfrm>
    </dsp:sp>
    <dsp:sp modelId="{B654B038-4242-46EF-A10B-FF9B1A085532}">
      <dsp:nvSpPr>
        <dsp:cNvPr id="0" name=""/>
        <dsp:cNvSpPr/>
      </dsp:nvSpPr>
      <dsp:spPr>
        <a:xfrm rot="10810106">
          <a:off x="1448901" y="990656"/>
          <a:ext cx="988835" cy="15282"/>
        </a:xfrm>
        <a:custGeom>
          <a:avLst/>
          <a:gdLst/>
          <a:ahLst/>
          <a:cxnLst/>
          <a:rect l="0" t="0" r="0" b="0"/>
          <a:pathLst>
            <a:path>
              <a:moveTo>
                <a:pt x="0" y="7641"/>
              </a:moveTo>
              <a:lnTo>
                <a:pt x="988835"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18598" y="973577"/>
        <a:ext cx="49441" cy="49441"/>
      </dsp:txXfrm>
    </dsp:sp>
    <dsp:sp modelId="{3DB28723-07CF-4EFC-8E24-18E41E76D4AF}">
      <dsp:nvSpPr>
        <dsp:cNvPr id="0" name=""/>
        <dsp:cNvSpPr/>
      </dsp:nvSpPr>
      <dsp:spPr>
        <a:xfrm>
          <a:off x="101422" y="752488"/>
          <a:ext cx="1347503" cy="4847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Global Databases</a:t>
          </a:r>
        </a:p>
      </dsp:txBody>
      <dsp:txXfrm>
        <a:off x="298759" y="823478"/>
        <a:ext cx="952829" cy="342770"/>
      </dsp:txXfrm>
    </dsp:sp>
    <dsp:sp modelId="{AD2F0D4B-AECA-4B10-81AC-261AA8BE8E98}">
      <dsp:nvSpPr>
        <dsp:cNvPr id="0" name=""/>
        <dsp:cNvSpPr/>
      </dsp:nvSpPr>
      <dsp:spPr>
        <a:xfrm rot="12191858">
          <a:off x="2167420" y="747885"/>
          <a:ext cx="467554" cy="15282"/>
        </a:xfrm>
        <a:custGeom>
          <a:avLst/>
          <a:gdLst/>
          <a:ahLst/>
          <a:cxnLst/>
          <a:rect l="0" t="0" r="0" b="0"/>
          <a:pathLst>
            <a:path>
              <a:moveTo>
                <a:pt x="0" y="7641"/>
              </a:moveTo>
              <a:lnTo>
                <a:pt x="467554" y="764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89508" y="743838"/>
        <a:ext cx="23377" cy="23377"/>
      </dsp:txXfrm>
    </dsp:sp>
    <dsp:sp modelId="{2BEED572-A282-4C32-95EB-3B1996D142B1}">
      <dsp:nvSpPr>
        <dsp:cNvPr id="0" name=""/>
        <dsp:cNvSpPr/>
      </dsp:nvSpPr>
      <dsp:spPr>
        <a:xfrm>
          <a:off x="1240971" y="208196"/>
          <a:ext cx="1066248" cy="55716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p>
      </dsp:txBody>
      <dsp:txXfrm>
        <a:off x="1397119" y="289792"/>
        <a:ext cx="753952" cy="393977"/>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70529" y="785584"/>
          <a:ext cx="1209701" cy="49670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dsp:txBody>
      <dsp:txXfrm>
        <a:off x="2547686" y="858325"/>
        <a:ext cx="855387" cy="351227"/>
      </dsp:txXfrm>
    </dsp:sp>
    <dsp:sp modelId="{5337AE63-3722-42CC-AF72-36670EB7C5E1}">
      <dsp:nvSpPr>
        <dsp:cNvPr id="0" name=""/>
        <dsp:cNvSpPr/>
      </dsp:nvSpPr>
      <dsp:spPr>
        <a:xfrm rot="16172403">
          <a:off x="2895410" y="700711"/>
          <a:ext cx="154709" cy="15042"/>
        </a:xfrm>
        <a:custGeom>
          <a:avLst/>
          <a:gdLst/>
          <a:ahLst/>
          <a:cxnLst/>
          <a:rect l="0" t="0" r="0" b="0"/>
          <a:pathLst>
            <a:path>
              <a:moveTo>
                <a:pt x="0" y="7815"/>
              </a:moveTo>
              <a:lnTo>
                <a:pt x="150618"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8897" y="704365"/>
        <a:ext cx="7735" cy="7735"/>
      </dsp:txXfrm>
    </dsp:sp>
    <dsp:sp modelId="{CED9197C-8322-406B-917C-172FA36E7B76}">
      <dsp:nvSpPr>
        <dsp:cNvPr id="0" name=""/>
        <dsp:cNvSpPr/>
      </dsp:nvSpPr>
      <dsp:spPr>
        <a:xfrm>
          <a:off x="2305119" y="151070"/>
          <a:ext cx="1330197" cy="4798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2499922" y="221337"/>
        <a:ext cx="940591" cy="339277"/>
      </dsp:txXfrm>
    </dsp:sp>
    <dsp:sp modelId="{4AC11394-3179-4EC5-A97F-D1A1B521CE2F}">
      <dsp:nvSpPr>
        <dsp:cNvPr id="0" name=""/>
        <dsp:cNvSpPr/>
      </dsp:nvSpPr>
      <dsp:spPr>
        <a:xfrm rot="21596297">
          <a:off x="3580228" y="1025529"/>
          <a:ext cx="440109" cy="15042"/>
        </a:xfrm>
        <a:custGeom>
          <a:avLst/>
          <a:gdLst/>
          <a:ahLst/>
          <a:cxnLst/>
          <a:rect l="0" t="0" r="0" b="0"/>
          <a:pathLst>
            <a:path>
              <a:moveTo>
                <a:pt x="0" y="7815"/>
              </a:moveTo>
              <a:lnTo>
                <a:pt x="468343"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89280" y="1022047"/>
        <a:ext cx="22005" cy="22005"/>
      </dsp:txXfrm>
    </dsp:sp>
    <dsp:sp modelId="{035B4C9A-0916-4FCC-A1CF-85DB358A289A}">
      <dsp:nvSpPr>
        <dsp:cNvPr id="0" name=""/>
        <dsp:cNvSpPr/>
      </dsp:nvSpPr>
      <dsp:spPr>
        <a:xfrm>
          <a:off x="4020335" y="782079"/>
          <a:ext cx="1222536" cy="5001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4199371" y="855324"/>
        <a:ext cx="864464" cy="353661"/>
      </dsp:txXfrm>
    </dsp:sp>
    <dsp:sp modelId="{ADF94B70-0D7F-4A27-8DF9-17BCD27F4A7A}">
      <dsp:nvSpPr>
        <dsp:cNvPr id="0" name=""/>
        <dsp:cNvSpPr/>
      </dsp:nvSpPr>
      <dsp:spPr>
        <a:xfrm rot="10801784">
          <a:off x="1948926" y="1025994"/>
          <a:ext cx="421603" cy="15042"/>
        </a:xfrm>
        <a:custGeom>
          <a:avLst/>
          <a:gdLst/>
          <a:ahLst/>
          <a:cxnLst/>
          <a:rect l="0" t="0" r="0" b="0"/>
          <a:pathLst>
            <a:path>
              <a:moveTo>
                <a:pt x="0" y="7815"/>
              </a:moveTo>
              <a:lnTo>
                <a:pt x="439465"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49188" y="1022975"/>
        <a:ext cx="21080" cy="21080"/>
      </dsp:txXfrm>
    </dsp:sp>
    <dsp:sp modelId="{0FAF3FA1-8E6C-455E-B189-A468B3F4D8BC}">
      <dsp:nvSpPr>
        <dsp:cNvPr id="0" name=""/>
        <dsp:cNvSpPr/>
      </dsp:nvSpPr>
      <dsp:spPr>
        <a:xfrm>
          <a:off x="712070" y="775414"/>
          <a:ext cx="1236856" cy="5153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893203" y="850884"/>
        <a:ext cx="874590" cy="364401"/>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47009"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dsp:txBody>
      <dsp:txXfrm>
        <a:off x="2245614" y="832649"/>
        <a:ext cx="958950" cy="393750"/>
      </dsp:txXfrm>
    </dsp:sp>
    <dsp:sp modelId="{4AC11394-3179-4EC5-A97F-D1A1B521CE2F}">
      <dsp:nvSpPr>
        <dsp:cNvPr id="0" name=""/>
        <dsp:cNvSpPr/>
      </dsp:nvSpPr>
      <dsp:spPr>
        <a:xfrm rot="16193319">
          <a:off x="2641226"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20229" y="663783"/>
        <a:ext cx="8316" cy="8316"/>
      </dsp:txXfrm>
    </dsp:sp>
    <dsp:sp modelId="{035B4C9A-0916-4FCC-A1CF-85DB358A289A}">
      <dsp:nvSpPr>
        <dsp:cNvPr id="0" name=""/>
        <dsp:cNvSpPr/>
      </dsp:nvSpPr>
      <dsp:spPr>
        <a:xfrm>
          <a:off x="1967339"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sp:txBody>
      <dsp:txXfrm>
        <a:off x="2188861" y="92424"/>
        <a:ext cx="1069606" cy="407881"/>
      </dsp:txXfrm>
    </dsp:sp>
    <dsp:sp modelId="{64248C57-3CE0-4657-BC67-6279BA0257B1}">
      <dsp:nvSpPr>
        <dsp:cNvPr id="0" name=""/>
        <dsp:cNvSpPr/>
      </dsp:nvSpPr>
      <dsp:spPr>
        <a:xfrm rot="2869">
          <a:off x="3403168" y="1021132"/>
          <a:ext cx="421574"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3416" y="1019727"/>
        <a:ext cx="21078" cy="21078"/>
      </dsp:txXfrm>
    </dsp:sp>
    <dsp:sp modelId="{976BA53C-17D4-4F7C-9078-1272C469C9E5}">
      <dsp:nvSpPr>
        <dsp:cNvPr id="0" name=""/>
        <dsp:cNvSpPr/>
      </dsp:nvSpPr>
      <dsp:spPr>
        <a:xfrm>
          <a:off x="3824740" y="770785"/>
          <a:ext cx="1507315"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45481" y="847021"/>
        <a:ext cx="1065833" cy="368101"/>
      </dsp:txXfrm>
    </dsp:sp>
    <dsp:sp modelId="{ADF94B70-0D7F-4A27-8DF9-17BCD27F4A7A}">
      <dsp:nvSpPr>
        <dsp:cNvPr id="0" name=""/>
        <dsp:cNvSpPr/>
      </dsp:nvSpPr>
      <dsp:spPr>
        <a:xfrm rot="10791658">
          <a:off x="1589157"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643" y="1020279"/>
        <a:ext cx="22893" cy="22893"/>
      </dsp:txXfrm>
    </dsp:sp>
    <dsp:sp modelId="{0FAF3FA1-8E6C-455E-B189-A468B3F4D8BC}">
      <dsp:nvSpPr>
        <dsp:cNvPr id="0" name=""/>
        <dsp:cNvSpPr/>
      </dsp:nvSpPr>
      <dsp:spPr>
        <a:xfrm>
          <a:off x="154299"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endPar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4432"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439136" y="926402"/>
          <a:ext cx="1159126" cy="519140"/>
        </a:xfrm>
        <a:prstGeom prst="ellipse">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latin typeface="Arial" panose="020B0604020202020204" pitchFamily="34" charset="0"/>
              <a:cs typeface="Arial" panose="020B0604020202020204" pitchFamily="34" charset="0"/>
            </a:rPr>
            <a:t>Program 7 </a:t>
          </a:r>
        </a:p>
      </dsp:txBody>
      <dsp:txXfrm>
        <a:off x="2608886" y="1002428"/>
        <a:ext cx="819626" cy="367088"/>
      </dsp:txXfrm>
    </dsp:sp>
    <dsp:sp modelId="{E6ACA703-0949-41B3-BE6B-C702E5C7275F}">
      <dsp:nvSpPr>
        <dsp:cNvPr id="0" name=""/>
        <dsp:cNvSpPr/>
      </dsp:nvSpPr>
      <dsp:spPr>
        <a:xfrm rot="16166983">
          <a:off x="2801815" y="706218"/>
          <a:ext cx="424704" cy="15688"/>
        </a:xfrm>
        <a:custGeom>
          <a:avLst/>
          <a:gdLst/>
          <a:ahLst/>
          <a:cxnLst/>
          <a:rect l="0" t="0" r="0" b="0"/>
          <a:pathLst>
            <a:path>
              <a:moveTo>
                <a:pt x="0" y="7844"/>
              </a:moveTo>
              <a:lnTo>
                <a:pt x="424704"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03549" y="703445"/>
        <a:ext cx="21235" cy="21235"/>
      </dsp:txXfrm>
    </dsp:sp>
    <dsp:sp modelId="{AFD0CC05-9AD4-4A51-8739-4FB4CA1E4ACE}">
      <dsp:nvSpPr>
        <dsp:cNvPr id="0" name=""/>
        <dsp:cNvSpPr/>
      </dsp:nvSpPr>
      <dsp:spPr>
        <a:xfrm>
          <a:off x="2504252" y="0"/>
          <a:ext cx="1010932" cy="50172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2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TM, ID &amp; GI </a:t>
          </a:r>
        </a:p>
      </dsp:txBody>
      <dsp:txXfrm>
        <a:off x="2652300" y="73476"/>
        <a:ext cx="714836" cy="354771"/>
      </dsp:txXfrm>
    </dsp:sp>
    <dsp:sp modelId="{34515D96-C834-4D67-AF5C-3B293601CBC3}">
      <dsp:nvSpPr>
        <dsp:cNvPr id="0" name=""/>
        <dsp:cNvSpPr/>
      </dsp:nvSpPr>
      <dsp:spPr>
        <a:xfrm rot="19295039">
          <a:off x="3241698" y="774149"/>
          <a:ext cx="572806" cy="15688"/>
        </a:xfrm>
        <a:custGeom>
          <a:avLst/>
          <a:gdLst/>
          <a:ahLst/>
          <a:cxnLst/>
          <a:rect l="0" t="0" r="0" b="0"/>
          <a:pathLst>
            <a:path>
              <a:moveTo>
                <a:pt x="0" y="7844"/>
              </a:moveTo>
              <a:lnTo>
                <a:pt x="57280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13781" y="767673"/>
        <a:ext cx="28640" cy="28640"/>
      </dsp:txXfrm>
    </dsp:sp>
    <dsp:sp modelId="{D9366F31-B7D7-4B43-830C-AD5E2193A794}">
      <dsp:nvSpPr>
        <dsp:cNvPr id="0" name=""/>
        <dsp:cNvSpPr/>
      </dsp:nvSpPr>
      <dsp:spPr>
        <a:xfrm>
          <a:off x="3553604" y="131913"/>
          <a:ext cx="933829"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3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CRR</a:t>
          </a:r>
        </a:p>
      </dsp:txBody>
      <dsp:txXfrm>
        <a:off x="3690360" y="207939"/>
        <a:ext cx="660317" cy="367088"/>
      </dsp:txXfrm>
    </dsp:sp>
    <dsp:sp modelId="{5CF8296B-0142-429D-A71A-20799D2EB74B}">
      <dsp:nvSpPr>
        <dsp:cNvPr id="0" name=""/>
        <dsp:cNvSpPr/>
      </dsp:nvSpPr>
      <dsp:spPr>
        <a:xfrm rot="20743370">
          <a:off x="3508059" y="933754"/>
          <a:ext cx="941915" cy="15688"/>
        </a:xfrm>
        <a:custGeom>
          <a:avLst/>
          <a:gdLst/>
          <a:ahLst/>
          <a:cxnLst/>
          <a:rect l="0" t="0" r="0" b="0"/>
          <a:pathLst>
            <a:path>
              <a:moveTo>
                <a:pt x="0" y="7844"/>
              </a:moveTo>
              <a:lnTo>
                <a:pt x="94191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55469" y="918050"/>
        <a:ext cx="47095" cy="47095"/>
      </dsp:txXfrm>
    </dsp:sp>
    <dsp:sp modelId="{7E7DDE23-6C04-407D-AAB6-669511EA704E}">
      <dsp:nvSpPr>
        <dsp:cNvPr id="0" name=""/>
        <dsp:cNvSpPr/>
      </dsp:nvSpPr>
      <dsp:spPr>
        <a:xfrm>
          <a:off x="4364480" y="440012"/>
          <a:ext cx="113117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5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PCT</a:t>
          </a:r>
        </a:p>
      </dsp:txBody>
      <dsp:txXfrm>
        <a:off x="4530136" y="516038"/>
        <a:ext cx="799858" cy="367088"/>
      </dsp:txXfrm>
    </dsp:sp>
    <dsp:sp modelId="{DC281168-2DBC-4CFB-B21D-C54E9628B383}">
      <dsp:nvSpPr>
        <dsp:cNvPr id="0" name=""/>
        <dsp:cNvSpPr/>
      </dsp:nvSpPr>
      <dsp:spPr>
        <a:xfrm rot="321060">
          <a:off x="3584396" y="1265370"/>
          <a:ext cx="731469" cy="15688"/>
        </a:xfrm>
        <a:custGeom>
          <a:avLst/>
          <a:gdLst/>
          <a:ahLst/>
          <a:cxnLst/>
          <a:rect l="0" t="0" r="0" b="0"/>
          <a:pathLst>
            <a:path>
              <a:moveTo>
                <a:pt x="0" y="7844"/>
              </a:moveTo>
              <a:lnTo>
                <a:pt x="731469"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31844" y="1254928"/>
        <a:ext cx="36573" cy="36573"/>
      </dsp:txXfrm>
    </dsp:sp>
    <dsp:sp modelId="{66DADE40-99AE-41BE-B997-129EED231064}">
      <dsp:nvSpPr>
        <dsp:cNvPr id="0" name=""/>
        <dsp:cNvSpPr/>
      </dsp:nvSpPr>
      <dsp:spPr>
        <a:xfrm>
          <a:off x="4298295" y="1079033"/>
          <a:ext cx="1366772" cy="58160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6</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Madrid &amp; Lisbon Systems </a:t>
          </a:r>
        </a:p>
      </dsp:txBody>
      <dsp:txXfrm>
        <a:off x="4498454" y="1164207"/>
        <a:ext cx="966454" cy="411255"/>
      </dsp:txXfrm>
    </dsp:sp>
    <dsp:sp modelId="{4DF1B0BE-A63A-4BEA-9EE5-4168481CC99E}">
      <dsp:nvSpPr>
        <dsp:cNvPr id="0" name=""/>
        <dsp:cNvSpPr/>
      </dsp:nvSpPr>
      <dsp:spPr>
        <a:xfrm rot="1721265">
          <a:off x="3346711" y="1531776"/>
          <a:ext cx="636536" cy="15688"/>
        </a:xfrm>
        <a:custGeom>
          <a:avLst/>
          <a:gdLst/>
          <a:ahLst/>
          <a:cxnLst/>
          <a:rect l="0" t="0" r="0" b="0"/>
          <a:pathLst>
            <a:path>
              <a:moveTo>
                <a:pt x="0" y="7844"/>
              </a:moveTo>
              <a:lnTo>
                <a:pt x="63653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9066" y="1523707"/>
        <a:ext cx="31826" cy="31826"/>
      </dsp:txXfrm>
    </dsp:sp>
    <dsp:sp modelId="{DB594876-4070-4577-942D-67F5CD4D6A19}">
      <dsp:nvSpPr>
        <dsp:cNvPr id="0" name=""/>
        <dsp:cNvSpPr/>
      </dsp:nvSpPr>
      <dsp:spPr>
        <a:xfrm>
          <a:off x="3728133" y="1634356"/>
          <a:ext cx="1168652"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9</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 Regional Bureaus </a:t>
          </a:r>
        </a:p>
      </dsp:txBody>
      <dsp:txXfrm>
        <a:off x="3899278" y="1710382"/>
        <a:ext cx="826362" cy="367088"/>
      </dsp:txXfrm>
    </dsp:sp>
    <dsp:sp modelId="{E49C447F-3477-4311-B10B-FFFA7DE7209F}">
      <dsp:nvSpPr>
        <dsp:cNvPr id="0" name=""/>
        <dsp:cNvSpPr/>
      </dsp:nvSpPr>
      <dsp:spPr>
        <a:xfrm rot="5064234">
          <a:off x="2869988" y="1629463"/>
          <a:ext cx="385867" cy="15688"/>
        </a:xfrm>
        <a:custGeom>
          <a:avLst/>
          <a:gdLst/>
          <a:ahLst/>
          <a:cxnLst/>
          <a:rect l="0" t="0" r="0" b="0"/>
          <a:pathLst>
            <a:path>
              <a:moveTo>
                <a:pt x="0" y="7844"/>
              </a:moveTo>
              <a:lnTo>
                <a:pt x="38586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53276" y="1627660"/>
        <a:ext cx="19293" cy="19293"/>
      </dsp:txXfrm>
    </dsp:sp>
    <dsp:sp modelId="{69F18085-0AC3-4BAE-9B16-F8478FFBD61E}">
      <dsp:nvSpPr>
        <dsp:cNvPr id="0" name=""/>
        <dsp:cNvSpPr/>
      </dsp:nvSpPr>
      <dsp:spPr>
        <a:xfrm>
          <a:off x="2513141" y="1829084"/>
          <a:ext cx="1188011"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10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TDC</a:t>
          </a:r>
        </a:p>
      </dsp:txBody>
      <dsp:txXfrm>
        <a:off x="2687121" y="1905110"/>
        <a:ext cx="840051" cy="367088"/>
      </dsp:txXfrm>
    </dsp:sp>
    <dsp:sp modelId="{FCC14444-D5E7-4E9C-B980-A27CD799E442}">
      <dsp:nvSpPr>
        <dsp:cNvPr id="0" name=""/>
        <dsp:cNvSpPr/>
      </dsp:nvSpPr>
      <dsp:spPr>
        <a:xfrm rot="8823751">
          <a:off x="2167404" y="1545876"/>
          <a:ext cx="567317" cy="15688"/>
        </a:xfrm>
        <a:custGeom>
          <a:avLst/>
          <a:gdLst/>
          <a:ahLst/>
          <a:cxnLst/>
          <a:rect l="0" t="0" r="0" b="0"/>
          <a:pathLst>
            <a:path>
              <a:moveTo>
                <a:pt x="0" y="7844"/>
              </a:moveTo>
              <a:lnTo>
                <a:pt x="56731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36880" y="1539537"/>
        <a:ext cx="28365" cy="28365"/>
      </dsp:txXfrm>
    </dsp:sp>
    <dsp:sp modelId="{49C45DFA-0A15-4DAA-80DC-CAE4ABCC6B43}">
      <dsp:nvSpPr>
        <dsp:cNvPr id="0" name=""/>
        <dsp:cNvSpPr/>
      </dsp:nvSpPr>
      <dsp:spPr>
        <a:xfrm>
          <a:off x="1242032" y="1655369"/>
          <a:ext cx="1228987" cy="567051"/>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17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Building Respect for IP </a:t>
          </a:r>
        </a:p>
      </dsp:txBody>
      <dsp:txXfrm>
        <a:off x="1422013" y="1738412"/>
        <a:ext cx="869025" cy="400965"/>
      </dsp:txXfrm>
    </dsp:sp>
    <dsp:sp modelId="{7B59CB2C-C82F-41EE-B3CF-ADD4878ADBA6}">
      <dsp:nvSpPr>
        <dsp:cNvPr id="0" name=""/>
        <dsp:cNvSpPr/>
      </dsp:nvSpPr>
      <dsp:spPr>
        <a:xfrm rot="10226795">
          <a:off x="1483324" y="1352401"/>
          <a:ext cx="999786" cy="15688"/>
        </a:xfrm>
        <a:custGeom>
          <a:avLst/>
          <a:gdLst/>
          <a:ahLst/>
          <a:cxnLst/>
          <a:rect l="0" t="0" r="0" b="0"/>
          <a:pathLst>
            <a:path>
              <a:moveTo>
                <a:pt x="0" y="7844"/>
              </a:moveTo>
              <a:lnTo>
                <a:pt x="999786"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58222" y="1335251"/>
        <a:ext cx="49989" cy="49989"/>
      </dsp:txXfrm>
    </dsp:sp>
    <dsp:sp modelId="{402B25BB-F397-46B5-AAB7-C38C2276BF82}">
      <dsp:nvSpPr>
        <dsp:cNvPr id="0" name=""/>
        <dsp:cNvSpPr/>
      </dsp:nvSpPr>
      <dsp:spPr>
        <a:xfrm>
          <a:off x="397333" y="1258481"/>
          <a:ext cx="1123632" cy="54823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18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IP &amp; GC</a:t>
          </a:r>
        </a:p>
      </dsp:txBody>
      <dsp:txXfrm>
        <a:off x="561885" y="1338768"/>
        <a:ext cx="794528" cy="387659"/>
      </dsp:txXfrm>
    </dsp:sp>
    <dsp:sp modelId="{EFB9CB5A-411C-454B-96B1-9ED988829CBE}">
      <dsp:nvSpPr>
        <dsp:cNvPr id="0" name=""/>
        <dsp:cNvSpPr/>
      </dsp:nvSpPr>
      <dsp:spPr>
        <a:xfrm rot="11307274">
          <a:off x="1634784" y="1034733"/>
          <a:ext cx="838410" cy="15688"/>
        </a:xfrm>
        <a:custGeom>
          <a:avLst/>
          <a:gdLst/>
          <a:ahLst/>
          <a:cxnLst/>
          <a:rect l="0" t="0" r="0" b="0"/>
          <a:pathLst>
            <a:path>
              <a:moveTo>
                <a:pt x="0" y="7844"/>
              </a:moveTo>
              <a:lnTo>
                <a:pt x="8384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33029" y="1021617"/>
        <a:ext cx="41920" cy="41920"/>
      </dsp:txXfrm>
    </dsp:sp>
    <dsp:sp modelId="{5AF8D9AC-0C15-4D1B-BCD3-7FFCFF0A581D}">
      <dsp:nvSpPr>
        <dsp:cNvPr id="0" name=""/>
        <dsp:cNvSpPr/>
      </dsp:nvSpPr>
      <dsp:spPr>
        <a:xfrm>
          <a:off x="498352" y="592927"/>
          <a:ext cx="1163040" cy="609714"/>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20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External Relations  </a:t>
          </a:r>
        </a:p>
      </dsp:txBody>
      <dsp:txXfrm>
        <a:off x="668675" y="682218"/>
        <a:ext cx="822394" cy="431132"/>
      </dsp:txXfrm>
    </dsp:sp>
    <dsp:sp modelId="{5DC5D51E-945B-4CCC-B580-737CA66D42E3}">
      <dsp:nvSpPr>
        <dsp:cNvPr id="0" name=""/>
        <dsp:cNvSpPr/>
      </dsp:nvSpPr>
      <dsp:spPr>
        <a:xfrm rot="12869105">
          <a:off x="2227180" y="813278"/>
          <a:ext cx="520727" cy="15688"/>
        </a:xfrm>
        <a:custGeom>
          <a:avLst/>
          <a:gdLst/>
          <a:ahLst/>
          <a:cxnLst/>
          <a:rect l="0" t="0" r="0" b="0"/>
          <a:pathLst>
            <a:path>
              <a:moveTo>
                <a:pt x="0" y="7844"/>
              </a:moveTo>
              <a:lnTo>
                <a:pt x="52072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74526" y="808104"/>
        <a:ext cx="26036" cy="26036"/>
      </dsp:txXfrm>
    </dsp:sp>
    <dsp:sp modelId="{26661F75-1D9F-48E2-8FB0-82462D91AB89}">
      <dsp:nvSpPr>
        <dsp:cNvPr id="0" name=""/>
        <dsp:cNvSpPr/>
      </dsp:nvSpPr>
      <dsp:spPr>
        <a:xfrm>
          <a:off x="1360342" y="120426"/>
          <a:ext cx="1120523" cy="622532"/>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 31 </a:t>
          </a:r>
        </a:p>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Hague System  </a:t>
          </a:r>
        </a:p>
      </dsp:txBody>
      <dsp:txXfrm>
        <a:off x="1524439" y="211594"/>
        <a:ext cx="792329" cy="44019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66934" y="1144150"/>
          <a:ext cx="1195416" cy="37985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 </a:t>
          </a:r>
        </a:p>
      </dsp:txBody>
      <dsp:txXfrm>
        <a:off x="2541999" y="1199778"/>
        <a:ext cx="845286" cy="268594"/>
      </dsp:txXfrm>
    </dsp:sp>
    <dsp:sp modelId="{E6ACA703-0949-41B3-BE6B-C702E5C7275F}">
      <dsp:nvSpPr>
        <dsp:cNvPr id="0" name=""/>
        <dsp:cNvSpPr/>
      </dsp:nvSpPr>
      <dsp:spPr>
        <a:xfrm rot="16173306">
          <a:off x="2599212" y="776274"/>
          <a:ext cx="722303" cy="13473"/>
        </a:xfrm>
        <a:custGeom>
          <a:avLst/>
          <a:gdLst/>
          <a:ahLst/>
          <a:cxnLst/>
          <a:rect l="0" t="0" r="0" b="0"/>
          <a:pathLst>
            <a:path>
              <a:moveTo>
                <a:pt x="0" y="6736"/>
              </a:moveTo>
              <a:lnTo>
                <a:pt x="7223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42306" y="764953"/>
        <a:ext cx="36115" cy="36115"/>
      </dsp:txXfrm>
    </dsp:sp>
    <dsp:sp modelId="{AFD0CC05-9AD4-4A51-8739-4FB4CA1E4ACE}">
      <dsp:nvSpPr>
        <dsp:cNvPr id="0" name=""/>
        <dsp:cNvSpPr/>
      </dsp:nvSpPr>
      <dsp:spPr>
        <a:xfrm>
          <a:off x="2481099" y="2230"/>
          <a:ext cx="949660" cy="41964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sp:txBody>
      <dsp:txXfrm>
        <a:off x="2620173" y="63685"/>
        <a:ext cx="671512" cy="296730"/>
      </dsp:txXfrm>
    </dsp:sp>
    <dsp:sp modelId="{34515D96-C834-4D67-AF5C-3B293601CBC3}">
      <dsp:nvSpPr>
        <dsp:cNvPr id="0" name=""/>
        <dsp:cNvSpPr/>
      </dsp:nvSpPr>
      <dsp:spPr>
        <a:xfrm rot="18850491">
          <a:off x="3012570" y="842102"/>
          <a:ext cx="847062" cy="13473"/>
        </a:xfrm>
        <a:custGeom>
          <a:avLst/>
          <a:gdLst/>
          <a:ahLst/>
          <a:cxnLst/>
          <a:rect l="0" t="0" r="0" b="0"/>
          <a:pathLst>
            <a:path>
              <a:moveTo>
                <a:pt x="0" y="6736"/>
              </a:moveTo>
              <a:lnTo>
                <a:pt x="84706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4924" y="827662"/>
        <a:ext cx="42353" cy="42353"/>
      </dsp:txXfrm>
    </dsp:sp>
    <dsp:sp modelId="{D9366F31-B7D7-4B43-830C-AD5E2193A794}">
      <dsp:nvSpPr>
        <dsp:cNvPr id="0" name=""/>
        <dsp:cNvSpPr/>
      </dsp:nvSpPr>
      <dsp:spPr>
        <a:xfrm>
          <a:off x="3458074" y="63164"/>
          <a:ext cx="988454" cy="50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sp:txBody>
      <dsp:txXfrm>
        <a:off x="3602830" y="137673"/>
        <a:ext cx="698942" cy="359758"/>
      </dsp:txXfrm>
    </dsp:sp>
    <dsp:sp modelId="{3F0F15B6-4D5A-493B-B03E-AE8141DC3DCE}">
      <dsp:nvSpPr>
        <dsp:cNvPr id="0" name=""/>
        <dsp:cNvSpPr/>
      </dsp:nvSpPr>
      <dsp:spPr>
        <a:xfrm rot="20276127">
          <a:off x="3287436" y="942109"/>
          <a:ext cx="1255203" cy="13473"/>
        </a:xfrm>
        <a:custGeom>
          <a:avLst/>
          <a:gdLst/>
          <a:ahLst/>
          <a:cxnLst/>
          <a:rect l="0" t="0" r="0" b="0"/>
          <a:pathLst>
            <a:path>
              <a:moveTo>
                <a:pt x="0" y="6736"/>
              </a:moveTo>
              <a:lnTo>
                <a:pt x="12552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3657" y="917465"/>
        <a:ext cx="62760" cy="62760"/>
      </dsp:txXfrm>
    </dsp:sp>
    <dsp:sp modelId="{ECD2D13D-466C-468B-BD6C-1B646D8E5B8E}">
      <dsp:nvSpPr>
        <dsp:cNvPr id="0" name=""/>
        <dsp:cNvSpPr/>
      </dsp:nvSpPr>
      <dsp:spPr>
        <a:xfrm>
          <a:off x="4378724" y="339379"/>
          <a:ext cx="965618" cy="4516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sp:txBody>
      <dsp:txXfrm>
        <a:off x="4520135" y="405519"/>
        <a:ext cx="682796" cy="319352"/>
      </dsp:txXfrm>
    </dsp:sp>
    <dsp:sp modelId="{5CF8296B-0142-429D-A71A-20799D2EB74B}">
      <dsp:nvSpPr>
        <dsp:cNvPr id="0" name=""/>
        <dsp:cNvSpPr/>
      </dsp:nvSpPr>
      <dsp:spPr>
        <a:xfrm rot="21223332">
          <a:off x="3526279" y="1207215"/>
          <a:ext cx="1060626" cy="13473"/>
        </a:xfrm>
        <a:custGeom>
          <a:avLst/>
          <a:gdLst/>
          <a:ahLst/>
          <a:cxnLst/>
          <a:rect l="0" t="0" r="0" b="0"/>
          <a:pathLst>
            <a:path>
              <a:moveTo>
                <a:pt x="0" y="6736"/>
              </a:moveTo>
              <a:lnTo>
                <a:pt x="106062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30077" y="1187436"/>
        <a:ext cx="53031" cy="53031"/>
      </dsp:txXfrm>
    </dsp:sp>
    <dsp:sp modelId="{7E7DDE23-6C04-407D-AAB6-669511EA704E}">
      <dsp:nvSpPr>
        <dsp:cNvPr id="0" name=""/>
        <dsp:cNvSpPr/>
      </dsp:nvSpPr>
      <dsp:spPr>
        <a:xfrm>
          <a:off x="4557211" y="850654"/>
          <a:ext cx="1282634" cy="47534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sp:txBody>
      <dsp:txXfrm>
        <a:off x="4745048" y="920267"/>
        <a:ext cx="906960" cy="336122"/>
      </dsp:txXfrm>
    </dsp:sp>
    <dsp:sp modelId="{DC281168-2DBC-4CFB-B21D-C54E9628B383}">
      <dsp:nvSpPr>
        <dsp:cNvPr id="0" name=""/>
        <dsp:cNvSpPr/>
      </dsp:nvSpPr>
      <dsp:spPr>
        <a:xfrm rot="535167">
          <a:off x="3492868" y="1509911"/>
          <a:ext cx="1270138" cy="13473"/>
        </a:xfrm>
        <a:custGeom>
          <a:avLst/>
          <a:gdLst/>
          <a:ahLst/>
          <a:cxnLst/>
          <a:rect l="0" t="0" r="0" b="0"/>
          <a:pathLst>
            <a:path>
              <a:moveTo>
                <a:pt x="0" y="6736"/>
              </a:moveTo>
              <a:lnTo>
                <a:pt x="127013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6184" y="1484894"/>
        <a:ext cx="63506" cy="63506"/>
      </dsp:txXfrm>
    </dsp:sp>
    <dsp:sp modelId="{66DADE40-99AE-41BE-B997-129EED231064}">
      <dsp:nvSpPr>
        <dsp:cNvPr id="0" name=""/>
        <dsp:cNvSpPr/>
      </dsp:nvSpPr>
      <dsp:spPr>
        <a:xfrm>
          <a:off x="4732145" y="1462025"/>
          <a:ext cx="930144" cy="44487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868361" y="1527176"/>
        <a:ext cx="657712" cy="314576"/>
      </dsp:txXfrm>
    </dsp:sp>
    <dsp:sp modelId="{4DF1B0BE-A63A-4BEA-9EE5-4168481CC99E}">
      <dsp:nvSpPr>
        <dsp:cNvPr id="0" name=""/>
        <dsp:cNvSpPr/>
      </dsp:nvSpPr>
      <dsp:spPr>
        <a:xfrm rot="1801296">
          <a:off x="3193774" y="1713307"/>
          <a:ext cx="877603" cy="13473"/>
        </a:xfrm>
        <a:custGeom>
          <a:avLst/>
          <a:gdLst/>
          <a:ahLst/>
          <a:cxnLst/>
          <a:rect l="0" t="0" r="0" b="0"/>
          <a:pathLst>
            <a:path>
              <a:moveTo>
                <a:pt x="0" y="6736"/>
              </a:moveTo>
              <a:lnTo>
                <a:pt x="8776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0636" y="1698103"/>
        <a:ext cx="43880" cy="43880"/>
      </dsp:txXfrm>
    </dsp:sp>
    <dsp:sp modelId="{DB594876-4070-4577-942D-67F5CD4D6A19}">
      <dsp:nvSpPr>
        <dsp:cNvPr id="0" name=""/>
        <dsp:cNvSpPr/>
      </dsp:nvSpPr>
      <dsp:spPr>
        <a:xfrm>
          <a:off x="3713445" y="1898854"/>
          <a:ext cx="1321459" cy="4994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sp:txBody>
      <dsp:txXfrm>
        <a:off x="3906968" y="1971996"/>
        <a:ext cx="934413" cy="353163"/>
      </dsp:txXfrm>
    </dsp:sp>
    <dsp:sp modelId="{E49C447F-3477-4311-B10B-FFFA7DE7209F}">
      <dsp:nvSpPr>
        <dsp:cNvPr id="0" name=""/>
        <dsp:cNvSpPr/>
      </dsp:nvSpPr>
      <dsp:spPr>
        <a:xfrm rot="5055876">
          <a:off x="2750739" y="1774708"/>
          <a:ext cx="517671" cy="13473"/>
        </a:xfrm>
        <a:custGeom>
          <a:avLst/>
          <a:gdLst/>
          <a:ahLst/>
          <a:cxnLst/>
          <a:rect l="0" t="0" r="0" b="0"/>
          <a:pathLst>
            <a:path>
              <a:moveTo>
                <a:pt x="0" y="6736"/>
              </a:moveTo>
              <a:lnTo>
                <a:pt x="51767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96633" y="1768503"/>
        <a:ext cx="25883" cy="25883"/>
      </dsp:txXfrm>
    </dsp:sp>
    <dsp:sp modelId="{69F18085-0AC3-4BAE-9B16-F8478FFBD61E}">
      <dsp:nvSpPr>
        <dsp:cNvPr id="0" name=""/>
        <dsp:cNvSpPr/>
      </dsp:nvSpPr>
      <dsp:spPr>
        <a:xfrm>
          <a:off x="2437807" y="2038792"/>
          <a:ext cx="1244544" cy="49099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sp:txBody>
      <dsp:txXfrm>
        <a:off x="2620066" y="2110697"/>
        <a:ext cx="880026" cy="347185"/>
      </dsp:txXfrm>
    </dsp:sp>
    <dsp:sp modelId="{FCC14444-D5E7-4E9C-B980-A27CD799E442}">
      <dsp:nvSpPr>
        <dsp:cNvPr id="0" name=""/>
        <dsp:cNvSpPr/>
      </dsp:nvSpPr>
      <dsp:spPr>
        <a:xfrm rot="8556156">
          <a:off x="2063255" y="1730154"/>
          <a:ext cx="748956" cy="13473"/>
        </a:xfrm>
        <a:custGeom>
          <a:avLst/>
          <a:gdLst/>
          <a:ahLst/>
          <a:cxnLst/>
          <a:rect l="0" t="0" r="0" b="0"/>
          <a:pathLst>
            <a:path>
              <a:moveTo>
                <a:pt x="0" y="6736"/>
              </a:moveTo>
              <a:lnTo>
                <a:pt x="74895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9009" y="1718167"/>
        <a:ext cx="37447" cy="37447"/>
      </dsp:txXfrm>
    </dsp:sp>
    <dsp:sp modelId="{49C45DFA-0A15-4DAA-80DC-CAE4ABCC6B43}">
      <dsp:nvSpPr>
        <dsp:cNvPr id="0" name=""/>
        <dsp:cNvSpPr/>
      </dsp:nvSpPr>
      <dsp:spPr>
        <a:xfrm>
          <a:off x="1284935" y="1914967"/>
          <a:ext cx="1094664" cy="5695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sp:txBody>
      <dsp:txXfrm>
        <a:off x="1445245" y="1998381"/>
        <a:ext cx="774044" cy="402759"/>
      </dsp:txXfrm>
    </dsp:sp>
    <dsp:sp modelId="{7B59CB2C-C82F-41EE-B3CF-ADD4878ADBA6}">
      <dsp:nvSpPr>
        <dsp:cNvPr id="0" name=""/>
        <dsp:cNvSpPr/>
      </dsp:nvSpPr>
      <dsp:spPr>
        <a:xfrm rot="9930924">
          <a:off x="1206907" y="1611583"/>
          <a:ext cx="1314852" cy="13473"/>
        </a:xfrm>
        <a:custGeom>
          <a:avLst/>
          <a:gdLst/>
          <a:ahLst/>
          <a:cxnLst/>
          <a:rect l="0" t="0" r="0" b="0"/>
          <a:pathLst>
            <a:path>
              <a:moveTo>
                <a:pt x="0" y="6736"/>
              </a:moveTo>
              <a:lnTo>
                <a:pt x="131485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31462" y="1585449"/>
        <a:ext cx="65742" cy="65742"/>
      </dsp:txXfrm>
    </dsp:sp>
    <dsp:sp modelId="{402B25BB-F397-46B5-AAB7-C38C2276BF82}">
      <dsp:nvSpPr>
        <dsp:cNvPr id="0" name=""/>
        <dsp:cNvSpPr/>
      </dsp:nvSpPr>
      <dsp:spPr>
        <a:xfrm>
          <a:off x="76204" y="1624792"/>
          <a:ext cx="1223025" cy="5949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sp:txBody>
      <dsp:txXfrm>
        <a:off x="255312" y="1711923"/>
        <a:ext cx="864809" cy="420705"/>
      </dsp:txXfrm>
    </dsp:sp>
    <dsp:sp modelId="{EFB9CB5A-411C-454B-96B1-9ED988829CBE}">
      <dsp:nvSpPr>
        <dsp:cNvPr id="0" name=""/>
        <dsp:cNvSpPr/>
      </dsp:nvSpPr>
      <dsp:spPr>
        <a:xfrm rot="10864935">
          <a:off x="1302486" y="1306005"/>
          <a:ext cx="1065596" cy="13473"/>
        </a:xfrm>
        <a:custGeom>
          <a:avLst/>
          <a:gdLst/>
          <a:ahLst/>
          <a:cxnLst/>
          <a:rect l="0" t="0" r="0" b="0"/>
          <a:pathLst>
            <a:path>
              <a:moveTo>
                <a:pt x="0" y="6736"/>
              </a:moveTo>
              <a:lnTo>
                <a:pt x="106559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8645" y="1286101"/>
        <a:ext cx="53279" cy="53279"/>
      </dsp:txXfrm>
    </dsp:sp>
    <dsp:sp modelId="{5AF8D9AC-0C15-4D1B-BCD3-7FFCFF0A581D}">
      <dsp:nvSpPr>
        <dsp:cNvPr id="0" name=""/>
        <dsp:cNvSpPr/>
      </dsp:nvSpPr>
      <dsp:spPr>
        <a:xfrm>
          <a:off x="49262" y="1038204"/>
          <a:ext cx="1254006" cy="50528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a:t>
          </a:r>
        </a:p>
      </dsp:txBody>
      <dsp:txXfrm>
        <a:off x="232907" y="1112201"/>
        <a:ext cx="886716" cy="357290"/>
      </dsp:txXfrm>
    </dsp:sp>
    <dsp:sp modelId="{701CC827-3AE5-4421-983B-6398C783C82F}">
      <dsp:nvSpPr>
        <dsp:cNvPr id="0" name=""/>
        <dsp:cNvSpPr/>
      </dsp:nvSpPr>
      <dsp:spPr>
        <a:xfrm rot="11760165">
          <a:off x="1356041" y="1036342"/>
          <a:ext cx="1187912" cy="13473"/>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20300" y="1013381"/>
        <a:ext cx="59395" cy="59395"/>
      </dsp:txXfrm>
    </dsp:sp>
    <dsp:sp modelId="{A86195D8-E78B-4F8B-B1C4-EFBBA8999B88}">
      <dsp:nvSpPr>
        <dsp:cNvPr id="0" name=""/>
        <dsp:cNvSpPr/>
      </dsp:nvSpPr>
      <dsp:spPr>
        <a:xfrm>
          <a:off x="162868" y="495301"/>
          <a:ext cx="1380183" cy="4662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sp:txBody>
      <dsp:txXfrm>
        <a:off x="364991" y="563589"/>
        <a:ext cx="975937" cy="329723"/>
      </dsp:txXfrm>
    </dsp:sp>
    <dsp:sp modelId="{48D8EFE9-A375-4136-B36E-91EB3A5F0349}">
      <dsp:nvSpPr>
        <dsp:cNvPr id="0" name=""/>
        <dsp:cNvSpPr/>
      </dsp:nvSpPr>
      <dsp:spPr>
        <a:xfrm rot="13294674">
          <a:off x="1991764" y="855706"/>
          <a:ext cx="882504" cy="13473"/>
        </a:xfrm>
        <a:custGeom>
          <a:avLst/>
          <a:gdLst/>
          <a:ahLst/>
          <a:cxnLst/>
          <a:rect l="0" t="0" r="0" b="0"/>
          <a:pathLst>
            <a:path>
              <a:moveTo>
                <a:pt x="0" y="6736"/>
              </a:moveTo>
              <a:lnTo>
                <a:pt x="88250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0953" y="840380"/>
        <a:ext cx="44125" cy="44125"/>
      </dsp:txXfrm>
    </dsp:sp>
    <dsp:sp modelId="{2CC81EFE-1B09-4239-A772-C0141AEBEE08}">
      <dsp:nvSpPr>
        <dsp:cNvPr id="0" name=""/>
        <dsp:cNvSpPr/>
      </dsp:nvSpPr>
      <dsp:spPr>
        <a:xfrm>
          <a:off x="1200971" y="67118"/>
          <a:ext cx="1265733" cy="527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 30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SMEs &amp; Entrepreneurship</a:t>
          </a:r>
        </a:p>
      </dsp:txBody>
      <dsp:txXfrm>
        <a:off x="1386333" y="144372"/>
        <a:ext cx="895009" cy="373016"/>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281700" y="1072342"/>
          <a:ext cx="1160344" cy="431237"/>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 </a:t>
          </a:r>
        </a:p>
      </dsp:txBody>
      <dsp:txXfrm>
        <a:off x="2451628" y="1135495"/>
        <a:ext cx="820488" cy="304931"/>
      </dsp:txXfrm>
    </dsp:sp>
    <dsp:sp modelId="{E6ACA703-0949-41B3-BE6B-C702E5C7275F}">
      <dsp:nvSpPr>
        <dsp:cNvPr id="0" name=""/>
        <dsp:cNvSpPr/>
      </dsp:nvSpPr>
      <dsp:spPr>
        <a:xfrm rot="16173225">
          <a:off x="2536035" y="743963"/>
          <a:ext cx="643305" cy="13473"/>
        </a:xfrm>
        <a:custGeom>
          <a:avLst/>
          <a:gdLst/>
          <a:ahLst/>
          <a:cxnLst/>
          <a:rect l="0" t="0" r="0" b="0"/>
          <a:pathLst>
            <a:path>
              <a:moveTo>
                <a:pt x="0" y="6736"/>
              </a:moveTo>
              <a:lnTo>
                <a:pt x="66706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841606" y="734617"/>
        <a:ext cx="32165" cy="32165"/>
      </dsp:txXfrm>
    </dsp:sp>
    <dsp:sp modelId="{AFD0CC05-9AD4-4A51-8739-4FB4CA1E4ACE}">
      <dsp:nvSpPr>
        <dsp:cNvPr id="0" name=""/>
        <dsp:cNvSpPr/>
      </dsp:nvSpPr>
      <dsp:spPr>
        <a:xfrm>
          <a:off x="2398724" y="-21766"/>
          <a:ext cx="909407" cy="4508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sp:txBody>
      <dsp:txXfrm>
        <a:off x="2531904" y="44256"/>
        <a:ext cx="643047" cy="318780"/>
      </dsp:txXfrm>
    </dsp:sp>
    <dsp:sp modelId="{34515D96-C834-4D67-AF5C-3B293601CBC3}">
      <dsp:nvSpPr>
        <dsp:cNvPr id="0" name=""/>
        <dsp:cNvSpPr/>
      </dsp:nvSpPr>
      <dsp:spPr>
        <a:xfrm rot="18962181">
          <a:off x="2954580" y="792890"/>
          <a:ext cx="827241" cy="13473"/>
        </a:xfrm>
        <a:custGeom>
          <a:avLst/>
          <a:gdLst/>
          <a:ahLst/>
          <a:cxnLst/>
          <a:rect l="0" t="0" r="0" b="0"/>
          <a:pathLst>
            <a:path>
              <a:moveTo>
                <a:pt x="0" y="6736"/>
              </a:moveTo>
              <a:lnTo>
                <a:pt x="85340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347519" y="778945"/>
        <a:ext cx="41362" cy="41362"/>
      </dsp:txXfrm>
    </dsp:sp>
    <dsp:sp modelId="{D9366F31-B7D7-4B43-830C-AD5E2193A794}">
      <dsp:nvSpPr>
        <dsp:cNvPr id="0" name=""/>
        <dsp:cNvSpPr/>
      </dsp:nvSpPr>
      <dsp:spPr>
        <a:xfrm>
          <a:off x="3351559" y="51973"/>
          <a:ext cx="1083110" cy="48278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sp:txBody>
      <dsp:txXfrm>
        <a:off x="3510177" y="122676"/>
        <a:ext cx="765874" cy="341382"/>
      </dsp:txXfrm>
    </dsp:sp>
    <dsp:sp modelId="{3F0F15B6-4D5A-493B-B03E-AE8141DC3DCE}">
      <dsp:nvSpPr>
        <dsp:cNvPr id="0" name=""/>
        <dsp:cNvSpPr/>
      </dsp:nvSpPr>
      <dsp:spPr>
        <a:xfrm rot="20441511">
          <a:off x="3254016" y="956870"/>
          <a:ext cx="1067289" cy="13473"/>
        </a:xfrm>
        <a:custGeom>
          <a:avLst/>
          <a:gdLst/>
          <a:ahLst/>
          <a:cxnLst/>
          <a:rect l="0" t="0" r="0" b="0"/>
          <a:pathLst>
            <a:path>
              <a:moveTo>
                <a:pt x="0" y="6736"/>
              </a:moveTo>
              <a:lnTo>
                <a:pt x="110105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60978" y="936924"/>
        <a:ext cx="53364" cy="53364"/>
      </dsp:txXfrm>
    </dsp:sp>
    <dsp:sp modelId="{ECD2D13D-466C-468B-BD6C-1B646D8E5B8E}">
      <dsp:nvSpPr>
        <dsp:cNvPr id="0" name=""/>
        <dsp:cNvSpPr/>
      </dsp:nvSpPr>
      <dsp:spPr>
        <a:xfrm>
          <a:off x="4212274" y="414738"/>
          <a:ext cx="921240" cy="4774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sp:txBody>
      <dsp:txXfrm>
        <a:off x="4347186" y="484658"/>
        <a:ext cx="651416" cy="337605"/>
      </dsp:txXfrm>
    </dsp:sp>
    <dsp:sp modelId="{5CF8296B-0142-429D-A71A-20799D2EB74B}">
      <dsp:nvSpPr>
        <dsp:cNvPr id="0" name=""/>
        <dsp:cNvSpPr/>
      </dsp:nvSpPr>
      <dsp:spPr>
        <a:xfrm rot="21357974">
          <a:off x="3430385" y="1198711"/>
          <a:ext cx="1203128" cy="13473"/>
        </a:xfrm>
        <a:custGeom>
          <a:avLst/>
          <a:gdLst/>
          <a:ahLst/>
          <a:cxnLst/>
          <a:rect l="0" t="0" r="0" b="0"/>
          <a:pathLst>
            <a:path>
              <a:moveTo>
                <a:pt x="0" y="6736"/>
              </a:moveTo>
              <a:lnTo>
                <a:pt x="124118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01870" y="1175370"/>
        <a:ext cx="60156" cy="60156"/>
      </dsp:txXfrm>
    </dsp:sp>
    <dsp:sp modelId="{7E7DDE23-6C04-407D-AAB6-669511EA704E}">
      <dsp:nvSpPr>
        <dsp:cNvPr id="0" name=""/>
        <dsp:cNvSpPr/>
      </dsp:nvSpPr>
      <dsp:spPr>
        <a:xfrm>
          <a:off x="4623589" y="893222"/>
          <a:ext cx="1137765" cy="4607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sp:txBody>
      <dsp:txXfrm>
        <a:off x="4790211" y="960701"/>
        <a:ext cx="804521" cy="325815"/>
      </dsp:txXfrm>
    </dsp:sp>
    <dsp:sp modelId="{DC281168-2DBC-4CFB-B21D-C54E9628B383}">
      <dsp:nvSpPr>
        <dsp:cNvPr id="0" name=""/>
        <dsp:cNvSpPr/>
      </dsp:nvSpPr>
      <dsp:spPr>
        <a:xfrm rot="635706">
          <a:off x="3370533" y="1481395"/>
          <a:ext cx="1122900" cy="13473"/>
        </a:xfrm>
        <a:custGeom>
          <a:avLst/>
          <a:gdLst/>
          <a:ahLst/>
          <a:cxnLst/>
          <a:rect l="0" t="0" r="0" b="0"/>
          <a:pathLst>
            <a:path>
              <a:moveTo>
                <a:pt x="0" y="6736"/>
              </a:moveTo>
              <a:lnTo>
                <a:pt x="115842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03911" y="1460059"/>
        <a:ext cx="56145" cy="56145"/>
      </dsp:txXfrm>
    </dsp:sp>
    <dsp:sp modelId="{66DADE40-99AE-41BE-B997-129EED231064}">
      <dsp:nvSpPr>
        <dsp:cNvPr id="0" name=""/>
        <dsp:cNvSpPr/>
      </dsp:nvSpPr>
      <dsp:spPr>
        <a:xfrm>
          <a:off x="4456826" y="1427843"/>
          <a:ext cx="935212" cy="4918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593785" y="1499875"/>
        <a:ext cx="661294" cy="347801"/>
      </dsp:txXfrm>
    </dsp:sp>
    <dsp:sp modelId="{4DF1B0BE-A63A-4BEA-9EE5-4168481CC99E}">
      <dsp:nvSpPr>
        <dsp:cNvPr id="0" name=""/>
        <dsp:cNvSpPr/>
      </dsp:nvSpPr>
      <dsp:spPr>
        <a:xfrm rot="2078712">
          <a:off x="3070292" y="1683971"/>
          <a:ext cx="748822" cy="13473"/>
        </a:xfrm>
        <a:custGeom>
          <a:avLst/>
          <a:gdLst/>
          <a:ahLst/>
          <a:cxnLst/>
          <a:rect l="0" t="0" r="0" b="0"/>
          <a:pathLst>
            <a:path>
              <a:moveTo>
                <a:pt x="0" y="6736"/>
              </a:moveTo>
              <a:lnTo>
                <a:pt x="79033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25983" y="1671987"/>
        <a:ext cx="37441" cy="37441"/>
      </dsp:txXfrm>
    </dsp:sp>
    <dsp:sp modelId="{DB594876-4070-4577-942D-67F5CD4D6A19}">
      <dsp:nvSpPr>
        <dsp:cNvPr id="0" name=""/>
        <dsp:cNvSpPr/>
      </dsp:nvSpPr>
      <dsp:spPr>
        <a:xfrm>
          <a:off x="3445960" y="1867890"/>
          <a:ext cx="1250538" cy="5115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sp:txBody>
      <dsp:txXfrm>
        <a:off x="3629097" y="1942800"/>
        <a:ext cx="884264" cy="361697"/>
      </dsp:txXfrm>
    </dsp:sp>
    <dsp:sp modelId="{E49C447F-3477-4311-B10B-FFFA7DE7209F}">
      <dsp:nvSpPr>
        <dsp:cNvPr id="0" name=""/>
        <dsp:cNvSpPr/>
      </dsp:nvSpPr>
      <dsp:spPr>
        <a:xfrm rot="5338107">
          <a:off x="2595873" y="1771624"/>
          <a:ext cx="549660" cy="13473"/>
        </a:xfrm>
        <a:custGeom>
          <a:avLst/>
          <a:gdLst/>
          <a:ahLst/>
          <a:cxnLst/>
          <a:rect l="0" t="0" r="0" b="0"/>
          <a:pathLst>
            <a:path>
              <a:moveTo>
                <a:pt x="0" y="6736"/>
              </a:moveTo>
              <a:lnTo>
                <a:pt x="62573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6961" y="1764619"/>
        <a:ext cx="27483" cy="27483"/>
      </dsp:txXfrm>
    </dsp:sp>
    <dsp:sp modelId="{69F18085-0AC3-4BAE-9B16-F8478FFBD61E}">
      <dsp:nvSpPr>
        <dsp:cNvPr id="0" name=""/>
        <dsp:cNvSpPr/>
      </dsp:nvSpPr>
      <dsp:spPr>
        <a:xfrm>
          <a:off x="2272440" y="2053138"/>
          <a:ext cx="1216159" cy="5408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sp:txBody>
      <dsp:txXfrm>
        <a:off x="2450542" y="2132340"/>
        <a:ext cx="859955" cy="382424"/>
      </dsp:txXfrm>
    </dsp:sp>
    <dsp:sp modelId="{FCC14444-D5E7-4E9C-B980-A27CD799E442}">
      <dsp:nvSpPr>
        <dsp:cNvPr id="0" name=""/>
        <dsp:cNvSpPr/>
      </dsp:nvSpPr>
      <dsp:spPr>
        <a:xfrm rot="8536599">
          <a:off x="1773569" y="1761538"/>
          <a:ext cx="934747" cy="13473"/>
        </a:xfrm>
        <a:custGeom>
          <a:avLst/>
          <a:gdLst/>
          <a:ahLst/>
          <a:cxnLst/>
          <a:rect l="0" t="0" r="0" b="0"/>
          <a:pathLst>
            <a:path>
              <a:moveTo>
                <a:pt x="0" y="6736"/>
              </a:moveTo>
              <a:lnTo>
                <a:pt x="96431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17574" y="1744905"/>
        <a:ext cx="46737" cy="46737"/>
      </dsp:txXfrm>
    </dsp:sp>
    <dsp:sp modelId="{49C45DFA-0A15-4DAA-80DC-CAE4ABCC6B43}">
      <dsp:nvSpPr>
        <dsp:cNvPr id="0" name=""/>
        <dsp:cNvSpPr/>
      </dsp:nvSpPr>
      <dsp:spPr>
        <a:xfrm>
          <a:off x="978693" y="2030077"/>
          <a:ext cx="1238666" cy="4710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sp:txBody>
      <dsp:txXfrm>
        <a:off x="1160091" y="2099059"/>
        <a:ext cx="875870" cy="333072"/>
      </dsp:txXfrm>
    </dsp:sp>
    <dsp:sp modelId="{7B59CB2C-C82F-41EE-B3CF-ADD4878ADBA6}">
      <dsp:nvSpPr>
        <dsp:cNvPr id="0" name=""/>
        <dsp:cNvSpPr/>
      </dsp:nvSpPr>
      <dsp:spPr>
        <a:xfrm rot="9893043">
          <a:off x="1126832" y="1575933"/>
          <a:ext cx="1288016" cy="13473"/>
        </a:xfrm>
        <a:custGeom>
          <a:avLst/>
          <a:gdLst/>
          <a:ahLst/>
          <a:cxnLst/>
          <a:rect l="0" t="0" r="0" b="0"/>
          <a:pathLst>
            <a:path>
              <a:moveTo>
                <a:pt x="0" y="6736"/>
              </a:moveTo>
              <a:lnTo>
                <a:pt x="132875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38639" y="1550469"/>
        <a:ext cx="64400" cy="64400"/>
      </dsp:txXfrm>
    </dsp:sp>
    <dsp:sp modelId="{402B25BB-F397-46B5-AAB7-C38C2276BF82}">
      <dsp:nvSpPr>
        <dsp:cNvPr id="0" name=""/>
        <dsp:cNvSpPr/>
      </dsp:nvSpPr>
      <dsp:spPr>
        <a:xfrm>
          <a:off x="46162" y="1642719"/>
          <a:ext cx="1204723" cy="48622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sp:txBody>
      <dsp:txXfrm>
        <a:off x="222590" y="1713924"/>
        <a:ext cx="851867" cy="343810"/>
      </dsp:txXfrm>
    </dsp:sp>
    <dsp:sp modelId="{EFB9CB5A-411C-454B-96B1-9ED988829CBE}">
      <dsp:nvSpPr>
        <dsp:cNvPr id="0" name=""/>
        <dsp:cNvSpPr/>
      </dsp:nvSpPr>
      <dsp:spPr>
        <a:xfrm rot="10807515">
          <a:off x="1117430" y="1278683"/>
          <a:ext cx="1164282" cy="13473"/>
        </a:xfrm>
        <a:custGeom>
          <a:avLst/>
          <a:gdLst/>
          <a:ahLst/>
          <a:cxnLst/>
          <a:rect l="0" t="0" r="0" b="0"/>
          <a:pathLst>
            <a:path>
              <a:moveTo>
                <a:pt x="0" y="6736"/>
              </a:moveTo>
              <a:lnTo>
                <a:pt x="120111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70464" y="1256313"/>
        <a:ext cx="58214" cy="58214"/>
      </dsp:txXfrm>
    </dsp:sp>
    <dsp:sp modelId="{5AF8D9AC-0C15-4D1B-BCD3-7FFCFF0A581D}">
      <dsp:nvSpPr>
        <dsp:cNvPr id="0" name=""/>
        <dsp:cNvSpPr/>
      </dsp:nvSpPr>
      <dsp:spPr>
        <a:xfrm>
          <a:off x="54888" y="1019060"/>
          <a:ext cx="1062548" cy="5278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a:t>
          </a:r>
        </a:p>
      </dsp:txBody>
      <dsp:txXfrm>
        <a:off x="210495" y="1096362"/>
        <a:ext cx="751334" cy="373248"/>
      </dsp:txXfrm>
    </dsp:sp>
    <dsp:sp modelId="{701CC827-3AE5-4421-983B-6398C783C82F}">
      <dsp:nvSpPr>
        <dsp:cNvPr id="0" name=""/>
        <dsp:cNvSpPr/>
      </dsp:nvSpPr>
      <dsp:spPr>
        <a:xfrm rot="11742912">
          <a:off x="1249504" y="992390"/>
          <a:ext cx="1171711" cy="13473"/>
        </a:xfrm>
        <a:custGeom>
          <a:avLst/>
          <a:gdLst/>
          <a:ahLst/>
          <a:cxnLst/>
          <a:rect l="0" t="0" r="0" b="0"/>
          <a:pathLst>
            <a:path>
              <a:moveTo>
                <a:pt x="0" y="6736"/>
              </a:moveTo>
              <a:lnTo>
                <a:pt x="120877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6067" y="969834"/>
        <a:ext cx="58585" cy="58585"/>
      </dsp:txXfrm>
    </dsp:sp>
    <dsp:sp modelId="{A86195D8-E78B-4F8B-B1C4-EFBBA8999B88}">
      <dsp:nvSpPr>
        <dsp:cNvPr id="0" name=""/>
        <dsp:cNvSpPr/>
      </dsp:nvSpPr>
      <dsp:spPr>
        <a:xfrm>
          <a:off x="184660" y="444201"/>
          <a:ext cx="1181652" cy="5134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 </a:t>
          </a:r>
        </a:p>
      </dsp:txBody>
      <dsp:txXfrm>
        <a:off x="357709" y="519388"/>
        <a:ext cx="835554" cy="363036"/>
      </dsp:txXfrm>
    </dsp:sp>
    <dsp:sp modelId="{155F429B-0A10-4501-ADF1-CAD1F85BB50E}">
      <dsp:nvSpPr>
        <dsp:cNvPr id="0" name=""/>
        <dsp:cNvSpPr/>
      </dsp:nvSpPr>
      <dsp:spPr>
        <a:xfrm rot="13285665">
          <a:off x="1954439" y="824517"/>
          <a:ext cx="779813" cy="13473"/>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4850" y="811758"/>
        <a:ext cx="38990" cy="38990"/>
      </dsp:txXfrm>
    </dsp:sp>
    <dsp:sp modelId="{04A81C5D-1DF3-47DF-8447-322057132F11}">
      <dsp:nvSpPr>
        <dsp:cNvPr id="0" name=""/>
        <dsp:cNvSpPr/>
      </dsp:nvSpPr>
      <dsp:spPr>
        <a:xfrm>
          <a:off x="1120483" y="58972"/>
          <a:ext cx="1308988" cy="5396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SMEs &amp; Entrepreneurship </a:t>
          </a:r>
        </a:p>
        <a:p>
          <a:pPr lvl="0" algn="ctr" defTabSz="44450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12180" y="138002"/>
        <a:ext cx="925594" cy="38159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49918" y="553612"/>
          <a:ext cx="1164549" cy="39529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dsp:txBody>
      <dsp:txXfrm>
        <a:off x="2620462" y="611501"/>
        <a:ext cx="823461" cy="279515"/>
      </dsp:txXfrm>
    </dsp:sp>
    <dsp:sp modelId="{4344ACFB-6B44-4AAF-B1DB-49AB3ED02AF7}">
      <dsp:nvSpPr>
        <dsp:cNvPr id="0" name=""/>
        <dsp:cNvSpPr/>
      </dsp:nvSpPr>
      <dsp:spPr>
        <a:xfrm rot="16267201">
          <a:off x="2953289" y="462843"/>
          <a:ext cx="168835" cy="12744"/>
        </a:xfrm>
        <a:custGeom>
          <a:avLst/>
          <a:gdLst/>
          <a:ahLst/>
          <a:cxnLst/>
          <a:rect l="0" t="0" r="0" b="0"/>
          <a:pathLst>
            <a:path>
              <a:moveTo>
                <a:pt x="0" y="6372"/>
              </a:moveTo>
              <a:lnTo>
                <a:pt x="168835"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33486" y="464994"/>
        <a:ext cx="8441" cy="8441"/>
      </dsp:txXfrm>
    </dsp:sp>
    <dsp:sp modelId="{19ACA16F-4F02-4741-A973-0858AA9E727D}">
      <dsp:nvSpPr>
        <dsp:cNvPr id="0" name=""/>
        <dsp:cNvSpPr/>
      </dsp:nvSpPr>
      <dsp:spPr>
        <a:xfrm>
          <a:off x="2504062" y="11999"/>
          <a:ext cx="1077879" cy="3728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 </a:t>
          </a:r>
        </a:p>
      </dsp:txBody>
      <dsp:txXfrm>
        <a:off x="2661914" y="66597"/>
        <a:ext cx="762175" cy="263621"/>
      </dsp:txXfrm>
    </dsp:sp>
    <dsp:sp modelId="{5337AE63-3722-42CC-AF72-36670EB7C5E1}">
      <dsp:nvSpPr>
        <dsp:cNvPr id="0" name=""/>
        <dsp:cNvSpPr/>
      </dsp:nvSpPr>
      <dsp:spPr>
        <a:xfrm rot="21596424">
          <a:off x="3614465" y="743781"/>
          <a:ext cx="962047" cy="12744"/>
        </a:xfrm>
        <a:custGeom>
          <a:avLst/>
          <a:gdLst/>
          <a:ahLst/>
          <a:cxnLst/>
          <a:rect l="0" t="0" r="0" b="0"/>
          <a:pathLst>
            <a:path>
              <a:moveTo>
                <a:pt x="0" y="6372"/>
              </a:moveTo>
              <a:lnTo>
                <a:pt x="962047"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71438" y="726102"/>
        <a:ext cx="48102" cy="48102"/>
      </dsp:txXfrm>
    </dsp:sp>
    <dsp:sp modelId="{CED9197C-8322-406B-917C-172FA36E7B76}">
      <dsp:nvSpPr>
        <dsp:cNvPr id="0" name=""/>
        <dsp:cNvSpPr/>
      </dsp:nvSpPr>
      <dsp:spPr>
        <a:xfrm>
          <a:off x="4576509" y="527313"/>
          <a:ext cx="1367090" cy="44325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4776715" y="592226"/>
        <a:ext cx="966678" cy="313431"/>
      </dsp:txXfrm>
    </dsp:sp>
    <dsp:sp modelId="{4AC11394-3179-4EC5-A97F-D1A1B521CE2F}">
      <dsp:nvSpPr>
        <dsp:cNvPr id="0" name=""/>
        <dsp:cNvSpPr/>
      </dsp:nvSpPr>
      <dsp:spPr>
        <a:xfrm rot="5406477">
          <a:off x="2962132" y="1012091"/>
          <a:ext cx="139115" cy="12744"/>
        </a:xfrm>
        <a:custGeom>
          <a:avLst/>
          <a:gdLst/>
          <a:ahLst/>
          <a:cxnLst/>
          <a:rect l="0" t="0" r="0" b="0"/>
          <a:pathLst>
            <a:path>
              <a:moveTo>
                <a:pt x="0" y="6372"/>
              </a:moveTo>
              <a:lnTo>
                <a:pt x="139115"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28212" y="1014986"/>
        <a:ext cx="6955" cy="6955"/>
      </dsp:txXfrm>
    </dsp:sp>
    <dsp:sp modelId="{035B4C9A-0916-4FCC-A1CF-85DB358A289A}">
      <dsp:nvSpPr>
        <dsp:cNvPr id="0" name=""/>
        <dsp:cNvSpPr/>
      </dsp:nvSpPr>
      <dsp:spPr>
        <a:xfrm>
          <a:off x="2413417" y="1088021"/>
          <a:ext cx="1235557" cy="3853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2594360" y="1144455"/>
        <a:ext cx="873671" cy="272490"/>
      </dsp:txXfrm>
    </dsp:sp>
    <dsp:sp modelId="{ADF94B70-0D7F-4A27-8DF9-17BCD27F4A7A}">
      <dsp:nvSpPr>
        <dsp:cNvPr id="0" name=""/>
        <dsp:cNvSpPr/>
      </dsp:nvSpPr>
      <dsp:spPr>
        <a:xfrm rot="10793938">
          <a:off x="1410356" y="746831"/>
          <a:ext cx="1039571" cy="12744"/>
        </a:xfrm>
        <a:custGeom>
          <a:avLst/>
          <a:gdLst/>
          <a:ahLst/>
          <a:cxnLst/>
          <a:rect l="0" t="0" r="0" b="0"/>
          <a:pathLst>
            <a:path>
              <a:moveTo>
                <a:pt x="0" y="6372"/>
              </a:moveTo>
              <a:lnTo>
                <a:pt x="1039571" y="637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04152" y="727213"/>
        <a:ext cx="51978" cy="51978"/>
      </dsp:txXfrm>
    </dsp:sp>
    <dsp:sp modelId="{0FAF3FA1-8E6C-455E-B189-A468B3F4D8BC}">
      <dsp:nvSpPr>
        <dsp:cNvPr id="0" name=""/>
        <dsp:cNvSpPr/>
      </dsp:nvSpPr>
      <dsp:spPr>
        <a:xfrm>
          <a:off x="1" y="535927"/>
          <a:ext cx="1410366" cy="4388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6544" y="600198"/>
        <a:ext cx="997280" cy="310330"/>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30</a:t>
          </a: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56494" y="625106"/>
          <a:ext cx="1358942" cy="39952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dsp:txBody>
      <dsp:txXfrm>
        <a:off x="2255506" y="683615"/>
        <a:ext cx="960918" cy="282506"/>
      </dsp:txXfrm>
    </dsp:sp>
    <dsp:sp modelId="{5337AE63-3722-42CC-AF72-36670EB7C5E1}">
      <dsp:nvSpPr>
        <dsp:cNvPr id="0" name=""/>
        <dsp:cNvSpPr/>
      </dsp:nvSpPr>
      <dsp:spPr>
        <a:xfrm rot="16216882">
          <a:off x="2654356" y="535111"/>
          <a:ext cx="165995" cy="13996"/>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3204" y="537960"/>
        <a:ext cx="8299" cy="8299"/>
      </dsp:txXfrm>
    </dsp:sp>
    <dsp:sp modelId="{CED9197C-8322-406B-917C-172FA36E7B76}">
      <dsp:nvSpPr>
        <dsp:cNvPr id="0" name=""/>
        <dsp:cNvSpPr/>
      </dsp:nvSpPr>
      <dsp:spPr>
        <a:xfrm>
          <a:off x="2142157" y="1"/>
          <a:ext cx="1193462" cy="4591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16935" y="67236"/>
        <a:ext cx="843906" cy="324642"/>
      </dsp:txXfrm>
    </dsp:sp>
    <dsp:sp modelId="{4AC11394-3179-4EC5-A97F-D1A1B521CE2F}">
      <dsp:nvSpPr>
        <dsp:cNvPr id="0" name=""/>
        <dsp:cNvSpPr/>
      </dsp:nvSpPr>
      <dsp:spPr>
        <a:xfrm rot="21563328">
          <a:off x="3414962" y="805397"/>
          <a:ext cx="980589" cy="13996"/>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0741" y="787880"/>
        <a:ext cx="49029" cy="49029"/>
      </dsp:txXfrm>
    </dsp:sp>
    <dsp:sp modelId="{035B4C9A-0916-4FCC-A1CF-85DB358A289A}">
      <dsp:nvSpPr>
        <dsp:cNvPr id="0" name=""/>
        <dsp:cNvSpPr/>
      </dsp:nvSpPr>
      <dsp:spPr>
        <a:xfrm>
          <a:off x="4395315" y="505301"/>
          <a:ext cx="1364769" cy="58917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Lisbon Systems  </a:t>
          </a:r>
        </a:p>
      </dsp:txBody>
      <dsp:txXfrm>
        <a:off x="4595181" y="591583"/>
        <a:ext cx="965037" cy="416608"/>
      </dsp:txXfrm>
    </dsp:sp>
    <dsp:sp modelId="{1281FAF2-438A-4E06-A630-42C5CD6DB1D1}">
      <dsp:nvSpPr>
        <dsp:cNvPr id="0" name=""/>
        <dsp:cNvSpPr/>
      </dsp:nvSpPr>
      <dsp:spPr>
        <a:xfrm rot="5377226">
          <a:off x="2665390" y="1090008"/>
          <a:ext cx="144754" cy="13996"/>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34149" y="1093387"/>
        <a:ext cx="7237" cy="7237"/>
      </dsp:txXfrm>
    </dsp:sp>
    <dsp:sp modelId="{9D8804DD-C1C3-4668-9E8F-40BB54189D15}">
      <dsp:nvSpPr>
        <dsp:cNvPr id="0" name=""/>
        <dsp:cNvSpPr/>
      </dsp:nvSpPr>
      <dsp:spPr>
        <a:xfrm>
          <a:off x="2035198" y="1169382"/>
          <a:ext cx="1409053" cy="4460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p>
      </dsp:txBody>
      <dsp:txXfrm>
        <a:off x="2241549" y="1234701"/>
        <a:ext cx="996351" cy="315387"/>
      </dsp:txXfrm>
    </dsp:sp>
    <dsp:sp modelId="{D0E3F8D6-DE9C-4394-8B02-9C131280903E}">
      <dsp:nvSpPr>
        <dsp:cNvPr id="0" name=""/>
        <dsp:cNvSpPr/>
      </dsp:nvSpPr>
      <dsp:spPr>
        <a:xfrm rot="10771247">
          <a:off x="1196456" y="827149"/>
          <a:ext cx="860327" cy="13996"/>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05111" y="812639"/>
        <a:ext cx="43016" cy="43016"/>
      </dsp:txXfrm>
    </dsp:sp>
    <dsp:sp modelId="{F1CADBCB-761B-4EBD-8811-73EECDD73DC5}">
      <dsp:nvSpPr>
        <dsp:cNvPr id="0" name=""/>
        <dsp:cNvSpPr/>
      </dsp:nvSpPr>
      <dsp:spPr>
        <a:xfrm>
          <a:off x="0" y="568557"/>
          <a:ext cx="1196570" cy="5483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 </a:t>
          </a:r>
        </a:p>
      </dsp:txBody>
      <dsp:txXfrm>
        <a:off x="175234" y="648866"/>
        <a:ext cx="846102" cy="38776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96468" y="663809"/>
          <a:ext cx="1156265" cy="34990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dsp:txBody>
      <dsp:txXfrm>
        <a:off x="2565799" y="715051"/>
        <a:ext cx="817603" cy="247419"/>
      </dsp:txXfrm>
    </dsp:sp>
    <dsp:sp modelId="{743B4520-8441-42A0-AFCB-45C212516FFF}">
      <dsp:nvSpPr>
        <dsp:cNvPr id="0" name=""/>
        <dsp:cNvSpPr/>
      </dsp:nvSpPr>
      <dsp:spPr>
        <a:xfrm rot="16200000">
          <a:off x="2881767" y="563922"/>
          <a:ext cx="185668" cy="14105"/>
        </a:xfrm>
        <a:custGeom>
          <a:avLst/>
          <a:gdLst/>
          <a:ahLst/>
          <a:cxnLst/>
          <a:rect l="0" t="0" r="0" b="0"/>
          <a:pathLst>
            <a:path>
              <a:moveTo>
                <a:pt x="0" y="7052"/>
              </a:moveTo>
              <a:lnTo>
                <a:pt x="197570"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69959" y="566333"/>
        <a:ext cx="9283" cy="9283"/>
      </dsp:txXfrm>
    </dsp:sp>
    <dsp:sp modelId="{825B4589-2D50-4097-AF2B-6D3BD9DDE0B2}">
      <dsp:nvSpPr>
        <dsp:cNvPr id="0" name=""/>
        <dsp:cNvSpPr/>
      </dsp:nvSpPr>
      <dsp:spPr>
        <a:xfrm>
          <a:off x="2440329" y="3485"/>
          <a:ext cx="1068544" cy="47465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96814" y="72997"/>
        <a:ext cx="755574" cy="335631"/>
      </dsp:txXfrm>
    </dsp:sp>
    <dsp:sp modelId="{7A96B68C-E15D-4E1B-A46C-7E5DE405A90C}">
      <dsp:nvSpPr>
        <dsp:cNvPr id="0" name=""/>
        <dsp:cNvSpPr/>
      </dsp:nvSpPr>
      <dsp:spPr>
        <a:xfrm rot="20720515">
          <a:off x="3400753" y="629918"/>
          <a:ext cx="690648" cy="14105"/>
        </a:xfrm>
        <a:custGeom>
          <a:avLst/>
          <a:gdLst/>
          <a:ahLst/>
          <a:cxnLst/>
          <a:rect l="0" t="0" r="0" b="0"/>
          <a:pathLst>
            <a:path>
              <a:moveTo>
                <a:pt x="0" y="7052"/>
              </a:moveTo>
              <a:lnTo>
                <a:pt x="74021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28811" y="619704"/>
        <a:ext cx="34532" cy="34532"/>
      </dsp:txXfrm>
    </dsp:sp>
    <dsp:sp modelId="{9DCD972B-1513-465A-AD2B-AD5E9EEB7291}">
      <dsp:nvSpPr>
        <dsp:cNvPr id="0" name=""/>
        <dsp:cNvSpPr/>
      </dsp:nvSpPr>
      <dsp:spPr>
        <a:xfrm>
          <a:off x="3978178" y="177658"/>
          <a:ext cx="1217814" cy="478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sp:txBody>
      <dsp:txXfrm>
        <a:off x="4156523" y="247758"/>
        <a:ext cx="861124" cy="338470"/>
      </dsp:txXfrm>
    </dsp:sp>
    <dsp:sp modelId="{5337AE63-3722-42CC-AF72-36670EB7C5E1}">
      <dsp:nvSpPr>
        <dsp:cNvPr id="0" name=""/>
        <dsp:cNvSpPr/>
      </dsp:nvSpPr>
      <dsp:spPr>
        <a:xfrm rot="645857">
          <a:off x="3458967" y="979715"/>
          <a:ext cx="588305" cy="14105"/>
        </a:xfrm>
        <a:custGeom>
          <a:avLst/>
          <a:gdLst/>
          <a:ahLst/>
          <a:cxnLst/>
          <a:rect l="0" t="0" r="0" b="0"/>
          <a:pathLst>
            <a:path>
              <a:moveTo>
                <a:pt x="0" y="7052"/>
              </a:moveTo>
              <a:lnTo>
                <a:pt x="63329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38412" y="972060"/>
        <a:ext cx="29415" cy="29415"/>
      </dsp:txXfrm>
    </dsp:sp>
    <dsp:sp modelId="{CED9197C-8322-406B-917C-172FA36E7B76}">
      <dsp:nvSpPr>
        <dsp:cNvPr id="0" name=""/>
        <dsp:cNvSpPr/>
      </dsp:nvSpPr>
      <dsp:spPr>
        <a:xfrm>
          <a:off x="3981375" y="904073"/>
          <a:ext cx="1229067" cy="4858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Classifications &amp; Standards</a:t>
          </a:r>
        </a:p>
      </dsp:txBody>
      <dsp:txXfrm>
        <a:off x="4161368" y="975223"/>
        <a:ext cx="869081" cy="343543"/>
      </dsp:txXfrm>
    </dsp:sp>
    <dsp:sp modelId="{4AC11394-3179-4EC5-A97F-D1A1B521CE2F}">
      <dsp:nvSpPr>
        <dsp:cNvPr id="0" name=""/>
        <dsp:cNvSpPr/>
      </dsp:nvSpPr>
      <dsp:spPr>
        <a:xfrm rot="5437981">
          <a:off x="2867027" y="1111138"/>
          <a:ext cx="208972" cy="14105"/>
        </a:xfrm>
        <a:custGeom>
          <a:avLst/>
          <a:gdLst/>
          <a:ahLst/>
          <a:cxnLst/>
          <a:rect l="0" t="0" r="0" b="0"/>
          <a:pathLst>
            <a:path>
              <a:moveTo>
                <a:pt x="0" y="7052"/>
              </a:moveTo>
              <a:lnTo>
                <a:pt x="222368"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66289" y="1112967"/>
        <a:ext cx="10448" cy="10448"/>
      </dsp:txXfrm>
    </dsp:sp>
    <dsp:sp modelId="{035B4C9A-0916-4FCC-A1CF-85DB358A289A}">
      <dsp:nvSpPr>
        <dsp:cNvPr id="0" name=""/>
        <dsp:cNvSpPr/>
      </dsp:nvSpPr>
      <dsp:spPr>
        <a:xfrm>
          <a:off x="2346101" y="1222669"/>
          <a:ext cx="1243333" cy="46910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528183" y="1291368"/>
        <a:ext cx="879169" cy="331710"/>
      </dsp:txXfrm>
    </dsp:sp>
    <dsp:sp modelId="{ADF94B70-0D7F-4A27-8DF9-17BCD27F4A7A}">
      <dsp:nvSpPr>
        <dsp:cNvPr id="0" name=""/>
        <dsp:cNvSpPr/>
      </dsp:nvSpPr>
      <dsp:spPr>
        <a:xfrm rot="10177423">
          <a:off x="1913433" y="973719"/>
          <a:ext cx="571206" cy="14105"/>
        </a:xfrm>
        <a:custGeom>
          <a:avLst/>
          <a:gdLst/>
          <a:ahLst/>
          <a:cxnLst/>
          <a:rect l="0" t="0" r="0" b="0"/>
          <a:pathLst>
            <a:path>
              <a:moveTo>
                <a:pt x="0" y="7052"/>
              </a:moveTo>
              <a:lnTo>
                <a:pt x="615314"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84756" y="966491"/>
        <a:ext cx="28560" cy="28560"/>
      </dsp:txXfrm>
    </dsp:sp>
    <dsp:sp modelId="{0FAF3FA1-8E6C-455E-B189-A468B3F4D8BC}">
      <dsp:nvSpPr>
        <dsp:cNvPr id="0" name=""/>
        <dsp:cNvSpPr/>
      </dsp:nvSpPr>
      <dsp:spPr>
        <a:xfrm>
          <a:off x="737210" y="886171"/>
          <a:ext cx="1236267" cy="4981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Buisness  Solutions for IP</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918257" y="959126"/>
        <a:ext cx="874173" cy="352261"/>
      </dsp:txXfrm>
    </dsp:sp>
    <dsp:sp modelId="{4C755D63-E57A-4826-AD35-228CF0B8702F}">
      <dsp:nvSpPr>
        <dsp:cNvPr id="0" name=""/>
        <dsp:cNvSpPr/>
      </dsp:nvSpPr>
      <dsp:spPr>
        <a:xfrm rot="11708708">
          <a:off x="1953352" y="636594"/>
          <a:ext cx="600766" cy="14105"/>
        </a:xfrm>
        <a:custGeom>
          <a:avLst/>
          <a:gdLst/>
          <a:ahLst/>
          <a:cxnLst/>
          <a:rect l="0" t="0" r="0" b="0"/>
          <a:pathLst>
            <a:path>
              <a:moveTo>
                <a:pt x="0" y="7052"/>
              </a:moveTo>
              <a:lnTo>
                <a:pt x="644351"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38716" y="628628"/>
        <a:ext cx="30038" cy="30038"/>
      </dsp:txXfrm>
    </dsp:sp>
    <dsp:sp modelId="{24E3E7DC-0BA5-48AF-955A-AA52F4F430B1}">
      <dsp:nvSpPr>
        <dsp:cNvPr id="0" name=""/>
        <dsp:cNvSpPr/>
      </dsp:nvSpPr>
      <dsp:spPr>
        <a:xfrm>
          <a:off x="835673" y="187977"/>
          <a:ext cx="1240273" cy="4793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17307" y="258183"/>
        <a:ext cx="877005" cy="338985"/>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436957" y="927791"/>
          <a:ext cx="1163496" cy="48614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a:t>
          </a:r>
        </a:p>
      </dsp:txBody>
      <dsp:txXfrm>
        <a:off x="2607347" y="998985"/>
        <a:ext cx="822716" cy="343756"/>
      </dsp:txXfrm>
    </dsp:sp>
    <dsp:sp modelId="{650854B0-9FE7-4FFD-96B2-18F6452E0859}">
      <dsp:nvSpPr>
        <dsp:cNvPr id="0" name=""/>
        <dsp:cNvSpPr/>
      </dsp:nvSpPr>
      <dsp:spPr>
        <a:xfrm rot="16222721">
          <a:off x="2829174" y="726885"/>
          <a:ext cx="384817"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11963" y="725766"/>
        <a:ext cx="19240" cy="19240"/>
      </dsp:txXfrm>
    </dsp:sp>
    <dsp:sp modelId="{6394B413-6D12-4C4F-9A8D-E0508CAE8617}">
      <dsp:nvSpPr>
        <dsp:cNvPr id="0" name=""/>
        <dsp:cNvSpPr/>
      </dsp:nvSpPr>
      <dsp:spPr>
        <a:xfrm>
          <a:off x="2461162" y="9959"/>
          <a:ext cx="1126909" cy="5330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2626194" y="88019"/>
        <a:ext cx="796845" cy="376904"/>
      </dsp:txXfrm>
    </dsp:sp>
    <dsp:sp modelId="{DEF09AAB-E09E-4486-8914-E37D47E60824}">
      <dsp:nvSpPr>
        <dsp:cNvPr id="0" name=""/>
        <dsp:cNvSpPr/>
      </dsp:nvSpPr>
      <dsp:spPr>
        <a:xfrm rot="20327628">
          <a:off x="3425618" y="893424"/>
          <a:ext cx="572447"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97530" y="887616"/>
        <a:ext cx="28622" cy="28622"/>
      </dsp:txXfrm>
    </dsp:sp>
    <dsp:sp modelId="{2ED32773-10C9-4671-A0BF-4C0DAB40AE25}">
      <dsp:nvSpPr>
        <dsp:cNvPr id="0" name=""/>
        <dsp:cNvSpPr/>
      </dsp:nvSpPr>
      <dsp:spPr>
        <a:xfrm>
          <a:off x="3842529" y="396834"/>
          <a:ext cx="1095195" cy="4838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4002917" y="467690"/>
        <a:ext cx="774419" cy="342124"/>
      </dsp:txXfrm>
    </dsp:sp>
    <dsp:sp modelId="{6A5F15CA-77E2-4C48-8498-A7C7D3C4428C}">
      <dsp:nvSpPr>
        <dsp:cNvPr id="0" name=""/>
        <dsp:cNvSpPr/>
      </dsp:nvSpPr>
      <dsp:spPr>
        <a:xfrm rot="21592425">
          <a:off x="3600444" y="1159869"/>
          <a:ext cx="1098211"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22094" y="1140916"/>
        <a:ext cx="54910" cy="54910"/>
      </dsp:txXfrm>
    </dsp:sp>
    <dsp:sp modelId="{638FE4E5-2063-40D0-A44F-91C88716CF8C}">
      <dsp:nvSpPr>
        <dsp:cNvPr id="0" name=""/>
        <dsp:cNvSpPr/>
      </dsp:nvSpPr>
      <dsp:spPr>
        <a:xfrm>
          <a:off x="4698645" y="910828"/>
          <a:ext cx="1244492" cy="5099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sp:txBody>
      <dsp:txXfrm>
        <a:off x="4880897" y="985505"/>
        <a:ext cx="879988" cy="360570"/>
      </dsp:txXfrm>
    </dsp:sp>
    <dsp:sp modelId="{EAF47FDD-7D57-4FF6-9F6B-6E604D2CC0DE}">
      <dsp:nvSpPr>
        <dsp:cNvPr id="0" name=""/>
        <dsp:cNvSpPr/>
      </dsp:nvSpPr>
      <dsp:spPr>
        <a:xfrm rot="10786818">
          <a:off x="1244871" y="1166877"/>
          <a:ext cx="1192114"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1126" y="1145576"/>
        <a:ext cx="59605" cy="59605"/>
      </dsp:txXfrm>
    </dsp:sp>
    <dsp:sp modelId="{F74F2681-A109-4B75-8C08-B2B26769CF03}">
      <dsp:nvSpPr>
        <dsp:cNvPr id="0" name=""/>
        <dsp:cNvSpPr/>
      </dsp:nvSpPr>
      <dsp:spPr>
        <a:xfrm>
          <a:off x="87258" y="886603"/>
          <a:ext cx="1157634" cy="58656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13</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Global Databases</a:t>
          </a:r>
        </a:p>
      </dsp:txBody>
      <dsp:txXfrm>
        <a:off x="256790" y="972503"/>
        <a:ext cx="818570" cy="414762"/>
      </dsp:txXfrm>
    </dsp:sp>
    <dsp:sp modelId="{AC7E3352-64BC-4978-9AB6-2DD833483239}">
      <dsp:nvSpPr>
        <dsp:cNvPr id="0" name=""/>
        <dsp:cNvSpPr/>
      </dsp:nvSpPr>
      <dsp:spPr>
        <a:xfrm rot="12167746">
          <a:off x="2042714" y="875912"/>
          <a:ext cx="588830"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22408" y="869693"/>
        <a:ext cx="29441" cy="29441"/>
      </dsp:txXfrm>
    </dsp:sp>
    <dsp:sp modelId="{05C48364-E63B-4056-87CF-0BE50D74190B}">
      <dsp:nvSpPr>
        <dsp:cNvPr id="0" name=""/>
        <dsp:cNvSpPr/>
      </dsp:nvSpPr>
      <dsp:spPr>
        <a:xfrm>
          <a:off x="971490" y="327756"/>
          <a:ext cx="1299827" cy="5117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a:t>
          </a:r>
        </a:p>
      </dsp:txBody>
      <dsp:txXfrm>
        <a:off x="1161845" y="402695"/>
        <a:ext cx="919117" cy="361837"/>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4691" y="677686"/>
          <a:ext cx="1188147" cy="44571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a:t>
          </a:r>
        </a:p>
      </dsp:txBody>
      <dsp:txXfrm>
        <a:off x="2458691" y="742959"/>
        <a:ext cx="840147" cy="315167"/>
      </dsp:txXfrm>
    </dsp:sp>
    <dsp:sp modelId="{72463A3F-A956-4917-8722-9FD79FB3E09A}">
      <dsp:nvSpPr>
        <dsp:cNvPr id="0" name=""/>
        <dsp:cNvSpPr/>
      </dsp:nvSpPr>
      <dsp:spPr>
        <a:xfrm rot="16214742">
          <a:off x="2823804" y="613811"/>
          <a:ext cx="112316" cy="15435"/>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77154" y="618721"/>
        <a:ext cx="5615" cy="5615"/>
      </dsp:txXfrm>
    </dsp:sp>
    <dsp:sp modelId="{A030EF9D-9337-4706-B87A-64BDE162520A}">
      <dsp:nvSpPr>
        <dsp:cNvPr id="0" name=""/>
        <dsp:cNvSpPr/>
      </dsp:nvSpPr>
      <dsp:spPr>
        <a:xfrm>
          <a:off x="2381249" y="64561"/>
          <a:ext cx="1000054" cy="5008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 </a:t>
          </a:r>
        </a:p>
      </dsp:txBody>
      <dsp:txXfrm>
        <a:off x="2527704" y="137903"/>
        <a:ext cx="707144" cy="354126"/>
      </dsp:txXfrm>
    </dsp:sp>
    <dsp:sp modelId="{00112A8F-12E8-45AC-B551-DFB66BE45059}">
      <dsp:nvSpPr>
        <dsp:cNvPr id="0" name=""/>
        <dsp:cNvSpPr/>
      </dsp:nvSpPr>
      <dsp:spPr>
        <a:xfrm rot="20469744">
          <a:off x="3309481" y="689910"/>
          <a:ext cx="328125" cy="15435"/>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65340" y="689425"/>
        <a:ext cx="16406" cy="16406"/>
      </dsp:txXfrm>
    </dsp:sp>
    <dsp:sp modelId="{423B6D89-2000-40C7-8429-BD38C7402395}">
      <dsp:nvSpPr>
        <dsp:cNvPr id="0" name=""/>
        <dsp:cNvSpPr/>
      </dsp:nvSpPr>
      <dsp:spPr>
        <a:xfrm>
          <a:off x="3495898" y="282579"/>
          <a:ext cx="1102904" cy="4385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p>
      </dsp:txBody>
      <dsp:txXfrm>
        <a:off x="3657415" y="346807"/>
        <a:ext cx="779870" cy="310120"/>
      </dsp:txXfrm>
    </dsp:sp>
    <dsp:sp modelId="{650854B0-9FE7-4FFD-96B2-18F6452E0859}">
      <dsp:nvSpPr>
        <dsp:cNvPr id="0" name=""/>
        <dsp:cNvSpPr/>
      </dsp:nvSpPr>
      <dsp:spPr>
        <a:xfrm rot="592092">
          <a:off x="3413816" y="1031708"/>
          <a:ext cx="526655" cy="15435"/>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63978" y="1026259"/>
        <a:ext cx="26332" cy="26332"/>
      </dsp:txXfrm>
    </dsp:sp>
    <dsp:sp modelId="{6394B413-6D12-4C4F-9A8D-E0508CAE8617}">
      <dsp:nvSpPr>
        <dsp:cNvPr id="0" name=""/>
        <dsp:cNvSpPr/>
      </dsp:nvSpPr>
      <dsp:spPr>
        <a:xfrm>
          <a:off x="3885666" y="936590"/>
          <a:ext cx="1229025" cy="492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a:t>
          </a:r>
        </a:p>
      </dsp:txBody>
      <dsp:txXfrm>
        <a:off x="4065653" y="1008644"/>
        <a:ext cx="869051" cy="347906"/>
      </dsp:txXfrm>
    </dsp:sp>
    <dsp:sp modelId="{6A5F15CA-77E2-4C48-8498-A7C7D3C4428C}">
      <dsp:nvSpPr>
        <dsp:cNvPr id="0" name=""/>
        <dsp:cNvSpPr/>
      </dsp:nvSpPr>
      <dsp:spPr>
        <a:xfrm rot="5325552">
          <a:off x="2820690" y="1179954"/>
          <a:ext cx="128589" cy="15435"/>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81769" y="1184457"/>
        <a:ext cx="6429" cy="6429"/>
      </dsp:txXfrm>
    </dsp:sp>
    <dsp:sp modelId="{638FE4E5-2063-40D0-A44F-91C88716CF8C}">
      <dsp:nvSpPr>
        <dsp:cNvPr id="0" name=""/>
        <dsp:cNvSpPr/>
      </dsp:nvSpPr>
      <dsp:spPr>
        <a:xfrm>
          <a:off x="2218902" y="1251943"/>
          <a:ext cx="1345511" cy="487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2415948" y="1323359"/>
        <a:ext cx="951419" cy="344826"/>
      </dsp:txXfrm>
    </dsp:sp>
    <dsp:sp modelId="{EAF47FDD-7D57-4FF6-9F6B-6E604D2CC0DE}">
      <dsp:nvSpPr>
        <dsp:cNvPr id="0" name=""/>
        <dsp:cNvSpPr/>
      </dsp:nvSpPr>
      <dsp:spPr>
        <a:xfrm rot="10117332">
          <a:off x="1803920" y="1053094"/>
          <a:ext cx="556807" cy="15435"/>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8404" y="1046892"/>
        <a:ext cx="27840" cy="27840"/>
      </dsp:txXfrm>
    </dsp:sp>
    <dsp:sp modelId="{F74F2681-A109-4B75-8C08-B2B26769CF03}">
      <dsp:nvSpPr>
        <dsp:cNvPr id="0" name=""/>
        <dsp:cNvSpPr/>
      </dsp:nvSpPr>
      <dsp:spPr>
        <a:xfrm>
          <a:off x="711784" y="957288"/>
          <a:ext cx="1145417" cy="5281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879526" y="1034633"/>
        <a:ext cx="809933" cy="373456"/>
      </dsp:txXfrm>
    </dsp:sp>
    <dsp:sp modelId="{AC7E3352-64BC-4978-9AB6-2DD833483239}">
      <dsp:nvSpPr>
        <dsp:cNvPr id="0" name=""/>
        <dsp:cNvSpPr/>
      </dsp:nvSpPr>
      <dsp:spPr>
        <a:xfrm rot="12033108">
          <a:off x="2129745" y="675672"/>
          <a:ext cx="339632" cy="15435"/>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91070" y="674899"/>
        <a:ext cx="16981" cy="16981"/>
      </dsp:txXfrm>
    </dsp:sp>
    <dsp:sp modelId="{05C48364-E63B-4056-87CF-0BE50D74190B}">
      <dsp:nvSpPr>
        <dsp:cNvPr id="0" name=""/>
        <dsp:cNvSpPr/>
      </dsp:nvSpPr>
      <dsp:spPr>
        <a:xfrm>
          <a:off x="1084369" y="216327"/>
          <a:ext cx="1225188" cy="48227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a:t>
          </a:r>
        </a:p>
      </dsp:txBody>
      <dsp:txXfrm>
        <a:off x="1263794" y="286955"/>
        <a:ext cx="866338" cy="341023"/>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59449" y="970729"/>
          <a:ext cx="1211766" cy="35103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dsp:txBody>
      <dsp:txXfrm>
        <a:off x="2436908" y="1022136"/>
        <a:ext cx="856848" cy="248218"/>
      </dsp:txXfrm>
    </dsp:sp>
    <dsp:sp modelId="{E887F142-3B93-49E1-A09D-1DCD207D21D1}">
      <dsp:nvSpPr>
        <dsp:cNvPr id="0" name=""/>
        <dsp:cNvSpPr/>
      </dsp:nvSpPr>
      <dsp:spPr>
        <a:xfrm rot="16227085">
          <a:off x="2620585" y="716319"/>
          <a:ext cx="496169" cy="12666"/>
        </a:xfrm>
        <a:custGeom>
          <a:avLst/>
          <a:gdLst/>
          <a:ahLst/>
          <a:cxnLst/>
          <a:rect l="0" t="0" r="0" b="0"/>
          <a:pathLst>
            <a:path>
              <a:moveTo>
                <a:pt x="0" y="6333"/>
              </a:moveTo>
              <a:lnTo>
                <a:pt x="534915"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56168" y="734958"/>
        <a:ext cx="0" cy="0"/>
      </dsp:txXfrm>
    </dsp:sp>
    <dsp:sp modelId="{3EA08C86-6A87-4381-A9A9-F10D993E2D53}">
      <dsp:nvSpPr>
        <dsp:cNvPr id="0" name=""/>
        <dsp:cNvSpPr/>
      </dsp:nvSpPr>
      <dsp:spPr>
        <a:xfrm>
          <a:off x="2423154" y="70750"/>
          <a:ext cx="898122" cy="40382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sp:txBody>
      <dsp:txXfrm>
        <a:off x="2554681" y="129889"/>
        <a:ext cx="635068" cy="285548"/>
      </dsp:txXfrm>
    </dsp:sp>
    <dsp:sp modelId="{3DC5E90A-495A-4818-A1D5-03E6AF30AA1D}">
      <dsp:nvSpPr>
        <dsp:cNvPr id="0" name=""/>
        <dsp:cNvSpPr/>
      </dsp:nvSpPr>
      <dsp:spPr>
        <a:xfrm rot="19176424">
          <a:off x="2979250" y="752600"/>
          <a:ext cx="682570" cy="12666"/>
        </a:xfrm>
        <a:custGeom>
          <a:avLst/>
          <a:gdLst/>
          <a:ahLst/>
          <a:cxnLst/>
          <a:rect l="0" t="0" r="0" b="0"/>
          <a:pathLst>
            <a:path>
              <a:moveTo>
                <a:pt x="0" y="6333"/>
              </a:moveTo>
              <a:lnTo>
                <a:pt x="753376"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296482" y="756995"/>
        <a:ext cx="0" cy="0"/>
      </dsp:txXfrm>
    </dsp:sp>
    <dsp:sp modelId="{43DCCA43-33C0-4CEE-BAB5-C639F5D70563}">
      <dsp:nvSpPr>
        <dsp:cNvPr id="0" name=""/>
        <dsp:cNvSpPr/>
      </dsp:nvSpPr>
      <dsp:spPr>
        <a:xfrm>
          <a:off x="3350258" y="121704"/>
          <a:ext cx="914834" cy="44549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3484232" y="186945"/>
        <a:ext cx="646886" cy="315008"/>
      </dsp:txXfrm>
    </dsp:sp>
    <dsp:sp modelId="{72463A3F-A956-4917-8722-9FD79FB3E09A}">
      <dsp:nvSpPr>
        <dsp:cNvPr id="0" name=""/>
        <dsp:cNvSpPr/>
      </dsp:nvSpPr>
      <dsp:spPr>
        <a:xfrm rot="20738388">
          <a:off x="3304768" y="908112"/>
          <a:ext cx="931950" cy="12666"/>
        </a:xfrm>
        <a:custGeom>
          <a:avLst/>
          <a:gdLst/>
          <a:ahLst/>
          <a:cxnLst/>
          <a:rect l="0" t="0" r="0" b="0"/>
          <a:pathLst>
            <a:path>
              <a:moveTo>
                <a:pt x="0" y="6333"/>
              </a:moveTo>
              <a:lnTo>
                <a:pt x="1024358"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42394" y="897653"/>
        <a:ext cx="0" cy="0"/>
      </dsp:txXfrm>
    </dsp:sp>
    <dsp:sp modelId="{A030EF9D-9337-4706-B87A-64BDE162520A}">
      <dsp:nvSpPr>
        <dsp:cNvPr id="0" name=""/>
        <dsp:cNvSpPr/>
      </dsp:nvSpPr>
      <dsp:spPr>
        <a:xfrm>
          <a:off x="4107757" y="407842"/>
          <a:ext cx="1327058" cy="5008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Madrid &amp; Lisbon Systems </a:t>
          </a:r>
        </a:p>
      </dsp:txBody>
      <dsp:txXfrm>
        <a:off x="4302100" y="481196"/>
        <a:ext cx="938372" cy="354186"/>
      </dsp:txXfrm>
    </dsp:sp>
    <dsp:sp modelId="{00112A8F-12E8-45AC-B551-DFB66BE45059}">
      <dsp:nvSpPr>
        <dsp:cNvPr id="0" name=""/>
        <dsp:cNvSpPr/>
      </dsp:nvSpPr>
      <dsp:spPr>
        <a:xfrm rot="46295">
          <a:off x="3470506" y="1156342"/>
          <a:ext cx="1229570" cy="12666"/>
        </a:xfrm>
        <a:custGeom>
          <a:avLst/>
          <a:gdLst/>
          <a:ahLst/>
          <a:cxnLst/>
          <a:rect l="0" t="0" r="0" b="0"/>
          <a:pathLst>
            <a:path>
              <a:moveTo>
                <a:pt x="0" y="6333"/>
              </a:moveTo>
              <a:lnTo>
                <a:pt x="1274989"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54969" y="1131525"/>
        <a:ext cx="0" cy="0"/>
      </dsp:txXfrm>
    </dsp:sp>
    <dsp:sp modelId="{423B6D89-2000-40C7-8429-BD38C7402395}">
      <dsp:nvSpPr>
        <dsp:cNvPr id="0" name=""/>
        <dsp:cNvSpPr/>
      </dsp:nvSpPr>
      <dsp:spPr>
        <a:xfrm>
          <a:off x="4699773" y="968085"/>
          <a:ext cx="986573" cy="41901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DAC</a:t>
          </a:r>
        </a:p>
      </dsp:txBody>
      <dsp:txXfrm>
        <a:off x="4844253" y="1029449"/>
        <a:ext cx="697613" cy="296290"/>
      </dsp:txXfrm>
    </dsp:sp>
    <dsp:sp modelId="{650854B0-9FE7-4FFD-96B2-18F6452E0859}">
      <dsp:nvSpPr>
        <dsp:cNvPr id="0" name=""/>
        <dsp:cNvSpPr/>
      </dsp:nvSpPr>
      <dsp:spPr>
        <a:xfrm rot="863322">
          <a:off x="3302397" y="1387134"/>
          <a:ext cx="1053179" cy="12666"/>
        </a:xfrm>
        <a:custGeom>
          <a:avLst/>
          <a:gdLst/>
          <a:ahLst/>
          <a:cxnLst/>
          <a:rect l="0" t="0" r="0" b="0"/>
          <a:pathLst>
            <a:path>
              <a:moveTo>
                <a:pt x="0" y="6333"/>
              </a:moveTo>
              <a:lnTo>
                <a:pt x="1148356"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10026" y="1361421"/>
        <a:ext cx="0" cy="0"/>
      </dsp:txXfrm>
    </dsp:sp>
    <dsp:sp modelId="{6394B413-6D12-4C4F-9A8D-E0508CAE8617}">
      <dsp:nvSpPr>
        <dsp:cNvPr id="0" name=""/>
        <dsp:cNvSpPr/>
      </dsp:nvSpPr>
      <dsp:spPr>
        <a:xfrm>
          <a:off x="4189606" y="1445933"/>
          <a:ext cx="1338744" cy="42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85661" y="1507960"/>
        <a:ext cx="946634" cy="299495"/>
      </dsp:txXfrm>
    </dsp:sp>
    <dsp:sp modelId="{DEF09AAB-E09E-4486-8914-E37D47E60824}">
      <dsp:nvSpPr>
        <dsp:cNvPr id="0" name=""/>
        <dsp:cNvSpPr/>
      </dsp:nvSpPr>
      <dsp:spPr>
        <a:xfrm rot="2430467">
          <a:off x="2993278" y="1486672"/>
          <a:ext cx="555892" cy="12666"/>
        </a:xfrm>
        <a:custGeom>
          <a:avLst/>
          <a:gdLst/>
          <a:ahLst/>
          <a:cxnLst/>
          <a:rect l="0" t="0" r="0" b="0"/>
          <a:pathLst>
            <a:path>
              <a:moveTo>
                <a:pt x="0" y="6333"/>
              </a:moveTo>
              <a:lnTo>
                <a:pt x="59858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269685" y="1473412"/>
        <a:ext cx="0" cy="0"/>
      </dsp:txXfrm>
    </dsp:sp>
    <dsp:sp modelId="{2ED32773-10C9-4671-A0BF-4C0DAB40AE25}">
      <dsp:nvSpPr>
        <dsp:cNvPr id="0" name=""/>
        <dsp:cNvSpPr/>
      </dsp:nvSpPr>
      <dsp:spPr>
        <a:xfrm>
          <a:off x="3176332" y="1653187"/>
          <a:ext cx="1066131" cy="4283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3332463" y="1715912"/>
        <a:ext cx="753869" cy="302862"/>
      </dsp:txXfrm>
    </dsp:sp>
    <dsp:sp modelId="{EAF47FDD-7D57-4FF6-9F6B-6E604D2CC0DE}">
      <dsp:nvSpPr>
        <dsp:cNvPr id="0" name=""/>
        <dsp:cNvSpPr/>
      </dsp:nvSpPr>
      <dsp:spPr>
        <a:xfrm rot="7067139">
          <a:off x="2456312" y="1505058"/>
          <a:ext cx="433233" cy="12666"/>
        </a:xfrm>
        <a:custGeom>
          <a:avLst/>
          <a:gdLst/>
          <a:ahLst/>
          <a:cxnLst/>
          <a:rect l="0" t="0" r="0" b="0"/>
          <a:pathLst>
            <a:path>
              <a:moveTo>
                <a:pt x="0" y="6333"/>
              </a:moveTo>
              <a:lnTo>
                <a:pt x="468721"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687559" y="1506859"/>
        <a:ext cx="0" cy="0"/>
      </dsp:txXfrm>
    </dsp:sp>
    <dsp:sp modelId="{F74F2681-A109-4B75-8C08-B2B26769CF03}">
      <dsp:nvSpPr>
        <dsp:cNvPr id="0" name=""/>
        <dsp:cNvSpPr/>
      </dsp:nvSpPr>
      <dsp:spPr>
        <a:xfrm>
          <a:off x="1806260" y="1700402"/>
          <a:ext cx="1319823" cy="406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sp:txBody>
      <dsp:txXfrm>
        <a:off x="1999544" y="1759970"/>
        <a:ext cx="933255" cy="287620"/>
      </dsp:txXfrm>
    </dsp:sp>
    <dsp:sp modelId="{AC7E3352-64BC-4978-9AB6-2DD833483239}">
      <dsp:nvSpPr>
        <dsp:cNvPr id="0" name=""/>
        <dsp:cNvSpPr/>
      </dsp:nvSpPr>
      <dsp:spPr>
        <a:xfrm rot="9616227">
          <a:off x="1554324" y="1438222"/>
          <a:ext cx="958424" cy="12666"/>
        </a:xfrm>
        <a:custGeom>
          <a:avLst/>
          <a:gdLst/>
          <a:ahLst/>
          <a:cxnLst/>
          <a:rect l="0" t="0" r="0" b="0"/>
          <a:pathLst>
            <a:path>
              <a:moveTo>
                <a:pt x="0" y="6333"/>
              </a:moveTo>
              <a:lnTo>
                <a:pt x="1001679"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64179" y="1459021"/>
        <a:ext cx="0" cy="0"/>
      </dsp:txXfrm>
    </dsp:sp>
    <dsp:sp modelId="{05C48364-E63B-4056-87CF-0BE50D74190B}">
      <dsp:nvSpPr>
        <dsp:cNvPr id="0" name=""/>
        <dsp:cNvSpPr/>
      </dsp:nvSpPr>
      <dsp:spPr>
        <a:xfrm>
          <a:off x="457123" y="1558855"/>
          <a:ext cx="1372366" cy="40993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19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Communications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658101" y="1618888"/>
        <a:ext cx="970410" cy="289868"/>
      </dsp:txXfrm>
    </dsp:sp>
    <dsp:sp modelId="{06FD983D-3F71-4BCE-AD7F-6DD1041A2F23}">
      <dsp:nvSpPr>
        <dsp:cNvPr id="0" name=""/>
        <dsp:cNvSpPr/>
      </dsp:nvSpPr>
      <dsp:spPr>
        <a:xfrm rot="10573551">
          <a:off x="1276631" y="1211762"/>
          <a:ext cx="999024" cy="12666"/>
        </a:xfrm>
        <a:custGeom>
          <a:avLst/>
          <a:gdLst/>
          <a:ahLst/>
          <a:cxnLst/>
          <a:rect l="0" t="0" r="0" b="0"/>
          <a:pathLst>
            <a:path>
              <a:moveTo>
                <a:pt x="0" y="6333"/>
              </a:moveTo>
              <a:lnTo>
                <a:pt x="1057724"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2709" y="1241373"/>
        <a:ext cx="0" cy="0"/>
      </dsp:txXfrm>
    </dsp:sp>
    <dsp:sp modelId="{CFBB929F-8BEB-442D-8D00-28EE1C02C39C}">
      <dsp:nvSpPr>
        <dsp:cNvPr id="0" name=""/>
        <dsp:cNvSpPr/>
      </dsp:nvSpPr>
      <dsp:spPr>
        <a:xfrm>
          <a:off x="103634" y="1058984"/>
          <a:ext cx="1182368" cy="46088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Executive Mgmt </a:t>
          </a:r>
        </a:p>
      </dsp:txBody>
      <dsp:txXfrm>
        <a:off x="276788" y="1126479"/>
        <a:ext cx="836060" cy="325894"/>
      </dsp:txXfrm>
    </dsp:sp>
    <dsp:sp modelId="{C494819C-C98E-47AA-9AF0-D23BA2FEB24F}">
      <dsp:nvSpPr>
        <dsp:cNvPr id="0" name=""/>
        <dsp:cNvSpPr/>
      </dsp:nvSpPr>
      <dsp:spPr>
        <a:xfrm rot="11471665">
          <a:off x="1395328" y="945870"/>
          <a:ext cx="979034" cy="12666"/>
        </a:xfrm>
        <a:custGeom>
          <a:avLst/>
          <a:gdLst/>
          <a:ahLst/>
          <a:cxnLst/>
          <a:rect l="0" t="0" r="0" b="0"/>
          <a:pathLst>
            <a:path>
              <a:moveTo>
                <a:pt x="0" y="6333"/>
              </a:moveTo>
              <a:lnTo>
                <a:pt x="106000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04103" y="980964"/>
        <a:ext cx="0" cy="0"/>
      </dsp:txXfrm>
    </dsp:sp>
    <dsp:sp modelId="{77FEFA40-E907-476F-8675-3DC698720930}">
      <dsp:nvSpPr>
        <dsp:cNvPr id="0" name=""/>
        <dsp:cNvSpPr/>
      </dsp:nvSpPr>
      <dsp:spPr>
        <a:xfrm>
          <a:off x="143821" y="481414"/>
          <a:ext cx="1333904" cy="5164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&amp; Resources Mgmt </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339167" y="557046"/>
        <a:ext cx="943212" cy="365187"/>
      </dsp:txXfrm>
    </dsp:sp>
    <dsp:sp modelId="{EF98737B-1136-4CD3-A0AC-E4FF8E58DD83}">
      <dsp:nvSpPr>
        <dsp:cNvPr id="0" name=""/>
        <dsp:cNvSpPr/>
      </dsp:nvSpPr>
      <dsp:spPr>
        <a:xfrm rot="12993863">
          <a:off x="2002260" y="764109"/>
          <a:ext cx="712790" cy="12666"/>
        </a:xfrm>
        <a:custGeom>
          <a:avLst/>
          <a:gdLst/>
          <a:ahLst/>
          <a:cxnLst/>
          <a:rect l="0" t="0" r="0" b="0"/>
          <a:pathLst>
            <a:path>
              <a:moveTo>
                <a:pt x="0" y="6333"/>
              </a:moveTo>
              <a:lnTo>
                <a:pt x="759383" y="6333"/>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2352" y="795370"/>
        <a:ext cx="0" cy="0"/>
      </dsp:txXfrm>
    </dsp:sp>
    <dsp:sp modelId="{C8187693-0532-46C7-A6F3-C4A32348C87B}">
      <dsp:nvSpPr>
        <dsp:cNvPr id="0" name=""/>
        <dsp:cNvSpPr/>
      </dsp:nvSpPr>
      <dsp:spPr>
        <a:xfrm>
          <a:off x="1249597" y="131749"/>
          <a:ext cx="1109019" cy="4547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Hague System</a:t>
          </a:r>
        </a:p>
      </dsp:txBody>
      <dsp:txXfrm>
        <a:off x="1412009" y="198348"/>
        <a:ext cx="784195" cy="321570"/>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49885" y="702327"/>
          <a:ext cx="1196229" cy="40435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a:t>
          </a:r>
        </a:p>
      </dsp:txBody>
      <dsp:txXfrm>
        <a:off x="2525069" y="761543"/>
        <a:ext cx="845861" cy="285918"/>
      </dsp:txXfrm>
    </dsp:sp>
    <dsp:sp modelId="{DB73B42A-BE4F-46BC-B512-015EB15734E7}">
      <dsp:nvSpPr>
        <dsp:cNvPr id="0" name=""/>
        <dsp:cNvSpPr/>
      </dsp:nvSpPr>
      <dsp:spPr>
        <a:xfrm rot="16200000">
          <a:off x="2819502" y="567703"/>
          <a:ext cx="256996" cy="12252"/>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1575" y="567404"/>
        <a:ext cx="12849" cy="12849"/>
      </dsp:txXfrm>
    </dsp:sp>
    <dsp:sp modelId="{8C16842D-5717-4E53-9353-18DF877708CF}">
      <dsp:nvSpPr>
        <dsp:cNvPr id="0" name=""/>
        <dsp:cNvSpPr/>
      </dsp:nvSpPr>
      <dsp:spPr>
        <a:xfrm>
          <a:off x="2426605" y="-22728"/>
          <a:ext cx="1042790" cy="46805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 </a:t>
          </a:r>
        </a:p>
      </dsp:txBody>
      <dsp:txXfrm>
        <a:off x="2579318" y="45818"/>
        <a:ext cx="737364" cy="330967"/>
      </dsp:txXfrm>
    </dsp:sp>
    <dsp:sp modelId="{F32845D8-3F89-45CE-82D0-5F6D6B81E25D}">
      <dsp:nvSpPr>
        <dsp:cNvPr id="0" name=""/>
        <dsp:cNvSpPr/>
      </dsp:nvSpPr>
      <dsp:spPr>
        <a:xfrm rot="20606743">
          <a:off x="3388405" y="704731"/>
          <a:ext cx="422122" cy="12252"/>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88913" y="700304"/>
        <a:ext cx="21106" cy="21106"/>
      </dsp:txXfrm>
    </dsp:sp>
    <dsp:sp modelId="{56946440-4960-4194-9471-9ABCF62950BA}">
      <dsp:nvSpPr>
        <dsp:cNvPr id="0" name=""/>
        <dsp:cNvSpPr/>
      </dsp:nvSpPr>
      <dsp:spPr>
        <a:xfrm>
          <a:off x="3688766" y="283079"/>
          <a:ext cx="1149312" cy="460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CRR</a:t>
          </a:r>
        </a:p>
      </dsp:txBody>
      <dsp:txXfrm>
        <a:off x="3857079" y="350568"/>
        <a:ext cx="812686" cy="325863"/>
      </dsp:txXfrm>
    </dsp:sp>
    <dsp:sp modelId="{5337AE63-3722-42CC-AF72-36670EB7C5E1}">
      <dsp:nvSpPr>
        <dsp:cNvPr id="0" name=""/>
        <dsp:cNvSpPr/>
      </dsp:nvSpPr>
      <dsp:spPr>
        <a:xfrm rot="1080">
          <a:off x="3546115" y="898731"/>
          <a:ext cx="1068037" cy="12252"/>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53432" y="878156"/>
        <a:ext cx="53401" cy="53401"/>
      </dsp:txXfrm>
    </dsp:sp>
    <dsp:sp modelId="{CED9197C-8322-406B-917C-172FA36E7B76}">
      <dsp:nvSpPr>
        <dsp:cNvPr id="0" name=""/>
        <dsp:cNvSpPr/>
      </dsp:nvSpPr>
      <dsp:spPr>
        <a:xfrm>
          <a:off x="4614152" y="626583"/>
          <a:ext cx="1326272" cy="5572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4808380" y="708198"/>
        <a:ext cx="937816" cy="394069"/>
      </dsp:txXfrm>
    </dsp:sp>
    <dsp:sp modelId="{4AC11394-3179-4EC5-A97F-D1A1B521CE2F}">
      <dsp:nvSpPr>
        <dsp:cNvPr id="0" name=""/>
        <dsp:cNvSpPr/>
      </dsp:nvSpPr>
      <dsp:spPr>
        <a:xfrm rot="1039915">
          <a:off x="3378558" y="1093922"/>
          <a:ext cx="392077" cy="12252"/>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4795" y="1090246"/>
        <a:ext cx="19603" cy="19603"/>
      </dsp:txXfrm>
    </dsp:sp>
    <dsp:sp modelId="{035B4C9A-0916-4FCC-A1CF-85DB358A289A}">
      <dsp:nvSpPr>
        <dsp:cNvPr id="0" name=""/>
        <dsp:cNvSpPr/>
      </dsp:nvSpPr>
      <dsp:spPr>
        <a:xfrm>
          <a:off x="3664957" y="1041135"/>
          <a:ext cx="1140307" cy="5300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3831951" y="1118764"/>
        <a:ext cx="806319" cy="374828"/>
      </dsp:txXfrm>
    </dsp:sp>
    <dsp:sp modelId="{64248C57-3CE0-4657-BC67-6279BA0257B1}">
      <dsp:nvSpPr>
        <dsp:cNvPr id="0" name=""/>
        <dsp:cNvSpPr/>
      </dsp:nvSpPr>
      <dsp:spPr>
        <a:xfrm rot="5388050">
          <a:off x="2879361" y="1170134"/>
          <a:ext cx="139167" cy="12252"/>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465" y="1172781"/>
        <a:ext cx="6958" cy="6958"/>
      </dsp:txXfrm>
    </dsp:sp>
    <dsp:sp modelId="{976BA53C-17D4-4F7C-9078-1272C469C9E5}">
      <dsp:nvSpPr>
        <dsp:cNvPr id="0" name=""/>
        <dsp:cNvSpPr/>
      </dsp:nvSpPr>
      <dsp:spPr>
        <a:xfrm>
          <a:off x="2354231" y="1245844"/>
          <a:ext cx="1191506" cy="4590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sp:txBody>
      <dsp:txXfrm>
        <a:off x="2528723" y="1313069"/>
        <a:ext cx="842522" cy="324592"/>
      </dsp:txXfrm>
    </dsp:sp>
    <dsp:sp modelId="{73944B9B-8143-474E-A2B5-719E57EA1FE0}">
      <dsp:nvSpPr>
        <dsp:cNvPr id="0" name=""/>
        <dsp:cNvSpPr/>
      </dsp:nvSpPr>
      <dsp:spPr>
        <a:xfrm rot="9635897">
          <a:off x="2160366" y="1108084"/>
          <a:ext cx="384386" cy="12252"/>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2949" y="1104600"/>
        <a:ext cx="19219" cy="19219"/>
      </dsp:txXfrm>
    </dsp:sp>
    <dsp:sp modelId="{2BDBEDDB-6DE8-44DC-8FC2-1ED793273BD1}">
      <dsp:nvSpPr>
        <dsp:cNvPr id="0" name=""/>
        <dsp:cNvSpPr/>
      </dsp:nvSpPr>
      <dsp:spPr>
        <a:xfrm>
          <a:off x="1074287" y="1076011"/>
          <a:ext cx="1231674" cy="5430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16</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Economics &amp; Statistics  </a:t>
          </a:r>
        </a:p>
      </dsp:txBody>
      <dsp:txXfrm>
        <a:off x="1254661" y="1155532"/>
        <a:ext cx="870926" cy="383959"/>
      </dsp:txXfrm>
    </dsp:sp>
    <dsp:sp modelId="{ADF94B70-0D7F-4A27-8DF9-17BCD27F4A7A}">
      <dsp:nvSpPr>
        <dsp:cNvPr id="0" name=""/>
        <dsp:cNvSpPr/>
      </dsp:nvSpPr>
      <dsp:spPr>
        <a:xfrm rot="10802850">
          <a:off x="1259515" y="897428"/>
          <a:ext cx="1090371" cy="12252"/>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77442" y="876295"/>
        <a:ext cx="54518" cy="54518"/>
      </dsp:txXfrm>
    </dsp:sp>
    <dsp:sp modelId="{0FAF3FA1-8E6C-455E-B189-A468B3F4D8BC}">
      <dsp:nvSpPr>
        <dsp:cNvPr id="0" name=""/>
        <dsp:cNvSpPr/>
      </dsp:nvSpPr>
      <dsp:spPr>
        <a:xfrm>
          <a:off x="22092" y="624924"/>
          <a:ext cx="1237424" cy="5553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Communications</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03309" y="706250"/>
        <a:ext cx="874990" cy="392678"/>
      </dsp:txXfrm>
    </dsp:sp>
    <dsp:sp modelId="{7DF391B8-9498-4F55-ACE3-A6D0DB9A80F6}">
      <dsp:nvSpPr>
        <dsp:cNvPr id="0" name=""/>
        <dsp:cNvSpPr/>
      </dsp:nvSpPr>
      <dsp:spPr>
        <a:xfrm rot="12018079">
          <a:off x="2200474" y="687520"/>
          <a:ext cx="355100" cy="12252"/>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9147" y="684769"/>
        <a:ext cx="17755" cy="17755"/>
      </dsp:txXfrm>
    </dsp:sp>
    <dsp:sp modelId="{E3F75BBA-60EC-4D9A-B0CC-E18ADA53928C}">
      <dsp:nvSpPr>
        <dsp:cNvPr id="0" name=""/>
        <dsp:cNvSpPr/>
      </dsp:nvSpPr>
      <dsp:spPr>
        <a:xfrm>
          <a:off x="1065332" y="225870"/>
          <a:ext cx="1363893" cy="468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sp:txBody>
      <dsp:txXfrm>
        <a:off x="1265070" y="294536"/>
        <a:ext cx="964417" cy="33154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95070" y="767657"/>
          <a:ext cx="1193709" cy="4073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dsp:txBody>
      <dsp:txXfrm>
        <a:off x="2569885" y="827307"/>
        <a:ext cx="844079" cy="288019"/>
      </dsp:txXfrm>
    </dsp:sp>
    <dsp:sp modelId="{E887F142-3B93-49E1-A09D-1DCD207D21D1}">
      <dsp:nvSpPr>
        <dsp:cNvPr id="0" name=""/>
        <dsp:cNvSpPr/>
      </dsp:nvSpPr>
      <dsp:spPr>
        <a:xfrm rot="16175855">
          <a:off x="2892323" y="663851"/>
          <a:ext cx="19497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84935" y="665299"/>
        <a:ext cx="9748" cy="9748"/>
      </dsp:txXfrm>
    </dsp:sp>
    <dsp:sp modelId="{3EA08C86-6A87-4381-A9A9-F10D993E2D53}">
      <dsp:nvSpPr>
        <dsp:cNvPr id="0" name=""/>
        <dsp:cNvSpPr/>
      </dsp:nvSpPr>
      <dsp:spPr>
        <a:xfrm>
          <a:off x="2486472" y="76355"/>
          <a:ext cx="1001819" cy="4963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PL</a:t>
          </a: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33185" y="149042"/>
        <a:ext cx="708393" cy="350961"/>
      </dsp:txXfrm>
    </dsp:sp>
    <dsp:sp modelId="{00112A8F-12E8-45AC-B551-DFB66BE45059}">
      <dsp:nvSpPr>
        <dsp:cNvPr id="0" name=""/>
        <dsp:cNvSpPr/>
      </dsp:nvSpPr>
      <dsp:spPr>
        <a:xfrm rot="20325438">
          <a:off x="3365309" y="703405"/>
          <a:ext cx="599092"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9878" y="694750"/>
        <a:ext cx="29954" cy="29954"/>
      </dsp:txXfrm>
    </dsp:sp>
    <dsp:sp modelId="{423B6D89-2000-40C7-8429-BD38C7402395}">
      <dsp:nvSpPr>
        <dsp:cNvPr id="0" name=""/>
        <dsp:cNvSpPr/>
      </dsp:nvSpPr>
      <dsp:spPr>
        <a:xfrm>
          <a:off x="3746088" y="170872"/>
          <a:ext cx="1318511" cy="50200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Regional Bureaus</a:t>
          </a:r>
        </a:p>
      </dsp:txBody>
      <dsp:txXfrm>
        <a:off x="3939179" y="244389"/>
        <a:ext cx="932329" cy="354971"/>
      </dsp:txXfrm>
    </dsp:sp>
    <dsp:sp modelId="{650854B0-9FE7-4FFD-96B2-18F6452E0859}">
      <dsp:nvSpPr>
        <dsp:cNvPr id="0" name=""/>
        <dsp:cNvSpPr/>
      </dsp:nvSpPr>
      <dsp:spPr>
        <a:xfrm rot="1232">
          <a:off x="3588779" y="965423"/>
          <a:ext cx="1197788"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7728" y="941801"/>
        <a:ext cx="59889" cy="59889"/>
      </dsp:txXfrm>
    </dsp:sp>
    <dsp:sp modelId="{6394B413-6D12-4C4F-9A8D-E0508CAE8617}">
      <dsp:nvSpPr>
        <dsp:cNvPr id="0" name=""/>
        <dsp:cNvSpPr/>
      </dsp:nvSpPr>
      <dsp:spPr>
        <a:xfrm>
          <a:off x="4786567" y="736167"/>
          <a:ext cx="1049066" cy="4719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TDC</a:t>
          </a:r>
        </a:p>
      </dsp:txBody>
      <dsp:txXfrm>
        <a:off x="4940199" y="805284"/>
        <a:ext cx="741802" cy="333726"/>
      </dsp:txXfrm>
    </dsp:sp>
    <dsp:sp modelId="{DEF09AAB-E09E-4486-8914-E37D47E60824}">
      <dsp:nvSpPr>
        <dsp:cNvPr id="0" name=""/>
        <dsp:cNvSpPr/>
      </dsp:nvSpPr>
      <dsp:spPr>
        <a:xfrm rot="10804604">
          <a:off x="1450895" y="963563"/>
          <a:ext cx="944180"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99380" y="946281"/>
        <a:ext cx="47209" cy="47209"/>
      </dsp:txXfrm>
    </dsp:sp>
    <dsp:sp modelId="{2ED32773-10C9-4671-A0BF-4C0DAB40AE25}">
      <dsp:nvSpPr>
        <dsp:cNvPr id="0" name=""/>
        <dsp:cNvSpPr/>
      </dsp:nvSpPr>
      <dsp:spPr>
        <a:xfrm>
          <a:off x="214543" y="722101"/>
          <a:ext cx="1236355" cy="4926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a:t>
          </a:r>
        </a:p>
      </dsp:txBody>
      <dsp:txXfrm>
        <a:off x="395603" y="794248"/>
        <a:ext cx="874235" cy="348355"/>
      </dsp:txXfrm>
    </dsp:sp>
    <dsp:sp modelId="{06FD983D-3F71-4BCE-AD7F-6DD1041A2F23}">
      <dsp:nvSpPr>
        <dsp:cNvPr id="0" name=""/>
        <dsp:cNvSpPr/>
      </dsp:nvSpPr>
      <dsp:spPr>
        <a:xfrm rot="12160169">
          <a:off x="2134247" y="711044"/>
          <a:ext cx="499359"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1443" y="704882"/>
        <a:ext cx="24967" cy="24967"/>
      </dsp:txXfrm>
    </dsp:sp>
    <dsp:sp modelId="{CFBB929F-8BEB-442D-8D00-28EE1C02C39C}">
      <dsp:nvSpPr>
        <dsp:cNvPr id="0" name=""/>
        <dsp:cNvSpPr/>
      </dsp:nvSpPr>
      <dsp:spPr>
        <a:xfrm>
          <a:off x="1013178" y="170869"/>
          <a:ext cx="1363691" cy="51750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External Relations</a:t>
          </a:r>
        </a:p>
      </dsp:txBody>
      <dsp:txXfrm>
        <a:off x="1212886" y="246656"/>
        <a:ext cx="964275" cy="36593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17171" y="1115542"/>
          <a:ext cx="1159397" cy="37687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20 </a:t>
          </a:r>
        </a:p>
      </dsp:txBody>
      <dsp:txXfrm>
        <a:off x="2486961" y="1170735"/>
        <a:ext cx="819817" cy="266493"/>
      </dsp:txXfrm>
    </dsp:sp>
    <dsp:sp modelId="{E6ACA703-0949-41B3-BE6B-C702E5C7275F}">
      <dsp:nvSpPr>
        <dsp:cNvPr id="0" name=""/>
        <dsp:cNvSpPr/>
      </dsp:nvSpPr>
      <dsp:spPr>
        <a:xfrm rot="16200000">
          <a:off x="2556707" y="768032"/>
          <a:ext cx="680326" cy="14693"/>
        </a:xfrm>
        <a:custGeom>
          <a:avLst/>
          <a:gdLst/>
          <a:ahLst/>
          <a:cxnLst/>
          <a:rect l="0" t="0" r="0" b="0"/>
          <a:pathLst>
            <a:path>
              <a:moveTo>
                <a:pt x="0" y="7346"/>
              </a:moveTo>
              <a:lnTo>
                <a:pt x="680326"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879862" y="758371"/>
        <a:ext cx="34016" cy="34016"/>
      </dsp:txXfrm>
    </dsp:sp>
    <dsp:sp modelId="{AFD0CC05-9AD4-4A51-8739-4FB4CA1E4ACE}">
      <dsp:nvSpPr>
        <dsp:cNvPr id="0" name=""/>
        <dsp:cNvSpPr/>
      </dsp:nvSpPr>
      <dsp:spPr>
        <a:xfrm>
          <a:off x="2444589" y="544"/>
          <a:ext cx="904562" cy="434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PL</a:t>
          </a:r>
        </a:p>
      </dsp:txBody>
      <dsp:txXfrm>
        <a:off x="2577059" y="64200"/>
        <a:ext cx="639622" cy="307359"/>
      </dsp:txXfrm>
    </dsp:sp>
    <dsp:sp modelId="{34515D96-C834-4D67-AF5C-3B293601CBC3}">
      <dsp:nvSpPr>
        <dsp:cNvPr id="0" name=""/>
        <dsp:cNvSpPr/>
      </dsp:nvSpPr>
      <dsp:spPr>
        <a:xfrm rot="18912243">
          <a:off x="2956002" y="823381"/>
          <a:ext cx="835010" cy="14693"/>
        </a:xfrm>
        <a:custGeom>
          <a:avLst/>
          <a:gdLst/>
          <a:ahLst/>
          <a:cxnLst/>
          <a:rect l="0" t="0" r="0" b="0"/>
          <a:pathLst>
            <a:path>
              <a:moveTo>
                <a:pt x="0" y="7346"/>
              </a:moveTo>
              <a:lnTo>
                <a:pt x="835010"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52632" y="809852"/>
        <a:ext cx="41750" cy="41750"/>
      </dsp:txXfrm>
    </dsp:sp>
    <dsp:sp modelId="{D9366F31-B7D7-4B43-830C-AD5E2193A794}">
      <dsp:nvSpPr>
        <dsp:cNvPr id="0" name=""/>
        <dsp:cNvSpPr/>
      </dsp:nvSpPr>
      <dsp:spPr>
        <a:xfrm>
          <a:off x="3405252" y="90951"/>
          <a:ext cx="953120"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TM, ID &amp; GI</a:t>
          </a:r>
        </a:p>
      </dsp:txBody>
      <dsp:txXfrm>
        <a:off x="3544833" y="159804"/>
        <a:ext cx="673958" cy="332452"/>
      </dsp:txXfrm>
    </dsp:sp>
    <dsp:sp modelId="{3F0F15B6-4D5A-493B-B03E-AE8141DC3DCE}">
      <dsp:nvSpPr>
        <dsp:cNvPr id="0" name=""/>
        <dsp:cNvSpPr/>
      </dsp:nvSpPr>
      <dsp:spPr>
        <a:xfrm rot="20402447">
          <a:off x="3249236" y="961526"/>
          <a:ext cx="1140762" cy="14693"/>
        </a:xfrm>
        <a:custGeom>
          <a:avLst/>
          <a:gdLst/>
          <a:ahLst/>
          <a:cxnLst/>
          <a:rect l="0" t="0" r="0" b="0"/>
          <a:pathLst>
            <a:path>
              <a:moveTo>
                <a:pt x="0" y="7346"/>
              </a:moveTo>
              <a:lnTo>
                <a:pt x="1140762"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1098" y="940354"/>
        <a:ext cx="57038" cy="57038"/>
      </dsp:txXfrm>
    </dsp:sp>
    <dsp:sp modelId="{ECD2D13D-466C-468B-BD6C-1B646D8E5B8E}">
      <dsp:nvSpPr>
        <dsp:cNvPr id="0" name=""/>
        <dsp:cNvSpPr/>
      </dsp:nvSpPr>
      <dsp:spPr>
        <a:xfrm>
          <a:off x="4275643" y="424004"/>
          <a:ext cx="867344" cy="4435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CRR</a:t>
          </a:r>
        </a:p>
      </dsp:txBody>
      <dsp:txXfrm>
        <a:off x="4402663" y="488957"/>
        <a:ext cx="613304" cy="313618"/>
      </dsp:txXfrm>
    </dsp:sp>
    <dsp:sp modelId="{5CF8296B-0142-429D-A71A-20799D2EB74B}">
      <dsp:nvSpPr>
        <dsp:cNvPr id="0" name=""/>
        <dsp:cNvSpPr/>
      </dsp:nvSpPr>
      <dsp:spPr>
        <a:xfrm rot="21389596">
          <a:off x="3465555" y="1229721"/>
          <a:ext cx="1046488" cy="14693"/>
        </a:xfrm>
        <a:custGeom>
          <a:avLst/>
          <a:gdLst/>
          <a:ahLst/>
          <a:cxnLst/>
          <a:rect l="0" t="0" r="0" b="0"/>
          <a:pathLst>
            <a:path>
              <a:moveTo>
                <a:pt x="0" y="7346"/>
              </a:moveTo>
              <a:lnTo>
                <a:pt x="1046488"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62637" y="1210905"/>
        <a:ext cx="52324" cy="52324"/>
      </dsp:txXfrm>
    </dsp:sp>
    <dsp:sp modelId="{7E7DDE23-6C04-407D-AAB6-669511EA704E}">
      <dsp:nvSpPr>
        <dsp:cNvPr id="0" name=""/>
        <dsp:cNvSpPr/>
      </dsp:nvSpPr>
      <dsp:spPr>
        <a:xfrm>
          <a:off x="4506082" y="921257"/>
          <a:ext cx="1104535" cy="50053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TK, TCEs &amp; GR</a:t>
          </a:r>
        </a:p>
      </dsp:txBody>
      <dsp:txXfrm>
        <a:off x="4667837" y="994559"/>
        <a:ext cx="781025" cy="353931"/>
      </dsp:txXfrm>
    </dsp:sp>
    <dsp:sp modelId="{DC281168-2DBC-4CFB-B21D-C54E9628B383}">
      <dsp:nvSpPr>
        <dsp:cNvPr id="0" name=""/>
        <dsp:cNvSpPr/>
      </dsp:nvSpPr>
      <dsp:spPr>
        <a:xfrm rot="796628">
          <a:off x="3353663" y="1513303"/>
          <a:ext cx="922834" cy="14693"/>
        </a:xfrm>
        <a:custGeom>
          <a:avLst/>
          <a:gdLst/>
          <a:ahLst/>
          <a:cxnLst/>
          <a:rect l="0" t="0" r="0" b="0"/>
          <a:pathLst>
            <a:path>
              <a:moveTo>
                <a:pt x="0" y="7346"/>
              </a:moveTo>
              <a:lnTo>
                <a:pt x="922834"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792010" y="1497580"/>
        <a:ext cx="46141" cy="46141"/>
      </dsp:txXfrm>
    </dsp:sp>
    <dsp:sp modelId="{66DADE40-99AE-41BE-B997-129EED231064}">
      <dsp:nvSpPr>
        <dsp:cNvPr id="0" name=""/>
        <dsp:cNvSpPr/>
      </dsp:nvSpPr>
      <dsp:spPr>
        <a:xfrm>
          <a:off x="4201355" y="1520969"/>
          <a:ext cx="982998" cy="413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345312" y="1581542"/>
        <a:ext cx="695084" cy="292471"/>
      </dsp:txXfrm>
    </dsp:sp>
    <dsp:sp modelId="{4DF1B0BE-A63A-4BEA-9EE5-4168481CC99E}">
      <dsp:nvSpPr>
        <dsp:cNvPr id="0" name=""/>
        <dsp:cNvSpPr/>
      </dsp:nvSpPr>
      <dsp:spPr>
        <a:xfrm rot="2468713">
          <a:off x="3047787" y="1609704"/>
          <a:ext cx="414779" cy="14693"/>
        </a:xfrm>
        <a:custGeom>
          <a:avLst/>
          <a:gdLst/>
          <a:ahLst/>
          <a:cxnLst/>
          <a:rect l="0" t="0" r="0" b="0"/>
          <a:pathLst>
            <a:path>
              <a:moveTo>
                <a:pt x="0" y="7346"/>
              </a:moveTo>
              <a:lnTo>
                <a:pt x="414779"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244807" y="1606681"/>
        <a:ext cx="20738" cy="20738"/>
      </dsp:txXfrm>
    </dsp:sp>
    <dsp:sp modelId="{DB594876-4070-4577-942D-67F5CD4D6A19}">
      <dsp:nvSpPr>
        <dsp:cNvPr id="0" name=""/>
        <dsp:cNvSpPr/>
      </dsp:nvSpPr>
      <dsp:spPr>
        <a:xfrm>
          <a:off x="3098728" y="1721552"/>
          <a:ext cx="1177856" cy="5467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Madrid &amp; Lisbon Systems </a:t>
          </a:r>
        </a:p>
      </dsp:txBody>
      <dsp:txXfrm>
        <a:off x="3271221" y="1801622"/>
        <a:ext cx="832870" cy="386612"/>
      </dsp:txXfrm>
    </dsp:sp>
    <dsp:sp modelId="{E49C447F-3477-4311-B10B-FFFA7DE7209F}">
      <dsp:nvSpPr>
        <dsp:cNvPr id="0" name=""/>
        <dsp:cNvSpPr/>
      </dsp:nvSpPr>
      <dsp:spPr>
        <a:xfrm rot="7608600">
          <a:off x="2453753" y="1632980"/>
          <a:ext cx="382813" cy="14693"/>
        </a:xfrm>
        <a:custGeom>
          <a:avLst/>
          <a:gdLst/>
          <a:ahLst/>
          <a:cxnLst/>
          <a:rect l="0" t="0" r="0" b="0"/>
          <a:pathLst>
            <a:path>
              <a:moveTo>
                <a:pt x="0" y="7346"/>
              </a:moveTo>
              <a:lnTo>
                <a:pt x="382813"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35590" y="1630757"/>
        <a:ext cx="19140" cy="19140"/>
      </dsp:txXfrm>
    </dsp:sp>
    <dsp:sp modelId="{69F18085-0AC3-4BAE-9B16-F8478FFBD61E}">
      <dsp:nvSpPr>
        <dsp:cNvPr id="0" name=""/>
        <dsp:cNvSpPr/>
      </dsp:nvSpPr>
      <dsp:spPr>
        <a:xfrm>
          <a:off x="1768101" y="1781893"/>
          <a:ext cx="1170235" cy="497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WIPO Academy </a:t>
          </a:r>
        </a:p>
      </dsp:txBody>
      <dsp:txXfrm>
        <a:off x="1939478" y="1854688"/>
        <a:ext cx="827481" cy="351485"/>
      </dsp:txXfrm>
    </dsp:sp>
    <dsp:sp modelId="{FCC14444-D5E7-4E9C-B980-A27CD799E442}">
      <dsp:nvSpPr>
        <dsp:cNvPr id="0" name=""/>
        <dsp:cNvSpPr/>
      </dsp:nvSpPr>
      <dsp:spPr>
        <a:xfrm rot="9767176">
          <a:off x="1647997" y="1552156"/>
          <a:ext cx="848235" cy="14693"/>
        </a:xfrm>
        <a:custGeom>
          <a:avLst/>
          <a:gdLst/>
          <a:ahLst/>
          <a:cxnLst/>
          <a:rect l="0" t="0" r="0" b="0"/>
          <a:pathLst>
            <a:path>
              <a:moveTo>
                <a:pt x="0" y="7346"/>
              </a:moveTo>
              <a:lnTo>
                <a:pt x="848235"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50909" y="1538297"/>
        <a:ext cx="42411" cy="42411"/>
      </dsp:txXfrm>
    </dsp:sp>
    <dsp:sp modelId="{49C45DFA-0A15-4DAA-80DC-CAE4ABCC6B43}">
      <dsp:nvSpPr>
        <dsp:cNvPr id="0" name=""/>
        <dsp:cNvSpPr/>
      </dsp:nvSpPr>
      <dsp:spPr>
        <a:xfrm>
          <a:off x="648457" y="1571381"/>
          <a:ext cx="1113030" cy="5135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Access to Info &amp; Knowledge </a:t>
          </a:r>
        </a:p>
      </dsp:txBody>
      <dsp:txXfrm>
        <a:off x="811456" y="1646589"/>
        <a:ext cx="787032" cy="363133"/>
      </dsp:txXfrm>
    </dsp:sp>
    <dsp:sp modelId="{7B59CB2C-C82F-41EE-B3CF-ADD4878ADBA6}">
      <dsp:nvSpPr>
        <dsp:cNvPr id="0" name=""/>
        <dsp:cNvSpPr/>
      </dsp:nvSpPr>
      <dsp:spPr>
        <a:xfrm rot="10810348">
          <a:off x="1272977" y="1293318"/>
          <a:ext cx="1044221" cy="14693"/>
        </a:xfrm>
        <a:custGeom>
          <a:avLst/>
          <a:gdLst/>
          <a:ahLst/>
          <a:cxnLst/>
          <a:rect l="0" t="0" r="0" b="0"/>
          <a:pathLst>
            <a:path>
              <a:moveTo>
                <a:pt x="0" y="7346"/>
              </a:moveTo>
              <a:lnTo>
                <a:pt x="1044221"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768982" y="1274559"/>
        <a:ext cx="52211" cy="52211"/>
      </dsp:txXfrm>
    </dsp:sp>
    <dsp:sp modelId="{402B25BB-F397-46B5-AAB7-C38C2276BF82}">
      <dsp:nvSpPr>
        <dsp:cNvPr id="0" name=""/>
        <dsp:cNvSpPr/>
      </dsp:nvSpPr>
      <dsp:spPr>
        <a:xfrm>
          <a:off x="99877" y="1044112"/>
          <a:ext cx="1173117" cy="5064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Business Solutions for IP </a:t>
          </a:r>
        </a:p>
      </dsp:txBody>
      <dsp:txXfrm>
        <a:off x="271676" y="1118277"/>
        <a:ext cx="829519" cy="358101"/>
      </dsp:txXfrm>
    </dsp:sp>
    <dsp:sp modelId="{EFB9CB5A-411C-454B-96B1-9ED988829CBE}">
      <dsp:nvSpPr>
        <dsp:cNvPr id="0" name=""/>
        <dsp:cNvSpPr/>
      </dsp:nvSpPr>
      <dsp:spPr>
        <a:xfrm rot="11847099">
          <a:off x="1543689" y="1021901"/>
          <a:ext cx="958535" cy="14693"/>
        </a:xfrm>
        <a:custGeom>
          <a:avLst/>
          <a:gdLst/>
          <a:ahLst/>
          <a:cxnLst/>
          <a:rect l="0" t="0" r="0" b="0"/>
          <a:pathLst>
            <a:path>
              <a:moveTo>
                <a:pt x="0" y="7346"/>
              </a:moveTo>
              <a:lnTo>
                <a:pt x="958535"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998994" y="1005285"/>
        <a:ext cx="47926" cy="47926"/>
      </dsp:txXfrm>
    </dsp:sp>
    <dsp:sp modelId="{5AF8D9AC-0C15-4D1B-BCD3-7FFCFF0A581D}">
      <dsp:nvSpPr>
        <dsp:cNvPr id="0" name=""/>
        <dsp:cNvSpPr/>
      </dsp:nvSpPr>
      <dsp:spPr>
        <a:xfrm>
          <a:off x="561130" y="463946"/>
          <a:ext cx="1085550" cy="55275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Building Respect for IP  </a:t>
          </a:r>
        </a:p>
      </dsp:txBody>
      <dsp:txXfrm>
        <a:off x="720105" y="544895"/>
        <a:ext cx="767600" cy="390858"/>
      </dsp:txXfrm>
    </dsp:sp>
    <dsp:sp modelId="{EA581F84-B016-4CDB-99D6-9E3DD9F505FC}">
      <dsp:nvSpPr>
        <dsp:cNvPr id="0" name=""/>
        <dsp:cNvSpPr/>
      </dsp:nvSpPr>
      <dsp:spPr>
        <a:xfrm rot="13431459">
          <a:off x="1995631" y="830096"/>
          <a:ext cx="831431" cy="14693"/>
        </a:xfrm>
        <a:custGeom>
          <a:avLst/>
          <a:gdLst/>
          <a:ahLst/>
          <a:cxnLst/>
          <a:rect l="0" t="0" r="0" b="0"/>
          <a:pathLst>
            <a:path>
              <a:moveTo>
                <a:pt x="0" y="7346"/>
              </a:moveTo>
              <a:lnTo>
                <a:pt x="831431" y="7346"/>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90561" y="816657"/>
        <a:ext cx="41571" cy="41571"/>
      </dsp:txXfrm>
    </dsp:sp>
    <dsp:sp modelId="{0BAA02DA-E841-4BF5-8708-178825E9BEE2}">
      <dsp:nvSpPr>
        <dsp:cNvPr id="0" name=""/>
        <dsp:cNvSpPr/>
      </dsp:nvSpPr>
      <dsp:spPr>
        <a:xfrm>
          <a:off x="1402727" y="104005"/>
          <a:ext cx="979966" cy="470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18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IP &amp; GC</a:t>
          </a:r>
        </a:p>
      </dsp:txBody>
      <dsp:txXfrm>
        <a:off x="1546240" y="172858"/>
        <a:ext cx="692940" cy="33245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95E18B-B3FB-4EB1-969C-F18BBF044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254</Pages>
  <Words>70351</Words>
  <Characters>401007</Characters>
  <Application>Microsoft Office Word</Application>
  <DocSecurity>2</DocSecurity>
  <Lines>3341</Lines>
  <Paragraphs>940</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470418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MIYAMOTO Tomoko</dc:creator>
  <cp:lastModifiedBy>DOYON Geneviève</cp:lastModifiedBy>
  <cp:revision>3</cp:revision>
  <cp:lastPrinted>2015-08-14T09:38:00Z</cp:lastPrinted>
  <dcterms:created xsi:type="dcterms:W3CDTF">2015-08-20T09:42:00Z</dcterms:created>
  <dcterms:modified xsi:type="dcterms:W3CDTF">2015-08-20T14:39:00Z</dcterms:modified>
</cp:coreProperties>
</file>