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F35DA8" w:rsidRPr="008B2CC1" w:rsidTr="00167405">
        <w:tc>
          <w:tcPr>
            <w:tcW w:w="4513" w:type="dxa"/>
            <w:tcBorders>
              <w:bottom w:val="single" w:sz="4" w:space="0" w:color="auto"/>
            </w:tcBorders>
            <w:tcMar>
              <w:bottom w:w="170" w:type="dxa"/>
            </w:tcMar>
          </w:tcPr>
          <w:p w:rsidR="00F35DA8" w:rsidRPr="008B2CC1" w:rsidRDefault="00F35DA8" w:rsidP="00167405"/>
        </w:tc>
        <w:tc>
          <w:tcPr>
            <w:tcW w:w="4337" w:type="dxa"/>
            <w:tcBorders>
              <w:bottom w:val="single" w:sz="4" w:space="0" w:color="auto"/>
            </w:tcBorders>
            <w:tcMar>
              <w:left w:w="0" w:type="dxa"/>
              <w:right w:w="0" w:type="dxa"/>
            </w:tcMar>
          </w:tcPr>
          <w:p w:rsidR="00F35DA8" w:rsidRPr="008B2CC1" w:rsidRDefault="00F35DA8" w:rsidP="00167405">
            <w:r>
              <w:rPr>
                <w:noProof/>
                <w:lang w:eastAsia="en-US"/>
              </w:rPr>
              <w:drawing>
                <wp:inline distT="0" distB="0" distL="0" distR="0" wp14:anchorId="1C763B3D" wp14:editId="7ECB45CF">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F35DA8" w:rsidRPr="008B2CC1" w:rsidRDefault="00F35DA8" w:rsidP="00167405">
            <w:pPr>
              <w:jc w:val="right"/>
            </w:pPr>
            <w:r w:rsidRPr="00605827">
              <w:rPr>
                <w:b/>
                <w:sz w:val="40"/>
                <w:szCs w:val="40"/>
              </w:rPr>
              <w:t>E</w:t>
            </w:r>
          </w:p>
        </w:tc>
      </w:tr>
      <w:tr w:rsidR="00F35DA8" w:rsidRPr="001832A6" w:rsidTr="00167405">
        <w:trPr>
          <w:trHeight w:hRule="exact" w:val="340"/>
        </w:trPr>
        <w:tc>
          <w:tcPr>
            <w:tcW w:w="9356" w:type="dxa"/>
            <w:gridSpan w:val="3"/>
            <w:tcBorders>
              <w:top w:val="single" w:sz="4" w:space="0" w:color="auto"/>
            </w:tcBorders>
            <w:tcMar>
              <w:top w:w="170" w:type="dxa"/>
              <w:left w:w="0" w:type="dxa"/>
              <w:right w:w="0" w:type="dxa"/>
            </w:tcMar>
            <w:vAlign w:val="bottom"/>
          </w:tcPr>
          <w:p w:rsidR="00F35DA8" w:rsidRPr="0090731E" w:rsidRDefault="00F35DA8" w:rsidP="00167405">
            <w:pPr>
              <w:jc w:val="right"/>
              <w:rPr>
                <w:rFonts w:ascii="Arial Black" w:hAnsi="Arial Black"/>
                <w:caps/>
                <w:sz w:val="15"/>
              </w:rPr>
            </w:pPr>
            <w:r>
              <w:rPr>
                <w:rFonts w:ascii="Arial Black" w:hAnsi="Arial Black"/>
                <w:caps/>
                <w:sz w:val="15"/>
              </w:rPr>
              <w:t>wo/pbc/23/</w:t>
            </w:r>
            <w:bookmarkStart w:id="0" w:name="Code"/>
            <w:bookmarkEnd w:id="0"/>
            <w:r>
              <w:rPr>
                <w:rFonts w:ascii="Arial Black" w:hAnsi="Arial Black"/>
                <w:caps/>
                <w:sz w:val="15"/>
              </w:rPr>
              <w:t>8</w:t>
            </w:r>
          </w:p>
        </w:tc>
      </w:tr>
      <w:tr w:rsidR="00F35DA8" w:rsidRPr="001832A6" w:rsidTr="00167405">
        <w:trPr>
          <w:trHeight w:hRule="exact" w:val="170"/>
        </w:trPr>
        <w:tc>
          <w:tcPr>
            <w:tcW w:w="9356" w:type="dxa"/>
            <w:gridSpan w:val="3"/>
            <w:noWrap/>
            <w:tcMar>
              <w:left w:w="0" w:type="dxa"/>
              <w:right w:w="0" w:type="dxa"/>
            </w:tcMar>
            <w:vAlign w:val="bottom"/>
          </w:tcPr>
          <w:p w:rsidR="00F35DA8" w:rsidRPr="0090731E" w:rsidRDefault="00F35DA8" w:rsidP="00167405">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 xml:space="preserve"> </w:t>
            </w:r>
            <w:bookmarkStart w:id="1" w:name="Original"/>
            <w:bookmarkEnd w:id="1"/>
            <w:r>
              <w:rPr>
                <w:rFonts w:ascii="Arial Black" w:hAnsi="Arial Black"/>
                <w:caps/>
                <w:sz w:val="15"/>
              </w:rPr>
              <w:t>English</w:t>
            </w:r>
          </w:p>
        </w:tc>
      </w:tr>
      <w:tr w:rsidR="00F35DA8" w:rsidRPr="001832A6" w:rsidTr="00167405">
        <w:trPr>
          <w:trHeight w:hRule="exact" w:val="198"/>
        </w:trPr>
        <w:tc>
          <w:tcPr>
            <w:tcW w:w="9356" w:type="dxa"/>
            <w:gridSpan w:val="3"/>
            <w:tcMar>
              <w:left w:w="0" w:type="dxa"/>
              <w:right w:w="0" w:type="dxa"/>
            </w:tcMar>
            <w:vAlign w:val="bottom"/>
          </w:tcPr>
          <w:p w:rsidR="00F35DA8" w:rsidRPr="0090731E" w:rsidRDefault="00F35DA8" w:rsidP="00D60490">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 xml:space="preserve"> </w:t>
            </w:r>
            <w:bookmarkStart w:id="2" w:name="Date"/>
            <w:bookmarkEnd w:id="2"/>
            <w:r w:rsidR="00D60490">
              <w:rPr>
                <w:rFonts w:ascii="Arial Black" w:hAnsi="Arial Black"/>
                <w:caps/>
                <w:sz w:val="15"/>
              </w:rPr>
              <w:t>JUNE</w:t>
            </w:r>
            <w:r>
              <w:rPr>
                <w:rFonts w:ascii="Arial Black" w:hAnsi="Arial Black"/>
                <w:caps/>
                <w:sz w:val="15"/>
              </w:rPr>
              <w:t xml:space="preserve"> 12, 2015</w:t>
            </w:r>
          </w:p>
        </w:tc>
      </w:tr>
    </w:tbl>
    <w:p w:rsidR="00F35DA8" w:rsidRPr="008B2CC1" w:rsidRDefault="00F35DA8" w:rsidP="00F35DA8"/>
    <w:p w:rsidR="00F35DA8" w:rsidRPr="008B2CC1" w:rsidRDefault="00F35DA8" w:rsidP="00F35DA8"/>
    <w:p w:rsidR="00F35DA8" w:rsidRPr="008B2CC1" w:rsidRDefault="00F35DA8" w:rsidP="00F35DA8"/>
    <w:p w:rsidR="00F35DA8" w:rsidRPr="008B2CC1" w:rsidRDefault="00F35DA8" w:rsidP="00F35DA8"/>
    <w:p w:rsidR="00F35DA8" w:rsidRPr="00E9276B" w:rsidRDefault="00F35DA8" w:rsidP="00F35DA8">
      <w:pPr>
        <w:rPr>
          <w:b/>
          <w:sz w:val="28"/>
          <w:szCs w:val="28"/>
        </w:rPr>
      </w:pPr>
      <w:r w:rsidRPr="00E9276B">
        <w:rPr>
          <w:b/>
          <w:sz w:val="28"/>
          <w:szCs w:val="28"/>
        </w:rPr>
        <w:t>Program and Budget Committee</w:t>
      </w:r>
    </w:p>
    <w:p w:rsidR="00F35DA8" w:rsidRDefault="00F35DA8" w:rsidP="00F35DA8"/>
    <w:p w:rsidR="00F35DA8" w:rsidRDefault="00F35DA8" w:rsidP="00F35DA8"/>
    <w:p w:rsidR="00F35DA8" w:rsidRPr="00E9276B" w:rsidRDefault="00F35DA8" w:rsidP="00F35DA8">
      <w:pPr>
        <w:rPr>
          <w:b/>
          <w:sz w:val="24"/>
          <w:szCs w:val="24"/>
        </w:rPr>
      </w:pPr>
      <w:r w:rsidRPr="00E9276B">
        <w:rPr>
          <w:b/>
          <w:sz w:val="24"/>
          <w:szCs w:val="24"/>
        </w:rPr>
        <w:t xml:space="preserve">Twenty-Third </w:t>
      </w:r>
      <w:proofErr w:type="gramStart"/>
      <w:r w:rsidRPr="00E9276B">
        <w:rPr>
          <w:b/>
          <w:sz w:val="24"/>
          <w:szCs w:val="24"/>
        </w:rPr>
        <w:t>Session</w:t>
      </w:r>
      <w:proofErr w:type="gramEnd"/>
    </w:p>
    <w:p w:rsidR="00F35DA8" w:rsidRPr="00E9276B" w:rsidRDefault="00F35DA8" w:rsidP="00F35DA8">
      <w:pPr>
        <w:rPr>
          <w:b/>
          <w:sz w:val="24"/>
          <w:szCs w:val="24"/>
        </w:rPr>
      </w:pPr>
      <w:r w:rsidRPr="00E9276B">
        <w:rPr>
          <w:b/>
          <w:sz w:val="24"/>
          <w:szCs w:val="24"/>
        </w:rPr>
        <w:t>Geneva, July 13 to 17, 2015</w:t>
      </w:r>
    </w:p>
    <w:p w:rsidR="00F35DA8" w:rsidRPr="008B2CC1" w:rsidRDefault="00F35DA8" w:rsidP="00F35DA8"/>
    <w:p w:rsidR="00F35DA8" w:rsidRPr="008B2CC1" w:rsidRDefault="00F35DA8" w:rsidP="00F35DA8"/>
    <w:p w:rsidR="00F35DA8" w:rsidRPr="008B2CC1" w:rsidRDefault="00F35DA8" w:rsidP="00F35DA8"/>
    <w:p w:rsidR="00F35DA8" w:rsidRPr="008B2CC1" w:rsidRDefault="00F35DA8" w:rsidP="00F35DA8">
      <w:bookmarkStart w:id="3" w:name="TitleOfDoc"/>
      <w:bookmarkEnd w:id="3"/>
      <w:r w:rsidRPr="008835F0">
        <w:rPr>
          <w:caps/>
          <w:sz w:val="24"/>
        </w:rPr>
        <w:t xml:space="preserve">Proposal on </w:t>
      </w:r>
      <w:r w:rsidR="008F7DDF">
        <w:rPr>
          <w:caps/>
          <w:sz w:val="24"/>
        </w:rPr>
        <w:t xml:space="preserve">A REVISED </w:t>
      </w:r>
      <w:r w:rsidRPr="008835F0">
        <w:rPr>
          <w:caps/>
          <w:sz w:val="24"/>
        </w:rPr>
        <w:t xml:space="preserve">WIPO Policy Related to Reserves </w:t>
      </w:r>
    </w:p>
    <w:p w:rsidR="00CD20B0" w:rsidRDefault="00CD20B0" w:rsidP="00F35DA8">
      <w:pPr>
        <w:rPr>
          <w:i/>
        </w:rPr>
      </w:pPr>
      <w:bookmarkStart w:id="4" w:name="Prepared"/>
      <w:bookmarkEnd w:id="4"/>
    </w:p>
    <w:p w:rsidR="00F35DA8" w:rsidRPr="008B2CC1" w:rsidRDefault="00F35DA8" w:rsidP="00F35DA8">
      <w:pPr>
        <w:rPr>
          <w:i/>
        </w:rPr>
      </w:pPr>
      <w:r>
        <w:rPr>
          <w:i/>
        </w:rPr>
        <w:t>Document prepared by the Secretariat</w:t>
      </w:r>
    </w:p>
    <w:p w:rsidR="00F35DA8" w:rsidRDefault="00F35DA8" w:rsidP="00F35DA8"/>
    <w:p w:rsidR="00F35DA8" w:rsidRDefault="00F35DA8" w:rsidP="00F35DA8"/>
    <w:p w:rsidR="007703D8" w:rsidRDefault="007703D8" w:rsidP="00F35DA8"/>
    <w:p w:rsidR="007703D8" w:rsidRDefault="007703D8" w:rsidP="007703D8"/>
    <w:p w:rsidR="00F35DA8" w:rsidRDefault="00D60490" w:rsidP="007703D8">
      <w:pPr>
        <w:pStyle w:val="ListParagraph"/>
        <w:numPr>
          <w:ilvl w:val="0"/>
          <w:numId w:val="14"/>
        </w:numPr>
        <w:tabs>
          <w:tab w:val="left" w:pos="567"/>
        </w:tabs>
        <w:ind w:left="0" w:firstLine="0"/>
      </w:pPr>
      <w:r>
        <w:t>At the 22</w:t>
      </w:r>
      <w:r w:rsidRPr="00D60490">
        <w:rPr>
          <w:vertAlign w:val="superscript"/>
        </w:rPr>
        <w:t>nd</w:t>
      </w:r>
      <w:r>
        <w:t xml:space="preserve"> se</w:t>
      </w:r>
      <w:r w:rsidR="001101E8">
        <w:t>ssion</w:t>
      </w:r>
      <w:r>
        <w:t xml:space="preserve"> </w:t>
      </w:r>
      <w:r w:rsidR="00F35DA8">
        <w:t>of the Program and Budget Committee (PBC), the Member States reviewed document WO/PBC/22/28 “Review of WIPO’s Financial Situation and its Policies Related to Reserves”.  Following this, the PBC</w:t>
      </w:r>
      <w:r>
        <w:t>:</w:t>
      </w:r>
    </w:p>
    <w:p w:rsidR="00F35DA8" w:rsidRDefault="00F35DA8" w:rsidP="007703D8">
      <w:pPr>
        <w:tabs>
          <w:tab w:val="left" w:pos="567"/>
        </w:tabs>
      </w:pPr>
    </w:p>
    <w:p w:rsidR="00F35DA8" w:rsidRPr="006338D2" w:rsidRDefault="00D60490" w:rsidP="007703D8">
      <w:pPr>
        <w:pStyle w:val="ONUME"/>
        <w:widowControl w:val="0"/>
        <w:numPr>
          <w:ilvl w:val="0"/>
          <w:numId w:val="0"/>
        </w:numPr>
        <w:tabs>
          <w:tab w:val="left" w:pos="567"/>
          <w:tab w:val="left" w:pos="1440"/>
        </w:tabs>
        <w:ind w:left="720"/>
      </w:pPr>
      <w:r>
        <w:t>“</w:t>
      </w:r>
      <w:r w:rsidR="00F35DA8" w:rsidRPr="006338D2">
        <w:t>(</w:t>
      </w:r>
      <w:proofErr w:type="spellStart"/>
      <w:r w:rsidR="00F35DA8" w:rsidRPr="006338D2">
        <w:t>i</w:t>
      </w:r>
      <w:proofErr w:type="spellEnd"/>
      <w:r w:rsidR="00F35DA8" w:rsidRPr="006338D2">
        <w:t>)</w:t>
      </w:r>
      <w:r w:rsidR="00F35DA8" w:rsidRPr="006338D2">
        <w:tab/>
        <w:t>recognized the need to undertake a review of the policies on Reserves and Working Capital Funds</w:t>
      </w:r>
      <w:proofErr w:type="gramStart"/>
      <w:r w:rsidR="00F35DA8" w:rsidRPr="006338D2">
        <w:t>;  and</w:t>
      </w:r>
      <w:proofErr w:type="gramEnd"/>
    </w:p>
    <w:p w:rsidR="00F35DA8" w:rsidRDefault="00D60490" w:rsidP="007703D8">
      <w:pPr>
        <w:pStyle w:val="ONUME"/>
        <w:widowControl w:val="0"/>
        <w:numPr>
          <w:ilvl w:val="0"/>
          <w:numId w:val="0"/>
        </w:numPr>
        <w:tabs>
          <w:tab w:val="left" w:pos="567"/>
          <w:tab w:val="left" w:pos="1440"/>
        </w:tabs>
        <w:spacing w:after="0"/>
        <w:ind w:left="720"/>
      </w:pPr>
      <w:r>
        <w:t>“</w:t>
      </w:r>
      <w:r w:rsidR="00F35DA8" w:rsidRPr="006338D2">
        <w:t>(ii)</w:t>
      </w:r>
      <w:r w:rsidR="00F35DA8" w:rsidRPr="006338D2">
        <w:tab/>
        <w:t>requested the Secretariat to submit to the PBC a comprehensive policy proposal that includes target setting for the Net Assets, liquidity considerations and the management, use and reporting of the available surpluses above the target level, taking into consideration the Member States’ comments and guidance and the recommendations of Audit and Oversight bodies in this respect.</w:t>
      </w:r>
      <w:r>
        <w:t>”</w:t>
      </w:r>
    </w:p>
    <w:p w:rsidR="00F35DA8" w:rsidRDefault="00F35DA8" w:rsidP="007703D8">
      <w:pPr>
        <w:pStyle w:val="ONUME"/>
        <w:widowControl w:val="0"/>
        <w:numPr>
          <w:ilvl w:val="0"/>
          <w:numId w:val="0"/>
        </w:numPr>
        <w:tabs>
          <w:tab w:val="left" w:pos="567"/>
          <w:tab w:val="left" w:pos="1440"/>
        </w:tabs>
        <w:spacing w:after="0"/>
        <w:ind w:left="720"/>
      </w:pPr>
    </w:p>
    <w:p w:rsidR="00D60490" w:rsidRDefault="00F35DA8" w:rsidP="007703D8">
      <w:pPr>
        <w:pStyle w:val="ListParagraph"/>
        <w:numPr>
          <w:ilvl w:val="0"/>
          <w:numId w:val="14"/>
        </w:numPr>
        <w:tabs>
          <w:tab w:val="left" w:pos="567"/>
        </w:tabs>
        <w:ind w:left="0" w:firstLine="0"/>
      </w:pPr>
      <w:r>
        <w:t xml:space="preserve">In accordance with the </w:t>
      </w:r>
      <w:r w:rsidR="00B02EDD">
        <w:t xml:space="preserve">PBC’s </w:t>
      </w:r>
      <w:r>
        <w:t>guidance</w:t>
      </w:r>
      <w:r w:rsidRPr="00B62BCF">
        <w:t xml:space="preserve">, </w:t>
      </w:r>
      <w:r w:rsidR="00D60490">
        <w:t xml:space="preserve">the Secretariat </w:t>
      </w:r>
      <w:r w:rsidR="00FC5470">
        <w:t xml:space="preserve">hereby </w:t>
      </w:r>
      <w:r w:rsidR="00D60490">
        <w:t xml:space="preserve">sets out </w:t>
      </w:r>
      <w:r>
        <w:t xml:space="preserve">the </w:t>
      </w:r>
      <w:r w:rsidR="005C1890">
        <w:t xml:space="preserve">proposed </w:t>
      </w:r>
      <w:r>
        <w:t>revised policy on reserves in Annex I</w:t>
      </w:r>
      <w:r w:rsidR="00D60490">
        <w:t xml:space="preserve"> of this document</w:t>
      </w:r>
      <w:r w:rsidR="00A27505">
        <w:t>.</w:t>
      </w:r>
    </w:p>
    <w:p w:rsidR="00A27505" w:rsidRDefault="00A27505" w:rsidP="007703D8">
      <w:pPr>
        <w:pStyle w:val="ListParagraph"/>
        <w:tabs>
          <w:tab w:val="left" w:pos="567"/>
        </w:tabs>
        <w:ind w:left="0"/>
      </w:pPr>
    </w:p>
    <w:p w:rsidR="00F35DA8" w:rsidRDefault="00F35DA8" w:rsidP="007703D8">
      <w:pPr>
        <w:pStyle w:val="ListParagraph"/>
        <w:keepNext/>
        <w:keepLines/>
        <w:numPr>
          <w:ilvl w:val="0"/>
          <w:numId w:val="14"/>
        </w:numPr>
        <w:tabs>
          <w:tab w:val="left" w:pos="567"/>
        </w:tabs>
        <w:ind w:left="0" w:firstLine="0"/>
      </w:pPr>
      <w:r>
        <w:t>The revised policy is aimed at:</w:t>
      </w:r>
    </w:p>
    <w:p w:rsidR="00D60490" w:rsidRDefault="00D60490" w:rsidP="007703D8">
      <w:pPr>
        <w:pStyle w:val="ListParagraph"/>
        <w:keepNext/>
        <w:keepLines/>
        <w:tabs>
          <w:tab w:val="left" w:pos="567"/>
        </w:tabs>
        <w:ind w:left="0"/>
      </w:pPr>
    </w:p>
    <w:p w:rsidR="00F35DA8" w:rsidRDefault="00F35DA8" w:rsidP="007703D8">
      <w:pPr>
        <w:pStyle w:val="ONUME"/>
        <w:numPr>
          <w:ilvl w:val="0"/>
          <w:numId w:val="23"/>
        </w:numPr>
        <w:tabs>
          <w:tab w:val="left" w:pos="1276"/>
        </w:tabs>
        <w:ind w:left="1134" w:hanging="567"/>
      </w:pPr>
      <w:r>
        <w:t>Further strengthening financial management and risk management of the Organization</w:t>
      </w:r>
      <w:r w:rsidR="00B02EDD">
        <w:t xml:space="preserve">; </w:t>
      </w:r>
    </w:p>
    <w:p w:rsidR="00F35DA8" w:rsidRDefault="00F35DA8" w:rsidP="007703D8">
      <w:pPr>
        <w:pStyle w:val="ONUME"/>
        <w:numPr>
          <w:ilvl w:val="0"/>
          <w:numId w:val="23"/>
        </w:numPr>
        <w:tabs>
          <w:tab w:val="left" w:pos="1276"/>
        </w:tabs>
        <w:ind w:left="1134" w:hanging="567"/>
      </w:pPr>
      <w:r>
        <w:t xml:space="preserve">Providing enhanced guidance to the Secretariat on the on-going management of the reserves including </w:t>
      </w:r>
      <w:r w:rsidR="00B02EDD">
        <w:t xml:space="preserve">the target levels and liquidity;  </w:t>
      </w:r>
    </w:p>
    <w:p w:rsidR="00F35DA8" w:rsidRDefault="00F35DA8" w:rsidP="007703D8">
      <w:pPr>
        <w:pStyle w:val="ONUME"/>
        <w:numPr>
          <w:ilvl w:val="0"/>
          <w:numId w:val="23"/>
        </w:numPr>
        <w:tabs>
          <w:tab w:val="left" w:pos="1276"/>
        </w:tabs>
        <w:ind w:left="1134" w:hanging="567"/>
      </w:pPr>
      <w:r>
        <w:t xml:space="preserve">Clarifying </w:t>
      </w:r>
      <w:r w:rsidR="005C1890">
        <w:t>and enhancing</w:t>
      </w:r>
      <w:r>
        <w:t xml:space="preserve"> the reporting on the </w:t>
      </w:r>
      <w:r w:rsidR="00765E02">
        <w:t>r</w:t>
      </w:r>
      <w:r>
        <w:t xml:space="preserve">eserves in accordance with the </w:t>
      </w:r>
      <w:r w:rsidR="00FC5470">
        <w:t xml:space="preserve">applicable </w:t>
      </w:r>
      <w:r>
        <w:t>accounting standards (IPSAS)</w:t>
      </w:r>
      <w:r w:rsidR="00A27505">
        <w:t>, t</w:t>
      </w:r>
      <w:r>
        <w:t>he Regulatory Framework of the Organization (Financial provisions of the different Unions of the Organization</w:t>
      </w:r>
      <w:bookmarkStart w:id="5" w:name="_GoBack"/>
      <w:bookmarkEnd w:id="5"/>
      <w:r>
        <w:t xml:space="preserve"> and the Financial Regulations and Rules)</w:t>
      </w:r>
      <w:r w:rsidR="00484CF4">
        <w:t>,</w:t>
      </w:r>
      <w:r w:rsidR="00A27505">
        <w:t xml:space="preserve"> and Audit and Oversight Recommendations</w:t>
      </w:r>
      <w:r w:rsidR="00B02EDD">
        <w:t xml:space="preserve">; </w:t>
      </w:r>
    </w:p>
    <w:p w:rsidR="00F35DA8" w:rsidRDefault="00F35DA8" w:rsidP="007703D8">
      <w:pPr>
        <w:pStyle w:val="ONUME"/>
        <w:numPr>
          <w:ilvl w:val="0"/>
          <w:numId w:val="23"/>
        </w:numPr>
        <w:tabs>
          <w:tab w:val="left" w:pos="1276"/>
        </w:tabs>
        <w:ind w:left="1134" w:hanging="567"/>
      </w:pPr>
      <w:r>
        <w:lastRenderedPageBreak/>
        <w:t xml:space="preserve">Establishing clear criteria </w:t>
      </w:r>
      <w:r w:rsidR="00483ECC">
        <w:t xml:space="preserve">and information requirements </w:t>
      </w:r>
      <w:r>
        <w:t>that would facilitate the Member States’ evaluation of prop</w:t>
      </w:r>
      <w:r w:rsidR="007E3FFD">
        <w:t>osals for the use of available r</w:t>
      </w:r>
      <w:r>
        <w:t>eserves for the financing of proje</w:t>
      </w:r>
      <w:r w:rsidR="005C1890">
        <w:t>cts and their decisions thereo</w:t>
      </w:r>
      <w:r w:rsidR="00484CF4">
        <w:t>n</w:t>
      </w:r>
      <w:r w:rsidR="00B02EDD">
        <w:t xml:space="preserve">; </w:t>
      </w:r>
      <w:r w:rsidR="005C1890">
        <w:t xml:space="preserve"> and </w:t>
      </w:r>
    </w:p>
    <w:p w:rsidR="005C1890" w:rsidRDefault="005C1890" w:rsidP="007703D8">
      <w:pPr>
        <w:pStyle w:val="ONUME"/>
        <w:numPr>
          <w:ilvl w:val="0"/>
          <w:numId w:val="23"/>
        </w:numPr>
        <w:tabs>
          <w:tab w:val="left" w:pos="1276"/>
        </w:tabs>
        <w:ind w:left="1134" w:hanging="567"/>
      </w:pPr>
      <w:r>
        <w:t>Ensuring greater compliance with the Audit and Oversight recommendati</w:t>
      </w:r>
      <w:r w:rsidR="007E3FFD">
        <w:t>ons received in respect of the r</w:t>
      </w:r>
      <w:r>
        <w:t>eserves.</w:t>
      </w:r>
    </w:p>
    <w:p w:rsidR="002E2D6D" w:rsidRPr="00D60490" w:rsidRDefault="00EE253E" w:rsidP="007703D8">
      <w:pPr>
        <w:pStyle w:val="ListParagraph"/>
        <w:numPr>
          <w:ilvl w:val="0"/>
          <w:numId w:val="14"/>
        </w:numPr>
        <w:tabs>
          <w:tab w:val="left" w:pos="709"/>
          <w:tab w:val="left" w:pos="6096"/>
        </w:tabs>
        <w:ind w:left="5533" w:right="-1" w:firstLine="0"/>
        <w:rPr>
          <w:i/>
        </w:rPr>
      </w:pPr>
      <w:r w:rsidRPr="00D60490">
        <w:rPr>
          <w:i/>
        </w:rPr>
        <w:t>The Program and Budget Committee</w:t>
      </w:r>
      <w:r w:rsidR="00D60490">
        <w:rPr>
          <w:i/>
        </w:rPr>
        <w:t xml:space="preserve"> (PBC)</w:t>
      </w:r>
      <w:r w:rsidRPr="00D60490">
        <w:rPr>
          <w:i/>
        </w:rPr>
        <w:t xml:space="preserve">, having reviewed the </w:t>
      </w:r>
      <w:r w:rsidR="002E2D6D" w:rsidRPr="00D60490">
        <w:rPr>
          <w:i/>
        </w:rPr>
        <w:t>comprehensive revised policy proposal that includes target setting, liquidity considerations and the management, use and reporting of the available surpluses</w:t>
      </w:r>
      <w:r w:rsidR="00CA3F3F">
        <w:rPr>
          <w:i/>
        </w:rPr>
        <w:t xml:space="preserve"> above the target level</w:t>
      </w:r>
      <w:r w:rsidR="002E2D6D" w:rsidRPr="00D60490">
        <w:rPr>
          <w:i/>
        </w:rPr>
        <w:t>, taking into consideration the Member States’ comments and guidance</w:t>
      </w:r>
      <w:r w:rsidR="00484CF4">
        <w:rPr>
          <w:i/>
        </w:rPr>
        <w:t>, as well as</w:t>
      </w:r>
      <w:r w:rsidR="002E2D6D" w:rsidRPr="00D60490">
        <w:rPr>
          <w:i/>
        </w:rPr>
        <w:t xml:space="preserve"> the recommendations of Audit and Oversight bodies in this respect</w:t>
      </w:r>
      <w:r w:rsidR="00D17541">
        <w:rPr>
          <w:i/>
        </w:rPr>
        <w:t>,</w:t>
      </w:r>
      <w:r w:rsidR="00484CF4">
        <w:rPr>
          <w:i/>
        </w:rPr>
        <w:t xml:space="preserve"> </w:t>
      </w:r>
      <w:r w:rsidR="00D60490" w:rsidRPr="00026CF4">
        <w:rPr>
          <w:i/>
        </w:rPr>
        <w:t xml:space="preserve">recommended </w:t>
      </w:r>
      <w:r w:rsidR="00D60490">
        <w:rPr>
          <w:i/>
        </w:rPr>
        <w:t xml:space="preserve">to the Assemblies of the Member States of WIPO and of the Unions, each as far as it is concerned, </w:t>
      </w:r>
      <w:r w:rsidR="00D17541">
        <w:rPr>
          <w:i/>
        </w:rPr>
        <w:t>the approval of</w:t>
      </w:r>
      <w:r w:rsidR="00D60490">
        <w:rPr>
          <w:i/>
        </w:rPr>
        <w:t xml:space="preserve"> the Policy related to Reserves contained in Annex I of document WO/PBC/23/8</w:t>
      </w:r>
      <w:r w:rsidR="001A3402">
        <w:rPr>
          <w:i/>
        </w:rPr>
        <w:t>.</w:t>
      </w:r>
    </w:p>
    <w:p w:rsidR="00D60490" w:rsidRPr="00D60490" w:rsidRDefault="00D60490" w:rsidP="007703D8">
      <w:pPr>
        <w:pStyle w:val="ListParagraph"/>
        <w:tabs>
          <w:tab w:val="left" w:pos="709"/>
        </w:tabs>
        <w:ind w:left="0" w:right="-1"/>
      </w:pPr>
    </w:p>
    <w:p w:rsidR="005426B8" w:rsidRDefault="00B90E40" w:rsidP="007703D8">
      <w:pPr>
        <w:pStyle w:val="ListParagraph"/>
        <w:numPr>
          <w:ilvl w:val="0"/>
          <w:numId w:val="14"/>
        </w:numPr>
        <w:tabs>
          <w:tab w:val="left" w:pos="709"/>
        </w:tabs>
        <w:ind w:left="0" w:right="-1" w:firstLine="0"/>
      </w:pPr>
      <w:r>
        <w:t>As part of the review of the financial situation and the policy related to the reserves during the 22</w:t>
      </w:r>
      <w:r w:rsidRPr="00B90E40">
        <w:rPr>
          <w:vertAlign w:val="superscript"/>
        </w:rPr>
        <w:t>nd</w:t>
      </w:r>
      <w:r w:rsidR="0031468B">
        <w:t xml:space="preserve"> session of the PBC, it was observed that the Working Capital Funds</w:t>
      </w:r>
      <w:r w:rsidR="007E3FFD">
        <w:t xml:space="preserve"> (WCF)</w:t>
      </w:r>
      <w:r w:rsidR="0031468B">
        <w:t>, which currently stand at 8.3 million Swiss francs and were established through Member States’ contributions</w:t>
      </w:r>
      <w:r w:rsidR="00FC2793">
        <w:t xml:space="preserve">, have remained static since 1990.  The current amount of 8.3 million Swiss francs </w:t>
      </w:r>
      <w:r w:rsidR="00F03EAF">
        <w:t xml:space="preserve">is </w:t>
      </w:r>
      <w:r w:rsidR="00FC2793">
        <w:t xml:space="preserve">made up of 2 million Swiss francs </w:t>
      </w:r>
      <w:r w:rsidR="0031468B">
        <w:t xml:space="preserve"> </w:t>
      </w:r>
      <w:r w:rsidR="00F03EAF">
        <w:t>owned by</w:t>
      </w:r>
      <w:r w:rsidR="00FC2793">
        <w:t xml:space="preserve"> the PCT Union,</w:t>
      </w:r>
      <w:r w:rsidR="000A14B5">
        <w:t xml:space="preserve"> </w:t>
      </w:r>
      <w:r w:rsidR="00FC2793">
        <w:t xml:space="preserve">2 million Swiss francs </w:t>
      </w:r>
      <w:r w:rsidR="00F03EAF">
        <w:t>by the</w:t>
      </w:r>
      <w:r w:rsidR="00FC2793">
        <w:t xml:space="preserve"> </w:t>
      </w:r>
      <w:r w:rsidR="00421ED4">
        <w:t>M</w:t>
      </w:r>
      <w:r w:rsidR="00FC2793">
        <w:t xml:space="preserve">adrid Union, 260,000 </w:t>
      </w:r>
      <w:r w:rsidR="00421ED4">
        <w:t>S</w:t>
      </w:r>
      <w:r w:rsidR="00FC2793">
        <w:t xml:space="preserve">wiss francs </w:t>
      </w:r>
      <w:r w:rsidR="00F03EAF">
        <w:t>by</w:t>
      </w:r>
      <w:r w:rsidR="00FC2793">
        <w:t xml:space="preserve"> the Hague Union</w:t>
      </w:r>
      <w:r w:rsidR="00CA3F3F">
        <w:t>,</w:t>
      </w:r>
      <w:r w:rsidR="00FC2793">
        <w:t xml:space="preserve"> </w:t>
      </w:r>
      <w:r w:rsidR="000A14B5">
        <w:t xml:space="preserve">with the </w:t>
      </w:r>
      <w:r w:rsidR="00F03EAF">
        <w:t>remaining 4 million Swiss francs</w:t>
      </w:r>
      <w:r w:rsidR="000A14B5">
        <w:t xml:space="preserve"> belonging</w:t>
      </w:r>
      <w:r w:rsidR="00FC2793">
        <w:t xml:space="preserve"> to the Contribution</w:t>
      </w:r>
      <w:r w:rsidR="00CA3F3F">
        <w:t>-</w:t>
      </w:r>
      <w:r w:rsidR="00FC2793">
        <w:t>financed Union</w:t>
      </w:r>
      <w:r w:rsidR="00CA3F3F">
        <w:t>s</w:t>
      </w:r>
      <w:r w:rsidR="00FC2793">
        <w:t xml:space="preserve">.  </w:t>
      </w:r>
    </w:p>
    <w:p w:rsidR="005426B8" w:rsidRDefault="005426B8" w:rsidP="007703D8">
      <w:pPr>
        <w:ind w:right="-1"/>
      </w:pPr>
    </w:p>
    <w:p w:rsidR="00F35DA8" w:rsidRDefault="000A14B5" w:rsidP="007703D8">
      <w:pPr>
        <w:pStyle w:val="ListParagraph"/>
        <w:numPr>
          <w:ilvl w:val="0"/>
          <w:numId w:val="14"/>
        </w:numPr>
        <w:tabs>
          <w:tab w:val="left" w:pos="709"/>
        </w:tabs>
        <w:ind w:left="0" w:right="-1" w:firstLine="0"/>
      </w:pPr>
      <w:r>
        <w:t xml:space="preserve">The PCT system has grown significantly over time and the Organization currently derives approximately 76 percent of its overall income from the PCT.  The </w:t>
      </w:r>
      <w:r w:rsidR="00900E95">
        <w:t xml:space="preserve">PCT </w:t>
      </w:r>
      <w:r>
        <w:t xml:space="preserve">working capital fund amount of 2 million Swiss </w:t>
      </w:r>
      <w:r w:rsidR="00900E95">
        <w:t xml:space="preserve">francs constitutes </w:t>
      </w:r>
      <w:r w:rsidR="0077582D">
        <w:t>1.4</w:t>
      </w:r>
      <w:r w:rsidR="00900E95">
        <w:t xml:space="preserve"> percent of the total R</w:t>
      </w:r>
      <w:r w:rsidR="001A3402">
        <w:t>eserves and Working Capital Funds (R</w:t>
      </w:r>
      <w:r w:rsidR="00900E95">
        <w:t>WCF</w:t>
      </w:r>
      <w:r w:rsidR="001A3402">
        <w:t>)</w:t>
      </w:r>
      <w:r w:rsidR="00900E95">
        <w:t xml:space="preserve"> for the PCT Union and approximately </w:t>
      </w:r>
      <w:r w:rsidR="0077582D">
        <w:t xml:space="preserve">1.0 </w:t>
      </w:r>
      <w:r w:rsidR="00900E95">
        <w:t>percent of the overall Organizational RWCF</w:t>
      </w:r>
      <w:r w:rsidR="00CA3F3F">
        <w:t>,</w:t>
      </w:r>
      <w:r w:rsidR="00900E95">
        <w:t xml:space="preserve"> and </w:t>
      </w:r>
      <w:r>
        <w:t>no longer offers material protection</w:t>
      </w:r>
      <w:r w:rsidR="00900E95">
        <w:t xml:space="preserve"> or mitigation</w:t>
      </w:r>
      <w:r>
        <w:t xml:space="preserve"> in respect of </w:t>
      </w:r>
      <w:r w:rsidR="00900E95">
        <w:t xml:space="preserve">financial </w:t>
      </w:r>
      <w:r>
        <w:t>risks related to PCT income shortfalls. Th</w:t>
      </w:r>
      <w:r w:rsidR="00A27505">
        <w:t>ese</w:t>
      </w:r>
      <w:r>
        <w:t xml:space="preserve"> risk</w:t>
      </w:r>
      <w:r w:rsidR="00A27505">
        <w:t>s</w:t>
      </w:r>
      <w:r w:rsidR="00C4154F">
        <w:t>, should they materialize,</w:t>
      </w:r>
      <w:r>
        <w:t xml:space="preserve"> </w:t>
      </w:r>
      <w:r w:rsidR="00C4154F">
        <w:t>will be</w:t>
      </w:r>
      <w:r>
        <w:t xml:space="preserve"> primarily</w:t>
      </w:r>
      <w:r w:rsidR="00A27505">
        <w:t xml:space="preserve"> managed</w:t>
      </w:r>
      <w:r>
        <w:t xml:space="preserve"> through the Reserves component of the R</w:t>
      </w:r>
      <w:r w:rsidR="001A3402">
        <w:t>WCF</w:t>
      </w:r>
      <w:r w:rsidR="005426B8">
        <w:t xml:space="preserve"> and the revised policy </w:t>
      </w:r>
      <w:r w:rsidR="003A57EA">
        <w:t xml:space="preserve">related to reserves </w:t>
      </w:r>
      <w:r>
        <w:t>includes a proposal to increase the Reserves target for the PCT Union from15</w:t>
      </w:r>
      <w:r w:rsidR="001A3402">
        <w:t xml:space="preserve"> per cent </w:t>
      </w:r>
      <w:r>
        <w:t>to 20</w:t>
      </w:r>
      <w:r w:rsidR="001A3402">
        <w:t xml:space="preserve"> per cent. </w:t>
      </w:r>
      <w:r>
        <w:t xml:space="preserve"> The Secretariat therefore proposes that </w:t>
      </w:r>
      <w:r w:rsidR="005426B8">
        <w:t xml:space="preserve">the component of the </w:t>
      </w:r>
      <w:r w:rsidR="001A3402">
        <w:t xml:space="preserve">WCF </w:t>
      </w:r>
      <w:r w:rsidR="005426B8">
        <w:t>that belongs to the PCT Union</w:t>
      </w:r>
      <w:r w:rsidR="003A57EA">
        <w:t>, and is being held in trust by WIPO for the Member States of the PCT Union,</w:t>
      </w:r>
      <w:r w:rsidR="005426B8">
        <w:t xml:space="preserve"> be returned to th</w:t>
      </w:r>
      <w:r w:rsidR="003B4559">
        <w:t xml:space="preserve">e Member States. </w:t>
      </w:r>
      <w:r w:rsidR="001A3402">
        <w:t xml:space="preserve"> </w:t>
      </w:r>
      <w:r w:rsidR="003B4559">
        <w:t xml:space="preserve">Annex II provides the </w:t>
      </w:r>
      <w:r w:rsidR="003A57EA">
        <w:t xml:space="preserve">detailed </w:t>
      </w:r>
      <w:r w:rsidR="003B4559">
        <w:t>breakdown of the PCT Union WCF component of 2</w:t>
      </w:r>
      <w:r w:rsidR="007E3FFD">
        <w:t> </w:t>
      </w:r>
      <w:r w:rsidR="003B4559">
        <w:t>million Swiss francs by Member State.</w:t>
      </w:r>
      <w:r w:rsidR="001A3402">
        <w:t xml:space="preserve"> </w:t>
      </w:r>
      <w:r w:rsidR="003B4559">
        <w:t xml:space="preserve"> It is proposed, for administrative ease, that these payments are effected through deductions f</w:t>
      </w:r>
      <w:r w:rsidR="00900E95">
        <w:t>ro</w:t>
      </w:r>
      <w:r w:rsidR="003B4559">
        <w:t xml:space="preserve">m </w:t>
      </w:r>
      <w:r w:rsidR="00900E95">
        <w:t xml:space="preserve">contribution related </w:t>
      </w:r>
      <w:r w:rsidR="003B4559">
        <w:t>invoices to Member State</w:t>
      </w:r>
      <w:r w:rsidR="00CA3F3F">
        <w:t>s</w:t>
      </w:r>
      <w:r w:rsidR="003B4559">
        <w:t>.</w:t>
      </w:r>
    </w:p>
    <w:p w:rsidR="003B4559" w:rsidRDefault="003B4559" w:rsidP="007703D8">
      <w:pPr>
        <w:ind w:left="1440" w:right="-1"/>
      </w:pPr>
    </w:p>
    <w:p w:rsidR="00E01A62" w:rsidRPr="001A3402" w:rsidRDefault="00E01A62" w:rsidP="007703D8">
      <w:pPr>
        <w:pStyle w:val="ListParagraph"/>
        <w:numPr>
          <w:ilvl w:val="0"/>
          <w:numId w:val="14"/>
        </w:numPr>
        <w:tabs>
          <w:tab w:val="left" w:pos="709"/>
          <w:tab w:val="left" w:pos="5954"/>
        </w:tabs>
        <w:ind w:left="5387" w:firstLine="0"/>
        <w:rPr>
          <w:i/>
        </w:rPr>
      </w:pPr>
      <w:r w:rsidRPr="001A3402">
        <w:rPr>
          <w:i/>
        </w:rPr>
        <w:t xml:space="preserve">The </w:t>
      </w:r>
      <w:r w:rsidR="00CA3F3F">
        <w:rPr>
          <w:i/>
        </w:rPr>
        <w:t>PBC</w:t>
      </w:r>
      <w:r w:rsidRPr="001A3402">
        <w:rPr>
          <w:i/>
        </w:rPr>
        <w:t xml:space="preserve"> </w:t>
      </w:r>
      <w:r w:rsidR="001E7021" w:rsidRPr="001A3402">
        <w:rPr>
          <w:i/>
        </w:rPr>
        <w:t>recommended to the</w:t>
      </w:r>
      <w:r w:rsidR="001A3402">
        <w:rPr>
          <w:i/>
        </w:rPr>
        <w:t xml:space="preserve"> Assemblies of the Member States of WIPO and of the Unions, each as far as it is concerned</w:t>
      </w:r>
      <w:r w:rsidR="001E7021" w:rsidRPr="001A3402">
        <w:rPr>
          <w:i/>
        </w:rPr>
        <w:t xml:space="preserve">, </w:t>
      </w:r>
      <w:r w:rsidRPr="001A3402">
        <w:rPr>
          <w:i/>
        </w:rPr>
        <w:t>that the W</w:t>
      </w:r>
      <w:r w:rsidR="001A3402">
        <w:rPr>
          <w:i/>
        </w:rPr>
        <w:t>orking Capital Fund</w:t>
      </w:r>
      <w:r w:rsidR="007E3FFD">
        <w:rPr>
          <w:i/>
        </w:rPr>
        <w:t>s</w:t>
      </w:r>
      <w:r w:rsidR="001A3402">
        <w:rPr>
          <w:i/>
        </w:rPr>
        <w:t xml:space="preserve"> (W</w:t>
      </w:r>
      <w:r w:rsidRPr="001A3402">
        <w:rPr>
          <w:i/>
        </w:rPr>
        <w:t>CF</w:t>
      </w:r>
      <w:r w:rsidR="001A3402">
        <w:rPr>
          <w:i/>
        </w:rPr>
        <w:t>)</w:t>
      </w:r>
      <w:r w:rsidRPr="001A3402">
        <w:rPr>
          <w:i/>
        </w:rPr>
        <w:t xml:space="preserve"> component of 2</w:t>
      </w:r>
      <w:r w:rsidR="004D5B56">
        <w:rPr>
          <w:i/>
        </w:rPr>
        <w:t> </w:t>
      </w:r>
      <w:r w:rsidRPr="001A3402">
        <w:rPr>
          <w:i/>
        </w:rPr>
        <w:t>million</w:t>
      </w:r>
      <w:r w:rsidR="007703D8">
        <w:rPr>
          <w:i/>
        </w:rPr>
        <w:t> </w:t>
      </w:r>
      <w:r w:rsidRPr="001A3402">
        <w:rPr>
          <w:i/>
        </w:rPr>
        <w:t xml:space="preserve">Swiss francs for the PCT Union </w:t>
      </w:r>
      <w:r w:rsidRPr="001A3402">
        <w:rPr>
          <w:i/>
        </w:rPr>
        <w:lastRenderedPageBreak/>
        <w:t>be returned to the Member States of the PCT Union</w:t>
      </w:r>
      <w:r w:rsidR="001E7021" w:rsidRPr="001A3402">
        <w:rPr>
          <w:i/>
        </w:rPr>
        <w:t>,</w:t>
      </w:r>
      <w:r w:rsidRPr="001A3402">
        <w:rPr>
          <w:i/>
        </w:rPr>
        <w:t xml:space="preserve"> through deductions from contribution invoices in </w:t>
      </w:r>
      <w:r w:rsidR="002E2D6D" w:rsidRPr="001A3402">
        <w:rPr>
          <w:i/>
        </w:rPr>
        <w:t>the</w:t>
      </w:r>
      <w:r w:rsidR="007703D8">
        <w:rPr>
          <w:i/>
        </w:rPr>
        <w:t> 20</w:t>
      </w:r>
      <w:r w:rsidR="002E2D6D" w:rsidRPr="001A3402">
        <w:rPr>
          <w:i/>
        </w:rPr>
        <w:t>16/17</w:t>
      </w:r>
      <w:r w:rsidR="007703D8">
        <w:rPr>
          <w:i/>
        </w:rPr>
        <w:t> </w:t>
      </w:r>
      <w:r w:rsidR="002E2D6D" w:rsidRPr="001A3402">
        <w:rPr>
          <w:i/>
        </w:rPr>
        <w:t>biennium.</w:t>
      </w:r>
    </w:p>
    <w:p w:rsidR="003A57EA" w:rsidRPr="001A3402" w:rsidRDefault="003A57EA" w:rsidP="007703D8">
      <w:pPr>
        <w:ind w:left="5040"/>
        <w:rPr>
          <w:szCs w:val="22"/>
        </w:rPr>
      </w:pPr>
    </w:p>
    <w:p w:rsidR="001A3402" w:rsidRPr="001A3402" w:rsidRDefault="001A3402" w:rsidP="007703D8">
      <w:pPr>
        <w:ind w:left="5040"/>
        <w:rPr>
          <w:szCs w:val="22"/>
        </w:rPr>
      </w:pPr>
    </w:p>
    <w:p w:rsidR="001A3402" w:rsidRDefault="001A3402" w:rsidP="007703D8">
      <w:pPr>
        <w:pStyle w:val="Endofdocument"/>
        <w:spacing w:line="240" w:lineRule="auto"/>
        <w:rPr>
          <w:sz w:val="22"/>
          <w:szCs w:val="22"/>
        </w:rPr>
      </w:pPr>
      <w:r w:rsidRPr="001A3402">
        <w:rPr>
          <w:sz w:val="22"/>
          <w:szCs w:val="22"/>
        </w:rPr>
        <w:t>[Annexes follow]</w:t>
      </w:r>
    </w:p>
    <w:p w:rsidR="00A94682" w:rsidRDefault="00A94682" w:rsidP="007703D8">
      <w:pPr>
        <w:pStyle w:val="Endofdocument"/>
        <w:spacing w:line="240" w:lineRule="auto"/>
        <w:rPr>
          <w:sz w:val="22"/>
          <w:szCs w:val="22"/>
        </w:rPr>
      </w:pPr>
    </w:p>
    <w:p w:rsidR="00A94682" w:rsidRDefault="00A94682" w:rsidP="001A3402">
      <w:pPr>
        <w:pStyle w:val="Endofdocument"/>
        <w:rPr>
          <w:sz w:val="22"/>
          <w:szCs w:val="22"/>
        </w:rPr>
        <w:sectPr w:rsidR="00A94682" w:rsidSect="009A673B">
          <w:headerReference w:type="default" r:id="rId10"/>
          <w:footerReference w:type="even" r:id="rId11"/>
          <w:footerReference w:type="default" r:id="rId12"/>
          <w:pgSz w:w="11907" w:h="16839" w:code="9"/>
          <w:pgMar w:top="567" w:right="1134" w:bottom="1361" w:left="1418" w:header="624" w:footer="720" w:gutter="0"/>
          <w:cols w:space="720"/>
          <w:titlePg/>
          <w:docGrid w:linePitch="360"/>
        </w:sectPr>
      </w:pPr>
    </w:p>
    <w:p w:rsidR="00C3714C" w:rsidRDefault="00C3714C" w:rsidP="007E3FFD">
      <w:pPr>
        <w:tabs>
          <w:tab w:val="left" w:pos="1701"/>
        </w:tabs>
        <w:rPr>
          <w:b/>
          <w:bCs/>
        </w:rPr>
      </w:pPr>
      <w:r>
        <w:rPr>
          <w:b/>
          <w:bCs/>
        </w:rPr>
        <w:lastRenderedPageBreak/>
        <w:t xml:space="preserve">REVISED </w:t>
      </w:r>
      <w:r w:rsidRPr="00011B27">
        <w:rPr>
          <w:b/>
          <w:bCs/>
        </w:rPr>
        <w:t>POLICY ON RESERVE</w:t>
      </w:r>
      <w:r>
        <w:rPr>
          <w:b/>
          <w:bCs/>
        </w:rPr>
        <w:t>S</w:t>
      </w:r>
      <w:r w:rsidRPr="00011B27">
        <w:rPr>
          <w:b/>
          <w:bCs/>
        </w:rPr>
        <w:t xml:space="preserve"> </w:t>
      </w:r>
    </w:p>
    <w:p w:rsidR="00C948D8" w:rsidRDefault="00C948D8" w:rsidP="007E3FFD">
      <w:pPr>
        <w:tabs>
          <w:tab w:val="left" w:pos="1701"/>
        </w:tabs>
        <w:rPr>
          <w:b/>
          <w:bCs/>
        </w:rPr>
      </w:pPr>
    </w:p>
    <w:p w:rsidR="00C3714C" w:rsidRPr="00011B27" w:rsidRDefault="00C3714C" w:rsidP="007E3FFD">
      <w:pPr>
        <w:tabs>
          <w:tab w:val="left" w:pos="1701"/>
        </w:tabs>
        <w:jc w:val="center"/>
        <w:rPr>
          <w:b/>
          <w:bCs/>
        </w:rPr>
      </w:pPr>
    </w:p>
    <w:p w:rsidR="00C3714C" w:rsidRDefault="00C3714C" w:rsidP="007E3FFD">
      <w:pPr>
        <w:tabs>
          <w:tab w:val="left" w:pos="567"/>
        </w:tabs>
        <w:rPr>
          <w:b/>
        </w:rPr>
      </w:pPr>
      <w:r>
        <w:rPr>
          <w:b/>
        </w:rPr>
        <w:t>I.</w:t>
      </w:r>
      <w:r w:rsidR="00C948D8">
        <w:rPr>
          <w:b/>
        </w:rPr>
        <w:tab/>
      </w:r>
      <w:r w:rsidRPr="00A044C7">
        <w:rPr>
          <w:b/>
        </w:rPr>
        <w:t>INTRODUCTION</w:t>
      </w:r>
      <w:r>
        <w:rPr>
          <w:b/>
        </w:rPr>
        <w:t xml:space="preserve"> AND DEFINITIONS</w:t>
      </w:r>
    </w:p>
    <w:p w:rsidR="00C3714C" w:rsidRPr="00A044C7" w:rsidRDefault="00C3714C" w:rsidP="007E3FFD">
      <w:pPr>
        <w:tabs>
          <w:tab w:val="left" w:pos="1701"/>
        </w:tabs>
        <w:rPr>
          <w:b/>
        </w:rPr>
      </w:pPr>
    </w:p>
    <w:p w:rsidR="00C3714C" w:rsidRDefault="00C3714C" w:rsidP="007E3FFD">
      <w:pPr>
        <w:pStyle w:val="ListParagraph"/>
        <w:numPr>
          <w:ilvl w:val="0"/>
          <w:numId w:val="19"/>
        </w:numPr>
        <w:tabs>
          <w:tab w:val="left" w:pos="567"/>
        </w:tabs>
        <w:ind w:left="0" w:right="-1" w:firstLine="0"/>
      </w:pPr>
      <w:r w:rsidRPr="00F72DDE">
        <w:t xml:space="preserve">WIPO’s Reserves serve to minimize the impact of income shortfalls and maximize the probability that the Organization can meet its obligations in the short term and maintain financial stability. The reserves are accounted for as the net assets of the Organization, </w:t>
      </w:r>
      <w:r w:rsidRPr="00F72DDE">
        <w:rPr>
          <w:iCs/>
        </w:rPr>
        <w:t>i.e</w:t>
      </w:r>
      <w:r w:rsidRPr="00F72DDE">
        <w:rPr>
          <w:i/>
        </w:rPr>
        <w:t>.</w:t>
      </w:r>
      <w:r w:rsidRPr="00F72DDE">
        <w:t xml:space="preserve"> the difference between total assets and total liabilities.  WIPO’s Reserves consist of its reserves and its working capital funds and are referred to as Reserves and Working Capital Funds (RWCF). </w:t>
      </w:r>
    </w:p>
    <w:p w:rsidR="00C948D8" w:rsidRPr="00F72DDE" w:rsidRDefault="00C948D8" w:rsidP="007E3FFD">
      <w:pPr>
        <w:pStyle w:val="ListParagraph"/>
        <w:tabs>
          <w:tab w:val="left" w:pos="567"/>
        </w:tabs>
        <w:ind w:left="0" w:right="-1"/>
      </w:pPr>
    </w:p>
    <w:p w:rsidR="00C3714C" w:rsidRDefault="00C3714C" w:rsidP="007E3FFD">
      <w:pPr>
        <w:pStyle w:val="ListParagraph"/>
        <w:numPr>
          <w:ilvl w:val="0"/>
          <w:numId w:val="19"/>
        </w:numPr>
        <w:tabs>
          <w:tab w:val="left" w:pos="567"/>
        </w:tabs>
        <w:ind w:left="0" w:right="-1" w:firstLine="0"/>
      </w:pPr>
      <w:r>
        <w:t xml:space="preserve">WIPO’s Financial Regulations and Rules (FRR) define the two specific components of the Organization’s </w:t>
      </w:r>
      <w:r w:rsidR="007E3FFD">
        <w:t>RWCF</w:t>
      </w:r>
      <w:r>
        <w:t xml:space="preserve"> as</w:t>
      </w:r>
      <w:r w:rsidRPr="00A044C7">
        <w:t xml:space="preserve"> </w:t>
      </w:r>
      <w:r>
        <w:t>follows:</w:t>
      </w:r>
    </w:p>
    <w:p w:rsidR="00C3714C" w:rsidRDefault="00C3714C" w:rsidP="007E3FFD">
      <w:pPr>
        <w:pStyle w:val="ListParagraph"/>
        <w:tabs>
          <w:tab w:val="left" w:pos="1134"/>
        </w:tabs>
        <w:spacing w:after="120"/>
        <w:ind w:left="567"/>
      </w:pPr>
    </w:p>
    <w:p w:rsidR="00C3714C" w:rsidRDefault="00C3714C" w:rsidP="007E3FFD">
      <w:pPr>
        <w:pStyle w:val="ONUME"/>
        <w:numPr>
          <w:ilvl w:val="0"/>
          <w:numId w:val="35"/>
        </w:numPr>
        <w:tabs>
          <w:tab w:val="left" w:pos="1134"/>
        </w:tabs>
        <w:ind w:left="1134" w:hanging="567"/>
      </w:pPr>
      <w:r w:rsidRPr="00402C82">
        <w:t>“</w:t>
      </w:r>
      <w:r w:rsidRPr="00F1074E">
        <w:rPr>
          <w:b/>
        </w:rPr>
        <w:t>Reserve funds</w:t>
      </w:r>
      <w:r w:rsidRPr="00402C82">
        <w:t>” shall mean funds established by the Assemblies of the Member States and of the Unions, each as far as it is concerned, in which surplus income from fees that exceed the amounts required to finance the program and budget appropriations should be deposited. Reserve funds shall be used in a manner decided by the Assemblies of the Member States and of the Unions,</w:t>
      </w:r>
      <w:r>
        <w:t xml:space="preserve"> each as far as it is concerned </w:t>
      </w:r>
      <w:r w:rsidRPr="00F1074E">
        <w:rPr>
          <w:i/>
        </w:rPr>
        <w:t>(Financial Rule 101.3 (n))</w:t>
      </w:r>
      <w:r>
        <w:t>;  and</w:t>
      </w:r>
    </w:p>
    <w:p w:rsidR="00C3714C" w:rsidRDefault="00C3714C" w:rsidP="007E3FFD">
      <w:pPr>
        <w:pStyle w:val="ONUME"/>
        <w:numPr>
          <w:ilvl w:val="0"/>
          <w:numId w:val="35"/>
        </w:numPr>
        <w:tabs>
          <w:tab w:val="left" w:pos="1276"/>
        </w:tabs>
        <w:ind w:left="1134" w:hanging="567"/>
      </w:pPr>
      <w:r w:rsidRPr="00402C82">
        <w:t>“</w:t>
      </w:r>
      <w:r w:rsidRPr="00F1074E">
        <w:rPr>
          <w:b/>
        </w:rPr>
        <w:t>Working capital funds</w:t>
      </w:r>
      <w:r w:rsidRPr="00402C82">
        <w:t>” shall mean funds established for providing advance financing of appropriations should there be a temporary liquidity shortfall and for such other purposes as the Assemblies of Member States and of the Unions, each as far as it is concerned, shall decide</w:t>
      </w:r>
      <w:r>
        <w:t xml:space="preserve"> </w:t>
      </w:r>
      <w:r w:rsidRPr="00F1074E">
        <w:rPr>
          <w:i/>
        </w:rPr>
        <w:t>(Financial Rule 101.3 (q) and Regulation 4.3)</w:t>
      </w:r>
      <w:r>
        <w:t>.</w:t>
      </w:r>
    </w:p>
    <w:p w:rsidR="00C948D8" w:rsidRDefault="00C3714C" w:rsidP="007E3FFD">
      <w:pPr>
        <w:pStyle w:val="ListParagraph"/>
        <w:numPr>
          <w:ilvl w:val="0"/>
          <w:numId w:val="19"/>
        </w:numPr>
        <w:tabs>
          <w:tab w:val="left" w:pos="567"/>
        </w:tabs>
        <w:ind w:left="0" w:right="-1" w:firstLine="0"/>
      </w:pPr>
      <w:r>
        <w:t xml:space="preserve">The Financial Regulations and Rules (FRR) of WIPO also reflect the ownership and </w:t>
      </w:r>
      <w:r w:rsidRPr="007778C6">
        <w:t xml:space="preserve">the authority of the </w:t>
      </w:r>
      <w:r>
        <w:t>Paris, Berne, Madrid, Hague, IPC, Nice, PCT, Lisbon, Locarno and Vienna Unions in respect of the Organization’s Reserves and Working Capital Funds as follows:</w:t>
      </w:r>
    </w:p>
    <w:p w:rsidR="00C3714C" w:rsidRDefault="00C3714C" w:rsidP="007E3FFD">
      <w:pPr>
        <w:pStyle w:val="ListParagraph"/>
        <w:tabs>
          <w:tab w:val="left" w:pos="567"/>
        </w:tabs>
        <w:ind w:left="0" w:right="-1"/>
      </w:pPr>
    </w:p>
    <w:p w:rsidR="00C3714C" w:rsidRPr="00F1074E" w:rsidRDefault="00C3714C" w:rsidP="007E3FFD">
      <w:pPr>
        <w:pStyle w:val="ListParagraph"/>
        <w:numPr>
          <w:ilvl w:val="0"/>
          <w:numId w:val="27"/>
        </w:numPr>
        <w:tabs>
          <w:tab w:val="left" w:pos="1134"/>
          <w:tab w:val="left" w:pos="3060"/>
        </w:tabs>
        <w:spacing w:after="120"/>
        <w:ind w:left="1134" w:hanging="567"/>
      </w:pPr>
      <w:r w:rsidRPr="00402C82">
        <w:t xml:space="preserve">If, after the closure of the financial period, any Union shows a surplus of income, such surplus shall be accounted for under the </w:t>
      </w:r>
      <w:r w:rsidRPr="00F1074E">
        <w:rPr>
          <w:b/>
        </w:rPr>
        <w:t>reserve funds</w:t>
      </w:r>
      <w:r w:rsidRPr="00402C82">
        <w:t>, unless otherwise decided by the General Assembly or the Assembly of the Union concerned.</w:t>
      </w:r>
      <w:r w:rsidRPr="00F1074E">
        <w:rPr>
          <w:i/>
        </w:rPr>
        <w:t xml:space="preserve"> (</w:t>
      </w:r>
      <w:r w:rsidRPr="00F1074E">
        <w:rPr>
          <w:bCs/>
          <w:i/>
        </w:rPr>
        <w:t>Regulation 4.7 )</w:t>
      </w:r>
    </w:p>
    <w:p w:rsidR="00F1074E" w:rsidRPr="00B40A5D" w:rsidRDefault="00F1074E" w:rsidP="007E3FFD">
      <w:pPr>
        <w:pStyle w:val="ListParagraph"/>
        <w:tabs>
          <w:tab w:val="left" w:pos="1134"/>
          <w:tab w:val="left" w:pos="3060"/>
        </w:tabs>
        <w:spacing w:after="120"/>
        <w:ind w:left="1134" w:hanging="567"/>
      </w:pPr>
    </w:p>
    <w:p w:rsidR="00F1074E" w:rsidRPr="00F1074E" w:rsidRDefault="00C3714C" w:rsidP="007E3FFD">
      <w:pPr>
        <w:pStyle w:val="ListParagraph"/>
        <w:numPr>
          <w:ilvl w:val="0"/>
          <w:numId w:val="27"/>
        </w:numPr>
        <w:tabs>
          <w:tab w:val="left" w:pos="1134"/>
          <w:tab w:val="left" w:pos="3060"/>
        </w:tabs>
        <w:spacing w:after="120"/>
        <w:ind w:left="1134" w:hanging="567"/>
        <w:rPr>
          <w:bCs/>
          <w:lang w:val="en"/>
        </w:rPr>
      </w:pPr>
      <w:r w:rsidRPr="000B3091">
        <w:t xml:space="preserve">As decided by the Assembly of the Madrid Union, and under Article 8(4) of the Madrid Agreement, </w:t>
      </w:r>
      <w:r>
        <w:t xml:space="preserve">the </w:t>
      </w:r>
      <w:r w:rsidRPr="000B3091">
        <w:t xml:space="preserve">surplus </w:t>
      </w:r>
      <w:r>
        <w:t xml:space="preserve">of the Madrid Union’s income over expenditure </w:t>
      </w:r>
      <w:r w:rsidRPr="000B3091">
        <w:t>is distributed to Mem</w:t>
      </w:r>
      <w:r w:rsidRPr="0057133D">
        <w:t>ber States.  The requirements set out under Article 8(4) of the Madrid Agreement and Protocol in respect of the distribution of the Madrid Union Surpluses specifically state that: ”</w:t>
      </w:r>
      <w:r w:rsidRPr="00F1074E">
        <w:rPr>
          <w:lang w:val="en"/>
        </w:rPr>
        <w:t xml:space="preserve">The annual product of the various receipts from international registration, with the exception of the receipts derived from the fees mentioned in </w:t>
      </w:r>
      <w:hyperlink r:id="rId13" w:anchor="P122_23223#P122_23223" w:history="1">
        <w:r w:rsidRPr="00F1074E">
          <w:rPr>
            <w:rStyle w:val="Hyperlink"/>
            <w:lang w:val="en"/>
          </w:rPr>
          <w:t>paragraph (2)(ii)</w:t>
        </w:r>
      </w:hyperlink>
      <w:r w:rsidRPr="00F1074E">
        <w:rPr>
          <w:lang w:val="en"/>
        </w:rPr>
        <w:t xml:space="preserve"> and </w:t>
      </w:r>
      <w:hyperlink r:id="rId14" w:anchor="P123_23385#P123_23385" w:history="1">
        <w:r w:rsidRPr="00F1074E">
          <w:rPr>
            <w:rStyle w:val="Hyperlink"/>
            <w:lang w:val="en"/>
          </w:rPr>
          <w:t>(iii)</w:t>
        </w:r>
      </w:hyperlink>
      <w:r w:rsidRPr="00F1074E">
        <w:rPr>
          <w:lang w:val="en"/>
        </w:rPr>
        <w:t>, shall be divided equally among the Contracting Parties by the International Bureau, after deduction of the expenses and charges necessitated by the implementation of this Protocol.”</w:t>
      </w:r>
    </w:p>
    <w:p w:rsidR="00F1074E" w:rsidRPr="00F1074E" w:rsidRDefault="00F1074E" w:rsidP="007E3FFD">
      <w:pPr>
        <w:pStyle w:val="ListParagraph"/>
        <w:tabs>
          <w:tab w:val="left" w:pos="1134"/>
          <w:tab w:val="left" w:pos="3060"/>
        </w:tabs>
        <w:spacing w:after="120"/>
        <w:ind w:left="1287"/>
        <w:rPr>
          <w:bCs/>
          <w:lang w:val="en"/>
        </w:rPr>
      </w:pPr>
    </w:p>
    <w:p w:rsidR="00C3714C" w:rsidRDefault="00C3714C" w:rsidP="007E3FFD">
      <w:pPr>
        <w:pStyle w:val="ListParagraph"/>
        <w:numPr>
          <w:ilvl w:val="0"/>
          <w:numId w:val="27"/>
        </w:numPr>
        <w:tabs>
          <w:tab w:val="left" w:pos="1134"/>
          <w:tab w:val="left" w:pos="3060"/>
        </w:tabs>
        <w:spacing w:after="120"/>
        <w:ind w:left="1134" w:hanging="567"/>
        <w:rPr>
          <w:bCs/>
          <w:lang w:val="en"/>
        </w:rPr>
      </w:pPr>
      <w:r w:rsidRPr="00F1074E">
        <w:rPr>
          <w:bCs/>
          <w:lang w:val="en"/>
        </w:rPr>
        <w:t>Accordingly, while the surplus generated under all other Unions will automatically be retained as part of the Organization’s RWCF, the surplus related to the Madrid Union is paid out to Member States unless they otherwise decide.</w:t>
      </w:r>
    </w:p>
    <w:p w:rsidR="00F1074E" w:rsidRPr="00F1074E" w:rsidRDefault="00F1074E" w:rsidP="007E3FFD">
      <w:pPr>
        <w:pStyle w:val="ListParagraph"/>
        <w:tabs>
          <w:tab w:val="left" w:pos="1134"/>
          <w:tab w:val="left" w:pos="3060"/>
        </w:tabs>
        <w:spacing w:after="120"/>
        <w:ind w:left="1287"/>
        <w:rPr>
          <w:bCs/>
          <w:lang w:val="en"/>
        </w:rPr>
      </w:pPr>
    </w:p>
    <w:p w:rsidR="00C3714C" w:rsidRPr="00F1074E" w:rsidRDefault="00C3714C" w:rsidP="007E3FFD">
      <w:pPr>
        <w:pStyle w:val="ListParagraph"/>
        <w:numPr>
          <w:ilvl w:val="0"/>
          <w:numId w:val="27"/>
        </w:numPr>
        <w:tabs>
          <w:tab w:val="left" w:pos="1134"/>
          <w:tab w:val="left" w:pos="3060"/>
        </w:tabs>
        <w:spacing w:after="120"/>
        <w:ind w:left="1134" w:hanging="567"/>
      </w:pPr>
      <w:r w:rsidRPr="00F1074E">
        <w:rPr>
          <w:bCs/>
        </w:rPr>
        <w:t>If, after the closure of the financial period, any Union shows a deficit, not coverable out of reserve funds, the General Assembly of WIPO or the Assemblies of the interested Unions, as the case may be, shall decide upon measures to redress the financial situation (</w:t>
      </w:r>
      <w:r w:rsidRPr="00F1074E">
        <w:rPr>
          <w:bCs/>
          <w:i/>
        </w:rPr>
        <w:t>Regulation 4.8</w:t>
      </w:r>
      <w:r w:rsidRPr="00F1074E">
        <w:rPr>
          <w:bCs/>
        </w:rPr>
        <w:t>)</w:t>
      </w:r>
      <w:r w:rsidR="007E3FFD">
        <w:rPr>
          <w:bCs/>
        </w:rPr>
        <w:t xml:space="preserve">. </w:t>
      </w:r>
    </w:p>
    <w:p w:rsidR="00F1074E" w:rsidRDefault="00F1074E" w:rsidP="007E3FFD">
      <w:pPr>
        <w:pStyle w:val="ListParagraph"/>
      </w:pPr>
    </w:p>
    <w:p w:rsidR="00C3714C" w:rsidRPr="00B40A5D" w:rsidRDefault="00C3714C" w:rsidP="007E3FFD">
      <w:pPr>
        <w:pStyle w:val="ListParagraph"/>
        <w:numPr>
          <w:ilvl w:val="0"/>
          <w:numId w:val="27"/>
        </w:numPr>
        <w:tabs>
          <w:tab w:val="left" w:pos="1134"/>
          <w:tab w:val="left" w:pos="3060"/>
        </w:tabs>
        <w:ind w:left="1134" w:hanging="567"/>
      </w:pPr>
      <w:r w:rsidRPr="00402C82">
        <w:t xml:space="preserve">The </w:t>
      </w:r>
      <w:r w:rsidRPr="00F1074E">
        <w:rPr>
          <w:b/>
        </w:rPr>
        <w:t>working capital funds</w:t>
      </w:r>
      <w:r w:rsidRPr="00402C82">
        <w:t xml:space="preserve"> of the Organization and of the Paris, Berne, Madrid, Hague, IPC, Nice, PCT, Lisbon, Locarno and Vienna Unions shall be established in amounts to be determined by the Assemblies of the Member States and of the Unions, each as far as it is concerned. </w:t>
      </w:r>
      <w:r w:rsidRPr="00F1074E">
        <w:rPr>
          <w:i/>
        </w:rPr>
        <w:t>(</w:t>
      </w:r>
      <w:r w:rsidR="007E3FFD">
        <w:rPr>
          <w:bCs/>
          <w:i/>
        </w:rPr>
        <w:t>Regulation 4.2</w:t>
      </w:r>
      <w:r w:rsidRPr="00F1074E">
        <w:rPr>
          <w:bCs/>
          <w:i/>
        </w:rPr>
        <w:t>)</w:t>
      </w:r>
      <w:r w:rsidR="007E3FFD">
        <w:rPr>
          <w:bCs/>
          <w:i/>
        </w:rPr>
        <w:t xml:space="preserve">. </w:t>
      </w:r>
    </w:p>
    <w:p w:rsidR="00C3714C" w:rsidRDefault="00C3714C" w:rsidP="007E3FFD">
      <w:pPr>
        <w:rPr>
          <w:bCs/>
          <w:i/>
        </w:rPr>
      </w:pPr>
    </w:p>
    <w:p w:rsidR="00CD20B0" w:rsidRDefault="00CD20B0" w:rsidP="007E3FFD">
      <w:pPr>
        <w:rPr>
          <w:bCs/>
          <w:i/>
        </w:rPr>
      </w:pPr>
    </w:p>
    <w:p w:rsidR="00C3714C" w:rsidRDefault="00C3714C" w:rsidP="007E3FFD">
      <w:pPr>
        <w:keepNext/>
        <w:tabs>
          <w:tab w:val="left" w:pos="567"/>
        </w:tabs>
        <w:rPr>
          <w:b/>
        </w:rPr>
      </w:pPr>
      <w:r>
        <w:rPr>
          <w:b/>
        </w:rPr>
        <w:t>II.</w:t>
      </w:r>
      <w:r>
        <w:rPr>
          <w:b/>
        </w:rPr>
        <w:tab/>
      </w:r>
      <w:r w:rsidRPr="00EE65A3">
        <w:rPr>
          <w:b/>
        </w:rPr>
        <w:t>WIPO’S POLICY</w:t>
      </w:r>
      <w:r>
        <w:rPr>
          <w:b/>
        </w:rPr>
        <w:t xml:space="preserve"> ON RESERVES</w:t>
      </w:r>
    </w:p>
    <w:p w:rsidR="00C3714C" w:rsidRDefault="00C3714C" w:rsidP="007E3FFD">
      <w:pPr>
        <w:keepNext/>
      </w:pPr>
    </w:p>
    <w:p w:rsidR="00C3714C" w:rsidRPr="00C948D8" w:rsidRDefault="00C3714C" w:rsidP="007E3FFD">
      <w:pPr>
        <w:pStyle w:val="ListParagraph"/>
        <w:numPr>
          <w:ilvl w:val="0"/>
          <w:numId w:val="19"/>
        </w:numPr>
        <w:tabs>
          <w:tab w:val="left" w:pos="567"/>
        </w:tabs>
        <w:ind w:left="0" w:right="-1" w:firstLine="0"/>
      </w:pPr>
      <w:r>
        <w:t xml:space="preserve">In addition to the above, which provides a clear definition of the Organization’s RWCF, WIPO had an explicit Policy on Reserves in place, adopted by </w:t>
      </w:r>
      <w:r w:rsidRPr="00D239A7">
        <w:t>Member States in the year 2000</w:t>
      </w:r>
      <w:r>
        <w:t xml:space="preserve"> </w:t>
      </w:r>
      <w:r w:rsidRPr="00D239A7">
        <w:t>(</w:t>
      </w:r>
      <w:r>
        <w:t xml:space="preserve">please refer to document </w:t>
      </w:r>
      <w:r w:rsidRPr="00D239A7">
        <w:t>A/35/15</w:t>
      </w:r>
      <w:r>
        <w:t xml:space="preserve"> and </w:t>
      </w:r>
      <w:r w:rsidRPr="00D239A7">
        <w:t>A/35/6</w:t>
      </w:r>
      <w:r>
        <w:t>), which set out the level of required RWCF for the Organization, together with a number of other core policy considerations.  While this policy remained valid and formed a solid and relevant basis for the effective financial management of the Organization, the 22</w:t>
      </w:r>
      <w:r w:rsidRPr="00B40A5D">
        <w:rPr>
          <w:vertAlign w:val="superscript"/>
        </w:rPr>
        <w:t>nd</w:t>
      </w:r>
      <w:r>
        <w:t xml:space="preserve"> session of the Program and Budget Committee</w:t>
      </w:r>
      <w:r w:rsidR="007E3FFD">
        <w:t xml:space="preserve"> (PBC)</w:t>
      </w:r>
      <w:r>
        <w:t>, held in September 2014, reviewed WIPO’s Financial Situation and its Policies related to Reserves and requested the Secretariat to submit to the PBC a comprehensive policy proposal on the reserves that includes target setting, liquidity considerations and the management, use and reporting of the available surpluses above the target level, taking into consideration the Member States</w:t>
      </w:r>
      <w:r w:rsidR="00B02EDD">
        <w:t>’</w:t>
      </w:r>
      <w:r>
        <w:t xml:space="preserve"> guidance and the recommendations of the Audit and Oversight bodies.</w:t>
      </w:r>
      <w:r w:rsidRPr="009B17BA">
        <w:rPr>
          <w:bCs/>
          <w:lang w:val="en"/>
        </w:rPr>
        <w:t xml:space="preserve"> </w:t>
      </w:r>
      <w:r>
        <w:rPr>
          <w:bCs/>
          <w:lang w:val="en"/>
        </w:rPr>
        <w:t>The preparation of this document has been based on the discussions held with the Member States during the</w:t>
      </w:r>
      <w:r w:rsidR="00B02EDD">
        <w:rPr>
          <w:bCs/>
          <w:lang w:val="en"/>
        </w:rPr>
        <w:t> </w:t>
      </w:r>
      <w:r>
        <w:rPr>
          <w:bCs/>
          <w:lang w:val="en"/>
        </w:rPr>
        <w:t>22</w:t>
      </w:r>
      <w:r w:rsidRPr="00F24AE5">
        <w:rPr>
          <w:bCs/>
          <w:vertAlign w:val="superscript"/>
          <w:lang w:val="en"/>
        </w:rPr>
        <w:t>nd</w:t>
      </w:r>
      <w:r>
        <w:rPr>
          <w:bCs/>
          <w:lang w:val="en"/>
        </w:rPr>
        <w:t xml:space="preserve"> session of the PBC on the basis of document WO/PBC/22/28.</w:t>
      </w:r>
    </w:p>
    <w:p w:rsidR="00C948D8" w:rsidRDefault="00C948D8" w:rsidP="007E3FFD">
      <w:pPr>
        <w:pStyle w:val="ListParagraph"/>
        <w:tabs>
          <w:tab w:val="left" w:pos="567"/>
        </w:tabs>
        <w:ind w:left="0" w:right="-1"/>
      </w:pPr>
    </w:p>
    <w:p w:rsidR="00C3714C" w:rsidRDefault="00C3714C" w:rsidP="007E3FFD">
      <w:pPr>
        <w:pStyle w:val="ListParagraph"/>
        <w:numPr>
          <w:ilvl w:val="0"/>
          <w:numId w:val="19"/>
        </w:numPr>
        <w:tabs>
          <w:tab w:val="left" w:pos="567"/>
        </w:tabs>
        <w:ind w:left="0" w:right="-1" w:firstLine="0"/>
      </w:pPr>
      <w:r>
        <w:t xml:space="preserve">The core elements of the Revised Policy on Reserves, which are further elaborated below, are the </w:t>
      </w:r>
      <w:r w:rsidRPr="00D239A7">
        <w:t>following</w:t>
      </w:r>
      <w:r>
        <w:t>.</w:t>
      </w:r>
    </w:p>
    <w:p w:rsidR="00F1074E" w:rsidRDefault="00F1074E" w:rsidP="007E3FFD">
      <w:pPr>
        <w:tabs>
          <w:tab w:val="left" w:pos="1134"/>
        </w:tabs>
        <w:spacing w:after="120"/>
        <w:ind w:left="567"/>
      </w:pPr>
    </w:p>
    <w:p w:rsidR="00C3714C" w:rsidRDefault="00C3714C" w:rsidP="007E3FFD">
      <w:pPr>
        <w:pStyle w:val="ListParagraph"/>
        <w:numPr>
          <w:ilvl w:val="0"/>
          <w:numId w:val="36"/>
        </w:numPr>
        <w:tabs>
          <w:tab w:val="left" w:pos="1134"/>
          <w:tab w:val="left" w:pos="3060"/>
        </w:tabs>
        <w:spacing w:after="120"/>
        <w:ind w:left="1134" w:hanging="567"/>
      </w:pPr>
      <w:r w:rsidRPr="00433132">
        <w:t xml:space="preserve">WIPO maintains a clear separation between the </w:t>
      </w:r>
      <w:r w:rsidR="00615B12">
        <w:t xml:space="preserve">reserves and the working capital components of the </w:t>
      </w:r>
      <w:r w:rsidRPr="00433132">
        <w:t>R</w:t>
      </w:r>
      <w:r w:rsidR="007E3FFD">
        <w:t>WCF</w:t>
      </w:r>
      <w:r w:rsidRPr="00433132">
        <w:t xml:space="preserve"> in accounting terms</w:t>
      </w:r>
      <w:r>
        <w:t xml:space="preserve">, while preserving the ownership </w:t>
      </w:r>
      <w:r w:rsidRPr="00DC3D74">
        <w:t>arrangements for the working capital funds;</w:t>
      </w:r>
    </w:p>
    <w:p w:rsidR="00F1074E" w:rsidRPr="00DC3D74" w:rsidRDefault="00F1074E" w:rsidP="007E3FFD">
      <w:pPr>
        <w:pStyle w:val="ListParagraph"/>
        <w:tabs>
          <w:tab w:val="left" w:pos="1134"/>
        </w:tabs>
        <w:spacing w:after="120"/>
        <w:ind w:left="1287"/>
      </w:pPr>
    </w:p>
    <w:p w:rsidR="00F1074E" w:rsidRDefault="00C3714C" w:rsidP="007E3FFD">
      <w:pPr>
        <w:pStyle w:val="ListParagraph"/>
        <w:numPr>
          <w:ilvl w:val="0"/>
          <w:numId w:val="36"/>
        </w:numPr>
        <w:tabs>
          <w:tab w:val="left" w:pos="1134"/>
          <w:tab w:val="left" w:pos="3060"/>
        </w:tabs>
        <w:spacing w:after="120"/>
        <w:ind w:left="1134" w:hanging="567"/>
      </w:pPr>
      <w:r w:rsidRPr="00DC3D74">
        <w:t xml:space="preserve">The </w:t>
      </w:r>
      <w:r>
        <w:t xml:space="preserve">target </w:t>
      </w:r>
      <w:r w:rsidRPr="00DC3D74">
        <w:t>level of Reserves, including Working Capital Funds, are defined at the level of Unions, on the basis of percentages of estimated biennial expenditure (“PBE factor”) for each Union</w:t>
      </w:r>
      <w:r>
        <w:t>, and presented</w:t>
      </w:r>
      <w:r w:rsidRPr="00DC3D74">
        <w:t xml:space="preserve"> within the context of the Organization’s budgetary process</w:t>
      </w:r>
      <w:r>
        <w:t xml:space="preserve">; </w:t>
      </w:r>
    </w:p>
    <w:p w:rsidR="00F1074E" w:rsidRDefault="00F1074E" w:rsidP="007E3FFD">
      <w:pPr>
        <w:pStyle w:val="ListParagraph"/>
      </w:pPr>
    </w:p>
    <w:p w:rsidR="00C3714C" w:rsidRDefault="00C3714C" w:rsidP="007E3FFD">
      <w:pPr>
        <w:pStyle w:val="ListParagraph"/>
        <w:numPr>
          <w:ilvl w:val="0"/>
          <w:numId w:val="36"/>
        </w:numPr>
        <w:tabs>
          <w:tab w:val="left" w:pos="1134"/>
          <w:tab w:val="left" w:pos="3060"/>
        </w:tabs>
        <w:spacing w:after="120"/>
        <w:ind w:left="1134" w:hanging="567"/>
      </w:pPr>
      <w:r>
        <w:t>The target level of Reserves, including Working Capital Funds will be held to the extent possible in cash or in investments that can be liquidated in the short term</w:t>
      </w:r>
      <w:r w:rsidR="00F1074E">
        <w:t>,</w:t>
      </w:r>
      <w:r>
        <w:t xml:space="preserve"> at low</w:t>
      </w:r>
      <w:r w:rsidR="00B82951">
        <w:t xml:space="preserve"> or no</w:t>
      </w:r>
      <w:r>
        <w:t xml:space="preserve"> cost</w:t>
      </w:r>
      <w:r w:rsidR="00F1074E">
        <w:t>,</w:t>
      </w:r>
      <w:r>
        <w:t xml:space="preserve"> and </w:t>
      </w:r>
      <w:r w:rsidR="00F1074E">
        <w:t xml:space="preserve">which are </w:t>
      </w:r>
      <w:r>
        <w:t>in accordance with the</w:t>
      </w:r>
      <w:r w:rsidR="00F1074E">
        <w:t xml:space="preserve"> investment policy in force;</w:t>
      </w:r>
      <w:r>
        <w:t xml:space="preserve"> </w:t>
      </w:r>
    </w:p>
    <w:p w:rsidR="00F1074E" w:rsidRDefault="00F1074E" w:rsidP="007E3FFD">
      <w:pPr>
        <w:pStyle w:val="ListParagraph"/>
        <w:tabs>
          <w:tab w:val="left" w:pos="1134"/>
        </w:tabs>
        <w:spacing w:after="120"/>
        <w:ind w:left="1287"/>
      </w:pPr>
    </w:p>
    <w:p w:rsidR="00C3714C" w:rsidRDefault="00C3714C" w:rsidP="007E3FFD">
      <w:pPr>
        <w:pStyle w:val="ListParagraph"/>
        <w:numPr>
          <w:ilvl w:val="0"/>
          <w:numId w:val="36"/>
        </w:numPr>
        <w:tabs>
          <w:tab w:val="left" w:pos="1134"/>
          <w:tab w:val="left" w:pos="3060"/>
        </w:tabs>
        <w:spacing w:after="120"/>
        <w:ind w:left="1134" w:hanging="567"/>
      </w:pPr>
      <w:r w:rsidRPr="00DC3D74">
        <w:t xml:space="preserve">The </w:t>
      </w:r>
      <w:r w:rsidR="00F1074E">
        <w:t xml:space="preserve">Member States and the Director General </w:t>
      </w:r>
      <w:r>
        <w:t>may</w:t>
      </w:r>
      <w:r w:rsidRPr="006B0D05">
        <w:t xml:space="preserve"> propose for approval project activitie</w:t>
      </w:r>
      <w:r>
        <w:t>s funded from available surpluses. The calculation of available surpluses will exclude the amounts of the Revaluation Reserve Surplus (which results from the revaluation of the land on which the new building has been constructed) and of the Working Capital Funds (which have been established through member State contributions by decisions of the Assemblies of the Unions and which are funds held in trust by WIPO).</w:t>
      </w:r>
    </w:p>
    <w:p w:rsidR="00F1074E" w:rsidRDefault="00F1074E" w:rsidP="007E3FFD">
      <w:pPr>
        <w:pStyle w:val="ListParagraph"/>
        <w:tabs>
          <w:tab w:val="left" w:pos="1134"/>
        </w:tabs>
        <w:spacing w:after="120"/>
        <w:ind w:left="1287"/>
      </w:pPr>
    </w:p>
    <w:p w:rsidR="00C3714C" w:rsidRPr="00254894" w:rsidRDefault="00C3714C" w:rsidP="007E3FFD">
      <w:pPr>
        <w:pStyle w:val="ListParagraph"/>
        <w:numPr>
          <w:ilvl w:val="0"/>
          <w:numId w:val="19"/>
        </w:numPr>
        <w:tabs>
          <w:tab w:val="left" w:pos="567"/>
        </w:tabs>
        <w:ind w:left="0" w:right="-1" w:firstLine="0"/>
      </w:pPr>
      <w:r>
        <w:t>The following section addresses each of the core elements of the Revised Policy on Reserves in further detail.</w:t>
      </w:r>
    </w:p>
    <w:p w:rsidR="00C3714C" w:rsidRDefault="00C3714C" w:rsidP="007E3FFD"/>
    <w:p w:rsidR="00CD20B0" w:rsidRDefault="00CD20B0" w:rsidP="007E3FFD"/>
    <w:p w:rsidR="00C3714C" w:rsidRDefault="00C948D8" w:rsidP="00D3650E">
      <w:pPr>
        <w:keepNext/>
        <w:keepLines/>
        <w:tabs>
          <w:tab w:val="left" w:pos="851"/>
        </w:tabs>
        <w:rPr>
          <w:b/>
        </w:rPr>
      </w:pPr>
      <w:r>
        <w:rPr>
          <w:b/>
        </w:rPr>
        <w:lastRenderedPageBreak/>
        <w:t xml:space="preserve">II. </w:t>
      </w:r>
      <w:r w:rsidR="00C3714C">
        <w:rPr>
          <w:b/>
        </w:rPr>
        <w:t>(A)</w:t>
      </w:r>
      <w:r w:rsidR="00C3714C">
        <w:rPr>
          <w:b/>
        </w:rPr>
        <w:tab/>
        <w:t xml:space="preserve">Separation of the </w:t>
      </w:r>
      <w:r w:rsidR="00C3714C" w:rsidRPr="00197B66">
        <w:rPr>
          <w:b/>
        </w:rPr>
        <w:t>Working Capital Funds</w:t>
      </w:r>
    </w:p>
    <w:p w:rsidR="00C3714C" w:rsidRPr="00197B66" w:rsidRDefault="00C3714C" w:rsidP="00D3650E">
      <w:pPr>
        <w:keepNext/>
        <w:keepLines/>
        <w:rPr>
          <w:b/>
        </w:rPr>
      </w:pPr>
    </w:p>
    <w:p w:rsidR="00C3714C" w:rsidRPr="008E7F90" w:rsidRDefault="00C3714C" w:rsidP="00D3650E">
      <w:pPr>
        <w:pStyle w:val="ListParagraph"/>
        <w:keepNext/>
        <w:keepLines/>
        <w:numPr>
          <w:ilvl w:val="0"/>
          <w:numId w:val="19"/>
        </w:numPr>
        <w:tabs>
          <w:tab w:val="left" w:pos="567"/>
        </w:tabs>
        <w:ind w:left="0" w:right="-1" w:firstLine="0"/>
      </w:pPr>
      <w:r w:rsidRPr="00FF69B4">
        <w:t xml:space="preserve">As noted above, the concept of </w:t>
      </w:r>
      <w:r>
        <w:t xml:space="preserve">RWCF was </w:t>
      </w:r>
      <w:r w:rsidRPr="00FF69B4">
        <w:t>introduced while maintaining the separation between reserve funds and working capital funds</w:t>
      </w:r>
      <w:r>
        <w:t xml:space="preserve"> in accounting and reporting terms</w:t>
      </w:r>
      <w:r w:rsidRPr="00FF69B4">
        <w:t xml:space="preserve">.  </w:t>
      </w:r>
      <w:r>
        <w:t>Accordingly, th</w:t>
      </w:r>
      <w:r w:rsidRPr="00FF69B4">
        <w:t>e arrangement</w:t>
      </w:r>
      <w:r>
        <w:t>s</w:t>
      </w:r>
      <w:r w:rsidRPr="00FF69B4">
        <w:t xml:space="preserve"> for the working capital funds</w:t>
      </w:r>
      <w:r>
        <w:t xml:space="preserve"> continue to be that</w:t>
      </w:r>
      <w:r w:rsidRPr="00FF69B4">
        <w:t xml:space="preserve"> the contribution</w:t>
      </w:r>
      <w:r>
        <w:t>s</w:t>
      </w:r>
      <w:r w:rsidR="00E96C8A">
        <w:t>,</w:t>
      </w:r>
      <w:r w:rsidRPr="00FF69B4">
        <w:t xml:space="preserve"> through which working capital funds are financed</w:t>
      </w:r>
      <w:r w:rsidR="00E96C8A">
        <w:t>,</w:t>
      </w:r>
      <w:r w:rsidRPr="00FF69B4">
        <w:t xml:space="preserve"> </w:t>
      </w:r>
      <w:r>
        <w:t>are</w:t>
      </w:r>
      <w:r w:rsidRPr="00FF69B4">
        <w:t xml:space="preserve"> held in trust by WIPO for the Member States of the respective Unions.  </w:t>
      </w:r>
      <w:r>
        <w:t xml:space="preserve">The level of </w:t>
      </w:r>
      <w:r w:rsidR="00E96C8A">
        <w:t xml:space="preserve">the </w:t>
      </w:r>
      <w:r w:rsidR="00B02EDD">
        <w:t>Working Capital F</w:t>
      </w:r>
      <w:r>
        <w:t xml:space="preserve">unds is established by the individual treaty agreements of the respective unions concerned.  </w:t>
      </w:r>
      <w:r w:rsidR="00E96C8A">
        <w:t xml:space="preserve">The amount of Working Capital Funds has remained static since 1990.  </w:t>
      </w:r>
      <w:r w:rsidRPr="00FF69B4">
        <w:t xml:space="preserve">Adjustments in the </w:t>
      </w:r>
      <w:r>
        <w:t xml:space="preserve">overall </w:t>
      </w:r>
      <w:r w:rsidRPr="00FF69B4">
        <w:t>level of</w:t>
      </w:r>
      <w:r>
        <w:t xml:space="preserve"> the</w:t>
      </w:r>
      <w:r w:rsidRPr="00FF69B4">
        <w:t xml:space="preserve"> RWC</w:t>
      </w:r>
      <w:r>
        <w:t xml:space="preserve">F are accordingly </w:t>
      </w:r>
      <w:r w:rsidRPr="00FF69B4">
        <w:t>introduced by amending the level of the reserve funds only</w:t>
      </w:r>
      <w:r>
        <w:t xml:space="preserve">, without any adjustment to </w:t>
      </w:r>
      <w:r w:rsidR="00B02EDD">
        <w:t>the level of W</w:t>
      </w:r>
      <w:r w:rsidRPr="00FF69B4">
        <w:t xml:space="preserve">orking </w:t>
      </w:r>
      <w:r w:rsidR="00B02EDD">
        <w:t>C</w:t>
      </w:r>
      <w:r w:rsidRPr="00FF69B4">
        <w:t xml:space="preserve">apital </w:t>
      </w:r>
      <w:r w:rsidR="00B02EDD">
        <w:t>F</w:t>
      </w:r>
      <w:r w:rsidRPr="00FF69B4">
        <w:t>und</w:t>
      </w:r>
      <w:r>
        <w:t>s</w:t>
      </w:r>
      <w:r w:rsidRPr="00FF69B4">
        <w:t>.</w:t>
      </w:r>
      <w:r>
        <w:t xml:space="preserve">  At the time of their approval of the Policy on Reserves in 2000, Member States had also agreed to the consolidation of the presentation of the working capital funds for the Contribution-</w:t>
      </w:r>
      <w:r w:rsidR="0077582D">
        <w:t>f</w:t>
      </w:r>
      <w:r>
        <w:t xml:space="preserve">inanced Unions. </w:t>
      </w:r>
      <w:r w:rsidR="00EE6A68">
        <w:t xml:space="preserve"> </w:t>
      </w:r>
      <w:r>
        <w:t xml:space="preserve">This is reflected in the </w:t>
      </w:r>
      <w:r w:rsidR="00B02EDD">
        <w:t>Financial Statements</w:t>
      </w:r>
      <w:r w:rsidR="00C4154F">
        <w:t xml:space="preserve"> and in the Financial Management Report (FMR).</w:t>
      </w:r>
    </w:p>
    <w:p w:rsidR="00C948D8" w:rsidRDefault="00C948D8" w:rsidP="007E3FFD">
      <w:pPr>
        <w:rPr>
          <w:b/>
        </w:rPr>
      </w:pPr>
    </w:p>
    <w:p w:rsidR="00CD20B0" w:rsidRDefault="00CD20B0" w:rsidP="007E3FFD">
      <w:pPr>
        <w:rPr>
          <w:b/>
        </w:rPr>
      </w:pPr>
    </w:p>
    <w:p w:rsidR="00C3714C" w:rsidRDefault="00C948D8" w:rsidP="007E3FFD">
      <w:pPr>
        <w:rPr>
          <w:b/>
        </w:rPr>
      </w:pPr>
      <w:r>
        <w:rPr>
          <w:b/>
        </w:rPr>
        <w:t xml:space="preserve">II. </w:t>
      </w:r>
      <w:r w:rsidR="00C3714C">
        <w:rPr>
          <w:b/>
        </w:rPr>
        <w:t>(B)</w:t>
      </w:r>
      <w:r w:rsidR="00C3714C">
        <w:rPr>
          <w:b/>
        </w:rPr>
        <w:tab/>
        <w:t>Setting the Required (Target) Level of Reserves</w:t>
      </w:r>
    </w:p>
    <w:p w:rsidR="00C3714C" w:rsidRPr="00197B66" w:rsidRDefault="00C3714C" w:rsidP="007E3FFD">
      <w:pPr>
        <w:tabs>
          <w:tab w:val="left" w:pos="2970"/>
        </w:tabs>
        <w:rPr>
          <w:b/>
        </w:rPr>
      </w:pPr>
    </w:p>
    <w:p w:rsidR="00C3714C" w:rsidRDefault="00C3714C" w:rsidP="007E3FFD">
      <w:pPr>
        <w:pStyle w:val="ListParagraph"/>
        <w:numPr>
          <w:ilvl w:val="0"/>
          <w:numId w:val="19"/>
        </w:numPr>
        <w:tabs>
          <w:tab w:val="left" w:pos="567"/>
        </w:tabs>
        <w:ind w:left="0" w:right="-1" w:firstLine="0"/>
      </w:pPr>
      <w:r w:rsidRPr="00DC3D74">
        <w:t xml:space="preserve">The </w:t>
      </w:r>
      <w:r w:rsidR="007E3FFD">
        <w:t>RWCF</w:t>
      </w:r>
      <w:r w:rsidRPr="00DC3D74">
        <w:t xml:space="preserve"> </w:t>
      </w:r>
      <w:r>
        <w:t xml:space="preserve">serve to </w:t>
      </w:r>
      <w:r w:rsidRPr="00DC3D74">
        <w:t xml:space="preserve">minimize </w:t>
      </w:r>
      <w:r>
        <w:t>the risk of deficits or liquidity problems exercising a</w:t>
      </w:r>
      <w:r w:rsidRPr="00DC3D74">
        <w:t xml:space="preserve"> negative effect on program delivery,</w:t>
      </w:r>
      <w:r>
        <w:t xml:space="preserve"> to maximize the probability</w:t>
      </w:r>
      <w:r w:rsidRPr="00DC3D74">
        <w:t xml:space="preserve"> that the Organization can meet its obligations and to </w:t>
      </w:r>
      <w:r>
        <w:t xml:space="preserve">provide financial stability.  The </w:t>
      </w:r>
      <w:r w:rsidRPr="00DC3D74">
        <w:t>issue of financial risk can be elaborated further by distinguishing between income-related and expenditure-related risks.  Income-related risks include the non-payment of contributions, lower than anticipated fee</w:t>
      </w:r>
      <w:r>
        <w:t xml:space="preserve"> </w:t>
      </w:r>
      <w:r w:rsidRPr="00DC3D74">
        <w:t xml:space="preserve">income or exchange rate fluctuations.  Expenditure-related risks include, for example, vendor bankruptcy prior to completion of delivery.  </w:t>
      </w:r>
    </w:p>
    <w:p w:rsidR="00C948D8" w:rsidRDefault="00C948D8" w:rsidP="007E3FFD">
      <w:pPr>
        <w:pStyle w:val="ListParagraph"/>
        <w:tabs>
          <w:tab w:val="left" w:pos="567"/>
        </w:tabs>
        <w:ind w:left="0" w:right="-1"/>
      </w:pPr>
    </w:p>
    <w:p w:rsidR="00C3714C" w:rsidRDefault="00C3714C" w:rsidP="007E3FFD">
      <w:pPr>
        <w:pStyle w:val="ListParagraph"/>
        <w:numPr>
          <w:ilvl w:val="0"/>
          <w:numId w:val="19"/>
        </w:numPr>
        <w:tabs>
          <w:tab w:val="left" w:pos="567"/>
        </w:tabs>
        <w:ind w:left="0" w:right="-1" w:firstLine="0"/>
      </w:pPr>
      <w:r>
        <w:t>WIPO is primarily a fee-funded Organization deriving nearly 95 per</w:t>
      </w:r>
      <w:r w:rsidR="00C948D8">
        <w:t xml:space="preserve"> </w:t>
      </w:r>
      <w:r>
        <w:t>cent of its income from fees for services.  T</w:t>
      </w:r>
      <w:r w:rsidRPr="00DC3D74">
        <w:t xml:space="preserve">he most significant risk faced by WIPO is </w:t>
      </w:r>
      <w:r>
        <w:t xml:space="preserve">therefore </w:t>
      </w:r>
      <w:r w:rsidRPr="00DC3D74">
        <w:t xml:space="preserve">income-related.  Essentially, this is the risk that the income which is estimated to be secured during the biennium and which is required to fund the proposed biennial expenditure does not materialize.  The proposed biennial expenditure is therefore a good and direct indicator for risk assessment.  Hence, </w:t>
      </w:r>
      <w:r>
        <w:t>WIPO’s Policy on Reserves expresses</w:t>
      </w:r>
      <w:r w:rsidRPr="00DC3D74">
        <w:t xml:space="preserve"> the protection provided by the total amount of RWC</w:t>
      </w:r>
      <w:r w:rsidR="007E3FFD">
        <w:t xml:space="preserve">F </w:t>
      </w:r>
      <w:r w:rsidRPr="00DC3D74">
        <w:t xml:space="preserve">as a percentage of the estimated biennial expenditure (PBE factor):  the higher the PBE factor, the higher the protection.  The PBE factor provides an indication of how long the operation could be funded by drawing exclusively on the </w:t>
      </w:r>
      <w:r w:rsidR="00E96C8A">
        <w:t>Reserve</w:t>
      </w:r>
      <w:r w:rsidRPr="00DC3D74">
        <w:t xml:space="preserve"> funds.  </w:t>
      </w:r>
      <w:r>
        <w:t>For example, a factor of 50</w:t>
      </w:r>
      <w:r w:rsidR="007E3FFD">
        <w:t xml:space="preserve"> per cent</w:t>
      </w:r>
      <w:r w:rsidRPr="00DC3D74">
        <w:t xml:space="preserve"> would indicate funding for 1</w:t>
      </w:r>
      <w:r>
        <w:t>2</w:t>
      </w:r>
      <w:r w:rsidR="007E3FFD">
        <w:t> </w:t>
      </w:r>
      <w:r>
        <w:t>months and a factor of 25</w:t>
      </w:r>
      <w:r w:rsidR="007E3FFD">
        <w:t xml:space="preserve"> per cent</w:t>
      </w:r>
      <w:r w:rsidRPr="00DC3D74">
        <w:t>, funding for six months.</w:t>
      </w:r>
      <w:r>
        <w:t xml:space="preserve">  </w:t>
      </w:r>
    </w:p>
    <w:p w:rsidR="00C948D8" w:rsidRDefault="00C948D8" w:rsidP="007E3FFD">
      <w:pPr>
        <w:pStyle w:val="ListParagraph"/>
        <w:tabs>
          <w:tab w:val="left" w:pos="567"/>
        </w:tabs>
        <w:ind w:left="0" w:right="-1"/>
      </w:pPr>
    </w:p>
    <w:p w:rsidR="00C3714C" w:rsidRDefault="00C3714C" w:rsidP="007E3FFD">
      <w:pPr>
        <w:pStyle w:val="ListParagraph"/>
        <w:numPr>
          <w:ilvl w:val="0"/>
          <w:numId w:val="19"/>
        </w:numPr>
        <w:tabs>
          <w:tab w:val="left" w:pos="567"/>
        </w:tabs>
        <w:ind w:left="0" w:right="-1" w:firstLine="0"/>
      </w:pPr>
      <w:r>
        <w:t>In accordance with the above approach, the target</w:t>
      </w:r>
      <w:r w:rsidRPr="00CA279D">
        <w:t xml:space="preserve"> level of RWC</w:t>
      </w:r>
      <w:r>
        <w:t>F was established</w:t>
      </w:r>
      <w:r w:rsidRPr="00CA279D">
        <w:t xml:space="preserve"> as a percentage of estimated biennial expenditure (PBE factor) for the contribution-financed Unions, the PCT Union, the M</w:t>
      </w:r>
      <w:r>
        <w:t>adrid Union and the Hague Union.  The appropriate PBE factor was established at the level of Unions, with the aim of reflecting the risks and liquidity concerns specific to the Union concerned.  The level of RWCF for each Union is accordingly calculated as</w:t>
      </w:r>
      <w:r w:rsidRPr="00C23ACA">
        <w:rPr>
          <w:i/>
        </w:rPr>
        <w:t xml:space="preserve"> </w:t>
      </w:r>
      <w:r>
        <w:t xml:space="preserve">the </w:t>
      </w:r>
      <w:r w:rsidRPr="00C23ACA">
        <w:t xml:space="preserve">estimated biennial expenditure </w:t>
      </w:r>
      <w:r>
        <w:t>multiplied by</w:t>
      </w:r>
      <w:r w:rsidRPr="00C23ACA">
        <w:t xml:space="preserve"> </w:t>
      </w:r>
      <w:r>
        <w:t xml:space="preserve">the Union’s </w:t>
      </w:r>
      <w:r w:rsidRPr="00C23ACA">
        <w:t>PBE factor</w:t>
      </w:r>
      <w:r>
        <w:t xml:space="preserve">.  The selection of the PBE factor </w:t>
      </w:r>
      <w:r w:rsidRPr="00C23ACA">
        <w:t>as the reference point</w:t>
      </w:r>
      <w:r>
        <w:t xml:space="preserve"> ensures that the level of the RWCF is </w:t>
      </w:r>
      <w:r w:rsidRPr="00C23ACA">
        <w:t>linked to the level of the proposed program and budget</w:t>
      </w:r>
      <w:r>
        <w:t>, which, i</w:t>
      </w:r>
      <w:r w:rsidRPr="00C23ACA">
        <w:t xml:space="preserve">n turn, </w:t>
      </w:r>
      <w:r>
        <w:t>“</w:t>
      </w:r>
      <w:r w:rsidRPr="00C23ACA">
        <w:t>ensure</w:t>
      </w:r>
      <w:r>
        <w:t>s</w:t>
      </w:r>
      <w:r w:rsidRPr="00C23ACA">
        <w:t xml:space="preserve"> that the dynamics of change and the related risk and liquidity concerns </w:t>
      </w:r>
      <w:r>
        <w:t xml:space="preserve">are </w:t>
      </w:r>
      <w:r w:rsidRPr="00C23ACA">
        <w:t>fully reflected</w:t>
      </w:r>
      <w:r>
        <w:t>”</w:t>
      </w:r>
      <w:r>
        <w:rPr>
          <w:rStyle w:val="FootnoteReference"/>
        </w:rPr>
        <w:footnoteReference w:id="1"/>
      </w:r>
      <w:r w:rsidRPr="00C23ACA">
        <w:t xml:space="preserve"> in the level of RWC</w:t>
      </w:r>
      <w:r>
        <w:t>F</w:t>
      </w:r>
      <w:r w:rsidRPr="00C23ACA">
        <w:t>.</w:t>
      </w:r>
      <w:r>
        <w:t xml:space="preserve"> </w:t>
      </w:r>
    </w:p>
    <w:p w:rsidR="00C3714C" w:rsidRDefault="00C3714C" w:rsidP="007E3FFD">
      <w:pPr>
        <w:pStyle w:val="ListParagraph"/>
      </w:pPr>
    </w:p>
    <w:p w:rsidR="00C3714C" w:rsidRDefault="00C3714C" w:rsidP="007E3FFD">
      <w:pPr>
        <w:pStyle w:val="ListParagraph"/>
        <w:numPr>
          <w:ilvl w:val="0"/>
          <w:numId w:val="19"/>
        </w:numPr>
        <w:tabs>
          <w:tab w:val="left" w:pos="567"/>
        </w:tabs>
        <w:ind w:left="0" w:firstLine="0"/>
      </w:pPr>
      <w:r>
        <w:t xml:space="preserve"> Following a review of the evolution of the income, expenditure and actual RW</w:t>
      </w:r>
      <w:r w:rsidR="00C66330">
        <w:t>C</w:t>
      </w:r>
      <w:r>
        <w:t xml:space="preserve">F of the Organization and each Union, it is proposed that the PBE factor for the PCT Union be increased, to take into account the significant increase in the scale of PCT operations and the increased dependence of the Organization on PCT income since 2000. The increased level of RWCF for the PCT Union will provide greater financial stability for the Organization’s financially </w:t>
      </w:r>
      <w:r>
        <w:lastRenderedPageBreak/>
        <w:t xml:space="preserve">most significant Global IP System.  The </w:t>
      </w:r>
      <w:r w:rsidRPr="00C23ACA">
        <w:t>PBE factor for the</w:t>
      </w:r>
      <w:r>
        <w:t xml:space="preserve"> PCT Union is proposed to be increased</w:t>
      </w:r>
      <w:r w:rsidR="00C948D8">
        <w:t xml:space="preserve"> from15 per cent</w:t>
      </w:r>
      <w:r>
        <w:t xml:space="preserve"> to 20</w:t>
      </w:r>
      <w:r w:rsidR="00C948D8">
        <w:t> per cent</w:t>
      </w:r>
      <w:r w:rsidR="00B82951">
        <w:t>.</w:t>
      </w:r>
      <w:r>
        <w:t xml:space="preserve"> </w:t>
      </w:r>
      <w:r w:rsidR="00C66330">
        <w:t xml:space="preserve"> </w:t>
      </w:r>
      <w:r>
        <w:t>The PBE factors for the</w:t>
      </w:r>
      <w:r w:rsidRPr="00C23ACA">
        <w:t xml:space="preserve"> contribution-financed Unions </w:t>
      </w:r>
      <w:r>
        <w:t>remain 50</w:t>
      </w:r>
      <w:r w:rsidR="00C948D8">
        <w:t> per cent</w:t>
      </w:r>
      <w:r>
        <w:t xml:space="preserve">, the Madrid Union </w:t>
      </w:r>
      <w:r w:rsidRPr="00C23ACA">
        <w:t>25</w:t>
      </w:r>
      <w:r w:rsidR="00C948D8">
        <w:t xml:space="preserve"> per cent </w:t>
      </w:r>
      <w:r>
        <w:t>and the Hague Union 15</w:t>
      </w:r>
      <w:r w:rsidR="00C948D8">
        <w:t xml:space="preserve"> per cent</w:t>
      </w:r>
      <w:r>
        <w:t xml:space="preserve">.  The Lisbon Union has no RWCF target set for it currently. </w:t>
      </w:r>
      <w:r w:rsidR="00C66330">
        <w:t xml:space="preserve"> </w:t>
      </w:r>
      <w:r>
        <w:t>The evolution of the Lisbon System would need to be monitored carefully to determine the appropriate timing for the introduction of an RWCF target and its level.</w:t>
      </w:r>
    </w:p>
    <w:p w:rsidR="00C3714C" w:rsidRDefault="00C3714C" w:rsidP="007E3FFD">
      <w:pPr>
        <w:ind w:left="720"/>
      </w:pPr>
    </w:p>
    <w:p w:rsidR="00C3714C" w:rsidRDefault="00C3714C" w:rsidP="007E3FFD">
      <w:pPr>
        <w:pStyle w:val="ListParagraph"/>
        <w:numPr>
          <w:ilvl w:val="0"/>
          <w:numId w:val="19"/>
        </w:numPr>
        <w:tabs>
          <w:tab w:val="left" w:pos="567"/>
        </w:tabs>
        <w:ind w:left="0" w:right="-1" w:firstLine="0"/>
      </w:pPr>
      <w:r>
        <w:t>While the PBE factors are defined by Union,</w:t>
      </w:r>
      <w:r w:rsidR="00E91772">
        <w:t xml:space="preserve"> in practice</w:t>
      </w:r>
      <w:r w:rsidR="0077582D">
        <w:t>,</w:t>
      </w:r>
      <w:r>
        <w:t xml:space="preserve"> the Organization works on the basis of a </w:t>
      </w:r>
      <w:r w:rsidR="00E91772">
        <w:t xml:space="preserve">single </w:t>
      </w:r>
      <w:r>
        <w:t>Program and Budget</w:t>
      </w:r>
      <w:r w:rsidR="00E91772">
        <w:t xml:space="preserve"> established by </w:t>
      </w:r>
      <w:r w:rsidR="00644DE4">
        <w:t>Program</w:t>
      </w:r>
      <w:r w:rsidR="00B82951">
        <w:t xml:space="preserve"> (since the late 90s)</w:t>
      </w:r>
      <w:r w:rsidR="00644DE4">
        <w:t xml:space="preserve"> </w:t>
      </w:r>
      <w:r w:rsidR="00E91772">
        <w:t>and by Expected Result</w:t>
      </w:r>
      <w:r w:rsidR="00B82951">
        <w:t xml:space="preserve"> (since 2012/13)</w:t>
      </w:r>
      <w:r>
        <w:t>. In the context of the Organization’s Budget, the above PBE factors by Union translate into an equivalent Organizational PBE factor of approximately 22</w:t>
      </w:r>
      <w:r w:rsidR="00C948D8">
        <w:t> </w:t>
      </w:r>
      <w:r>
        <w:t>per</w:t>
      </w:r>
      <w:r w:rsidR="00C948D8">
        <w:t xml:space="preserve"> </w:t>
      </w:r>
      <w:r>
        <w:t xml:space="preserve">cent. </w:t>
      </w:r>
      <w:r w:rsidR="00C948D8">
        <w:t xml:space="preserve"> </w:t>
      </w:r>
      <w:r>
        <w:t xml:space="preserve">This </w:t>
      </w:r>
      <w:r w:rsidR="00E96C8A">
        <w:t>would be</w:t>
      </w:r>
      <w:r>
        <w:t xml:space="preserve"> the equivalent of over 5 months of projected biennial expenditure and an increase from the current level of 18.5 per</w:t>
      </w:r>
      <w:r w:rsidR="00C948D8">
        <w:t xml:space="preserve"> </w:t>
      </w:r>
      <w:r>
        <w:t xml:space="preserve">cent which equates to approximately four months of projected biennial expenditure for the Organization. </w:t>
      </w:r>
      <w:r w:rsidR="00C948D8">
        <w:t xml:space="preserve"> </w:t>
      </w:r>
      <w:r>
        <w:t xml:space="preserve">The increase in the target level of the Reserves will serve to strengthen financial risk management. </w:t>
      </w:r>
      <w:r w:rsidR="00C948D8">
        <w:t xml:space="preserve"> </w:t>
      </w:r>
      <w:r>
        <w:t xml:space="preserve">Furthermore, the proposed increase is in </w:t>
      </w:r>
      <w:r w:rsidR="00B82951">
        <w:t>accordance</w:t>
      </w:r>
      <w:r>
        <w:t xml:space="preserve"> with Member States’ preference that the increase in the target Reserves be gradually implemented. The increased Reserves level of 22 per</w:t>
      </w:r>
      <w:r w:rsidR="00B02EDD">
        <w:t xml:space="preserve"> </w:t>
      </w:r>
      <w:r>
        <w:t>cent is also more aligned to the Swiss</w:t>
      </w:r>
      <w:r w:rsidR="009009FA">
        <w:t> </w:t>
      </w:r>
      <w:r>
        <w:t>External Auditor’s recommendation of 2006 which recommended that the Reserves target be set at 25 per</w:t>
      </w:r>
      <w:r w:rsidR="009009FA">
        <w:t xml:space="preserve"> </w:t>
      </w:r>
      <w:r>
        <w:t xml:space="preserve">cent of Projected Biennial </w:t>
      </w:r>
      <w:r w:rsidR="00E91772">
        <w:t>E</w:t>
      </w:r>
      <w:r>
        <w:t xml:space="preserve">xpenditure i.e. the equivalent of </w:t>
      </w:r>
      <w:r w:rsidR="009009FA">
        <w:t>six</w:t>
      </w:r>
      <w:r>
        <w:t xml:space="preserve"> months of biennial expenditure.</w:t>
      </w:r>
    </w:p>
    <w:p w:rsidR="00C3714C" w:rsidRDefault="00C3714C" w:rsidP="007E3FFD"/>
    <w:p w:rsidR="00C3714C" w:rsidRPr="00D17541" w:rsidRDefault="00C4154F" w:rsidP="007E3FFD">
      <w:pPr>
        <w:pStyle w:val="ListParagraph"/>
        <w:numPr>
          <w:ilvl w:val="0"/>
          <w:numId w:val="19"/>
        </w:numPr>
        <w:tabs>
          <w:tab w:val="left" w:pos="567"/>
          <w:tab w:val="left" w:pos="4590"/>
        </w:tabs>
        <w:ind w:left="0" w:right="-1" w:firstLine="0"/>
        <w:rPr>
          <w:bCs/>
        </w:rPr>
      </w:pPr>
      <w:r>
        <w:t xml:space="preserve">WIPO does not face a liquidity risk exposure at present as it has substantial unrestricted cash resources which are replenished as a result of its operations.  However, one of the objectives of maintaining a target </w:t>
      </w:r>
      <w:r w:rsidR="00B82951">
        <w:t>RWCF</w:t>
      </w:r>
      <w:r>
        <w:t xml:space="preserve"> is </w:t>
      </w:r>
      <w:r w:rsidR="00B82951">
        <w:t xml:space="preserve">to ensure that the Organization retains its ability </w:t>
      </w:r>
      <w:r w:rsidR="00114F86">
        <w:t xml:space="preserve">to fulfil its obligations </w:t>
      </w:r>
      <w:r w:rsidR="00B82951">
        <w:t xml:space="preserve">in the short term. </w:t>
      </w:r>
      <w:r w:rsidR="00C3714C">
        <w:t xml:space="preserve">The target level of RWCF will </w:t>
      </w:r>
      <w:r w:rsidR="00B82951">
        <w:t xml:space="preserve">therefore </w:t>
      </w:r>
      <w:r w:rsidR="00C3714C">
        <w:t>be held to the extent possible in cash or in investments, which can be liquidated in the short term at low</w:t>
      </w:r>
      <w:r w:rsidR="00B82951">
        <w:t xml:space="preserve"> or no</w:t>
      </w:r>
      <w:r w:rsidR="00C3714C">
        <w:t xml:space="preserve"> cost, and which </w:t>
      </w:r>
      <w:r w:rsidR="00E96C8A">
        <w:t xml:space="preserve">are </w:t>
      </w:r>
      <w:r w:rsidR="00C3714C">
        <w:t xml:space="preserve">in accordance with the investment policy in force.  </w:t>
      </w:r>
      <w:r w:rsidR="00644DE4">
        <w:t>The extent to which the Reserves</w:t>
      </w:r>
      <w:r w:rsidR="00D17541">
        <w:t xml:space="preserve"> target</w:t>
      </w:r>
      <w:r w:rsidR="00644DE4">
        <w:t xml:space="preserve"> could be maintained in cash or other liquid assets will be determined by the negative interest rates, the thresholds which the banking institutions are able to accord to WIPO (up to which our deposits will not attract negative r</w:t>
      </w:r>
      <w:r w:rsidR="00D17541">
        <w:t>ates) and the investment policy.</w:t>
      </w:r>
    </w:p>
    <w:p w:rsidR="00D17541" w:rsidRDefault="00D17541" w:rsidP="007E3FFD">
      <w:pPr>
        <w:pStyle w:val="ListParagraph"/>
        <w:rPr>
          <w:bCs/>
        </w:rPr>
      </w:pPr>
    </w:p>
    <w:p w:rsidR="00CD20B0" w:rsidRPr="00D17541" w:rsidRDefault="00CD20B0" w:rsidP="007E3FFD">
      <w:pPr>
        <w:pStyle w:val="ListParagraph"/>
        <w:rPr>
          <w:bCs/>
        </w:rPr>
      </w:pPr>
    </w:p>
    <w:p w:rsidR="00C3714C" w:rsidRPr="008F1ADF" w:rsidRDefault="009009FA" w:rsidP="007E3FFD">
      <w:pPr>
        <w:pStyle w:val="ONUME"/>
        <w:keepNext/>
        <w:keepLines/>
        <w:widowControl w:val="0"/>
        <w:numPr>
          <w:ilvl w:val="0"/>
          <w:numId w:val="0"/>
        </w:numPr>
        <w:tabs>
          <w:tab w:val="left" w:pos="851"/>
        </w:tabs>
        <w:spacing w:after="0"/>
        <w:rPr>
          <w:b/>
        </w:rPr>
      </w:pPr>
      <w:r>
        <w:rPr>
          <w:b/>
          <w:bCs/>
          <w:lang w:val="en"/>
        </w:rPr>
        <w:t xml:space="preserve">II. </w:t>
      </w:r>
      <w:r w:rsidR="00C3714C" w:rsidRPr="008F1ADF">
        <w:rPr>
          <w:b/>
          <w:bCs/>
          <w:lang w:val="en"/>
        </w:rPr>
        <w:t>(C)</w:t>
      </w:r>
      <w:r w:rsidR="00C3714C" w:rsidRPr="008F1ADF">
        <w:rPr>
          <w:b/>
          <w:bCs/>
          <w:lang w:val="en"/>
        </w:rPr>
        <w:tab/>
      </w:r>
      <w:r w:rsidR="00C3714C" w:rsidRPr="00192B6A">
        <w:rPr>
          <w:b/>
        </w:rPr>
        <w:t>Reporting on the Reserves</w:t>
      </w:r>
      <w:r w:rsidR="00C3714C" w:rsidRPr="008F1ADF">
        <w:rPr>
          <w:b/>
        </w:rPr>
        <w:t xml:space="preserve"> </w:t>
      </w:r>
    </w:p>
    <w:p w:rsidR="00C3714C" w:rsidRDefault="00C3714C" w:rsidP="007E3FFD">
      <w:pPr>
        <w:pStyle w:val="ONUME"/>
        <w:keepNext/>
        <w:keepLines/>
        <w:widowControl w:val="0"/>
        <w:numPr>
          <w:ilvl w:val="0"/>
          <w:numId w:val="0"/>
        </w:numPr>
        <w:spacing w:after="0"/>
      </w:pPr>
    </w:p>
    <w:p w:rsidR="00C3714C" w:rsidRDefault="00C3714C" w:rsidP="007E3FFD">
      <w:pPr>
        <w:pStyle w:val="ListParagraph"/>
        <w:keepNext/>
        <w:keepLines/>
        <w:numPr>
          <w:ilvl w:val="0"/>
          <w:numId w:val="19"/>
        </w:numPr>
        <w:tabs>
          <w:tab w:val="left" w:pos="567"/>
        </w:tabs>
        <w:ind w:left="0" w:right="-1" w:firstLine="0"/>
      </w:pPr>
      <w:r>
        <w:t>The R</w:t>
      </w:r>
      <w:r w:rsidR="007E3FFD">
        <w:t>WCF</w:t>
      </w:r>
      <w:r>
        <w:t xml:space="preserve"> are central to financial planning and management of WIPO and their reporting is an integral component of the </w:t>
      </w:r>
      <w:r w:rsidR="009009FA">
        <w:t>b</w:t>
      </w:r>
      <w:r>
        <w:t>iennial Program and Budget, the Financial Statements and the FMR.</w:t>
      </w:r>
    </w:p>
    <w:p w:rsidR="00C3714C" w:rsidRDefault="00C3714C" w:rsidP="007E3FFD">
      <w:pPr>
        <w:pStyle w:val="ONUME"/>
        <w:widowControl w:val="0"/>
        <w:numPr>
          <w:ilvl w:val="0"/>
          <w:numId w:val="0"/>
        </w:numPr>
        <w:tabs>
          <w:tab w:val="left" w:pos="2970"/>
          <w:tab w:val="left" w:pos="3150"/>
        </w:tabs>
        <w:spacing w:after="0"/>
      </w:pPr>
    </w:p>
    <w:p w:rsidR="00C3714C" w:rsidRDefault="007E3FFD" w:rsidP="007E3FFD">
      <w:pPr>
        <w:pStyle w:val="ListParagraph"/>
        <w:numPr>
          <w:ilvl w:val="0"/>
          <w:numId w:val="19"/>
        </w:numPr>
        <w:tabs>
          <w:tab w:val="left" w:pos="567"/>
        </w:tabs>
        <w:ind w:left="0" w:right="-1" w:firstLine="0"/>
      </w:pPr>
      <w:r>
        <w:t>WIPO’s b</w:t>
      </w:r>
      <w:r w:rsidR="00C3714C">
        <w:t>iennial Program and Budget prov</w:t>
      </w:r>
      <w:r w:rsidR="009009FA">
        <w:t xml:space="preserve">ides a scenario on the income, </w:t>
      </w:r>
      <w:r w:rsidR="00C3714C">
        <w:t>expenditure and results by Union.</w:t>
      </w:r>
    </w:p>
    <w:p w:rsidR="00C3714C" w:rsidRDefault="00C3714C" w:rsidP="007E3FFD">
      <w:pPr>
        <w:pStyle w:val="ListParagraph"/>
        <w:ind w:left="0"/>
      </w:pPr>
    </w:p>
    <w:p w:rsidR="00C3714C" w:rsidRDefault="00C3714C" w:rsidP="007E3FFD">
      <w:pPr>
        <w:pStyle w:val="ListParagraph"/>
        <w:numPr>
          <w:ilvl w:val="0"/>
          <w:numId w:val="19"/>
        </w:numPr>
        <w:tabs>
          <w:tab w:val="left" w:pos="567"/>
        </w:tabs>
        <w:ind w:left="0" w:right="-1" w:firstLine="0"/>
      </w:pPr>
      <w:r>
        <w:t xml:space="preserve">WIPO’s Reserves (Net Assets) are reported in the Financial Statements of the Organization in Statement I, which is the Statement of Financial Position, and in the accompanying Notes.  </w:t>
      </w:r>
      <w:r w:rsidRPr="00F72DDE">
        <w:t>WIPO’s Net Assets as per the Financial Statements include its Reserves (Accumulated Surpluses and Revaluatio</w:t>
      </w:r>
      <w:r w:rsidR="007E3FFD">
        <w:t>n Reserve Surplus) and Working C</w:t>
      </w:r>
      <w:r w:rsidRPr="00F72DDE">
        <w:t>apital Funds.  The Working Capital Funds, which were established by the individual treaty agreements of each of the Unions, remain funds created by way of contributions and are held in trust by WIPO for the Member States of the different Unions</w:t>
      </w:r>
      <w:r>
        <w:t>.  They</w:t>
      </w:r>
      <w:r w:rsidRPr="00F72DDE">
        <w:t xml:space="preserve"> remain available for appropriation</w:t>
      </w:r>
      <w:r w:rsidR="009009FA">
        <w:t>,</w:t>
      </w:r>
      <w:r w:rsidRPr="00F72DDE">
        <w:t xml:space="preserve"> by </w:t>
      </w:r>
      <w:r w:rsidR="009009FA">
        <w:t xml:space="preserve">the </w:t>
      </w:r>
      <w:r w:rsidRPr="00F72DDE">
        <w:t>decision of the Assemblies of the Unions</w:t>
      </w:r>
      <w:r w:rsidR="009009FA">
        <w:t>,</w:t>
      </w:r>
      <w:r w:rsidRPr="00F72DDE">
        <w:t xml:space="preserve"> should there be a temporary liquidity shortfall.</w:t>
      </w:r>
    </w:p>
    <w:p w:rsidR="009009FA" w:rsidRDefault="009009FA" w:rsidP="007E3FFD">
      <w:pPr>
        <w:pStyle w:val="ListParagraph"/>
        <w:tabs>
          <w:tab w:val="left" w:pos="567"/>
        </w:tabs>
        <w:ind w:left="0" w:right="-1"/>
      </w:pPr>
    </w:p>
    <w:p w:rsidR="00C3714C" w:rsidRDefault="00C3714C" w:rsidP="007E3FFD">
      <w:pPr>
        <w:pStyle w:val="ListParagraph"/>
        <w:numPr>
          <w:ilvl w:val="0"/>
          <w:numId w:val="19"/>
        </w:numPr>
        <w:tabs>
          <w:tab w:val="left" w:pos="567"/>
        </w:tabs>
        <w:ind w:left="0" w:right="-1" w:firstLine="0"/>
      </w:pPr>
      <w:r w:rsidRPr="00A72580">
        <w:t>Following audit recommendations received from the External Auditor concerning the</w:t>
      </w:r>
      <w:r>
        <w:t xml:space="preserve"> creation of a separate reserve for the financing of projects, it is proposed to enhance the reporting of WIPO’s Reserves.  </w:t>
      </w:r>
      <w:r w:rsidRPr="00A72580">
        <w:t>The enhancements will appear on both the Statement of Financial Position and within the</w:t>
      </w:r>
      <w:r>
        <w:t xml:space="preserve"> notes themselves, namely within the note which is currently Note 21.  The proposal is to create a separate reserve, entitled Special Projects Reserve which </w:t>
      </w:r>
      <w:r>
        <w:lastRenderedPageBreak/>
        <w:t>would contain the appropriations to projects financed by reserves, less accumulated expenditure.  The balance of the reserve would reflect amounts still to be used for projects already approved.  Capitali</w:t>
      </w:r>
      <w:r w:rsidR="009009FA">
        <w:t>z</w:t>
      </w:r>
      <w:r>
        <w:t>ed amounts in respect of the projects would be credited to accumulated surpluses/(deficits).</w:t>
      </w:r>
    </w:p>
    <w:p w:rsidR="009009FA" w:rsidRDefault="009009FA" w:rsidP="007E3FFD">
      <w:pPr>
        <w:pStyle w:val="ListParagraph"/>
        <w:tabs>
          <w:tab w:val="left" w:pos="567"/>
        </w:tabs>
        <w:ind w:left="0" w:right="-1"/>
      </w:pPr>
    </w:p>
    <w:p w:rsidR="00C3714C" w:rsidRDefault="00C3714C" w:rsidP="007E3FFD">
      <w:pPr>
        <w:pStyle w:val="ListParagraph"/>
        <w:numPr>
          <w:ilvl w:val="0"/>
          <w:numId w:val="19"/>
        </w:numPr>
        <w:tabs>
          <w:tab w:val="left" w:pos="567"/>
        </w:tabs>
        <w:ind w:left="0" w:right="-1" w:firstLine="0"/>
      </w:pPr>
      <w:r>
        <w:t>Table 1 below shows how Note 21 would have looked within the Financial Statements for</w:t>
      </w:r>
      <w:r w:rsidR="001B0465">
        <w:t> </w:t>
      </w:r>
      <w:r>
        <w:t>2014 had the Special Projects Reserve been created in 2014.</w:t>
      </w:r>
    </w:p>
    <w:p w:rsidR="00C3714C" w:rsidRDefault="00C3714C" w:rsidP="007E3FFD"/>
    <w:p w:rsidR="00C3714C" w:rsidRPr="001C6DC9" w:rsidRDefault="00C3714C" w:rsidP="007E3FFD">
      <w:pPr>
        <w:jc w:val="center"/>
        <w:rPr>
          <w:b/>
        </w:rPr>
      </w:pPr>
      <w:r w:rsidRPr="001C6DC9">
        <w:rPr>
          <w:b/>
        </w:rPr>
        <w:t>Table 1</w:t>
      </w:r>
    </w:p>
    <w:p w:rsidR="00C3714C" w:rsidRPr="009009FA" w:rsidRDefault="00C3714C" w:rsidP="007E3FFD">
      <w:pPr>
        <w:rPr>
          <w:sz w:val="14"/>
        </w:rPr>
      </w:pPr>
    </w:p>
    <w:p w:rsidR="00C3714C" w:rsidRDefault="00C3714C" w:rsidP="007E3FFD">
      <w:pPr>
        <w:ind w:firstLine="426"/>
        <w:jc w:val="center"/>
      </w:pPr>
      <w:r>
        <w:t xml:space="preserve">Note 21: </w:t>
      </w:r>
      <w:r w:rsidR="009009FA">
        <w:t xml:space="preserve"> </w:t>
      </w:r>
      <w:r>
        <w:t>Reserves and Fund Balance</w:t>
      </w:r>
    </w:p>
    <w:p w:rsidR="00FB5523" w:rsidRDefault="00FB5523" w:rsidP="007E3FFD">
      <w:pPr>
        <w:ind w:firstLine="426"/>
        <w:jc w:val="center"/>
      </w:pPr>
    </w:p>
    <w:p w:rsidR="00C3714C" w:rsidRDefault="00FB5523" w:rsidP="007E3FFD">
      <w:pPr>
        <w:jc w:val="center"/>
      </w:pPr>
      <w:r w:rsidRPr="00FB5523">
        <w:rPr>
          <w:noProof/>
          <w:lang w:eastAsia="en-US"/>
        </w:rPr>
        <w:drawing>
          <wp:inline distT="0" distB="0" distL="0" distR="0" wp14:anchorId="157B7F33" wp14:editId="3DCB76F5">
            <wp:extent cx="5764377" cy="2328973"/>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6095" cy="2329667"/>
                    </a:xfrm>
                    <a:prstGeom prst="rect">
                      <a:avLst/>
                    </a:prstGeom>
                    <a:noFill/>
                    <a:ln>
                      <a:noFill/>
                    </a:ln>
                  </pic:spPr>
                </pic:pic>
              </a:graphicData>
            </a:graphic>
          </wp:inline>
        </w:drawing>
      </w:r>
    </w:p>
    <w:p w:rsidR="00C3714C" w:rsidRDefault="00C3714C" w:rsidP="007E3FFD"/>
    <w:p w:rsidR="00C3714C" w:rsidRDefault="00C3714C" w:rsidP="007E3FFD">
      <w:pPr>
        <w:pStyle w:val="ListParagraph"/>
        <w:numPr>
          <w:ilvl w:val="0"/>
          <w:numId w:val="19"/>
        </w:numPr>
        <w:tabs>
          <w:tab w:val="left" w:pos="567"/>
        </w:tabs>
        <w:ind w:left="0" w:right="-1" w:firstLine="0"/>
      </w:pPr>
      <w:r>
        <w:t>This table clearly shows the balance of the amounts appropriated to projects at the end of December 2013 and the related expenditure (35.2 million Swiss francs) on t</w:t>
      </w:r>
      <w:r w:rsidR="00B02EDD">
        <w:t xml:space="preserve">hose projects during the year </w:t>
      </w:r>
      <w:r>
        <w:t>2014.  Part of this expenditure has been capitali</w:t>
      </w:r>
      <w:r w:rsidR="009009FA">
        <w:t>z</w:t>
      </w:r>
      <w:r>
        <w:t>ed in accordance with IPSAS (29.1</w:t>
      </w:r>
      <w:r w:rsidR="009009FA">
        <w:t> </w:t>
      </w:r>
      <w:r>
        <w:t>million Swiss francs) and this amount is credited to accumulated surpluses.  The balance of 27.2</w:t>
      </w:r>
      <w:r w:rsidR="009009FA">
        <w:t> </w:t>
      </w:r>
      <w:r>
        <w:t>million Swiss francs at the end of 2014 represents the amounts still to be used for projects already approved.</w:t>
      </w:r>
    </w:p>
    <w:p w:rsidR="00C3714C" w:rsidRDefault="00C3714C" w:rsidP="007E3FFD"/>
    <w:p w:rsidR="00C3714C" w:rsidRDefault="00C3714C" w:rsidP="007E3FFD">
      <w:pPr>
        <w:pStyle w:val="ListParagraph"/>
        <w:numPr>
          <w:ilvl w:val="0"/>
          <w:numId w:val="19"/>
        </w:numPr>
        <w:tabs>
          <w:tab w:val="left" w:pos="567"/>
        </w:tabs>
        <w:ind w:left="0" w:right="-1" w:firstLine="0"/>
      </w:pPr>
      <w:r>
        <w:t>The Special Projects Reserve will also be disclosed in the Statement of Financial Position, as illustrated in Table 2 which shows how the reserve would have been disclosed in the 2014</w:t>
      </w:r>
      <w:r w:rsidR="009009FA">
        <w:t> </w:t>
      </w:r>
      <w:r>
        <w:t>Financial Statements.</w:t>
      </w:r>
    </w:p>
    <w:p w:rsidR="00C3714C" w:rsidRDefault="00C3714C" w:rsidP="007E3FFD"/>
    <w:p w:rsidR="00C3714C" w:rsidRPr="001C6DC9" w:rsidRDefault="00C3714C" w:rsidP="007E3FFD">
      <w:pPr>
        <w:keepNext/>
        <w:keepLines/>
        <w:jc w:val="center"/>
        <w:rPr>
          <w:b/>
        </w:rPr>
      </w:pPr>
      <w:r w:rsidRPr="001C6DC9">
        <w:rPr>
          <w:b/>
        </w:rPr>
        <w:lastRenderedPageBreak/>
        <w:t>Table 2</w:t>
      </w:r>
    </w:p>
    <w:p w:rsidR="00C3714C" w:rsidRPr="007E3FFD" w:rsidRDefault="00C3714C" w:rsidP="007E3FFD">
      <w:pPr>
        <w:keepNext/>
        <w:keepLines/>
        <w:jc w:val="center"/>
        <w:rPr>
          <w:sz w:val="18"/>
        </w:rPr>
      </w:pPr>
    </w:p>
    <w:p w:rsidR="00C3714C" w:rsidRDefault="00C3714C" w:rsidP="007E3FFD">
      <w:pPr>
        <w:keepNext/>
        <w:keepLines/>
        <w:jc w:val="center"/>
      </w:pPr>
      <w:r>
        <w:t>Extract of Statement 1:  Statement of Financial Position</w:t>
      </w:r>
    </w:p>
    <w:p w:rsidR="00C3714C" w:rsidRDefault="00C3714C" w:rsidP="007E3FFD">
      <w:pPr>
        <w:keepNext/>
        <w:keepLines/>
      </w:pPr>
    </w:p>
    <w:p w:rsidR="00C3714C" w:rsidRDefault="00C3714C" w:rsidP="007E3FFD">
      <w:pPr>
        <w:keepNext/>
        <w:keepLines/>
        <w:jc w:val="center"/>
      </w:pPr>
      <w:r w:rsidRPr="00A72580">
        <w:rPr>
          <w:noProof/>
          <w:lang w:eastAsia="en-US"/>
        </w:rPr>
        <w:drawing>
          <wp:inline distT="0" distB="0" distL="0" distR="0" wp14:anchorId="4D932DA4" wp14:editId="224ACBF7">
            <wp:extent cx="4572000" cy="22727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89709" cy="2281580"/>
                    </a:xfrm>
                    <a:prstGeom prst="rect">
                      <a:avLst/>
                    </a:prstGeom>
                    <a:noFill/>
                    <a:ln>
                      <a:noFill/>
                    </a:ln>
                  </pic:spPr>
                </pic:pic>
              </a:graphicData>
            </a:graphic>
          </wp:inline>
        </w:drawing>
      </w:r>
    </w:p>
    <w:p w:rsidR="00C3714C" w:rsidRDefault="00C3714C" w:rsidP="007E3FFD">
      <w:pPr>
        <w:pStyle w:val="ONUME"/>
        <w:widowControl w:val="0"/>
        <w:numPr>
          <w:ilvl w:val="0"/>
          <w:numId w:val="0"/>
        </w:numPr>
        <w:spacing w:after="0"/>
      </w:pPr>
    </w:p>
    <w:p w:rsidR="00C3714C" w:rsidRDefault="00C3714C" w:rsidP="007E3FFD">
      <w:pPr>
        <w:pStyle w:val="ListParagraph"/>
        <w:numPr>
          <w:ilvl w:val="0"/>
          <w:numId w:val="19"/>
        </w:numPr>
        <w:tabs>
          <w:tab w:val="left" w:pos="567"/>
        </w:tabs>
        <w:ind w:left="0" w:right="-1" w:firstLine="0"/>
      </w:pPr>
      <w:r>
        <w:t xml:space="preserve">Reporting on the </w:t>
      </w:r>
      <w:r w:rsidR="00E96C8A">
        <w:t xml:space="preserve">progress related to </w:t>
      </w:r>
      <w:r>
        <w:t xml:space="preserve">projects financed from the Reserves will be carried out in accordance with decisions taken by the Assemblies of the Member States at the time of approving such projects.  </w:t>
      </w:r>
      <w:r w:rsidR="00E96C8A">
        <w:t>In respect of financial reporting, the</w:t>
      </w:r>
      <w:r>
        <w:t xml:space="preserve"> proposal is for the Financial Statements to reflect within the Statement of Financial Position and in the note </w:t>
      </w:r>
      <w:r w:rsidRPr="00A27505">
        <w:rPr>
          <w:i/>
        </w:rPr>
        <w:t>Reserves and Fund Balance</w:t>
      </w:r>
      <w:r w:rsidRPr="00C47647">
        <w:t xml:space="preserve"> </w:t>
      </w:r>
      <w:r w:rsidR="007E3FFD">
        <w:t xml:space="preserve">(currently </w:t>
      </w:r>
      <w:r>
        <w:t xml:space="preserve">Note 21), the balance on the Special Projects Reserve and movements against </w:t>
      </w:r>
      <w:r w:rsidR="00B53DAD">
        <w:t xml:space="preserve">the </w:t>
      </w:r>
      <w:r>
        <w:t xml:space="preserve">reserve during the year, as outlined </w:t>
      </w:r>
      <w:r w:rsidR="00B53DAD">
        <w:t>above</w:t>
      </w:r>
      <w:r>
        <w:t>, with effect from December 31, 2015.</w:t>
      </w:r>
      <w:r w:rsidR="00E96C8A">
        <w:t xml:space="preserve"> </w:t>
      </w:r>
      <w:r w:rsidR="007E3FFD">
        <w:t xml:space="preserve"> </w:t>
      </w:r>
      <w:r w:rsidR="00E96C8A">
        <w:t>This proposal has been discussed in detail with the External Auditors.</w:t>
      </w:r>
    </w:p>
    <w:p w:rsidR="009009FA" w:rsidRDefault="009009FA" w:rsidP="007E3FFD">
      <w:pPr>
        <w:pStyle w:val="ListParagraph"/>
        <w:tabs>
          <w:tab w:val="left" w:pos="567"/>
        </w:tabs>
        <w:ind w:left="0" w:right="-1"/>
      </w:pPr>
    </w:p>
    <w:p w:rsidR="00C3714C" w:rsidRDefault="00C3714C" w:rsidP="007E3FFD">
      <w:pPr>
        <w:pStyle w:val="ListParagraph"/>
        <w:numPr>
          <w:ilvl w:val="0"/>
          <w:numId w:val="19"/>
        </w:numPr>
        <w:tabs>
          <w:tab w:val="left" w:pos="567"/>
        </w:tabs>
        <w:ind w:left="0" w:right="-1" w:firstLine="0"/>
      </w:pPr>
      <w:r w:rsidRPr="00C47647">
        <w:t>The Financial Statements also provide a Report on Revenue, Expenses and Reserves by Segment</w:t>
      </w:r>
      <w:r w:rsidR="00B53DAD">
        <w:t>s,</w:t>
      </w:r>
      <w:r w:rsidRPr="00C47647">
        <w:t xml:space="preserve"> which in the case of WIPO are its Unions. WIPO’s assets and liabilities are owned by the Organization as a whole and do not belong to individual Unions except for the investment pro</w:t>
      </w:r>
      <w:r w:rsidR="00B02EDD">
        <w:t xml:space="preserve">perty owned by the Madrid Union. </w:t>
      </w:r>
      <w:r w:rsidRPr="00C47647">
        <w:t xml:space="preserve"> Therefore only Net Assets which include working capital and reserves are shown by segment or Union.</w:t>
      </w:r>
      <w:r>
        <w:t xml:space="preserve">  WIPO’s Financial Management Report provides a comprehensive summary of financial performance for each biennium by Union in the section entitled “Summary of Results by Union”. This summary includes the R</w:t>
      </w:r>
      <w:r w:rsidR="007E3FFD">
        <w:t>WCF</w:t>
      </w:r>
      <w:r>
        <w:t xml:space="preserve"> as at the end of the biennium.</w:t>
      </w:r>
    </w:p>
    <w:p w:rsidR="00C3714C" w:rsidRDefault="00C3714C" w:rsidP="007E3FFD">
      <w:pPr>
        <w:rPr>
          <w:bCs/>
          <w:color w:val="333333"/>
          <w:lang w:val="en"/>
        </w:rPr>
      </w:pPr>
    </w:p>
    <w:p w:rsidR="00CD20B0" w:rsidRPr="00310DE4" w:rsidRDefault="00CD20B0" w:rsidP="007E3FFD">
      <w:pPr>
        <w:rPr>
          <w:bCs/>
          <w:color w:val="333333"/>
          <w:lang w:val="en"/>
        </w:rPr>
      </w:pPr>
    </w:p>
    <w:p w:rsidR="00C3714C" w:rsidRDefault="009009FA" w:rsidP="007E3FFD">
      <w:pPr>
        <w:tabs>
          <w:tab w:val="left" w:pos="851"/>
        </w:tabs>
        <w:rPr>
          <w:b/>
        </w:rPr>
      </w:pPr>
      <w:r>
        <w:rPr>
          <w:b/>
        </w:rPr>
        <w:t xml:space="preserve">II. </w:t>
      </w:r>
      <w:r w:rsidR="00C3714C">
        <w:rPr>
          <w:b/>
        </w:rPr>
        <w:t>(D)</w:t>
      </w:r>
      <w:r w:rsidR="00C3714C">
        <w:rPr>
          <w:b/>
        </w:rPr>
        <w:tab/>
      </w:r>
      <w:r w:rsidR="00C3714C" w:rsidRPr="0057133D">
        <w:rPr>
          <w:b/>
        </w:rPr>
        <w:t>The Use of the Reserves</w:t>
      </w:r>
      <w:r w:rsidR="00C3714C">
        <w:rPr>
          <w:b/>
        </w:rPr>
        <w:t xml:space="preserve"> – Principles and Approval Mechanism</w:t>
      </w:r>
    </w:p>
    <w:p w:rsidR="00C3714C" w:rsidRPr="0057133D" w:rsidRDefault="00C3714C" w:rsidP="007E3FFD">
      <w:pPr>
        <w:rPr>
          <w:b/>
        </w:rPr>
      </w:pPr>
    </w:p>
    <w:p w:rsidR="009009FA" w:rsidRDefault="00C3714C" w:rsidP="007E3FFD">
      <w:pPr>
        <w:pStyle w:val="ListParagraph"/>
        <w:numPr>
          <w:ilvl w:val="0"/>
          <w:numId w:val="19"/>
        </w:numPr>
        <w:tabs>
          <w:tab w:val="left" w:pos="567"/>
        </w:tabs>
        <w:ind w:left="0" w:right="-1" w:firstLine="0"/>
      </w:pPr>
      <w:r w:rsidRPr="009009FA">
        <w:t>The Use of the Reserves shall firstly be governed by the principles set out in WIPO’s Financial Regulations and Rules</w:t>
      </w:r>
      <w:r w:rsidR="007E3FFD">
        <w:t xml:space="preserve"> (FRR)</w:t>
      </w:r>
      <w:r w:rsidR="009009FA">
        <w:t>.</w:t>
      </w:r>
    </w:p>
    <w:p w:rsidR="00C3714C" w:rsidRDefault="00C3714C" w:rsidP="007E3FFD">
      <w:pPr>
        <w:pStyle w:val="ListParagraph"/>
        <w:tabs>
          <w:tab w:val="left" w:pos="567"/>
        </w:tabs>
        <w:ind w:left="0" w:right="-1"/>
      </w:pPr>
      <w:r w:rsidRPr="009009FA">
        <w:t xml:space="preserve"> </w:t>
      </w:r>
    </w:p>
    <w:p w:rsidR="00C3714C" w:rsidRDefault="00C3714C" w:rsidP="007E3FFD">
      <w:pPr>
        <w:pStyle w:val="ListParagraph"/>
        <w:numPr>
          <w:ilvl w:val="0"/>
          <w:numId w:val="19"/>
        </w:numPr>
        <w:tabs>
          <w:tab w:val="left" w:pos="567"/>
        </w:tabs>
        <w:ind w:left="0" w:right="-1" w:firstLine="0"/>
      </w:pPr>
      <w:r>
        <w:t xml:space="preserve">In accordance with </w:t>
      </w:r>
      <w:r w:rsidR="00B53DAD">
        <w:t>WIPO’s R</w:t>
      </w:r>
      <w:r>
        <w:t xml:space="preserve">egulatory </w:t>
      </w:r>
      <w:r w:rsidR="00B53DAD">
        <w:t>F</w:t>
      </w:r>
      <w:r>
        <w:t xml:space="preserve">ramework, the revised set of principles to be applied for the use of the reserves </w:t>
      </w:r>
      <w:r w:rsidR="00B53DAD">
        <w:t>is presented</w:t>
      </w:r>
      <w:r>
        <w:t xml:space="preserve"> below. The revisions are motivated by the principles of financial risk management and financial sustainability and strong calls from several Member </w:t>
      </w:r>
      <w:r w:rsidR="00B53DAD">
        <w:t>S</w:t>
      </w:r>
      <w:r>
        <w:t>tates on the need to strictly limit the use of the reserves to one-time and extraordinary expenditures</w:t>
      </w:r>
      <w:r w:rsidR="00615B12">
        <w:t>. The proposed revisions establish:</w:t>
      </w:r>
    </w:p>
    <w:p w:rsidR="00C3714C" w:rsidRDefault="00C3714C" w:rsidP="007E3FFD">
      <w:pPr>
        <w:pStyle w:val="ONUME"/>
        <w:widowControl w:val="0"/>
        <w:numPr>
          <w:ilvl w:val="0"/>
          <w:numId w:val="0"/>
        </w:numPr>
        <w:tabs>
          <w:tab w:val="left" w:pos="1620"/>
          <w:tab w:val="left" w:pos="3150"/>
        </w:tabs>
        <w:spacing w:after="0"/>
        <w:ind w:left="720"/>
      </w:pPr>
    </w:p>
    <w:p w:rsidR="00C3714C" w:rsidRDefault="00615B12" w:rsidP="007E3FFD">
      <w:pPr>
        <w:pStyle w:val="ONUME"/>
        <w:widowControl w:val="0"/>
        <w:numPr>
          <w:ilvl w:val="0"/>
          <w:numId w:val="28"/>
        </w:numPr>
        <w:tabs>
          <w:tab w:val="left" w:pos="1134"/>
        </w:tabs>
        <w:spacing w:after="120"/>
      </w:pPr>
      <w:r>
        <w:t>A</w:t>
      </w:r>
      <w:r w:rsidR="00C3714C">
        <w:t xml:space="preserve"> stricter defin</w:t>
      </w:r>
      <w:r w:rsidR="00E96C8A">
        <w:t>ition of the available reserves;</w:t>
      </w:r>
    </w:p>
    <w:p w:rsidR="00C3714C" w:rsidRDefault="00C3714C" w:rsidP="007E3FFD">
      <w:pPr>
        <w:pStyle w:val="ONUME"/>
        <w:widowControl w:val="0"/>
        <w:numPr>
          <w:ilvl w:val="0"/>
          <w:numId w:val="28"/>
        </w:numPr>
        <w:tabs>
          <w:tab w:val="left" w:pos="1134"/>
        </w:tabs>
        <w:spacing w:after="120"/>
        <w:ind w:left="1134" w:hanging="567"/>
      </w:pPr>
      <w:r>
        <w:t xml:space="preserve">A stricter and clearer definition of the </w:t>
      </w:r>
      <w:r w:rsidR="00E96C8A">
        <w:t xml:space="preserve">types and </w:t>
      </w:r>
      <w:r>
        <w:t>categories of  projects that may be proposed for financing from the reserves</w:t>
      </w:r>
      <w:r w:rsidR="00E96C8A">
        <w:t xml:space="preserve">; </w:t>
      </w:r>
      <w:r w:rsidR="007E3FFD">
        <w:t xml:space="preserve"> </w:t>
      </w:r>
      <w:r w:rsidR="00E96C8A">
        <w:t>and</w:t>
      </w:r>
    </w:p>
    <w:p w:rsidR="00C3714C" w:rsidRDefault="00C3714C" w:rsidP="007E3FFD">
      <w:pPr>
        <w:pStyle w:val="ONUME"/>
        <w:widowControl w:val="0"/>
        <w:numPr>
          <w:ilvl w:val="0"/>
          <w:numId w:val="28"/>
        </w:numPr>
        <w:tabs>
          <w:tab w:val="left" w:pos="1134"/>
        </w:tabs>
        <w:spacing w:after="0"/>
        <w:ind w:left="1134" w:hanging="567"/>
      </w:pPr>
      <w:r>
        <w:t xml:space="preserve">Clearer guidance on the key parameters to be included in proposals for the use of the reserves including a more comprehensive consideration of project costs that not only include full project life-cycle costs but also a clear view of the recurring </w:t>
      </w:r>
      <w:r>
        <w:lastRenderedPageBreak/>
        <w:t>expenditure to which the Organization will be committed as a result of completion of the project</w:t>
      </w:r>
      <w:r w:rsidR="00E96C8A">
        <w:t>. This is also in accordance with observations and recommendations made by the External Auditors</w:t>
      </w:r>
      <w:r w:rsidR="00B02EDD">
        <w:t>.</w:t>
      </w:r>
      <w:r w:rsidR="00E96C8A">
        <w:t xml:space="preserve"> </w:t>
      </w:r>
    </w:p>
    <w:p w:rsidR="00C3714C" w:rsidRDefault="00C3714C" w:rsidP="007E3FFD">
      <w:pPr>
        <w:pStyle w:val="ONUME"/>
        <w:widowControl w:val="0"/>
        <w:numPr>
          <w:ilvl w:val="0"/>
          <w:numId w:val="0"/>
        </w:numPr>
        <w:tabs>
          <w:tab w:val="left" w:pos="1620"/>
          <w:tab w:val="left" w:pos="3150"/>
        </w:tabs>
        <w:spacing w:after="0"/>
        <w:ind w:left="720"/>
      </w:pPr>
    </w:p>
    <w:p w:rsidR="00C3714C" w:rsidRDefault="00C3714C" w:rsidP="007E3FFD">
      <w:pPr>
        <w:pStyle w:val="ListParagraph"/>
        <w:numPr>
          <w:ilvl w:val="0"/>
          <w:numId w:val="19"/>
        </w:numPr>
        <w:tabs>
          <w:tab w:val="left" w:pos="567"/>
        </w:tabs>
        <w:ind w:left="0" w:right="-1" w:firstLine="0"/>
      </w:pPr>
      <w:r>
        <w:t xml:space="preserve"> The primary use of the target level of Reserves of the Organization remains the financing of deficits in a given biennium should income drop to such an extent as to result in actual expenditure exceeding actual income.  WIPO Reserves and Working Capital Funds have consistently remained above the target level </w:t>
      </w:r>
      <w:r w:rsidRPr="00644DE4">
        <w:t xml:space="preserve">(see </w:t>
      </w:r>
      <w:r w:rsidR="00AF1A14">
        <w:t>c</w:t>
      </w:r>
      <w:r w:rsidR="007E3FFD">
        <w:t xml:space="preserve">hart </w:t>
      </w:r>
      <w:r w:rsidR="00AF1A14">
        <w:t>“Evolution of WIPO Financial Situation1998-2014” below</w:t>
      </w:r>
      <w:r w:rsidRPr="00644DE4">
        <w:t>).</w:t>
      </w:r>
      <w:r>
        <w:t xml:space="preserve"> </w:t>
      </w:r>
    </w:p>
    <w:p w:rsidR="00C3714C" w:rsidRDefault="00C3714C" w:rsidP="007E3FFD">
      <w:pPr>
        <w:pStyle w:val="ONUME"/>
        <w:widowControl w:val="0"/>
        <w:numPr>
          <w:ilvl w:val="0"/>
          <w:numId w:val="0"/>
        </w:numPr>
        <w:tabs>
          <w:tab w:val="left" w:pos="1620"/>
          <w:tab w:val="left" w:pos="3150"/>
        </w:tabs>
        <w:spacing w:after="0"/>
        <w:ind w:left="720"/>
      </w:pPr>
    </w:p>
    <w:p w:rsidR="00C3714C" w:rsidRPr="006B43F2" w:rsidRDefault="00B82951" w:rsidP="007E3FFD">
      <w:pPr>
        <w:pStyle w:val="ListParagraph"/>
        <w:numPr>
          <w:ilvl w:val="0"/>
          <w:numId w:val="19"/>
        </w:numPr>
        <w:tabs>
          <w:tab w:val="left" w:pos="567"/>
        </w:tabs>
        <w:ind w:left="0" w:right="-1" w:firstLine="0"/>
      </w:pPr>
      <w:r>
        <w:t>In</w:t>
      </w:r>
      <w:r w:rsidR="00C3714C">
        <w:t xml:space="preserve"> 2000, </w:t>
      </w:r>
      <w:r>
        <w:t xml:space="preserve">it was </w:t>
      </w:r>
      <w:r w:rsidR="00C3714C">
        <w:t xml:space="preserve">decided that the Director General </w:t>
      </w:r>
      <w:r>
        <w:t xml:space="preserve">or the Member States </w:t>
      </w:r>
      <w:r w:rsidR="00C3714C" w:rsidRPr="003D7D32">
        <w:rPr>
          <w:bCs/>
          <w:lang w:val="en"/>
        </w:rPr>
        <w:t xml:space="preserve">may propose for approval by the WIPO General Assembly or the Assembly of the Union concerned, as the case may be, project activities </w:t>
      </w:r>
      <w:r>
        <w:rPr>
          <w:bCs/>
          <w:lang w:val="en"/>
        </w:rPr>
        <w:t xml:space="preserve">to be </w:t>
      </w:r>
      <w:r w:rsidR="00C3714C" w:rsidRPr="003D7D32">
        <w:rPr>
          <w:bCs/>
          <w:lang w:val="en"/>
        </w:rPr>
        <w:t xml:space="preserve">funded from available surplus. </w:t>
      </w:r>
      <w:r w:rsidR="00374A8E">
        <w:rPr>
          <w:bCs/>
          <w:lang w:val="en"/>
        </w:rPr>
        <w:t xml:space="preserve">  In 2010, the Member States approved a set of principles for the use of the Reserves</w:t>
      </w:r>
      <w:r w:rsidR="0040388C">
        <w:rPr>
          <w:bCs/>
          <w:lang w:val="en"/>
        </w:rPr>
        <w:t xml:space="preserve"> (See WO/PBC/15/7/REV)</w:t>
      </w:r>
      <w:r w:rsidR="00374A8E">
        <w:rPr>
          <w:bCs/>
          <w:lang w:val="en"/>
        </w:rPr>
        <w:t>. The following paragraphs set out the revised principles that will guide the use of the reserves.</w:t>
      </w:r>
    </w:p>
    <w:p w:rsidR="00C3714C" w:rsidRDefault="00C3714C" w:rsidP="007E3FFD">
      <w:pPr>
        <w:pStyle w:val="ListParagraph"/>
      </w:pPr>
    </w:p>
    <w:p w:rsidR="00C3714C" w:rsidRDefault="00C3714C" w:rsidP="007E3FFD">
      <w:pPr>
        <w:pStyle w:val="ListParagraph"/>
        <w:numPr>
          <w:ilvl w:val="0"/>
          <w:numId w:val="19"/>
        </w:numPr>
        <w:tabs>
          <w:tab w:val="left" w:pos="567"/>
        </w:tabs>
        <w:ind w:left="0" w:right="-1" w:firstLine="0"/>
      </w:pPr>
      <w:r>
        <w:t>In making proposals for the use of the reserves</w:t>
      </w:r>
      <w:r w:rsidR="00B53DAD">
        <w:t>,</w:t>
      </w:r>
      <w:r>
        <w:t xml:space="preserve"> the Organization must ensure that such use does not result in the RWCF falling below the target level. </w:t>
      </w:r>
      <w:r w:rsidR="00FD5ED8">
        <w:t xml:space="preserve"> </w:t>
      </w:r>
      <w:r>
        <w:t>Accordingly, the first principle is set out below.</w:t>
      </w:r>
    </w:p>
    <w:p w:rsidR="00C3714C" w:rsidRDefault="00C3714C" w:rsidP="007E3FFD">
      <w:pPr>
        <w:keepNext/>
        <w:keepLines/>
        <w:ind w:left="567"/>
      </w:pPr>
    </w:p>
    <w:p w:rsidR="00C3714C" w:rsidRDefault="00C3714C" w:rsidP="007E3FFD">
      <w:pPr>
        <w:keepNext/>
        <w:keepLines/>
        <w:tabs>
          <w:tab w:val="left" w:pos="2970"/>
        </w:tabs>
        <w:ind w:left="567"/>
        <w:rPr>
          <w:b/>
          <w:i/>
        </w:rPr>
      </w:pPr>
      <w:r>
        <w:rPr>
          <w:b/>
          <w:i/>
        </w:rPr>
        <w:t>PRINCIPLE 1:</w:t>
      </w:r>
      <w:r w:rsidR="009009FA">
        <w:rPr>
          <w:b/>
          <w:i/>
        </w:rPr>
        <w:t xml:space="preserve"> </w:t>
      </w:r>
      <w:r>
        <w:rPr>
          <w:b/>
          <w:i/>
        </w:rPr>
        <w:t xml:space="preserve"> Pro</w:t>
      </w:r>
      <w:r w:rsidRPr="00FF0C7B">
        <w:rPr>
          <w:b/>
          <w:i/>
        </w:rPr>
        <w:t>posals</w:t>
      </w:r>
      <w:r>
        <w:rPr>
          <w:b/>
          <w:i/>
        </w:rPr>
        <w:t xml:space="preserve"> for the use of the RWCF should</w:t>
      </w:r>
      <w:r w:rsidRPr="00FF0C7B">
        <w:rPr>
          <w:b/>
          <w:i/>
        </w:rPr>
        <w:t xml:space="preserve"> only pertain to the amounts available in the RWCF exceeding the target level required by WIPO’s Policy on Reserves.  This is applicable both at the level of individual Unions as well as at the level of the Organization as a whole.</w:t>
      </w:r>
      <w:r>
        <w:rPr>
          <w:b/>
          <w:i/>
        </w:rPr>
        <w:t xml:space="preserve"> </w:t>
      </w:r>
    </w:p>
    <w:p w:rsidR="00C3714C" w:rsidRDefault="00C3714C" w:rsidP="007E3FFD">
      <w:pPr>
        <w:keepNext/>
        <w:keepLines/>
        <w:ind w:left="567"/>
      </w:pPr>
    </w:p>
    <w:p w:rsidR="00C3714C" w:rsidRDefault="00C3714C" w:rsidP="007E3FFD">
      <w:pPr>
        <w:pStyle w:val="ListParagraph"/>
        <w:numPr>
          <w:ilvl w:val="0"/>
          <w:numId w:val="19"/>
        </w:numPr>
        <w:tabs>
          <w:tab w:val="left" w:pos="567"/>
        </w:tabs>
        <w:ind w:left="0" w:right="-1" w:firstLine="0"/>
      </w:pPr>
      <w:r>
        <w:t xml:space="preserve">The calculation of the available amounts that exceed the target level must be clear, transparent and prudent. Accordingly, the second principle for the use of the reserves that provides a clear and more prudent approach to </w:t>
      </w:r>
      <w:r w:rsidR="00B53DAD">
        <w:t xml:space="preserve">the </w:t>
      </w:r>
      <w:r>
        <w:t>calculation of the available reserves is set out below.</w:t>
      </w:r>
    </w:p>
    <w:p w:rsidR="00C3714C" w:rsidRDefault="00C3714C" w:rsidP="007E3FFD">
      <w:pPr>
        <w:pStyle w:val="ONUME"/>
        <w:widowControl w:val="0"/>
        <w:numPr>
          <w:ilvl w:val="0"/>
          <w:numId w:val="0"/>
        </w:numPr>
        <w:tabs>
          <w:tab w:val="left" w:pos="1620"/>
        </w:tabs>
        <w:spacing w:after="0"/>
      </w:pPr>
    </w:p>
    <w:p w:rsidR="00C3714C" w:rsidRDefault="009009FA" w:rsidP="007E3FFD">
      <w:pPr>
        <w:pStyle w:val="ONUME"/>
        <w:widowControl w:val="0"/>
        <w:numPr>
          <w:ilvl w:val="0"/>
          <w:numId w:val="0"/>
        </w:numPr>
        <w:tabs>
          <w:tab w:val="left" w:pos="1620"/>
        </w:tabs>
        <w:spacing w:after="0"/>
        <w:ind w:left="567"/>
        <w:rPr>
          <w:b/>
          <w:i/>
        </w:rPr>
      </w:pPr>
      <w:r>
        <w:rPr>
          <w:b/>
          <w:i/>
        </w:rPr>
        <w:t xml:space="preserve">PRINCIPLE </w:t>
      </w:r>
      <w:r w:rsidR="00C3714C">
        <w:rPr>
          <w:b/>
          <w:i/>
        </w:rPr>
        <w:t xml:space="preserve">2: </w:t>
      </w:r>
      <w:r>
        <w:rPr>
          <w:b/>
          <w:i/>
        </w:rPr>
        <w:t xml:space="preserve"> </w:t>
      </w:r>
      <w:r w:rsidR="00C3714C">
        <w:rPr>
          <w:b/>
          <w:i/>
        </w:rPr>
        <w:t xml:space="preserve">The calculation of the available reserves will be based on the information on the RWCF levels contained in the most recent financial statements and must take into due consideration the actual, committed and planned expenditures from reserves for the financial period(s) during which the proposed project will be implemented.  The Revaluation Reserve Surplus (which arises from the revaluation of the land on which the new building has been constructed) and the Working Capital Funds (which were established through Member States contributions) will be excluded from the calculation of the amounts available in excess of the RWCF target. </w:t>
      </w:r>
    </w:p>
    <w:p w:rsidR="00C3714C" w:rsidRDefault="00C3714C" w:rsidP="007E3FFD">
      <w:pPr>
        <w:pStyle w:val="ONUME"/>
        <w:widowControl w:val="0"/>
        <w:numPr>
          <w:ilvl w:val="0"/>
          <w:numId w:val="0"/>
        </w:numPr>
        <w:tabs>
          <w:tab w:val="left" w:pos="1620"/>
        </w:tabs>
        <w:spacing w:after="0"/>
      </w:pPr>
    </w:p>
    <w:p w:rsidR="00C3714C" w:rsidRDefault="00C3714C" w:rsidP="007E3FFD">
      <w:pPr>
        <w:pStyle w:val="ListParagraph"/>
        <w:numPr>
          <w:ilvl w:val="0"/>
          <w:numId w:val="19"/>
        </w:numPr>
        <w:tabs>
          <w:tab w:val="left" w:pos="567"/>
        </w:tabs>
        <w:ind w:left="0" w:right="-1" w:firstLine="0"/>
      </w:pPr>
      <w:r>
        <w:t>The Reserves of the Organization may be required to finance a deficit in a given biennium if actual expenditures exceed actual income,</w:t>
      </w:r>
      <w:r w:rsidR="00B53DAD">
        <w:t xml:space="preserve"> and therefore</w:t>
      </w:r>
      <w:r>
        <w:t xml:space="preserve"> should not be used to inflate the funding available for operational and recurring expenditures.  Planned deficits instill a false sense of long-term resource availability, and may result in the undertaking of longer term commitments (e.g. staff resources) with short term or extra-ordinary funding.  With special emphasis on the fact that approximately two-thirds of WIPO’s costs are personnel costs, this could represent a significant risk for the Organization.  Accordingly, the third principle for the proposals for the use of Reserves is set out below.</w:t>
      </w:r>
    </w:p>
    <w:p w:rsidR="00C3714C" w:rsidRDefault="00C3714C" w:rsidP="007E3FFD">
      <w:pPr>
        <w:ind w:left="993"/>
      </w:pPr>
    </w:p>
    <w:p w:rsidR="00C3714C" w:rsidRDefault="00C3714C" w:rsidP="007E3FFD">
      <w:pPr>
        <w:tabs>
          <w:tab w:val="left" w:pos="3150"/>
          <w:tab w:val="left" w:pos="3420"/>
        </w:tabs>
        <w:spacing w:after="120"/>
        <w:ind w:left="567"/>
        <w:rPr>
          <w:b/>
          <w:i/>
        </w:rPr>
      </w:pPr>
      <w:r>
        <w:rPr>
          <w:b/>
          <w:i/>
        </w:rPr>
        <w:t xml:space="preserve">PRINCIPLE 3: </w:t>
      </w:r>
      <w:r w:rsidRPr="006A769B">
        <w:rPr>
          <w:b/>
          <w:i/>
        </w:rPr>
        <w:t>Proposals for the use of the Reserves should be for extra-ordinary, one-time capital projects and expenditures</w:t>
      </w:r>
      <w:r w:rsidR="00B53DAD">
        <w:rPr>
          <w:b/>
          <w:i/>
        </w:rPr>
        <w:t>,</w:t>
      </w:r>
      <w:r w:rsidRPr="006A769B">
        <w:rPr>
          <w:b/>
          <w:i/>
        </w:rPr>
        <w:t xml:space="preserve"> and</w:t>
      </w:r>
      <w:r w:rsidR="00B53DAD">
        <w:rPr>
          <w:b/>
          <w:i/>
        </w:rPr>
        <w:t>,</w:t>
      </w:r>
      <w:r w:rsidRPr="006A769B">
        <w:rPr>
          <w:b/>
          <w:i/>
        </w:rPr>
        <w:t xml:space="preserve"> </w:t>
      </w:r>
      <w:r>
        <w:rPr>
          <w:b/>
          <w:i/>
        </w:rPr>
        <w:t xml:space="preserve">under exceptional circumstances, </w:t>
      </w:r>
      <w:r w:rsidRPr="006A769B">
        <w:rPr>
          <w:b/>
          <w:i/>
        </w:rPr>
        <w:t xml:space="preserve">for strategic initiatives as decided upon by the </w:t>
      </w:r>
      <w:r w:rsidR="00644DE4">
        <w:rPr>
          <w:b/>
          <w:i/>
        </w:rPr>
        <w:t>Assemblies of the Unions</w:t>
      </w:r>
      <w:r w:rsidRPr="006A769B">
        <w:rPr>
          <w:b/>
          <w:i/>
        </w:rPr>
        <w:t xml:space="preserve"> of WIPO.  Capital projects would typically be identified in a long-term capital master plan and may be defined as projects related to construction/refurbishment and Information </w:t>
      </w:r>
      <w:r w:rsidRPr="006A769B">
        <w:rPr>
          <w:b/>
          <w:i/>
        </w:rPr>
        <w:lastRenderedPageBreak/>
        <w:t xml:space="preserve">and Communication Technology that are needed to keep an Organization’s facilities and systems fit-for-purpose through </w:t>
      </w:r>
      <w:r w:rsidR="00B53DAD">
        <w:rPr>
          <w:b/>
          <w:i/>
        </w:rPr>
        <w:t xml:space="preserve">significant </w:t>
      </w:r>
      <w:r w:rsidRPr="006A769B">
        <w:rPr>
          <w:b/>
          <w:i/>
        </w:rPr>
        <w:t>expansion</w:t>
      </w:r>
      <w:r>
        <w:rPr>
          <w:b/>
          <w:i/>
        </w:rPr>
        <w:t xml:space="preserve"> or additions.</w:t>
      </w:r>
    </w:p>
    <w:p w:rsidR="00C3714C" w:rsidRDefault="00C3714C" w:rsidP="00FD5ED8"/>
    <w:p w:rsidR="00C3714C" w:rsidRDefault="00C3714C" w:rsidP="007E3FFD">
      <w:pPr>
        <w:pStyle w:val="ListParagraph"/>
        <w:numPr>
          <w:ilvl w:val="0"/>
          <w:numId w:val="19"/>
        </w:numPr>
        <w:tabs>
          <w:tab w:val="left" w:pos="567"/>
        </w:tabs>
        <w:ind w:left="0" w:right="-1" w:firstLine="0"/>
      </w:pPr>
      <w:r>
        <w:t>Projects financed from the reserves may adversely impact the liquidity levels of the Reserves. Additionally, such projects, once completed, will result in a certain level of recurring resource requirements on an on-going basis. Member States’ decisions on the use of the Reserves would need to be taken on the basis of comprehensive information and a full understanding of the impact of their decisions on the financial management of the Organization.</w:t>
      </w:r>
      <w:r w:rsidR="009009FA">
        <w:t xml:space="preserve"> </w:t>
      </w:r>
      <w:r>
        <w:t xml:space="preserve"> Accordingly, the fourth principle for the proposals on the use of the reserves is:</w:t>
      </w:r>
    </w:p>
    <w:p w:rsidR="00C3714C" w:rsidRDefault="00C3714C" w:rsidP="00FD5ED8">
      <w:pPr>
        <w:tabs>
          <w:tab w:val="left" w:pos="3150"/>
        </w:tabs>
      </w:pPr>
    </w:p>
    <w:p w:rsidR="00C3714C" w:rsidRDefault="00C3714C" w:rsidP="007E3FFD">
      <w:pPr>
        <w:pStyle w:val="ONUME"/>
        <w:widowControl w:val="0"/>
        <w:numPr>
          <w:ilvl w:val="0"/>
          <w:numId w:val="0"/>
        </w:numPr>
        <w:tabs>
          <w:tab w:val="left" w:pos="1620"/>
        </w:tabs>
        <w:spacing w:after="0"/>
        <w:ind w:left="720"/>
      </w:pPr>
      <w:r>
        <w:rPr>
          <w:b/>
          <w:i/>
        </w:rPr>
        <w:t xml:space="preserve">PRINCIPLE 4: </w:t>
      </w:r>
      <w:r w:rsidRPr="006A769B">
        <w:rPr>
          <w:b/>
          <w:i/>
        </w:rPr>
        <w:t xml:space="preserve">Proposals for the use of the Reserves should be </w:t>
      </w:r>
      <w:r>
        <w:rPr>
          <w:b/>
          <w:i/>
        </w:rPr>
        <w:t>prepared in a comprehensive manner with information on full life cycle costs of the projects, estimated benefits</w:t>
      </w:r>
      <w:r w:rsidR="00B53DAD">
        <w:rPr>
          <w:b/>
          <w:i/>
        </w:rPr>
        <w:t xml:space="preserve"> </w:t>
      </w:r>
      <w:r>
        <w:rPr>
          <w:b/>
          <w:i/>
        </w:rPr>
        <w:t>(which may be both financial and qualitative in nature), recurring expenditures that the Organization will be committed to</w:t>
      </w:r>
      <w:r w:rsidR="00615B12">
        <w:rPr>
          <w:b/>
          <w:i/>
        </w:rPr>
        <w:t xml:space="preserve"> budgeting for as part of the regular budget in subsequent biennia, </w:t>
      </w:r>
      <w:r>
        <w:rPr>
          <w:b/>
          <w:i/>
        </w:rPr>
        <w:t xml:space="preserve">and the impact on cash flows and liquidity levels of the </w:t>
      </w:r>
      <w:r w:rsidR="00B82951">
        <w:rPr>
          <w:b/>
          <w:i/>
        </w:rPr>
        <w:t>R</w:t>
      </w:r>
      <w:r>
        <w:rPr>
          <w:b/>
          <w:i/>
        </w:rPr>
        <w:t>eserves.</w:t>
      </w:r>
    </w:p>
    <w:p w:rsidR="00C3714C" w:rsidRDefault="00C3714C" w:rsidP="00FD5ED8">
      <w:pPr>
        <w:tabs>
          <w:tab w:val="left" w:pos="3150"/>
        </w:tabs>
      </w:pPr>
    </w:p>
    <w:p w:rsidR="00C3714C" w:rsidRDefault="00C3714C" w:rsidP="007E3FFD">
      <w:pPr>
        <w:pStyle w:val="ListParagraph"/>
        <w:numPr>
          <w:ilvl w:val="0"/>
          <w:numId w:val="19"/>
        </w:numPr>
        <w:tabs>
          <w:tab w:val="left" w:pos="567"/>
        </w:tabs>
        <w:ind w:left="0" w:right="-1" w:firstLine="0"/>
      </w:pPr>
      <w:r>
        <w:t xml:space="preserve">Unlike </w:t>
      </w:r>
      <w:r w:rsidR="00E917EE">
        <w:t xml:space="preserve">projects and activities under the </w:t>
      </w:r>
      <w:r>
        <w:t xml:space="preserve">regular budget, </w:t>
      </w:r>
      <w:r w:rsidR="00E917EE">
        <w:t xml:space="preserve">for </w:t>
      </w:r>
      <w:r>
        <w:t>which</w:t>
      </w:r>
      <w:r w:rsidR="00E917EE">
        <w:t xml:space="preserve"> appropriations</w:t>
      </w:r>
      <w:r>
        <w:t xml:space="preserve"> are only available for the biennium for which they were approved, </w:t>
      </w:r>
      <w:r w:rsidR="00E917EE">
        <w:t xml:space="preserve">projects financed from </w:t>
      </w:r>
      <w:r>
        <w:t>t</w:t>
      </w:r>
      <w:r w:rsidR="00E917EE">
        <w:t>he Reserves of the Organization, as described in principle 4 above, may</w:t>
      </w:r>
      <w:r>
        <w:t xml:space="preserve"> cut across biennia and</w:t>
      </w:r>
      <w:r w:rsidR="00E917EE">
        <w:t xml:space="preserve"> </w:t>
      </w:r>
      <w:r w:rsidR="00B53DAD">
        <w:t xml:space="preserve">care </w:t>
      </w:r>
      <w:r w:rsidR="00E917EE">
        <w:t>must be taken to ensure that funding for approved projects</w:t>
      </w:r>
      <w:r>
        <w:t xml:space="preserve"> remains available for </w:t>
      </w:r>
      <w:r w:rsidR="00E917EE">
        <w:t>the</w:t>
      </w:r>
      <w:r>
        <w:t xml:space="preserve"> duration of the project/initiative as approved by Member States.</w:t>
      </w:r>
      <w:r w:rsidR="00E917EE">
        <w:t xml:space="preserve"> This would ensure that approved projects are effectively completed.</w:t>
      </w:r>
      <w:r w:rsidR="009009FA">
        <w:t xml:space="preserve"> </w:t>
      </w:r>
      <w:r>
        <w:t xml:space="preserve"> Accordingly, the fifth principle for the proposals for the use of Reserves is set out below.</w:t>
      </w:r>
    </w:p>
    <w:p w:rsidR="00C3714C" w:rsidRDefault="00C3714C" w:rsidP="007E3FFD"/>
    <w:p w:rsidR="00C3714C" w:rsidRDefault="00C3714C" w:rsidP="007E3FFD">
      <w:pPr>
        <w:keepNext/>
        <w:keepLines/>
        <w:tabs>
          <w:tab w:val="left" w:pos="3330"/>
          <w:tab w:val="left" w:pos="3420"/>
        </w:tabs>
        <w:ind w:left="720"/>
        <w:rPr>
          <w:b/>
          <w:i/>
        </w:rPr>
      </w:pPr>
      <w:r>
        <w:rPr>
          <w:b/>
          <w:i/>
        </w:rPr>
        <w:t>PRINCIPLE 5: P</w:t>
      </w:r>
      <w:r w:rsidRPr="00FF0C7B">
        <w:rPr>
          <w:b/>
          <w:i/>
        </w:rPr>
        <w:t xml:space="preserve">roposals for the use of the Reserves </w:t>
      </w:r>
      <w:r>
        <w:rPr>
          <w:b/>
          <w:i/>
        </w:rPr>
        <w:t xml:space="preserve">may </w:t>
      </w:r>
      <w:r w:rsidRPr="00FF0C7B">
        <w:rPr>
          <w:b/>
          <w:i/>
        </w:rPr>
        <w:t xml:space="preserve">be for </w:t>
      </w:r>
      <w:r>
        <w:rPr>
          <w:b/>
          <w:i/>
        </w:rPr>
        <w:t>projects and initiatives which are outside the biennial financial period of the Organizati</w:t>
      </w:r>
      <w:r w:rsidR="00D17541">
        <w:rPr>
          <w:b/>
          <w:i/>
        </w:rPr>
        <w:t>on, and may cut across, or last</w:t>
      </w:r>
      <w:r>
        <w:rPr>
          <w:b/>
          <w:i/>
        </w:rPr>
        <w:t xml:space="preserve"> for, more than one biennia</w:t>
      </w:r>
      <w:r w:rsidR="007D3203">
        <w:rPr>
          <w:b/>
          <w:i/>
        </w:rPr>
        <w:t>.</w:t>
      </w:r>
    </w:p>
    <w:p w:rsidR="00C3714C" w:rsidRDefault="00C3714C" w:rsidP="007E3FFD">
      <w:pPr>
        <w:tabs>
          <w:tab w:val="left" w:pos="3330"/>
          <w:tab w:val="left" w:pos="3420"/>
        </w:tabs>
        <w:ind w:left="720"/>
        <w:rPr>
          <w:b/>
        </w:rPr>
      </w:pPr>
    </w:p>
    <w:p w:rsidR="009009FA" w:rsidRDefault="009009FA" w:rsidP="007E3FFD">
      <w:pPr>
        <w:tabs>
          <w:tab w:val="left" w:pos="3330"/>
          <w:tab w:val="left" w:pos="3420"/>
        </w:tabs>
        <w:ind w:left="720"/>
        <w:rPr>
          <w:b/>
        </w:rPr>
      </w:pPr>
    </w:p>
    <w:p w:rsidR="00C3714C" w:rsidRDefault="009009FA" w:rsidP="007E3FFD">
      <w:pPr>
        <w:keepNext/>
        <w:keepLines/>
        <w:tabs>
          <w:tab w:val="left" w:pos="851"/>
        </w:tabs>
        <w:rPr>
          <w:b/>
        </w:rPr>
      </w:pPr>
      <w:r>
        <w:rPr>
          <w:b/>
        </w:rPr>
        <w:t xml:space="preserve">III. </w:t>
      </w:r>
      <w:r w:rsidR="00C3714C">
        <w:rPr>
          <w:b/>
        </w:rPr>
        <w:t>(B)</w:t>
      </w:r>
      <w:r w:rsidR="00C3714C">
        <w:rPr>
          <w:b/>
        </w:rPr>
        <w:tab/>
        <w:t>Approval Mechanism for Proposals for the Use of the Reserves</w:t>
      </w:r>
    </w:p>
    <w:p w:rsidR="00C3714C" w:rsidRPr="00197B66" w:rsidRDefault="00C3714C" w:rsidP="007E3FFD">
      <w:pPr>
        <w:keepNext/>
        <w:keepLines/>
        <w:rPr>
          <w:b/>
        </w:rPr>
      </w:pPr>
    </w:p>
    <w:p w:rsidR="00C3714C" w:rsidRPr="000A2C11" w:rsidRDefault="007D3203" w:rsidP="007E3FFD">
      <w:pPr>
        <w:pStyle w:val="ListParagraph"/>
        <w:keepNext/>
        <w:keepLines/>
        <w:numPr>
          <w:ilvl w:val="0"/>
          <w:numId w:val="19"/>
        </w:numPr>
        <w:tabs>
          <w:tab w:val="left" w:pos="567"/>
        </w:tabs>
        <w:ind w:left="0" w:right="-1" w:firstLine="0"/>
      </w:pPr>
      <w:r>
        <w:t>P</w:t>
      </w:r>
      <w:r w:rsidR="00C3714C">
        <w:t xml:space="preserve">roposals for the use of the Organization’s available Reserves may be made by the Director General or Member States to the </w:t>
      </w:r>
      <w:r w:rsidR="00C3714C" w:rsidRPr="00310DE4">
        <w:rPr>
          <w:bCs/>
          <w:color w:val="333333"/>
          <w:lang w:val="en"/>
        </w:rPr>
        <w:t xml:space="preserve">Assemblies of the Member States and of the Unions, each as far as it is concerned.  </w:t>
      </w:r>
    </w:p>
    <w:p w:rsidR="00C3714C" w:rsidRDefault="00C3714C" w:rsidP="007E3FFD">
      <w:pPr>
        <w:keepNext/>
        <w:keepLines/>
        <w:ind w:left="567" w:right="616"/>
      </w:pPr>
    </w:p>
    <w:p w:rsidR="00644DE4" w:rsidRDefault="00C3714C" w:rsidP="007E3FFD">
      <w:pPr>
        <w:keepNext/>
        <w:keepLines/>
        <w:ind w:left="567" w:right="616"/>
        <w:rPr>
          <w:b/>
          <w:bCs/>
          <w:i/>
          <w:lang w:val="en"/>
        </w:rPr>
      </w:pPr>
      <w:r w:rsidRPr="00E00D15">
        <w:rPr>
          <w:b/>
          <w:bCs/>
          <w:i/>
          <w:lang w:val="en"/>
        </w:rPr>
        <w:t xml:space="preserve">APPROVAL MECHANISM:  </w:t>
      </w:r>
    </w:p>
    <w:p w:rsidR="00644DE4" w:rsidRDefault="00644DE4" w:rsidP="007E3FFD">
      <w:pPr>
        <w:keepNext/>
        <w:keepLines/>
        <w:ind w:left="567" w:right="616"/>
        <w:rPr>
          <w:b/>
          <w:bCs/>
          <w:i/>
          <w:lang w:val="en"/>
        </w:rPr>
      </w:pPr>
    </w:p>
    <w:p w:rsidR="00644DE4" w:rsidRDefault="00C3714C" w:rsidP="007E3FFD">
      <w:pPr>
        <w:keepNext/>
        <w:keepLines/>
        <w:ind w:left="567" w:right="616"/>
        <w:rPr>
          <w:b/>
          <w:bCs/>
          <w:i/>
          <w:lang w:val="en"/>
        </w:rPr>
      </w:pPr>
      <w:r w:rsidRPr="00E00D15">
        <w:rPr>
          <w:b/>
          <w:bCs/>
          <w:i/>
          <w:lang w:val="en"/>
        </w:rPr>
        <w:t xml:space="preserve">Proposals for the use of the Reserves may be made by the Director General of WIPO or Member States via the PBC to the Assemblies of the Member States and of the Unions, each as far as it is concerned.  </w:t>
      </w:r>
      <w:r>
        <w:rPr>
          <w:b/>
          <w:bCs/>
          <w:i/>
          <w:lang w:val="en"/>
        </w:rPr>
        <w:t xml:space="preserve">The proposals must be prepared in accordance with the principles set out for the use of the reserves.  </w:t>
      </w:r>
    </w:p>
    <w:p w:rsidR="00644DE4" w:rsidRDefault="00644DE4" w:rsidP="007E3FFD">
      <w:pPr>
        <w:keepNext/>
        <w:keepLines/>
        <w:ind w:left="567" w:right="616"/>
        <w:rPr>
          <w:b/>
          <w:bCs/>
          <w:i/>
          <w:lang w:val="en"/>
        </w:rPr>
      </w:pPr>
    </w:p>
    <w:p w:rsidR="00C3714C" w:rsidRPr="000A2C11" w:rsidRDefault="00C3714C" w:rsidP="007E3FFD">
      <w:pPr>
        <w:keepNext/>
        <w:keepLines/>
        <w:ind w:left="567" w:right="616"/>
        <w:rPr>
          <w:b/>
          <w:i/>
        </w:rPr>
      </w:pPr>
      <w:r w:rsidRPr="00E00D15">
        <w:rPr>
          <w:b/>
          <w:bCs/>
          <w:i/>
          <w:lang w:val="en"/>
        </w:rPr>
        <w:t xml:space="preserve">In the case of the Madrid Union, where any use of the biennial surplus is subject to Article 8(4) of the Madrid Agreement and Protocol, the proposal for the use of the surplus and/or RWCF in excess of the target level required by the Policy on Reserves is presented by the Director General to the Madrid Union Assembly.  </w:t>
      </w:r>
    </w:p>
    <w:p w:rsidR="00C3714C" w:rsidRPr="00D92623" w:rsidRDefault="00C3714C" w:rsidP="007E3FFD">
      <w:pPr>
        <w:ind w:left="567" w:right="616"/>
        <w:rPr>
          <w:u w:val="single"/>
          <w:lang w:val="en-GB"/>
        </w:rPr>
      </w:pPr>
    </w:p>
    <w:p w:rsidR="00FD5ED8" w:rsidRDefault="00FD5ED8" w:rsidP="00FD5ED8">
      <w:pPr>
        <w:pStyle w:val="Endofdocument"/>
        <w:spacing w:line="240" w:lineRule="auto"/>
        <w:ind w:left="0"/>
        <w:rPr>
          <w:lang w:val="en-GB"/>
        </w:rPr>
        <w:sectPr w:rsidR="00FD5ED8" w:rsidSect="009A673B">
          <w:headerReference w:type="default" r:id="rId17"/>
          <w:headerReference w:type="first" r:id="rId18"/>
          <w:pgSz w:w="11907" w:h="16839" w:code="9"/>
          <w:pgMar w:top="567" w:right="1134" w:bottom="1247" w:left="1418" w:header="624" w:footer="720" w:gutter="0"/>
          <w:pgNumType w:start="1"/>
          <w:cols w:space="720"/>
          <w:titlePg/>
          <w:docGrid w:linePitch="360"/>
        </w:sectPr>
      </w:pPr>
    </w:p>
    <w:p w:rsidR="00A94682" w:rsidRPr="00FD5ED8" w:rsidRDefault="00FD5ED8" w:rsidP="00FD5ED8">
      <w:pPr>
        <w:pStyle w:val="Endofdocument"/>
        <w:spacing w:after="0" w:line="240" w:lineRule="auto"/>
        <w:ind w:left="0"/>
        <w:jc w:val="center"/>
        <w:rPr>
          <w:b/>
          <w:lang w:val="en-GB"/>
        </w:rPr>
      </w:pPr>
      <w:r w:rsidRPr="00FD5ED8">
        <w:rPr>
          <w:b/>
          <w:lang w:val="en-GB"/>
        </w:rPr>
        <w:lastRenderedPageBreak/>
        <w:t>EVOLUTION OF WIPO FINANCIAL SITUATION 1998-2014</w:t>
      </w:r>
    </w:p>
    <w:p w:rsidR="00FD5ED8" w:rsidRDefault="00FD5ED8" w:rsidP="00FD5ED8">
      <w:pPr>
        <w:pStyle w:val="Endofdocument"/>
        <w:spacing w:after="0" w:line="240" w:lineRule="auto"/>
        <w:ind w:left="0"/>
        <w:rPr>
          <w:lang w:val="en-GB"/>
        </w:rPr>
      </w:pPr>
    </w:p>
    <w:p w:rsidR="00FD5ED8" w:rsidRDefault="00FD5ED8" w:rsidP="00FD5ED8">
      <w:pPr>
        <w:pStyle w:val="Endofdocument"/>
        <w:spacing w:after="0" w:line="240" w:lineRule="auto"/>
        <w:ind w:left="0"/>
        <w:rPr>
          <w:lang w:val="en-GB"/>
        </w:rPr>
      </w:pPr>
      <w:r w:rsidRPr="00FD5ED8">
        <w:rPr>
          <w:noProof/>
        </w:rPr>
        <w:drawing>
          <wp:inline distT="0" distB="0" distL="0" distR="0" wp14:anchorId="2A65FEB0" wp14:editId="25E866AD">
            <wp:extent cx="8509350" cy="440809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514659" cy="4410848"/>
                    </a:xfrm>
                    <a:prstGeom prst="rect">
                      <a:avLst/>
                    </a:prstGeom>
                    <a:noFill/>
                    <a:ln>
                      <a:noFill/>
                    </a:ln>
                  </pic:spPr>
                </pic:pic>
              </a:graphicData>
            </a:graphic>
          </wp:inline>
        </w:drawing>
      </w:r>
    </w:p>
    <w:p w:rsidR="00FD5ED8" w:rsidRDefault="00FD5ED8" w:rsidP="00FD5ED8">
      <w:pPr>
        <w:pStyle w:val="Endofdocument"/>
        <w:spacing w:after="0" w:line="240" w:lineRule="auto"/>
        <w:ind w:left="0"/>
        <w:rPr>
          <w:lang w:val="en-GB"/>
        </w:rPr>
      </w:pPr>
    </w:p>
    <w:p w:rsidR="00FD5ED8" w:rsidRDefault="00FD5ED8" w:rsidP="00FD5ED8">
      <w:pPr>
        <w:pStyle w:val="Endofdocument"/>
        <w:spacing w:after="0" w:line="240" w:lineRule="auto"/>
        <w:ind w:left="0"/>
        <w:rPr>
          <w:lang w:val="en-GB"/>
        </w:rPr>
      </w:pPr>
    </w:p>
    <w:p w:rsidR="00FD5ED8" w:rsidRDefault="00FD5ED8" w:rsidP="00FD5ED8">
      <w:pPr>
        <w:pStyle w:val="Endofdocument"/>
        <w:spacing w:after="0" w:line="240" w:lineRule="auto"/>
        <w:ind w:left="0"/>
        <w:rPr>
          <w:lang w:val="en-GB"/>
        </w:rPr>
      </w:pPr>
    </w:p>
    <w:p w:rsidR="00106225" w:rsidRDefault="00106225" w:rsidP="000E4E10">
      <w:pPr>
        <w:pStyle w:val="Endofdocument"/>
        <w:spacing w:line="240" w:lineRule="auto"/>
        <w:ind w:left="10574" w:firstLine="226"/>
        <w:rPr>
          <w:sz w:val="22"/>
          <w:lang w:val="en-GB"/>
        </w:rPr>
      </w:pPr>
      <w:r w:rsidRPr="00106225">
        <w:rPr>
          <w:sz w:val="22"/>
          <w:lang w:val="en-GB"/>
        </w:rPr>
        <w:t>[Annex II follows]</w:t>
      </w:r>
    </w:p>
    <w:p w:rsidR="00106225" w:rsidRDefault="00106225" w:rsidP="007E3FFD">
      <w:pPr>
        <w:pStyle w:val="Endofdocument"/>
        <w:spacing w:line="240" w:lineRule="auto"/>
        <w:rPr>
          <w:sz w:val="22"/>
          <w:lang w:val="en-GB"/>
        </w:rPr>
      </w:pPr>
    </w:p>
    <w:p w:rsidR="00106225" w:rsidRDefault="00106225" w:rsidP="007E3FFD">
      <w:pPr>
        <w:pStyle w:val="Endofdocument"/>
        <w:spacing w:line="240" w:lineRule="auto"/>
        <w:rPr>
          <w:sz w:val="22"/>
          <w:lang w:val="en-GB"/>
        </w:rPr>
        <w:sectPr w:rsidR="00106225" w:rsidSect="009A673B">
          <w:headerReference w:type="first" r:id="rId20"/>
          <w:pgSz w:w="16839" w:h="11907" w:orient="landscape" w:code="9"/>
          <w:pgMar w:top="1134" w:right="1134" w:bottom="1134" w:left="1418" w:header="624" w:footer="720" w:gutter="0"/>
          <w:cols w:space="720"/>
          <w:docGrid w:linePitch="360"/>
        </w:sectPr>
      </w:pPr>
    </w:p>
    <w:p w:rsidR="00DD02E1" w:rsidRPr="00DD02E1" w:rsidRDefault="00DD02E1" w:rsidP="007E3FFD">
      <w:pPr>
        <w:rPr>
          <w:b/>
          <w:lang w:val="en-GB"/>
        </w:rPr>
      </w:pPr>
      <w:r w:rsidRPr="00DD02E1">
        <w:rPr>
          <w:b/>
          <w:lang w:val="en-GB"/>
        </w:rPr>
        <w:lastRenderedPageBreak/>
        <w:t xml:space="preserve">BREAKDOWN OF PCT UNION WORKING CAPITAL FUNDS (WCF) </w:t>
      </w:r>
    </w:p>
    <w:p w:rsidR="00106225" w:rsidRPr="00DD02E1" w:rsidRDefault="00DD02E1" w:rsidP="00DD02E1">
      <w:pPr>
        <w:rPr>
          <w:b/>
          <w:lang w:val="en-GB"/>
        </w:rPr>
      </w:pPr>
      <w:r w:rsidRPr="00DD02E1">
        <w:rPr>
          <w:b/>
          <w:lang w:val="en-GB"/>
        </w:rPr>
        <w:t>BY MEMBER STATE</w:t>
      </w:r>
    </w:p>
    <w:p w:rsidR="00DD02E1" w:rsidRDefault="00DD02E1" w:rsidP="00332680">
      <w:pPr>
        <w:rPr>
          <w:lang w:val="en-GB"/>
        </w:rPr>
      </w:pPr>
    </w:p>
    <w:tbl>
      <w:tblPr>
        <w:tblW w:w="5554" w:type="dxa"/>
        <w:jc w:val="center"/>
        <w:tblInd w:w="-276" w:type="dxa"/>
        <w:tblLook w:val="04A0" w:firstRow="1" w:lastRow="0" w:firstColumn="1" w:lastColumn="0" w:noHBand="0" w:noVBand="1"/>
      </w:tblPr>
      <w:tblGrid>
        <w:gridCol w:w="3129"/>
        <w:gridCol w:w="2425"/>
      </w:tblGrid>
      <w:tr w:rsidR="00332680" w:rsidRPr="00332680" w:rsidTr="00497A16">
        <w:trPr>
          <w:trHeight w:val="255"/>
          <w:jc w:val="center"/>
        </w:trPr>
        <w:tc>
          <w:tcPr>
            <w:tcW w:w="3129" w:type="dxa"/>
            <w:vMerge w:val="restart"/>
            <w:tcBorders>
              <w:top w:val="single" w:sz="4" w:space="0" w:color="auto"/>
              <w:left w:val="single" w:sz="4" w:space="0" w:color="auto"/>
              <w:bottom w:val="single" w:sz="4" w:space="0" w:color="000000"/>
              <w:right w:val="single" w:sz="4" w:space="0" w:color="auto"/>
            </w:tcBorders>
            <w:shd w:val="clear" w:color="000000" w:fill="C5D9F1"/>
            <w:vAlign w:val="center"/>
            <w:hideMark/>
          </w:tcPr>
          <w:p w:rsidR="00332680" w:rsidRPr="00332680" w:rsidRDefault="00332680" w:rsidP="00332680">
            <w:pPr>
              <w:jc w:val="center"/>
              <w:rPr>
                <w:rFonts w:eastAsia="Times New Roman"/>
                <w:b/>
                <w:bCs/>
                <w:color w:val="000000"/>
                <w:sz w:val="20"/>
                <w:u w:val="single"/>
                <w:lang w:eastAsia="en-US"/>
              </w:rPr>
            </w:pPr>
            <w:r w:rsidRPr="00332680">
              <w:rPr>
                <w:rFonts w:eastAsia="Times New Roman"/>
                <w:b/>
                <w:bCs/>
                <w:color w:val="000000"/>
                <w:sz w:val="20"/>
                <w:u w:val="single"/>
                <w:lang w:eastAsia="en-US"/>
              </w:rPr>
              <w:t>Member State</w:t>
            </w:r>
          </w:p>
        </w:tc>
        <w:tc>
          <w:tcPr>
            <w:tcW w:w="2425" w:type="dxa"/>
            <w:vMerge w:val="restart"/>
            <w:tcBorders>
              <w:top w:val="single" w:sz="4" w:space="0" w:color="auto"/>
              <w:left w:val="single" w:sz="4" w:space="0" w:color="auto"/>
              <w:bottom w:val="single" w:sz="4" w:space="0" w:color="000000"/>
              <w:right w:val="single" w:sz="4" w:space="0" w:color="auto"/>
            </w:tcBorders>
            <w:shd w:val="clear" w:color="000000" w:fill="C5D9F1"/>
            <w:vAlign w:val="center"/>
            <w:hideMark/>
          </w:tcPr>
          <w:p w:rsidR="00332680" w:rsidRPr="00332680" w:rsidRDefault="00332680" w:rsidP="00332680">
            <w:pPr>
              <w:jc w:val="center"/>
              <w:rPr>
                <w:rFonts w:eastAsia="Times New Roman"/>
                <w:b/>
                <w:bCs/>
                <w:color w:val="000000"/>
                <w:sz w:val="20"/>
                <w:u w:val="single"/>
                <w:lang w:eastAsia="en-US"/>
              </w:rPr>
            </w:pPr>
            <w:r w:rsidRPr="00332680">
              <w:rPr>
                <w:rFonts w:eastAsia="Times New Roman"/>
                <w:b/>
                <w:bCs/>
                <w:color w:val="000000"/>
                <w:sz w:val="20"/>
                <w:u w:val="single"/>
                <w:lang w:eastAsia="en-US"/>
              </w:rPr>
              <w:t>PCT WCF</w:t>
            </w:r>
          </w:p>
        </w:tc>
      </w:tr>
      <w:tr w:rsidR="00332680" w:rsidRPr="00332680" w:rsidTr="00497A16">
        <w:trPr>
          <w:trHeight w:val="255"/>
          <w:jc w:val="center"/>
        </w:trPr>
        <w:tc>
          <w:tcPr>
            <w:tcW w:w="3129" w:type="dxa"/>
            <w:vMerge/>
            <w:tcBorders>
              <w:top w:val="single" w:sz="4" w:space="0" w:color="auto"/>
              <w:left w:val="single" w:sz="4" w:space="0" w:color="auto"/>
              <w:bottom w:val="single" w:sz="4" w:space="0" w:color="000000"/>
              <w:right w:val="single" w:sz="4" w:space="0" w:color="auto"/>
            </w:tcBorders>
            <w:vAlign w:val="center"/>
            <w:hideMark/>
          </w:tcPr>
          <w:p w:rsidR="00332680" w:rsidRPr="00332680" w:rsidRDefault="00332680" w:rsidP="00332680">
            <w:pPr>
              <w:rPr>
                <w:rFonts w:eastAsia="Times New Roman"/>
                <w:b/>
                <w:bCs/>
                <w:color w:val="000000"/>
                <w:sz w:val="20"/>
                <w:u w:val="single"/>
                <w:lang w:eastAsia="en-US"/>
              </w:rPr>
            </w:pPr>
          </w:p>
        </w:tc>
        <w:tc>
          <w:tcPr>
            <w:tcW w:w="2425" w:type="dxa"/>
            <w:vMerge/>
            <w:tcBorders>
              <w:top w:val="single" w:sz="4" w:space="0" w:color="auto"/>
              <w:left w:val="single" w:sz="4" w:space="0" w:color="auto"/>
              <w:bottom w:val="single" w:sz="4" w:space="0" w:color="000000"/>
              <w:right w:val="single" w:sz="4" w:space="0" w:color="auto"/>
            </w:tcBorders>
            <w:vAlign w:val="center"/>
            <w:hideMark/>
          </w:tcPr>
          <w:p w:rsidR="00332680" w:rsidRPr="00332680" w:rsidRDefault="00332680" w:rsidP="00332680">
            <w:pPr>
              <w:rPr>
                <w:rFonts w:eastAsia="Times New Roman"/>
                <w:b/>
                <w:bCs/>
                <w:color w:val="000000"/>
                <w:sz w:val="20"/>
                <w:u w:val="single"/>
                <w:lang w:eastAsia="en-US"/>
              </w:rPr>
            </w:pPr>
          </w:p>
        </w:tc>
      </w:tr>
      <w:tr w:rsidR="00332680" w:rsidRPr="00332680" w:rsidTr="00497A16">
        <w:trPr>
          <w:trHeight w:val="255"/>
          <w:jc w:val="center"/>
        </w:trPr>
        <w:tc>
          <w:tcPr>
            <w:tcW w:w="3129" w:type="dxa"/>
            <w:tcBorders>
              <w:top w:val="nil"/>
              <w:left w:val="single" w:sz="4" w:space="0" w:color="auto"/>
              <w:bottom w:val="nil"/>
              <w:right w:val="single" w:sz="4" w:space="0" w:color="auto"/>
            </w:tcBorders>
            <w:shd w:val="clear" w:color="000000" w:fill="FFFFFF"/>
            <w:noWrap/>
            <w:vAlign w:val="bottom"/>
            <w:hideMark/>
          </w:tcPr>
          <w:p w:rsidR="00332680" w:rsidRPr="00332680" w:rsidRDefault="00332680" w:rsidP="00332680">
            <w:pPr>
              <w:jc w:val="center"/>
              <w:rPr>
                <w:rFonts w:eastAsia="Times New Roman"/>
                <w:color w:val="000000"/>
                <w:sz w:val="20"/>
                <w:lang w:eastAsia="en-US"/>
              </w:rPr>
            </w:pPr>
            <w:r w:rsidRPr="00332680">
              <w:rPr>
                <w:rFonts w:eastAsia="Times New Roman"/>
                <w:color w:val="000000"/>
                <w:sz w:val="20"/>
                <w:lang w:eastAsia="en-US"/>
              </w:rPr>
              <w:t> </w:t>
            </w:r>
          </w:p>
        </w:tc>
        <w:tc>
          <w:tcPr>
            <w:tcW w:w="2425" w:type="dxa"/>
            <w:tcBorders>
              <w:top w:val="nil"/>
              <w:left w:val="nil"/>
              <w:bottom w:val="nil"/>
              <w:right w:val="single" w:sz="4" w:space="0" w:color="auto"/>
            </w:tcBorders>
            <w:shd w:val="clear" w:color="000000" w:fill="FFFFFF"/>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 </w:t>
            </w:r>
          </w:p>
        </w:tc>
      </w:tr>
      <w:tr w:rsidR="00332680" w:rsidRPr="00332680"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Algeria</w:t>
            </w:r>
          </w:p>
        </w:tc>
        <w:tc>
          <w:tcPr>
            <w:tcW w:w="2425" w:type="dxa"/>
            <w:tcBorders>
              <w:top w:val="nil"/>
              <w:left w:val="nil"/>
              <w:bottom w:val="nil"/>
              <w:right w:val="single" w:sz="4" w:space="0" w:color="auto"/>
            </w:tcBorders>
            <w:shd w:val="clear" w:color="auto" w:fill="auto"/>
            <w:noWrap/>
            <w:vAlign w:val="bottom"/>
            <w:hideMark/>
          </w:tcPr>
          <w:p w:rsidR="00332680" w:rsidRPr="00332680" w:rsidRDefault="00332680" w:rsidP="00332680">
            <w:pPr>
              <w:jc w:val="right"/>
              <w:rPr>
                <w:rFonts w:eastAsia="Times New Roman"/>
                <w:color w:val="000000"/>
                <w:sz w:val="20"/>
                <w:lang w:eastAsia="en-US"/>
              </w:rPr>
            </w:pPr>
            <w:r w:rsidRPr="00332680">
              <w:rPr>
                <w:rFonts w:eastAsia="Times New Roman"/>
                <w:color w:val="000000"/>
                <w:sz w:val="20"/>
                <w:lang w:eastAsia="en-US"/>
              </w:rPr>
              <w:t xml:space="preserve">                               -   </w:t>
            </w:r>
          </w:p>
        </w:tc>
      </w:tr>
      <w:tr w:rsidR="00332680" w:rsidRPr="00332680"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Argentina</w:t>
            </w:r>
          </w:p>
        </w:tc>
        <w:tc>
          <w:tcPr>
            <w:tcW w:w="2425" w:type="dxa"/>
            <w:tcBorders>
              <w:top w:val="nil"/>
              <w:left w:val="nil"/>
              <w:bottom w:val="nil"/>
              <w:right w:val="single" w:sz="4" w:space="0" w:color="auto"/>
            </w:tcBorders>
            <w:shd w:val="clear" w:color="auto" w:fill="auto"/>
            <w:noWrap/>
            <w:vAlign w:val="bottom"/>
            <w:hideMark/>
          </w:tcPr>
          <w:p w:rsidR="00332680" w:rsidRPr="00332680" w:rsidRDefault="00332680" w:rsidP="00332680">
            <w:pPr>
              <w:jc w:val="right"/>
              <w:rPr>
                <w:rFonts w:eastAsia="Times New Roman"/>
                <w:color w:val="000000"/>
                <w:sz w:val="20"/>
                <w:lang w:eastAsia="en-US"/>
              </w:rPr>
            </w:pPr>
            <w:r w:rsidRPr="00332680">
              <w:rPr>
                <w:rFonts w:eastAsia="Times New Roman"/>
                <w:color w:val="000000"/>
                <w:sz w:val="20"/>
                <w:lang w:eastAsia="en-US"/>
              </w:rPr>
              <w:t xml:space="preserve">                               -   </w:t>
            </w:r>
          </w:p>
        </w:tc>
      </w:tr>
      <w:tr w:rsidR="00332680" w:rsidRPr="00332680"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Australia</w:t>
            </w:r>
          </w:p>
        </w:tc>
        <w:tc>
          <w:tcPr>
            <w:tcW w:w="2425" w:type="dxa"/>
            <w:tcBorders>
              <w:top w:val="nil"/>
              <w:left w:val="nil"/>
              <w:bottom w:val="nil"/>
              <w:right w:val="single" w:sz="4" w:space="0" w:color="auto"/>
            </w:tcBorders>
            <w:shd w:val="clear" w:color="auto" w:fill="auto"/>
            <w:noWrap/>
            <w:vAlign w:val="bottom"/>
            <w:hideMark/>
          </w:tcPr>
          <w:p w:rsidR="00332680" w:rsidRPr="00332680" w:rsidRDefault="00332680" w:rsidP="00332680">
            <w:pPr>
              <w:jc w:val="right"/>
              <w:rPr>
                <w:rFonts w:eastAsia="Times New Roman"/>
                <w:color w:val="000000"/>
                <w:sz w:val="20"/>
                <w:lang w:eastAsia="en-US"/>
              </w:rPr>
            </w:pPr>
            <w:r w:rsidRPr="00332680">
              <w:rPr>
                <w:rFonts w:eastAsia="Times New Roman"/>
                <w:color w:val="000000"/>
                <w:sz w:val="20"/>
                <w:lang w:eastAsia="en-US"/>
              </w:rPr>
              <w:t xml:space="preserve">                    91,000.00 </w:t>
            </w:r>
          </w:p>
        </w:tc>
      </w:tr>
      <w:tr w:rsidR="00332680" w:rsidRPr="00332680"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Austria</w:t>
            </w:r>
          </w:p>
        </w:tc>
        <w:tc>
          <w:tcPr>
            <w:tcW w:w="2425" w:type="dxa"/>
            <w:tcBorders>
              <w:top w:val="nil"/>
              <w:left w:val="nil"/>
              <w:bottom w:val="nil"/>
              <w:right w:val="single" w:sz="4" w:space="0" w:color="auto"/>
            </w:tcBorders>
            <w:shd w:val="clear" w:color="auto" w:fill="auto"/>
            <w:noWrap/>
            <w:vAlign w:val="bottom"/>
            <w:hideMark/>
          </w:tcPr>
          <w:p w:rsidR="00332680" w:rsidRPr="00332680" w:rsidRDefault="00332680" w:rsidP="00332680">
            <w:pPr>
              <w:jc w:val="right"/>
              <w:rPr>
                <w:rFonts w:eastAsia="Times New Roman"/>
                <w:color w:val="000000"/>
                <w:sz w:val="20"/>
                <w:lang w:eastAsia="en-US"/>
              </w:rPr>
            </w:pPr>
            <w:r w:rsidRPr="00332680">
              <w:rPr>
                <w:rFonts w:eastAsia="Times New Roman"/>
                <w:color w:val="000000"/>
                <w:sz w:val="20"/>
                <w:lang w:eastAsia="en-US"/>
              </w:rPr>
              <w:t xml:space="preserve">                    19,250.00 </w:t>
            </w:r>
          </w:p>
        </w:tc>
      </w:tr>
      <w:tr w:rsidR="00332680" w:rsidRPr="00332680"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Bahamas</w:t>
            </w:r>
          </w:p>
        </w:tc>
        <w:tc>
          <w:tcPr>
            <w:tcW w:w="2425" w:type="dxa"/>
            <w:tcBorders>
              <w:top w:val="nil"/>
              <w:left w:val="nil"/>
              <w:bottom w:val="nil"/>
              <w:right w:val="single" w:sz="4" w:space="0" w:color="auto"/>
            </w:tcBorders>
            <w:shd w:val="clear" w:color="auto" w:fill="auto"/>
            <w:noWrap/>
            <w:vAlign w:val="bottom"/>
            <w:hideMark/>
          </w:tcPr>
          <w:p w:rsidR="00332680" w:rsidRPr="00332680" w:rsidRDefault="00332680" w:rsidP="00332680">
            <w:pPr>
              <w:jc w:val="right"/>
              <w:rPr>
                <w:rFonts w:eastAsia="Times New Roman"/>
                <w:color w:val="000000"/>
                <w:sz w:val="20"/>
                <w:lang w:eastAsia="en-US"/>
              </w:rPr>
            </w:pPr>
            <w:r w:rsidRPr="00332680">
              <w:rPr>
                <w:rFonts w:eastAsia="Times New Roman"/>
                <w:color w:val="000000"/>
                <w:sz w:val="20"/>
                <w:lang w:eastAsia="en-US"/>
              </w:rPr>
              <w:t xml:space="preserve">                               -   </w:t>
            </w:r>
          </w:p>
        </w:tc>
      </w:tr>
      <w:tr w:rsidR="00332680" w:rsidRPr="00332680"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Barbados</w:t>
            </w:r>
          </w:p>
        </w:tc>
        <w:tc>
          <w:tcPr>
            <w:tcW w:w="2425" w:type="dxa"/>
            <w:tcBorders>
              <w:top w:val="nil"/>
              <w:left w:val="nil"/>
              <w:bottom w:val="nil"/>
              <w:right w:val="single" w:sz="4" w:space="0" w:color="auto"/>
            </w:tcBorders>
            <w:shd w:val="clear" w:color="auto" w:fill="auto"/>
            <w:noWrap/>
            <w:vAlign w:val="bottom"/>
            <w:hideMark/>
          </w:tcPr>
          <w:p w:rsidR="00332680" w:rsidRPr="00332680" w:rsidRDefault="00332680" w:rsidP="00332680">
            <w:pPr>
              <w:jc w:val="right"/>
              <w:rPr>
                <w:rFonts w:eastAsia="Times New Roman"/>
                <w:color w:val="000000"/>
                <w:sz w:val="20"/>
                <w:lang w:eastAsia="en-US"/>
              </w:rPr>
            </w:pPr>
            <w:r w:rsidRPr="00332680">
              <w:rPr>
                <w:rFonts w:eastAsia="Times New Roman"/>
                <w:color w:val="000000"/>
                <w:sz w:val="20"/>
                <w:lang w:eastAsia="en-US"/>
              </w:rPr>
              <w:t xml:space="preserve">                               -   </w:t>
            </w:r>
          </w:p>
        </w:tc>
      </w:tr>
      <w:tr w:rsidR="00332680" w:rsidRPr="00332680"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Belgium</w:t>
            </w:r>
          </w:p>
        </w:tc>
        <w:tc>
          <w:tcPr>
            <w:tcW w:w="2425" w:type="dxa"/>
            <w:tcBorders>
              <w:top w:val="nil"/>
              <w:left w:val="nil"/>
              <w:bottom w:val="nil"/>
              <w:right w:val="single" w:sz="4" w:space="0" w:color="auto"/>
            </w:tcBorders>
            <w:shd w:val="clear" w:color="auto" w:fill="auto"/>
            <w:noWrap/>
            <w:vAlign w:val="bottom"/>
            <w:hideMark/>
          </w:tcPr>
          <w:p w:rsidR="00332680" w:rsidRPr="00332680" w:rsidRDefault="00332680" w:rsidP="00332680">
            <w:pPr>
              <w:jc w:val="right"/>
              <w:rPr>
                <w:rFonts w:eastAsia="Times New Roman"/>
                <w:color w:val="000000"/>
                <w:sz w:val="20"/>
                <w:lang w:eastAsia="en-US"/>
              </w:rPr>
            </w:pPr>
            <w:r w:rsidRPr="00332680">
              <w:rPr>
                <w:rFonts w:eastAsia="Times New Roman"/>
                <w:color w:val="000000"/>
                <w:sz w:val="20"/>
                <w:lang w:eastAsia="en-US"/>
              </w:rPr>
              <w:t xml:space="preserve">                      9,800.00 </w:t>
            </w:r>
          </w:p>
        </w:tc>
      </w:tr>
      <w:tr w:rsidR="00332680" w:rsidRPr="00332680"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Benin</w:t>
            </w:r>
          </w:p>
        </w:tc>
        <w:tc>
          <w:tcPr>
            <w:tcW w:w="2425" w:type="dxa"/>
            <w:tcBorders>
              <w:top w:val="nil"/>
              <w:left w:val="nil"/>
              <w:bottom w:val="nil"/>
              <w:right w:val="single" w:sz="4" w:space="0" w:color="auto"/>
            </w:tcBorders>
            <w:shd w:val="clear" w:color="auto" w:fill="auto"/>
            <w:noWrap/>
            <w:vAlign w:val="bottom"/>
            <w:hideMark/>
          </w:tcPr>
          <w:p w:rsidR="00332680" w:rsidRPr="00332680" w:rsidRDefault="00332680" w:rsidP="00332680">
            <w:pPr>
              <w:jc w:val="right"/>
              <w:rPr>
                <w:rFonts w:eastAsia="Times New Roman"/>
                <w:color w:val="000000"/>
                <w:sz w:val="20"/>
                <w:lang w:eastAsia="en-US"/>
              </w:rPr>
            </w:pPr>
            <w:r w:rsidRPr="00332680">
              <w:rPr>
                <w:rFonts w:eastAsia="Times New Roman"/>
                <w:color w:val="000000"/>
                <w:sz w:val="20"/>
                <w:lang w:eastAsia="en-US"/>
              </w:rPr>
              <w:t xml:space="preserve">                               -   </w:t>
            </w:r>
          </w:p>
        </w:tc>
      </w:tr>
      <w:tr w:rsidR="00332680" w:rsidRPr="00332680"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Brazil</w:t>
            </w:r>
          </w:p>
        </w:tc>
        <w:tc>
          <w:tcPr>
            <w:tcW w:w="2425" w:type="dxa"/>
            <w:tcBorders>
              <w:top w:val="nil"/>
              <w:left w:val="nil"/>
              <w:bottom w:val="nil"/>
              <w:right w:val="single" w:sz="4" w:space="0" w:color="auto"/>
            </w:tcBorders>
            <w:shd w:val="clear" w:color="auto" w:fill="auto"/>
            <w:noWrap/>
            <w:vAlign w:val="bottom"/>
            <w:hideMark/>
          </w:tcPr>
          <w:p w:rsidR="00332680" w:rsidRPr="00332680" w:rsidRDefault="00332680" w:rsidP="00332680">
            <w:pPr>
              <w:jc w:val="right"/>
              <w:rPr>
                <w:rFonts w:eastAsia="Times New Roman"/>
                <w:color w:val="000000"/>
                <w:sz w:val="20"/>
                <w:lang w:eastAsia="en-US"/>
              </w:rPr>
            </w:pPr>
            <w:r w:rsidRPr="00332680">
              <w:rPr>
                <w:rFonts w:eastAsia="Times New Roman"/>
                <w:color w:val="000000"/>
                <w:sz w:val="20"/>
                <w:lang w:eastAsia="en-US"/>
              </w:rPr>
              <w:t xml:space="preserve">                      4,200.00 </w:t>
            </w:r>
          </w:p>
        </w:tc>
      </w:tr>
      <w:tr w:rsidR="00332680" w:rsidRPr="00332680"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Bulgaria</w:t>
            </w:r>
          </w:p>
        </w:tc>
        <w:tc>
          <w:tcPr>
            <w:tcW w:w="2425" w:type="dxa"/>
            <w:tcBorders>
              <w:top w:val="nil"/>
              <w:left w:val="nil"/>
              <w:bottom w:val="nil"/>
              <w:right w:val="single" w:sz="4" w:space="0" w:color="auto"/>
            </w:tcBorders>
            <w:shd w:val="clear" w:color="auto" w:fill="auto"/>
            <w:noWrap/>
            <w:vAlign w:val="bottom"/>
            <w:hideMark/>
          </w:tcPr>
          <w:p w:rsidR="00332680" w:rsidRPr="00332680" w:rsidRDefault="00332680" w:rsidP="00332680">
            <w:pPr>
              <w:jc w:val="right"/>
              <w:rPr>
                <w:rFonts w:eastAsia="Times New Roman"/>
                <w:color w:val="000000"/>
                <w:sz w:val="20"/>
                <w:lang w:eastAsia="en-US"/>
              </w:rPr>
            </w:pPr>
            <w:r w:rsidRPr="00332680">
              <w:rPr>
                <w:rFonts w:eastAsia="Times New Roman"/>
                <w:color w:val="000000"/>
                <w:sz w:val="20"/>
                <w:lang w:eastAsia="en-US"/>
              </w:rPr>
              <w:t xml:space="preserve">                         200.00 </w:t>
            </w:r>
          </w:p>
        </w:tc>
      </w:tr>
      <w:tr w:rsidR="00332680" w:rsidRPr="00332680"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Burkina Faso</w:t>
            </w:r>
          </w:p>
        </w:tc>
        <w:tc>
          <w:tcPr>
            <w:tcW w:w="2425" w:type="dxa"/>
            <w:tcBorders>
              <w:top w:val="nil"/>
              <w:left w:val="nil"/>
              <w:bottom w:val="nil"/>
              <w:right w:val="single" w:sz="4" w:space="0" w:color="auto"/>
            </w:tcBorders>
            <w:shd w:val="clear" w:color="auto" w:fill="auto"/>
            <w:noWrap/>
            <w:vAlign w:val="bottom"/>
            <w:hideMark/>
          </w:tcPr>
          <w:p w:rsidR="00332680" w:rsidRPr="00332680" w:rsidRDefault="00332680" w:rsidP="00332680">
            <w:pPr>
              <w:jc w:val="right"/>
              <w:rPr>
                <w:rFonts w:eastAsia="Times New Roman"/>
                <w:color w:val="000000"/>
                <w:sz w:val="20"/>
                <w:lang w:eastAsia="en-US"/>
              </w:rPr>
            </w:pPr>
            <w:r w:rsidRPr="00332680">
              <w:rPr>
                <w:rFonts w:eastAsia="Times New Roman"/>
                <w:color w:val="000000"/>
                <w:sz w:val="20"/>
                <w:lang w:eastAsia="en-US"/>
              </w:rPr>
              <w:t xml:space="preserve">                               -   </w:t>
            </w:r>
          </w:p>
        </w:tc>
      </w:tr>
      <w:tr w:rsidR="00332680" w:rsidRPr="00332680"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Burundi</w:t>
            </w:r>
          </w:p>
        </w:tc>
        <w:tc>
          <w:tcPr>
            <w:tcW w:w="2425" w:type="dxa"/>
            <w:tcBorders>
              <w:top w:val="nil"/>
              <w:left w:val="nil"/>
              <w:bottom w:val="nil"/>
              <w:right w:val="single" w:sz="4" w:space="0" w:color="auto"/>
            </w:tcBorders>
            <w:shd w:val="clear" w:color="auto" w:fill="auto"/>
            <w:noWrap/>
            <w:vAlign w:val="bottom"/>
            <w:hideMark/>
          </w:tcPr>
          <w:p w:rsidR="00332680" w:rsidRPr="00332680" w:rsidRDefault="00332680" w:rsidP="00332680">
            <w:pPr>
              <w:jc w:val="right"/>
              <w:rPr>
                <w:rFonts w:eastAsia="Times New Roman"/>
                <w:color w:val="000000"/>
                <w:sz w:val="20"/>
                <w:lang w:eastAsia="en-US"/>
              </w:rPr>
            </w:pPr>
            <w:r w:rsidRPr="00332680">
              <w:rPr>
                <w:rFonts w:eastAsia="Times New Roman"/>
                <w:color w:val="000000"/>
                <w:sz w:val="20"/>
                <w:lang w:eastAsia="en-US"/>
              </w:rPr>
              <w:t xml:space="preserve">                               -   </w:t>
            </w:r>
          </w:p>
        </w:tc>
      </w:tr>
      <w:tr w:rsidR="00332680" w:rsidRPr="00332680"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Cameroon</w:t>
            </w:r>
          </w:p>
        </w:tc>
        <w:tc>
          <w:tcPr>
            <w:tcW w:w="2425" w:type="dxa"/>
            <w:tcBorders>
              <w:top w:val="nil"/>
              <w:left w:val="nil"/>
              <w:bottom w:val="nil"/>
              <w:right w:val="single" w:sz="4" w:space="0" w:color="auto"/>
            </w:tcBorders>
            <w:shd w:val="clear" w:color="auto" w:fill="auto"/>
            <w:noWrap/>
            <w:vAlign w:val="bottom"/>
            <w:hideMark/>
          </w:tcPr>
          <w:p w:rsidR="00332680" w:rsidRPr="00332680" w:rsidRDefault="00332680" w:rsidP="00332680">
            <w:pPr>
              <w:jc w:val="right"/>
              <w:rPr>
                <w:rFonts w:eastAsia="Times New Roman"/>
                <w:color w:val="000000"/>
                <w:sz w:val="20"/>
                <w:lang w:eastAsia="en-US"/>
              </w:rPr>
            </w:pPr>
            <w:r w:rsidRPr="00332680">
              <w:rPr>
                <w:rFonts w:eastAsia="Times New Roman"/>
                <w:color w:val="000000"/>
                <w:sz w:val="20"/>
                <w:lang w:eastAsia="en-US"/>
              </w:rPr>
              <w:t xml:space="preserve">                               -   </w:t>
            </w:r>
          </w:p>
        </w:tc>
      </w:tr>
      <w:tr w:rsidR="00332680" w:rsidRPr="00332680"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Canada</w:t>
            </w:r>
          </w:p>
        </w:tc>
        <w:tc>
          <w:tcPr>
            <w:tcW w:w="2425" w:type="dxa"/>
            <w:tcBorders>
              <w:top w:val="nil"/>
              <w:left w:val="nil"/>
              <w:bottom w:val="nil"/>
              <w:right w:val="single" w:sz="4" w:space="0" w:color="auto"/>
            </w:tcBorders>
            <w:shd w:val="clear" w:color="auto" w:fill="auto"/>
            <w:noWrap/>
            <w:vAlign w:val="bottom"/>
            <w:hideMark/>
          </w:tcPr>
          <w:p w:rsidR="00332680" w:rsidRPr="00332680" w:rsidRDefault="00332680" w:rsidP="00332680">
            <w:pPr>
              <w:jc w:val="right"/>
              <w:rPr>
                <w:rFonts w:eastAsia="Times New Roman"/>
                <w:color w:val="000000"/>
                <w:sz w:val="20"/>
                <w:lang w:eastAsia="en-US"/>
              </w:rPr>
            </w:pPr>
            <w:r w:rsidRPr="00332680">
              <w:rPr>
                <w:rFonts w:eastAsia="Times New Roman"/>
                <w:color w:val="000000"/>
                <w:sz w:val="20"/>
                <w:lang w:eastAsia="en-US"/>
              </w:rPr>
              <w:t xml:space="preserve">                               -   </w:t>
            </w:r>
          </w:p>
        </w:tc>
      </w:tr>
      <w:tr w:rsidR="00332680" w:rsidRPr="00332680"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Central African Republic</w:t>
            </w:r>
          </w:p>
        </w:tc>
        <w:tc>
          <w:tcPr>
            <w:tcW w:w="2425" w:type="dxa"/>
            <w:tcBorders>
              <w:top w:val="nil"/>
              <w:left w:val="nil"/>
              <w:bottom w:val="nil"/>
              <w:right w:val="single" w:sz="4" w:space="0" w:color="auto"/>
            </w:tcBorders>
            <w:shd w:val="clear" w:color="auto" w:fill="auto"/>
            <w:noWrap/>
            <w:vAlign w:val="bottom"/>
            <w:hideMark/>
          </w:tcPr>
          <w:p w:rsidR="00332680" w:rsidRPr="00332680" w:rsidRDefault="00332680" w:rsidP="00332680">
            <w:pPr>
              <w:jc w:val="right"/>
              <w:rPr>
                <w:rFonts w:eastAsia="Times New Roman"/>
                <w:color w:val="000000"/>
                <w:sz w:val="20"/>
                <w:lang w:eastAsia="en-US"/>
              </w:rPr>
            </w:pPr>
            <w:r w:rsidRPr="00332680">
              <w:rPr>
                <w:rFonts w:eastAsia="Times New Roman"/>
                <w:color w:val="000000"/>
                <w:sz w:val="20"/>
                <w:lang w:eastAsia="en-US"/>
              </w:rPr>
              <w:t xml:space="preserve">                               -   </w:t>
            </w:r>
          </w:p>
        </w:tc>
      </w:tr>
      <w:tr w:rsidR="00332680" w:rsidRPr="00332680"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Chad</w:t>
            </w:r>
          </w:p>
        </w:tc>
        <w:tc>
          <w:tcPr>
            <w:tcW w:w="2425" w:type="dxa"/>
            <w:tcBorders>
              <w:top w:val="nil"/>
              <w:left w:val="nil"/>
              <w:bottom w:val="nil"/>
              <w:right w:val="single" w:sz="4" w:space="0" w:color="auto"/>
            </w:tcBorders>
            <w:shd w:val="clear" w:color="auto" w:fill="auto"/>
            <w:noWrap/>
            <w:vAlign w:val="bottom"/>
            <w:hideMark/>
          </w:tcPr>
          <w:p w:rsidR="00332680" w:rsidRPr="00332680" w:rsidRDefault="00332680" w:rsidP="00332680">
            <w:pPr>
              <w:jc w:val="right"/>
              <w:rPr>
                <w:rFonts w:eastAsia="Times New Roman"/>
                <w:color w:val="000000"/>
                <w:sz w:val="20"/>
                <w:lang w:eastAsia="en-US"/>
              </w:rPr>
            </w:pPr>
            <w:r w:rsidRPr="00332680">
              <w:rPr>
                <w:rFonts w:eastAsia="Times New Roman"/>
                <w:color w:val="000000"/>
                <w:sz w:val="20"/>
                <w:lang w:eastAsia="en-US"/>
              </w:rPr>
              <w:t xml:space="preserve">                               -   </w:t>
            </w:r>
          </w:p>
        </w:tc>
      </w:tr>
      <w:tr w:rsidR="00332680" w:rsidRPr="00332680"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Chile</w:t>
            </w:r>
          </w:p>
        </w:tc>
        <w:tc>
          <w:tcPr>
            <w:tcW w:w="2425" w:type="dxa"/>
            <w:tcBorders>
              <w:top w:val="nil"/>
              <w:left w:val="nil"/>
              <w:bottom w:val="nil"/>
              <w:right w:val="single" w:sz="4" w:space="0" w:color="auto"/>
            </w:tcBorders>
            <w:shd w:val="clear" w:color="auto" w:fill="auto"/>
            <w:noWrap/>
            <w:vAlign w:val="bottom"/>
            <w:hideMark/>
          </w:tcPr>
          <w:p w:rsidR="00332680" w:rsidRPr="00332680" w:rsidRDefault="00332680" w:rsidP="00332680">
            <w:pPr>
              <w:jc w:val="right"/>
              <w:rPr>
                <w:rFonts w:eastAsia="Times New Roman"/>
                <w:color w:val="000000"/>
                <w:sz w:val="20"/>
                <w:lang w:eastAsia="en-US"/>
              </w:rPr>
            </w:pPr>
            <w:r w:rsidRPr="00332680">
              <w:rPr>
                <w:rFonts w:eastAsia="Times New Roman"/>
                <w:color w:val="000000"/>
                <w:sz w:val="20"/>
                <w:lang w:eastAsia="en-US"/>
              </w:rPr>
              <w:t xml:space="preserve">                               -   </w:t>
            </w:r>
          </w:p>
        </w:tc>
      </w:tr>
      <w:tr w:rsidR="00332680" w:rsidRPr="00332680"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China</w:t>
            </w:r>
          </w:p>
        </w:tc>
        <w:tc>
          <w:tcPr>
            <w:tcW w:w="2425" w:type="dxa"/>
            <w:tcBorders>
              <w:top w:val="nil"/>
              <w:left w:val="nil"/>
              <w:bottom w:val="nil"/>
              <w:right w:val="single" w:sz="4" w:space="0" w:color="auto"/>
            </w:tcBorders>
            <w:shd w:val="clear" w:color="auto" w:fill="auto"/>
            <w:noWrap/>
            <w:vAlign w:val="bottom"/>
            <w:hideMark/>
          </w:tcPr>
          <w:p w:rsidR="00332680" w:rsidRPr="00332680" w:rsidRDefault="00332680" w:rsidP="00332680">
            <w:pPr>
              <w:jc w:val="right"/>
              <w:rPr>
                <w:rFonts w:eastAsia="Times New Roman"/>
                <w:color w:val="000000"/>
                <w:sz w:val="20"/>
                <w:lang w:eastAsia="en-US"/>
              </w:rPr>
            </w:pPr>
            <w:r w:rsidRPr="00332680">
              <w:rPr>
                <w:rFonts w:eastAsia="Times New Roman"/>
                <w:color w:val="000000"/>
                <w:sz w:val="20"/>
                <w:lang w:eastAsia="en-US"/>
              </w:rPr>
              <w:t xml:space="preserve">                               -   </w:t>
            </w:r>
          </w:p>
        </w:tc>
      </w:tr>
      <w:tr w:rsidR="00332680" w:rsidRPr="00332680"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Congo</w:t>
            </w:r>
          </w:p>
        </w:tc>
        <w:tc>
          <w:tcPr>
            <w:tcW w:w="2425" w:type="dxa"/>
            <w:tcBorders>
              <w:top w:val="nil"/>
              <w:left w:val="nil"/>
              <w:bottom w:val="nil"/>
              <w:right w:val="single" w:sz="4" w:space="0" w:color="auto"/>
            </w:tcBorders>
            <w:shd w:val="clear" w:color="auto" w:fill="auto"/>
            <w:noWrap/>
            <w:vAlign w:val="bottom"/>
            <w:hideMark/>
          </w:tcPr>
          <w:p w:rsidR="00332680" w:rsidRPr="00332680" w:rsidRDefault="00332680" w:rsidP="00332680">
            <w:pPr>
              <w:jc w:val="right"/>
              <w:rPr>
                <w:rFonts w:eastAsia="Times New Roman"/>
                <w:color w:val="000000"/>
                <w:sz w:val="20"/>
                <w:lang w:eastAsia="en-US"/>
              </w:rPr>
            </w:pPr>
            <w:r w:rsidRPr="00332680">
              <w:rPr>
                <w:rFonts w:eastAsia="Times New Roman"/>
                <w:color w:val="000000"/>
                <w:sz w:val="20"/>
                <w:lang w:eastAsia="en-US"/>
              </w:rPr>
              <w:t xml:space="preserve">                               -   </w:t>
            </w:r>
          </w:p>
        </w:tc>
      </w:tr>
      <w:tr w:rsidR="00332680" w:rsidRPr="00332680"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Costa Rica</w:t>
            </w:r>
          </w:p>
        </w:tc>
        <w:tc>
          <w:tcPr>
            <w:tcW w:w="2425" w:type="dxa"/>
            <w:tcBorders>
              <w:top w:val="nil"/>
              <w:left w:val="nil"/>
              <w:bottom w:val="nil"/>
              <w:right w:val="single" w:sz="4" w:space="0" w:color="auto"/>
            </w:tcBorders>
            <w:shd w:val="clear" w:color="auto" w:fill="auto"/>
            <w:noWrap/>
            <w:vAlign w:val="bottom"/>
            <w:hideMark/>
          </w:tcPr>
          <w:p w:rsidR="00332680" w:rsidRPr="00332680" w:rsidRDefault="00332680" w:rsidP="00332680">
            <w:pPr>
              <w:jc w:val="right"/>
              <w:rPr>
                <w:rFonts w:eastAsia="Times New Roman"/>
                <w:color w:val="000000"/>
                <w:sz w:val="20"/>
                <w:lang w:eastAsia="en-US"/>
              </w:rPr>
            </w:pPr>
            <w:r w:rsidRPr="00332680">
              <w:rPr>
                <w:rFonts w:eastAsia="Times New Roman"/>
                <w:color w:val="000000"/>
                <w:sz w:val="20"/>
                <w:lang w:eastAsia="en-US"/>
              </w:rPr>
              <w:t xml:space="preserve">                               -   </w:t>
            </w:r>
          </w:p>
        </w:tc>
      </w:tr>
      <w:tr w:rsidR="00332680" w:rsidRPr="00332680"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Côte d'Ivoire</w:t>
            </w:r>
          </w:p>
        </w:tc>
        <w:tc>
          <w:tcPr>
            <w:tcW w:w="2425" w:type="dxa"/>
            <w:tcBorders>
              <w:top w:val="nil"/>
              <w:left w:val="nil"/>
              <w:bottom w:val="nil"/>
              <w:right w:val="single" w:sz="4" w:space="0" w:color="auto"/>
            </w:tcBorders>
            <w:shd w:val="clear" w:color="auto" w:fill="auto"/>
            <w:noWrap/>
            <w:vAlign w:val="bottom"/>
            <w:hideMark/>
          </w:tcPr>
          <w:p w:rsidR="00332680" w:rsidRPr="00332680" w:rsidRDefault="00332680" w:rsidP="00332680">
            <w:pPr>
              <w:jc w:val="right"/>
              <w:rPr>
                <w:rFonts w:eastAsia="Times New Roman"/>
                <w:color w:val="000000"/>
                <w:sz w:val="20"/>
                <w:lang w:eastAsia="en-US"/>
              </w:rPr>
            </w:pPr>
            <w:r w:rsidRPr="00332680">
              <w:rPr>
                <w:rFonts w:eastAsia="Times New Roman"/>
                <w:color w:val="000000"/>
                <w:sz w:val="20"/>
                <w:lang w:eastAsia="en-US"/>
              </w:rPr>
              <w:t xml:space="preserve">                               -   </w:t>
            </w:r>
          </w:p>
        </w:tc>
      </w:tr>
      <w:tr w:rsidR="00332680" w:rsidRPr="00332680"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Cuba</w:t>
            </w:r>
          </w:p>
        </w:tc>
        <w:tc>
          <w:tcPr>
            <w:tcW w:w="2425" w:type="dxa"/>
            <w:tcBorders>
              <w:top w:val="nil"/>
              <w:left w:val="nil"/>
              <w:bottom w:val="nil"/>
              <w:right w:val="single" w:sz="4" w:space="0" w:color="auto"/>
            </w:tcBorders>
            <w:shd w:val="clear" w:color="auto" w:fill="auto"/>
            <w:noWrap/>
            <w:vAlign w:val="bottom"/>
            <w:hideMark/>
          </w:tcPr>
          <w:p w:rsidR="00332680" w:rsidRPr="00332680" w:rsidRDefault="00332680" w:rsidP="00332680">
            <w:pPr>
              <w:jc w:val="right"/>
              <w:rPr>
                <w:rFonts w:eastAsia="Times New Roman"/>
                <w:color w:val="000000"/>
                <w:sz w:val="20"/>
                <w:lang w:eastAsia="en-US"/>
              </w:rPr>
            </w:pPr>
            <w:r w:rsidRPr="00332680">
              <w:rPr>
                <w:rFonts w:eastAsia="Times New Roman"/>
                <w:color w:val="000000"/>
                <w:sz w:val="20"/>
                <w:lang w:eastAsia="en-US"/>
              </w:rPr>
              <w:t xml:space="preserve">                               -   </w:t>
            </w:r>
          </w:p>
        </w:tc>
      </w:tr>
      <w:tr w:rsidR="00332680" w:rsidRPr="00332680"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Cyprus</w:t>
            </w:r>
          </w:p>
        </w:tc>
        <w:tc>
          <w:tcPr>
            <w:tcW w:w="2425" w:type="dxa"/>
            <w:tcBorders>
              <w:top w:val="nil"/>
              <w:left w:val="nil"/>
              <w:bottom w:val="nil"/>
              <w:right w:val="single" w:sz="4" w:space="0" w:color="auto"/>
            </w:tcBorders>
            <w:shd w:val="clear" w:color="auto" w:fill="auto"/>
            <w:noWrap/>
            <w:vAlign w:val="bottom"/>
            <w:hideMark/>
          </w:tcPr>
          <w:p w:rsidR="00332680" w:rsidRPr="00332680" w:rsidRDefault="00332680" w:rsidP="00332680">
            <w:pPr>
              <w:jc w:val="right"/>
              <w:rPr>
                <w:rFonts w:eastAsia="Times New Roman"/>
                <w:color w:val="000000"/>
                <w:sz w:val="20"/>
                <w:lang w:eastAsia="en-US"/>
              </w:rPr>
            </w:pPr>
            <w:r w:rsidRPr="00332680">
              <w:rPr>
                <w:rFonts w:eastAsia="Times New Roman"/>
                <w:color w:val="000000"/>
                <w:sz w:val="20"/>
                <w:lang w:eastAsia="en-US"/>
              </w:rPr>
              <w:t xml:space="preserve">                               -   </w:t>
            </w:r>
          </w:p>
        </w:tc>
      </w:tr>
      <w:tr w:rsidR="00332680" w:rsidRPr="00332680"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Czech Republic</w:t>
            </w:r>
          </w:p>
        </w:tc>
        <w:tc>
          <w:tcPr>
            <w:tcW w:w="2425" w:type="dxa"/>
            <w:tcBorders>
              <w:top w:val="nil"/>
              <w:left w:val="nil"/>
              <w:bottom w:val="nil"/>
              <w:right w:val="single" w:sz="4" w:space="0" w:color="auto"/>
            </w:tcBorders>
            <w:shd w:val="clear" w:color="auto" w:fill="auto"/>
            <w:noWrap/>
            <w:vAlign w:val="bottom"/>
            <w:hideMark/>
          </w:tcPr>
          <w:p w:rsidR="00332680" w:rsidRPr="00332680" w:rsidRDefault="00332680" w:rsidP="00332680">
            <w:pPr>
              <w:jc w:val="right"/>
              <w:rPr>
                <w:rFonts w:eastAsia="Times New Roman"/>
                <w:color w:val="000000"/>
                <w:sz w:val="20"/>
                <w:lang w:eastAsia="en-US"/>
              </w:rPr>
            </w:pPr>
            <w:r w:rsidRPr="00332680">
              <w:rPr>
                <w:rFonts w:eastAsia="Times New Roman"/>
                <w:color w:val="000000"/>
                <w:sz w:val="20"/>
                <w:lang w:eastAsia="en-US"/>
              </w:rPr>
              <w:t xml:space="preserve">                               -   </w:t>
            </w:r>
          </w:p>
        </w:tc>
      </w:tr>
      <w:tr w:rsidR="00332680" w:rsidRPr="00332680"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Dem. People's Rep. of Korea</w:t>
            </w:r>
          </w:p>
        </w:tc>
        <w:tc>
          <w:tcPr>
            <w:tcW w:w="2425" w:type="dxa"/>
            <w:tcBorders>
              <w:top w:val="nil"/>
              <w:left w:val="nil"/>
              <w:bottom w:val="nil"/>
              <w:right w:val="single" w:sz="4" w:space="0" w:color="auto"/>
            </w:tcBorders>
            <w:shd w:val="clear" w:color="auto" w:fill="auto"/>
            <w:noWrap/>
            <w:vAlign w:val="bottom"/>
            <w:hideMark/>
          </w:tcPr>
          <w:p w:rsidR="00332680" w:rsidRPr="00332680" w:rsidRDefault="00332680" w:rsidP="00332680">
            <w:pPr>
              <w:jc w:val="right"/>
              <w:rPr>
                <w:rFonts w:eastAsia="Times New Roman"/>
                <w:color w:val="000000"/>
                <w:sz w:val="20"/>
                <w:lang w:eastAsia="en-US"/>
              </w:rPr>
            </w:pPr>
            <w:r w:rsidRPr="00332680">
              <w:rPr>
                <w:rFonts w:eastAsia="Times New Roman"/>
                <w:color w:val="000000"/>
                <w:sz w:val="20"/>
                <w:lang w:eastAsia="en-US"/>
              </w:rPr>
              <w:t xml:space="preserve">                               -   </w:t>
            </w:r>
          </w:p>
        </w:tc>
      </w:tr>
      <w:tr w:rsidR="00332680" w:rsidRPr="00332680"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Dem. Republic of Congo</w:t>
            </w:r>
          </w:p>
        </w:tc>
        <w:tc>
          <w:tcPr>
            <w:tcW w:w="2425" w:type="dxa"/>
            <w:tcBorders>
              <w:top w:val="nil"/>
              <w:left w:val="nil"/>
              <w:bottom w:val="nil"/>
              <w:right w:val="single" w:sz="4" w:space="0" w:color="auto"/>
            </w:tcBorders>
            <w:shd w:val="clear" w:color="auto" w:fill="auto"/>
            <w:noWrap/>
            <w:vAlign w:val="bottom"/>
            <w:hideMark/>
          </w:tcPr>
          <w:p w:rsidR="00332680" w:rsidRPr="00332680" w:rsidRDefault="00332680" w:rsidP="00332680">
            <w:pPr>
              <w:jc w:val="right"/>
              <w:rPr>
                <w:rFonts w:eastAsia="Times New Roman"/>
                <w:color w:val="000000"/>
                <w:sz w:val="20"/>
                <w:lang w:eastAsia="en-US"/>
              </w:rPr>
            </w:pPr>
            <w:r w:rsidRPr="00332680">
              <w:rPr>
                <w:rFonts w:eastAsia="Times New Roman"/>
                <w:color w:val="000000"/>
                <w:sz w:val="20"/>
                <w:lang w:eastAsia="en-US"/>
              </w:rPr>
              <w:t xml:space="preserve">                               -   </w:t>
            </w:r>
          </w:p>
        </w:tc>
      </w:tr>
      <w:tr w:rsidR="00332680" w:rsidRPr="00332680"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Denmark</w:t>
            </w:r>
          </w:p>
        </w:tc>
        <w:tc>
          <w:tcPr>
            <w:tcW w:w="2425" w:type="dxa"/>
            <w:tcBorders>
              <w:top w:val="nil"/>
              <w:left w:val="nil"/>
              <w:bottom w:val="nil"/>
              <w:right w:val="single" w:sz="4" w:space="0" w:color="auto"/>
            </w:tcBorders>
            <w:shd w:val="clear" w:color="auto" w:fill="auto"/>
            <w:noWrap/>
            <w:vAlign w:val="bottom"/>
            <w:hideMark/>
          </w:tcPr>
          <w:p w:rsidR="00332680" w:rsidRPr="00332680" w:rsidRDefault="00332680" w:rsidP="00332680">
            <w:pPr>
              <w:jc w:val="right"/>
              <w:rPr>
                <w:rFonts w:eastAsia="Times New Roman"/>
                <w:color w:val="000000"/>
                <w:sz w:val="20"/>
                <w:lang w:eastAsia="en-US"/>
              </w:rPr>
            </w:pPr>
            <w:r w:rsidRPr="00332680">
              <w:rPr>
                <w:rFonts w:eastAsia="Times New Roman"/>
                <w:color w:val="000000"/>
                <w:sz w:val="20"/>
                <w:lang w:eastAsia="en-US"/>
              </w:rPr>
              <w:t xml:space="preserve">                    41,000.00 </w:t>
            </w:r>
          </w:p>
        </w:tc>
      </w:tr>
      <w:tr w:rsidR="00332680" w:rsidRPr="00332680"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Dominican Republic</w:t>
            </w:r>
          </w:p>
        </w:tc>
        <w:tc>
          <w:tcPr>
            <w:tcW w:w="2425" w:type="dxa"/>
            <w:tcBorders>
              <w:top w:val="nil"/>
              <w:left w:val="nil"/>
              <w:bottom w:val="nil"/>
              <w:right w:val="single" w:sz="4" w:space="0" w:color="auto"/>
            </w:tcBorders>
            <w:shd w:val="clear" w:color="auto" w:fill="auto"/>
            <w:noWrap/>
            <w:vAlign w:val="bottom"/>
            <w:hideMark/>
          </w:tcPr>
          <w:p w:rsidR="00332680" w:rsidRPr="00332680" w:rsidRDefault="00332680" w:rsidP="00332680">
            <w:pPr>
              <w:jc w:val="right"/>
              <w:rPr>
                <w:rFonts w:eastAsia="Times New Roman"/>
                <w:color w:val="000000"/>
                <w:sz w:val="20"/>
                <w:lang w:eastAsia="en-US"/>
              </w:rPr>
            </w:pPr>
            <w:r w:rsidRPr="00332680">
              <w:rPr>
                <w:rFonts w:eastAsia="Times New Roman"/>
                <w:color w:val="000000"/>
                <w:sz w:val="20"/>
                <w:lang w:eastAsia="en-US"/>
              </w:rPr>
              <w:t xml:space="preserve">                               -   </w:t>
            </w:r>
          </w:p>
        </w:tc>
      </w:tr>
      <w:tr w:rsidR="00332680" w:rsidRPr="00332680"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Egypt</w:t>
            </w:r>
          </w:p>
        </w:tc>
        <w:tc>
          <w:tcPr>
            <w:tcW w:w="2425" w:type="dxa"/>
            <w:tcBorders>
              <w:top w:val="nil"/>
              <w:left w:val="nil"/>
              <w:bottom w:val="nil"/>
              <w:right w:val="single" w:sz="4" w:space="0" w:color="auto"/>
            </w:tcBorders>
            <w:shd w:val="clear" w:color="auto" w:fill="auto"/>
            <w:noWrap/>
            <w:vAlign w:val="bottom"/>
            <w:hideMark/>
          </w:tcPr>
          <w:p w:rsidR="00332680" w:rsidRPr="00332680" w:rsidRDefault="00332680" w:rsidP="00332680">
            <w:pPr>
              <w:jc w:val="right"/>
              <w:rPr>
                <w:rFonts w:eastAsia="Times New Roman"/>
                <w:color w:val="000000"/>
                <w:sz w:val="20"/>
                <w:lang w:eastAsia="en-US"/>
              </w:rPr>
            </w:pPr>
            <w:r w:rsidRPr="00332680">
              <w:rPr>
                <w:rFonts w:eastAsia="Times New Roman"/>
                <w:color w:val="000000"/>
                <w:sz w:val="20"/>
                <w:lang w:eastAsia="en-US"/>
              </w:rPr>
              <w:t xml:space="preserve">                               -   </w:t>
            </w:r>
          </w:p>
        </w:tc>
      </w:tr>
      <w:tr w:rsidR="00332680" w:rsidRPr="00332680"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Fiji</w:t>
            </w:r>
          </w:p>
        </w:tc>
        <w:tc>
          <w:tcPr>
            <w:tcW w:w="2425" w:type="dxa"/>
            <w:tcBorders>
              <w:top w:val="nil"/>
              <w:left w:val="nil"/>
              <w:bottom w:val="nil"/>
              <w:right w:val="single" w:sz="4" w:space="0" w:color="auto"/>
            </w:tcBorders>
            <w:shd w:val="clear" w:color="auto" w:fill="auto"/>
            <w:noWrap/>
            <w:vAlign w:val="bottom"/>
            <w:hideMark/>
          </w:tcPr>
          <w:p w:rsidR="00332680" w:rsidRPr="00332680" w:rsidRDefault="00332680" w:rsidP="00332680">
            <w:pPr>
              <w:jc w:val="right"/>
              <w:rPr>
                <w:rFonts w:eastAsia="Times New Roman"/>
                <w:color w:val="000000"/>
                <w:sz w:val="20"/>
                <w:lang w:eastAsia="en-US"/>
              </w:rPr>
            </w:pPr>
            <w:r w:rsidRPr="00332680">
              <w:rPr>
                <w:rFonts w:eastAsia="Times New Roman"/>
                <w:color w:val="000000"/>
                <w:sz w:val="20"/>
                <w:lang w:eastAsia="en-US"/>
              </w:rPr>
              <w:t xml:space="preserve">                               -   </w:t>
            </w:r>
          </w:p>
        </w:tc>
      </w:tr>
      <w:tr w:rsidR="00332680" w:rsidRPr="00332680"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Finland</w:t>
            </w:r>
          </w:p>
        </w:tc>
        <w:tc>
          <w:tcPr>
            <w:tcW w:w="2425" w:type="dxa"/>
            <w:tcBorders>
              <w:top w:val="nil"/>
              <w:left w:val="nil"/>
              <w:bottom w:val="nil"/>
              <w:right w:val="single" w:sz="4" w:space="0" w:color="auto"/>
            </w:tcBorders>
            <w:shd w:val="clear" w:color="auto" w:fill="auto"/>
            <w:noWrap/>
            <w:vAlign w:val="bottom"/>
            <w:hideMark/>
          </w:tcPr>
          <w:p w:rsidR="00332680" w:rsidRPr="00332680" w:rsidRDefault="00332680" w:rsidP="00332680">
            <w:pPr>
              <w:jc w:val="right"/>
              <w:rPr>
                <w:rFonts w:eastAsia="Times New Roman"/>
                <w:color w:val="000000"/>
                <w:sz w:val="20"/>
                <w:lang w:eastAsia="en-US"/>
              </w:rPr>
            </w:pPr>
            <w:r w:rsidRPr="00332680">
              <w:rPr>
                <w:rFonts w:eastAsia="Times New Roman"/>
                <w:color w:val="000000"/>
                <w:sz w:val="20"/>
                <w:lang w:eastAsia="en-US"/>
              </w:rPr>
              <w:t xml:space="preserve">                    34,200.00 </w:t>
            </w:r>
          </w:p>
        </w:tc>
      </w:tr>
      <w:tr w:rsidR="00332680" w:rsidRPr="00332680"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France</w:t>
            </w:r>
          </w:p>
        </w:tc>
        <w:tc>
          <w:tcPr>
            <w:tcW w:w="2425" w:type="dxa"/>
            <w:tcBorders>
              <w:top w:val="nil"/>
              <w:left w:val="nil"/>
              <w:bottom w:val="nil"/>
              <w:right w:val="single" w:sz="4" w:space="0" w:color="auto"/>
            </w:tcBorders>
            <w:shd w:val="clear" w:color="auto" w:fill="auto"/>
            <w:noWrap/>
            <w:vAlign w:val="bottom"/>
            <w:hideMark/>
          </w:tcPr>
          <w:p w:rsidR="00332680" w:rsidRPr="00332680" w:rsidRDefault="00332680" w:rsidP="00332680">
            <w:pPr>
              <w:jc w:val="right"/>
              <w:rPr>
                <w:rFonts w:eastAsia="Times New Roman"/>
                <w:color w:val="000000"/>
                <w:sz w:val="20"/>
                <w:lang w:eastAsia="en-US"/>
              </w:rPr>
            </w:pPr>
            <w:r w:rsidRPr="00332680">
              <w:rPr>
                <w:rFonts w:eastAsia="Times New Roman"/>
                <w:color w:val="000000"/>
                <w:sz w:val="20"/>
                <w:lang w:eastAsia="en-US"/>
              </w:rPr>
              <w:t xml:space="preserve">                  110,700.00 </w:t>
            </w:r>
          </w:p>
        </w:tc>
      </w:tr>
      <w:tr w:rsidR="00332680" w:rsidRPr="00332680"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Gabon</w:t>
            </w:r>
          </w:p>
        </w:tc>
        <w:tc>
          <w:tcPr>
            <w:tcW w:w="2425" w:type="dxa"/>
            <w:tcBorders>
              <w:top w:val="nil"/>
              <w:left w:val="nil"/>
              <w:bottom w:val="nil"/>
              <w:right w:val="single" w:sz="4" w:space="0" w:color="auto"/>
            </w:tcBorders>
            <w:shd w:val="clear" w:color="auto" w:fill="auto"/>
            <w:noWrap/>
            <w:vAlign w:val="bottom"/>
            <w:hideMark/>
          </w:tcPr>
          <w:p w:rsidR="00332680" w:rsidRPr="00332680" w:rsidRDefault="00332680" w:rsidP="00332680">
            <w:pPr>
              <w:jc w:val="right"/>
              <w:rPr>
                <w:rFonts w:eastAsia="Times New Roman"/>
                <w:color w:val="000000"/>
                <w:sz w:val="20"/>
                <w:lang w:eastAsia="en-US"/>
              </w:rPr>
            </w:pPr>
            <w:r w:rsidRPr="00332680">
              <w:rPr>
                <w:rFonts w:eastAsia="Times New Roman"/>
                <w:color w:val="000000"/>
                <w:sz w:val="20"/>
                <w:lang w:eastAsia="en-US"/>
              </w:rPr>
              <w:t xml:space="preserve">                               -   </w:t>
            </w:r>
          </w:p>
        </w:tc>
      </w:tr>
      <w:tr w:rsidR="00332680" w:rsidRPr="00332680"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Germany</w:t>
            </w:r>
          </w:p>
        </w:tc>
        <w:tc>
          <w:tcPr>
            <w:tcW w:w="2425" w:type="dxa"/>
            <w:tcBorders>
              <w:top w:val="nil"/>
              <w:left w:val="nil"/>
              <w:bottom w:val="nil"/>
              <w:right w:val="single" w:sz="4" w:space="0" w:color="auto"/>
            </w:tcBorders>
            <w:shd w:val="clear" w:color="auto" w:fill="auto"/>
            <w:noWrap/>
            <w:vAlign w:val="bottom"/>
            <w:hideMark/>
          </w:tcPr>
          <w:p w:rsidR="00332680" w:rsidRPr="00332680" w:rsidRDefault="00332680" w:rsidP="00332680">
            <w:pPr>
              <w:jc w:val="right"/>
              <w:rPr>
                <w:rFonts w:eastAsia="Times New Roman"/>
                <w:color w:val="000000"/>
                <w:sz w:val="20"/>
                <w:lang w:eastAsia="en-US"/>
              </w:rPr>
            </w:pPr>
            <w:r w:rsidRPr="00332680">
              <w:rPr>
                <w:rFonts w:eastAsia="Times New Roman"/>
                <w:color w:val="000000"/>
                <w:sz w:val="20"/>
                <w:lang w:eastAsia="en-US"/>
              </w:rPr>
              <w:t xml:space="preserve">                  222,900.00 </w:t>
            </w:r>
          </w:p>
        </w:tc>
      </w:tr>
      <w:tr w:rsidR="00332680" w:rsidRPr="00332680"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Ghana</w:t>
            </w:r>
          </w:p>
        </w:tc>
        <w:tc>
          <w:tcPr>
            <w:tcW w:w="2425" w:type="dxa"/>
            <w:tcBorders>
              <w:top w:val="nil"/>
              <w:left w:val="nil"/>
              <w:bottom w:val="nil"/>
              <w:right w:val="single" w:sz="4" w:space="0" w:color="auto"/>
            </w:tcBorders>
            <w:shd w:val="clear" w:color="auto" w:fill="auto"/>
            <w:noWrap/>
            <w:vAlign w:val="bottom"/>
            <w:hideMark/>
          </w:tcPr>
          <w:p w:rsidR="00332680" w:rsidRPr="00332680" w:rsidRDefault="00332680" w:rsidP="00332680">
            <w:pPr>
              <w:jc w:val="right"/>
              <w:rPr>
                <w:rFonts w:eastAsia="Times New Roman"/>
                <w:color w:val="000000"/>
                <w:sz w:val="20"/>
                <w:lang w:eastAsia="en-US"/>
              </w:rPr>
            </w:pPr>
            <w:r w:rsidRPr="00332680">
              <w:rPr>
                <w:rFonts w:eastAsia="Times New Roman"/>
                <w:color w:val="000000"/>
                <w:sz w:val="20"/>
                <w:lang w:eastAsia="en-US"/>
              </w:rPr>
              <w:t xml:space="preserve">                               -   </w:t>
            </w:r>
          </w:p>
        </w:tc>
      </w:tr>
      <w:tr w:rsidR="00332680" w:rsidRPr="00332680"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Greece</w:t>
            </w:r>
          </w:p>
        </w:tc>
        <w:tc>
          <w:tcPr>
            <w:tcW w:w="2425" w:type="dxa"/>
            <w:tcBorders>
              <w:top w:val="nil"/>
              <w:left w:val="nil"/>
              <w:bottom w:val="nil"/>
              <w:right w:val="single" w:sz="4" w:space="0" w:color="auto"/>
            </w:tcBorders>
            <w:shd w:val="clear" w:color="auto" w:fill="auto"/>
            <w:noWrap/>
            <w:vAlign w:val="bottom"/>
            <w:hideMark/>
          </w:tcPr>
          <w:p w:rsidR="00332680" w:rsidRPr="00332680" w:rsidRDefault="00332680" w:rsidP="00332680">
            <w:pPr>
              <w:jc w:val="right"/>
              <w:rPr>
                <w:rFonts w:eastAsia="Times New Roman"/>
                <w:color w:val="000000"/>
                <w:sz w:val="20"/>
                <w:lang w:eastAsia="en-US"/>
              </w:rPr>
            </w:pPr>
            <w:r w:rsidRPr="00332680">
              <w:rPr>
                <w:rFonts w:eastAsia="Times New Roman"/>
                <w:color w:val="000000"/>
                <w:sz w:val="20"/>
                <w:lang w:eastAsia="en-US"/>
              </w:rPr>
              <w:t xml:space="preserve">                               -   </w:t>
            </w:r>
          </w:p>
        </w:tc>
      </w:tr>
      <w:tr w:rsidR="00332680" w:rsidRPr="00332680"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Guinea</w:t>
            </w:r>
          </w:p>
        </w:tc>
        <w:tc>
          <w:tcPr>
            <w:tcW w:w="2425" w:type="dxa"/>
            <w:tcBorders>
              <w:top w:val="nil"/>
              <w:left w:val="nil"/>
              <w:bottom w:val="nil"/>
              <w:right w:val="single" w:sz="4" w:space="0" w:color="auto"/>
            </w:tcBorders>
            <w:shd w:val="clear" w:color="auto" w:fill="auto"/>
            <w:noWrap/>
            <w:vAlign w:val="bottom"/>
            <w:hideMark/>
          </w:tcPr>
          <w:p w:rsidR="00332680" w:rsidRPr="00332680" w:rsidRDefault="00332680" w:rsidP="00332680">
            <w:pPr>
              <w:jc w:val="right"/>
              <w:rPr>
                <w:rFonts w:eastAsia="Times New Roman"/>
                <w:color w:val="000000"/>
                <w:sz w:val="20"/>
                <w:lang w:eastAsia="en-US"/>
              </w:rPr>
            </w:pPr>
            <w:r w:rsidRPr="00332680">
              <w:rPr>
                <w:rFonts w:eastAsia="Times New Roman"/>
                <w:color w:val="000000"/>
                <w:sz w:val="20"/>
                <w:lang w:eastAsia="en-US"/>
              </w:rPr>
              <w:t xml:space="preserve">                               -   </w:t>
            </w:r>
          </w:p>
        </w:tc>
      </w:tr>
      <w:tr w:rsidR="00332680" w:rsidRPr="00332680"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Haiti</w:t>
            </w:r>
          </w:p>
        </w:tc>
        <w:tc>
          <w:tcPr>
            <w:tcW w:w="2425" w:type="dxa"/>
            <w:tcBorders>
              <w:top w:val="nil"/>
              <w:left w:val="nil"/>
              <w:bottom w:val="nil"/>
              <w:right w:val="single" w:sz="4" w:space="0" w:color="auto"/>
            </w:tcBorders>
            <w:shd w:val="clear" w:color="auto" w:fill="auto"/>
            <w:noWrap/>
            <w:vAlign w:val="bottom"/>
            <w:hideMark/>
          </w:tcPr>
          <w:p w:rsidR="00332680" w:rsidRPr="00332680" w:rsidRDefault="00332680" w:rsidP="00332680">
            <w:pPr>
              <w:jc w:val="right"/>
              <w:rPr>
                <w:rFonts w:eastAsia="Times New Roman"/>
                <w:color w:val="000000"/>
                <w:sz w:val="20"/>
                <w:lang w:eastAsia="en-US"/>
              </w:rPr>
            </w:pPr>
            <w:r w:rsidRPr="00332680">
              <w:rPr>
                <w:rFonts w:eastAsia="Times New Roman"/>
                <w:color w:val="000000"/>
                <w:sz w:val="20"/>
                <w:lang w:eastAsia="en-US"/>
              </w:rPr>
              <w:t xml:space="preserve">                               -   </w:t>
            </w:r>
          </w:p>
        </w:tc>
      </w:tr>
      <w:tr w:rsidR="00332680" w:rsidRPr="00332680"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Holy See</w:t>
            </w:r>
          </w:p>
        </w:tc>
        <w:tc>
          <w:tcPr>
            <w:tcW w:w="2425" w:type="dxa"/>
            <w:tcBorders>
              <w:top w:val="nil"/>
              <w:left w:val="nil"/>
              <w:bottom w:val="nil"/>
              <w:right w:val="single" w:sz="4" w:space="0" w:color="auto"/>
            </w:tcBorders>
            <w:shd w:val="clear" w:color="auto" w:fill="auto"/>
            <w:noWrap/>
            <w:vAlign w:val="bottom"/>
            <w:hideMark/>
          </w:tcPr>
          <w:p w:rsidR="00332680" w:rsidRPr="00332680" w:rsidRDefault="00332680" w:rsidP="00332680">
            <w:pPr>
              <w:jc w:val="right"/>
              <w:rPr>
                <w:rFonts w:eastAsia="Times New Roman"/>
                <w:color w:val="000000"/>
                <w:sz w:val="20"/>
                <w:lang w:eastAsia="en-US"/>
              </w:rPr>
            </w:pPr>
            <w:r w:rsidRPr="00332680">
              <w:rPr>
                <w:rFonts w:eastAsia="Times New Roman"/>
                <w:color w:val="000000"/>
                <w:sz w:val="20"/>
                <w:lang w:eastAsia="en-US"/>
              </w:rPr>
              <w:t xml:space="preserve">                               -   </w:t>
            </w:r>
          </w:p>
        </w:tc>
      </w:tr>
      <w:tr w:rsidR="00332680" w:rsidRPr="00332680"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Hungary</w:t>
            </w:r>
          </w:p>
        </w:tc>
        <w:tc>
          <w:tcPr>
            <w:tcW w:w="2425" w:type="dxa"/>
            <w:tcBorders>
              <w:top w:val="nil"/>
              <w:left w:val="nil"/>
              <w:bottom w:val="nil"/>
              <w:right w:val="single" w:sz="4" w:space="0" w:color="auto"/>
            </w:tcBorders>
            <w:shd w:val="clear" w:color="auto" w:fill="auto"/>
            <w:noWrap/>
            <w:vAlign w:val="bottom"/>
            <w:hideMark/>
          </w:tcPr>
          <w:p w:rsidR="00332680" w:rsidRPr="00332680" w:rsidRDefault="00332680" w:rsidP="00332680">
            <w:pPr>
              <w:jc w:val="right"/>
              <w:rPr>
                <w:rFonts w:eastAsia="Times New Roman"/>
                <w:color w:val="000000"/>
                <w:sz w:val="20"/>
                <w:lang w:eastAsia="en-US"/>
              </w:rPr>
            </w:pPr>
            <w:r w:rsidRPr="00332680">
              <w:rPr>
                <w:rFonts w:eastAsia="Times New Roman"/>
                <w:color w:val="000000"/>
                <w:sz w:val="20"/>
                <w:lang w:eastAsia="en-US"/>
              </w:rPr>
              <w:t xml:space="preserve">                    22,150.00 </w:t>
            </w:r>
          </w:p>
        </w:tc>
      </w:tr>
      <w:tr w:rsidR="00332680" w:rsidRPr="00332680"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Iceland</w:t>
            </w:r>
          </w:p>
        </w:tc>
        <w:tc>
          <w:tcPr>
            <w:tcW w:w="2425" w:type="dxa"/>
            <w:tcBorders>
              <w:top w:val="nil"/>
              <w:left w:val="nil"/>
              <w:bottom w:val="nil"/>
              <w:right w:val="single" w:sz="4" w:space="0" w:color="auto"/>
            </w:tcBorders>
            <w:shd w:val="clear" w:color="auto" w:fill="auto"/>
            <w:noWrap/>
            <w:vAlign w:val="bottom"/>
            <w:hideMark/>
          </w:tcPr>
          <w:p w:rsidR="00332680" w:rsidRPr="00332680" w:rsidRDefault="00332680" w:rsidP="00332680">
            <w:pPr>
              <w:jc w:val="right"/>
              <w:rPr>
                <w:rFonts w:eastAsia="Times New Roman"/>
                <w:color w:val="000000"/>
                <w:sz w:val="20"/>
                <w:lang w:eastAsia="en-US"/>
              </w:rPr>
            </w:pPr>
            <w:r w:rsidRPr="00332680">
              <w:rPr>
                <w:rFonts w:eastAsia="Times New Roman"/>
                <w:color w:val="000000"/>
                <w:sz w:val="20"/>
                <w:lang w:eastAsia="en-US"/>
              </w:rPr>
              <w:t xml:space="preserve">                               -   </w:t>
            </w:r>
          </w:p>
        </w:tc>
      </w:tr>
      <w:tr w:rsidR="00332680" w:rsidRPr="00332680" w:rsidTr="00497A16">
        <w:trPr>
          <w:trHeight w:val="255"/>
          <w:jc w:val="center"/>
        </w:trPr>
        <w:tc>
          <w:tcPr>
            <w:tcW w:w="3129" w:type="dxa"/>
            <w:tcBorders>
              <w:top w:val="nil"/>
              <w:left w:val="single" w:sz="4" w:space="0" w:color="auto"/>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India</w:t>
            </w:r>
          </w:p>
        </w:tc>
        <w:tc>
          <w:tcPr>
            <w:tcW w:w="2425" w:type="dxa"/>
            <w:tcBorders>
              <w:top w:val="nil"/>
              <w:left w:val="nil"/>
              <w:right w:val="single" w:sz="4" w:space="0" w:color="auto"/>
            </w:tcBorders>
            <w:shd w:val="clear" w:color="auto" w:fill="auto"/>
            <w:noWrap/>
            <w:vAlign w:val="bottom"/>
            <w:hideMark/>
          </w:tcPr>
          <w:p w:rsidR="00332680" w:rsidRPr="00332680" w:rsidRDefault="00332680" w:rsidP="00332680">
            <w:pPr>
              <w:jc w:val="right"/>
              <w:rPr>
                <w:rFonts w:eastAsia="Times New Roman"/>
                <w:color w:val="000000"/>
                <w:sz w:val="20"/>
                <w:lang w:eastAsia="en-US"/>
              </w:rPr>
            </w:pPr>
            <w:r w:rsidRPr="00332680">
              <w:rPr>
                <w:rFonts w:eastAsia="Times New Roman"/>
                <w:color w:val="000000"/>
                <w:sz w:val="20"/>
                <w:lang w:eastAsia="en-US"/>
              </w:rPr>
              <w:t xml:space="preserve">                               -   </w:t>
            </w:r>
          </w:p>
        </w:tc>
      </w:tr>
      <w:tr w:rsidR="00332680" w:rsidRPr="00332680" w:rsidTr="00497A16">
        <w:trPr>
          <w:trHeight w:val="255"/>
          <w:jc w:val="center"/>
        </w:trPr>
        <w:tc>
          <w:tcPr>
            <w:tcW w:w="3129" w:type="dxa"/>
            <w:tcBorders>
              <w:top w:val="nil"/>
              <w:left w:val="single" w:sz="4" w:space="0" w:color="auto"/>
              <w:bottom w:val="single" w:sz="4" w:space="0" w:color="auto"/>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Indonesia</w:t>
            </w:r>
          </w:p>
        </w:tc>
        <w:tc>
          <w:tcPr>
            <w:tcW w:w="2425" w:type="dxa"/>
            <w:tcBorders>
              <w:top w:val="nil"/>
              <w:left w:val="nil"/>
              <w:bottom w:val="single" w:sz="4" w:space="0" w:color="auto"/>
              <w:right w:val="single" w:sz="4" w:space="0" w:color="auto"/>
            </w:tcBorders>
            <w:shd w:val="clear" w:color="auto" w:fill="auto"/>
            <w:noWrap/>
            <w:vAlign w:val="bottom"/>
            <w:hideMark/>
          </w:tcPr>
          <w:p w:rsidR="00332680" w:rsidRPr="00332680" w:rsidRDefault="00332680" w:rsidP="00332680">
            <w:pPr>
              <w:jc w:val="right"/>
              <w:rPr>
                <w:rFonts w:eastAsia="Times New Roman"/>
                <w:color w:val="000000"/>
                <w:sz w:val="20"/>
                <w:lang w:eastAsia="en-US"/>
              </w:rPr>
            </w:pPr>
            <w:r w:rsidRPr="00332680">
              <w:rPr>
                <w:rFonts w:eastAsia="Times New Roman"/>
                <w:color w:val="000000"/>
                <w:sz w:val="20"/>
                <w:lang w:eastAsia="en-US"/>
              </w:rPr>
              <w:t xml:space="preserve">                               -   </w:t>
            </w:r>
          </w:p>
        </w:tc>
      </w:tr>
    </w:tbl>
    <w:p w:rsidR="000E4E10" w:rsidRDefault="000E4E10">
      <w:r>
        <w:br w:type="page"/>
      </w:r>
    </w:p>
    <w:tbl>
      <w:tblPr>
        <w:tblW w:w="5554" w:type="dxa"/>
        <w:jc w:val="center"/>
        <w:tblInd w:w="-276" w:type="dxa"/>
        <w:tblLook w:val="04A0" w:firstRow="1" w:lastRow="0" w:firstColumn="1" w:lastColumn="0" w:noHBand="0" w:noVBand="1"/>
      </w:tblPr>
      <w:tblGrid>
        <w:gridCol w:w="3129"/>
        <w:gridCol w:w="2425"/>
      </w:tblGrid>
      <w:tr w:rsidR="00332680" w:rsidRPr="00332680" w:rsidTr="00497A16">
        <w:trPr>
          <w:trHeight w:val="510"/>
          <w:jc w:val="center"/>
        </w:trPr>
        <w:tc>
          <w:tcPr>
            <w:tcW w:w="312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rsidR="00332680" w:rsidRPr="00332680" w:rsidRDefault="00332680" w:rsidP="00332680">
            <w:pPr>
              <w:jc w:val="center"/>
              <w:rPr>
                <w:rFonts w:eastAsia="Times New Roman"/>
                <w:b/>
                <w:bCs/>
                <w:color w:val="000000"/>
                <w:sz w:val="20"/>
                <w:u w:val="single"/>
                <w:lang w:eastAsia="en-US"/>
              </w:rPr>
            </w:pPr>
            <w:r w:rsidRPr="00332680">
              <w:rPr>
                <w:rFonts w:eastAsia="Times New Roman"/>
                <w:b/>
                <w:bCs/>
                <w:color w:val="000000"/>
                <w:sz w:val="20"/>
                <w:u w:val="single"/>
                <w:lang w:eastAsia="en-US"/>
              </w:rPr>
              <w:lastRenderedPageBreak/>
              <w:t>Member State</w:t>
            </w:r>
          </w:p>
        </w:tc>
        <w:tc>
          <w:tcPr>
            <w:tcW w:w="2425" w:type="dxa"/>
            <w:tcBorders>
              <w:top w:val="single" w:sz="4" w:space="0" w:color="auto"/>
              <w:left w:val="nil"/>
              <w:bottom w:val="single" w:sz="4" w:space="0" w:color="auto"/>
              <w:right w:val="single" w:sz="4" w:space="0" w:color="auto"/>
            </w:tcBorders>
            <w:shd w:val="clear" w:color="auto" w:fill="C6D9F1" w:themeFill="text2" w:themeFillTint="33"/>
            <w:noWrap/>
            <w:vAlign w:val="center"/>
          </w:tcPr>
          <w:p w:rsidR="00332680" w:rsidRPr="00332680" w:rsidRDefault="00332680" w:rsidP="00332680">
            <w:pPr>
              <w:jc w:val="center"/>
              <w:rPr>
                <w:rFonts w:eastAsia="Times New Roman"/>
                <w:b/>
                <w:bCs/>
                <w:color w:val="000000"/>
                <w:sz w:val="20"/>
                <w:u w:val="single"/>
                <w:lang w:eastAsia="en-US"/>
              </w:rPr>
            </w:pPr>
            <w:r w:rsidRPr="00332680">
              <w:rPr>
                <w:rFonts w:eastAsia="Times New Roman"/>
                <w:b/>
                <w:bCs/>
                <w:color w:val="000000"/>
                <w:sz w:val="20"/>
                <w:u w:val="single"/>
                <w:lang w:eastAsia="en-US"/>
              </w:rPr>
              <w:t>PCT WCF</w:t>
            </w:r>
          </w:p>
        </w:tc>
      </w:tr>
      <w:tr w:rsidR="00332680" w:rsidRPr="00332680" w:rsidTr="00497A16">
        <w:trPr>
          <w:trHeight w:val="255"/>
          <w:jc w:val="center"/>
        </w:trPr>
        <w:tc>
          <w:tcPr>
            <w:tcW w:w="3129" w:type="dxa"/>
            <w:tcBorders>
              <w:top w:val="single" w:sz="4" w:space="0" w:color="auto"/>
              <w:left w:val="single" w:sz="4" w:space="0" w:color="auto"/>
              <w:bottom w:val="nil"/>
              <w:right w:val="single" w:sz="4" w:space="0" w:color="auto"/>
            </w:tcBorders>
            <w:shd w:val="clear" w:color="auto" w:fill="auto"/>
            <w:noWrap/>
            <w:vAlign w:val="bottom"/>
          </w:tcPr>
          <w:p w:rsidR="00332680" w:rsidRPr="00332680" w:rsidRDefault="00332680" w:rsidP="00332680">
            <w:pPr>
              <w:jc w:val="center"/>
              <w:rPr>
                <w:rFonts w:eastAsia="Times New Roman"/>
                <w:color w:val="000000"/>
                <w:sz w:val="20"/>
                <w:lang w:eastAsia="en-US"/>
              </w:rPr>
            </w:pPr>
            <w:r w:rsidRPr="00332680">
              <w:rPr>
                <w:rFonts w:eastAsia="Times New Roman"/>
                <w:color w:val="000000"/>
                <w:sz w:val="20"/>
                <w:lang w:eastAsia="en-US"/>
              </w:rPr>
              <w:t> </w:t>
            </w:r>
          </w:p>
        </w:tc>
        <w:tc>
          <w:tcPr>
            <w:tcW w:w="2425" w:type="dxa"/>
            <w:tcBorders>
              <w:top w:val="single" w:sz="4" w:space="0" w:color="auto"/>
              <w:left w:val="nil"/>
              <w:bottom w:val="nil"/>
              <w:right w:val="single" w:sz="4" w:space="0" w:color="auto"/>
            </w:tcBorders>
            <w:shd w:val="clear" w:color="auto" w:fill="auto"/>
            <w:noWrap/>
            <w:vAlign w:val="bottom"/>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 </w:t>
            </w:r>
          </w:p>
        </w:tc>
      </w:tr>
      <w:tr w:rsidR="00DD02E1" w:rsidRPr="00332680"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tcPr>
          <w:p w:rsidR="00DD02E1" w:rsidRPr="00332680" w:rsidRDefault="00DD02E1" w:rsidP="00332680">
            <w:pPr>
              <w:rPr>
                <w:rFonts w:eastAsia="Times New Roman"/>
                <w:color w:val="000000"/>
                <w:sz w:val="20"/>
                <w:lang w:eastAsia="en-US"/>
              </w:rPr>
            </w:pPr>
            <w:r w:rsidRPr="00332680">
              <w:rPr>
                <w:rFonts w:eastAsia="Times New Roman"/>
                <w:color w:val="000000"/>
                <w:sz w:val="20"/>
                <w:lang w:eastAsia="en-US"/>
              </w:rPr>
              <w:t>Iran (Islamic Republic of)</w:t>
            </w:r>
          </w:p>
        </w:tc>
        <w:tc>
          <w:tcPr>
            <w:tcW w:w="2425" w:type="dxa"/>
            <w:tcBorders>
              <w:top w:val="nil"/>
              <w:left w:val="nil"/>
              <w:bottom w:val="nil"/>
              <w:right w:val="single" w:sz="4" w:space="0" w:color="auto"/>
            </w:tcBorders>
            <w:shd w:val="clear" w:color="auto" w:fill="auto"/>
            <w:noWrap/>
            <w:vAlign w:val="bottom"/>
          </w:tcPr>
          <w:p w:rsidR="00DD02E1" w:rsidRPr="00332680" w:rsidRDefault="001D6B5B" w:rsidP="001D6B5B">
            <w:pPr>
              <w:jc w:val="right"/>
              <w:rPr>
                <w:rFonts w:eastAsia="Times New Roman"/>
                <w:color w:val="000000"/>
                <w:sz w:val="20"/>
                <w:lang w:eastAsia="en-US"/>
              </w:rPr>
            </w:pPr>
            <w:r w:rsidRPr="00332680">
              <w:rPr>
                <w:rFonts w:eastAsia="Times New Roman"/>
                <w:color w:val="000000"/>
                <w:sz w:val="20"/>
                <w:lang w:eastAsia="en-US"/>
              </w:rPr>
              <w:t xml:space="preserve">                               -   </w:t>
            </w:r>
          </w:p>
        </w:tc>
      </w:tr>
      <w:tr w:rsidR="00332680" w:rsidRPr="00332680"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Iraq</w:t>
            </w:r>
          </w:p>
        </w:tc>
        <w:tc>
          <w:tcPr>
            <w:tcW w:w="2425" w:type="dxa"/>
            <w:tcBorders>
              <w:top w:val="nil"/>
              <w:left w:val="nil"/>
              <w:bottom w:val="nil"/>
              <w:right w:val="single" w:sz="4" w:space="0" w:color="auto"/>
            </w:tcBorders>
            <w:shd w:val="clear" w:color="auto" w:fill="auto"/>
            <w:noWrap/>
            <w:vAlign w:val="bottom"/>
            <w:hideMark/>
          </w:tcPr>
          <w:p w:rsidR="00332680" w:rsidRPr="00332680" w:rsidRDefault="00332680" w:rsidP="005247AA">
            <w:pPr>
              <w:jc w:val="right"/>
              <w:rPr>
                <w:rFonts w:eastAsia="Times New Roman"/>
                <w:color w:val="000000"/>
                <w:sz w:val="20"/>
                <w:lang w:eastAsia="en-US"/>
              </w:rPr>
            </w:pPr>
            <w:r w:rsidRPr="00332680">
              <w:rPr>
                <w:rFonts w:eastAsia="Times New Roman"/>
                <w:color w:val="000000"/>
                <w:sz w:val="20"/>
                <w:lang w:eastAsia="en-US"/>
              </w:rPr>
              <w:t>-</w:t>
            </w:r>
          </w:p>
        </w:tc>
      </w:tr>
      <w:tr w:rsidR="00332680" w:rsidRPr="00332680"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Ireland</w:t>
            </w:r>
          </w:p>
        </w:tc>
        <w:tc>
          <w:tcPr>
            <w:tcW w:w="2425" w:type="dxa"/>
            <w:tcBorders>
              <w:top w:val="nil"/>
              <w:left w:val="nil"/>
              <w:bottom w:val="nil"/>
              <w:right w:val="single" w:sz="4" w:space="0" w:color="auto"/>
            </w:tcBorders>
            <w:shd w:val="clear" w:color="auto" w:fill="auto"/>
            <w:noWrap/>
            <w:vAlign w:val="bottom"/>
            <w:hideMark/>
          </w:tcPr>
          <w:p w:rsidR="00332680" w:rsidRPr="00332680" w:rsidRDefault="00332680" w:rsidP="00332680">
            <w:pPr>
              <w:jc w:val="right"/>
              <w:rPr>
                <w:rFonts w:eastAsia="Times New Roman"/>
                <w:color w:val="000000"/>
                <w:sz w:val="20"/>
                <w:lang w:eastAsia="en-US"/>
              </w:rPr>
            </w:pPr>
            <w:r w:rsidRPr="00332680">
              <w:rPr>
                <w:rFonts w:eastAsia="Times New Roman"/>
                <w:color w:val="000000"/>
                <w:sz w:val="20"/>
                <w:lang w:eastAsia="en-US"/>
              </w:rPr>
              <w:t xml:space="preserve">                               -   </w:t>
            </w:r>
          </w:p>
        </w:tc>
      </w:tr>
      <w:tr w:rsidR="00332680" w:rsidRPr="00332680"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Israel</w:t>
            </w:r>
          </w:p>
        </w:tc>
        <w:tc>
          <w:tcPr>
            <w:tcW w:w="2425" w:type="dxa"/>
            <w:tcBorders>
              <w:top w:val="nil"/>
              <w:left w:val="nil"/>
              <w:bottom w:val="nil"/>
              <w:right w:val="single" w:sz="4" w:space="0" w:color="auto"/>
            </w:tcBorders>
            <w:shd w:val="clear" w:color="auto" w:fill="auto"/>
            <w:noWrap/>
            <w:vAlign w:val="bottom"/>
            <w:hideMark/>
          </w:tcPr>
          <w:p w:rsidR="00332680" w:rsidRPr="00332680" w:rsidRDefault="00332680" w:rsidP="00332680">
            <w:pPr>
              <w:jc w:val="right"/>
              <w:rPr>
                <w:rFonts w:eastAsia="Times New Roman"/>
                <w:color w:val="000000"/>
                <w:sz w:val="20"/>
                <w:lang w:eastAsia="en-US"/>
              </w:rPr>
            </w:pPr>
            <w:r w:rsidRPr="00332680">
              <w:rPr>
                <w:rFonts w:eastAsia="Times New Roman"/>
                <w:color w:val="000000"/>
                <w:sz w:val="20"/>
                <w:lang w:eastAsia="en-US"/>
              </w:rPr>
              <w:t xml:space="preserve">                               -   </w:t>
            </w:r>
          </w:p>
        </w:tc>
      </w:tr>
      <w:tr w:rsidR="00332680" w:rsidRPr="00332680"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Italy</w:t>
            </w:r>
          </w:p>
        </w:tc>
        <w:tc>
          <w:tcPr>
            <w:tcW w:w="2425" w:type="dxa"/>
            <w:tcBorders>
              <w:top w:val="nil"/>
              <w:left w:val="nil"/>
              <w:bottom w:val="nil"/>
              <w:right w:val="single" w:sz="4" w:space="0" w:color="auto"/>
            </w:tcBorders>
            <w:shd w:val="clear" w:color="auto" w:fill="auto"/>
            <w:noWrap/>
            <w:vAlign w:val="bottom"/>
            <w:hideMark/>
          </w:tcPr>
          <w:p w:rsidR="00332680" w:rsidRPr="00332680" w:rsidRDefault="00332680" w:rsidP="00332680">
            <w:pPr>
              <w:jc w:val="right"/>
              <w:rPr>
                <w:rFonts w:eastAsia="Times New Roman"/>
                <w:color w:val="000000"/>
                <w:sz w:val="20"/>
                <w:lang w:eastAsia="en-US"/>
              </w:rPr>
            </w:pPr>
            <w:r w:rsidRPr="00332680">
              <w:rPr>
                <w:rFonts w:eastAsia="Times New Roman"/>
                <w:color w:val="000000"/>
                <w:sz w:val="20"/>
                <w:lang w:eastAsia="en-US"/>
              </w:rPr>
              <w:t xml:space="preserve">                    16,500.00 </w:t>
            </w:r>
          </w:p>
        </w:tc>
      </w:tr>
      <w:tr w:rsidR="00332680" w:rsidRPr="00332680"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Japan</w:t>
            </w:r>
          </w:p>
        </w:tc>
        <w:tc>
          <w:tcPr>
            <w:tcW w:w="2425" w:type="dxa"/>
            <w:tcBorders>
              <w:top w:val="nil"/>
              <w:left w:val="nil"/>
              <w:bottom w:val="nil"/>
              <w:right w:val="single" w:sz="4" w:space="0" w:color="auto"/>
            </w:tcBorders>
            <w:shd w:val="clear" w:color="auto" w:fill="auto"/>
            <w:noWrap/>
            <w:vAlign w:val="bottom"/>
            <w:hideMark/>
          </w:tcPr>
          <w:p w:rsidR="00332680" w:rsidRPr="00332680" w:rsidRDefault="00332680" w:rsidP="00332680">
            <w:pPr>
              <w:jc w:val="right"/>
              <w:rPr>
                <w:rFonts w:eastAsia="Times New Roman"/>
                <w:color w:val="000000"/>
                <w:sz w:val="20"/>
                <w:lang w:eastAsia="en-US"/>
              </w:rPr>
            </w:pPr>
            <w:r w:rsidRPr="00332680">
              <w:rPr>
                <w:rFonts w:eastAsia="Times New Roman"/>
                <w:color w:val="000000"/>
                <w:sz w:val="20"/>
                <w:lang w:eastAsia="en-US"/>
              </w:rPr>
              <w:t xml:space="preserve">                  194,600.00 </w:t>
            </w:r>
          </w:p>
        </w:tc>
      </w:tr>
      <w:tr w:rsidR="00332680" w:rsidRPr="00332680"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Jordan</w:t>
            </w:r>
          </w:p>
        </w:tc>
        <w:tc>
          <w:tcPr>
            <w:tcW w:w="2425" w:type="dxa"/>
            <w:tcBorders>
              <w:top w:val="nil"/>
              <w:left w:val="nil"/>
              <w:bottom w:val="nil"/>
              <w:right w:val="single" w:sz="4" w:space="0" w:color="auto"/>
            </w:tcBorders>
            <w:shd w:val="clear" w:color="auto" w:fill="auto"/>
            <w:noWrap/>
            <w:vAlign w:val="bottom"/>
            <w:hideMark/>
          </w:tcPr>
          <w:p w:rsidR="00332680" w:rsidRPr="00332680" w:rsidRDefault="00332680" w:rsidP="00332680">
            <w:pPr>
              <w:jc w:val="right"/>
              <w:rPr>
                <w:rFonts w:eastAsia="Times New Roman"/>
                <w:color w:val="000000"/>
                <w:sz w:val="20"/>
                <w:lang w:eastAsia="en-US"/>
              </w:rPr>
            </w:pPr>
            <w:r w:rsidRPr="00332680">
              <w:rPr>
                <w:rFonts w:eastAsia="Times New Roman"/>
                <w:color w:val="000000"/>
                <w:sz w:val="20"/>
                <w:lang w:eastAsia="en-US"/>
              </w:rPr>
              <w:t xml:space="preserve">                               -   </w:t>
            </w:r>
          </w:p>
        </w:tc>
      </w:tr>
      <w:tr w:rsidR="00332680" w:rsidRPr="00332680"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Kenya</w:t>
            </w:r>
          </w:p>
        </w:tc>
        <w:tc>
          <w:tcPr>
            <w:tcW w:w="2425" w:type="dxa"/>
            <w:tcBorders>
              <w:top w:val="nil"/>
              <w:left w:val="nil"/>
              <w:bottom w:val="nil"/>
              <w:right w:val="single" w:sz="4" w:space="0" w:color="auto"/>
            </w:tcBorders>
            <w:shd w:val="clear" w:color="auto" w:fill="auto"/>
            <w:noWrap/>
            <w:vAlign w:val="bottom"/>
            <w:hideMark/>
          </w:tcPr>
          <w:p w:rsidR="00332680" w:rsidRPr="00332680" w:rsidRDefault="00332680" w:rsidP="00332680">
            <w:pPr>
              <w:jc w:val="right"/>
              <w:rPr>
                <w:rFonts w:eastAsia="Times New Roman"/>
                <w:color w:val="000000"/>
                <w:sz w:val="20"/>
                <w:lang w:eastAsia="en-US"/>
              </w:rPr>
            </w:pPr>
            <w:r w:rsidRPr="00332680">
              <w:rPr>
                <w:rFonts w:eastAsia="Times New Roman"/>
                <w:color w:val="000000"/>
                <w:sz w:val="20"/>
                <w:lang w:eastAsia="en-US"/>
              </w:rPr>
              <w:t xml:space="preserve">                               -   </w:t>
            </w:r>
          </w:p>
        </w:tc>
      </w:tr>
      <w:tr w:rsidR="00332680" w:rsidRPr="00332680"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Lebanon</w:t>
            </w:r>
          </w:p>
        </w:tc>
        <w:tc>
          <w:tcPr>
            <w:tcW w:w="2425" w:type="dxa"/>
            <w:tcBorders>
              <w:top w:val="nil"/>
              <w:left w:val="nil"/>
              <w:bottom w:val="nil"/>
              <w:right w:val="single" w:sz="4" w:space="0" w:color="auto"/>
            </w:tcBorders>
            <w:shd w:val="clear" w:color="auto" w:fill="auto"/>
            <w:noWrap/>
            <w:vAlign w:val="bottom"/>
            <w:hideMark/>
          </w:tcPr>
          <w:p w:rsidR="00332680" w:rsidRPr="00332680" w:rsidRDefault="00332680" w:rsidP="00332680">
            <w:pPr>
              <w:jc w:val="right"/>
              <w:rPr>
                <w:rFonts w:eastAsia="Times New Roman"/>
                <w:color w:val="000000"/>
                <w:sz w:val="20"/>
                <w:lang w:eastAsia="en-US"/>
              </w:rPr>
            </w:pPr>
            <w:r w:rsidRPr="00332680">
              <w:rPr>
                <w:rFonts w:eastAsia="Times New Roman"/>
                <w:color w:val="000000"/>
                <w:sz w:val="20"/>
                <w:lang w:eastAsia="en-US"/>
              </w:rPr>
              <w:t xml:space="preserve">                               -   </w:t>
            </w:r>
          </w:p>
        </w:tc>
      </w:tr>
      <w:tr w:rsidR="00332680" w:rsidRPr="00332680" w:rsidTr="00497A16">
        <w:trPr>
          <w:trHeight w:val="255"/>
          <w:jc w:val="center"/>
        </w:trPr>
        <w:tc>
          <w:tcPr>
            <w:tcW w:w="3129" w:type="dxa"/>
            <w:tcBorders>
              <w:top w:val="nil"/>
              <w:left w:val="single" w:sz="4" w:space="0" w:color="auto"/>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Libya</w:t>
            </w:r>
          </w:p>
        </w:tc>
        <w:tc>
          <w:tcPr>
            <w:tcW w:w="2425" w:type="dxa"/>
            <w:tcBorders>
              <w:top w:val="nil"/>
              <w:left w:val="nil"/>
              <w:right w:val="single" w:sz="4" w:space="0" w:color="auto"/>
            </w:tcBorders>
            <w:shd w:val="clear" w:color="auto" w:fill="auto"/>
            <w:noWrap/>
            <w:vAlign w:val="bottom"/>
            <w:hideMark/>
          </w:tcPr>
          <w:p w:rsidR="00332680" w:rsidRPr="00332680" w:rsidRDefault="00332680" w:rsidP="00332680">
            <w:pPr>
              <w:jc w:val="right"/>
              <w:rPr>
                <w:rFonts w:eastAsia="Times New Roman"/>
                <w:color w:val="000000"/>
                <w:sz w:val="20"/>
                <w:lang w:eastAsia="en-US"/>
              </w:rPr>
            </w:pPr>
            <w:r w:rsidRPr="00332680">
              <w:rPr>
                <w:rFonts w:eastAsia="Times New Roman"/>
                <w:color w:val="000000"/>
                <w:sz w:val="20"/>
                <w:lang w:eastAsia="en-US"/>
              </w:rPr>
              <w:t xml:space="preserve">                               -   </w:t>
            </w:r>
          </w:p>
        </w:tc>
      </w:tr>
      <w:tr w:rsidR="00332680" w:rsidRPr="00332680" w:rsidTr="00497A16">
        <w:trPr>
          <w:trHeight w:val="255"/>
          <w:jc w:val="center"/>
        </w:trPr>
        <w:tc>
          <w:tcPr>
            <w:tcW w:w="3129" w:type="dxa"/>
            <w:tcBorders>
              <w:top w:val="nil"/>
              <w:left w:val="single" w:sz="4" w:space="0" w:color="auto"/>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Liechtenstein</w:t>
            </w:r>
          </w:p>
        </w:tc>
        <w:tc>
          <w:tcPr>
            <w:tcW w:w="2425" w:type="dxa"/>
            <w:tcBorders>
              <w:top w:val="nil"/>
              <w:left w:val="single" w:sz="4" w:space="0" w:color="auto"/>
              <w:right w:val="single" w:sz="4" w:space="0" w:color="auto"/>
            </w:tcBorders>
            <w:shd w:val="clear" w:color="auto" w:fill="auto"/>
            <w:noWrap/>
            <w:vAlign w:val="bottom"/>
            <w:hideMark/>
          </w:tcPr>
          <w:p w:rsidR="00332680" w:rsidRPr="00332680" w:rsidRDefault="00332680" w:rsidP="00332680">
            <w:pPr>
              <w:jc w:val="right"/>
              <w:rPr>
                <w:rFonts w:eastAsia="Times New Roman"/>
                <w:color w:val="000000"/>
                <w:sz w:val="20"/>
                <w:lang w:eastAsia="en-US"/>
              </w:rPr>
            </w:pPr>
            <w:r w:rsidRPr="00332680">
              <w:rPr>
                <w:rFonts w:eastAsia="Times New Roman"/>
                <w:color w:val="000000"/>
                <w:sz w:val="20"/>
                <w:lang w:eastAsia="en-US"/>
              </w:rPr>
              <w:t xml:space="preserve">                      1,500.00 </w:t>
            </w:r>
          </w:p>
        </w:tc>
      </w:tr>
      <w:tr w:rsidR="00332680" w:rsidRPr="00332680"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Luxembourg</w:t>
            </w:r>
          </w:p>
        </w:tc>
        <w:tc>
          <w:tcPr>
            <w:tcW w:w="2425"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jc w:val="right"/>
              <w:rPr>
                <w:rFonts w:eastAsia="Times New Roman"/>
                <w:color w:val="000000"/>
                <w:sz w:val="20"/>
                <w:lang w:eastAsia="en-US"/>
              </w:rPr>
            </w:pPr>
            <w:r w:rsidRPr="00332680">
              <w:rPr>
                <w:rFonts w:eastAsia="Times New Roman"/>
                <w:color w:val="000000"/>
                <w:sz w:val="20"/>
                <w:lang w:eastAsia="en-US"/>
              </w:rPr>
              <w:t xml:space="preserve">                         650.00 </w:t>
            </w:r>
          </w:p>
        </w:tc>
      </w:tr>
      <w:tr w:rsidR="00332680" w:rsidRPr="00332680"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Madagascar</w:t>
            </w:r>
          </w:p>
        </w:tc>
        <w:tc>
          <w:tcPr>
            <w:tcW w:w="2425" w:type="dxa"/>
            <w:tcBorders>
              <w:top w:val="nil"/>
              <w:left w:val="nil"/>
              <w:bottom w:val="nil"/>
              <w:right w:val="single" w:sz="4" w:space="0" w:color="auto"/>
            </w:tcBorders>
            <w:shd w:val="clear" w:color="auto" w:fill="auto"/>
            <w:noWrap/>
            <w:vAlign w:val="bottom"/>
            <w:hideMark/>
          </w:tcPr>
          <w:p w:rsidR="00332680" w:rsidRPr="00332680" w:rsidRDefault="00332680" w:rsidP="00332680">
            <w:pPr>
              <w:jc w:val="right"/>
              <w:rPr>
                <w:rFonts w:eastAsia="Times New Roman"/>
                <w:color w:val="000000"/>
                <w:sz w:val="20"/>
                <w:lang w:eastAsia="en-US"/>
              </w:rPr>
            </w:pPr>
            <w:r w:rsidRPr="00332680">
              <w:rPr>
                <w:rFonts w:eastAsia="Times New Roman"/>
                <w:color w:val="000000"/>
                <w:sz w:val="20"/>
                <w:lang w:eastAsia="en-US"/>
              </w:rPr>
              <w:t xml:space="preserve">                               -   </w:t>
            </w:r>
          </w:p>
        </w:tc>
      </w:tr>
      <w:tr w:rsidR="00332680" w:rsidRPr="00332680"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Malawi</w:t>
            </w:r>
          </w:p>
        </w:tc>
        <w:tc>
          <w:tcPr>
            <w:tcW w:w="2425" w:type="dxa"/>
            <w:tcBorders>
              <w:top w:val="nil"/>
              <w:left w:val="nil"/>
              <w:bottom w:val="nil"/>
              <w:right w:val="single" w:sz="4" w:space="0" w:color="auto"/>
            </w:tcBorders>
            <w:shd w:val="clear" w:color="auto" w:fill="auto"/>
            <w:noWrap/>
            <w:vAlign w:val="bottom"/>
            <w:hideMark/>
          </w:tcPr>
          <w:p w:rsidR="00332680" w:rsidRPr="00332680" w:rsidRDefault="00332680" w:rsidP="005247AA">
            <w:pPr>
              <w:jc w:val="right"/>
              <w:rPr>
                <w:rFonts w:eastAsia="Times New Roman"/>
                <w:color w:val="000000"/>
                <w:sz w:val="20"/>
                <w:lang w:eastAsia="en-US"/>
              </w:rPr>
            </w:pPr>
            <w:r w:rsidRPr="00332680">
              <w:rPr>
                <w:rFonts w:eastAsia="Times New Roman"/>
                <w:color w:val="000000"/>
                <w:sz w:val="20"/>
                <w:lang w:eastAsia="en-US"/>
              </w:rPr>
              <w:t xml:space="preserve">                               -   </w:t>
            </w:r>
          </w:p>
        </w:tc>
      </w:tr>
      <w:tr w:rsidR="00332680" w:rsidRPr="00332680"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Mali</w:t>
            </w:r>
          </w:p>
        </w:tc>
        <w:tc>
          <w:tcPr>
            <w:tcW w:w="2425" w:type="dxa"/>
            <w:tcBorders>
              <w:top w:val="nil"/>
              <w:left w:val="nil"/>
              <w:bottom w:val="nil"/>
              <w:right w:val="single" w:sz="4" w:space="0" w:color="auto"/>
            </w:tcBorders>
            <w:shd w:val="clear" w:color="auto" w:fill="auto"/>
            <w:noWrap/>
            <w:vAlign w:val="bottom"/>
            <w:hideMark/>
          </w:tcPr>
          <w:p w:rsidR="00332680" w:rsidRPr="00332680" w:rsidRDefault="00332680" w:rsidP="005247AA">
            <w:pPr>
              <w:jc w:val="right"/>
              <w:rPr>
                <w:rFonts w:eastAsia="Times New Roman"/>
                <w:color w:val="000000"/>
                <w:sz w:val="20"/>
                <w:lang w:eastAsia="en-US"/>
              </w:rPr>
            </w:pPr>
            <w:r w:rsidRPr="00332680">
              <w:rPr>
                <w:rFonts w:eastAsia="Times New Roman"/>
                <w:color w:val="000000"/>
                <w:sz w:val="20"/>
                <w:lang w:eastAsia="en-US"/>
              </w:rPr>
              <w:t xml:space="preserve">                               -   </w:t>
            </w:r>
          </w:p>
        </w:tc>
      </w:tr>
      <w:tr w:rsidR="00332680" w:rsidRPr="00332680"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Malta</w:t>
            </w:r>
          </w:p>
        </w:tc>
        <w:tc>
          <w:tcPr>
            <w:tcW w:w="2425" w:type="dxa"/>
            <w:tcBorders>
              <w:top w:val="nil"/>
              <w:left w:val="nil"/>
              <w:bottom w:val="nil"/>
              <w:right w:val="single" w:sz="4" w:space="0" w:color="auto"/>
            </w:tcBorders>
            <w:shd w:val="clear" w:color="auto" w:fill="auto"/>
            <w:noWrap/>
            <w:vAlign w:val="bottom"/>
            <w:hideMark/>
          </w:tcPr>
          <w:p w:rsidR="00332680" w:rsidRPr="00332680" w:rsidRDefault="00332680" w:rsidP="005247AA">
            <w:pPr>
              <w:jc w:val="right"/>
              <w:rPr>
                <w:rFonts w:eastAsia="Times New Roman"/>
                <w:color w:val="000000"/>
                <w:sz w:val="20"/>
                <w:lang w:eastAsia="en-US"/>
              </w:rPr>
            </w:pPr>
            <w:r w:rsidRPr="00332680">
              <w:rPr>
                <w:rFonts w:eastAsia="Times New Roman"/>
                <w:color w:val="000000"/>
                <w:sz w:val="20"/>
                <w:lang w:eastAsia="en-US"/>
              </w:rPr>
              <w:t xml:space="preserve">                               -   </w:t>
            </w:r>
          </w:p>
        </w:tc>
      </w:tr>
      <w:tr w:rsidR="00332680" w:rsidRPr="00332680"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Mauritania</w:t>
            </w:r>
          </w:p>
        </w:tc>
        <w:tc>
          <w:tcPr>
            <w:tcW w:w="2425" w:type="dxa"/>
            <w:tcBorders>
              <w:top w:val="nil"/>
              <w:left w:val="nil"/>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 xml:space="preserve">                          50.00 </w:t>
            </w:r>
          </w:p>
        </w:tc>
      </w:tr>
      <w:tr w:rsidR="00332680" w:rsidRPr="00332680"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Mauritius</w:t>
            </w:r>
          </w:p>
        </w:tc>
        <w:tc>
          <w:tcPr>
            <w:tcW w:w="2425" w:type="dxa"/>
            <w:tcBorders>
              <w:top w:val="nil"/>
              <w:left w:val="nil"/>
              <w:bottom w:val="nil"/>
              <w:right w:val="single" w:sz="4" w:space="0" w:color="auto"/>
            </w:tcBorders>
            <w:shd w:val="clear" w:color="auto" w:fill="auto"/>
            <w:noWrap/>
            <w:vAlign w:val="bottom"/>
            <w:hideMark/>
          </w:tcPr>
          <w:p w:rsidR="00332680" w:rsidRPr="00332680" w:rsidRDefault="00332680" w:rsidP="005247AA">
            <w:pPr>
              <w:jc w:val="right"/>
              <w:rPr>
                <w:rFonts w:eastAsia="Times New Roman"/>
                <w:color w:val="000000"/>
                <w:sz w:val="20"/>
                <w:lang w:eastAsia="en-US"/>
              </w:rPr>
            </w:pPr>
            <w:r w:rsidRPr="00332680">
              <w:rPr>
                <w:rFonts w:eastAsia="Times New Roman"/>
                <w:color w:val="000000"/>
                <w:sz w:val="20"/>
                <w:lang w:eastAsia="en-US"/>
              </w:rPr>
              <w:t xml:space="preserve">                               -   </w:t>
            </w:r>
          </w:p>
        </w:tc>
      </w:tr>
      <w:tr w:rsidR="00332680" w:rsidRPr="00332680"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Mexico</w:t>
            </w:r>
          </w:p>
        </w:tc>
        <w:tc>
          <w:tcPr>
            <w:tcW w:w="2425" w:type="dxa"/>
            <w:tcBorders>
              <w:top w:val="nil"/>
              <w:left w:val="nil"/>
              <w:bottom w:val="nil"/>
              <w:right w:val="single" w:sz="4" w:space="0" w:color="auto"/>
            </w:tcBorders>
            <w:shd w:val="clear" w:color="auto" w:fill="auto"/>
            <w:noWrap/>
            <w:vAlign w:val="bottom"/>
            <w:hideMark/>
          </w:tcPr>
          <w:p w:rsidR="00332680" w:rsidRPr="00332680" w:rsidRDefault="00332680" w:rsidP="005247AA">
            <w:pPr>
              <w:jc w:val="right"/>
              <w:rPr>
                <w:rFonts w:eastAsia="Times New Roman"/>
                <w:color w:val="000000"/>
                <w:sz w:val="20"/>
                <w:lang w:eastAsia="en-US"/>
              </w:rPr>
            </w:pPr>
            <w:r w:rsidRPr="00332680">
              <w:rPr>
                <w:rFonts w:eastAsia="Times New Roman"/>
                <w:color w:val="000000"/>
                <w:sz w:val="20"/>
                <w:lang w:eastAsia="en-US"/>
              </w:rPr>
              <w:t xml:space="preserve">                               -   </w:t>
            </w:r>
          </w:p>
        </w:tc>
      </w:tr>
      <w:tr w:rsidR="00332680" w:rsidRPr="00332680"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Monaco</w:t>
            </w:r>
          </w:p>
        </w:tc>
        <w:tc>
          <w:tcPr>
            <w:tcW w:w="2425" w:type="dxa"/>
            <w:tcBorders>
              <w:top w:val="nil"/>
              <w:left w:val="nil"/>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 xml:space="preserve">                         200.00 </w:t>
            </w:r>
          </w:p>
        </w:tc>
      </w:tr>
      <w:tr w:rsidR="00332680" w:rsidRPr="00332680"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Mongolia</w:t>
            </w:r>
          </w:p>
        </w:tc>
        <w:tc>
          <w:tcPr>
            <w:tcW w:w="2425" w:type="dxa"/>
            <w:tcBorders>
              <w:top w:val="nil"/>
              <w:left w:val="nil"/>
              <w:bottom w:val="nil"/>
              <w:right w:val="single" w:sz="4" w:space="0" w:color="auto"/>
            </w:tcBorders>
            <w:shd w:val="clear" w:color="auto" w:fill="auto"/>
            <w:noWrap/>
            <w:vAlign w:val="bottom"/>
            <w:hideMark/>
          </w:tcPr>
          <w:p w:rsidR="00332680" w:rsidRPr="00332680" w:rsidRDefault="00332680" w:rsidP="005247AA">
            <w:pPr>
              <w:jc w:val="right"/>
              <w:rPr>
                <w:rFonts w:eastAsia="Times New Roman"/>
                <w:color w:val="000000"/>
                <w:sz w:val="20"/>
                <w:lang w:eastAsia="en-US"/>
              </w:rPr>
            </w:pPr>
            <w:r w:rsidRPr="00332680">
              <w:rPr>
                <w:rFonts w:eastAsia="Times New Roman"/>
                <w:color w:val="000000"/>
                <w:sz w:val="20"/>
                <w:lang w:eastAsia="en-US"/>
              </w:rPr>
              <w:t xml:space="preserve">                               -   </w:t>
            </w:r>
          </w:p>
        </w:tc>
      </w:tr>
      <w:tr w:rsidR="00332680" w:rsidRPr="00332680"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Morocco</w:t>
            </w:r>
          </w:p>
        </w:tc>
        <w:tc>
          <w:tcPr>
            <w:tcW w:w="2425" w:type="dxa"/>
            <w:tcBorders>
              <w:top w:val="nil"/>
              <w:left w:val="nil"/>
              <w:bottom w:val="nil"/>
              <w:right w:val="single" w:sz="4" w:space="0" w:color="auto"/>
            </w:tcBorders>
            <w:shd w:val="clear" w:color="auto" w:fill="auto"/>
            <w:noWrap/>
            <w:vAlign w:val="bottom"/>
            <w:hideMark/>
          </w:tcPr>
          <w:p w:rsidR="00332680" w:rsidRPr="00332680" w:rsidRDefault="00332680" w:rsidP="005247AA">
            <w:pPr>
              <w:jc w:val="right"/>
              <w:rPr>
                <w:rFonts w:eastAsia="Times New Roman"/>
                <w:color w:val="000000"/>
                <w:sz w:val="20"/>
                <w:lang w:eastAsia="en-US"/>
              </w:rPr>
            </w:pPr>
            <w:r w:rsidRPr="00332680">
              <w:rPr>
                <w:rFonts w:eastAsia="Times New Roman"/>
                <w:color w:val="000000"/>
                <w:sz w:val="20"/>
                <w:lang w:eastAsia="en-US"/>
              </w:rPr>
              <w:t xml:space="preserve">                               -   </w:t>
            </w:r>
          </w:p>
        </w:tc>
      </w:tr>
      <w:tr w:rsidR="00332680" w:rsidRPr="00332680"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Netherlands</w:t>
            </w:r>
          </w:p>
        </w:tc>
        <w:tc>
          <w:tcPr>
            <w:tcW w:w="2425" w:type="dxa"/>
            <w:tcBorders>
              <w:top w:val="nil"/>
              <w:left w:val="nil"/>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 xml:space="preserve">                    20,350.00 </w:t>
            </w:r>
          </w:p>
        </w:tc>
      </w:tr>
      <w:tr w:rsidR="00332680" w:rsidRPr="00332680"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New Zealand</w:t>
            </w:r>
          </w:p>
        </w:tc>
        <w:tc>
          <w:tcPr>
            <w:tcW w:w="2425" w:type="dxa"/>
            <w:tcBorders>
              <w:top w:val="nil"/>
              <w:left w:val="nil"/>
              <w:bottom w:val="nil"/>
              <w:right w:val="single" w:sz="4" w:space="0" w:color="auto"/>
            </w:tcBorders>
            <w:shd w:val="clear" w:color="auto" w:fill="auto"/>
            <w:noWrap/>
            <w:vAlign w:val="bottom"/>
            <w:hideMark/>
          </w:tcPr>
          <w:p w:rsidR="00332680" w:rsidRPr="00332680" w:rsidRDefault="00332680" w:rsidP="005247AA">
            <w:pPr>
              <w:jc w:val="right"/>
              <w:rPr>
                <w:rFonts w:eastAsia="Times New Roman"/>
                <w:color w:val="000000"/>
                <w:sz w:val="20"/>
                <w:lang w:eastAsia="en-US"/>
              </w:rPr>
            </w:pPr>
            <w:r w:rsidRPr="00332680">
              <w:rPr>
                <w:rFonts w:eastAsia="Times New Roman"/>
                <w:color w:val="000000"/>
                <w:sz w:val="20"/>
                <w:lang w:eastAsia="en-US"/>
              </w:rPr>
              <w:t xml:space="preserve">                               -   </w:t>
            </w:r>
          </w:p>
        </w:tc>
      </w:tr>
      <w:tr w:rsidR="00332680" w:rsidRPr="00332680"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Niger</w:t>
            </w:r>
          </w:p>
        </w:tc>
        <w:tc>
          <w:tcPr>
            <w:tcW w:w="2425" w:type="dxa"/>
            <w:tcBorders>
              <w:top w:val="nil"/>
              <w:left w:val="nil"/>
              <w:bottom w:val="nil"/>
              <w:right w:val="single" w:sz="4" w:space="0" w:color="auto"/>
            </w:tcBorders>
            <w:shd w:val="clear" w:color="auto" w:fill="auto"/>
            <w:noWrap/>
            <w:vAlign w:val="bottom"/>
            <w:hideMark/>
          </w:tcPr>
          <w:p w:rsidR="00332680" w:rsidRPr="00332680" w:rsidRDefault="00332680" w:rsidP="005247AA">
            <w:pPr>
              <w:jc w:val="right"/>
              <w:rPr>
                <w:rFonts w:eastAsia="Times New Roman"/>
                <w:color w:val="000000"/>
                <w:sz w:val="20"/>
                <w:lang w:eastAsia="en-US"/>
              </w:rPr>
            </w:pPr>
            <w:r w:rsidRPr="00332680">
              <w:rPr>
                <w:rFonts w:eastAsia="Times New Roman"/>
                <w:color w:val="000000"/>
                <w:sz w:val="20"/>
                <w:lang w:eastAsia="en-US"/>
              </w:rPr>
              <w:t xml:space="preserve">                               -   </w:t>
            </w:r>
          </w:p>
        </w:tc>
      </w:tr>
      <w:tr w:rsidR="00332680" w:rsidRPr="00332680"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Nigeria</w:t>
            </w:r>
          </w:p>
        </w:tc>
        <w:tc>
          <w:tcPr>
            <w:tcW w:w="2425" w:type="dxa"/>
            <w:tcBorders>
              <w:top w:val="nil"/>
              <w:left w:val="nil"/>
              <w:bottom w:val="nil"/>
              <w:right w:val="single" w:sz="4" w:space="0" w:color="auto"/>
            </w:tcBorders>
            <w:shd w:val="clear" w:color="auto" w:fill="auto"/>
            <w:noWrap/>
            <w:vAlign w:val="bottom"/>
            <w:hideMark/>
          </w:tcPr>
          <w:p w:rsidR="00332680" w:rsidRPr="00332680" w:rsidRDefault="00332680" w:rsidP="005247AA">
            <w:pPr>
              <w:jc w:val="right"/>
              <w:rPr>
                <w:rFonts w:eastAsia="Times New Roman"/>
                <w:color w:val="000000"/>
                <w:sz w:val="20"/>
                <w:lang w:eastAsia="en-US"/>
              </w:rPr>
            </w:pPr>
            <w:r w:rsidRPr="00332680">
              <w:rPr>
                <w:rFonts w:eastAsia="Times New Roman"/>
                <w:color w:val="000000"/>
                <w:sz w:val="20"/>
                <w:lang w:eastAsia="en-US"/>
              </w:rPr>
              <w:t xml:space="preserve">                               -   </w:t>
            </w:r>
          </w:p>
        </w:tc>
      </w:tr>
      <w:tr w:rsidR="00332680" w:rsidRPr="00332680"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Norway</w:t>
            </w:r>
          </w:p>
        </w:tc>
        <w:tc>
          <w:tcPr>
            <w:tcW w:w="2425" w:type="dxa"/>
            <w:tcBorders>
              <w:top w:val="nil"/>
              <w:left w:val="nil"/>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 xml:space="preserve">                    21,750.00 </w:t>
            </w:r>
          </w:p>
        </w:tc>
      </w:tr>
      <w:tr w:rsidR="00332680" w:rsidRPr="00332680"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Pakistan</w:t>
            </w:r>
          </w:p>
        </w:tc>
        <w:tc>
          <w:tcPr>
            <w:tcW w:w="2425" w:type="dxa"/>
            <w:tcBorders>
              <w:top w:val="nil"/>
              <w:left w:val="nil"/>
              <w:bottom w:val="nil"/>
              <w:right w:val="single" w:sz="4" w:space="0" w:color="auto"/>
            </w:tcBorders>
            <w:shd w:val="clear" w:color="auto" w:fill="auto"/>
            <w:noWrap/>
            <w:vAlign w:val="bottom"/>
            <w:hideMark/>
          </w:tcPr>
          <w:p w:rsidR="00332680" w:rsidRPr="00332680" w:rsidRDefault="00332680" w:rsidP="005247AA">
            <w:pPr>
              <w:jc w:val="right"/>
              <w:rPr>
                <w:rFonts w:eastAsia="Times New Roman"/>
                <w:color w:val="000000"/>
                <w:sz w:val="20"/>
                <w:lang w:eastAsia="en-US"/>
              </w:rPr>
            </w:pPr>
            <w:r w:rsidRPr="00332680">
              <w:rPr>
                <w:rFonts w:eastAsia="Times New Roman"/>
                <w:color w:val="000000"/>
                <w:sz w:val="20"/>
                <w:lang w:eastAsia="en-US"/>
              </w:rPr>
              <w:t xml:space="preserve">                               -   </w:t>
            </w:r>
          </w:p>
        </w:tc>
      </w:tr>
      <w:tr w:rsidR="00332680" w:rsidRPr="00332680"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Philippines</w:t>
            </w:r>
          </w:p>
        </w:tc>
        <w:tc>
          <w:tcPr>
            <w:tcW w:w="2425" w:type="dxa"/>
            <w:tcBorders>
              <w:top w:val="nil"/>
              <w:left w:val="nil"/>
              <w:bottom w:val="nil"/>
              <w:right w:val="single" w:sz="4" w:space="0" w:color="auto"/>
            </w:tcBorders>
            <w:shd w:val="clear" w:color="auto" w:fill="auto"/>
            <w:noWrap/>
            <w:vAlign w:val="bottom"/>
            <w:hideMark/>
          </w:tcPr>
          <w:p w:rsidR="00332680" w:rsidRPr="00332680" w:rsidRDefault="00332680" w:rsidP="005247AA">
            <w:pPr>
              <w:jc w:val="right"/>
              <w:rPr>
                <w:rFonts w:eastAsia="Times New Roman"/>
                <w:color w:val="000000"/>
                <w:sz w:val="20"/>
                <w:lang w:eastAsia="en-US"/>
              </w:rPr>
            </w:pPr>
            <w:r w:rsidRPr="00332680">
              <w:rPr>
                <w:rFonts w:eastAsia="Times New Roman"/>
                <w:color w:val="000000"/>
                <w:sz w:val="20"/>
                <w:lang w:eastAsia="en-US"/>
              </w:rPr>
              <w:t xml:space="preserve">                               -   </w:t>
            </w:r>
          </w:p>
        </w:tc>
      </w:tr>
      <w:tr w:rsidR="00332680" w:rsidRPr="00332680"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Poland</w:t>
            </w:r>
          </w:p>
        </w:tc>
        <w:tc>
          <w:tcPr>
            <w:tcW w:w="2425" w:type="dxa"/>
            <w:tcBorders>
              <w:top w:val="nil"/>
              <w:left w:val="nil"/>
              <w:bottom w:val="nil"/>
              <w:right w:val="single" w:sz="4" w:space="0" w:color="auto"/>
            </w:tcBorders>
            <w:shd w:val="clear" w:color="auto" w:fill="auto"/>
            <w:noWrap/>
            <w:vAlign w:val="bottom"/>
            <w:hideMark/>
          </w:tcPr>
          <w:p w:rsidR="00332680" w:rsidRPr="00332680" w:rsidRDefault="00332680" w:rsidP="005247AA">
            <w:pPr>
              <w:jc w:val="right"/>
              <w:rPr>
                <w:rFonts w:eastAsia="Times New Roman"/>
                <w:color w:val="000000"/>
                <w:sz w:val="20"/>
                <w:lang w:eastAsia="en-US"/>
              </w:rPr>
            </w:pPr>
            <w:r w:rsidRPr="00332680">
              <w:rPr>
                <w:rFonts w:eastAsia="Times New Roman"/>
                <w:color w:val="000000"/>
                <w:sz w:val="20"/>
                <w:lang w:eastAsia="en-US"/>
              </w:rPr>
              <w:t xml:space="preserve">                               -   </w:t>
            </w:r>
          </w:p>
        </w:tc>
      </w:tr>
      <w:tr w:rsidR="00332680" w:rsidRPr="00332680"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Portugal</w:t>
            </w:r>
          </w:p>
        </w:tc>
        <w:tc>
          <w:tcPr>
            <w:tcW w:w="2425" w:type="dxa"/>
            <w:tcBorders>
              <w:top w:val="nil"/>
              <w:left w:val="nil"/>
              <w:bottom w:val="nil"/>
              <w:right w:val="single" w:sz="4" w:space="0" w:color="auto"/>
            </w:tcBorders>
            <w:shd w:val="clear" w:color="auto" w:fill="auto"/>
            <w:noWrap/>
            <w:vAlign w:val="bottom"/>
            <w:hideMark/>
          </w:tcPr>
          <w:p w:rsidR="00332680" w:rsidRPr="00332680" w:rsidRDefault="00332680" w:rsidP="005247AA">
            <w:pPr>
              <w:jc w:val="right"/>
              <w:rPr>
                <w:rFonts w:eastAsia="Times New Roman"/>
                <w:color w:val="000000"/>
                <w:sz w:val="20"/>
                <w:lang w:eastAsia="en-US"/>
              </w:rPr>
            </w:pPr>
            <w:r w:rsidRPr="00332680">
              <w:rPr>
                <w:rFonts w:eastAsia="Times New Roman"/>
                <w:color w:val="000000"/>
                <w:sz w:val="20"/>
                <w:lang w:eastAsia="en-US"/>
              </w:rPr>
              <w:t xml:space="preserve">                               -   </w:t>
            </w:r>
          </w:p>
        </w:tc>
      </w:tr>
      <w:tr w:rsidR="00332680" w:rsidRPr="00332680"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Republic of Korea</w:t>
            </w:r>
          </w:p>
        </w:tc>
        <w:tc>
          <w:tcPr>
            <w:tcW w:w="2425" w:type="dxa"/>
            <w:tcBorders>
              <w:top w:val="nil"/>
              <w:left w:val="nil"/>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 xml:space="preserve">                      3,700.00 </w:t>
            </w:r>
          </w:p>
        </w:tc>
      </w:tr>
      <w:tr w:rsidR="00332680" w:rsidRPr="00332680"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Romania</w:t>
            </w:r>
          </w:p>
        </w:tc>
        <w:tc>
          <w:tcPr>
            <w:tcW w:w="2425" w:type="dxa"/>
            <w:tcBorders>
              <w:top w:val="nil"/>
              <w:left w:val="nil"/>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 xml:space="preserve">                         550.00 </w:t>
            </w:r>
          </w:p>
        </w:tc>
      </w:tr>
      <w:tr w:rsidR="00332680" w:rsidRPr="00332680"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Russian Federation</w:t>
            </w:r>
          </w:p>
        </w:tc>
        <w:tc>
          <w:tcPr>
            <w:tcW w:w="2425" w:type="dxa"/>
            <w:tcBorders>
              <w:top w:val="nil"/>
              <w:left w:val="nil"/>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 xml:space="preserve">                    24,750.00 </w:t>
            </w:r>
          </w:p>
        </w:tc>
      </w:tr>
      <w:tr w:rsidR="00332680" w:rsidRPr="00332680"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Rwanda</w:t>
            </w:r>
          </w:p>
        </w:tc>
        <w:tc>
          <w:tcPr>
            <w:tcW w:w="2425" w:type="dxa"/>
            <w:tcBorders>
              <w:top w:val="nil"/>
              <w:left w:val="nil"/>
              <w:bottom w:val="nil"/>
              <w:right w:val="single" w:sz="4" w:space="0" w:color="auto"/>
            </w:tcBorders>
            <w:shd w:val="clear" w:color="auto" w:fill="auto"/>
            <w:noWrap/>
            <w:vAlign w:val="bottom"/>
            <w:hideMark/>
          </w:tcPr>
          <w:p w:rsidR="00332680" w:rsidRPr="00332680" w:rsidRDefault="00332680" w:rsidP="005247AA">
            <w:pPr>
              <w:jc w:val="right"/>
              <w:rPr>
                <w:rFonts w:eastAsia="Times New Roman"/>
                <w:color w:val="000000"/>
                <w:sz w:val="20"/>
                <w:lang w:eastAsia="en-US"/>
              </w:rPr>
            </w:pPr>
            <w:r w:rsidRPr="00332680">
              <w:rPr>
                <w:rFonts w:eastAsia="Times New Roman"/>
                <w:color w:val="000000"/>
                <w:sz w:val="20"/>
                <w:lang w:eastAsia="en-US"/>
              </w:rPr>
              <w:t xml:space="preserve">                               -   </w:t>
            </w:r>
          </w:p>
        </w:tc>
      </w:tr>
      <w:tr w:rsidR="00332680" w:rsidRPr="00332680"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San Marino</w:t>
            </w:r>
          </w:p>
        </w:tc>
        <w:tc>
          <w:tcPr>
            <w:tcW w:w="2425" w:type="dxa"/>
            <w:tcBorders>
              <w:top w:val="nil"/>
              <w:left w:val="nil"/>
              <w:bottom w:val="nil"/>
              <w:right w:val="single" w:sz="4" w:space="0" w:color="auto"/>
            </w:tcBorders>
            <w:shd w:val="clear" w:color="auto" w:fill="auto"/>
            <w:noWrap/>
            <w:vAlign w:val="bottom"/>
            <w:hideMark/>
          </w:tcPr>
          <w:p w:rsidR="00332680" w:rsidRPr="00332680" w:rsidRDefault="00332680" w:rsidP="005247AA">
            <w:pPr>
              <w:jc w:val="right"/>
              <w:rPr>
                <w:rFonts w:eastAsia="Times New Roman"/>
                <w:color w:val="000000"/>
                <w:sz w:val="20"/>
                <w:lang w:eastAsia="en-US"/>
              </w:rPr>
            </w:pPr>
            <w:r w:rsidRPr="00332680">
              <w:rPr>
                <w:rFonts w:eastAsia="Times New Roman"/>
                <w:color w:val="000000"/>
                <w:sz w:val="20"/>
                <w:lang w:eastAsia="en-US"/>
              </w:rPr>
              <w:t xml:space="preserve">                               -   </w:t>
            </w:r>
          </w:p>
        </w:tc>
      </w:tr>
      <w:tr w:rsidR="00332680" w:rsidRPr="00332680"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Senegal</w:t>
            </w:r>
          </w:p>
        </w:tc>
        <w:tc>
          <w:tcPr>
            <w:tcW w:w="2425" w:type="dxa"/>
            <w:tcBorders>
              <w:top w:val="nil"/>
              <w:left w:val="nil"/>
              <w:bottom w:val="nil"/>
              <w:right w:val="single" w:sz="4" w:space="0" w:color="auto"/>
            </w:tcBorders>
            <w:shd w:val="clear" w:color="auto" w:fill="auto"/>
            <w:noWrap/>
            <w:vAlign w:val="bottom"/>
            <w:hideMark/>
          </w:tcPr>
          <w:p w:rsidR="00332680" w:rsidRPr="00332680" w:rsidRDefault="00332680" w:rsidP="005247AA">
            <w:pPr>
              <w:jc w:val="right"/>
              <w:rPr>
                <w:rFonts w:eastAsia="Times New Roman"/>
                <w:color w:val="000000"/>
                <w:sz w:val="20"/>
                <w:lang w:eastAsia="en-US"/>
              </w:rPr>
            </w:pPr>
            <w:r w:rsidRPr="00332680">
              <w:rPr>
                <w:rFonts w:eastAsia="Times New Roman"/>
                <w:color w:val="000000"/>
                <w:sz w:val="20"/>
                <w:lang w:eastAsia="en-US"/>
              </w:rPr>
              <w:t xml:space="preserve">                               -   </w:t>
            </w:r>
          </w:p>
        </w:tc>
      </w:tr>
      <w:tr w:rsidR="00332680" w:rsidRPr="00332680"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Slovakia</w:t>
            </w:r>
          </w:p>
        </w:tc>
        <w:tc>
          <w:tcPr>
            <w:tcW w:w="2425" w:type="dxa"/>
            <w:tcBorders>
              <w:top w:val="nil"/>
              <w:left w:val="nil"/>
              <w:bottom w:val="nil"/>
              <w:right w:val="single" w:sz="4" w:space="0" w:color="auto"/>
            </w:tcBorders>
            <w:shd w:val="clear" w:color="auto" w:fill="auto"/>
            <w:noWrap/>
            <w:vAlign w:val="bottom"/>
            <w:hideMark/>
          </w:tcPr>
          <w:p w:rsidR="00332680" w:rsidRPr="00332680" w:rsidRDefault="00332680" w:rsidP="005247AA">
            <w:pPr>
              <w:jc w:val="right"/>
              <w:rPr>
                <w:rFonts w:eastAsia="Times New Roman"/>
                <w:color w:val="000000"/>
                <w:sz w:val="20"/>
                <w:lang w:eastAsia="en-US"/>
              </w:rPr>
            </w:pPr>
            <w:r w:rsidRPr="00332680">
              <w:rPr>
                <w:rFonts w:eastAsia="Times New Roman"/>
                <w:color w:val="000000"/>
                <w:sz w:val="20"/>
                <w:lang w:eastAsia="en-US"/>
              </w:rPr>
              <w:t xml:space="preserve">                               -   </w:t>
            </w:r>
          </w:p>
        </w:tc>
      </w:tr>
      <w:tr w:rsidR="00332680" w:rsidRPr="00332680"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South Africa</w:t>
            </w:r>
          </w:p>
        </w:tc>
        <w:tc>
          <w:tcPr>
            <w:tcW w:w="2425" w:type="dxa"/>
            <w:tcBorders>
              <w:top w:val="nil"/>
              <w:left w:val="nil"/>
              <w:bottom w:val="nil"/>
              <w:right w:val="single" w:sz="4" w:space="0" w:color="auto"/>
            </w:tcBorders>
            <w:shd w:val="clear" w:color="auto" w:fill="auto"/>
            <w:noWrap/>
            <w:vAlign w:val="bottom"/>
            <w:hideMark/>
          </w:tcPr>
          <w:p w:rsidR="00332680" w:rsidRPr="00332680" w:rsidRDefault="00332680" w:rsidP="005247AA">
            <w:pPr>
              <w:jc w:val="right"/>
              <w:rPr>
                <w:rFonts w:eastAsia="Times New Roman"/>
                <w:color w:val="000000"/>
                <w:sz w:val="20"/>
                <w:lang w:eastAsia="en-US"/>
              </w:rPr>
            </w:pPr>
            <w:r w:rsidRPr="00332680">
              <w:rPr>
                <w:rFonts w:eastAsia="Times New Roman"/>
                <w:color w:val="000000"/>
                <w:sz w:val="20"/>
                <w:lang w:eastAsia="en-US"/>
              </w:rPr>
              <w:t xml:space="preserve">                               -   </w:t>
            </w:r>
          </w:p>
        </w:tc>
      </w:tr>
      <w:tr w:rsidR="00332680" w:rsidRPr="00332680"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Spain</w:t>
            </w:r>
          </w:p>
        </w:tc>
        <w:tc>
          <w:tcPr>
            <w:tcW w:w="2425" w:type="dxa"/>
            <w:tcBorders>
              <w:top w:val="nil"/>
              <w:left w:val="nil"/>
              <w:bottom w:val="nil"/>
              <w:right w:val="single" w:sz="4" w:space="0" w:color="auto"/>
            </w:tcBorders>
            <w:shd w:val="clear" w:color="auto" w:fill="auto"/>
            <w:noWrap/>
            <w:vAlign w:val="bottom"/>
            <w:hideMark/>
          </w:tcPr>
          <w:p w:rsidR="00332680" w:rsidRPr="00332680" w:rsidRDefault="00332680" w:rsidP="005247AA">
            <w:pPr>
              <w:jc w:val="right"/>
              <w:rPr>
                <w:rFonts w:eastAsia="Times New Roman"/>
                <w:color w:val="000000"/>
                <w:sz w:val="20"/>
                <w:lang w:eastAsia="en-US"/>
              </w:rPr>
            </w:pPr>
            <w:r w:rsidRPr="00332680">
              <w:rPr>
                <w:rFonts w:eastAsia="Times New Roman"/>
                <w:color w:val="000000"/>
                <w:sz w:val="20"/>
                <w:lang w:eastAsia="en-US"/>
              </w:rPr>
              <w:t xml:space="preserve">                               -   </w:t>
            </w:r>
          </w:p>
        </w:tc>
      </w:tr>
      <w:tr w:rsidR="00332680" w:rsidRPr="00332680"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Sri Lanka</w:t>
            </w:r>
          </w:p>
        </w:tc>
        <w:tc>
          <w:tcPr>
            <w:tcW w:w="2425" w:type="dxa"/>
            <w:tcBorders>
              <w:top w:val="nil"/>
              <w:left w:val="nil"/>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 xml:space="preserve">                         300.00 </w:t>
            </w:r>
          </w:p>
        </w:tc>
      </w:tr>
      <w:tr w:rsidR="00332680" w:rsidRPr="00332680"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Sudan</w:t>
            </w:r>
          </w:p>
        </w:tc>
        <w:tc>
          <w:tcPr>
            <w:tcW w:w="2425" w:type="dxa"/>
            <w:tcBorders>
              <w:top w:val="nil"/>
              <w:left w:val="nil"/>
              <w:bottom w:val="nil"/>
              <w:right w:val="single" w:sz="4" w:space="0" w:color="auto"/>
            </w:tcBorders>
            <w:shd w:val="clear" w:color="auto" w:fill="auto"/>
            <w:noWrap/>
            <w:vAlign w:val="bottom"/>
            <w:hideMark/>
          </w:tcPr>
          <w:p w:rsidR="00332680" w:rsidRPr="00332680" w:rsidRDefault="00332680" w:rsidP="005247AA">
            <w:pPr>
              <w:jc w:val="right"/>
              <w:rPr>
                <w:rFonts w:eastAsia="Times New Roman"/>
                <w:color w:val="000000"/>
                <w:sz w:val="20"/>
                <w:lang w:eastAsia="en-US"/>
              </w:rPr>
            </w:pPr>
            <w:r w:rsidRPr="00332680">
              <w:rPr>
                <w:rFonts w:eastAsia="Times New Roman"/>
                <w:color w:val="000000"/>
                <w:sz w:val="20"/>
                <w:lang w:eastAsia="en-US"/>
              </w:rPr>
              <w:t xml:space="preserve">                               -   </w:t>
            </w:r>
          </w:p>
        </w:tc>
      </w:tr>
      <w:tr w:rsidR="00332680" w:rsidRPr="00332680"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Suriname</w:t>
            </w:r>
          </w:p>
        </w:tc>
        <w:tc>
          <w:tcPr>
            <w:tcW w:w="2425" w:type="dxa"/>
            <w:tcBorders>
              <w:top w:val="nil"/>
              <w:left w:val="nil"/>
              <w:bottom w:val="nil"/>
              <w:right w:val="single" w:sz="4" w:space="0" w:color="auto"/>
            </w:tcBorders>
            <w:shd w:val="clear" w:color="auto" w:fill="auto"/>
            <w:noWrap/>
            <w:vAlign w:val="bottom"/>
            <w:hideMark/>
          </w:tcPr>
          <w:p w:rsidR="00332680" w:rsidRPr="00332680" w:rsidRDefault="00332680" w:rsidP="005247AA">
            <w:pPr>
              <w:jc w:val="right"/>
              <w:rPr>
                <w:rFonts w:eastAsia="Times New Roman"/>
                <w:color w:val="000000"/>
                <w:sz w:val="20"/>
                <w:lang w:eastAsia="en-US"/>
              </w:rPr>
            </w:pPr>
            <w:r w:rsidRPr="00332680">
              <w:rPr>
                <w:rFonts w:eastAsia="Times New Roman"/>
                <w:color w:val="000000"/>
                <w:sz w:val="20"/>
                <w:lang w:eastAsia="en-US"/>
              </w:rPr>
              <w:t xml:space="preserve">                               -   </w:t>
            </w:r>
          </w:p>
        </w:tc>
      </w:tr>
      <w:tr w:rsidR="00332680" w:rsidRPr="00332680" w:rsidTr="00497A16">
        <w:trPr>
          <w:trHeight w:val="255"/>
          <w:jc w:val="center"/>
        </w:trPr>
        <w:tc>
          <w:tcPr>
            <w:tcW w:w="3129"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Sweden</w:t>
            </w:r>
          </w:p>
        </w:tc>
        <w:tc>
          <w:tcPr>
            <w:tcW w:w="2425" w:type="dxa"/>
            <w:tcBorders>
              <w:top w:val="nil"/>
              <w:left w:val="nil"/>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 xml:space="preserve">                  162,800.00 </w:t>
            </w:r>
          </w:p>
        </w:tc>
      </w:tr>
      <w:tr w:rsidR="00332680" w:rsidRPr="00332680" w:rsidTr="00497A16">
        <w:trPr>
          <w:trHeight w:val="255"/>
          <w:jc w:val="center"/>
        </w:trPr>
        <w:tc>
          <w:tcPr>
            <w:tcW w:w="3129" w:type="dxa"/>
            <w:tcBorders>
              <w:top w:val="nil"/>
              <w:left w:val="single" w:sz="4" w:space="0" w:color="auto"/>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Switzerland</w:t>
            </w:r>
          </w:p>
        </w:tc>
        <w:tc>
          <w:tcPr>
            <w:tcW w:w="2425" w:type="dxa"/>
            <w:tcBorders>
              <w:top w:val="nil"/>
              <w:left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 xml:space="preserve">                    74,000.00 </w:t>
            </w:r>
          </w:p>
        </w:tc>
      </w:tr>
      <w:tr w:rsidR="00332680" w:rsidRPr="00332680" w:rsidTr="00497A16">
        <w:trPr>
          <w:trHeight w:val="255"/>
          <w:jc w:val="center"/>
        </w:trPr>
        <w:tc>
          <w:tcPr>
            <w:tcW w:w="3129" w:type="dxa"/>
            <w:tcBorders>
              <w:top w:val="nil"/>
              <w:left w:val="single" w:sz="4" w:space="0" w:color="auto"/>
              <w:bottom w:val="single" w:sz="4" w:space="0" w:color="auto"/>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Syrian Arab Republic</w:t>
            </w:r>
          </w:p>
        </w:tc>
        <w:tc>
          <w:tcPr>
            <w:tcW w:w="2425" w:type="dxa"/>
            <w:tcBorders>
              <w:top w:val="nil"/>
              <w:left w:val="nil"/>
              <w:bottom w:val="single" w:sz="4" w:space="0" w:color="auto"/>
              <w:right w:val="single" w:sz="4" w:space="0" w:color="auto"/>
            </w:tcBorders>
            <w:shd w:val="clear" w:color="auto" w:fill="auto"/>
            <w:noWrap/>
            <w:vAlign w:val="bottom"/>
            <w:hideMark/>
          </w:tcPr>
          <w:p w:rsidR="00332680" w:rsidRPr="00332680" w:rsidRDefault="00332680" w:rsidP="005247AA">
            <w:pPr>
              <w:jc w:val="right"/>
              <w:rPr>
                <w:rFonts w:eastAsia="Times New Roman"/>
                <w:color w:val="000000"/>
                <w:sz w:val="20"/>
                <w:lang w:eastAsia="en-US"/>
              </w:rPr>
            </w:pPr>
            <w:r w:rsidRPr="00332680">
              <w:rPr>
                <w:rFonts w:eastAsia="Times New Roman"/>
                <w:color w:val="000000"/>
                <w:sz w:val="20"/>
                <w:lang w:eastAsia="en-US"/>
              </w:rPr>
              <w:t xml:space="preserve">                               -   </w:t>
            </w:r>
          </w:p>
        </w:tc>
      </w:tr>
    </w:tbl>
    <w:p w:rsidR="00332680" w:rsidRDefault="00332680">
      <w:r>
        <w:br w:type="page"/>
      </w:r>
    </w:p>
    <w:tbl>
      <w:tblPr>
        <w:tblW w:w="5604" w:type="dxa"/>
        <w:jc w:val="center"/>
        <w:tblInd w:w="93" w:type="dxa"/>
        <w:tblLook w:val="04A0" w:firstRow="1" w:lastRow="0" w:firstColumn="1" w:lastColumn="0" w:noHBand="0" w:noVBand="1"/>
      </w:tblPr>
      <w:tblGrid>
        <w:gridCol w:w="3203"/>
        <w:gridCol w:w="2401"/>
      </w:tblGrid>
      <w:tr w:rsidR="00332680" w:rsidRPr="00332680" w:rsidTr="00497A16">
        <w:trPr>
          <w:trHeight w:val="510"/>
          <w:jc w:val="center"/>
        </w:trPr>
        <w:tc>
          <w:tcPr>
            <w:tcW w:w="3203"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rsidR="00332680" w:rsidRPr="00332680" w:rsidRDefault="00332680" w:rsidP="00332680">
            <w:pPr>
              <w:jc w:val="center"/>
              <w:rPr>
                <w:rFonts w:eastAsia="Times New Roman"/>
                <w:b/>
                <w:bCs/>
                <w:color w:val="000000"/>
                <w:sz w:val="20"/>
                <w:u w:val="single"/>
                <w:lang w:eastAsia="en-US"/>
              </w:rPr>
            </w:pPr>
            <w:r w:rsidRPr="00332680">
              <w:rPr>
                <w:rFonts w:eastAsia="Times New Roman"/>
                <w:b/>
                <w:bCs/>
                <w:color w:val="000000"/>
                <w:sz w:val="20"/>
                <w:u w:val="single"/>
                <w:lang w:eastAsia="en-US"/>
              </w:rPr>
              <w:lastRenderedPageBreak/>
              <w:t>Member State</w:t>
            </w:r>
          </w:p>
        </w:tc>
        <w:tc>
          <w:tcPr>
            <w:tcW w:w="2401" w:type="dxa"/>
            <w:tcBorders>
              <w:top w:val="single" w:sz="4" w:space="0" w:color="auto"/>
              <w:left w:val="nil"/>
              <w:bottom w:val="single" w:sz="4" w:space="0" w:color="auto"/>
              <w:right w:val="single" w:sz="4" w:space="0" w:color="auto"/>
            </w:tcBorders>
            <w:shd w:val="clear" w:color="auto" w:fill="C6D9F1" w:themeFill="text2" w:themeFillTint="33"/>
            <w:noWrap/>
            <w:vAlign w:val="center"/>
          </w:tcPr>
          <w:p w:rsidR="00332680" w:rsidRPr="00332680" w:rsidRDefault="00332680" w:rsidP="00332680">
            <w:pPr>
              <w:jc w:val="center"/>
              <w:rPr>
                <w:rFonts w:eastAsia="Times New Roman"/>
                <w:b/>
                <w:bCs/>
                <w:color w:val="000000"/>
                <w:sz w:val="20"/>
                <w:u w:val="single"/>
                <w:lang w:eastAsia="en-US"/>
              </w:rPr>
            </w:pPr>
            <w:r w:rsidRPr="00332680">
              <w:rPr>
                <w:rFonts w:eastAsia="Times New Roman"/>
                <w:b/>
                <w:bCs/>
                <w:color w:val="000000"/>
                <w:sz w:val="20"/>
                <w:u w:val="single"/>
                <w:lang w:eastAsia="en-US"/>
              </w:rPr>
              <w:t>PCT WCF</w:t>
            </w:r>
          </w:p>
        </w:tc>
      </w:tr>
      <w:tr w:rsidR="00332680" w:rsidRPr="00332680" w:rsidTr="00497A16">
        <w:trPr>
          <w:trHeight w:val="255"/>
          <w:jc w:val="center"/>
        </w:trPr>
        <w:tc>
          <w:tcPr>
            <w:tcW w:w="3203" w:type="dxa"/>
            <w:tcBorders>
              <w:top w:val="single" w:sz="4" w:space="0" w:color="auto"/>
              <w:left w:val="single" w:sz="4" w:space="0" w:color="auto"/>
              <w:bottom w:val="nil"/>
              <w:right w:val="single" w:sz="4" w:space="0" w:color="auto"/>
            </w:tcBorders>
            <w:shd w:val="clear" w:color="auto" w:fill="auto"/>
            <w:noWrap/>
            <w:vAlign w:val="bottom"/>
          </w:tcPr>
          <w:p w:rsidR="00332680" w:rsidRPr="00332680" w:rsidRDefault="00332680" w:rsidP="00332680">
            <w:pPr>
              <w:rPr>
                <w:rFonts w:eastAsia="Times New Roman"/>
                <w:color w:val="000000"/>
                <w:sz w:val="20"/>
                <w:lang w:eastAsia="en-US"/>
              </w:rPr>
            </w:pPr>
          </w:p>
        </w:tc>
        <w:tc>
          <w:tcPr>
            <w:tcW w:w="2401" w:type="dxa"/>
            <w:tcBorders>
              <w:top w:val="single" w:sz="4" w:space="0" w:color="auto"/>
              <w:left w:val="nil"/>
              <w:bottom w:val="nil"/>
              <w:right w:val="single" w:sz="4" w:space="0" w:color="auto"/>
            </w:tcBorders>
            <w:shd w:val="clear" w:color="auto" w:fill="auto"/>
            <w:noWrap/>
            <w:vAlign w:val="bottom"/>
          </w:tcPr>
          <w:p w:rsidR="00332680" w:rsidRPr="00332680" w:rsidRDefault="00332680" w:rsidP="00332680">
            <w:pPr>
              <w:rPr>
                <w:rFonts w:eastAsia="Times New Roman"/>
                <w:color w:val="000000"/>
                <w:sz w:val="20"/>
                <w:lang w:eastAsia="en-US"/>
              </w:rPr>
            </w:pPr>
          </w:p>
        </w:tc>
      </w:tr>
      <w:tr w:rsidR="00332680" w:rsidRPr="00332680" w:rsidTr="00497A16">
        <w:trPr>
          <w:trHeight w:val="255"/>
          <w:jc w:val="center"/>
        </w:trPr>
        <w:tc>
          <w:tcPr>
            <w:tcW w:w="3203"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Thailand</w:t>
            </w:r>
          </w:p>
        </w:tc>
        <w:tc>
          <w:tcPr>
            <w:tcW w:w="2401" w:type="dxa"/>
            <w:tcBorders>
              <w:top w:val="nil"/>
              <w:left w:val="nil"/>
              <w:bottom w:val="nil"/>
              <w:right w:val="single" w:sz="4" w:space="0" w:color="auto"/>
            </w:tcBorders>
            <w:shd w:val="clear" w:color="auto" w:fill="auto"/>
            <w:noWrap/>
            <w:vAlign w:val="bottom"/>
            <w:hideMark/>
          </w:tcPr>
          <w:p w:rsidR="00332680" w:rsidRPr="00332680" w:rsidRDefault="00332680" w:rsidP="005247AA">
            <w:pPr>
              <w:jc w:val="right"/>
              <w:rPr>
                <w:rFonts w:eastAsia="Times New Roman"/>
                <w:color w:val="000000"/>
                <w:sz w:val="20"/>
                <w:lang w:eastAsia="en-US"/>
              </w:rPr>
            </w:pPr>
            <w:r w:rsidRPr="00332680">
              <w:rPr>
                <w:rFonts w:eastAsia="Times New Roman"/>
                <w:color w:val="000000"/>
                <w:sz w:val="20"/>
                <w:lang w:eastAsia="en-US"/>
              </w:rPr>
              <w:t xml:space="preserve">                               -   </w:t>
            </w:r>
          </w:p>
        </w:tc>
      </w:tr>
      <w:tr w:rsidR="00332680" w:rsidRPr="00332680" w:rsidTr="00497A16">
        <w:trPr>
          <w:trHeight w:val="255"/>
          <w:jc w:val="center"/>
        </w:trPr>
        <w:tc>
          <w:tcPr>
            <w:tcW w:w="3203"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Togo</w:t>
            </w:r>
          </w:p>
        </w:tc>
        <w:tc>
          <w:tcPr>
            <w:tcW w:w="2401" w:type="dxa"/>
            <w:tcBorders>
              <w:top w:val="nil"/>
              <w:left w:val="nil"/>
              <w:bottom w:val="nil"/>
              <w:right w:val="single" w:sz="4" w:space="0" w:color="auto"/>
            </w:tcBorders>
            <w:shd w:val="clear" w:color="auto" w:fill="auto"/>
            <w:noWrap/>
            <w:vAlign w:val="bottom"/>
            <w:hideMark/>
          </w:tcPr>
          <w:p w:rsidR="00332680" w:rsidRPr="00332680" w:rsidRDefault="00332680" w:rsidP="005247AA">
            <w:pPr>
              <w:jc w:val="right"/>
              <w:rPr>
                <w:rFonts w:eastAsia="Times New Roman"/>
                <w:color w:val="000000"/>
                <w:sz w:val="20"/>
                <w:lang w:eastAsia="en-US"/>
              </w:rPr>
            </w:pPr>
            <w:r w:rsidRPr="00332680">
              <w:rPr>
                <w:rFonts w:eastAsia="Times New Roman"/>
                <w:color w:val="000000"/>
                <w:sz w:val="20"/>
                <w:lang w:eastAsia="en-US"/>
              </w:rPr>
              <w:t xml:space="preserve">                               -   </w:t>
            </w:r>
          </w:p>
        </w:tc>
      </w:tr>
      <w:tr w:rsidR="00332680" w:rsidRPr="00332680" w:rsidTr="00497A16">
        <w:trPr>
          <w:trHeight w:val="255"/>
          <w:jc w:val="center"/>
        </w:trPr>
        <w:tc>
          <w:tcPr>
            <w:tcW w:w="3203"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Trinidad and Tobago</w:t>
            </w:r>
          </w:p>
        </w:tc>
        <w:tc>
          <w:tcPr>
            <w:tcW w:w="2401" w:type="dxa"/>
            <w:tcBorders>
              <w:top w:val="nil"/>
              <w:left w:val="nil"/>
              <w:bottom w:val="nil"/>
              <w:right w:val="single" w:sz="4" w:space="0" w:color="auto"/>
            </w:tcBorders>
            <w:shd w:val="clear" w:color="auto" w:fill="auto"/>
            <w:noWrap/>
            <w:vAlign w:val="bottom"/>
            <w:hideMark/>
          </w:tcPr>
          <w:p w:rsidR="00332680" w:rsidRPr="00332680" w:rsidRDefault="00332680" w:rsidP="005247AA">
            <w:pPr>
              <w:jc w:val="right"/>
              <w:rPr>
                <w:rFonts w:eastAsia="Times New Roman"/>
                <w:color w:val="000000"/>
                <w:sz w:val="20"/>
                <w:lang w:eastAsia="en-US"/>
              </w:rPr>
            </w:pPr>
            <w:r w:rsidRPr="00332680">
              <w:rPr>
                <w:rFonts w:eastAsia="Times New Roman"/>
                <w:color w:val="000000"/>
                <w:sz w:val="20"/>
                <w:lang w:eastAsia="en-US"/>
              </w:rPr>
              <w:t xml:space="preserve">                               -   </w:t>
            </w:r>
          </w:p>
        </w:tc>
      </w:tr>
      <w:tr w:rsidR="00332680" w:rsidRPr="00332680" w:rsidTr="00497A16">
        <w:trPr>
          <w:trHeight w:val="255"/>
          <w:jc w:val="center"/>
        </w:trPr>
        <w:tc>
          <w:tcPr>
            <w:tcW w:w="3203"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Tunisia</w:t>
            </w:r>
          </w:p>
        </w:tc>
        <w:tc>
          <w:tcPr>
            <w:tcW w:w="2401" w:type="dxa"/>
            <w:tcBorders>
              <w:top w:val="nil"/>
              <w:left w:val="nil"/>
              <w:bottom w:val="nil"/>
              <w:right w:val="single" w:sz="4" w:space="0" w:color="auto"/>
            </w:tcBorders>
            <w:shd w:val="clear" w:color="auto" w:fill="auto"/>
            <w:noWrap/>
            <w:vAlign w:val="bottom"/>
            <w:hideMark/>
          </w:tcPr>
          <w:p w:rsidR="00332680" w:rsidRPr="00332680" w:rsidRDefault="00332680" w:rsidP="005247AA">
            <w:pPr>
              <w:jc w:val="right"/>
              <w:rPr>
                <w:rFonts w:eastAsia="Times New Roman"/>
                <w:color w:val="000000"/>
                <w:sz w:val="20"/>
                <w:lang w:eastAsia="en-US"/>
              </w:rPr>
            </w:pPr>
            <w:r w:rsidRPr="00332680">
              <w:rPr>
                <w:rFonts w:eastAsia="Times New Roman"/>
                <w:color w:val="000000"/>
                <w:sz w:val="20"/>
                <w:lang w:eastAsia="en-US"/>
              </w:rPr>
              <w:t xml:space="preserve">                               -   </w:t>
            </w:r>
          </w:p>
        </w:tc>
      </w:tr>
      <w:tr w:rsidR="00332680" w:rsidRPr="00332680" w:rsidTr="00497A16">
        <w:trPr>
          <w:trHeight w:val="255"/>
          <w:jc w:val="center"/>
        </w:trPr>
        <w:tc>
          <w:tcPr>
            <w:tcW w:w="3203"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Turkey</w:t>
            </w:r>
          </w:p>
        </w:tc>
        <w:tc>
          <w:tcPr>
            <w:tcW w:w="2401" w:type="dxa"/>
            <w:tcBorders>
              <w:top w:val="nil"/>
              <w:left w:val="nil"/>
              <w:bottom w:val="nil"/>
              <w:right w:val="single" w:sz="4" w:space="0" w:color="auto"/>
            </w:tcBorders>
            <w:shd w:val="clear" w:color="auto" w:fill="auto"/>
            <w:noWrap/>
            <w:vAlign w:val="bottom"/>
            <w:hideMark/>
          </w:tcPr>
          <w:p w:rsidR="00332680" w:rsidRPr="00332680" w:rsidRDefault="00332680" w:rsidP="005247AA">
            <w:pPr>
              <w:jc w:val="right"/>
              <w:rPr>
                <w:rFonts w:eastAsia="Times New Roman"/>
                <w:color w:val="000000"/>
                <w:sz w:val="20"/>
                <w:lang w:eastAsia="en-US"/>
              </w:rPr>
            </w:pPr>
            <w:r w:rsidRPr="00332680">
              <w:rPr>
                <w:rFonts w:eastAsia="Times New Roman"/>
                <w:color w:val="000000"/>
                <w:sz w:val="20"/>
                <w:lang w:eastAsia="en-US"/>
              </w:rPr>
              <w:t xml:space="preserve">                               -   </w:t>
            </w:r>
          </w:p>
        </w:tc>
      </w:tr>
      <w:tr w:rsidR="00332680" w:rsidRPr="00332680" w:rsidTr="00497A16">
        <w:trPr>
          <w:trHeight w:val="255"/>
          <w:jc w:val="center"/>
        </w:trPr>
        <w:tc>
          <w:tcPr>
            <w:tcW w:w="3203"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Uganda</w:t>
            </w:r>
          </w:p>
        </w:tc>
        <w:tc>
          <w:tcPr>
            <w:tcW w:w="2401" w:type="dxa"/>
            <w:tcBorders>
              <w:top w:val="nil"/>
              <w:left w:val="nil"/>
              <w:bottom w:val="nil"/>
              <w:right w:val="single" w:sz="4" w:space="0" w:color="auto"/>
            </w:tcBorders>
            <w:shd w:val="clear" w:color="auto" w:fill="auto"/>
            <w:noWrap/>
            <w:vAlign w:val="bottom"/>
            <w:hideMark/>
          </w:tcPr>
          <w:p w:rsidR="00332680" w:rsidRPr="00332680" w:rsidRDefault="00332680" w:rsidP="005247AA">
            <w:pPr>
              <w:jc w:val="right"/>
              <w:rPr>
                <w:rFonts w:eastAsia="Times New Roman"/>
                <w:color w:val="000000"/>
                <w:sz w:val="20"/>
                <w:lang w:eastAsia="en-US"/>
              </w:rPr>
            </w:pPr>
            <w:r w:rsidRPr="00332680">
              <w:rPr>
                <w:rFonts w:eastAsia="Times New Roman"/>
                <w:color w:val="000000"/>
                <w:sz w:val="20"/>
                <w:lang w:eastAsia="en-US"/>
              </w:rPr>
              <w:t xml:space="preserve">                               -   </w:t>
            </w:r>
          </w:p>
        </w:tc>
      </w:tr>
      <w:tr w:rsidR="00332680" w:rsidRPr="00332680" w:rsidTr="00497A16">
        <w:trPr>
          <w:trHeight w:val="255"/>
          <w:jc w:val="center"/>
        </w:trPr>
        <w:tc>
          <w:tcPr>
            <w:tcW w:w="3203"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United Kingdom</w:t>
            </w:r>
          </w:p>
        </w:tc>
        <w:tc>
          <w:tcPr>
            <w:tcW w:w="2401" w:type="dxa"/>
            <w:tcBorders>
              <w:top w:val="nil"/>
              <w:left w:val="nil"/>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 xml:space="preserve">                  168,000.00 </w:t>
            </w:r>
          </w:p>
        </w:tc>
      </w:tr>
      <w:tr w:rsidR="00332680" w:rsidRPr="00332680" w:rsidTr="00497A16">
        <w:trPr>
          <w:trHeight w:val="255"/>
          <w:jc w:val="center"/>
        </w:trPr>
        <w:tc>
          <w:tcPr>
            <w:tcW w:w="3203"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United Republic of Tanzania</w:t>
            </w:r>
          </w:p>
        </w:tc>
        <w:tc>
          <w:tcPr>
            <w:tcW w:w="2401" w:type="dxa"/>
            <w:tcBorders>
              <w:top w:val="nil"/>
              <w:left w:val="nil"/>
              <w:bottom w:val="nil"/>
              <w:right w:val="single" w:sz="4" w:space="0" w:color="auto"/>
            </w:tcBorders>
            <w:shd w:val="clear" w:color="auto" w:fill="auto"/>
            <w:noWrap/>
            <w:vAlign w:val="bottom"/>
            <w:hideMark/>
          </w:tcPr>
          <w:p w:rsidR="00332680" w:rsidRPr="00332680" w:rsidRDefault="00332680" w:rsidP="005247AA">
            <w:pPr>
              <w:jc w:val="right"/>
              <w:rPr>
                <w:rFonts w:eastAsia="Times New Roman"/>
                <w:color w:val="000000"/>
                <w:sz w:val="20"/>
                <w:lang w:eastAsia="en-US"/>
              </w:rPr>
            </w:pPr>
            <w:r w:rsidRPr="00332680">
              <w:rPr>
                <w:rFonts w:eastAsia="Times New Roman"/>
                <w:color w:val="000000"/>
                <w:sz w:val="20"/>
                <w:lang w:eastAsia="en-US"/>
              </w:rPr>
              <w:t xml:space="preserve">                               -   </w:t>
            </w:r>
          </w:p>
        </w:tc>
      </w:tr>
      <w:tr w:rsidR="00332680" w:rsidRPr="00332680" w:rsidTr="00497A16">
        <w:trPr>
          <w:trHeight w:val="255"/>
          <w:jc w:val="center"/>
        </w:trPr>
        <w:tc>
          <w:tcPr>
            <w:tcW w:w="3203"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United States of America</w:t>
            </w:r>
          </w:p>
        </w:tc>
        <w:tc>
          <w:tcPr>
            <w:tcW w:w="2401" w:type="dxa"/>
            <w:tcBorders>
              <w:top w:val="nil"/>
              <w:left w:val="nil"/>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 xml:space="preserve">                  754,900.00 </w:t>
            </w:r>
          </w:p>
        </w:tc>
      </w:tr>
      <w:tr w:rsidR="00332680" w:rsidRPr="00332680" w:rsidTr="00497A16">
        <w:trPr>
          <w:trHeight w:val="255"/>
          <w:jc w:val="center"/>
        </w:trPr>
        <w:tc>
          <w:tcPr>
            <w:tcW w:w="3203"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Uruguay</w:t>
            </w:r>
          </w:p>
        </w:tc>
        <w:tc>
          <w:tcPr>
            <w:tcW w:w="2401" w:type="dxa"/>
            <w:tcBorders>
              <w:top w:val="nil"/>
              <w:left w:val="nil"/>
              <w:bottom w:val="nil"/>
              <w:right w:val="single" w:sz="4" w:space="0" w:color="auto"/>
            </w:tcBorders>
            <w:shd w:val="clear" w:color="auto" w:fill="auto"/>
            <w:noWrap/>
            <w:vAlign w:val="bottom"/>
            <w:hideMark/>
          </w:tcPr>
          <w:p w:rsidR="00332680" w:rsidRPr="00332680" w:rsidRDefault="00332680" w:rsidP="005247AA">
            <w:pPr>
              <w:jc w:val="right"/>
              <w:rPr>
                <w:rFonts w:eastAsia="Times New Roman"/>
                <w:color w:val="000000"/>
                <w:sz w:val="20"/>
                <w:lang w:eastAsia="en-US"/>
              </w:rPr>
            </w:pPr>
            <w:r w:rsidRPr="00332680">
              <w:rPr>
                <w:rFonts w:eastAsia="Times New Roman"/>
                <w:color w:val="000000"/>
                <w:sz w:val="20"/>
                <w:lang w:eastAsia="en-US"/>
              </w:rPr>
              <w:t xml:space="preserve">                               -   </w:t>
            </w:r>
          </w:p>
        </w:tc>
      </w:tr>
      <w:tr w:rsidR="00332680" w:rsidRPr="00332680" w:rsidTr="00497A16">
        <w:trPr>
          <w:trHeight w:val="255"/>
          <w:jc w:val="center"/>
        </w:trPr>
        <w:tc>
          <w:tcPr>
            <w:tcW w:w="3203"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Venezuela (Bolivarian Rep. of)</w:t>
            </w:r>
          </w:p>
        </w:tc>
        <w:tc>
          <w:tcPr>
            <w:tcW w:w="2401" w:type="dxa"/>
            <w:tcBorders>
              <w:top w:val="nil"/>
              <w:left w:val="nil"/>
              <w:bottom w:val="nil"/>
              <w:right w:val="single" w:sz="4" w:space="0" w:color="auto"/>
            </w:tcBorders>
            <w:shd w:val="clear" w:color="auto" w:fill="auto"/>
            <w:noWrap/>
            <w:vAlign w:val="bottom"/>
            <w:hideMark/>
          </w:tcPr>
          <w:p w:rsidR="00332680" w:rsidRPr="00332680" w:rsidRDefault="00332680" w:rsidP="005247AA">
            <w:pPr>
              <w:jc w:val="right"/>
              <w:rPr>
                <w:rFonts w:eastAsia="Times New Roman"/>
                <w:color w:val="000000"/>
                <w:sz w:val="20"/>
                <w:lang w:eastAsia="en-US"/>
              </w:rPr>
            </w:pPr>
            <w:r w:rsidRPr="00332680">
              <w:rPr>
                <w:rFonts w:eastAsia="Times New Roman"/>
                <w:color w:val="000000"/>
                <w:sz w:val="20"/>
                <w:lang w:eastAsia="en-US"/>
              </w:rPr>
              <w:t xml:space="preserve">                               -   </w:t>
            </w:r>
          </w:p>
        </w:tc>
      </w:tr>
      <w:tr w:rsidR="00332680" w:rsidRPr="00332680" w:rsidTr="00497A16">
        <w:trPr>
          <w:trHeight w:val="255"/>
          <w:jc w:val="center"/>
        </w:trPr>
        <w:tc>
          <w:tcPr>
            <w:tcW w:w="3203"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Viet Nam</w:t>
            </w:r>
          </w:p>
        </w:tc>
        <w:tc>
          <w:tcPr>
            <w:tcW w:w="2401" w:type="dxa"/>
            <w:tcBorders>
              <w:top w:val="nil"/>
              <w:left w:val="nil"/>
              <w:bottom w:val="nil"/>
              <w:right w:val="single" w:sz="4" w:space="0" w:color="auto"/>
            </w:tcBorders>
            <w:shd w:val="clear" w:color="auto" w:fill="auto"/>
            <w:noWrap/>
            <w:vAlign w:val="bottom"/>
            <w:hideMark/>
          </w:tcPr>
          <w:p w:rsidR="00332680" w:rsidRPr="00332680" w:rsidRDefault="00332680" w:rsidP="005247AA">
            <w:pPr>
              <w:jc w:val="right"/>
              <w:rPr>
                <w:rFonts w:eastAsia="Times New Roman"/>
                <w:color w:val="000000"/>
                <w:sz w:val="20"/>
                <w:lang w:eastAsia="en-US"/>
              </w:rPr>
            </w:pPr>
            <w:r w:rsidRPr="00332680">
              <w:rPr>
                <w:rFonts w:eastAsia="Times New Roman"/>
                <w:color w:val="000000"/>
                <w:sz w:val="20"/>
                <w:lang w:eastAsia="en-US"/>
              </w:rPr>
              <w:t xml:space="preserve">                               -   </w:t>
            </w:r>
          </w:p>
        </w:tc>
      </w:tr>
      <w:tr w:rsidR="00332680" w:rsidRPr="00332680" w:rsidTr="00497A16">
        <w:trPr>
          <w:trHeight w:val="255"/>
          <w:jc w:val="center"/>
        </w:trPr>
        <w:tc>
          <w:tcPr>
            <w:tcW w:w="3203" w:type="dxa"/>
            <w:tcBorders>
              <w:top w:val="nil"/>
              <w:left w:val="single" w:sz="4" w:space="0" w:color="auto"/>
              <w:bottom w:val="nil"/>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Zambia</w:t>
            </w:r>
          </w:p>
        </w:tc>
        <w:tc>
          <w:tcPr>
            <w:tcW w:w="2401" w:type="dxa"/>
            <w:tcBorders>
              <w:top w:val="nil"/>
              <w:left w:val="nil"/>
              <w:bottom w:val="nil"/>
              <w:right w:val="single" w:sz="4" w:space="0" w:color="auto"/>
            </w:tcBorders>
            <w:shd w:val="clear" w:color="auto" w:fill="auto"/>
            <w:noWrap/>
            <w:vAlign w:val="bottom"/>
            <w:hideMark/>
          </w:tcPr>
          <w:p w:rsidR="00332680" w:rsidRPr="00332680" w:rsidRDefault="00332680" w:rsidP="005247AA">
            <w:pPr>
              <w:jc w:val="right"/>
              <w:rPr>
                <w:rFonts w:eastAsia="Times New Roman"/>
                <w:color w:val="000000"/>
                <w:sz w:val="20"/>
                <w:lang w:eastAsia="en-US"/>
              </w:rPr>
            </w:pPr>
            <w:r w:rsidRPr="00332680">
              <w:rPr>
                <w:rFonts w:eastAsia="Times New Roman"/>
                <w:color w:val="000000"/>
                <w:sz w:val="20"/>
                <w:lang w:eastAsia="en-US"/>
              </w:rPr>
              <w:t xml:space="preserve">                               -   </w:t>
            </w:r>
          </w:p>
        </w:tc>
      </w:tr>
      <w:tr w:rsidR="00332680" w:rsidRPr="00332680" w:rsidTr="00497A16">
        <w:trPr>
          <w:trHeight w:val="255"/>
          <w:jc w:val="center"/>
        </w:trPr>
        <w:tc>
          <w:tcPr>
            <w:tcW w:w="3203" w:type="dxa"/>
            <w:tcBorders>
              <w:top w:val="nil"/>
              <w:left w:val="single" w:sz="4" w:space="0" w:color="auto"/>
              <w:bottom w:val="single" w:sz="4" w:space="0" w:color="auto"/>
              <w:right w:val="single" w:sz="4" w:space="0" w:color="auto"/>
            </w:tcBorders>
            <w:shd w:val="clear" w:color="auto" w:fill="auto"/>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Zimbabwe</w:t>
            </w:r>
          </w:p>
        </w:tc>
        <w:tc>
          <w:tcPr>
            <w:tcW w:w="2401" w:type="dxa"/>
            <w:tcBorders>
              <w:top w:val="nil"/>
              <w:left w:val="nil"/>
              <w:bottom w:val="single" w:sz="4" w:space="0" w:color="auto"/>
              <w:right w:val="single" w:sz="4" w:space="0" w:color="auto"/>
            </w:tcBorders>
            <w:shd w:val="clear" w:color="auto" w:fill="auto"/>
            <w:noWrap/>
            <w:vAlign w:val="bottom"/>
            <w:hideMark/>
          </w:tcPr>
          <w:p w:rsidR="00332680" w:rsidRPr="00332680" w:rsidRDefault="00332680" w:rsidP="005247AA">
            <w:pPr>
              <w:jc w:val="right"/>
              <w:rPr>
                <w:rFonts w:eastAsia="Times New Roman"/>
                <w:color w:val="000000"/>
                <w:sz w:val="20"/>
                <w:lang w:eastAsia="en-US"/>
              </w:rPr>
            </w:pPr>
            <w:r w:rsidRPr="00332680">
              <w:rPr>
                <w:rFonts w:eastAsia="Times New Roman"/>
                <w:color w:val="000000"/>
                <w:sz w:val="20"/>
                <w:lang w:eastAsia="en-US"/>
              </w:rPr>
              <w:t xml:space="preserve">                               -   </w:t>
            </w:r>
          </w:p>
        </w:tc>
      </w:tr>
      <w:tr w:rsidR="00332680" w:rsidRPr="00332680" w:rsidTr="00497A16">
        <w:trPr>
          <w:trHeight w:val="255"/>
          <w:jc w:val="center"/>
        </w:trPr>
        <w:tc>
          <w:tcPr>
            <w:tcW w:w="3203" w:type="dxa"/>
            <w:tcBorders>
              <w:top w:val="nil"/>
              <w:left w:val="single" w:sz="4" w:space="0" w:color="auto"/>
              <w:bottom w:val="nil"/>
              <w:right w:val="single" w:sz="4" w:space="0" w:color="auto"/>
            </w:tcBorders>
            <w:shd w:val="clear" w:color="000000" w:fill="C5D9F1"/>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 </w:t>
            </w:r>
          </w:p>
        </w:tc>
        <w:tc>
          <w:tcPr>
            <w:tcW w:w="2401" w:type="dxa"/>
            <w:tcBorders>
              <w:top w:val="nil"/>
              <w:left w:val="nil"/>
              <w:bottom w:val="nil"/>
              <w:right w:val="single" w:sz="4" w:space="0" w:color="auto"/>
            </w:tcBorders>
            <w:shd w:val="clear" w:color="000000" w:fill="C5D9F1"/>
            <w:noWrap/>
            <w:vAlign w:val="bottom"/>
            <w:hideMark/>
          </w:tcPr>
          <w:p w:rsidR="00332680" w:rsidRPr="00332680" w:rsidRDefault="00332680" w:rsidP="00332680">
            <w:pPr>
              <w:rPr>
                <w:rFonts w:eastAsia="Times New Roman"/>
                <w:color w:val="000000"/>
                <w:sz w:val="20"/>
                <w:lang w:eastAsia="en-US"/>
              </w:rPr>
            </w:pPr>
            <w:r w:rsidRPr="00332680">
              <w:rPr>
                <w:rFonts w:eastAsia="Times New Roman"/>
                <w:color w:val="000000"/>
                <w:sz w:val="20"/>
                <w:lang w:eastAsia="en-US"/>
              </w:rPr>
              <w:t> </w:t>
            </w:r>
          </w:p>
        </w:tc>
      </w:tr>
      <w:tr w:rsidR="00332680" w:rsidRPr="00332680" w:rsidTr="00497A16">
        <w:trPr>
          <w:trHeight w:val="487"/>
          <w:jc w:val="center"/>
        </w:trPr>
        <w:tc>
          <w:tcPr>
            <w:tcW w:w="3203" w:type="dxa"/>
            <w:tcBorders>
              <w:top w:val="nil"/>
              <w:left w:val="single" w:sz="4" w:space="0" w:color="auto"/>
              <w:bottom w:val="single" w:sz="4" w:space="0" w:color="auto"/>
              <w:right w:val="single" w:sz="4" w:space="0" w:color="auto"/>
            </w:tcBorders>
            <w:shd w:val="clear" w:color="000000" w:fill="C5D9F1"/>
            <w:noWrap/>
            <w:hideMark/>
          </w:tcPr>
          <w:p w:rsidR="00332680" w:rsidRPr="00DD02E1" w:rsidRDefault="00332680" w:rsidP="00332680">
            <w:pPr>
              <w:rPr>
                <w:rFonts w:eastAsia="Times New Roman"/>
                <w:b/>
                <w:color w:val="000000"/>
                <w:sz w:val="20"/>
                <w:lang w:eastAsia="en-US"/>
              </w:rPr>
            </w:pPr>
            <w:r w:rsidRPr="00DD02E1">
              <w:rPr>
                <w:rFonts w:eastAsia="Times New Roman"/>
                <w:b/>
                <w:color w:val="000000"/>
                <w:sz w:val="20"/>
                <w:lang w:eastAsia="en-US"/>
              </w:rPr>
              <w:t>TOTAL</w:t>
            </w:r>
          </w:p>
        </w:tc>
        <w:tc>
          <w:tcPr>
            <w:tcW w:w="2401" w:type="dxa"/>
            <w:tcBorders>
              <w:top w:val="nil"/>
              <w:left w:val="nil"/>
              <w:bottom w:val="single" w:sz="4" w:space="0" w:color="auto"/>
              <w:right w:val="single" w:sz="4" w:space="0" w:color="auto"/>
            </w:tcBorders>
            <w:shd w:val="clear" w:color="000000" w:fill="C5D9F1"/>
            <w:noWrap/>
            <w:hideMark/>
          </w:tcPr>
          <w:p w:rsidR="00332680" w:rsidRPr="00DD02E1" w:rsidRDefault="00332680" w:rsidP="00DD02E1">
            <w:pPr>
              <w:jc w:val="right"/>
              <w:rPr>
                <w:rFonts w:eastAsia="Times New Roman"/>
                <w:b/>
                <w:color w:val="000000"/>
                <w:sz w:val="20"/>
                <w:lang w:eastAsia="en-US"/>
              </w:rPr>
            </w:pPr>
            <w:r w:rsidRPr="00DD02E1">
              <w:rPr>
                <w:rFonts w:eastAsia="Times New Roman"/>
                <w:b/>
                <w:color w:val="000000"/>
                <w:sz w:val="20"/>
                <w:lang w:eastAsia="en-US"/>
              </w:rPr>
              <w:t xml:space="preserve">2,000,000.00 </w:t>
            </w:r>
          </w:p>
        </w:tc>
      </w:tr>
    </w:tbl>
    <w:p w:rsidR="00332680" w:rsidRDefault="00332680" w:rsidP="00332680">
      <w:pPr>
        <w:rPr>
          <w:lang w:val="en-GB"/>
        </w:rPr>
      </w:pPr>
    </w:p>
    <w:p w:rsidR="00DD02E1" w:rsidRDefault="00DD02E1" w:rsidP="00332680">
      <w:pPr>
        <w:rPr>
          <w:lang w:val="en-GB"/>
        </w:rPr>
      </w:pPr>
    </w:p>
    <w:p w:rsidR="00332680" w:rsidRDefault="00332680">
      <w:pPr>
        <w:spacing w:after="200" w:line="276" w:lineRule="auto"/>
        <w:rPr>
          <w:lang w:val="en-GB"/>
        </w:rPr>
      </w:pPr>
    </w:p>
    <w:p w:rsidR="00DD02E1" w:rsidRDefault="00DD02E1" w:rsidP="00DD02E1">
      <w:pPr>
        <w:pStyle w:val="Endofdocument"/>
        <w:rPr>
          <w:sz w:val="22"/>
          <w:lang w:val="en-GB"/>
        </w:rPr>
      </w:pPr>
      <w:r w:rsidRPr="00106225">
        <w:rPr>
          <w:sz w:val="22"/>
          <w:lang w:val="en-GB"/>
        </w:rPr>
        <w:t>[</w:t>
      </w:r>
      <w:r>
        <w:rPr>
          <w:sz w:val="22"/>
          <w:lang w:val="en-GB"/>
        </w:rPr>
        <w:t>End of Annex II and of document</w:t>
      </w:r>
      <w:r w:rsidRPr="00106225">
        <w:rPr>
          <w:sz w:val="22"/>
          <w:lang w:val="en-GB"/>
        </w:rPr>
        <w:t>]</w:t>
      </w:r>
    </w:p>
    <w:p w:rsidR="00332680" w:rsidRDefault="00332680">
      <w:pPr>
        <w:spacing w:after="200" w:line="276" w:lineRule="auto"/>
        <w:rPr>
          <w:lang w:val="en-GB"/>
        </w:rPr>
      </w:pPr>
    </w:p>
    <w:p w:rsidR="00332680" w:rsidRPr="00106225" w:rsidRDefault="00332680" w:rsidP="00C0178F">
      <w:pPr>
        <w:rPr>
          <w:lang w:val="en-GB"/>
        </w:rPr>
      </w:pPr>
    </w:p>
    <w:sectPr w:rsidR="00332680" w:rsidRPr="00106225" w:rsidSect="009A673B">
      <w:headerReference w:type="default" r:id="rId21"/>
      <w:headerReference w:type="first" r:id="rId22"/>
      <w:pgSz w:w="11907" w:h="16839" w:code="9"/>
      <w:pgMar w:top="567" w:right="1134" w:bottom="1418" w:left="1418" w:header="624"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FFD" w:rsidRDefault="007E3FFD">
      <w:r>
        <w:separator/>
      </w:r>
    </w:p>
  </w:endnote>
  <w:endnote w:type="continuationSeparator" w:id="0">
    <w:p w:rsidR="007E3FFD" w:rsidRDefault="007E3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FFD" w:rsidRDefault="007E3FFD" w:rsidP="001674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0388C">
      <w:rPr>
        <w:rStyle w:val="PageNumber"/>
        <w:noProof/>
      </w:rPr>
      <w:t>3</w:t>
    </w:r>
    <w:r>
      <w:rPr>
        <w:rStyle w:val="PageNumber"/>
      </w:rPr>
      <w:fldChar w:fldCharType="end"/>
    </w:r>
  </w:p>
  <w:p w:rsidR="007E3FFD" w:rsidRDefault="007E3FFD" w:rsidP="0016740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FFD" w:rsidRDefault="007E3FFD" w:rsidP="0016740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FFD" w:rsidRDefault="007E3FFD">
      <w:r>
        <w:separator/>
      </w:r>
    </w:p>
  </w:footnote>
  <w:footnote w:type="continuationSeparator" w:id="0">
    <w:p w:rsidR="007E3FFD" w:rsidRDefault="007E3FFD">
      <w:r>
        <w:continuationSeparator/>
      </w:r>
    </w:p>
  </w:footnote>
  <w:footnote w:id="1">
    <w:p w:rsidR="007E3FFD" w:rsidRDefault="007E3FFD" w:rsidP="00332680">
      <w:pPr>
        <w:pStyle w:val="FootnoteText"/>
      </w:pPr>
      <w:r>
        <w:rPr>
          <w:rStyle w:val="FootnoteReference"/>
        </w:rPr>
        <w:footnoteRef/>
      </w:r>
      <w:r>
        <w:t xml:space="preserve"> </w:t>
      </w:r>
      <w:r>
        <w:tab/>
      </w:r>
      <w:r w:rsidRPr="00DE0BD9">
        <w:rPr>
          <w:szCs w:val="18"/>
        </w:rPr>
        <w:t>Doc</w:t>
      </w:r>
      <w:r w:rsidRPr="00FC1274">
        <w:rPr>
          <w:szCs w:val="18"/>
        </w:rPr>
        <w:t>ument A/35/6 of 2000 (the proposal for the Policy on Reserves)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FFD" w:rsidRDefault="007E3FFD">
    <w:pPr>
      <w:pStyle w:val="Header"/>
      <w:jc w:val="right"/>
    </w:pPr>
    <w:r>
      <w:t xml:space="preserve">WO/PBC/23/8 </w:t>
    </w:r>
  </w:p>
  <w:p w:rsidR="007E3FFD" w:rsidRDefault="007E3FFD">
    <w:pPr>
      <w:pStyle w:val="Header"/>
      <w:jc w:val="right"/>
    </w:pPr>
    <w:proofErr w:type="gramStart"/>
    <w:r>
      <w:t>page</w:t>
    </w:r>
    <w:proofErr w:type="gramEnd"/>
    <w:r>
      <w:t xml:space="preserve"> </w:t>
    </w:r>
    <w:sdt>
      <w:sdtPr>
        <w:id w:val="-33430592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C7C93">
          <w:rPr>
            <w:noProof/>
          </w:rPr>
          <w:t>2</w:t>
        </w:r>
        <w:r>
          <w:rPr>
            <w:noProof/>
          </w:rPr>
          <w:fldChar w:fldCharType="end"/>
        </w:r>
      </w:sdtContent>
    </w:sdt>
  </w:p>
  <w:p w:rsidR="007E3FFD" w:rsidRDefault="007E3FFD">
    <w:pPr>
      <w:pStyle w:val="Header"/>
    </w:pPr>
  </w:p>
  <w:p w:rsidR="007E3FFD" w:rsidRDefault="007E3F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FFD" w:rsidRDefault="007E3FFD" w:rsidP="00332680">
    <w:pPr>
      <w:jc w:val="right"/>
    </w:pPr>
    <w:bookmarkStart w:id="6" w:name="Code2"/>
    <w:bookmarkEnd w:id="6"/>
    <w:r>
      <w:t>WO/PBC/23/8</w:t>
    </w:r>
  </w:p>
  <w:p w:rsidR="007E3FFD" w:rsidRDefault="007E3FFD" w:rsidP="00332680">
    <w:pPr>
      <w:jc w:val="right"/>
    </w:pPr>
    <w:r>
      <w:t xml:space="preserve">Annex I, page </w:t>
    </w:r>
    <w:r>
      <w:fldChar w:fldCharType="begin"/>
    </w:r>
    <w:r>
      <w:instrText xml:space="preserve"> PAGE  \* MERGEFORMAT </w:instrText>
    </w:r>
    <w:r>
      <w:fldChar w:fldCharType="separate"/>
    </w:r>
    <w:r w:rsidR="00BC7C93">
      <w:rPr>
        <w:noProof/>
      </w:rPr>
      <w:t>9</w:t>
    </w:r>
    <w:r>
      <w:fldChar w:fldCharType="end"/>
    </w:r>
  </w:p>
  <w:p w:rsidR="007E3FFD" w:rsidRDefault="007E3FFD" w:rsidP="00332680">
    <w:pPr>
      <w:jc w:val="right"/>
    </w:pPr>
  </w:p>
  <w:p w:rsidR="007E3FFD" w:rsidRDefault="007E3FFD" w:rsidP="00332680">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FFD" w:rsidRDefault="007E3FFD" w:rsidP="00C948D8">
    <w:pPr>
      <w:jc w:val="right"/>
    </w:pPr>
    <w:r>
      <w:t>WO/PBC/23/8</w:t>
    </w:r>
  </w:p>
  <w:p w:rsidR="007E3FFD" w:rsidRDefault="007E3FFD" w:rsidP="00C948D8">
    <w:pPr>
      <w:pStyle w:val="Header"/>
      <w:jc w:val="right"/>
    </w:pPr>
    <w:r>
      <w:t>ANNEX I</w:t>
    </w:r>
  </w:p>
  <w:p w:rsidR="007E3FFD" w:rsidRDefault="007E3FFD" w:rsidP="00C948D8">
    <w:pPr>
      <w:pStyle w:val="Header"/>
      <w:jc w:val="right"/>
    </w:pPr>
  </w:p>
  <w:p w:rsidR="007E3FFD" w:rsidRDefault="007E3FFD" w:rsidP="00C948D8">
    <w:pPr>
      <w:pStyle w:val="Header"/>
      <w:jc w:val="right"/>
    </w:pPr>
  </w:p>
  <w:p w:rsidR="007E3FFD" w:rsidRDefault="007E3FF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ED8" w:rsidRDefault="00FD5ED8" w:rsidP="00C948D8">
    <w:pPr>
      <w:jc w:val="right"/>
    </w:pPr>
    <w:r>
      <w:t>WO/PBC/23/8</w:t>
    </w:r>
  </w:p>
  <w:p w:rsidR="00FD5ED8" w:rsidRDefault="00FD5ED8" w:rsidP="00C948D8">
    <w:pPr>
      <w:pStyle w:val="Header"/>
      <w:jc w:val="right"/>
    </w:pPr>
    <w:r>
      <w:t>ANNEX I</w:t>
    </w:r>
  </w:p>
  <w:p w:rsidR="00FD5ED8" w:rsidRDefault="00FD5ED8" w:rsidP="00C948D8">
    <w:pPr>
      <w:pStyle w:val="Header"/>
      <w:jc w:val="right"/>
    </w:pPr>
  </w:p>
  <w:p w:rsidR="00FD5ED8" w:rsidRDefault="00FD5ED8" w:rsidP="00C948D8">
    <w:pPr>
      <w:pStyle w:val="Header"/>
      <w:jc w:val="right"/>
    </w:pPr>
  </w:p>
  <w:p w:rsidR="00FD5ED8" w:rsidRDefault="00FD5ED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FFD" w:rsidRPr="00DD02E1" w:rsidRDefault="007E3FFD" w:rsidP="00332680">
    <w:pPr>
      <w:jc w:val="right"/>
      <w:rPr>
        <w:lang w:val="fr-FR"/>
      </w:rPr>
    </w:pPr>
    <w:r w:rsidRPr="00DD02E1">
      <w:rPr>
        <w:lang w:val="fr-FR"/>
      </w:rPr>
      <w:t>WO/PBC/23/8</w:t>
    </w:r>
  </w:p>
  <w:p w:rsidR="007E3FFD" w:rsidRPr="00DD02E1" w:rsidRDefault="007E3FFD" w:rsidP="00332680">
    <w:pPr>
      <w:jc w:val="right"/>
      <w:rPr>
        <w:lang w:val="fr-FR"/>
      </w:rPr>
    </w:pPr>
    <w:proofErr w:type="spellStart"/>
    <w:r w:rsidRPr="00DD02E1">
      <w:rPr>
        <w:lang w:val="fr-FR"/>
      </w:rPr>
      <w:t>Annex</w:t>
    </w:r>
    <w:proofErr w:type="spellEnd"/>
    <w:r w:rsidRPr="00DD02E1">
      <w:rPr>
        <w:lang w:val="fr-FR"/>
      </w:rPr>
      <w:t xml:space="preserve"> II, page </w:t>
    </w:r>
    <w:r>
      <w:fldChar w:fldCharType="begin"/>
    </w:r>
    <w:r w:rsidRPr="00DD02E1">
      <w:rPr>
        <w:lang w:val="fr-FR"/>
      </w:rPr>
      <w:instrText xml:space="preserve"> PAGE  \* MERGEFORMAT </w:instrText>
    </w:r>
    <w:r>
      <w:fldChar w:fldCharType="separate"/>
    </w:r>
    <w:r w:rsidR="00BC7C93">
      <w:rPr>
        <w:noProof/>
        <w:lang w:val="fr-FR"/>
      </w:rPr>
      <w:t>3</w:t>
    </w:r>
    <w:r>
      <w:fldChar w:fldCharType="end"/>
    </w:r>
  </w:p>
  <w:p w:rsidR="007E3FFD" w:rsidRPr="00DD02E1" w:rsidRDefault="007E3FFD" w:rsidP="00332680">
    <w:pPr>
      <w:jc w:val="right"/>
      <w:rPr>
        <w:lang w:val="fr-FR"/>
      </w:rPr>
    </w:pPr>
  </w:p>
  <w:p w:rsidR="007E3FFD" w:rsidRPr="00DD02E1" w:rsidRDefault="007E3FFD" w:rsidP="00332680">
    <w:pPr>
      <w:jc w:val="right"/>
      <w:rPr>
        <w:lang w:val="fr-F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FFD" w:rsidRDefault="007E3FFD" w:rsidP="00C948D8">
    <w:pPr>
      <w:jc w:val="right"/>
    </w:pPr>
    <w:r>
      <w:t>WO/PBC/23/8</w:t>
    </w:r>
  </w:p>
  <w:p w:rsidR="007E3FFD" w:rsidRDefault="007E3FFD" w:rsidP="00C948D8">
    <w:pPr>
      <w:pStyle w:val="Header"/>
      <w:jc w:val="right"/>
    </w:pPr>
    <w:r>
      <w:t>ANNEX II</w:t>
    </w:r>
  </w:p>
  <w:p w:rsidR="007E3FFD" w:rsidRDefault="007E3FFD" w:rsidP="00C948D8">
    <w:pPr>
      <w:pStyle w:val="Header"/>
      <w:jc w:val="right"/>
    </w:pPr>
  </w:p>
  <w:p w:rsidR="007E3FFD" w:rsidRDefault="007E3F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665A8"/>
    <w:multiLevelType w:val="multilevel"/>
    <w:tmpl w:val="4290E3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4167E43"/>
    <w:multiLevelType w:val="hybridMultilevel"/>
    <w:tmpl w:val="28CA2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7131D0A"/>
    <w:multiLevelType w:val="hybridMultilevel"/>
    <w:tmpl w:val="7DD25286"/>
    <w:lvl w:ilvl="0" w:tplc="2EF0338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4263D1"/>
    <w:multiLevelType w:val="hybridMultilevel"/>
    <w:tmpl w:val="C3A6530A"/>
    <w:lvl w:ilvl="0" w:tplc="4B1826D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0BA564C"/>
    <w:multiLevelType w:val="hybridMultilevel"/>
    <w:tmpl w:val="C2084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8927C0"/>
    <w:multiLevelType w:val="hybridMultilevel"/>
    <w:tmpl w:val="3432F00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234ACD"/>
    <w:multiLevelType w:val="hybridMultilevel"/>
    <w:tmpl w:val="D6389A70"/>
    <w:lvl w:ilvl="0" w:tplc="D82C90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962E11"/>
    <w:multiLevelType w:val="hybridMultilevel"/>
    <w:tmpl w:val="F0F6D5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DC42773"/>
    <w:multiLevelType w:val="hybridMultilevel"/>
    <w:tmpl w:val="14C8835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E88099C"/>
    <w:multiLevelType w:val="hybridMultilevel"/>
    <w:tmpl w:val="9F68C1BA"/>
    <w:lvl w:ilvl="0" w:tplc="0409000F">
      <w:start w:val="1"/>
      <w:numFmt w:val="decimal"/>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1">
    <w:nsid w:val="22670310"/>
    <w:multiLevelType w:val="hybridMultilevel"/>
    <w:tmpl w:val="F08A8A2C"/>
    <w:lvl w:ilvl="0" w:tplc="6F9C24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72E4262"/>
    <w:multiLevelType w:val="hybridMultilevel"/>
    <w:tmpl w:val="C0A8A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50297A"/>
    <w:multiLevelType w:val="hybridMultilevel"/>
    <w:tmpl w:val="4614F29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FBC6BF7"/>
    <w:multiLevelType w:val="hybridMultilevel"/>
    <w:tmpl w:val="26200A14"/>
    <w:lvl w:ilvl="0" w:tplc="7514FB6C">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37F4755"/>
    <w:multiLevelType w:val="hybridMultilevel"/>
    <w:tmpl w:val="BA9212FE"/>
    <w:lvl w:ilvl="0" w:tplc="0409000F">
      <w:start w:val="10"/>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361D1A"/>
    <w:multiLevelType w:val="hybridMultilevel"/>
    <w:tmpl w:val="79D2F09E"/>
    <w:lvl w:ilvl="0" w:tplc="4FC0DC50">
      <w:start w:val="12"/>
      <w:numFmt w:val="decimal"/>
      <w:lvlText w:val="%1"/>
      <w:lvlJc w:val="left"/>
      <w:pPr>
        <w:ind w:left="4500" w:hanging="360"/>
      </w:pPr>
      <w:rPr>
        <w:rFonts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17">
    <w:nsid w:val="37FB57F9"/>
    <w:multiLevelType w:val="hybridMultilevel"/>
    <w:tmpl w:val="28BE614A"/>
    <w:lvl w:ilvl="0" w:tplc="70B06C8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B1F467C"/>
    <w:multiLevelType w:val="hybridMultilevel"/>
    <w:tmpl w:val="7EC61026"/>
    <w:lvl w:ilvl="0" w:tplc="5518DE2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42D22C5E"/>
    <w:multiLevelType w:val="hybridMultilevel"/>
    <w:tmpl w:val="B97AFB9A"/>
    <w:lvl w:ilvl="0" w:tplc="BB401EE0">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4DAB6061"/>
    <w:multiLevelType w:val="hybridMultilevel"/>
    <w:tmpl w:val="D03C483E"/>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EBC534F"/>
    <w:multiLevelType w:val="hybridMultilevel"/>
    <w:tmpl w:val="3BE8AB5E"/>
    <w:lvl w:ilvl="0" w:tplc="E0FEED2C">
      <w:start w:val="9"/>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2">
    <w:nsid w:val="5C9C0F03"/>
    <w:multiLevelType w:val="hybridMultilevel"/>
    <w:tmpl w:val="B7D617AA"/>
    <w:lvl w:ilvl="0" w:tplc="0409000F">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927414"/>
    <w:multiLevelType w:val="hybridMultilevel"/>
    <w:tmpl w:val="C20841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1EF5018"/>
    <w:multiLevelType w:val="hybridMultilevel"/>
    <w:tmpl w:val="26200A14"/>
    <w:lvl w:ilvl="0" w:tplc="7514FB6C">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63551097"/>
    <w:multiLevelType w:val="hybridMultilevel"/>
    <w:tmpl w:val="25349C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BE7C6D"/>
    <w:multiLevelType w:val="hybridMultilevel"/>
    <w:tmpl w:val="164EFE3C"/>
    <w:lvl w:ilvl="0" w:tplc="7C428C48">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3612E0C"/>
    <w:multiLevelType w:val="hybridMultilevel"/>
    <w:tmpl w:val="650259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A420EB9"/>
    <w:multiLevelType w:val="hybridMultilevel"/>
    <w:tmpl w:val="F08A8A2C"/>
    <w:lvl w:ilvl="0" w:tplc="6F9C24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3"/>
  </w:num>
  <w:num w:numId="3">
    <w:abstractNumId w:val="7"/>
  </w:num>
  <w:num w:numId="4">
    <w:abstractNumId w:val="12"/>
  </w:num>
  <w:num w:numId="5">
    <w:abstractNumId w:val="8"/>
  </w:num>
  <w:num w:numId="6">
    <w:abstractNumId w:val="20"/>
  </w:num>
  <w:num w:numId="7">
    <w:abstractNumId w:val="10"/>
  </w:num>
  <w:num w:numId="8">
    <w:abstractNumId w:val="21"/>
  </w:num>
  <w:num w:numId="9">
    <w:abstractNumId w:val="1"/>
  </w:num>
  <w:num w:numId="10">
    <w:abstractNumId w:val="27"/>
  </w:num>
  <w:num w:numId="11">
    <w:abstractNumId w:val="22"/>
  </w:num>
  <w:num w:numId="12">
    <w:abstractNumId w:val="15"/>
  </w:num>
  <w:num w:numId="13">
    <w:abstractNumId w:val="16"/>
  </w:num>
  <w:num w:numId="14">
    <w:abstractNumId w:val="5"/>
  </w:num>
  <w:num w:numId="15">
    <w:abstractNumId w:val="3"/>
  </w:num>
  <w:num w:numId="16">
    <w:abstractNumId w:val="17"/>
  </w:num>
  <w:num w:numId="17">
    <w:abstractNumId w:val="9"/>
  </w:num>
  <w:num w:numId="18">
    <w:abstractNumId w:val="25"/>
  </w:num>
  <w:num w:numId="19">
    <w:abstractNumId w:val="23"/>
  </w:num>
  <w:num w:numId="20">
    <w:abstractNumId w:val="0"/>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28"/>
  </w:num>
  <w:num w:numId="24">
    <w:abstractNumId w:val="4"/>
  </w:num>
  <w:num w:numId="25">
    <w:abstractNumId w:val="18"/>
  </w:num>
  <w:num w:numId="26">
    <w:abstractNumId w:val="26"/>
  </w:num>
  <w:num w:numId="27">
    <w:abstractNumId w:val="14"/>
  </w:num>
  <w:num w:numId="28">
    <w:abstractNumId w:val="19"/>
  </w:num>
  <w:num w:numId="29">
    <w:abstractNumId w:val="2"/>
  </w:num>
  <w:num w:numId="30">
    <w:abstractNumId w:val="2"/>
  </w:num>
  <w:num w:numId="31">
    <w:abstractNumId w:val="2"/>
  </w:num>
  <w:num w:numId="32">
    <w:abstractNumId w:val="2"/>
  </w:num>
  <w:num w:numId="33">
    <w:abstractNumId w:val="2"/>
  </w:num>
  <w:num w:numId="34">
    <w:abstractNumId w:val="2"/>
  </w:num>
  <w:num w:numId="35">
    <w:abstractNumId w:val="11"/>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DA8"/>
    <w:rsid w:val="00051057"/>
    <w:rsid w:val="000A14B5"/>
    <w:rsid w:val="000A50DF"/>
    <w:rsid w:val="000E4E10"/>
    <w:rsid w:val="00106225"/>
    <w:rsid w:val="001101E8"/>
    <w:rsid w:val="00114F86"/>
    <w:rsid w:val="00167405"/>
    <w:rsid w:val="001705BB"/>
    <w:rsid w:val="001A3402"/>
    <w:rsid w:val="001B0465"/>
    <w:rsid w:val="001D6B5B"/>
    <w:rsid w:val="001E7021"/>
    <w:rsid w:val="002E2D6D"/>
    <w:rsid w:val="0031468B"/>
    <w:rsid w:val="00332680"/>
    <w:rsid w:val="00374A8E"/>
    <w:rsid w:val="00396A4C"/>
    <w:rsid w:val="003A57EA"/>
    <w:rsid w:val="003B4559"/>
    <w:rsid w:val="0040388C"/>
    <w:rsid w:val="00421ED4"/>
    <w:rsid w:val="0047580B"/>
    <w:rsid w:val="00483ECC"/>
    <w:rsid w:val="00484CF4"/>
    <w:rsid w:val="00497A16"/>
    <w:rsid w:val="004D0064"/>
    <w:rsid w:val="004D5B56"/>
    <w:rsid w:val="00517A1C"/>
    <w:rsid w:val="005247AA"/>
    <w:rsid w:val="005426B8"/>
    <w:rsid w:val="00543C94"/>
    <w:rsid w:val="00586AFC"/>
    <w:rsid w:val="005C1890"/>
    <w:rsid w:val="005E2D65"/>
    <w:rsid w:val="005F1C80"/>
    <w:rsid w:val="00615B12"/>
    <w:rsid w:val="00644DE4"/>
    <w:rsid w:val="006A1CB3"/>
    <w:rsid w:val="00765E02"/>
    <w:rsid w:val="007703D8"/>
    <w:rsid w:val="0077582D"/>
    <w:rsid w:val="007D3203"/>
    <w:rsid w:val="007E3FFD"/>
    <w:rsid w:val="008F7DDF"/>
    <w:rsid w:val="009009FA"/>
    <w:rsid w:val="00900E95"/>
    <w:rsid w:val="009A673B"/>
    <w:rsid w:val="00A27505"/>
    <w:rsid w:val="00A3172D"/>
    <w:rsid w:val="00A94682"/>
    <w:rsid w:val="00AF1A14"/>
    <w:rsid w:val="00B02EDD"/>
    <w:rsid w:val="00B53DAD"/>
    <w:rsid w:val="00B82951"/>
    <w:rsid w:val="00B90E40"/>
    <w:rsid w:val="00BC7C93"/>
    <w:rsid w:val="00BF7B83"/>
    <w:rsid w:val="00C0178F"/>
    <w:rsid w:val="00C3714C"/>
    <w:rsid w:val="00C41136"/>
    <w:rsid w:val="00C4154F"/>
    <w:rsid w:val="00C66330"/>
    <w:rsid w:val="00C948D8"/>
    <w:rsid w:val="00CA3F3F"/>
    <w:rsid w:val="00CC5C7C"/>
    <w:rsid w:val="00CD20B0"/>
    <w:rsid w:val="00D1214B"/>
    <w:rsid w:val="00D17541"/>
    <w:rsid w:val="00D3650E"/>
    <w:rsid w:val="00D60490"/>
    <w:rsid w:val="00D62055"/>
    <w:rsid w:val="00D707CE"/>
    <w:rsid w:val="00DD02E1"/>
    <w:rsid w:val="00E01A62"/>
    <w:rsid w:val="00E91772"/>
    <w:rsid w:val="00E917EE"/>
    <w:rsid w:val="00E96C8A"/>
    <w:rsid w:val="00EB63DA"/>
    <w:rsid w:val="00EC639E"/>
    <w:rsid w:val="00EE253E"/>
    <w:rsid w:val="00EE6A68"/>
    <w:rsid w:val="00F03EAF"/>
    <w:rsid w:val="00F1074E"/>
    <w:rsid w:val="00F35DA8"/>
    <w:rsid w:val="00FB5523"/>
    <w:rsid w:val="00FC2793"/>
    <w:rsid w:val="00FC5470"/>
    <w:rsid w:val="00FC713D"/>
    <w:rsid w:val="00FD5ED8"/>
    <w:rsid w:val="00FE1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DA8"/>
    <w:pPr>
      <w:spacing w:after="0" w:line="240" w:lineRule="auto"/>
    </w:pPr>
    <w:rPr>
      <w:rFonts w:ascii="Arial" w:eastAsia="SimSun" w:hAnsi="Arial" w:cs="Arial"/>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35DA8"/>
    <w:pPr>
      <w:tabs>
        <w:tab w:val="center" w:pos="4320"/>
        <w:tab w:val="right" w:pos="8640"/>
      </w:tabs>
    </w:pPr>
  </w:style>
  <w:style w:type="character" w:customStyle="1" w:styleId="FooterChar">
    <w:name w:val="Footer Char"/>
    <w:basedOn w:val="DefaultParagraphFont"/>
    <w:link w:val="Footer"/>
    <w:rsid w:val="00F35DA8"/>
    <w:rPr>
      <w:rFonts w:ascii="Arial" w:eastAsia="SimSun" w:hAnsi="Arial" w:cs="Arial"/>
      <w:szCs w:val="20"/>
      <w:lang w:eastAsia="zh-CN"/>
    </w:rPr>
  </w:style>
  <w:style w:type="paragraph" w:customStyle="1" w:styleId="ONUME">
    <w:name w:val="ONUM E"/>
    <w:basedOn w:val="BodyText"/>
    <w:link w:val="ONUMEChar"/>
    <w:rsid w:val="00F35DA8"/>
    <w:pPr>
      <w:numPr>
        <w:numId w:val="1"/>
      </w:numPr>
      <w:spacing w:after="220"/>
    </w:pPr>
  </w:style>
  <w:style w:type="character" w:customStyle="1" w:styleId="ONUMEChar">
    <w:name w:val="ONUM E Char"/>
    <w:link w:val="ONUME"/>
    <w:rsid w:val="00F35DA8"/>
    <w:rPr>
      <w:rFonts w:ascii="Arial" w:eastAsia="SimSun" w:hAnsi="Arial" w:cs="Arial"/>
      <w:szCs w:val="20"/>
      <w:lang w:eastAsia="zh-CN"/>
    </w:rPr>
  </w:style>
  <w:style w:type="paragraph" w:styleId="ListParagraph">
    <w:name w:val="List Paragraph"/>
    <w:basedOn w:val="Normal"/>
    <w:uiPriority w:val="34"/>
    <w:qFormat/>
    <w:rsid w:val="00F35DA8"/>
    <w:pPr>
      <w:ind w:left="720"/>
      <w:contextualSpacing/>
    </w:pPr>
  </w:style>
  <w:style w:type="paragraph" w:customStyle="1" w:styleId="Endofdocument">
    <w:name w:val="End of document"/>
    <w:basedOn w:val="Normal"/>
    <w:rsid w:val="00F35DA8"/>
    <w:pPr>
      <w:spacing w:after="120" w:line="260" w:lineRule="atLeast"/>
      <w:ind w:left="5534"/>
    </w:pPr>
    <w:rPr>
      <w:rFonts w:eastAsia="Times New Roman" w:cs="Times New Roman"/>
      <w:sz w:val="20"/>
      <w:lang w:eastAsia="en-US"/>
    </w:rPr>
  </w:style>
  <w:style w:type="character" w:styleId="PageNumber">
    <w:name w:val="page number"/>
    <w:basedOn w:val="DefaultParagraphFont"/>
    <w:rsid w:val="00F35DA8"/>
  </w:style>
  <w:style w:type="paragraph" w:styleId="BodyText">
    <w:name w:val="Body Text"/>
    <w:basedOn w:val="Normal"/>
    <w:link w:val="BodyTextChar"/>
    <w:uiPriority w:val="99"/>
    <w:semiHidden/>
    <w:unhideWhenUsed/>
    <w:rsid w:val="00F35DA8"/>
    <w:pPr>
      <w:spacing w:after="120"/>
    </w:pPr>
  </w:style>
  <w:style w:type="character" w:customStyle="1" w:styleId="BodyTextChar">
    <w:name w:val="Body Text Char"/>
    <w:basedOn w:val="DefaultParagraphFont"/>
    <w:link w:val="BodyText"/>
    <w:uiPriority w:val="99"/>
    <w:semiHidden/>
    <w:rsid w:val="00F35DA8"/>
    <w:rPr>
      <w:rFonts w:ascii="Arial" w:eastAsia="SimSun" w:hAnsi="Arial" w:cs="Arial"/>
      <w:szCs w:val="20"/>
      <w:lang w:eastAsia="zh-CN"/>
    </w:rPr>
  </w:style>
  <w:style w:type="paragraph" w:styleId="BalloonText">
    <w:name w:val="Balloon Text"/>
    <w:basedOn w:val="Normal"/>
    <w:link w:val="BalloonTextChar"/>
    <w:uiPriority w:val="99"/>
    <w:semiHidden/>
    <w:unhideWhenUsed/>
    <w:rsid w:val="00F35DA8"/>
    <w:rPr>
      <w:rFonts w:ascii="Tahoma" w:hAnsi="Tahoma" w:cs="Tahoma"/>
      <w:sz w:val="16"/>
      <w:szCs w:val="16"/>
    </w:rPr>
  </w:style>
  <w:style w:type="character" w:customStyle="1" w:styleId="BalloonTextChar">
    <w:name w:val="Balloon Text Char"/>
    <w:basedOn w:val="DefaultParagraphFont"/>
    <w:link w:val="BalloonText"/>
    <w:uiPriority w:val="99"/>
    <w:semiHidden/>
    <w:rsid w:val="00F35DA8"/>
    <w:rPr>
      <w:rFonts w:ascii="Tahoma" w:eastAsia="SimSun" w:hAnsi="Tahoma" w:cs="Tahoma"/>
      <w:sz w:val="16"/>
      <w:szCs w:val="16"/>
      <w:lang w:eastAsia="zh-CN"/>
    </w:rPr>
  </w:style>
  <w:style w:type="paragraph" w:styleId="Header">
    <w:name w:val="header"/>
    <w:basedOn w:val="Normal"/>
    <w:link w:val="HeaderChar"/>
    <w:uiPriority w:val="99"/>
    <w:unhideWhenUsed/>
    <w:rsid w:val="004D5B56"/>
    <w:pPr>
      <w:tabs>
        <w:tab w:val="center" w:pos="4680"/>
        <w:tab w:val="right" w:pos="9360"/>
      </w:tabs>
    </w:pPr>
  </w:style>
  <w:style w:type="character" w:customStyle="1" w:styleId="HeaderChar">
    <w:name w:val="Header Char"/>
    <w:basedOn w:val="DefaultParagraphFont"/>
    <w:link w:val="Header"/>
    <w:uiPriority w:val="99"/>
    <w:rsid w:val="004D5B56"/>
    <w:rPr>
      <w:rFonts w:ascii="Arial" w:eastAsia="SimSun" w:hAnsi="Arial" w:cs="Arial"/>
      <w:szCs w:val="20"/>
      <w:lang w:eastAsia="zh-CN"/>
    </w:rPr>
  </w:style>
  <w:style w:type="paragraph" w:styleId="CommentText">
    <w:name w:val="annotation text"/>
    <w:basedOn w:val="Normal"/>
    <w:link w:val="CommentTextChar"/>
    <w:semiHidden/>
    <w:rsid w:val="00C3714C"/>
    <w:rPr>
      <w:sz w:val="18"/>
    </w:rPr>
  </w:style>
  <w:style w:type="character" w:customStyle="1" w:styleId="CommentTextChar">
    <w:name w:val="Comment Text Char"/>
    <w:basedOn w:val="DefaultParagraphFont"/>
    <w:link w:val="CommentText"/>
    <w:semiHidden/>
    <w:rsid w:val="00C3714C"/>
    <w:rPr>
      <w:rFonts w:ascii="Arial" w:eastAsia="SimSun" w:hAnsi="Arial" w:cs="Arial"/>
      <w:sz w:val="18"/>
      <w:szCs w:val="20"/>
      <w:lang w:eastAsia="zh-CN"/>
    </w:rPr>
  </w:style>
  <w:style w:type="paragraph" w:styleId="FootnoteText">
    <w:name w:val="footnote text"/>
    <w:basedOn w:val="Normal"/>
    <w:link w:val="FootnoteTextChar"/>
    <w:semiHidden/>
    <w:rsid w:val="00C3714C"/>
    <w:rPr>
      <w:sz w:val="18"/>
    </w:rPr>
  </w:style>
  <w:style w:type="character" w:customStyle="1" w:styleId="FootnoteTextChar">
    <w:name w:val="Footnote Text Char"/>
    <w:basedOn w:val="DefaultParagraphFont"/>
    <w:link w:val="FootnoteText"/>
    <w:semiHidden/>
    <w:rsid w:val="00C3714C"/>
    <w:rPr>
      <w:rFonts w:ascii="Arial" w:eastAsia="SimSun" w:hAnsi="Arial" w:cs="Arial"/>
      <w:sz w:val="18"/>
      <w:szCs w:val="20"/>
      <w:lang w:eastAsia="zh-CN"/>
    </w:rPr>
  </w:style>
  <w:style w:type="character" w:styleId="FootnoteReference">
    <w:name w:val="footnote reference"/>
    <w:basedOn w:val="DefaultParagraphFont"/>
    <w:rsid w:val="00C3714C"/>
    <w:rPr>
      <w:vertAlign w:val="superscript"/>
    </w:rPr>
  </w:style>
  <w:style w:type="character" w:styleId="Hyperlink">
    <w:name w:val="Hyperlink"/>
    <w:basedOn w:val="DefaultParagraphFont"/>
    <w:rsid w:val="00C3714C"/>
    <w:rPr>
      <w:color w:val="003399"/>
      <w:u w:val="single"/>
    </w:rPr>
  </w:style>
  <w:style w:type="character" w:styleId="CommentReference">
    <w:name w:val="annotation reference"/>
    <w:basedOn w:val="DefaultParagraphFont"/>
    <w:rsid w:val="00C3714C"/>
    <w:rPr>
      <w:sz w:val="16"/>
      <w:szCs w:val="16"/>
    </w:rPr>
  </w:style>
  <w:style w:type="paragraph" w:styleId="CommentSubject">
    <w:name w:val="annotation subject"/>
    <w:basedOn w:val="CommentText"/>
    <w:next w:val="CommentText"/>
    <w:link w:val="CommentSubjectChar"/>
    <w:uiPriority w:val="99"/>
    <w:semiHidden/>
    <w:unhideWhenUsed/>
    <w:rsid w:val="00484CF4"/>
    <w:rPr>
      <w:b/>
      <w:bCs/>
      <w:sz w:val="20"/>
    </w:rPr>
  </w:style>
  <w:style w:type="character" w:customStyle="1" w:styleId="CommentSubjectChar">
    <w:name w:val="Comment Subject Char"/>
    <w:basedOn w:val="CommentTextChar"/>
    <w:link w:val="CommentSubject"/>
    <w:uiPriority w:val="99"/>
    <w:semiHidden/>
    <w:rsid w:val="00484CF4"/>
    <w:rPr>
      <w:rFonts w:ascii="Arial" w:eastAsia="SimSun" w:hAnsi="Arial" w:cs="Arial"/>
      <w:b/>
      <w:bCs/>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DA8"/>
    <w:pPr>
      <w:spacing w:after="0" w:line="240" w:lineRule="auto"/>
    </w:pPr>
    <w:rPr>
      <w:rFonts w:ascii="Arial" w:eastAsia="SimSun" w:hAnsi="Arial" w:cs="Arial"/>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35DA8"/>
    <w:pPr>
      <w:tabs>
        <w:tab w:val="center" w:pos="4320"/>
        <w:tab w:val="right" w:pos="8640"/>
      </w:tabs>
    </w:pPr>
  </w:style>
  <w:style w:type="character" w:customStyle="1" w:styleId="FooterChar">
    <w:name w:val="Footer Char"/>
    <w:basedOn w:val="DefaultParagraphFont"/>
    <w:link w:val="Footer"/>
    <w:rsid w:val="00F35DA8"/>
    <w:rPr>
      <w:rFonts w:ascii="Arial" w:eastAsia="SimSun" w:hAnsi="Arial" w:cs="Arial"/>
      <w:szCs w:val="20"/>
      <w:lang w:eastAsia="zh-CN"/>
    </w:rPr>
  </w:style>
  <w:style w:type="paragraph" w:customStyle="1" w:styleId="ONUME">
    <w:name w:val="ONUM E"/>
    <w:basedOn w:val="BodyText"/>
    <w:link w:val="ONUMEChar"/>
    <w:rsid w:val="00F35DA8"/>
    <w:pPr>
      <w:numPr>
        <w:numId w:val="1"/>
      </w:numPr>
      <w:spacing w:after="220"/>
    </w:pPr>
  </w:style>
  <w:style w:type="character" w:customStyle="1" w:styleId="ONUMEChar">
    <w:name w:val="ONUM E Char"/>
    <w:link w:val="ONUME"/>
    <w:rsid w:val="00F35DA8"/>
    <w:rPr>
      <w:rFonts w:ascii="Arial" w:eastAsia="SimSun" w:hAnsi="Arial" w:cs="Arial"/>
      <w:szCs w:val="20"/>
      <w:lang w:eastAsia="zh-CN"/>
    </w:rPr>
  </w:style>
  <w:style w:type="paragraph" w:styleId="ListParagraph">
    <w:name w:val="List Paragraph"/>
    <w:basedOn w:val="Normal"/>
    <w:uiPriority w:val="34"/>
    <w:qFormat/>
    <w:rsid w:val="00F35DA8"/>
    <w:pPr>
      <w:ind w:left="720"/>
      <w:contextualSpacing/>
    </w:pPr>
  </w:style>
  <w:style w:type="paragraph" w:customStyle="1" w:styleId="Endofdocument">
    <w:name w:val="End of document"/>
    <w:basedOn w:val="Normal"/>
    <w:rsid w:val="00F35DA8"/>
    <w:pPr>
      <w:spacing w:after="120" w:line="260" w:lineRule="atLeast"/>
      <w:ind w:left="5534"/>
    </w:pPr>
    <w:rPr>
      <w:rFonts w:eastAsia="Times New Roman" w:cs="Times New Roman"/>
      <w:sz w:val="20"/>
      <w:lang w:eastAsia="en-US"/>
    </w:rPr>
  </w:style>
  <w:style w:type="character" w:styleId="PageNumber">
    <w:name w:val="page number"/>
    <w:basedOn w:val="DefaultParagraphFont"/>
    <w:rsid w:val="00F35DA8"/>
  </w:style>
  <w:style w:type="paragraph" w:styleId="BodyText">
    <w:name w:val="Body Text"/>
    <w:basedOn w:val="Normal"/>
    <w:link w:val="BodyTextChar"/>
    <w:uiPriority w:val="99"/>
    <w:semiHidden/>
    <w:unhideWhenUsed/>
    <w:rsid w:val="00F35DA8"/>
    <w:pPr>
      <w:spacing w:after="120"/>
    </w:pPr>
  </w:style>
  <w:style w:type="character" w:customStyle="1" w:styleId="BodyTextChar">
    <w:name w:val="Body Text Char"/>
    <w:basedOn w:val="DefaultParagraphFont"/>
    <w:link w:val="BodyText"/>
    <w:uiPriority w:val="99"/>
    <w:semiHidden/>
    <w:rsid w:val="00F35DA8"/>
    <w:rPr>
      <w:rFonts w:ascii="Arial" w:eastAsia="SimSun" w:hAnsi="Arial" w:cs="Arial"/>
      <w:szCs w:val="20"/>
      <w:lang w:eastAsia="zh-CN"/>
    </w:rPr>
  </w:style>
  <w:style w:type="paragraph" w:styleId="BalloonText">
    <w:name w:val="Balloon Text"/>
    <w:basedOn w:val="Normal"/>
    <w:link w:val="BalloonTextChar"/>
    <w:uiPriority w:val="99"/>
    <w:semiHidden/>
    <w:unhideWhenUsed/>
    <w:rsid w:val="00F35DA8"/>
    <w:rPr>
      <w:rFonts w:ascii="Tahoma" w:hAnsi="Tahoma" w:cs="Tahoma"/>
      <w:sz w:val="16"/>
      <w:szCs w:val="16"/>
    </w:rPr>
  </w:style>
  <w:style w:type="character" w:customStyle="1" w:styleId="BalloonTextChar">
    <w:name w:val="Balloon Text Char"/>
    <w:basedOn w:val="DefaultParagraphFont"/>
    <w:link w:val="BalloonText"/>
    <w:uiPriority w:val="99"/>
    <w:semiHidden/>
    <w:rsid w:val="00F35DA8"/>
    <w:rPr>
      <w:rFonts w:ascii="Tahoma" w:eastAsia="SimSun" w:hAnsi="Tahoma" w:cs="Tahoma"/>
      <w:sz w:val="16"/>
      <w:szCs w:val="16"/>
      <w:lang w:eastAsia="zh-CN"/>
    </w:rPr>
  </w:style>
  <w:style w:type="paragraph" w:styleId="Header">
    <w:name w:val="header"/>
    <w:basedOn w:val="Normal"/>
    <w:link w:val="HeaderChar"/>
    <w:uiPriority w:val="99"/>
    <w:unhideWhenUsed/>
    <w:rsid w:val="004D5B56"/>
    <w:pPr>
      <w:tabs>
        <w:tab w:val="center" w:pos="4680"/>
        <w:tab w:val="right" w:pos="9360"/>
      </w:tabs>
    </w:pPr>
  </w:style>
  <w:style w:type="character" w:customStyle="1" w:styleId="HeaderChar">
    <w:name w:val="Header Char"/>
    <w:basedOn w:val="DefaultParagraphFont"/>
    <w:link w:val="Header"/>
    <w:uiPriority w:val="99"/>
    <w:rsid w:val="004D5B56"/>
    <w:rPr>
      <w:rFonts w:ascii="Arial" w:eastAsia="SimSun" w:hAnsi="Arial" w:cs="Arial"/>
      <w:szCs w:val="20"/>
      <w:lang w:eastAsia="zh-CN"/>
    </w:rPr>
  </w:style>
  <w:style w:type="paragraph" w:styleId="CommentText">
    <w:name w:val="annotation text"/>
    <w:basedOn w:val="Normal"/>
    <w:link w:val="CommentTextChar"/>
    <w:semiHidden/>
    <w:rsid w:val="00C3714C"/>
    <w:rPr>
      <w:sz w:val="18"/>
    </w:rPr>
  </w:style>
  <w:style w:type="character" w:customStyle="1" w:styleId="CommentTextChar">
    <w:name w:val="Comment Text Char"/>
    <w:basedOn w:val="DefaultParagraphFont"/>
    <w:link w:val="CommentText"/>
    <w:semiHidden/>
    <w:rsid w:val="00C3714C"/>
    <w:rPr>
      <w:rFonts w:ascii="Arial" w:eastAsia="SimSun" w:hAnsi="Arial" w:cs="Arial"/>
      <w:sz w:val="18"/>
      <w:szCs w:val="20"/>
      <w:lang w:eastAsia="zh-CN"/>
    </w:rPr>
  </w:style>
  <w:style w:type="paragraph" w:styleId="FootnoteText">
    <w:name w:val="footnote text"/>
    <w:basedOn w:val="Normal"/>
    <w:link w:val="FootnoteTextChar"/>
    <w:semiHidden/>
    <w:rsid w:val="00C3714C"/>
    <w:rPr>
      <w:sz w:val="18"/>
    </w:rPr>
  </w:style>
  <w:style w:type="character" w:customStyle="1" w:styleId="FootnoteTextChar">
    <w:name w:val="Footnote Text Char"/>
    <w:basedOn w:val="DefaultParagraphFont"/>
    <w:link w:val="FootnoteText"/>
    <w:semiHidden/>
    <w:rsid w:val="00C3714C"/>
    <w:rPr>
      <w:rFonts w:ascii="Arial" w:eastAsia="SimSun" w:hAnsi="Arial" w:cs="Arial"/>
      <w:sz w:val="18"/>
      <w:szCs w:val="20"/>
      <w:lang w:eastAsia="zh-CN"/>
    </w:rPr>
  </w:style>
  <w:style w:type="character" w:styleId="FootnoteReference">
    <w:name w:val="footnote reference"/>
    <w:basedOn w:val="DefaultParagraphFont"/>
    <w:rsid w:val="00C3714C"/>
    <w:rPr>
      <w:vertAlign w:val="superscript"/>
    </w:rPr>
  </w:style>
  <w:style w:type="character" w:styleId="Hyperlink">
    <w:name w:val="Hyperlink"/>
    <w:basedOn w:val="DefaultParagraphFont"/>
    <w:rsid w:val="00C3714C"/>
    <w:rPr>
      <w:color w:val="003399"/>
      <w:u w:val="single"/>
    </w:rPr>
  </w:style>
  <w:style w:type="character" w:styleId="CommentReference">
    <w:name w:val="annotation reference"/>
    <w:basedOn w:val="DefaultParagraphFont"/>
    <w:rsid w:val="00C3714C"/>
    <w:rPr>
      <w:sz w:val="16"/>
      <w:szCs w:val="16"/>
    </w:rPr>
  </w:style>
  <w:style w:type="paragraph" w:styleId="CommentSubject">
    <w:name w:val="annotation subject"/>
    <w:basedOn w:val="CommentText"/>
    <w:next w:val="CommentText"/>
    <w:link w:val="CommentSubjectChar"/>
    <w:uiPriority w:val="99"/>
    <w:semiHidden/>
    <w:unhideWhenUsed/>
    <w:rsid w:val="00484CF4"/>
    <w:rPr>
      <w:b/>
      <w:bCs/>
      <w:sz w:val="20"/>
    </w:rPr>
  </w:style>
  <w:style w:type="character" w:customStyle="1" w:styleId="CommentSubjectChar">
    <w:name w:val="Comment Subject Char"/>
    <w:basedOn w:val="CommentTextChar"/>
    <w:link w:val="CommentSubject"/>
    <w:uiPriority w:val="99"/>
    <w:semiHidden/>
    <w:rsid w:val="00484CF4"/>
    <w:rPr>
      <w:rFonts w:ascii="Arial" w:eastAsia="SimSun" w:hAnsi="Arial" w:cs="Arial"/>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217368">
      <w:bodyDiv w:val="1"/>
      <w:marLeft w:val="0"/>
      <w:marRight w:val="0"/>
      <w:marTop w:val="0"/>
      <w:marBottom w:val="0"/>
      <w:divBdr>
        <w:top w:val="none" w:sz="0" w:space="0" w:color="auto"/>
        <w:left w:val="none" w:sz="0" w:space="0" w:color="auto"/>
        <w:bottom w:val="none" w:sz="0" w:space="0" w:color="auto"/>
        <w:right w:val="none" w:sz="0" w:space="0" w:color="auto"/>
      </w:divBdr>
    </w:div>
    <w:div w:id="885675626">
      <w:bodyDiv w:val="1"/>
      <w:marLeft w:val="0"/>
      <w:marRight w:val="0"/>
      <w:marTop w:val="0"/>
      <w:marBottom w:val="0"/>
      <w:divBdr>
        <w:top w:val="none" w:sz="0" w:space="0" w:color="auto"/>
        <w:left w:val="none" w:sz="0" w:space="0" w:color="auto"/>
        <w:bottom w:val="none" w:sz="0" w:space="0" w:color="auto"/>
        <w:right w:val="none" w:sz="0" w:space="0" w:color="auto"/>
      </w:divBdr>
    </w:div>
    <w:div w:id="183186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madrid/en/legal_texts/trtdocs_wo016.htm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4.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madrid/en/legal_texts/trtdocs_wo016.html" TargetMode="Externa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63B66-D7F3-43BA-98F0-184A7AF13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5077</Words>
  <Characters>28939</Characters>
  <Application>Microsoft Office Word</Application>
  <DocSecurity>2</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33949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NARAYANASWAMY Chitra</dc:creator>
  <cp:lastModifiedBy>NETTER Iza</cp:lastModifiedBy>
  <cp:revision>7</cp:revision>
  <cp:lastPrinted>2015-06-25T07:49:00Z</cp:lastPrinted>
  <dcterms:created xsi:type="dcterms:W3CDTF">2015-06-16T14:19:00Z</dcterms:created>
  <dcterms:modified xsi:type="dcterms:W3CDTF">2015-06-25T07:49:00Z</dcterms:modified>
</cp:coreProperties>
</file>