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657AE4" w:rsidTr="00361450">
        <w:tc>
          <w:tcPr>
            <w:tcW w:w="4513" w:type="dxa"/>
            <w:tcBorders>
              <w:bottom w:val="single" w:sz="4" w:space="0" w:color="auto"/>
            </w:tcBorders>
            <w:tcMar>
              <w:bottom w:w="170" w:type="dxa"/>
            </w:tcMar>
          </w:tcPr>
          <w:p w:rsidR="00EC4E49" w:rsidRPr="00657AE4" w:rsidRDefault="00EC4E49" w:rsidP="00916EE2">
            <w:pPr>
              <w:rPr>
                <w:sz w:val="18"/>
                <w:szCs w:val="18"/>
              </w:rPr>
            </w:pPr>
          </w:p>
        </w:tc>
        <w:tc>
          <w:tcPr>
            <w:tcW w:w="4337" w:type="dxa"/>
            <w:tcBorders>
              <w:bottom w:val="single" w:sz="4" w:space="0" w:color="auto"/>
            </w:tcBorders>
            <w:tcMar>
              <w:left w:w="0" w:type="dxa"/>
              <w:right w:w="0" w:type="dxa"/>
            </w:tcMar>
          </w:tcPr>
          <w:p w:rsidR="00EC4E49" w:rsidRPr="00657AE4" w:rsidRDefault="00E9276B" w:rsidP="00916EE2">
            <w:pPr>
              <w:rPr>
                <w:sz w:val="18"/>
                <w:szCs w:val="18"/>
              </w:rPr>
            </w:pPr>
            <w:r w:rsidRPr="00657AE4">
              <w:rPr>
                <w:noProof/>
                <w:sz w:val="18"/>
                <w:szCs w:val="18"/>
                <w:lang w:eastAsia="en-US"/>
              </w:rPr>
              <w:drawing>
                <wp:inline distT="0" distB="0" distL="0" distR="0" wp14:anchorId="76DF8B43" wp14:editId="78EE7037">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657AE4" w:rsidRDefault="00EC4E49" w:rsidP="00916EE2">
            <w:pPr>
              <w:jc w:val="right"/>
              <w:rPr>
                <w:sz w:val="18"/>
                <w:szCs w:val="18"/>
              </w:rPr>
            </w:pPr>
            <w:r w:rsidRPr="00657AE4">
              <w:rPr>
                <w:b/>
                <w:sz w:val="33"/>
                <w:szCs w:val="33"/>
              </w:rPr>
              <w:t>E</w:t>
            </w:r>
          </w:p>
        </w:tc>
      </w:tr>
      <w:tr w:rsidR="008B2CC1" w:rsidRPr="00657AE4"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AA117F" w:rsidRDefault="00397D6E" w:rsidP="00916EE2">
            <w:pPr>
              <w:jc w:val="right"/>
              <w:rPr>
                <w:rFonts w:ascii="Arial Black" w:hAnsi="Arial Black"/>
                <w:caps/>
                <w:sz w:val="15"/>
                <w:szCs w:val="15"/>
              </w:rPr>
            </w:pPr>
            <w:r w:rsidRPr="00AA117F">
              <w:rPr>
                <w:rFonts w:ascii="Arial Black" w:hAnsi="Arial Black"/>
                <w:caps/>
                <w:sz w:val="15"/>
                <w:szCs w:val="15"/>
              </w:rPr>
              <w:t>wo/pbc/23/</w:t>
            </w:r>
            <w:bookmarkStart w:id="0" w:name="Code"/>
            <w:bookmarkEnd w:id="0"/>
            <w:r w:rsidR="001F3B22" w:rsidRPr="00AA117F">
              <w:rPr>
                <w:rFonts w:ascii="Arial Black" w:hAnsi="Arial Black"/>
                <w:caps/>
                <w:sz w:val="15"/>
                <w:szCs w:val="15"/>
              </w:rPr>
              <w:t>7</w:t>
            </w:r>
          </w:p>
        </w:tc>
      </w:tr>
      <w:tr w:rsidR="008B2CC1" w:rsidRPr="00657AE4" w:rsidTr="00916EE2">
        <w:trPr>
          <w:trHeight w:hRule="exact" w:val="170"/>
        </w:trPr>
        <w:tc>
          <w:tcPr>
            <w:tcW w:w="9356" w:type="dxa"/>
            <w:gridSpan w:val="3"/>
            <w:noWrap/>
            <w:tcMar>
              <w:left w:w="0" w:type="dxa"/>
              <w:right w:w="0" w:type="dxa"/>
            </w:tcMar>
            <w:vAlign w:val="bottom"/>
          </w:tcPr>
          <w:p w:rsidR="008B2CC1" w:rsidRPr="00AA117F" w:rsidRDefault="008B2CC1" w:rsidP="00916EE2">
            <w:pPr>
              <w:jc w:val="right"/>
              <w:rPr>
                <w:rFonts w:ascii="Arial Black" w:hAnsi="Arial Black"/>
                <w:caps/>
                <w:sz w:val="15"/>
                <w:szCs w:val="15"/>
              </w:rPr>
            </w:pPr>
            <w:r w:rsidRPr="00AA117F">
              <w:rPr>
                <w:rFonts w:ascii="Arial Black" w:hAnsi="Arial Black"/>
                <w:caps/>
                <w:sz w:val="15"/>
                <w:szCs w:val="15"/>
              </w:rPr>
              <w:t>ORIGINAL:</w:t>
            </w:r>
            <w:r w:rsidR="00A42DAF" w:rsidRPr="00AA117F">
              <w:rPr>
                <w:rFonts w:ascii="Arial Black" w:hAnsi="Arial Black"/>
                <w:caps/>
                <w:sz w:val="15"/>
                <w:szCs w:val="15"/>
              </w:rPr>
              <w:t xml:space="preserve"> </w:t>
            </w:r>
            <w:r w:rsidRPr="00AA117F">
              <w:rPr>
                <w:rFonts w:ascii="Arial Black" w:hAnsi="Arial Black"/>
                <w:caps/>
                <w:sz w:val="15"/>
                <w:szCs w:val="15"/>
              </w:rPr>
              <w:t xml:space="preserve"> </w:t>
            </w:r>
            <w:bookmarkStart w:id="1" w:name="Original"/>
            <w:bookmarkEnd w:id="1"/>
            <w:r w:rsidR="001F3B22" w:rsidRPr="00AA117F">
              <w:rPr>
                <w:rFonts w:ascii="Arial Black" w:hAnsi="Arial Black"/>
                <w:caps/>
                <w:sz w:val="15"/>
                <w:szCs w:val="15"/>
              </w:rPr>
              <w:t>ENGLISH</w:t>
            </w:r>
          </w:p>
        </w:tc>
      </w:tr>
      <w:tr w:rsidR="008B2CC1" w:rsidRPr="00657AE4" w:rsidTr="00916EE2">
        <w:trPr>
          <w:trHeight w:hRule="exact" w:val="198"/>
        </w:trPr>
        <w:tc>
          <w:tcPr>
            <w:tcW w:w="9356" w:type="dxa"/>
            <w:gridSpan w:val="3"/>
            <w:tcMar>
              <w:left w:w="0" w:type="dxa"/>
              <w:right w:w="0" w:type="dxa"/>
            </w:tcMar>
            <w:vAlign w:val="bottom"/>
          </w:tcPr>
          <w:p w:rsidR="008B2CC1" w:rsidRPr="00AA117F" w:rsidRDefault="008B2CC1" w:rsidP="0003716F">
            <w:pPr>
              <w:jc w:val="right"/>
              <w:rPr>
                <w:rFonts w:ascii="Arial Black" w:hAnsi="Arial Black"/>
                <w:caps/>
                <w:sz w:val="15"/>
                <w:szCs w:val="15"/>
              </w:rPr>
            </w:pPr>
            <w:r w:rsidRPr="00AA117F">
              <w:rPr>
                <w:rFonts w:ascii="Arial Black" w:hAnsi="Arial Black"/>
                <w:caps/>
                <w:sz w:val="15"/>
                <w:szCs w:val="15"/>
              </w:rPr>
              <w:t>DATE:</w:t>
            </w:r>
            <w:r w:rsidR="00A42DAF" w:rsidRPr="00AA117F">
              <w:rPr>
                <w:rFonts w:ascii="Arial Black" w:hAnsi="Arial Black"/>
                <w:caps/>
                <w:sz w:val="15"/>
                <w:szCs w:val="15"/>
              </w:rPr>
              <w:t xml:space="preserve"> </w:t>
            </w:r>
            <w:r w:rsidRPr="00AA117F">
              <w:rPr>
                <w:rFonts w:ascii="Arial Black" w:hAnsi="Arial Black"/>
                <w:caps/>
                <w:sz w:val="15"/>
                <w:szCs w:val="15"/>
              </w:rPr>
              <w:t xml:space="preserve"> </w:t>
            </w:r>
            <w:bookmarkStart w:id="2" w:name="Date"/>
            <w:bookmarkEnd w:id="2"/>
            <w:r w:rsidR="0003716F">
              <w:rPr>
                <w:rFonts w:ascii="Arial Black" w:hAnsi="Arial Black"/>
                <w:caps/>
                <w:sz w:val="15"/>
                <w:szCs w:val="15"/>
              </w:rPr>
              <w:t>JUNE 1</w:t>
            </w:r>
            <w:r w:rsidR="001F3B22" w:rsidRPr="00AA117F">
              <w:rPr>
                <w:rFonts w:ascii="Arial Black" w:hAnsi="Arial Black"/>
                <w:caps/>
                <w:sz w:val="15"/>
                <w:szCs w:val="15"/>
              </w:rPr>
              <w:t>, 2015</w:t>
            </w:r>
          </w:p>
        </w:tc>
      </w:tr>
    </w:tbl>
    <w:p w:rsidR="008B2CC1" w:rsidRPr="00657AE4" w:rsidRDefault="008B2CC1" w:rsidP="008B2CC1">
      <w:pPr>
        <w:rPr>
          <w:sz w:val="18"/>
          <w:szCs w:val="18"/>
        </w:rPr>
      </w:pPr>
    </w:p>
    <w:p w:rsidR="008B2CC1" w:rsidRPr="00657AE4" w:rsidRDefault="008B2CC1" w:rsidP="008B2CC1">
      <w:pPr>
        <w:rPr>
          <w:sz w:val="18"/>
          <w:szCs w:val="18"/>
        </w:rPr>
      </w:pPr>
    </w:p>
    <w:p w:rsidR="008B2CC1" w:rsidRPr="00657AE4" w:rsidRDefault="008B2CC1" w:rsidP="008B2CC1">
      <w:pPr>
        <w:rPr>
          <w:sz w:val="18"/>
          <w:szCs w:val="18"/>
        </w:rPr>
      </w:pPr>
    </w:p>
    <w:p w:rsidR="008B2CC1" w:rsidRPr="00657AE4" w:rsidRDefault="008B2CC1" w:rsidP="008B2CC1">
      <w:pPr>
        <w:rPr>
          <w:sz w:val="18"/>
          <w:szCs w:val="18"/>
        </w:rPr>
      </w:pPr>
    </w:p>
    <w:p w:rsidR="008B2CC1" w:rsidRPr="00AA117F" w:rsidRDefault="008B2CC1" w:rsidP="008B2CC1">
      <w:pPr>
        <w:rPr>
          <w:sz w:val="28"/>
          <w:szCs w:val="28"/>
        </w:rPr>
      </w:pPr>
    </w:p>
    <w:p w:rsidR="00E9276B" w:rsidRPr="00AA117F" w:rsidRDefault="00E9276B" w:rsidP="00E9276B">
      <w:pPr>
        <w:rPr>
          <w:b/>
          <w:sz w:val="28"/>
          <w:szCs w:val="28"/>
        </w:rPr>
      </w:pPr>
      <w:r w:rsidRPr="00AA117F">
        <w:rPr>
          <w:b/>
          <w:sz w:val="28"/>
          <w:szCs w:val="28"/>
        </w:rPr>
        <w:t>Program and Budget Committee</w:t>
      </w:r>
    </w:p>
    <w:p w:rsidR="003845C1" w:rsidRPr="00AA117F" w:rsidRDefault="003845C1" w:rsidP="003845C1">
      <w:pPr>
        <w:rPr>
          <w:szCs w:val="22"/>
        </w:rPr>
      </w:pPr>
    </w:p>
    <w:p w:rsidR="003845C1" w:rsidRPr="00AA117F" w:rsidRDefault="003845C1" w:rsidP="003845C1">
      <w:pPr>
        <w:rPr>
          <w:szCs w:val="22"/>
        </w:rPr>
      </w:pPr>
    </w:p>
    <w:p w:rsidR="00E9276B" w:rsidRPr="00AA117F" w:rsidRDefault="00E9276B" w:rsidP="00E9276B">
      <w:pPr>
        <w:rPr>
          <w:b/>
          <w:sz w:val="24"/>
          <w:szCs w:val="24"/>
        </w:rPr>
      </w:pPr>
      <w:r w:rsidRPr="00AA117F">
        <w:rPr>
          <w:b/>
          <w:sz w:val="24"/>
          <w:szCs w:val="24"/>
        </w:rPr>
        <w:t xml:space="preserve">Twenty-Third </w:t>
      </w:r>
      <w:proofErr w:type="gramStart"/>
      <w:r w:rsidRPr="00AA117F">
        <w:rPr>
          <w:b/>
          <w:sz w:val="24"/>
          <w:szCs w:val="24"/>
        </w:rPr>
        <w:t>Session</w:t>
      </w:r>
      <w:proofErr w:type="gramEnd"/>
    </w:p>
    <w:p w:rsidR="00E9276B" w:rsidRPr="00AA117F" w:rsidRDefault="00E9276B" w:rsidP="00E9276B">
      <w:pPr>
        <w:rPr>
          <w:b/>
          <w:sz w:val="24"/>
          <w:szCs w:val="24"/>
        </w:rPr>
      </w:pPr>
      <w:r w:rsidRPr="00AA117F">
        <w:rPr>
          <w:b/>
          <w:sz w:val="24"/>
          <w:szCs w:val="24"/>
        </w:rPr>
        <w:t>Geneva, July 13 to 17, 2015</w:t>
      </w:r>
    </w:p>
    <w:p w:rsidR="008B2CC1" w:rsidRPr="00AA117F" w:rsidRDefault="008B2CC1" w:rsidP="008B2CC1">
      <w:pPr>
        <w:rPr>
          <w:szCs w:val="22"/>
        </w:rPr>
      </w:pPr>
    </w:p>
    <w:p w:rsidR="008B2CC1" w:rsidRPr="00AA117F" w:rsidRDefault="008B2CC1" w:rsidP="008B2CC1">
      <w:pPr>
        <w:rPr>
          <w:szCs w:val="22"/>
        </w:rPr>
      </w:pPr>
    </w:p>
    <w:p w:rsidR="008B2CC1" w:rsidRPr="00AA117F" w:rsidRDefault="008B2CC1" w:rsidP="008B2CC1">
      <w:pPr>
        <w:rPr>
          <w:sz w:val="24"/>
          <w:szCs w:val="24"/>
        </w:rPr>
      </w:pPr>
    </w:p>
    <w:p w:rsidR="008B2CC1" w:rsidRPr="00AA117F" w:rsidRDefault="001F3B22" w:rsidP="008B2CC1">
      <w:pPr>
        <w:rPr>
          <w:caps/>
          <w:sz w:val="24"/>
          <w:szCs w:val="24"/>
        </w:rPr>
      </w:pPr>
      <w:bookmarkStart w:id="3" w:name="TitleOfDoc"/>
      <w:bookmarkEnd w:id="3"/>
      <w:r w:rsidRPr="00AA117F">
        <w:rPr>
          <w:caps/>
          <w:sz w:val="24"/>
          <w:szCs w:val="24"/>
        </w:rPr>
        <w:t>PROPOSAL FOR ADDITIONAL REVISIONS TO POLICY ON INVESTMENTS</w:t>
      </w:r>
    </w:p>
    <w:p w:rsidR="008B2CC1" w:rsidRPr="00AA117F" w:rsidRDefault="008B2CC1" w:rsidP="008B2CC1">
      <w:pPr>
        <w:rPr>
          <w:szCs w:val="22"/>
        </w:rPr>
      </w:pPr>
    </w:p>
    <w:p w:rsidR="008B2CC1" w:rsidRPr="00AA117F" w:rsidRDefault="001F3B22" w:rsidP="008B2CC1">
      <w:pPr>
        <w:rPr>
          <w:i/>
          <w:szCs w:val="22"/>
        </w:rPr>
      </w:pPr>
      <w:bookmarkStart w:id="4" w:name="Prepared"/>
      <w:bookmarkEnd w:id="4"/>
      <w:r w:rsidRPr="00AA117F">
        <w:rPr>
          <w:i/>
          <w:szCs w:val="22"/>
        </w:rPr>
        <w:t>Document prepared by the Secretariat</w:t>
      </w:r>
    </w:p>
    <w:p w:rsidR="00AC205C" w:rsidRPr="00AA117F" w:rsidRDefault="00AC205C">
      <w:pPr>
        <w:rPr>
          <w:szCs w:val="22"/>
        </w:rPr>
      </w:pPr>
    </w:p>
    <w:p w:rsidR="000F5E56" w:rsidRPr="00AA117F" w:rsidRDefault="000F5E56">
      <w:pPr>
        <w:rPr>
          <w:szCs w:val="22"/>
        </w:rPr>
      </w:pPr>
    </w:p>
    <w:p w:rsidR="002928D3" w:rsidRPr="00657AE4" w:rsidRDefault="002928D3">
      <w:pPr>
        <w:rPr>
          <w:sz w:val="18"/>
          <w:szCs w:val="18"/>
        </w:rPr>
      </w:pPr>
    </w:p>
    <w:p w:rsidR="002928D3" w:rsidRPr="00657AE4" w:rsidRDefault="002928D3" w:rsidP="0053057A">
      <w:pPr>
        <w:rPr>
          <w:sz w:val="18"/>
          <w:szCs w:val="18"/>
        </w:rPr>
      </w:pPr>
    </w:p>
    <w:p w:rsidR="002928D3" w:rsidRPr="00AA117F" w:rsidRDefault="00842A4F">
      <w:pPr>
        <w:rPr>
          <w:b/>
          <w:szCs w:val="22"/>
        </w:rPr>
      </w:pPr>
      <w:r w:rsidRPr="00AA117F">
        <w:rPr>
          <w:b/>
          <w:szCs w:val="22"/>
        </w:rPr>
        <w:t>BACKGROUND</w:t>
      </w:r>
    </w:p>
    <w:p w:rsidR="00842A4F" w:rsidRPr="00AA117F" w:rsidRDefault="00842A4F">
      <w:pPr>
        <w:rPr>
          <w:szCs w:val="22"/>
        </w:rPr>
      </w:pPr>
    </w:p>
    <w:p w:rsidR="00DB74EE" w:rsidRDefault="00DB74EE" w:rsidP="00A314DC">
      <w:pPr>
        <w:pStyle w:val="Style2"/>
        <w:numPr>
          <w:ilvl w:val="0"/>
          <w:numId w:val="0"/>
        </w:numPr>
        <w:tabs>
          <w:tab w:val="left" w:pos="567"/>
          <w:tab w:val="left" w:pos="6521"/>
        </w:tabs>
        <w:spacing w:after="220"/>
      </w:pPr>
      <w:r>
        <w:t>1.</w:t>
      </w:r>
      <w:r>
        <w:tab/>
      </w:r>
      <w:r w:rsidR="00842A4F" w:rsidRPr="00AA117F">
        <w:t>Following the receipt of a letter from the Swiss Federal Finance Administration (AFF) in April 2014 in which the Director General of the World Intellectual Property Organization (WIPO) was informed that WIPO would no longer be able to hold deposit accounts with the AFF, document WO/PBC/22/19 was submitted to the Program and Budget Committee (PBC) in September 2014 proposing that various amendments be made to the Organization’s policy</w:t>
      </w:r>
      <w:r w:rsidR="005025F5" w:rsidRPr="00AA117F">
        <w:t xml:space="preserve"> on investments.  </w:t>
      </w:r>
      <w:r w:rsidR="004856AB" w:rsidRPr="00AA117F">
        <w:t>Having discusse</w:t>
      </w:r>
      <w:r w:rsidR="00842A4F" w:rsidRPr="00AA117F">
        <w:t>d the document, the PBC</w:t>
      </w:r>
      <w:r>
        <w:t>:</w:t>
      </w:r>
    </w:p>
    <w:p w:rsidR="00AF3A8B" w:rsidRPr="00A314DC" w:rsidRDefault="00AF3A8B" w:rsidP="00A314DC">
      <w:pPr>
        <w:pStyle w:val="Style2"/>
        <w:numPr>
          <w:ilvl w:val="0"/>
          <w:numId w:val="0"/>
        </w:numPr>
        <w:tabs>
          <w:tab w:val="left" w:pos="567"/>
          <w:tab w:val="left" w:pos="1134"/>
          <w:tab w:val="left" w:pos="6521"/>
        </w:tabs>
        <w:spacing w:after="220"/>
        <w:ind w:left="567"/>
      </w:pPr>
      <w:r>
        <w:t>“</w:t>
      </w:r>
      <w:r w:rsidR="00DB74EE">
        <w:t>(</w:t>
      </w:r>
      <w:proofErr w:type="spellStart"/>
      <w:r w:rsidR="00DB74EE">
        <w:t>i</w:t>
      </w:r>
      <w:proofErr w:type="spellEnd"/>
      <w:r w:rsidR="00DB74EE">
        <w:t>)</w:t>
      </w:r>
      <w:r w:rsidR="00DB74EE">
        <w:tab/>
      </w:r>
      <w:r w:rsidRPr="00A314DC">
        <w:t>recognized the need to amend the policy on investments</w:t>
      </w:r>
      <w:proofErr w:type="gramStart"/>
      <w:r w:rsidRPr="00A314DC">
        <w:t>;  and</w:t>
      </w:r>
      <w:proofErr w:type="gramEnd"/>
    </w:p>
    <w:p w:rsidR="00AF3A8B" w:rsidRPr="00A314DC" w:rsidRDefault="00DB74EE" w:rsidP="00A314DC">
      <w:pPr>
        <w:pStyle w:val="Style2"/>
        <w:numPr>
          <w:ilvl w:val="0"/>
          <w:numId w:val="0"/>
        </w:numPr>
        <w:tabs>
          <w:tab w:val="left" w:pos="567"/>
          <w:tab w:val="left" w:pos="1134"/>
          <w:tab w:val="left" w:pos="6521"/>
        </w:tabs>
        <w:spacing w:after="220"/>
        <w:ind w:left="567"/>
      </w:pPr>
      <w:r>
        <w:t>“(</w:t>
      </w:r>
      <w:proofErr w:type="gramStart"/>
      <w:r>
        <w:t>ii</w:t>
      </w:r>
      <w:proofErr w:type="gramEnd"/>
      <w:r>
        <w:t>)</w:t>
      </w:r>
      <w:r>
        <w:tab/>
      </w:r>
      <w:r w:rsidR="00AF3A8B" w:rsidRPr="00A314DC">
        <w:t>requested the Secretariat to:</w:t>
      </w:r>
    </w:p>
    <w:p w:rsidR="00AF3A8B" w:rsidRPr="00A314DC" w:rsidRDefault="00AF3A8B" w:rsidP="00AF3A8B">
      <w:pPr>
        <w:pStyle w:val="Style2"/>
        <w:numPr>
          <w:ilvl w:val="0"/>
          <w:numId w:val="19"/>
        </w:numPr>
        <w:tabs>
          <w:tab w:val="left" w:pos="1701"/>
        </w:tabs>
        <w:spacing w:after="220"/>
        <w:ind w:left="1134" w:firstLine="0"/>
      </w:pPr>
      <w:r w:rsidRPr="00A314DC">
        <w:t xml:space="preserve">submit a detailed proposal on a revised version of the policy, at its next session, following its review and clearance by the Investment Advisory Committee; </w:t>
      </w:r>
    </w:p>
    <w:p w:rsidR="00AF3A8B" w:rsidRPr="00A314DC" w:rsidRDefault="00AF3A8B" w:rsidP="00AF3A8B">
      <w:pPr>
        <w:pStyle w:val="Style2"/>
        <w:numPr>
          <w:ilvl w:val="0"/>
          <w:numId w:val="19"/>
        </w:numPr>
        <w:tabs>
          <w:tab w:val="left" w:pos="1701"/>
        </w:tabs>
        <w:spacing w:after="220"/>
        <w:ind w:left="1134" w:firstLine="0"/>
      </w:pPr>
      <w:r w:rsidRPr="00A314DC">
        <w:t>undertake an Assets and Liability Management</w:t>
      </w:r>
      <w:r w:rsidRPr="00A30F86">
        <w:t xml:space="preserve"> </w:t>
      </w:r>
      <w:r w:rsidRPr="00A314DC">
        <w:t>(ALM) study and submit a separate investment policy for ASHI financing, following its review and clearance by the Investment Advisory Committee;  and</w:t>
      </w:r>
    </w:p>
    <w:p w:rsidR="00AF3A8B" w:rsidRDefault="00AF3A8B" w:rsidP="00AF3A8B">
      <w:pPr>
        <w:pStyle w:val="Style2"/>
        <w:numPr>
          <w:ilvl w:val="0"/>
          <w:numId w:val="19"/>
        </w:numPr>
        <w:tabs>
          <w:tab w:val="left" w:pos="1701"/>
        </w:tabs>
        <w:spacing w:after="220"/>
        <w:ind w:left="1134" w:firstLine="0"/>
        <w:rPr>
          <w:i/>
        </w:rPr>
      </w:pPr>
      <w:r w:rsidRPr="00A314DC">
        <w:t>subject to there being sufficient levels of liquidity available, finance the Conference Hall from monies available for investment rather than by drawing down the loan which has been put in place for this purpose.</w:t>
      </w:r>
      <w:r>
        <w:t>”</w:t>
      </w:r>
    </w:p>
    <w:p w:rsidR="008979F7" w:rsidRDefault="00A87990" w:rsidP="00A87990">
      <w:pPr>
        <w:pStyle w:val="ONUME"/>
      </w:pPr>
      <w:r>
        <w:t>2.</w:t>
      </w:r>
      <w:r>
        <w:tab/>
      </w:r>
      <w:r w:rsidR="00842A4F" w:rsidRPr="00AA117F">
        <w:t>Since the PBC meeting in September 2014, the banking landscape has changed significantly in Switzerland, principally because of the introduction of negative interest rates by the</w:t>
      </w:r>
      <w:r w:rsidR="00312356" w:rsidRPr="00AA117F">
        <w:t xml:space="preserve"> Swiss National Bank</w:t>
      </w:r>
      <w:r w:rsidR="00842A4F" w:rsidRPr="00AA117F">
        <w:t xml:space="preserve"> </w:t>
      </w:r>
      <w:r w:rsidR="00312356" w:rsidRPr="00AA117F">
        <w:t>(</w:t>
      </w:r>
      <w:r w:rsidR="00842A4F" w:rsidRPr="00AA117F">
        <w:t>BNS</w:t>
      </w:r>
      <w:r w:rsidR="00312356" w:rsidRPr="00AA117F">
        <w:t>)</w:t>
      </w:r>
      <w:r w:rsidR="00842A4F" w:rsidRPr="00AA117F">
        <w:t xml:space="preserve"> following its abandonment of the EUR/CHF currency peg in January 2015</w:t>
      </w:r>
      <w:r w:rsidR="003F715C" w:rsidRPr="00AA117F">
        <w:t>.  (</w:t>
      </w:r>
      <w:r w:rsidR="00947634" w:rsidRPr="00AA117F">
        <w:t>Annex I shows</w:t>
      </w:r>
      <w:r w:rsidR="003F715C" w:rsidRPr="00AA117F">
        <w:t xml:space="preserve"> how</w:t>
      </w:r>
      <w:r w:rsidR="00947634" w:rsidRPr="00AA117F">
        <w:t xml:space="preserve"> the negative rates in Switzerland compare with intere</w:t>
      </w:r>
      <w:r w:rsidR="003F715C" w:rsidRPr="00AA117F">
        <w:t xml:space="preserve">st </w:t>
      </w:r>
      <w:r w:rsidR="003F715C" w:rsidRPr="00AA117F">
        <w:lastRenderedPageBreak/>
        <w:t>rates elsewhere in the world)</w:t>
      </w:r>
      <w:r w:rsidR="00842A4F" w:rsidRPr="00AA117F">
        <w:t>.  This situation, which is further discussed in document WO/PBC/23/6,</w:t>
      </w:r>
      <w:r w:rsidR="004856AB" w:rsidRPr="00AA117F">
        <w:t xml:space="preserve"> gives rise to a number of issue</w:t>
      </w:r>
      <w:r w:rsidR="00842A4F" w:rsidRPr="00AA117F">
        <w:t>s.</w:t>
      </w:r>
      <w:r w:rsidR="00D06370" w:rsidRPr="00AA117F">
        <w:t xml:space="preserve">  Over the last few months the Secretariat</w:t>
      </w:r>
      <w:r w:rsidR="00A30F86">
        <w:t xml:space="preserve"> </w:t>
      </w:r>
      <w:r w:rsidR="00B422F8">
        <w:t>(including the Investment Advisory Committee Members)</w:t>
      </w:r>
      <w:r w:rsidR="00D06370" w:rsidRPr="00AA117F">
        <w:t xml:space="preserve"> has met with various financial institutions, colleagues </w:t>
      </w:r>
      <w:r w:rsidR="00430625" w:rsidRPr="00AA117F">
        <w:t>working in treasury functions for other organiz</w:t>
      </w:r>
      <w:r w:rsidR="00D956E9" w:rsidRPr="00AA117F">
        <w:t>ations and a</w:t>
      </w:r>
      <w:r w:rsidR="00B422F8">
        <w:t>n independent external</w:t>
      </w:r>
      <w:r w:rsidR="00DB74EE">
        <w:t xml:space="preserve"> </w:t>
      </w:r>
      <w:r w:rsidR="00D956E9" w:rsidRPr="00AA117F">
        <w:t>treasury consultancy</w:t>
      </w:r>
      <w:r w:rsidR="00430625" w:rsidRPr="00AA117F">
        <w:t xml:space="preserve"> fir</w:t>
      </w:r>
      <w:r w:rsidR="009F3748">
        <w:t>m</w:t>
      </w:r>
      <w:r w:rsidR="00285750">
        <w:t>, Zanders</w:t>
      </w:r>
      <w:r w:rsidR="009F3748">
        <w:t>,</w:t>
      </w:r>
      <w:r w:rsidR="00A30F86">
        <w:t xml:space="preserve"> </w:t>
      </w:r>
      <w:r w:rsidR="00430625" w:rsidRPr="00AA117F">
        <w:t>in order to explore ways of addressing these is</w:t>
      </w:r>
      <w:r w:rsidR="005B7C8F" w:rsidRPr="00AA117F">
        <w:t>sues and to determine the conten</w:t>
      </w:r>
      <w:r w:rsidR="00430625" w:rsidRPr="00AA117F">
        <w:t xml:space="preserve">t of the two investment policies required.  Two principal common themes have emerged from these meetings:  firstly, the need to clearly establish the nature of the cash available for investment and secondly, the need to </w:t>
      </w:r>
      <w:r w:rsidR="0018569C">
        <w:t>review</w:t>
      </w:r>
      <w:r w:rsidR="00430625" w:rsidRPr="00AA117F">
        <w:t xml:space="preserve"> the Organization’s investment risk appetite.  These two themes are examined below</w:t>
      </w:r>
      <w:r w:rsidR="005B7C8F" w:rsidRPr="00AA117F">
        <w:t>.</w:t>
      </w:r>
    </w:p>
    <w:p w:rsidR="00842A4F" w:rsidRPr="00AA117F" w:rsidRDefault="00973002" w:rsidP="005025F5">
      <w:pPr>
        <w:pStyle w:val="ONUME"/>
        <w:rPr>
          <w:b/>
          <w:caps/>
          <w:szCs w:val="22"/>
        </w:rPr>
      </w:pPr>
      <w:r w:rsidRPr="00AA117F">
        <w:rPr>
          <w:b/>
          <w:caps/>
          <w:szCs w:val="22"/>
        </w:rPr>
        <w:t>cash</w:t>
      </w:r>
      <w:r w:rsidR="00842A4F" w:rsidRPr="00AA117F">
        <w:rPr>
          <w:b/>
          <w:caps/>
          <w:szCs w:val="22"/>
        </w:rPr>
        <w:t xml:space="preserve"> available for Investment</w:t>
      </w:r>
    </w:p>
    <w:p w:rsidR="00312356" w:rsidRPr="00AA117F" w:rsidRDefault="00A87990" w:rsidP="00D956E9">
      <w:pPr>
        <w:pStyle w:val="ONUME"/>
        <w:spacing w:after="0"/>
        <w:rPr>
          <w:szCs w:val="22"/>
        </w:rPr>
      </w:pPr>
      <w:r>
        <w:rPr>
          <w:szCs w:val="22"/>
        </w:rPr>
        <w:t>3.</w:t>
      </w:r>
      <w:r>
        <w:rPr>
          <w:szCs w:val="22"/>
        </w:rPr>
        <w:tab/>
      </w:r>
      <w:r w:rsidR="00973002" w:rsidRPr="00AA117F">
        <w:rPr>
          <w:szCs w:val="22"/>
        </w:rPr>
        <w:t>Table 1</w:t>
      </w:r>
      <w:r w:rsidR="00842A4F" w:rsidRPr="00AA117F">
        <w:rPr>
          <w:szCs w:val="22"/>
        </w:rPr>
        <w:t xml:space="preserve"> shows the Organization’s cash and cash equivalent balances at th</w:t>
      </w:r>
      <w:r w:rsidR="00BD3B77">
        <w:rPr>
          <w:szCs w:val="22"/>
        </w:rPr>
        <w:t>e end of March</w:t>
      </w:r>
      <w:r w:rsidR="00973002" w:rsidRPr="00AA117F">
        <w:rPr>
          <w:szCs w:val="22"/>
        </w:rPr>
        <w:t xml:space="preserve"> 2015.  A review of</w:t>
      </w:r>
      <w:r w:rsidR="00842A4F" w:rsidRPr="00AA117F">
        <w:rPr>
          <w:szCs w:val="22"/>
        </w:rPr>
        <w:t xml:space="preserve"> WIPO’s </w:t>
      </w:r>
      <w:proofErr w:type="spellStart"/>
      <w:r w:rsidR="00842A4F" w:rsidRPr="00AA117F">
        <w:rPr>
          <w:szCs w:val="22"/>
        </w:rPr>
        <w:t>cashflow</w:t>
      </w:r>
      <w:proofErr w:type="spellEnd"/>
      <w:r w:rsidR="00842A4F" w:rsidRPr="00AA117F">
        <w:rPr>
          <w:szCs w:val="22"/>
        </w:rPr>
        <w:t xml:space="preserve"> ha</w:t>
      </w:r>
      <w:r w:rsidR="00292375">
        <w:rPr>
          <w:szCs w:val="22"/>
        </w:rPr>
        <w:t>s</w:t>
      </w:r>
      <w:r w:rsidR="00842A4F" w:rsidRPr="00AA117F">
        <w:rPr>
          <w:szCs w:val="22"/>
        </w:rPr>
        <w:t xml:space="preserve"> revealed that </w:t>
      </w:r>
      <w:r w:rsidR="00973002" w:rsidRPr="00AA117F">
        <w:rPr>
          <w:szCs w:val="22"/>
        </w:rPr>
        <w:t>the Organization, in common with many entities</w:t>
      </w:r>
      <w:r w:rsidR="005B7C8F" w:rsidRPr="00AA117F">
        <w:rPr>
          <w:szCs w:val="22"/>
        </w:rPr>
        <w:t>,</w:t>
      </w:r>
      <w:r w:rsidR="00973002" w:rsidRPr="00AA117F">
        <w:rPr>
          <w:szCs w:val="22"/>
        </w:rPr>
        <w:t xml:space="preserve"> both public and private, can divide its cash into </w:t>
      </w:r>
      <w:r w:rsidR="00842A4F" w:rsidRPr="00AA117F">
        <w:rPr>
          <w:szCs w:val="22"/>
        </w:rPr>
        <w:t>three categories</w:t>
      </w:r>
      <w:r w:rsidR="008D2E57" w:rsidRPr="00AA117F">
        <w:rPr>
          <w:szCs w:val="22"/>
        </w:rPr>
        <w:t>:</w:t>
      </w:r>
      <w:r w:rsidR="00312356" w:rsidRPr="00AA117F">
        <w:rPr>
          <w:szCs w:val="22"/>
        </w:rPr>
        <w:t xml:space="preserve">  operating cash,</w:t>
      </w:r>
      <w:r w:rsidR="00973002" w:rsidRPr="00AA117F">
        <w:rPr>
          <w:szCs w:val="22"/>
        </w:rPr>
        <w:t xml:space="preserve"> core cash and strategic cash</w:t>
      </w:r>
      <w:r w:rsidR="00312356" w:rsidRPr="00AA117F">
        <w:rPr>
          <w:szCs w:val="22"/>
        </w:rPr>
        <w:t>.</w:t>
      </w:r>
      <w:r w:rsidR="005328D8" w:rsidRPr="00AA117F">
        <w:rPr>
          <w:szCs w:val="22"/>
        </w:rPr>
        <w:t xml:space="preserve">  </w:t>
      </w:r>
      <w:r w:rsidR="00973002" w:rsidRPr="00AA117F">
        <w:rPr>
          <w:szCs w:val="22"/>
        </w:rPr>
        <w:t>Each category has a different investment objective,</w:t>
      </w:r>
      <w:r w:rsidR="005B7C8F" w:rsidRPr="00AA117F">
        <w:rPr>
          <w:szCs w:val="22"/>
        </w:rPr>
        <w:t xml:space="preserve"> a different investment horizon and a different risk profile</w:t>
      </w:r>
      <w:r w:rsidR="00312356" w:rsidRPr="00AA117F">
        <w:rPr>
          <w:szCs w:val="22"/>
        </w:rPr>
        <w:t xml:space="preserve"> </w:t>
      </w:r>
      <w:r w:rsidR="00C634C8" w:rsidRPr="00AA117F">
        <w:rPr>
          <w:szCs w:val="22"/>
        </w:rPr>
        <w:t xml:space="preserve">and all three of these </w:t>
      </w:r>
      <w:r w:rsidR="00312356" w:rsidRPr="00AA117F">
        <w:rPr>
          <w:szCs w:val="22"/>
        </w:rPr>
        <w:t>elements should be captu</w:t>
      </w:r>
      <w:r w:rsidR="00D956E9" w:rsidRPr="00AA117F">
        <w:rPr>
          <w:szCs w:val="22"/>
        </w:rPr>
        <w:t>red within an investment policy.</w:t>
      </w:r>
      <w:r w:rsidR="00BD3B77">
        <w:rPr>
          <w:szCs w:val="22"/>
        </w:rPr>
        <w:t xml:space="preserve">  Table 2 shows the proposed division of WIPO’s cash between the three categories.</w:t>
      </w:r>
    </w:p>
    <w:p w:rsidR="00D956E9" w:rsidRPr="00657AE4" w:rsidRDefault="00D956E9" w:rsidP="00D956E9">
      <w:pPr>
        <w:pStyle w:val="ONUME"/>
        <w:spacing w:after="0"/>
        <w:rPr>
          <w:sz w:val="18"/>
          <w:szCs w:val="18"/>
        </w:rPr>
      </w:pPr>
    </w:p>
    <w:p w:rsidR="00D956E9" w:rsidRPr="00772BEF" w:rsidRDefault="00D956E9" w:rsidP="00D956E9">
      <w:pPr>
        <w:pStyle w:val="ONUME"/>
        <w:spacing w:after="0"/>
        <w:jc w:val="center"/>
        <w:rPr>
          <w:b/>
          <w:szCs w:val="22"/>
        </w:rPr>
      </w:pPr>
      <w:r w:rsidRPr="00772BEF">
        <w:rPr>
          <w:b/>
          <w:szCs w:val="22"/>
        </w:rPr>
        <w:t>Table 1</w:t>
      </w:r>
    </w:p>
    <w:p w:rsidR="00D956E9" w:rsidRPr="00657AE4" w:rsidRDefault="00D956E9" w:rsidP="00D956E9">
      <w:pPr>
        <w:pStyle w:val="ONUME"/>
        <w:spacing w:after="0"/>
        <w:jc w:val="center"/>
        <w:rPr>
          <w:b/>
          <w:sz w:val="18"/>
          <w:szCs w:val="18"/>
        </w:rPr>
      </w:pPr>
    </w:p>
    <w:p w:rsidR="00D06370" w:rsidRDefault="009B27D2" w:rsidP="002D5273">
      <w:pPr>
        <w:pStyle w:val="ONUME"/>
        <w:jc w:val="center"/>
        <w:rPr>
          <w:sz w:val="18"/>
          <w:szCs w:val="18"/>
        </w:rPr>
      </w:pPr>
      <w:r w:rsidRPr="009B27D2">
        <w:rPr>
          <w:noProof/>
          <w:lang w:eastAsia="en-US"/>
        </w:rPr>
        <w:drawing>
          <wp:inline distT="0" distB="0" distL="0" distR="0" wp14:anchorId="73057BDF" wp14:editId="346E0F47">
            <wp:extent cx="5338800" cy="3423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8800" cy="3423600"/>
                    </a:xfrm>
                    <a:prstGeom prst="rect">
                      <a:avLst/>
                    </a:prstGeom>
                    <a:noFill/>
                    <a:ln>
                      <a:noFill/>
                    </a:ln>
                  </pic:spPr>
                </pic:pic>
              </a:graphicData>
            </a:graphic>
          </wp:inline>
        </w:drawing>
      </w:r>
    </w:p>
    <w:p w:rsidR="00D02B32" w:rsidRDefault="00D02B32" w:rsidP="00A314DC">
      <w:pPr>
        <w:pStyle w:val="ONUME"/>
        <w:keepNext/>
        <w:keepLines/>
        <w:spacing w:after="0"/>
        <w:jc w:val="center"/>
        <w:rPr>
          <w:b/>
          <w:szCs w:val="22"/>
        </w:rPr>
      </w:pPr>
      <w:r>
        <w:rPr>
          <w:b/>
          <w:szCs w:val="22"/>
        </w:rPr>
        <w:t>Table 2</w:t>
      </w:r>
    </w:p>
    <w:p w:rsidR="007D0D8A" w:rsidRPr="00772BEF" w:rsidRDefault="007D0D8A" w:rsidP="00A314DC">
      <w:pPr>
        <w:pStyle w:val="ONUME"/>
        <w:keepNext/>
        <w:keepLines/>
        <w:spacing w:after="0"/>
        <w:jc w:val="center"/>
        <w:rPr>
          <w:b/>
          <w:szCs w:val="22"/>
        </w:rPr>
      </w:pPr>
    </w:p>
    <w:p w:rsidR="00772BEF" w:rsidRDefault="002465F0" w:rsidP="00A314DC">
      <w:pPr>
        <w:pStyle w:val="ONUME"/>
        <w:keepNext/>
        <w:keepLines/>
        <w:jc w:val="center"/>
        <w:rPr>
          <w:sz w:val="18"/>
          <w:szCs w:val="18"/>
        </w:rPr>
      </w:pPr>
      <w:r w:rsidRPr="002465F0">
        <w:rPr>
          <w:noProof/>
          <w:lang w:eastAsia="en-US"/>
        </w:rPr>
        <w:drawing>
          <wp:inline distT="0" distB="0" distL="0" distR="0" wp14:anchorId="1CE462F7" wp14:editId="00B552EF">
            <wp:extent cx="3962400" cy="122160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7464" cy="1223170"/>
                    </a:xfrm>
                    <a:prstGeom prst="rect">
                      <a:avLst/>
                    </a:prstGeom>
                    <a:noFill/>
                    <a:ln>
                      <a:noFill/>
                    </a:ln>
                  </pic:spPr>
                </pic:pic>
              </a:graphicData>
            </a:graphic>
          </wp:inline>
        </w:drawing>
      </w:r>
    </w:p>
    <w:p w:rsidR="00F00B61" w:rsidRPr="00657AE4" w:rsidRDefault="00F00B61" w:rsidP="00A314DC">
      <w:pPr>
        <w:pStyle w:val="ONUME"/>
        <w:keepNext/>
        <w:keepLines/>
        <w:jc w:val="center"/>
        <w:rPr>
          <w:sz w:val="18"/>
          <w:szCs w:val="18"/>
        </w:rPr>
      </w:pPr>
    </w:p>
    <w:p w:rsidR="00A51019" w:rsidRDefault="00A51019" w:rsidP="00A314DC">
      <w:pPr>
        <w:pStyle w:val="ONUME"/>
        <w:tabs>
          <w:tab w:val="left" w:pos="1134"/>
        </w:tabs>
        <w:rPr>
          <w:szCs w:val="22"/>
        </w:rPr>
      </w:pPr>
    </w:p>
    <w:p w:rsidR="00312356" w:rsidRPr="00A314DC" w:rsidRDefault="00F00B61" w:rsidP="00A314DC">
      <w:pPr>
        <w:pStyle w:val="ONUME"/>
        <w:tabs>
          <w:tab w:val="left" w:pos="1134"/>
        </w:tabs>
        <w:rPr>
          <w:szCs w:val="22"/>
        </w:rPr>
      </w:pPr>
      <w:r w:rsidRPr="00A314DC">
        <w:rPr>
          <w:szCs w:val="22"/>
        </w:rPr>
        <w:lastRenderedPageBreak/>
        <w:t>OPERATING CASH</w:t>
      </w:r>
    </w:p>
    <w:p w:rsidR="00E52461" w:rsidRPr="00AA117F" w:rsidRDefault="00A87990" w:rsidP="00933F0A">
      <w:pPr>
        <w:pStyle w:val="ONUME"/>
        <w:rPr>
          <w:szCs w:val="22"/>
        </w:rPr>
      </w:pPr>
      <w:r>
        <w:rPr>
          <w:szCs w:val="22"/>
        </w:rPr>
        <w:t>4.</w:t>
      </w:r>
      <w:r>
        <w:rPr>
          <w:szCs w:val="22"/>
        </w:rPr>
        <w:tab/>
      </w:r>
      <w:r w:rsidR="008D2E57" w:rsidRPr="00AA117F">
        <w:rPr>
          <w:szCs w:val="22"/>
        </w:rPr>
        <w:t>This</w:t>
      </w:r>
      <w:r w:rsidR="00E52461" w:rsidRPr="00AA117F">
        <w:rPr>
          <w:szCs w:val="22"/>
        </w:rPr>
        <w:t xml:space="preserve"> cash</w:t>
      </w:r>
      <w:r w:rsidR="008D2E57" w:rsidRPr="00AA117F">
        <w:rPr>
          <w:szCs w:val="22"/>
        </w:rPr>
        <w:t xml:space="preserve"> represents the amount required to m</w:t>
      </w:r>
      <w:r w:rsidR="00312356" w:rsidRPr="00AA117F">
        <w:rPr>
          <w:szCs w:val="22"/>
        </w:rPr>
        <w:t>eet ongoing operational payment</w:t>
      </w:r>
      <w:r w:rsidR="008D2E57" w:rsidRPr="00AA117F">
        <w:rPr>
          <w:szCs w:val="22"/>
        </w:rPr>
        <w:t>s such as payroll, settlement of suppliers’ invoice</w:t>
      </w:r>
      <w:r w:rsidR="00C9444B" w:rsidRPr="00AA117F">
        <w:rPr>
          <w:szCs w:val="22"/>
        </w:rPr>
        <w:t>s</w:t>
      </w:r>
      <w:r w:rsidR="008D2E57" w:rsidRPr="00AA117F">
        <w:rPr>
          <w:szCs w:val="22"/>
        </w:rPr>
        <w:t xml:space="preserve"> and Madrid and Hague distributions.</w:t>
      </w:r>
      <w:r w:rsidR="005025F5" w:rsidRPr="00AA117F">
        <w:rPr>
          <w:szCs w:val="22"/>
        </w:rPr>
        <w:t xml:space="preserve"> </w:t>
      </w:r>
      <w:r w:rsidR="00C9444B" w:rsidRPr="00AA117F">
        <w:rPr>
          <w:szCs w:val="22"/>
        </w:rPr>
        <w:t>The investment objective therefore is to ensure liquidity, the investment horizon is immediate as cash is required on a daily basis and the risk profile</w:t>
      </w:r>
      <w:r w:rsidR="00E52461" w:rsidRPr="00AA117F">
        <w:rPr>
          <w:szCs w:val="22"/>
        </w:rPr>
        <w:t xml:space="preserve"> adopted</w:t>
      </w:r>
      <w:r w:rsidR="00C9444B" w:rsidRPr="00AA117F">
        <w:rPr>
          <w:szCs w:val="22"/>
        </w:rPr>
        <w:t xml:space="preserve"> </w:t>
      </w:r>
      <w:r w:rsidR="00E52461" w:rsidRPr="00AA117F">
        <w:rPr>
          <w:szCs w:val="22"/>
        </w:rPr>
        <w:t>should aim to</w:t>
      </w:r>
      <w:r w:rsidR="00C9444B" w:rsidRPr="00AA117F">
        <w:rPr>
          <w:szCs w:val="22"/>
        </w:rPr>
        <w:t xml:space="preserve"> ensure that any investments of operating cash preserve capital and can be readily turned into cash.  At WIPO the amount of operating cash required varies from month to month but over the last two years, during which WIPO’s </w:t>
      </w:r>
      <w:proofErr w:type="spellStart"/>
      <w:r w:rsidR="00C9444B" w:rsidRPr="00AA117F">
        <w:rPr>
          <w:szCs w:val="22"/>
        </w:rPr>
        <w:t>cashflows</w:t>
      </w:r>
      <w:proofErr w:type="spellEnd"/>
      <w:r w:rsidR="00C9444B" w:rsidRPr="00AA117F">
        <w:rPr>
          <w:szCs w:val="22"/>
        </w:rPr>
        <w:t xml:space="preserve"> have been</w:t>
      </w:r>
      <w:r w:rsidR="00947634" w:rsidRPr="00AA117F">
        <w:rPr>
          <w:szCs w:val="22"/>
        </w:rPr>
        <w:t xml:space="preserve"> closely monitored, it has not</w:t>
      </w:r>
      <w:r w:rsidR="00C9444B" w:rsidRPr="00AA117F">
        <w:rPr>
          <w:szCs w:val="22"/>
        </w:rPr>
        <w:t xml:space="preserve"> exceeded </w:t>
      </w:r>
      <w:r w:rsidR="007D7ACA" w:rsidRPr="00AA117F">
        <w:rPr>
          <w:szCs w:val="22"/>
        </w:rPr>
        <w:t xml:space="preserve">50 million Swiss francs.  </w:t>
      </w:r>
    </w:p>
    <w:p w:rsidR="006E77DB" w:rsidRPr="00AA117F" w:rsidRDefault="00A87990" w:rsidP="00947634">
      <w:pPr>
        <w:pStyle w:val="ONUME"/>
        <w:rPr>
          <w:szCs w:val="22"/>
        </w:rPr>
      </w:pPr>
      <w:r>
        <w:rPr>
          <w:szCs w:val="22"/>
        </w:rPr>
        <w:t>5.</w:t>
      </w:r>
      <w:r>
        <w:rPr>
          <w:szCs w:val="22"/>
        </w:rPr>
        <w:tab/>
      </w:r>
      <w:r w:rsidR="007D7ACA" w:rsidRPr="00AA117F">
        <w:rPr>
          <w:szCs w:val="22"/>
        </w:rPr>
        <w:t>In addition to ensuring that the Organization has enough cash available to meet its operating requirements, the liquidity of the target reserve should also be considered</w:t>
      </w:r>
      <w:r w:rsidR="00E52461" w:rsidRPr="00AA117F">
        <w:rPr>
          <w:szCs w:val="22"/>
        </w:rPr>
        <w:t xml:space="preserve"> (document WO/PB</w:t>
      </w:r>
      <w:r w:rsidR="00E82939">
        <w:rPr>
          <w:szCs w:val="22"/>
        </w:rPr>
        <w:t>C/23/8 further</w:t>
      </w:r>
      <w:r w:rsidR="00E52461" w:rsidRPr="00AA117F">
        <w:rPr>
          <w:szCs w:val="22"/>
        </w:rPr>
        <w:t xml:space="preserve"> discusses the target reserve)</w:t>
      </w:r>
      <w:r w:rsidR="007D7ACA" w:rsidRPr="00AA117F">
        <w:rPr>
          <w:szCs w:val="22"/>
        </w:rPr>
        <w:t xml:space="preserve">. </w:t>
      </w:r>
      <w:r w:rsidR="00A30F86">
        <w:rPr>
          <w:szCs w:val="22"/>
        </w:rPr>
        <w:t xml:space="preserve"> </w:t>
      </w:r>
      <w:r w:rsidR="007D7ACA" w:rsidRPr="00AA117F">
        <w:rPr>
          <w:szCs w:val="22"/>
        </w:rPr>
        <w:t>This reserve</w:t>
      </w:r>
      <w:r w:rsidR="0092251C" w:rsidRPr="00AA117F">
        <w:rPr>
          <w:szCs w:val="22"/>
        </w:rPr>
        <w:t>,</w:t>
      </w:r>
      <w:r w:rsidR="00C9444B" w:rsidRPr="00AA117F">
        <w:rPr>
          <w:szCs w:val="22"/>
        </w:rPr>
        <w:t xml:space="preserve"> </w:t>
      </w:r>
      <w:r w:rsidR="00B422F8">
        <w:rPr>
          <w:szCs w:val="22"/>
        </w:rPr>
        <w:t>in accordance with the current target</w:t>
      </w:r>
      <w:r w:rsidR="00A30F86">
        <w:rPr>
          <w:szCs w:val="22"/>
        </w:rPr>
        <w:t>,</w:t>
      </w:r>
      <w:r w:rsidR="00B422F8">
        <w:rPr>
          <w:szCs w:val="22"/>
        </w:rPr>
        <w:t xml:space="preserve"> </w:t>
      </w:r>
      <w:r w:rsidR="000F3B85">
        <w:rPr>
          <w:szCs w:val="22"/>
        </w:rPr>
        <w:t>has been</w:t>
      </w:r>
      <w:r w:rsidR="00B422F8">
        <w:rPr>
          <w:szCs w:val="22"/>
        </w:rPr>
        <w:t xml:space="preserve"> </w:t>
      </w:r>
      <w:r w:rsidR="00865FDE">
        <w:rPr>
          <w:szCs w:val="22"/>
        </w:rPr>
        <w:t>established</w:t>
      </w:r>
      <w:r w:rsidR="00B422F8">
        <w:rPr>
          <w:szCs w:val="22"/>
        </w:rPr>
        <w:t xml:space="preserve"> at</w:t>
      </w:r>
      <w:r w:rsidR="0092251C" w:rsidRPr="00AA117F">
        <w:rPr>
          <w:szCs w:val="22"/>
        </w:rPr>
        <w:t xml:space="preserve"> 125 million Swiss francs for 2015</w:t>
      </w:r>
      <w:r w:rsidR="00B422F8">
        <w:rPr>
          <w:szCs w:val="22"/>
        </w:rPr>
        <w:t xml:space="preserve"> and </w:t>
      </w:r>
      <w:r w:rsidR="00C60436" w:rsidRPr="00AA117F">
        <w:rPr>
          <w:szCs w:val="22"/>
        </w:rPr>
        <w:t>is designed to ensu</w:t>
      </w:r>
      <w:r w:rsidR="00030202" w:rsidRPr="00AA117F">
        <w:rPr>
          <w:szCs w:val="22"/>
        </w:rPr>
        <w:t>r</w:t>
      </w:r>
      <w:r w:rsidR="00C60436" w:rsidRPr="00AA117F">
        <w:rPr>
          <w:szCs w:val="22"/>
        </w:rPr>
        <w:t>e that sufficient reserves are available to</w:t>
      </w:r>
      <w:r w:rsidR="007D7ACA" w:rsidRPr="00AA117F">
        <w:rPr>
          <w:szCs w:val="22"/>
        </w:rPr>
        <w:t xml:space="preserve"> allow the continuance of operations </w:t>
      </w:r>
      <w:r w:rsidR="00030202" w:rsidRPr="00AA117F">
        <w:rPr>
          <w:szCs w:val="22"/>
        </w:rPr>
        <w:t>in the</w:t>
      </w:r>
      <w:r w:rsidR="00253A97">
        <w:rPr>
          <w:szCs w:val="22"/>
        </w:rPr>
        <w:t xml:space="preserve"> event of a downturn in revenue</w:t>
      </w:r>
      <w:r w:rsidR="0092251C" w:rsidRPr="00AA117F">
        <w:rPr>
          <w:szCs w:val="22"/>
        </w:rPr>
        <w:t>.  A</w:t>
      </w:r>
      <w:r w:rsidR="007D7ACA" w:rsidRPr="00AA117F">
        <w:rPr>
          <w:szCs w:val="22"/>
        </w:rPr>
        <w:t xml:space="preserve">s such, </w:t>
      </w:r>
      <w:r w:rsidR="00030202" w:rsidRPr="00AA117F">
        <w:rPr>
          <w:szCs w:val="22"/>
        </w:rPr>
        <w:t xml:space="preserve">it can be argued that an amount of cash equivalent to the target </w:t>
      </w:r>
      <w:r w:rsidR="0092251C" w:rsidRPr="00AA117F">
        <w:rPr>
          <w:szCs w:val="22"/>
        </w:rPr>
        <w:t>should be held in liquid form.</w:t>
      </w:r>
      <w:r w:rsidR="007D7ACA" w:rsidRPr="00AA117F">
        <w:rPr>
          <w:szCs w:val="22"/>
        </w:rPr>
        <w:t xml:space="preserve">  T</w:t>
      </w:r>
      <w:r w:rsidR="0092251C" w:rsidRPr="00AA117F">
        <w:rPr>
          <w:szCs w:val="22"/>
        </w:rPr>
        <w:t>he 50 </w:t>
      </w:r>
      <w:r w:rsidR="00030202" w:rsidRPr="00AA117F">
        <w:rPr>
          <w:szCs w:val="22"/>
        </w:rPr>
        <w:t>million Swiss francs required</w:t>
      </w:r>
      <w:r w:rsidR="00312356" w:rsidRPr="00AA117F">
        <w:rPr>
          <w:szCs w:val="22"/>
        </w:rPr>
        <w:t xml:space="preserve"> for ongoing payments would form</w:t>
      </w:r>
      <w:r w:rsidR="00030202" w:rsidRPr="00AA117F">
        <w:rPr>
          <w:szCs w:val="22"/>
        </w:rPr>
        <w:t xml:space="preserve"> part of the cash required to cover </w:t>
      </w:r>
      <w:r w:rsidR="00312356" w:rsidRPr="00AA117F">
        <w:rPr>
          <w:szCs w:val="22"/>
        </w:rPr>
        <w:t>this target amount</w:t>
      </w:r>
      <w:r w:rsidR="0092251C" w:rsidRPr="00AA117F">
        <w:rPr>
          <w:szCs w:val="22"/>
        </w:rPr>
        <w:t>,</w:t>
      </w:r>
      <w:r w:rsidR="00947634" w:rsidRPr="00AA117F">
        <w:rPr>
          <w:szCs w:val="22"/>
        </w:rPr>
        <w:t xml:space="preserve"> the result being</w:t>
      </w:r>
      <w:r w:rsidR="007D7ACA" w:rsidRPr="00AA117F">
        <w:rPr>
          <w:szCs w:val="22"/>
        </w:rPr>
        <w:t xml:space="preserve"> </w:t>
      </w:r>
      <w:r w:rsidR="0092251C" w:rsidRPr="00AA117F">
        <w:rPr>
          <w:szCs w:val="22"/>
        </w:rPr>
        <w:t xml:space="preserve">that the Organization </w:t>
      </w:r>
      <w:r w:rsidR="006E77DB" w:rsidRPr="00AA117F">
        <w:rPr>
          <w:szCs w:val="22"/>
        </w:rPr>
        <w:t>would</w:t>
      </w:r>
      <w:r w:rsidR="0092251C" w:rsidRPr="00AA117F">
        <w:rPr>
          <w:szCs w:val="22"/>
        </w:rPr>
        <w:t xml:space="preserve"> </w:t>
      </w:r>
      <w:r w:rsidR="007D7ACA" w:rsidRPr="00AA117F">
        <w:rPr>
          <w:szCs w:val="22"/>
        </w:rPr>
        <w:t>maintain</w:t>
      </w:r>
      <w:r w:rsidR="0092251C" w:rsidRPr="00AA117F">
        <w:rPr>
          <w:szCs w:val="22"/>
        </w:rPr>
        <w:t xml:space="preserve"> </w:t>
      </w:r>
      <w:r w:rsidR="00933F0A" w:rsidRPr="00AA117F">
        <w:rPr>
          <w:szCs w:val="22"/>
        </w:rPr>
        <w:t>overall</w:t>
      </w:r>
      <w:r w:rsidR="007D7ACA" w:rsidRPr="00AA117F">
        <w:rPr>
          <w:szCs w:val="22"/>
        </w:rPr>
        <w:t xml:space="preserve"> liquid cash balances at the</w:t>
      </w:r>
      <w:r w:rsidR="00933F0A" w:rsidRPr="00AA117F">
        <w:rPr>
          <w:szCs w:val="22"/>
        </w:rPr>
        <w:t xml:space="preserve"> level of 125</w:t>
      </w:r>
      <w:r w:rsidR="007D7ACA" w:rsidRPr="00AA117F">
        <w:rPr>
          <w:szCs w:val="22"/>
        </w:rPr>
        <w:t xml:space="preserve"> million Swiss francs</w:t>
      </w:r>
      <w:r w:rsidR="00947634" w:rsidRPr="00AA117F">
        <w:rPr>
          <w:szCs w:val="22"/>
        </w:rPr>
        <w:t xml:space="preserve"> during 2015</w:t>
      </w:r>
      <w:r w:rsidR="00A0425F" w:rsidRPr="00AA117F">
        <w:rPr>
          <w:szCs w:val="22"/>
        </w:rPr>
        <w:t>.</w:t>
      </w:r>
      <w:r w:rsidR="00947634" w:rsidRPr="00AA117F">
        <w:rPr>
          <w:szCs w:val="22"/>
        </w:rPr>
        <w:t xml:space="preserve">  Operating cash should</w:t>
      </w:r>
      <w:r w:rsidR="00933F0A" w:rsidRPr="00AA117F">
        <w:rPr>
          <w:szCs w:val="22"/>
        </w:rPr>
        <w:t xml:space="preserve"> only be invested in asset classes which are easily liquidated at little or no cost.  Such types of investment are </w:t>
      </w:r>
      <w:r w:rsidR="00E82939">
        <w:rPr>
          <w:szCs w:val="22"/>
        </w:rPr>
        <w:t>included, amongst others,</w:t>
      </w:r>
      <w:r w:rsidR="00933F0A" w:rsidRPr="00AA117F">
        <w:rPr>
          <w:szCs w:val="22"/>
        </w:rPr>
        <w:t xml:space="preserve"> in the list shown in paragraph</w:t>
      </w:r>
      <w:r w:rsidR="00A0425F" w:rsidRPr="00AA117F">
        <w:rPr>
          <w:szCs w:val="22"/>
        </w:rPr>
        <w:t xml:space="preserve"> </w:t>
      </w:r>
      <w:r w:rsidR="00947634" w:rsidRPr="00AA117F">
        <w:rPr>
          <w:szCs w:val="22"/>
        </w:rPr>
        <w:t>10</w:t>
      </w:r>
      <w:r w:rsidR="00E82939">
        <w:rPr>
          <w:szCs w:val="22"/>
        </w:rPr>
        <w:t>.  Easily liquidated</w:t>
      </w:r>
      <w:r w:rsidR="00933F0A" w:rsidRPr="00AA117F">
        <w:rPr>
          <w:szCs w:val="22"/>
        </w:rPr>
        <w:t xml:space="preserve"> investments</w:t>
      </w:r>
      <w:r w:rsidR="00E82939">
        <w:rPr>
          <w:szCs w:val="22"/>
        </w:rPr>
        <w:t xml:space="preserve"> such as deposits</w:t>
      </w:r>
      <w:r w:rsidR="00933F0A" w:rsidRPr="00AA117F">
        <w:rPr>
          <w:szCs w:val="22"/>
        </w:rPr>
        <w:t xml:space="preserve"> currently give a negative return but the Org</w:t>
      </w:r>
      <w:r w:rsidR="00947634" w:rsidRPr="00AA117F">
        <w:rPr>
          <w:szCs w:val="22"/>
        </w:rPr>
        <w:t>anization will continue</w:t>
      </w:r>
      <w:r w:rsidR="00933F0A" w:rsidRPr="00AA117F">
        <w:rPr>
          <w:szCs w:val="22"/>
        </w:rPr>
        <w:t xml:space="preserve"> to seek investment opportunities which give a positive return on short-term cash, including opportunities to obtain an overall positive return on</w:t>
      </w:r>
      <w:r w:rsidR="00947634" w:rsidRPr="00AA117F">
        <w:rPr>
          <w:szCs w:val="22"/>
        </w:rPr>
        <w:t xml:space="preserve"> short-term</w:t>
      </w:r>
      <w:r w:rsidR="00933F0A" w:rsidRPr="00AA117F">
        <w:rPr>
          <w:szCs w:val="22"/>
        </w:rPr>
        <w:t xml:space="preserve"> inve</w:t>
      </w:r>
      <w:r w:rsidR="007D0D8A">
        <w:rPr>
          <w:szCs w:val="22"/>
        </w:rPr>
        <w:t>stments held in currencies other than Swiss francs</w:t>
      </w:r>
      <w:r w:rsidR="00933F0A" w:rsidRPr="00AA117F">
        <w:rPr>
          <w:szCs w:val="22"/>
        </w:rPr>
        <w:t>.</w:t>
      </w:r>
    </w:p>
    <w:p w:rsidR="00312356" w:rsidRPr="00AA117F" w:rsidRDefault="00A87990" w:rsidP="00933F0A">
      <w:pPr>
        <w:pStyle w:val="ONUME"/>
        <w:rPr>
          <w:szCs w:val="22"/>
        </w:rPr>
      </w:pPr>
      <w:r>
        <w:rPr>
          <w:szCs w:val="22"/>
        </w:rPr>
        <w:t>6.</w:t>
      </w:r>
      <w:r>
        <w:rPr>
          <w:szCs w:val="22"/>
        </w:rPr>
        <w:tab/>
      </w:r>
      <w:r w:rsidR="00A0425F" w:rsidRPr="00AA117F">
        <w:rPr>
          <w:szCs w:val="22"/>
        </w:rPr>
        <w:t>WIPO has, until now,</w:t>
      </w:r>
      <w:r w:rsidR="006E77DB" w:rsidRPr="00AA117F">
        <w:rPr>
          <w:szCs w:val="22"/>
        </w:rPr>
        <w:t xml:space="preserve"> been able to avoid</w:t>
      </w:r>
      <w:r w:rsidR="00A0425F" w:rsidRPr="00AA117F">
        <w:rPr>
          <w:szCs w:val="22"/>
        </w:rPr>
        <w:t xml:space="preserve"> the impact of negative interest rates upon its cash.  The Organization’s principal banking partners have made</w:t>
      </w:r>
      <w:r w:rsidR="007D7ACA" w:rsidRPr="00AA117F">
        <w:rPr>
          <w:szCs w:val="22"/>
        </w:rPr>
        <w:t xml:space="preserve"> </w:t>
      </w:r>
      <w:r w:rsidR="00030202" w:rsidRPr="00AA117F">
        <w:rPr>
          <w:szCs w:val="22"/>
        </w:rPr>
        <w:t>available to the Organization a mixture of short-notice</w:t>
      </w:r>
      <w:r w:rsidR="00312356" w:rsidRPr="00AA117F">
        <w:rPr>
          <w:szCs w:val="22"/>
        </w:rPr>
        <w:t xml:space="preserve"> (up to 35 days)</w:t>
      </w:r>
      <w:r w:rsidR="00030202" w:rsidRPr="00AA117F">
        <w:rPr>
          <w:szCs w:val="22"/>
        </w:rPr>
        <w:t xml:space="preserve"> zero interest rate deposits and cash balance “exemption” thresholds below which negative interest rates are not</w:t>
      </w:r>
      <w:r w:rsidR="007D7ACA" w:rsidRPr="00AA117F">
        <w:rPr>
          <w:szCs w:val="22"/>
        </w:rPr>
        <w:t xml:space="preserve"> currently being</w:t>
      </w:r>
      <w:r w:rsidR="00030202" w:rsidRPr="00AA117F">
        <w:rPr>
          <w:szCs w:val="22"/>
        </w:rPr>
        <w:t xml:space="preserve"> charged.  As at the beginning of May 2015, this combinati</w:t>
      </w:r>
      <w:r w:rsidR="006E77DB" w:rsidRPr="00AA117F">
        <w:rPr>
          <w:szCs w:val="22"/>
        </w:rPr>
        <w:t>on of facilities totaled 125 million</w:t>
      </w:r>
      <w:r w:rsidR="00030202" w:rsidRPr="00AA117F">
        <w:rPr>
          <w:szCs w:val="22"/>
        </w:rPr>
        <w:t xml:space="preserve"> Swiss</w:t>
      </w:r>
      <w:r w:rsidR="00895F28" w:rsidRPr="00AA117F">
        <w:rPr>
          <w:szCs w:val="22"/>
        </w:rPr>
        <w:t xml:space="preserve"> francs.  </w:t>
      </w:r>
      <w:r w:rsidR="00030202" w:rsidRPr="00AA117F">
        <w:rPr>
          <w:szCs w:val="22"/>
        </w:rPr>
        <w:t>The remainder of WIPO’s cash is</w:t>
      </w:r>
      <w:r w:rsidR="00895F28" w:rsidRPr="00AA117F">
        <w:rPr>
          <w:szCs w:val="22"/>
        </w:rPr>
        <w:t xml:space="preserve"> still</w:t>
      </w:r>
      <w:r w:rsidR="00030202" w:rsidRPr="00AA117F">
        <w:rPr>
          <w:szCs w:val="22"/>
        </w:rPr>
        <w:t xml:space="preserve"> held with </w:t>
      </w:r>
      <w:r w:rsidR="00895F28" w:rsidRPr="00AA117F">
        <w:rPr>
          <w:szCs w:val="22"/>
        </w:rPr>
        <w:t xml:space="preserve">the </w:t>
      </w:r>
      <w:r w:rsidR="00030202" w:rsidRPr="00AA117F">
        <w:rPr>
          <w:szCs w:val="22"/>
        </w:rPr>
        <w:t>A</w:t>
      </w:r>
      <w:r w:rsidR="00312356" w:rsidRPr="00AA117F">
        <w:rPr>
          <w:szCs w:val="22"/>
        </w:rPr>
        <w:t>FF</w:t>
      </w:r>
      <w:r w:rsidR="00312D8A" w:rsidRPr="00AA117F">
        <w:rPr>
          <w:szCs w:val="22"/>
        </w:rPr>
        <w:t xml:space="preserve"> in investments which</w:t>
      </w:r>
      <w:r w:rsidR="00312356" w:rsidRPr="00AA117F">
        <w:rPr>
          <w:szCs w:val="22"/>
        </w:rPr>
        <w:t xml:space="preserve"> </w:t>
      </w:r>
      <w:r w:rsidR="00312D8A" w:rsidRPr="00AA117F">
        <w:rPr>
          <w:szCs w:val="22"/>
        </w:rPr>
        <w:t>e</w:t>
      </w:r>
      <w:r w:rsidR="00895F28" w:rsidRPr="00AA117F">
        <w:rPr>
          <w:szCs w:val="22"/>
        </w:rPr>
        <w:t>arn</w:t>
      </w:r>
      <w:r w:rsidR="00CD0DD1" w:rsidRPr="00AA117F">
        <w:rPr>
          <w:szCs w:val="22"/>
        </w:rPr>
        <w:t xml:space="preserve"> zero interest</w:t>
      </w:r>
      <w:r w:rsidR="00030202" w:rsidRPr="00AA117F">
        <w:rPr>
          <w:szCs w:val="22"/>
        </w:rPr>
        <w:t>.  Exemption thresholds and zero interest rate deposits have</w:t>
      </w:r>
      <w:r w:rsidR="00895F28" w:rsidRPr="00AA117F">
        <w:rPr>
          <w:szCs w:val="22"/>
        </w:rPr>
        <w:t xml:space="preserve"> also</w:t>
      </w:r>
      <w:r w:rsidR="00030202" w:rsidRPr="00AA117F">
        <w:rPr>
          <w:szCs w:val="22"/>
        </w:rPr>
        <w:t xml:space="preserve"> been made</w:t>
      </w:r>
      <w:r w:rsidR="00312356" w:rsidRPr="00AA117F">
        <w:rPr>
          <w:szCs w:val="22"/>
        </w:rPr>
        <w:t xml:space="preserve"> available to other UN agencies</w:t>
      </w:r>
      <w:r w:rsidR="00030202" w:rsidRPr="00AA117F">
        <w:rPr>
          <w:szCs w:val="22"/>
        </w:rPr>
        <w:t xml:space="preserve"> which hold Swiss francs and represent a very useful way of avoiding negative rates</w:t>
      </w:r>
      <w:r w:rsidR="00253A97">
        <w:rPr>
          <w:szCs w:val="22"/>
        </w:rPr>
        <w:t>,</w:t>
      </w:r>
      <w:r w:rsidR="00030202" w:rsidRPr="00AA117F">
        <w:rPr>
          <w:szCs w:val="22"/>
        </w:rPr>
        <w:t xml:space="preserve"> </w:t>
      </w:r>
      <w:r w:rsidR="00895F28" w:rsidRPr="00AA117F">
        <w:rPr>
          <w:szCs w:val="22"/>
        </w:rPr>
        <w:t>particularly with regard to</w:t>
      </w:r>
      <w:r w:rsidR="00030202" w:rsidRPr="00AA117F">
        <w:rPr>
          <w:szCs w:val="22"/>
        </w:rPr>
        <w:t xml:space="preserve"> cash which has to be readily available.</w:t>
      </w:r>
      <w:r w:rsidR="005025F5" w:rsidRPr="00AA117F">
        <w:rPr>
          <w:szCs w:val="22"/>
        </w:rPr>
        <w:t xml:space="preserve">  However</w:t>
      </w:r>
      <w:r w:rsidR="006E77DB" w:rsidRPr="00AA117F">
        <w:rPr>
          <w:szCs w:val="22"/>
        </w:rPr>
        <w:t>,</w:t>
      </w:r>
      <w:r w:rsidR="005025F5" w:rsidRPr="00AA117F">
        <w:rPr>
          <w:szCs w:val="22"/>
        </w:rPr>
        <w:t xml:space="preserve"> these facilities could be reduce</w:t>
      </w:r>
      <w:r w:rsidR="00312356" w:rsidRPr="00AA117F">
        <w:rPr>
          <w:szCs w:val="22"/>
        </w:rPr>
        <w:t>d or withdrawn</w:t>
      </w:r>
      <w:r w:rsidR="00D06370" w:rsidRPr="00AA117F">
        <w:rPr>
          <w:szCs w:val="22"/>
        </w:rPr>
        <w:t xml:space="preserve"> at any time</w:t>
      </w:r>
      <w:r w:rsidR="00312356" w:rsidRPr="00AA117F">
        <w:rPr>
          <w:szCs w:val="22"/>
        </w:rPr>
        <w:t>, depending on any further action</w:t>
      </w:r>
      <w:r w:rsidR="005025F5" w:rsidRPr="00AA117F">
        <w:rPr>
          <w:szCs w:val="22"/>
        </w:rPr>
        <w:t xml:space="preserve"> </w:t>
      </w:r>
      <w:r w:rsidR="00312356" w:rsidRPr="00AA117F">
        <w:rPr>
          <w:szCs w:val="22"/>
        </w:rPr>
        <w:t>by the BNS</w:t>
      </w:r>
      <w:r w:rsidR="005025F5" w:rsidRPr="00AA117F">
        <w:rPr>
          <w:szCs w:val="22"/>
        </w:rPr>
        <w:t>.</w:t>
      </w:r>
      <w:r w:rsidR="00E6791B" w:rsidRPr="00AA117F">
        <w:rPr>
          <w:szCs w:val="22"/>
        </w:rPr>
        <w:t xml:space="preserve"> </w:t>
      </w:r>
      <w:r w:rsidR="00312356" w:rsidRPr="00AA117F">
        <w:rPr>
          <w:szCs w:val="22"/>
        </w:rPr>
        <w:t>If</w:t>
      </w:r>
      <w:r w:rsidR="00D06370" w:rsidRPr="00AA117F">
        <w:rPr>
          <w:szCs w:val="22"/>
        </w:rPr>
        <w:t xml:space="preserve"> a</w:t>
      </w:r>
      <w:r w:rsidR="00E6791B" w:rsidRPr="00AA117F">
        <w:rPr>
          <w:szCs w:val="22"/>
        </w:rPr>
        <w:t xml:space="preserve"> decision is taken to maintain the target reserve in read</w:t>
      </w:r>
      <w:r w:rsidR="005328D8" w:rsidRPr="00AA117F">
        <w:rPr>
          <w:szCs w:val="22"/>
        </w:rPr>
        <w:t xml:space="preserve">ily </w:t>
      </w:r>
      <w:r w:rsidR="006E77DB" w:rsidRPr="00AA117F">
        <w:rPr>
          <w:szCs w:val="22"/>
        </w:rPr>
        <w:t>available cash, any increase to the target or changes to the exemption amounts could mean the imposition of negative interest rates on balances in excess</w:t>
      </w:r>
      <w:r w:rsidR="00312D8A" w:rsidRPr="00AA117F">
        <w:rPr>
          <w:szCs w:val="22"/>
        </w:rPr>
        <w:t xml:space="preserve"> of exemption</w:t>
      </w:r>
      <w:r w:rsidR="006E77DB" w:rsidRPr="00AA117F">
        <w:rPr>
          <w:szCs w:val="22"/>
        </w:rPr>
        <w:t xml:space="preserve"> amounts</w:t>
      </w:r>
      <w:r w:rsidR="00312356" w:rsidRPr="00AA117F">
        <w:rPr>
          <w:szCs w:val="22"/>
        </w:rPr>
        <w:t>.</w:t>
      </w:r>
    </w:p>
    <w:p w:rsidR="00AA117F" w:rsidRPr="00AA117F" w:rsidRDefault="00A87990" w:rsidP="00A87990">
      <w:pPr>
        <w:pStyle w:val="ONUME"/>
      </w:pPr>
      <w:r>
        <w:t>7.</w:t>
      </w:r>
      <w:r>
        <w:tab/>
      </w:r>
      <w:r w:rsidR="00D06370" w:rsidRPr="00AA117F">
        <w:t>Furtherm</w:t>
      </w:r>
      <w:r w:rsidR="006E77DB" w:rsidRPr="00AA117F">
        <w:t>ore, once the cash held with the AFF</w:t>
      </w:r>
      <w:r w:rsidR="00D06370" w:rsidRPr="00AA117F">
        <w:t xml:space="preserve"> is withdrawn in December 2015, if</w:t>
      </w:r>
      <w:r w:rsidR="006E77DB" w:rsidRPr="00AA117F">
        <w:t xml:space="preserve"> all of</w:t>
      </w:r>
      <w:r w:rsidR="00D06370" w:rsidRPr="00AA117F">
        <w:t xml:space="preserve"> this cash is held with WIPO’s banking partners, the limits established for exemption thresholds and zero interest rate deposits will clearly</w:t>
      </w:r>
      <w:r w:rsidR="006E77DB" w:rsidRPr="00AA117F">
        <w:t xml:space="preserve"> be</w:t>
      </w:r>
      <w:r w:rsidR="00D06370" w:rsidRPr="00AA117F">
        <w:t xml:space="preserve"> exceeded and negative rates will be applied to the excess balance.  </w:t>
      </w:r>
      <w:r w:rsidR="005D2A72">
        <w:t>The Secretariat estimates that th</w:t>
      </w:r>
      <w:r w:rsidR="00B15E23">
        <w:t xml:space="preserve">is situation will persist </w:t>
      </w:r>
      <w:r w:rsidR="00A30F86">
        <w:t>for</w:t>
      </w:r>
      <w:r w:rsidR="00B15E23">
        <w:t xml:space="preserve"> several months in 2016 since s</w:t>
      </w:r>
      <w:r w:rsidR="00A30F86">
        <w:t>ome time</w:t>
      </w:r>
      <w:r w:rsidR="00B15E23">
        <w:t xml:space="preserve"> will be required, subject to Member States approval, to select partners and institutions </w:t>
      </w:r>
      <w:r w:rsidR="00057C24">
        <w:t xml:space="preserve">with which WIPO’s cash can be held </w:t>
      </w:r>
      <w:r w:rsidR="00A22A97">
        <w:t>o</w:t>
      </w:r>
      <w:r w:rsidR="009E102B">
        <w:t>r</w:t>
      </w:r>
      <w:r w:rsidR="00057C24">
        <w:t xml:space="preserve"> invested.</w:t>
      </w:r>
      <w:r w:rsidR="00B15E23">
        <w:t xml:space="preserve">  It is for this reason that the </w:t>
      </w:r>
      <w:r w:rsidR="00057C24">
        <w:t>20</w:t>
      </w:r>
      <w:r w:rsidR="00B15E23">
        <w:t>16</w:t>
      </w:r>
      <w:r w:rsidR="006B1AC0">
        <w:t>/</w:t>
      </w:r>
      <w:r w:rsidR="00B15E23">
        <w:t>17 Program and Budget has foreseen a budgetary provision for negative interest.</w:t>
      </w:r>
    </w:p>
    <w:p w:rsidR="00A0425F" w:rsidRPr="00AA117F" w:rsidRDefault="006E77DB" w:rsidP="00A314DC">
      <w:pPr>
        <w:pStyle w:val="ONUME"/>
        <w:rPr>
          <w:szCs w:val="22"/>
          <w:u w:val="single"/>
        </w:rPr>
      </w:pPr>
      <w:r w:rsidRPr="00AA117F">
        <w:rPr>
          <w:szCs w:val="22"/>
          <w:u w:val="single"/>
        </w:rPr>
        <w:t>Implications for the</w:t>
      </w:r>
      <w:r w:rsidR="00A0425F" w:rsidRPr="00AA117F">
        <w:rPr>
          <w:szCs w:val="22"/>
          <w:u w:val="single"/>
        </w:rPr>
        <w:t xml:space="preserve"> investment policy</w:t>
      </w:r>
    </w:p>
    <w:p w:rsidR="00D06370" w:rsidRPr="00AA117F" w:rsidRDefault="00A87990" w:rsidP="00933F0A">
      <w:pPr>
        <w:pStyle w:val="ONUME"/>
        <w:rPr>
          <w:szCs w:val="22"/>
        </w:rPr>
      </w:pPr>
      <w:r>
        <w:rPr>
          <w:szCs w:val="22"/>
        </w:rPr>
        <w:t>8.</w:t>
      </w:r>
      <w:r>
        <w:rPr>
          <w:szCs w:val="22"/>
        </w:rPr>
        <w:tab/>
      </w:r>
      <w:r w:rsidR="00D06370" w:rsidRPr="00AA117F">
        <w:rPr>
          <w:szCs w:val="22"/>
        </w:rPr>
        <w:t>T</w:t>
      </w:r>
      <w:r w:rsidR="00E6791B" w:rsidRPr="00AA117F">
        <w:rPr>
          <w:szCs w:val="22"/>
        </w:rPr>
        <w:t>he need to maintain balances of h</w:t>
      </w:r>
      <w:r w:rsidR="00D06370" w:rsidRPr="00AA117F">
        <w:rPr>
          <w:szCs w:val="22"/>
        </w:rPr>
        <w:t>ighly liquid cash highlights three</w:t>
      </w:r>
      <w:r w:rsidR="00E6791B" w:rsidRPr="00AA117F">
        <w:rPr>
          <w:szCs w:val="22"/>
        </w:rPr>
        <w:t xml:space="preserve"> issues with regard t</w:t>
      </w:r>
      <w:r w:rsidR="00D06370" w:rsidRPr="00AA117F">
        <w:rPr>
          <w:szCs w:val="22"/>
        </w:rPr>
        <w:t>o the current investment policy:</w:t>
      </w:r>
    </w:p>
    <w:p w:rsidR="00D06370" w:rsidRPr="00AA117F" w:rsidRDefault="00D06370" w:rsidP="00A314DC">
      <w:pPr>
        <w:pStyle w:val="ONUME"/>
        <w:numPr>
          <w:ilvl w:val="0"/>
          <w:numId w:val="21"/>
        </w:numPr>
        <w:tabs>
          <w:tab w:val="left" w:pos="1134"/>
        </w:tabs>
        <w:ind w:left="567" w:firstLine="0"/>
        <w:rPr>
          <w:szCs w:val="22"/>
        </w:rPr>
      </w:pPr>
      <w:r w:rsidRPr="00AA117F">
        <w:rPr>
          <w:szCs w:val="22"/>
        </w:rPr>
        <w:t>If invested, operating cash would only be invested over a short-term period.  The current policy makes no mention of short-term investments, nor does it stipulate minimum acceptable credit ratings for such investments.  The proposal is to include in the new policy a definition of short-term as periods up</w:t>
      </w:r>
      <w:r w:rsidR="00A0425F" w:rsidRPr="00AA117F">
        <w:rPr>
          <w:szCs w:val="22"/>
        </w:rPr>
        <w:t xml:space="preserve"> to one year and to specify</w:t>
      </w:r>
      <w:r w:rsidRPr="00AA117F">
        <w:rPr>
          <w:szCs w:val="22"/>
        </w:rPr>
        <w:t xml:space="preserve"> acceptable short-</w:t>
      </w:r>
      <w:r w:rsidRPr="00AA117F">
        <w:rPr>
          <w:szCs w:val="22"/>
        </w:rPr>
        <w:lastRenderedPageBreak/>
        <w:t>term credit ratings.</w:t>
      </w:r>
      <w:r w:rsidR="00312D8A" w:rsidRPr="00AA117F">
        <w:rPr>
          <w:szCs w:val="22"/>
        </w:rPr>
        <w:t xml:space="preserve">  These would</w:t>
      </w:r>
      <w:r w:rsidR="006E77DB" w:rsidRPr="00AA117F">
        <w:rPr>
          <w:szCs w:val="22"/>
        </w:rPr>
        <w:t xml:space="preserve"> be the short-term equivalents to</w:t>
      </w:r>
      <w:r w:rsidR="00312D8A" w:rsidRPr="00AA117F">
        <w:rPr>
          <w:szCs w:val="22"/>
        </w:rPr>
        <w:t xml:space="preserve"> the</w:t>
      </w:r>
      <w:r w:rsidR="006E77DB" w:rsidRPr="00AA117F">
        <w:rPr>
          <w:szCs w:val="22"/>
        </w:rPr>
        <w:t xml:space="preserve"> acceptable long-term credit ratings</w:t>
      </w:r>
      <w:r w:rsidR="00312D8A" w:rsidRPr="00AA117F">
        <w:rPr>
          <w:szCs w:val="22"/>
        </w:rPr>
        <w:t xml:space="preserve"> shown in (ii) below, namely </w:t>
      </w:r>
      <w:r w:rsidR="003057AD" w:rsidRPr="00AA117F">
        <w:rPr>
          <w:szCs w:val="22"/>
        </w:rPr>
        <w:t>A-2/P-2</w:t>
      </w:r>
      <w:r w:rsidR="007C733A">
        <w:rPr>
          <w:rStyle w:val="FootnoteReference"/>
          <w:szCs w:val="22"/>
        </w:rPr>
        <w:footnoteReference w:id="2"/>
      </w:r>
      <w:r w:rsidR="003057AD" w:rsidRPr="00AA117F">
        <w:rPr>
          <w:szCs w:val="22"/>
        </w:rPr>
        <w:t xml:space="preserve"> for banks and governments, A-3/P-3 for corporate bonds.</w:t>
      </w:r>
    </w:p>
    <w:p w:rsidR="003057AD" w:rsidRPr="00AA117F" w:rsidRDefault="00E6791B" w:rsidP="00A314DC">
      <w:pPr>
        <w:pStyle w:val="ONUME"/>
        <w:numPr>
          <w:ilvl w:val="0"/>
          <w:numId w:val="21"/>
        </w:numPr>
        <w:tabs>
          <w:tab w:val="left" w:pos="1134"/>
        </w:tabs>
        <w:ind w:left="567" w:firstLine="0"/>
        <w:rPr>
          <w:szCs w:val="22"/>
        </w:rPr>
      </w:pPr>
      <w:r w:rsidRPr="00AA117F">
        <w:rPr>
          <w:szCs w:val="22"/>
        </w:rPr>
        <w:t>Holding deposit</w:t>
      </w:r>
      <w:r w:rsidR="007B20FC" w:rsidRPr="00AA117F">
        <w:rPr>
          <w:szCs w:val="22"/>
        </w:rPr>
        <w:t>s, even at a zero interest rate</w:t>
      </w:r>
      <w:r w:rsidRPr="00AA117F">
        <w:rPr>
          <w:szCs w:val="22"/>
        </w:rPr>
        <w:t>, constitutes an investment activity.  WIPO’s principal banking partners do not satisfy the minimum credit rating stipulated by the current investment policy and consequently</w:t>
      </w:r>
      <w:r w:rsidR="00E82939">
        <w:rPr>
          <w:szCs w:val="22"/>
        </w:rPr>
        <w:t>,</w:t>
      </w:r>
      <w:r w:rsidR="007C5F21" w:rsidRPr="00AA117F">
        <w:rPr>
          <w:szCs w:val="22"/>
        </w:rPr>
        <w:t xml:space="preserve"> if the Organization is to make full use of</w:t>
      </w:r>
      <w:r w:rsidR="006E77DB" w:rsidRPr="00AA117F">
        <w:rPr>
          <w:szCs w:val="22"/>
        </w:rPr>
        <w:t xml:space="preserve"> the </w:t>
      </w:r>
      <w:r w:rsidR="007C5F21" w:rsidRPr="00AA117F">
        <w:rPr>
          <w:szCs w:val="22"/>
        </w:rPr>
        <w:t>facilities</w:t>
      </w:r>
      <w:r w:rsidR="006E77DB" w:rsidRPr="00AA117F">
        <w:rPr>
          <w:szCs w:val="22"/>
        </w:rPr>
        <w:t xml:space="preserve"> currently available</w:t>
      </w:r>
      <w:r w:rsidR="007C5F21" w:rsidRPr="00AA117F">
        <w:rPr>
          <w:szCs w:val="22"/>
        </w:rPr>
        <w:t xml:space="preserve"> and thereby avoid negative rates</w:t>
      </w:r>
      <w:r w:rsidR="006E77DB" w:rsidRPr="00AA117F">
        <w:rPr>
          <w:szCs w:val="22"/>
        </w:rPr>
        <w:t>, the minimum</w:t>
      </w:r>
      <w:r w:rsidRPr="00AA117F">
        <w:rPr>
          <w:szCs w:val="22"/>
        </w:rPr>
        <w:t xml:space="preserve"> credi</w:t>
      </w:r>
      <w:r w:rsidR="007C5F21" w:rsidRPr="00AA117F">
        <w:rPr>
          <w:szCs w:val="22"/>
        </w:rPr>
        <w:t>t rating will have to be lowered</w:t>
      </w:r>
      <w:r w:rsidRPr="00AA117F">
        <w:rPr>
          <w:szCs w:val="22"/>
        </w:rPr>
        <w:t xml:space="preserve">.  </w:t>
      </w:r>
      <w:r w:rsidR="007C5F21" w:rsidRPr="00AA117F">
        <w:rPr>
          <w:szCs w:val="22"/>
        </w:rPr>
        <w:t>The proposal is to lower</w:t>
      </w:r>
      <w:r w:rsidR="003057AD" w:rsidRPr="00AA117F">
        <w:rPr>
          <w:szCs w:val="22"/>
        </w:rPr>
        <w:t xml:space="preserve"> acceptable ratings as follows:  b</w:t>
      </w:r>
      <w:r w:rsidR="006E77DB" w:rsidRPr="00AA117F">
        <w:rPr>
          <w:szCs w:val="22"/>
        </w:rPr>
        <w:t xml:space="preserve">anks </w:t>
      </w:r>
      <w:r w:rsidR="003057AD" w:rsidRPr="00AA117F">
        <w:rPr>
          <w:szCs w:val="22"/>
        </w:rPr>
        <w:t xml:space="preserve">and government bonds </w:t>
      </w:r>
      <w:r w:rsidR="006E77DB" w:rsidRPr="00AA117F">
        <w:rPr>
          <w:szCs w:val="22"/>
        </w:rPr>
        <w:t>will be required to have a long-term credit rating of A-/A3</w:t>
      </w:r>
      <w:r w:rsidR="003057AD" w:rsidRPr="00AA117F">
        <w:rPr>
          <w:szCs w:val="22"/>
        </w:rPr>
        <w:t xml:space="preserve"> or higher; </w:t>
      </w:r>
      <w:r w:rsidR="006E77DB" w:rsidRPr="00AA117F">
        <w:rPr>
          <w:szCs w:val="22"/>
        </w:rPr>
        <w:t xml:space="preserve"> corporate bonds a rating of BBB</w:t>
      </w:r>
      <w:r w:rsidR="00E05C3E">
        <w:rPr>
          <w:szCs w:val="22"/>
        </w:rPr>
        <w:t>-/Baa3</w:t>
      </w:r>
      <w:r w:rsidR="006E77DB" w:rsidRPr="00AA117F">
        <w:rPr>
          <w:szCs w:val="22"/>
        </w:rPr>
        <w:t xml:space="preserve"> or higher.</w:t>
      </w:r>
    </w:p>
    <w:p w:rsidR="00030202" w:rsidRPr="00AA117F" w:rsidRDefault="00A0425F" w:rsidP="00A314DC">
      <w:pPr>
        <w:pStyle w:val="ONUME"/>
        <w:numPr>
          <w:ilvl w:val="0"/>
          <w:numId w:val="21"/>
        </w:numPr>
        <w:tabs>
          <w:tab w:val="left" w:pos="1134"/>
        </w:tabs>
        <w:ind w:left="567" w:firstLine="0"/>
        <w:rPr>
          <w:szCs w:val="22"/>
        </w:rPr>
      </w:pPr>
      <w:r w:rsidRPr="00AA117F">
        <w:rPr>
          <w:szCs w:val="22"/>
        </w:rPr>
        <w:t>T</w:t>
      </w:r>
      <w:r w:rsidR="007B20FC" w:rsidRPr="00AA117F">
        <w:rPr>
          <w:szCs w:val="22"/>
        </w:rPr>
        <w:t>he</w:t>
      </w:r>
      <w:r w:rsidR="007C5F21" w:rsidRPr="00AA117F">
        <w:rPr>
          <w:szCs w:val="22"/>
        </w:rPr>
        <w:t xml:space="preserve"> current</w:t>
      </w:r>
      <w:r w:rsidR="007B20FC" w:rsidRPr="00AA117F">
        <w:rPr>
          <w:szCs w:val="22"/>
        </w:rPr>
        <w:t xml:space="preserve"> policy calls for “no</w:t>
      </w:r>
      <w:r w:rsidR="00E6791B" w:rsidRPr="00AA117F">
        <w:rPr>
          <w:szCs w:val="22"/>
        </w:rPr>
        <w:t xml:space="preserve"> more than t</w:t>
      </w:r>
      <w:r w:rsidR="007B20FC" w:rsidRPr="00AA117F">
        <w:rPr>
          <w:szCs w:val="22"/>
        </w:rPr>
        <w:t xml:space="preserve">en per cent of the investments” </w:t>
      </w:r>
      <w:r w:rsidR="00E6791B" w:rsidRPr="00AA117F">
        <w:rPr>
          <w:szCs w:val="22"/>
        </w:rPr>
        <w:t>to be pla</w:t>
      </w:r>
      <w:r w:rsidR="007B20FC" w:rsidRPr="00AA117F">
        <w:rPr>
          <w:szCs w:val="22"/>
        </w:rPr>
        <w:t>ced with one single institution</w:t>
      </w:r>
      <w:r w:rsidR="00E6791B" w:rsidRPr="00AA117F">
        <w:rPr>
          <w:szCs w:val="22"/>
        </w:rPr>
        <w:t xml:space="preserve"> with the exception of institutions </w:t>
      </w:r>
      <w:r w:rsidR="007C5F21" w:rsidRPr="00AA117F">
        <w:rPr>
          <w:szCs w:val="22"/>
        </w:rPr>
        <w:t>with sovereign risk and AAA/</w:t>
      </w:r>
      <w:proofErr w:type="spellStart"/>
      <w:r w:rsidR="007C5F21" w:rsidRPr="00AA117F">
        <w:rPr>
          <w:szCs w:val="22"/>
        </w:rPr>
        <w:t>Aaa</w:t>
      </w:r>
      <w:proofErr w:type="spellEnd"/>
      <w:r w:rsidR="00E6791B" w:rsidRPr="00AA117F">
        <w:rPr>
          <w:szCs w:val="22"/>
        </w:rPr>
        <w:t xml:space="preserve"> rating.  In the current market it is</w:t>
      </w:r>
      <w:r w:rsidR="003D4A8F" w:rsidRPr="00AA117F">
        <w:rPr>
          <w:szCs w:val="22"/>
        </w:rPr>
        <w:t xml:space="preserve"> not only</w:t>
      </w:r>
      <w:r w:rsidR="00E6791B" w:rsidRPr="00AA117F">
        <w:rPr>
          <w:szCs w:val="22"/>
        </w:rPr>
        <w:t xml:space="preserve"> very difficult</w:t>
      </w:r>
      <w:r w:rsidR="003D4A8F" w:rsidRPr="00AA117F">
        <w:rPr>
          <w:szCs w:val="22"/>
        </w:rPr>
        <w:t xml:space="preserve"> to identify AAA/</w:t>
      </w:r>
      <w:proofErr w:type="spellStart"/>
      <w:r w:rsidR="003D4A8F" w:rsidRPr="00AA117F">
        <w:rPr>
          <w:szCs w:val="22"/>
        </w:rPr>
        <w:t>Aaa</w:t>
      </w:r>
      <w:proofErr w:type="spellEnd"/>
      <w:r w:rsidR="003D4A8F" w:rsidRPr="00AA117F">
        <w:rPr>
          <w:szCs w:val="22"/>
        </w:rPr>
        <w:t xml:space="preserve"> rated banks but it is also virtually impossible</w:t>
      </w:r>
      <w:r w:rsidR="00E6791B" w:rsidRPr="00AA117F">
        <w:rPr>
          <w:szCs w:val="22"/>
        </w:rPr>
        <w:t xml:space="preserve"> to establish new banking relationships for Swiss francs as new monies received lead to</w:t>
      </w:r>
      <w:r w:rsidR="004060D7" w:rsidRPr="00AA117F">
        <w:rPr>
          <w:szCs w:val="22"/>
        </w:rPr>
        <w:t xml:space="preserve"> additional</w:t>
      </w:r>
      <w:r w:rsidR="00E6791B" w:rsidRPr="00AA117F">
        <w:rPr>
          <w:szCs w:val="22"/>
        </w:rPr>
        <w:t xml:space="preserve"> negative interest charges for the bank</w:t>
      </w:r>
      <w:r w:rsidR="003057AD" w:rsidRPr="00AA117F">
        <w:rPr>
          <w:szCs w:val="22"/>
        </w:rPr>
        <w:t>s</w:t>
      </w:r>
      <w:r w:rsidR="00E6791B" w:rsidRPr="00AA117F">
        <w:rPr>
          <w:szCs w:val="22"/>
        </w:rPr>
        <w:t xml:space="preserve"> concerned from the BNS.  This is as true for Swiss banks as it is for banks </w:t>
      </w:r>
      <w:r w:rsidR="00253A97">
        <w:rPr>
          <w:szCs w:val="22"/>
        </w:rPr>
        <w:t xml:space="preserve">based </w:t>
      </w:r>
      <w:r w:rsidR="00E6791B" w:rsidRPr="00AA117F">
        <w:rPr>
          <w:szCs w:val="22"/>
        </w:rPr>
        <w:t xml:space="preserve">overseas.  The Organization is fortunate in that it already has relationships with five Swiss financial institutions.  Not all of these are investment-related and WIPO will explore the possibility of building on the </w:t>
      </w:r>
      <w:r w:rsidR="005328D8" w:rsidRPr="00AA117F">
        <w:rPr>
          <w:szCs w:val="22"/>
        </w:rPr>
        <w:t>relationship with</w:t>
      </w:r>
      <w:r w:rsidR="00C94673" w:rsidRPr="00AA117F">
        <w:rPr>
          <w:szCs w:val="22"/>
        </w:rPr>
        <w:t xml:space="preserve"> its non-investment related banking partners to establish whether additional amounts of its cash can be protected from negative rates.  </w:t>
      </w:r>
      <w:r w:rsidR="007B20FC" w:rsidRPr="00AA117F">
        <w:rPr>
          <w:szCs w:val="22"/>
        </w:rPr>
        <w:t>Although efforts will be made, i</w:t>
      </w:r>
      <w:r w:rsidR="00C94673" w:rsidRPr="00AA117F">
        <w:rPr>
          <w:szCs w:val="22"/>
        </w:rPr>
        <w:t>t is very unlikely that the Organization will succeed in establishing totally new banking relationships</w:t>
      </w:r>
      <w:r w:rsidR="003D4A8F" w:rsidRPr="00AA117F">
        <w:rPr>
          <w:szCs w:val="22"/>
        </w:rPr>
        <w:t xml:space="preserve"> for Swiss francs </w:t>
      </w:r>
      <w:r w:rsidR="00C94673" w:rsidRPr="00AA117F">
        <w:rPr>
          <w:szCs w:val="22"/>
        </w:rPr>
        <w:t>and consequently the investment policy will have to change to re</w:t>
      </w:r>
      <w:r w:rsidR="003D4A8F" w:rsidRPr="00AA117F">
        <w:rPr>
          <w:szCs w:val="22"/>
        </w:rPr>
        <w:t>flect the</w:t>
      </w:r>
      <w:r w:rsidRPr="00AA117F">
        <w:rPr>
          <w:szCs w:val="22"/>
        </w:rPr>
        <w:t xml:space="preserve"> realities of the</w:t>
      </w:r>
      <w:r w:rsidR="003D4A8F" w:rsidRPr="00AA117F">
        <w:rPr>
          <w:szCs w:val="22"/>
        </w:rPr>
        <w:t xml:space="preserve"> current banking environment</w:t>
      </w:r>
      <w:r w:rsidR="00C94673" w:rsidRPr="00AA117F">
        <w:rPr>
          <w:szCs w:val="22"/>
        </w:rPr>
        <w:t xml:space="preserve">. </w:t>
      </w:r>
      <w:r w:rsidR="003D4A8F" w:rsidRPr="00AA117F">
        <w:rPr>
          <w:szCs w:val="22"/>
        </w:rPr>
        <w:t xml:space="preserve">Suggested new wording for the policy </w:t>
      </w:r>
      <w:r w:rsidR="004060D7" w:rsidRPr="00AA117F">
        <w:rPr>
          <w:szCs w:val="22"/>
        </w:rPr>
        <w:t>is as follows</w:t>
      </w:r>
      <w:r w:rsidR="003D4A8F" w:rsidRPr="00AA117F">
        <w:rPr>
          <w:szCs w:val="22"/>
        </w:rPr>
        <w:t>:</w:t>
      </w:r>
    </w:p>
    <w:p w:rsidR="00CE70AE" w:rsidRPr="00A314DC" w:rsidRDefault="00CE70AE" w:rsidP="00A314DC">
      <w:pPr>
        <w:pStyle w:val="ONUME"/>
        <w:ind w:left="1134"/>
        <w:rPr>
          <w:i/>
          <w:szCs w:val="22"/>
        </w:rPr>
      </w:pPr>
      <w:r w:rsidRPr="00A314DC">
        <w:rPr>
          <w:i/>
          <w:szCs w:val="22"/>
        </w:rPr>
        <w:t>The Organization’s investments of operating and core cash shall be distributed among multiple institutions, with the aim of dividing investment monies amongst a minimum of four institutions, if possible. All of the Organization’s investments of operating and core cash may be p</w:t>
      </w:r>
      <w:r w:rsidR="001D272B" w:rsidRPr="00A314DC">
        <w:rPr>
          <w:i/>
          <w:szCs w:val="22"/>
        </w:rPr>
        <w:t>laced with a single institution</w:t>
      </w:r>
      <w:r w:rsidRPr="00A314DC">
        <w:rPr>
          <w:i/>
          <w:szCs w:val="22"/>
        </w:rPr>
        <w:t xml:space="preserve"> which enjoys sovereign risk and AAA/</w:t>
      </w:r>
      <w:proofErr w:type="spellStart"/>
      <w:r w:rsidRPr="00A314DC">
        <w:rPr>
          <w:i/>
          <w:szCs w:val="22"/>
        </w:rPr>
        <w:t>Aaa</w:t>
      </w:r>
      <w:proofErr w:type="spellEnd"/>
      <w:r w:rsidRPr="00A314DC">
        <w:rPr>
          <w:i/>
          <w:szCs w:val="22"/>
        </w:rPr>
        <w:t xml:space="preserve"> rating.</w:t>
      </w:r>
    </w:p>
    <w:p w:rsidR="00690580" w:rsidRPr="00A314DC" w:rsidRDefault="00F00B61" w:rsidP="00A314DC">
      <w:pPr>
        <w:pStyle w:val="ONUME"/>
        <w:tabs>
          <w:tab w:val="left" w:pos="1134"/>
        </w:tabs>
        <w:rPr>
          <w:szCs w:val="22"/>
        </w:rPr>
      </w:pPr>
      <w:r w:rsidRPr="00A314DC">
        <w:rPr>
          <w:szCs w:val="22"/>
        </w:rPr>
        <w:t>CORE CASH</w:t>
      </w:r>
    </w:p>
    <w:p w:rsidR="00690580" w:rsidRPr="00AA117F" w:rsidRDefault="00A87990" w:rsidP="00933F0A">
      <w:pPr>
        <w:pStyle w:val="ONUME"/>
        <w:rPr>
          <w:szCs w:val="22"/>
        </w:rPr>
      </w:pPr>
      <w:r>
        <w:rPr>
          <w:szCs w:val="22"/>
        </w:rPr>
        <w:t>9.</w:t>
      </w:r>
      <w:r>
        <w:rPr>
          <w:szCs w:val="22"/>
        </w:rPr>
        <w:tab/>
      </w:r>
      <w:r w:rsidR="00690580" w:rsidRPr="00AA117F">
        <w:rPr>
          <w:szCs w:val="22"/>
        </w:rPr>
        <w:t>This is the balance of WIPO’s remaining cash after the deduction of operating and strategic cash</w:t>
      </w:r>
      <w:r w:rsidR="001D272B" w:rsidRPr="00AA117F">
        <w:rPr>
          <w:szCs w:val="22"/>
        </w:rPr>
        <w:t xml:space="preserve"> (s</w:t>
      </w:r>
      <w:r w:rsidR="00CE70AE" w:rsidRPr="00AA117F">
        <w:rPr>
          <w:szCs w:val="22"/>
        </w:rPr>
        <w:t>trategic ca</w:t>
      </w:r>
      <w:r w:rsidR="001D272B" w:rsidRPr="00AA117F">
        <w:rPr>
          <w:szCs w:val="22"/>
        </w:rPr>
        <w:t>sh is explained in paragraph 12</w:t>
      </w:r>
      <w:r w:rsidR="00CE70AE" w:rsidRPr="00AA117F">
        <w:rPr>
          <w:szCs w:val="22"/>
        </w:rPr>
        <w:t>)</w:t>
      </w:r>
      <w:r w:rsidR="00690580" w:rsidRPr="00AA117F">
        <w:rPr>
          <w:szCs w:val="22"/>
        </w:rPr>
        <w:t xml:space="preserve">.  It forms the largest part of the cash balances and a significant proportion is “restricted” cash which does not actually belong to the Organization (refer to Table </w:t>
      </w:r>
      <w:r w:rsidR="00E82939">
        <w:rPr>
          <w:szCs w:val="22"/>
        </w:rPr>
        <w:t>1).  Over the last few years</w:t>
      </w:r>
      <w:r w:rsidR="00690580" w:rsidRPr="00AA117F">
        <w:rPr>
          <w:szCs w:val="22"/>
        </w:rPr>
        <w:t xml:space="preserve"> core</w:t>
      </w:r>
      <w:r w:rsidR="00E82939">
        <w:rPr>
          <w:szCs w:val="22"/>
        </w:rPr>
        <w:t xml:space="preserve"> cash</w:t>
      </w:r>
      <w:r w:rsidR="00690580" w:rsidRPr="00AA117F">
        <w:rPr>
          <w:szCs w:val="22"/>
        </w:rPr>
        <w:t xml:space="preserve"> has either maintained its level or increased and this indicates that, although much of this cash is regularly paid out on behalf of the third parties for whom it is held, cash arrives on a similarly regular basis to replenish the balances.  The investment objective is therefore one of achieving a balance between liquidity and return, the in</w:t>
      </w:r>
      <w:r w:rsidR="001D272B" w:rsidRPr="00AA117F">
        <w:rPr>
          <w:szCs w:val="22"/>
        </w:rPr>
        <w:t>vestment horizon is medium term</w:t>
      </w:r>
      <w:r w:rsidR="00690580" w:rsidRPr="00AA117F">
        <w:rPr>
          <w:szCs w:val="22"/>
        </w:rPr>
        <w:t xml:space="preserve"> </w:t>
      </w:r>
      <w:r w:rsidR="00CE70AE" w:rsidRPr="00AA117F">
        <w:rPr>
          <w:szCs w:val="22"/>
        </w:rPr>
        <w:t>(</w:t>
      </w:r>
      <w:r w:rsidR="00253A97">
        <w:rPr>
          <w:szCs w:val="22"/>
        </w:rPr>
        <w:t>i.e.</w:t>
      </w:r>
      <w:r w:rsidR="00690580" w:rsidRPr="00AA117F">
        <w:rPr>
          <w:szCs w:val="22"/>
        </w:rPr>
        <w:t xml:space="preserve"> twelve months plus</w:t>
      </w:r>
      <w:r w:rsidR="00CE70AE" w:rsidRPr="00AA117F">
        <w:rPr>
          <w:szCs w:val="22"/>
        </w:rPr>
        <w:t>)</w:t>
      </w:r>
      <w:r w:rsidR="00690580" w:rsidRPr="00AA117F">
        <w:rPr>
          <w:szCs w:val="22"/>
        </w:rPr>
        <w:t xml:space="preserve"> and the risk profile should be one of preserving capital whilst aiming for low volatility of the values of the underlying investments. </w:t>
      </w:r>
      <w:r w:rsidR="00F00B61">
        <w:rPr>
          <w:szCs w:val="22"/>
        </w:rPr>
        <w:t xml:space="preserve"> </w:t>
      </w:r>
      <w:proofErr w:type="gramStart"/>
      <w:r w:rsidR="00690580" w:rsidRPr="00AA117F">
        <w:rPr>
          <w:szCs w:val="22"/>
        </w:rPr>
        <w:t>Research carried out by the Secretariat</w:t>
      </w:r>
      <w:r w:rsidR="00F072F2">
        <w:rPr>
          <w:szCs w:val="22"/>
        </w:rPr>
        <w:t xml:space="preserve">, with the full engagement of the Investment Advisory Committee, </w:t>
      </w:r>
      <w:r w:rsidR="00690580" w:rsidRPr="00AA117F">
        <w:rPr>
          <w:szCs w:val="22"/>
        </w:rPr>
        <w:t>suggests that it may be feasible to invest this money over a medium term horizon, say up to four years, and thus produce</w:t>
      </w:r>
      <w:proofErr w:type="gramEnd"/>
      <w:r w:rsidR="00690580" w:rsidRPr="00AA117F">
        <w:rPr>
          <w:szCs w:val="22"/>
        </w:rPr>
        <w:t xml:space="preserve"> a positive return.  The cash would ideally be invested in such a way that occasional access to a portion of the cash would be possible, thus allowing, for example, for </w:t>
      </w:r>
      <w:r w:rsidR="007D0D8A">
        <w:rPr>
          <w:szCs w:val="22"/>
        </w:rPr>
        <w:t>scheduled large</w:t>
      </w:r>
      <w:r w:rsidR="00690580" w:rsidRPr="00AA117F">
        <w:rPr>
          <w:szCs w:val="22"/>
        </w:rPr>
        <w:t xml:space="preserve"> payments in the future such as loan repayments as they fall due. In addition, rather than invest the entire balance of core cash, sufficient monies could b</w:t>
      </w:r>
      <w:r w:rsidR="00CE70AE" w:rsidRPr="00AA117F">
        <w:rPr>
          <w:szCs w:val="22"/>
        </w:rPr>
        <w:t xml:space="preserve">e retained in order to repay two </w:t>
      </w:r>
      <w:r w:rsidR="00690580" w:rsidRPr="00AA117F">
        <w:rPr>
          <w:szCs w:val="22"/>
        </w:rPr>
        <w:t>tranches</w:t>
      </w:r>
      <w:r w:rsidR="00CE70AE" w:rsidRPr="00AA117F">
        <w:rPr>
          <w:szCs w:val="22"/>
        </w:rPr>
        <w:t xml:space="preserve"> of the New Building loan</w:t>
      </w:r>
      <w:r w:rsidR="00690580" w:rsidRPr="00AA117F">
        <w:rPr>
          <w:szCs w:val="22"/>
        </w:rPr>
        <w:t xml:space="preserve"> which reach th</w:t>
      </w:r>
      <w:r w:rsidR="00CE70AE" w:rsidRPr="00AA117F">
        <w:rPr>
          <w:szCs w:val="22"/>
        </w:rPr>
        <w:t>eir maturity in the near future (24 million Swiss francs in November 2015 and 16</w:t>
      </w:r>
      <w:r w:rsidR="00F00B61">
        <w:rPr>
          <w:szCs w:val="22"/>
        </w:rPr>
        <w:t> </w:t>
      </w:r>
      <w:r w:rsidR="00CE70AE" w:rsidRPr="00AA117F">
        <w:rPr>
          <w:szCs w:val="22"/>
        </w:rPr>
        <w:t>million Swiss francs in January 2016).</w:t>
      </w:r>
    </w:p>
    <w:p w:rsidR="00183640" w:rsidRPr="00AA117F" w:rsidRDefault="00183640" w:rsidP="002D5273">
      <w:pPr>
        <w:pStyle w:val="ONUME"/>
        <w:keepNext/>
        <w:keepLines/>
        <w:rPr>
          <w:szCs w:val="22"/>
          <w:u w:val="single"/>
        </w:rPr>
      </w:pPr>
      <w:r w:rsidRPr="00AA117F">
        <w:rPr>
          <w:szCs w:val="22"/>
          <w:u w:val="single"/>
        </w:rPr>
        <w:lastRenderedPageBreak/>
        <w:t>I</w:t>
      </w:r>
      <w:r w:rsidR="00CE70AE" w:rsidRPr="00AA117F">
        <w:rPr>
          <w:szCs w:val="22"/>
          <w:u w:val="single"/>
        </w:rPr>
        <w:t>mplications for the</w:t>
      </w:r>
      <w:r w:rsidRPr="00AA117F">
        <w:rPr>
          <w:szCs w:val="22"/>
          <w:u w:val="single"/>
        </w:rPr>
        <w:t xml:space="preserve"> investment policy</w:t>
      </w:r>
    </w:p>
    <w:p w:rsidR="00E82939" w:rsidRDefault="00A87990" w:rsidP="002D5273">
      <w:pPr>
        <w:pStyle w:val="ONUME"/>
        <w:keepNext/>
        <w:keepLines/>
        <w:rPr>
          <w:szCs w:val="22"/>
        </w:rPr>
      </w:pPr>
      <w:r>
        <w:rPr>
          <w:szCs w:val="22"/>
        </w:rPr>
        <w:t>10.</w:t>
      </w:r>
      <w:r>
        <w:rPr>
          <w:szCs w:val="22"/>
        </w:rPr>
        <w:tab/>
      </w:r>
      <w:r w:rsidR="00183640" w:rsidRPr="00AA117F">
        <w:rPr>
          <w:szCs w:val="22"/>
        </w:rPr>
        <w:t>In the current environment it is clear that bank deposits and investments in</w:t>
      </w:r>
      <w:r w:rsidR="001D272B" w:rsidRPr="00AA117F">
        <w:rPr>
          <w:szCs w:val="22"/>
        </w:rPr>
        <w:t xml:space="preserve"> medium-term</w:t>
      </w:r>
      <w:r w:rsidR="00183640" w:rsidRPr="00AA117F">
        <w:rPr>
          <w:szCs w:val="22"/>
        </w:rPr>
        <w:t xml:space="preserve"> Swiss government bonds will not achieve a positive return for core cash.  This cash will</w:t>
      </w:r>
      <w:r w:rsidR="001D272B" w:rsidRPr="00AA117F">
        <w:rPr>
          <w:szCs w:val="22"/>
        </w:rPr>
        <w:t xml:space="preserve"> therefore</w:t>
      </w:r>
      <w:r w:rsidR="00183640" w:rsidRPr="00AA117F">
        <w:rPr>
          <w:szCs w:val="22"/>
        </w:rPr>
        <w:t xml:space="preserve"> have to be invested in different asset classes</w:t>
      </w:r>
      <w:r w:rsidR="00CE70AE" w:rsidRPr="00AA117F">
        <w:rPr>
          <w:szCs w:val="22"/>
        </w:rPr>
        <w:t xml:space="preserve"> some of</w:t>
      </w:r>
      <w:r w:rsidR="00183640" w:rsidRPr="00AA117F">
        <w:rPr>
          <w:szCs w:val="22"/>
        </w:rPr>
        <w:t xml:space="preserve"> which are not</w:t>
      </w:r>
      <w:r w:rsidR="00CE70AE" w:rsidRPr="00AA117F">
        <w:rPr>
          <w:szCs w:val="22"/>
        </w:rPr>
        <w:t xml:space="preserve"> currently</w:t>
      </w:r>
      <w:r w:rsidR="00183640" w:rsidRPr="00AA117F">
        <w:rPr>
          <w:szCs w:val="22"/>
        </w:rPr>
        <w:t xml:space="preserve"> permitted by the investment policy.</w:t>
      </w:r>
      <w:r w:rsidR="00EC5205" w:rsidRPr="00AA117F">
        <w:rPr>
          <w:szCs w:val="22"/>
        </w:rPr>
        <w:t xml:space="preserve">  The asset classes proposed for core cash are those shown below.  Some of these bring a higher level of risk than </w:t>
      </w:r>
      <w:r w:rsidR="00183640" w:rsidRPr="00AA117F">
        <w:rPr>
          <w:szCs w:val="22"/>
        </w:rPr>
        <w:t>the bank deposits</w:t>
      </w:r>
      <w:r w:rsidR="00EC5205" w:rsidRPr="00AA117F">
        <w:rPr>
          <w:szCs w:val="22"/>
        </w:rPr>
        <w:t>,</w:t>
      </w:r>
      <w:r w:rsidR="00183640" w:rsidRPr="00AA117F">
        <w:rPr>
          <w:szCs w:val="22"/>
        </w:rPr>
        <w:t xml:space="preserve"> government</w:t>
      </w:r>
      <w:r w:rsidR="00EC5205" w:rsidRPr="00AA117F">
        <w:rPr>
          <w:szCs w:val="22"/>
        </w:rPr>
        <w:t xml:space="preserve"> and corporate</w:t>
      </w:r>
      <w:r w:rsidR="00183640" w:rsidRPr="00AA117F">
        <w:rPr>
          <w:szCs w:val="22"/>
        </w:rPr>
        <w:t xml:space="preserve"> bonds which have, until now, been the only </w:t>
      </w:r>
      <w:r w:rsidR="00EC5205" w:rsidRPr="00AA117F">
        <w:rPr>
          <w:szCs w:val="22"/>
        </w:rPr>
        <w:t>permitted investment classes.</w:t>
      </w:r>
      <w:r w:rsidR="00183640" w:rsidRPr="00AA117F">
        <w:rPr>
          <w:szCs w:val="22"/>
        </w:rPr>
        <w:t xml:space="preserve">  A further discussion on risk is</w:t>
      </w:r>
      <w:r w:rsidR="003F715C" w:rsidRPr="00AA117F">
        <w:rPr>
          <w:szCs w:val="22"/>
        </w:rPr>
        <w:t xml:space="preserve"> contained within paragraphs 17 to 20</w:t>
      </w:r>
      <w:r w:rsidR="00EC5205" w:rsidRPr="00AA117F">
        <w:rPr>
          <w:szCs w:val="22"/>
        </w:rPr>
        <w:t>.</w:t>
      </w:r>
    </w:p>
    <w:p w:rsidR="00F00B61" w:rsidRPr="00A314DC" w:rsidRDefault="00F00B61" w:rsidP="00A314DC">
      <w:pPr>
        <w:pStyle w:val="ONUME"/>
        <w:jc w:val="center"/>
        <w:rPr>
          <w:b/>
          <w:szCs w:val="22"/>
        </w:rPr>
      </w:pPr>
      <w:r w:rsidRPr="00A314DC">
        <w:rPr>
          <w:b/>
          <w:szCs w:val="22"/>
        </w:rPr>
        <w:t>Asset Classes</w:t>
      </w:r>
    </w:p>
    <w:p w:rsidR="00EC5205" w:rsidRPr="00AA117F" w:rsidRDefault="00EC5205" w:rsidP="00ED5296">
      <w:pPr>
        <w:pStyle w:val="ONUME"/>
        <w:numPr>
          <w:ilvl w:val="6"/>
          <w:numId w:val="9"/>
        </w:numPr>
        <w:tabs>
          <w:tab w:val="left" w:pos="1134"/>
        </w:tabs>
        <w:spacing w:after="240"/>
        <w:ind w:left="709" w:firstLine="0"/>
        <w:rPr>
          <w:szCs w:val="22"/>
        </w:rPr>
      </w:pPr>
      <w:r w:rsidRPr="00AA117F">
        <w:rPr>
          <w:szCs w:val="22"/>
        </w:rPr>
        <w:t>Cash or equivalent</w:t>
      </w:r>
      <w:r w:rsidR="001D272B" w:rsidRPr="00AA117F">
        <w:rPr>
          <w:szCs w:val="22"/>
        </w:rPr>
        <w:t>:</w:t>
      </w:r>
    </w:p>
    <w:p w:rsidR="00EC5205" w:rsidRPr="00AA117F" w:rsidRDefault="00EC5205" w:rsidP="00ED5296">
      <w:pPr>
        <w:pStyle w:val="ONUME"/>
        <w:numPr>
          <w:ilvl w:val="0"/>
          <w:numId w:val="10"/>
        </w:numPr>
        <w:tabs>
          <w:tab w:val="left" w:pos="1701"/>
        </w:tabs>
        <w:spacing w:after="120"/>
        <w:ind w:left="1134" w:firstLine="0"/>
        <w:rPr>
          <w:szCs w:val="22"/>
        </w:rPr>
      </w:pPr>
      <w:r w:rsidRPr="00AA117F">
        <w:rPr>
          <w:szCs w:val="22"/>
        </w:rPr>
        <w:t>Call, savings or deposit accounts</w:t>
      </w:r>
    </w:p>
    <w:p w:rsidR="00EC5205" w:rsidRPr="00AA117F" w:rsidRDefault="00EC5205" w:rsidP="00ED5296">
      <w:pPr>
        <w:pStyle w:val="ONUME"/>
        <w:numPr>
          <w:ilvl w:val="0"/>
          <w:numId w:val="10"/>
        </w:numPr>
        <w:tabs>
          <w:tab w:val="left" w:pos="1701"/>
        </w:tabs>
        <w:spacing w:after="120"/>
        <w:ind w:left="1134" w:firstLine="0"/>
        <w:rPr>
          <w:szCs w:val="22"/>
        </w:rPr>
      </w:pPr>
      <w:r w:rsidRPr="00AA117F">
        <w:rPr>
          <w:szCs w:val="22"/>
        </w:rPr>
        <w:t>Certificates of deposit/time deposits</w:t>
      </w:r>
    </w:p>
    <w:p w:rsidR="00EC5205" w:rsidRPr="00AA117F" w:rsidRDefault="00EC5205" w:rsidP="00ED5296">
      <w:pPr>
        <w:pStyle w:val="ONUME"/>
        <w:numPr>
          <w:ilvl w:val="0"/>
          <w:numId w:val="10"/>
        </w:numPr>
        <w:tabs>
          <w:tab w:val="left" w:pos="1701"/>
        </w:tabs>
        <w:spacing w:after="120"/>
        <w:ind w:left="1134" w:firstLine="0"/>
        <w:rPr>
          <w:szCs w:val="22"/>
        </w:rPr>
      </w:pPr>
      <w:r w:rsidRPr="00AA117F">
        <w:rPr>
          <w:szCs w:val="22"/>
        </w:rPr>
        <w:t>Structured deposits</w:t>
      </w:r>
    </w:p>
    <w:p w:rsidR="00EC5205" w:rsidRPr="00AA117F" w:rsidRDefault="00EC5205" w:rsidP="00ED5296">
      <w:pPr>
        <w:pStyle w:val="ONUME"/>
        <w:numPr>
          <w:ilvl w:val="0"/>
          <w:numId w:val="10"/>
        </w:numPr>
        <w:tabs>
          <w:tab w:val="left" w:pos="1701"/>
        </w:tabs>
        <w:spacing w:after="240"/>
        <w:ind w:left="1134" w:firstLine="0"/>
        <w:rPr>
          <w:szCs w:val="22"/>
        </w:rPr>
      </w:pPr>
      <w:r w:rsidRPr="00AA117F">
        <w:rPr>
          <w:szCs w:val="22"/>
        </w:rPr>
        <w:t>Cross-currency deposits</w:t>
      </w:r>
    </w:p>
    <w:p w:rsidR="00EC5205" w:rsidRPr="00AA117F" w:rsidRDefault="00EC5205" w:rsidP="009C6A12">
      <w:pPr>
        <w:pStyle w:val="ONUME"/>
        <w:numPr>
          <w:ilvl w:val="6"/>
          <w:numId w:val="9"/>
        </w:numPr>
        <w:tabs>
          <w:tab w:val="left" w:pos="1134"/>
        </w:tabs>
        <w:spacing w:after="240"/>
        <w:ind w:left="851" w:firstLine="0"/>
        <w:rPr>
          <w:szCs w:val="22"/>
        </w:rPr>
      </w:pPr>
      <w:r w:rsidRPr="00AA117F">
        <w:rPr>
          <w:szCs w:val="22"/>
        </w:rPr>
        <w:t>Money market investments</w:t>
      </w:r>
      <w:r w:rsidR="003F715C" w:rsidRPr="00AA117F">
        <w:rPr>
          <w:szCs w:val="22"/>
        </w:rPr>
        <w:t>:</w:t>
      </w:r>
    </w:p>
    <w:p w:rsidR="00EC5205" w:rsidRPr="00AA117F" w:rsidRDefault="00EC5205" w:rsidP="00ED5296">
      <w:pPr>
        <w:pStyle w:val="ONUME"/>
        <w:numPr>
          <w:ilvl w:val="0"/>
          <w:numId w:val="22"/>
        </w:numPr>
        <w:tabs>
          <w:tab w:val="left" w:pos="1134"/>
          <w:tab w:val="left" w:pos="1701"/>
        </w:tabs>
        <w:spacing w:after="120"/>
        <w:ind w:left="1134" w:firstLine="0"/>
        <w:rPr>
          <w:szCs w:val="22"/>
        </w:rPr>
      </w:pPr>
      <w:r w:rsidRPr="00AA117F">
        <w:rPr>
          <w:szCs w:val="22"/>
        </w:rPr>
        <w:t>Commercial paper</w:t>
      </w:r>
    </w:p>
    <w:p w:rsidR="00EC5205" w:rsidRPr="00AA117F" w:rsidRDefault="00EC5205" w:rsidP="00ED5296">
      <w:pPr>
        <w:pStyle w:val="ONUME"/>
        <w:numPr>
          <w:ilvl w:val="0"/>
          <w:numId w:val="22"/>
        </w:numPr>
        <w:tabs>
          <w:tab w:val="left" w:pos="1701"/>
        </w:tabs>
        <w:spacing w:after="120"/>
        <w:ind w:left="1134" w:firstLine="0"/>
        <w:rPr>
          <w:szCs w:val="22"/>
        </w:rPr>
      </w:pPr>
      <w:r w:rsidRPr="00AA117F">
        <w:rPr>
          <w:szCs w:val="22"/>
        </w:rPr>
        <w:t>Repurchase/reverse repurchase agreements</w:t>
      </w:r>
    </w:p>
    <w:p w:rsidR="00EC5205" w:rsidRPr="00AA117F" w:rsidRDefault="00EC5205" w:rsidP="00ED5296">
      <w:pPr>
        <w:pStyle w:val="ONUME"/>
        <w:numPr>
          <w:ilvl w:val="0"/>
          <w:numId w:val="22"/>
        </w:numPr>
        <w:tabs>
          <w:tab w:val="left" w:pos="1701"/>
        </w:tabs>
        <w:spacing w:after="240"/>
        <w:ind w:left="1134" w:firstLine="0"/>
        <w:rPr>
          <w:szCs w:val="22"/>
        </w:rPr>
      </w:pPr>
      <w:r w:rsidRPr="00AA117F">
        <w:rPr>
          <w:szCs w:val="22"/>
        </w:rPr>
        <w:t>Banker’s acceptance</w:t>
      </w:r>
    </w:p>
    <w:p w:rsidR="00EC5205" w:rsidRPr="00AA117F" w:rsidRDefault="007D0D8A" w:rsidP="009C6A12">
      <w:pPr>
        <w:pStyle w:val="ONUME"/>
        <w:numPr>
          <w:ilvl w:val="6"/>
          <w:numId w:val="9"/>
        </w:numPr>
        <w:tabs>
          <w:tab w:val="left" w:pos="1134"/>
        </w:tabs>
        <w:spacing w:after="240"/>
        <w:ind w:left="1134" w:hanging="283"/>
        <w:rPr>
          <w:szCs w:val="22"/>
        </w:rPr>
      </w:pPr>
      <w:r>
        <w:rPr>
          <w:szCs w:val="22"/>
        </w:rPr>
        <w:t>Bonds, notes</w:t>
      </w:r>
      <w:r w:rsidR="008609A1" w:rsidRPr="00AA117F">
        <w:rPr>
          <w:szCs w:val="22"/>
        </w:rPr>
        <w:t xml:space="preserve"> or other </w:t>
      </w:r>
      <w:r>
        <w:rPr>
          <w:szCs w:val="22"/>
        </w:rPr>
        <w:t>obligations</w:t>
      </w:r>
      <w:r w:rsidR="008609A1" w:rsidRPr="00AA117F">
        <w:rPr>
          <w:szCs w:val="22"/>
        </w:rPr>
        <w:t xml:space="preserve"> (short, medium or long-term)</w:t>
      </w:r>
      <w:r>
        <w:rPr>
          <w:szCs w:val="22"/>
        </w:rPr>
        <w:t xml:space="preserve"> and other fixed inco</w:t>
      </w:r>
      <w:bookmarkStart w:id="5" w:name="_GoBack"/>
      <w:bookmarkEnd w:id="5"/>
      <w:r>
        <w:rPr>
          <w:szCs w:val="22"/>
        </w:rPr>
        <w:t>me products:</w:t>
      </w:r>
    </w:p>
    <w:p w:rsidR="008609A1" w:rsidRPr="00AA117F" w:rsidRDefault="008609A1" w:rsidP="00ED5296">
      <w:pPr>
        <w:pStyle w:val="ONUME"/>
        <w:numPr>
          <w:ilvl w:val="0"/>
          <w:numId w:val="23"/>
        </w:numPr>
        <w:spacing w:after="120"/>
        <w:ind w:left="1134" w:firstLine="0"/>
        <w:rPr>
          <w:szCs w:val="22"/>
        </w:rPr>
      </w:pPr>
      <w:r w:rsidRPr="00AA117F">
        <w:rPr>
          <w:szCs w:val="22"/>
        </w:rPr>
        <w:t>Government bonds</w:t>
      </w:r>
    </w:p>
    <w:p w:rsidR="008609A1" w:rsidRPr="00AA117F" w:rsidRDefault="008609A1" w:rsidP="00ED5296">
      <w:pPr>
        <w:pStyle w:val="ONUME"/>
        <w:numPr>
          <w:ilvl w:val="0"/>
          <w:numId w:val="23"/>
        </w:numPr>
        <w:spacing w:after="120"/>
        <w:ind w:left="1134" w:firstLine="0"/>
        <w:rPr>
          <w:szCs w:val="22"/>
        </w:rPr>
      </w:pPr>
      <w:r w:rsidRPr="00AA117F">
        <w:rPr>
          <w:szCs w:val="22"/>
        </w:rPr>
        <w:t>Sub-sovereign bonds – provincial, municipal or territorial bonds for</w:t>
      </w:r>
      <w:r w:rsidR="001F6705">
        <w:rPr>
          <w:szCs w:val="22"/>
        </w:rPr>
        <w:t> </w:t>
      </w:r>
      <w:r w:rsidRPr="00AA117F">
        <w:rPr>
          <w:szCs w:val="22"/>
        </w:rPr>
        <w:t>example</w:t>
      </w:r>
    </w:p>
    <w:p w:rsidR="008609A1" w:rsidRPr="00AA117F" w:rsidRDefault="008609A1" w:rsidP="00ED5296">
      <w:pPr>
        <w:pStyle w:val="ONUME"/>
        <w:numPr>
          <w:ilvl w:val="0"/>
          <w:numId w:val="23"/>
        </w:numPr>
        <w:spacing w:after="120"/>
        <w:ind w:left="1134" w:firstLine="0"/>
        <w:rPr>
          <w:szCs w:val="22"/>
        </w:rPr>
      </w:pPr>
      <w:r w:rsidRPr="00AA117F">
        <w:rPr>
          <w:szCs w:val="22"/>
        </w:rPr>
        <w:t>Supranational bonds</w:t>
      </w:r>
    </w:p>
    <w:p w:rsidR="008609A1" w:rsidRDefault="008609A1" w:rsidP="00ED5296">
      <w:pPr>
        <w:pStyle w:val="ONUME"/>
        <w:numPr>
          <w:ilvl w:val="0"/>
          <w:numId w:val="23"/>
        </w:numPr>
        <w:spacing w:after="120"/>
        <w:ind w:left="1134" w:firstLine="0"/>
        <w:rPr>
          <w:szCs w:val="22"/>
        </w:rPr>
      </w:pPr>
      <w:r w:rsidRPr="00AA117F">
        <w:rPr>
          <w:szCs w:val="22"/>
        </w:rPr>
        <w:t>Corporate bonds</w:t>
      </w:r>
    </w:p>
    <w:p w:rsidR="007D0D8A" w:rsidRPr="00AA117F" w:rsidRDefault="007D0D8A" w:rsidP="00ED5296">
      <w:pPr>
        <w:pStyle w:val="ONUME"/>
        <w:numPr>
          <w:ilvl w:val="0"/>
          <w:numId w:val="23"/>
        </w:numPr>
        <w:spacing w:after="240"/>
        <w:ind w:left="1134" w:firstLine="0"/>
        <w:rPr>
          <w:szCs w:val="22"/>
        </w:rPr>
      </w:pPr>
      <w:r>
        <w:rPr>
          <w:szCs w:val="22"/>
        </w:rPr>
        <w:t>Private placements</w:t>
      </w:r>
    </w:p>
    <w:p w:rsidR="008609A1" w:rsidRPr="00AA117F" w:rsidRDefault="008609A1" w:rsidP="009C6A12">
      <w:pPr>
        <w:pStyle w:val="ONUME"/>
        <w:numPr>
          <w:ilvl w:val="6"/>
          <w:numId w:val="9"/>
        </w:numPr>
        <w:tabs>
          <w:tab w:val="left" w:pos="1134"/>
        </w:tabs>
        <w:ind w:left="851" w:firstLine="0"/>
        <w:rPr>
          <w:szCs w:val="22"/>
        </w:rPr>
      </w:pPr>
      <w:r w:rsidRPr="00AA117F">
        <w:rPr>
          <w:szCs w:val="22"/>
        </w:rPr>
        <w:t>Real Estate Investment Trusts (REITs)</w:t>
      </w:r>
    </w:p>
    <w:p w:rsidR="00B0550B" w:rsidRPr="00AA117F" w:rsidRDefault="003F715C" w:rsidP="00A314DC">
      <w:pPr>
        <w:pStyle w:val="ONUME"/>
        <w:spacing w:after="0"/>
        <w:ind w:left="567"/>
        <w:rPr>
          <w:szCs w:val="22"/>
        </w:rPr>
      </w:pPr>
      <w:r w:rsidRPr="00A314DC">
        <w:rPr>
          <w:i/>
          <w:szCs w:val="22"/>
        </w:rPr>
        <w:t>Note</w:t>
      </w:r>
      <w:r w:rsidRPr="00AA117F">
        <w:rPr>
          <w:szCs w:val="22"/>
        </w:rPr>
        <w:t xml:space="preserve">:  </w:t>
      </w:r>
      <w:r w:rsidR="00B0550B" w:rsidRPr="00AA117F">
        <w:rPr>
          <w:szCs w:val="22"/>
        </w:rPr>
        <w:t>Any of these ass</w:t>
      </w:r>
      <w:r w:rsidR="007D0D8A">
        <w:rPr>
          <w:szCs w:val="22"/>
        </w:rPr>
        <w:t xml:space="preserve">et classes could be held in currencies other than </w:t>
      </w:r>
      <w:r w:rsidR="00B0550B" w:rsidRPr="00AA117F">
        <w:rPr>
          <w:szCs w:val="22"/>
        </w:rPr>
        <w:t xml:space="preserve">Swiss francs and hedged into Swiss francs.  </w:t>
      </w:r>
      <w:r w:rsidRPr="00AA117F">
        <w:rPr>
          <w:szCs w:val="22"/>
        </w:rPr>
        <w:t>Before making investments in currencies other than the Swiss franc, i</w:t>
      </w:r>
      <w:r w:rsidR="00B0550B" w:rsidRPr="00AA117F">
        <w:rPr>
          <w:szCs w:val="22"/>
        </w:rPr>
        <w:t>t would be important to evaluate whether such investments would achieve an ove</w:t>
      </w:r>
      <w:r w:rsidRPr="00AA117F">
        <w:rPr>
          <w:szCs w:val="22"/>
        </w:rPr>
        <w:t>r</w:t>
      </w:r>
      <w:r w:rsidR="00B0550B" w:rsidRPr="00AA117F">
        <w:rPr>
          <w:szCs w:val="22"/>
        </w:rPr>
        <w:t xml:space="preserve">all positive return for the Organization. </w:t>
      </w:r>
    </w:p>
    <w:p w:rsidR="00EC5205" w:rsidRPr="00AA117F" w:rsidRDefault="00EC5205" w:rsidP="008609A1">
      <w:pPr>
        <w:pStyle w:val="ONUME"/>
        <w:spacing w:after="0"/>
        <w:rPr>
          <w:szCs w:val="22"/>
        </w:rPr>
      </w:pPr>
    </w:p>
    <w:p w:rsidR="00183640" w:rsidRDefault="00A87990" w:rsidP="00B0550B">
      <w:pPr>
        <w:pStyle w:val="ONUME"/>
        <w:rPr>
          <w:szCs w:val="22"/>
        </w:rPr>
      </w:pPr>
      <w:r>
        <w:rPr>
          <w:szCs w:val="22"/>
        </w:rPr>
        <w:t>11.</w:t>
      </w:r>
      <w:r>
        <w:rPr>
          <w:szCs w:val="22"/>
        </w:rPr>
        <w:tab/>
      </w:r>
      <w:r w:rsidR="00183640" w:rsidRPr="00AA117F">
        <w:rPr>
          <w:szCs w:val="22"/>
        </w:rPr>
        <w:t>Investing in the range of assets with the required maturities to fulfil the requirements of core cash will require expertise which WIPO does not have in-house.  The proposal</w:t>
      </w:r>
      <w:r w:rsidR="00B0550B" w:rsidRPr="00AA117F">
        <w:rPr>
          <w:szCs w:val="22"/>
        </w:rPr>
        <w:t xml:space="preserve"> therefore</w:t>
      </w:r>
      <w:r w:rsidR="00183640" w:rsidRPr="00AA117F">
        <w:rPr>
          <w:szCs w:val="22"/>
        </w:rPr>
        <w:t xml:space="preserve"> is</w:t>
      </w:r>
      <w:r w:rsidR="00B0550B" w:rsidRPr="00AA117F">
        <w:rPr>
          <w:szCs w:val="22"/>
        </w:rPr>
        <w:t xml:space="preserve"> </w:t>
      </w:r>
      <w:r w:rsidR="00183640" w:rsidRPr="00AA117F">
        <w:rPr>
          <w:szCs w:val="22"/>
        </w:rPr>
        <w:t>to outsource such work by engaging external fund managers to manage the core ca</w:t>
      </w:r>
      <w:r w:rsidR="00A46899" w:rsidRPr="00AA117F">
        <w:rPr>
          <w:szCs w:val="22"/>
        </w:rPr>
        <w:t>sh portfolio</w:t>
      </w:r>
      <w:r w:rsidR="00B0550B" w:rsidRPr="00AA117F">
        <w:rPr>
          <w:szCs w:val="22"/>
        </w:rPr>
        <w:t>.  F</w:t>
      </w:r>
      <w:r w:rsidR="00183640" w:rsidRPr="00AA117F">
        <w:rPr>
          <w:szCs w:val="22"/>
        </w:rPr>
        <w:t>urther details of external fund mana</w:t>
      </w:r>
      <w:r w:rsidR="003F715C" w:rsidRPr="00AA117F">
        <w:rPr>
          <w:szCs w:val="22"/>
        </w:rPr>
        <w:t>gers are given in paragraph 21</w:t>
      </w:r>
      <w:r w:rsidR="00A46899" w:rsidRPr="00AA117F">
        <w:rPr>
          <w:szCs w:val="22"/>
        </w:rPr>
        <w:t>.</w:t>
      </w:r>
      <w:r w:rsidR="00183640" w:rsidRPr="00AA117F">
        <w:rPr>
          <w:szCs w:val="22"/>
        </w:rPr>
        <w:t xml:space="preserve"> </w:t>
      </w:r>
      <w:r w:rsidR="00A46899" w:rsidRPr="00AA117F">
        <w:rPr>
          <w:szCs w:val="22"/>
        </w:rPr>
        <w:t xml:space="preserve"> </w:t>
      </w:r>
      <w:r w:rsidR="00183640" w:rsidRPr="00AA117F">
        <w:rPr>
          <w:szCs w:val="22"/>
        </w:rPr>
        <w:t xml:space="preserve">Such a strategy has recently been adopted by the International </w:t>
      </w:r>
      <w:proofErr w:type="spellStart"/>
      <w:r w:rsidR="00183640" w:rsidRPr="00AA117F">
        <w:rPr>
          <w:szCs w:val="22"/>
        </w:rPr>
        <w:t>Labour</w:t>
      </w:r>
      <w:proofErr w:type="spellEnd"/>
      <w:r w:rsidR="00183640" w:rsidRPr="00AA117F">
        <w:rPr>
          <w:szCs w:val="22"/>
        </w:rPr>
        <w:t xml:space="preserve"> Organization (ILO) which asked for proposal</w:t>
      </w:r>
      <w:r w:rsidR="00A46899" w:rsidRPr="00AA117F">
        <w:rPr>
          <w:szCs w:val="22"/>
        </w:rPr>
        <w:t>s</w:t>
      </w:r>
      <w:r w:rsidR="00183640" w:rsidRPr="00AA117F">
        <w:rPr>
          <w:szCs w:val="22"/>
        </w:rPr>
        <w:t xml:space="preserve"> from fund managers regarding the creation of an investment portfolio.  The ILO specified a target return of 1 per cent (net of management fees) and various other criteria including the level of acceptable volatility (2 per cent), the maximum drawdown (loss) which will be accepted (3 per cent) and the asset classes which cannot be held (namely equities and hedge funds).  Within the c</w:t>
      </w:r>
      <w:r w:rsidR="00B0550B" w:rsidRPr="00AA117F">
        <w:rPr>
          <w:szCs w:val="22"/>
        </w:rPr>
        <w:t>onfines</w:t>
      </w:r>
      <w:r w:rsidR="00057C24">
        <w:rPr>
          <w:szCs w:val="22"/>
        </w:rPr>
        <w:t xml:space="preserve"> of the asset classes identified in the original proposal,</w:t>
      </w:r>
      <w:r w:rsidR="00B0550B" w:rsidRPr="00AA117F">
        <w:rPr>
          <w:szCs w:val="22"/>
        </w:rPr>
        <w:t xml:space="preserve"> the manager selected is permitted to</w:t>
      </w:r>
      <w:r w:rsidR="00183640" w:rsidRPr="00AA117F">
        <w:rPr>
          <w:szCs w:val="22"/>
        </w:rPr>
        <w:t xml:space="preserve"> </w:t>
      </w:r>
      <w:r w:rsidR="00A22A97">
        <w:rPr>
          <w:szCs w:val="22"/>
        </w:rPr>
        <w:t>decide</w:t>
      </w:r>
      <w:r w:rsidR="00057C24">
        <w:rPr>
          <w:szCs w:val="22"/>
        </w:rPr>
        <w:t xml:space="preserve"> how to divide the cash across the</w:t>
      </w:r>
      <w:r w:rsidR="008506E8">
        <w:rPr>
          <w:szCs w:val="22"/>
        </w:rPr>
        <w:t>se</w:t>
      </w:r>
      <w:r w:rsidR="00057C24">
        <w:rPr>
          <w:szCs w:val="22"/>
        </w:rPr>
        <w:t xml:space="preserve"> asset classes</w:t>
      </w:r>
      <w:r w:rsidR="00183640" w:rsidRPr="00AA117F">
        <w:rPr>
          <w:szCs w:val="22"/>
        </w:rPr>
        <w:t xml:space="preserve">.  Investments may be held in other currencies but must be hedged 100 per cent into Swiss francs.  This portfolio will </w:t>
      </w:r>
      <w:r w:rsidR="00183640" w:rsidRPr="00AA117F">
        <w:rPr>
          <w:szCs w:val="22"/>
        </w:rPr>
        <w:lastRenderedPageBreak/>
        <w:t>be for 50 million Swiss francs and the ILO is also considering the creation of a similar portfolio in US dollars.  With these portfolios</w:t>
      </w:r>
      <w:r w:rsidR="00B0550B" w:rsidRPr="00AA117F">
        <w:rPr>
          <w:szCs w:val="22"/>
        </w:rPr>
        <w:t>,</w:t>
      </w:r>
      <w:r w:rsidR="00183640" w:rsidRPr="00AA117F">
        <w:rPr>
          <w:szCs w:val="22"/>
        </w:rPr>
        <w:t xml:space="preserve"> the exemption thresholds and zero rate deposits offered by its banking partners, the ILO hopes to </w:t>
      </w:r>
      <w:r w:rsidR="00057C24">
        <w:rPr>
          <w:szCs w:val="22"/>
        </w:rPr>
        <w:t>minimize</w:t>
      </w:r>
      <w:r w:rsidR="00183640" w:rsidRPr="00AA117F">
        <w:rPr>
          <w:szCs w:val="22"/>
        </w:rPr>
        <w:t xml:space="preserve"> the impact of negative interest rates</w:t>
      </w:r>
      <w:r w:rsidR="00A46899" w:rsidRPr="00AA117F">
        <w:rPr>
          <w:szCs w:val="22"/>
        </w:rPr>
        <w:t xml:space="preserve"> on its cash</w:t>
      </w:r>
      <w:r w:rsidR="00183640" w:rsidRPr="00AA117F">
        <w:rPr>
          <w:szCs w:val="22"/>
        </w:rPr>
        <w:t>.  In a similar way WIPO could award portfolio mandates to fund managers and stipulate the investment guidelines to be followed.</w:t>
      </w:r>
      <w:r w:rsidR="00A46899" w:rsidRPr="00AA117F">
        <w:rPr>
          <w:szCs w:val="22"/>
        </w:rPr>
        <w:t xml:space="preserve">  </w:t>
      </w:r>
      <w:r w:rsidR="007619D8">
        <w:rPr>
          <w:szCs w:val="22"/>
        </w:rPr>
        <w:t>It should</w:t>
      </w:r>
      <w:r w:rsidR="00244178">
        <w:rPr>
          <w:szCs w:val="22"/>
        </w:rPr>
        <w:t xml:space="preserve"> be noted that, in</w:t>
      </w:r>
      <w:r w:rsidR="00F072F2">
        <w:rPr>
          <w:szCs w:val="22"/>
        </w:rPr>
        <w:t xml:space="preserve"> WIPO’s context, the extent of the opportunity to </w:t>
      </w:r>
      <w:r w:rsidR="00057C24">
        <w:rPr>
          <w:szCs w:val="22"/>
        </w:rPr>
        <w:t xml:space="preserve">make initial </w:t>
      </w:r>
      <w:r w:rsidR="00F072F2">
        <w:rPr>
          <w:szCs w:val="22"/>
        </w:rPr>
        <w:t>invest</w:t>
      </w:r>
      <w:r w:rsidR="00057C24">
        <w:rPr>
          <w:szCs w:val="22"/>
        </w:rPr>
        <w:t>ments</w:t>
      </w:r>
      <w:r w:rsidR="00F072F2">
        <w:rPr>
          <w:szCs w:val="22"/>
        </w:rPr>
        <w:t xml:space="preserve"> in currencies other than Swiss francs will be impacted by the</w:t>
      </w:r>
      <w:r w:rsidR="00057C24">
        <w:rPr>
          <w:szCs w:val="22"/>
        </w:rPr>
        <w:t xml:space="preserve"> </w:t>
      </w:r>
      <w:r w:rsidR="00F072F2">
        <w:rPr>
          <w:szCs w:val="22"/>
        </w:rPr>
        <w:t xml:space="preserve">decision </w:t>
      </w:r>
      <w:r w:rsidR="00057C24">
        <w:rPr>
          <w:szCs w:val="22"/>
        </w:rPr>
        <w:t>recently taken by</w:t>
      </w:r>
      <w:r w:rsidR="00F072F2">
        <w:rPr>
          <w:szCs w:val="22"/>
        </w:rPr>
        <w:t xml:space="preserve"> the Memb</w:t>
      </w:r>
      <w:r w:rsidR="00057C24">
        <w:rPr>
          <w:szCs w:val="22"/>
        </w:rPr>
        <w:t>e</w:t>
      </w:r>
      <w:r w:rsidR="00F072F2">
        <w:rPr>
          <w:szCs w:val="22"/>
        </w:rPr>
        <w:t>r</w:t>
      </w:r>
      <w:r w:rsidR="00057C24">
        <w:rPr>
          <w:szCs w:val="22"/>
        </w:rPr>
        <w:t xml:space="preserve"> </w:t>
      </w:r>
      <w:r w:rsidR="00F072F2">
        <w:rPr>
          <w:szCs w:val="22"/>
        </w:rPr>
        <w:t xml:space="preserve">States </w:t>
      </w:r>
      <w:r w:rsidR="00A22A97">
        <w:rPr>
          <w:szCs w:val="22"/>
        </w:rPr>
        <w:t>of</w:t>
      </w:r>
      <w:r w:rsidR="00F072F2">
        <w:rPr>
          <w:szCs w:val="22"/>
        </w:rPr>
        <w:t xml:space="preserve"> the PCT working group</w:t>
      </w:r>
      <w:r w:rsidR="00023218">
        <w:rPr>
          <w:szCs w:val="22"/>
        </w:rPr>
        <w:t>, to be approved by the Assemblies, with regard to</w:t>
      </w:r>
      <w:r w:rsidR="00F072F2">
        <w:rPr>
          <w:szCs w:val="22"/>
        </w:rPr>
        <w:t xml:space="preserve"> hedging PCT fees income.</w:t>
      </w:r>
    </w:p>
    <w:p w:rsidR="008D2E57" w:rsidRPr="00A314DC" w:rsidRDefault="00677206" w:rsidP="00A314DC">
      <w:pPr>
        <w:pStyle w:val="ONUME"/>
        <w:rPr>
          <w:szCs w:val="22"/>
        </w:rPr>
      </w:pPr>
      <w:r w:rsidRPr="00A314DC">
        <w:rPr>
          <w:szCs w:val="22"/>
        </w:rPr>
        <w:t>STRATEGIC (LONG-TERM) CASH</w:t>
      </w:r>
    </w:p>
    <w:p w:rsidR="001141EF" w:rsidRPr="00AA117F" w:rsidRDefault="00A87990" w:rsidP="00933F0A">
      <w:pPr>
        <w:pStyle w:val="ONUME"/>
        <w:rPr>
          <w:szCs w:val="22"/>
        </w:rPr>
      </w:pPr>
      <w:r>
        <w:rPr>
          <w:szCs w:val="22"/>
        </w:rPr>
        <w:t>12.</w:t>
      </w:r>
      <w:r>
        <w:rPr>
          <w:szCs w:val="22"/>
        </w:rPr>
        <w:tab/>
      </w:r>
      <w:r w:rsidR="008D2E57" w:rsidRPr="00AA117F">
        <w:rPr>
          <w:szCs w:val="22"/>
        </w:rPr>
        <w:t xml:space="preserve">This cash is at the opposite end of the spectrum </w:t>
      </w:r>
      <w:r w:rsidR="007B20FC" w:rsidRPr="00AA117F">
        <w:rPr>
          <w:szCs w:val="22"/>
        </w:rPr>
        <w:t xml:space="preserve">from operating cash.  </w:t>
      </w:r>
      <w:r w:rsidR="001141EF" w:rsidRPr="00AA117F">
        <w:rPr>
          <w:szCs w:val="22"/>
        </w:rPr>
        <w:t>The investment objective is to obtain a positive return, the investment horizon is long-term and thus can extend over several years and the risk profile is one which is comfortabl</w:t>
      </w:r>
      <w:r w:rsidR="007E1A1F" w:rsidRPr="00AA117F">
        <w:rPr>
          <w:szCs w:val="22"/>
        </w:rPr>
        <w:t>e with investments which demons</w:t>
      </w:r>
      <w:r w:rsidR="001141EF" w:rsidRPr="00AA117F">
        <w:rPr>
          <w:szCs w:val="22"/>
        </w:rPr>
        <w:t xml:space="preserve">trate </w:t>
      </w:r>
      <w:r w:rsidR="00657A95" w:rsidRPr="00AA117F">
        <w:rPr>
          <w:szCs w:val="22"/>
        </w:rPr>
        <w:t>volatility</w:t>
      </w:r>
      <w:r w:rsidR="007D0D8A">
        <w:rPr>
          <w:szCs w:val="22"/>
        </w:rPr>
        <w:t>.  WIPO’s strategic</w:t>
      </w:r>
      <w:r w:rsidR="001141EF" w:rsidRPr="00AA117F">
        <w:rPr>
          <w:szCs w:val="22"/>
        </w:rPr>
        <w:t xml:space="preserve"> cash</w:t>
      </w:r>
      <w:r w:rsidR="007D0D8A">
        <w:rPr>
          <w:szCs w:val="22"/>
        </w:rPr>
        <w:t xml:space="preserve"> is that</w:t>
      </w:r>
      <w:r w:rsidR="001141EF" w:rsidRPr="00AA117F">
        <w:rPr>
          <w:szCs w:val="22"/>
        </w:rPr>
        <w:t xml:space="preserve"> which has been set asid</w:t>
      </w:r>
      <w:r w:rsidR="007D0D8A">
        <w:rPr>
          <w:szCs w:val="22"/>
        </w:rPr>
        <w:t>e to finance the ASHI liabilitie</w:t>
      </w:r>
      <w:r w:rsidR="00A46899" w:rsidRPr="00AA117F">
        <w:rPr>
          <w:szCs w:val="22"/>
        </w:rPr>
        <w:t xml:space="preserve">s and </w:t>
      </w:r>
      <w:r w:rsidR="00B0550B" w:rsidRPr="00AA117F">
        <w:rPr>
          <w:szCs w:val="22"/>
        </w:rPr>
        <w:t xml:space="preserve">which </w:t>
      </w:r>
      <w:r w:rsidR="00A46899" w:rsidRPr="00AA117F">
        <w:rPr>
          <w:szCs w:val="22"/>
        </w:rPr>
        <w:t>currently stands at 88.9 million Swiss francs (85.2 million</w:t>
      </w:r>
      <w:r w:rsidR="001141EF" w:rsidRPr="00AA117F">
        <w:rPr>
          <w:szCs w:val="22"/>
        </w:rPr>
        <w:t xml:space="preserve"> S</w:t>
      </w:r>
      <w:r w:rsidR="00690580" w:rsidRPr="00AA117F">
        <w:rPr>
          <w:szCs w:val="22"/>
        </w:rPr>
        <w:t>wiss francs at December 31, 2014</w:t>
      </w:r>
      <w:r w:rsidR="001141EF" w:rsidRPr="00AA117F">
        <w:rPr>
          <w:szCs w:val="22"/>
        </w:rPr>
        <w:t>).</w:t>
      </w:r>
    </w:p>
    <w:p w:rsidR="001141EF" w:rsidRPr="00AA117F" w:rsidRDefault="00A87990" w:rsidP="00933F0A">
      <w:pPr>
        <w:pStyle w:val="ONUME"/>
        <w:rPr>
          <w:szCs w:val="22"/>
        </w:rPr>
      </w:pPr>
      <w:r>
        <w:rPr>
          <w:szCs w:val="22"/>
        </w:rPr>
        <w:t>13.</w:t>
      </w:r>
      <w:r>
        <w:rPr>
          <w:szCs w:val="22"/>
        </w:rPr>
        <w:tab/>
      </w:r>
      <w:r w:rsidR="001141EF" w:rsidRPr="00AA117F">
        <w:rPr>
          <w:szCs w:val="22"/>
        </w:rPr>
        <w:t xml:space="preserve">As was explained in document WO/PBC/22/19, a treasury study carried out by treasury consultants, FTI </w:t>
      </w:r>
      <w:proofErr w:type="gramStart"/>
      <w:r w:rsidR="001141EF" w:rsidRPr="00AA117F">
        <w:rPr>
          <w:szCs w:val="22"/>
        </w:rPr>
        <w:t>Treasury,</w:t>
      </w:r>
      <w:proofErr w:type="gramEnd"/>
      <w:r w:rsidR="001141EF" w:rsidRPr="00AA117F">
        <w:rPr>
          <w:szCs w:val="22"/>
        </w:rPr>
        <w:t xml:space="preserve"> identified that the ASHI fun</w:t>
      </w:r>
      <w:r w:rsidR="00B0550B" w:rsidRPr="00AA117F">
        <w:rPr>
          <w:szCs w:val="22"/>
        </w:rPr>
        <w:t>d</w:t>
      </w:r>
      <w:r w:rsidR="001141EF" w:rsidRPr="00AA117F">
        <w:rPr>
          <w:szCs w:val="22"/>
        </w:rPr>
        <w:t xml:space="preserve"> has a “pension fund type profile”.  The monies originally set aside</w:t>
      </w:r>
      <w:r w:rsidR="00690580" w:rsidRPr="00AA117F">
        <w:rPr>
          <w:szCs w:val="22"/>
        </w:rPr>
        <w:t xml:space="preserve"> for</w:t>
      </w:r>
      <w:r w:rsidR="001141EF" w:rsidRPr="00AA117F">
        <w:rPr>
          <w:szCs w:val="22"/>
        </w:rPr>
        <w:t xml:space="preserve"> this fund represented 50 per cent of the total liability for long-term employee benefits as at December 31, 2013 and accordin</w:t>
      </w:r>
      <w:r w:rsidR="00A46899" w:rsidRPr="00AA117F">
        <w:rPr>
          <w:szCs w:val="22"/>
        </w:rPr>
        <w:t>g to the consultants, this cash</w:t>
      </w:r>
      <w:r w:rsidR="001141EF" w:rsidRPr="00AA117F">
        <w:rPr>
          <w:szCs w:val="22"/>
        </w:rPr>
        <w:t xml:space="preserve"> would have to earn 2.3 per cent per annum in order to maintain its relative proportion of the liability.  The fund should therefore be invest</w:t>
      </w:r>
      <w:r w:rsidR="007E1A1F" w:rsidRPr="00AA117F">
        <w:rPr>
          <w:szCs w:val="22"/>
        </w:rPr>
        <w:t>e</w:t>
      </w:r>
      <w:r w:rsidR="001141EF" w:rsidRPr="00AA117F">
        <w:rPr>
          <w:szCs w:val="22"/>
        </w:rPr>
        <w:t>d in asset classes which give this level of return (at least) and this would inevitably require accepting higher levels of risk.</w:t>
      </w:r>
    </w:p>
    <w:p w:rsidR="008157F8" w:rsidRPr="00AA117F" w:rsidRDefault="00A87990" w:rsidP="00933F0A">
      <w:pPr>
        <w:pStyle w:val="ONUME"/>
        <w:rPr>
          <w:szCs w:val="22"/>
        </w:rPr>
      </w:pPr>
      <w:r>
        <w:rPr>
          <w:szCs w:val="22"/>
        </w:rPr>
        <w:t>14.</w:t>
      </w:r>
      <w:r>
        <w:rPr>
          <w:szCs w:val="22"/>
        </w:rPr>
        <w:tab/>
      </w:r>
      <w:r w:rsidR="00471B80">
        <w:rPr>
          <w:szCs w:val="22"/>
        </w:rPr>
        <w:t>As was</w:t>
      </w:r>
      <w:r w:rsidR="008506E8">
        <w:rPr>
          <w:szCs w:val="22"/>
        </w:rPr>
        <w:t xml:space="preserve"> also</w:t>
      </w:r>
      <w:r w:rsidR="00471B80">
        <w:rPr>
          <w:szCs w:val="22"/>
        </w:rPr>
        <w:t xml:space="preserve"> reported</w:t>
      </w:r>
      <w:r w:rsidR="007848E2">
        <w:rPr>
          <w:szCs w:val="22"/>
        </w:rPr>
        <w:t xml:space="preserve"> in document WO/PBC/22/19, several a</w:t>
      </w:r>
      <w:r w:rsidR="006726B7">
        <w:rPr>
          <w:szCs w:val="22"/>
        </w:rPr>
        <w:t>gencies have begun to fund their</w:t>
      </w:r>
      <w:r w:rsidR="007848E2">
        <w:rPr>
          <w:szCs w:val="22"/>
        </w:rPr>
        <w:t xml:space="preserve"> ASHI liabilities.  These include the World Health Organization</w:t>
      </w:r>
      <w:r w:rsidR="00471B80">
        <w:rPr>
          <w:szCs w:val="22"/>
        </w:rPr>
        <w:t xml:space="preserve"> (WHO)</w:t>
      </w:r>
      <w:r w:rsidR="007848E2">
        <w:rPr>
          <w:szCs w:val="22"/>
        </w:rPr>
        <w:t xml:space="preserve"> </w:t>
      </w:r>
      <w:r w:rsidR="00471B80">
        <w:rPr>
          <w:szCs w:val="22"/>
        </w:rPr>
        <w:t>(</w:t>
      </w:r>
      <w:r w:rsidR="007848E2">
        <w:rPr>
          <w:szCs w:val="22"/>
        </w:rPr>
        <w:t>which has invest</w:t>
      </w:r>
      <w:r w:rsidR="006726B7">
        <w:rPr>
          <w:szCs w:val="22"/>
        </w:rPr>
        <w:t>ed the fund</w:t>
      </w:r>
      <w:r w:rsidR="007848E2">
        <w:rPr>
          <w:szCs w:val="22"/>
        </w:rPr>
        <w:t>s</w:t>
      </w:r>
      <w:r w:rsidR="006726B7">
        <w:rPr>
          <w:szCs w:val="22"/>
        </w:rPr>
        <w:t xml:space="preserve"> </w:t>
      </w:r>
      <w:r w:rsidR="007848E2">
        <w:rPr>
          <w:szCs w:val="22"/>
        </w:rPr>
        <w:t>in equities and fixed income securities</w:t>
      </w:r>
      <w:r w:rsidR="00471B80">
        <w:rPr>
          <w:szCs w:val="22"/>
        </w:rPr>
        <w:t>)</w:t>
      </w:r>
      <w:r w:rsidR="007848E2">
        <w:rPr>
          <w:szCs w:val="22"/>
        </w:rPr>
        <w:t>, the Food and Agriculture Organization</w:t>
      </w:r>
      <w:r w:rsidR="00471B80">
        <w:rPr>
          <w:szCs w:val="22"/>
        </w:rPr>
        <w:t xml:space="preserve"> (FAO)</w:t>
      </w:r>
      <w:r w:rsidR="007848E2">
        <w:rPr>
          <w:szCs w:val="22"/>
        </w:rPr>
        <w:t xml:space="preserve"> and the World Food Program</w:t>
      </w:r>
      <w:r w:rsidR="00471B80">
        <w:rPr>
          <w:szCs w:val="22"/>
        </w:rPr>
        <w:t xml:space="preserve"> (WFP)</w:t>
      </w:r>
      <w:r w:rsidR="007848E2">
        <w:rPr>
          <w:szCs w:val="22"/>
        </w:rPr>
        <w:t xml:space="preserve">.  These last </w:t>
      </w:r>
      <w:r w:rsidR="006726B7">
        <w:rPr>
          <w:szCs w:val="22"/>
        </w:rPr>
        <w:t>two agencies have invested 50 per cent of their ASHI funds in equities and 50 per cent in bonds, of which 10 per cent are held in emerging markets.  In 2013 a Request for Proposals (RFP) exercise was jointly launched by</w:t>
      </w:r>
      <w:r w:rsidR="00F76A29">
        <w:rPr>
          <w:szCs w:val="22"/>
        </w:rPr>
        <w:t xml:space="preserve"> the</w:t>
      </w:r>
      <w:r w:rsidR="00471B80">
        <w:rPr>
          <w:szCs w:val="22"/>
        </w:rPr>
        <w:t xml:space="preserve"> United Nations Development </w:t>
      </w:r>
      <w:proofErr w:type="spellStart"/>
      <w:r w:rsidR="00471B80">
        <w:rPr>
          <w:szCs w:val="22"/>
        </w:rPr>
        <w:t>Programme</w:t>
      </w:r>
      <w:proofErr w:type="spellEnd"/>
      <w:r w:rsidR="006726B7">
        <w:rPr>
          <w:szCs w:val="22"/>
        </w:rPr>
        <w:t xml:space="preserve"> </w:t>
      </w:r>
      <w:r w:rsidR="00471B80">
        <w:rPr>
          <w:szCs w:val="22"/>
        </w:rPr>
        <w:t>(</w:t>
      </w:r>
      <w:r w:rsidR="006726B7">
        <w:rPr>
          <w:szCs w:val="22"/>
        </w:rPr>
        <w:t>UNDP</w:t>
      </w:r>
      <w:r w:rsidR="00471B80">
        <w:rPr>
          <w:szCs w:val="22"/>
        </w:rPr>
        <w:t>)</w:t>
      </w:r>
      <w:r w:rsidR="006726B7">
        <w:rPr>
          <w:szCs w:val="22"/>
        </w:rPr>
        <w:t>,</w:t>
      </w:r>
      <w:r w:rsidR="00F76A29">
        <w:rPr>
          <w:szCs w:val="22"/>
        </w:rPr>
        <w:t xml:space="preserve"> the</w:t>
      </w:r>
      <w:r w:rsidR="00471B80">
        <w:rPr>
          <w:szCs w:val="22"/>
        </w:rPr>
        <w:t xml:space="preserve"> United Nations Children’s Fund</w:t>
      </w:r>
      <w:r w:rsidR="006726B7">
        <w:rPr>
          <w:szCs w:val="22"/>
        </w:rPr>
        <w:t xml:space="preserve"> </w:t>
      </w:r>
      <w:r w:rsidR="00471B80">
        <w:rPr>
          <w:szCs w:val="22"/>
        </w:rPr>
        <w:t>(</w:t>
      </w:r>
      <w:r w:rsidR="006726B7">
        <w:rPr>
          <w:szCs w:val="22"/>
        </w:rPr>
        <w:t>UNICEF</w:t>
      </w:r>
      <w:r w:rsidR="00471B80">
        <w:rPr>
          <w:szCs w:val="22"/>
        </w:rPr>
        <w:t>)</w:t>
      </w:r>
      <w:r w:rsidR="006726B7">
        <w:rPr>
          <w:szCs w:val="22"/>
        </w:rPr>
        <w:t>,</w:t>
      </w:r>
      <w:r w:rsidR="00F76A29" w:rsidRPr="00F76A29">
        <w:t xml:space="preserve"> </w:t>
      </w:r>
      <w:r w:rsidR="00F76A29">
        <w:t xml:space="preserve">the </w:t>
      </w:r>
      <w:r w:rsidR="00F76A29" w:rsidRPr="00F76A29">
        <w:rPr>
          <w:szCs w:val="22"/>
        </w:rPr>
        <w:t xml:space="preserve">United Nations Office for Project Services </w:t>
      </w:r>
      <w:r w:rsidR="00F76A29">
        <w:rPr>
          <w:szCs w:val="22"/>
        </w:rPr>
        <w:t>(</w:t>
      </w:r>
      <w:r w:rsidR="006726B7">
        <w:rPr>
          <w:szCs w:val="22"/>
        </w:rPr>
        <w:t>UNOPS</w:t>
      </w:r>
      <w:r w:rsidR="00F76A29">
        <w:rPr>
          <w:szCs w:val="22"/>
        </w:rPr>
        <w:t>)</w:t>
      </w:r>
      <w:r w:rsidR="006726B7">
        <w:rPr>
          <w:szCs w:val="22"/>
        </w:rPr>
        <w:t>,</w:t>
      </w:r>
      <w:r w:rsidR="00F76A29" w:rsidRPr="00F76A29">
        <w:t xml:space="preserve"> </w:t>
      </w:r>
      <w:r w:rsidR="00F76A29">
        <w:t xml:space="preserve">the </w:t>
      </w:r>
      <w:r w:rsidR="00F76A29" w:rsidRPr="00F76A29">
        <w:rPr>
          <w:szCs w:val="22"/>
        </w:rPr>
        <w:t xml:space="preserve">United Nations Population Fund </w:t>
      </w:r>
      <w:r w:rsidR="006726B7">
        <w:rPr>
          <w:szCs w:val="22"/>
        </w:rPr>
        <w:t xml:space="preserve"> </w:t>
      </w:r>
      <w:r w:rsidR="00F76A29">
        <w:rPr>
          <w:szCs w:val="22"/>
        </w:rPr>
        <w:t>(</w:t>
      </w:r>
      <w:r w:rsidR="006726B7">
        <w:rPr>
          <w:szCs w:val="22"/>
        </w:rPr>
        <w:t>UNFPA</w:t>
      </w:r>
      <w:r w:rsidR="00F76A29">
        <w:rPr>
          <w:szCs w:val="22"/>
        </w:rPr>
        <w:t>)</w:t>
      </w:r>
      <w:r w:rsidR="006726B7">
        <w:rPr>
          <w:szCs w:val="22"/>
        </w:rPr>
        <w:t xml:space="preserve">, UNWOMEN and </w:t>
      </w:r>
      <w:r w:rsidR="00F923D5">
        <w:rPr>
          <w:szCs w:val="22"/>
        </w:rPr>
        <w:t>the United Nations Capital Development Fund (</w:t>
      </w:r>
      <w:r w:rsidR="006726B7">
        <w:rPr>
          <w:szCs w:val="22"/>
        </w:rPr>
        <w:t>UNCDF</w:t>
      </w:r>
      <w:r w:rsidR="00F923D5">
        <w:rPr>
          <w:szCs w:val="22"/>
        </w:rPr>
        <w:t>)</w:t>
      </w:r>
      <w:r w:rsidR="006726B7">
        <w:rPr>
          <w:szCs w:val="22"/>
        </w:rPr>
        <w:t xml:space="preserve"> with the objective of securing external fund managers to manage ASHI financing.  This exercise now complete, the appointed fund managers are investing in equities (60 per cent of funds) and fixed income (30 per cent) with the balance being placed in alternatives such as private equity and hedge funds.  </w:t>
      </w:r>
      <w:r w:rsidR="008506E8">
        <w:rPr>
          <w:szCs w:val="22"/>
        </w:rPr>
        <w:t>Furthermore</w:t>
      </w:r>
      <w:r w:rsidR="00F76A29">
        <w:rPr>
          <w:szCs w:val="22"/>
        </w:rPr>
        <w:t>, c</w:t>
      </w:r>
      <w:r w:rsidR="006726B7">
        <w:rPr>
          <w:szCs w:val="22"/>
        </w:rPr>
        <w:t xml:space="preserve">ertain agencies have succeeded in covering a significant percentage of their ASHI liabilities with their investments.  As at the end of 2013, WFP had investments covering 76.8 per cent of its ASHI liabilities, </w:t>
      </w:r>
      <w:r w:rsidR="008506E8">
        <w:rPr>
          <w:szCs w:val="22"/>
        </w:rPr>
        <w:t>the</w:t>
      </w:r>
      <w:r w:rsidR="006726B7">
        <w:rPr>
          <w:szCs w:val="22"/>
        </w:rPr>
        <w:t xml:space="preserve"> investments</w:t>
      </w:r>
      <w:r w:rsidR="008506E8">
        <w:rPr>
          <w:szCs w:val="22"/>
        </w:rPr>
        <w:t xml:space="preserve"> of the </w:t>
      </w:r>
      <w:r w:rsidR="008506E8">
        <w:rPr>
          <w:lang w:val="en"/>
        </w:rPr>
        <w:t>International Fund for Agricultural Development (IFAD)</w:t>
      </w:r>
      <w:r w:rsidR="006726B7">
        <w:rPr>
          <w:szCs w:val="22"/>
        </w:rPr>
        <w:t xml:space="preserve"> covered 98.6 per cent whilst those of UNDP covered 57.9 per cent.</w:t>
      </w:r>
      <w:r w:rsidR="00F76A29">
        <w:rPr>
          <w:szCs w:val="22"/>
        </w:rPr>
        <w:t xml:space="preserve">  </w:t>
      </w:r>
      <w:r w:rsidR="00A22A97">
        <w:rPr>
          <w:szCs w:val="22"/>
        </w:rPr>
        <w:t>The decisions taken by</w:t>
      </w:r>
      <w:r w:rsidR="00244178">
        <w:rPr>
          <w:szCs w:val="22"/>
        </w:rPr>
        <w:t xml:space="preserve"> all of</w:t>
      </w:r>
      <w:r w:rsidR="00A22A97">
        <w:rPr>
          <w:szCs w:val="22"/>
        </w:rPr>
        <w:t xml:space="preserve"> these agencies with regard to their ASHI investments demonstrate their acceptance of</w:t>
      </w:r>
      <w:r w:rsidR="00CB4989" w:rsidRPr="00AA117F">
        <w:rPr>
          <w:szCs w:val="22"/>
        </w:rPr>
        <w:t xml:space="preserve"> an increased </w:t>
      </w:r>
      <w:r w:rsidR="00A46899" w:rsidRPr="00AA117F">
        <w:rPr>
          <w:szCs w:val="22"/>
        </w:rPr>
        <w:t xml:space="preserve">level of risk </w:t>
      </w:r>
      <w:r w:rsidR="008157F8" w:rsidRPr="00AA117F">
        <w:rPr>
          <w:szCs w:val="22"/>
        </w:rPr>
        <w:t>in order to secure a higher return on ASHI funds</w:t>
      </w:r>
      <w:r w:rsidR="00CB4989" w:rsidRPr="00AA117F">
        <w:rPr>
          <w:szCs w:val="22"/>
        </w:rPr>
        <w:t>.</w:t>
      </w:r>
    </w:p>
    <w:p w:rsidR="008157F8" w:rsidRPr="00AA117F" w:rsidRDefault="00A46899" w:rsidP="00A314DC">
      <w:pPr>
        <w:pStyle w:val="ONUME"/>
        <w:rPr>
          <w:szCs w:val="22"/>
          <w:u w:val="single"/>
        </w:rPr>
      </w:pPr>
      <w:r w:rsidRPr="00AA117F">
        <w:rPr>
          <w:szCs w:val="22"/>
          <w:u w:val="single"/>
        </w:rPr>
        <w:t>Implications for the</w:t>
      </w:r>
      <w:r w:rsidR="008157F8" w:rsidRPr="00AA117F">
        <w:rPr>
          <w:szCs w:val="22"/>
          <w:u w:val="single"/>
        </w:rPr>
        <w:t xml:space="preserve"> investment policy</w:t>
      </w:r>
    </w:p>
    <w:p w:rsidR="008157F8" w:rsidRPr="00AA117F" w:rsidRDefault="00A87990" w:rsidP="00933F0A">
      <w:pPr>
        <w:pStyle w:val="ONUME"/>
        <w:rPr>
          <w:szCs w:val="22"/>
        </w:rPr>
      </w:pPr>
      <w:r>
        <w:rPr>
          <w:szCs w:val="22"/>
        </w:rPr>
        <w:t>16.</w:t>
      </w:r>
      <w:r>
        <w:rPr>
          <w:szCs w:val="22"/>
        </w:rPr>
        <w:tab/>
      </w:r>
      <w:r w:rsidR="008157F8" w:rsidRPr="00AA117F">
        <w:rPr>
          <w:szCs w:val="22"/>
        </w:rPr>
        <w:t xml:space="preserve">Given the long-term </w:t>
      </w:r>
      <w:r w:rsidR="00CB4989" w:rsidRPr="00AA117F">
        <w:rPr>
          <w:szCs w:val="22"/>
        </w:rPr>
        <w:t>nature of the ASHI fund</w:t>
      </w:r>
      <w:r w:rsidR="008157F8" w:rsidRPr="00AA117F">
        <w:rPr>
          <w:szCs w:val="22"/>
        </w:rPr>
        <w:t>, it was agreed</w:t>
      </w:r>
      <w:r w:rsidR="00CB4989" w:rsidRPr="00AA117F">
        <w:rPr>
          <w:szCs w:val="22"/>
        </w:rPr>
        <w:t xml:space="preserve"> in September 2014</w:t>
      </w:r>
      <w:r w:rsidR="008157F8" w:rsidRPr="00AA117F">
        <w:rPr>
          <w:szCs w:val="22"/>
        </w:rPr>
        <w:t xml:space="preserve"> by the Program and Budget Committee that a separate investment policy </w:t>
      </w:r>
      <w:r w:rsidR="00CB4989" w:rsidRPr="00AA117F">
        <w:rPr>
          <w:szCs w:val="22"/>
        </w:rPr>
        <w:t>should be prepared</w:t>
      </w:r>
      <w:r w:rsidR="003F715C" w:rsidRPr="00AA117F">
        <w:rPr>
          <w:szCs w:val="22"/>
        </w:rPr>
        <w:t xml:space="preserve"> for the fund</w:t>
      </w:r>
      <w:r w:rsidR="008157F8" w:rsidRPr="00AA117F">
        <w:rPr>
          <w:szCs w:val="22"/>
        </w:rPr>
        <w:t xml:space="preserve">.  Work has begun </w:t>
      </w:r>
      <w:r w:rsidR="00690580" w:rsidRPr="00AA117F">
        <w:rPr>
          <w:szCs w:val="22"/>
        </w:rPr>
        <w:t>with regard to commissioning an</w:t>
      </w:r>
      <w:r w:rsidR="00A71265">
        <w:rPr>
          <w:szCs w:val="22"/>
        </w:rPr>
        <w:t xml:space="preserve"> Asset</w:t>
      </w:r>
      <w:r w:rsidR="008157F8" w:rsidRPr="00AA117F">
        <w:rPr>
          <w:szCs w:val="22"/>
        </w:rPr>
        <w:t xml:space="preserve"> and Liability Management analysis (ALM) of the </w:t>
      </w:r>
      <w:r w:rsidR="00CB4989" w:rsidRPr="00AA117F">
        <w:rPr>
          <w:szCs w:val="22"/>
        </w:rPr>
        <w:t>ASHI liability</w:t>
      </w:r>
      <w:r w:rsidR="008157F8" w:rsidRPr="00AA117F">
        <w:rPr>
          <w:szCs w:val="22"/>
        </w:rPr>
        <w:t xml:space="preserve"> in order to correctly match the maturities contained within the overall liability with the asset</w:t>
      </w:r>
      <w:r w:rsidR="00690580" w:rsidRPr="00AA117F">
        <w:rPr>
          <w:szCs w:val="22"/>
        </w:rPr>
        <w:t>s</w:t>
      </w:r>
      <w:r w:rsidR="00CB4989" w:rsidRPr="00AA117F">
        <w:rPr>
          <w:szCs w:val="22"/>
        </w:rPr>
        <w:t xml:space="preserve"> into which the cash</w:t>
      </w:r>
      <w:r w:rsidR="008157F8" w:rsidRPr="00AA117F">
        <w:rPr>
          <w:szCs w:val="22"/>
        </w:rPr>
        <w:t xml:space="preserve"> would be invested.  Such ALM studies have been carried out by other UN </w:t>
      </w:r>
      <w:r w:rsidR="003E300A" w:rsidRPr="00AA117F">
        <w:rPr>
          <w:szCs w:val="22"/>
        </w:rPr>
        <w:t>agencies and have formed the basis for determining the invest</w:t>
      </w:r>
      <w:r w:rsidR="00A46899" w:rsidRPr="00AA117F">
        <w:rPr>
          <w:szCs w:val="22"/>
        </w:rPr>
        <w:t>ment asset classes to be used.</w:t>
      </w:r>
      <w:r w:rsidR="00CB4989" w:rsidRPr="00AA117F">
        <w:rPr>
          <w:szCs w:val="22"/>
        </w:rPr>
        <w:t xml:space="preserve">  In addition to the asset classes already indicated for </w:t>
      </w:r>
      <w:r w:rsidR="00CB4989" w:rsidRPr="00AA117F">
        <w:rPr>
          <w:szCs w:val="22"/>
        </w:rPr>
        <w:lastRenderedPageBreak/>
        <w:t xml:space="preserve">operating </w:t>
      </w:r>
      <w:r w:rsidR="003F715C" w:rsidRPr="00AA117F">
        <w:rPr>
          <w:szCs w:val="22"/>
        </w:rPr>
        <w:t>and core cash (paragraph 10</w:t>
      </w:r>
      <w:r w:rsidR="00702487" w:rsidRPr="00AA117F">
        <w:rPr>
          <w:szCs w:val="22"/>
        </w:rPr>
        <w:t>), it is proposed to allow investments in direct real estate holdings, equities (including equity funds both</w:t>
      </w:r>
      <w:r w:rsidR="00C16463">
        <w:rPr>
          <w:szCs w:val="22"/>
        </w:rPr>
        <w:t xml:space="preserve"> actively and passively managed)</w:t>
      </w:r>
      <w:r w:rsidR="00C16463">
        <w:rPr>
          <w:rStyle w:val="FootnoteReference"/>
          <w:szCs w:val="22"/>
        </w:rPr>
        <w:footnoteReference w:id="3"/>
      </w:r>
      <w:r w:rsidR="00702487" w:rsidRPr="00AA117F">
        <w:rPr>
          <w:szCs w:val="22"/>
        </w:rPr>
        <w:t xml:space="preserve"> and hedge funds.  Any of these i</w:t>
      </w:r>
      <w:r w:rsidR="00E82939">
        <w:rPr>
          <w:szCs w:val="22"/>
        </w:rPr>
        <w:t xml:space="preserve">nvestments could be held in currencies other than </w:t>
      </w:r>
      <w:r w:rsidR="00702487" w:rsidRPr="00AA117F">
        <w:rPr>
          <w:szCs w:val="22"/>
        </w:rPr>
        <w:t>Swiss francs and hedged into Swiss francs</w:t>
      </w:r>
      <w:r w:rsidR="0025429D">
        <w:rPr>
          <w:szCs w:val="22"/>
        </w:rPr>
        <w:t xml:space="preserve"> but this would only be done </w:t>
      </w:r>
      <w:r w:rsidR="00A71265">
        <w:rPr>
          <w:szCs w:val="22"/>
        </w:rPr>
        <w:t xml:space="preserve">if </w:t>
      </w:r>
      <w:r w:rsidR="0025429D">
        <w:rPr>
          <w:szCs w:val="22"/>
        </w:rPr>
        <w:t>an overall</w:t>
      </w:r>
      <w:r w:rsidR="00702487" w:rsidRPr="00AA117F">
        <w:rPr>
          <w:szCs w:val="22"/>
        </w:rPr>
        <w:t xml:space="preserve"> positive return</w:t>
      </w:r>
      <w:r w:rsidR="0025429D">
        <w:rPr>
          <w:szCs w:val="22"/>
        </w:rPr>
        <w:t xml:space="preserve"> could be anticipated</w:t>
      </w:r>
      <w:r w:rsidR="00702487" w:rsidRPr="00AA117F">
        <w:rPr>
          <w:szCs w:val="22"/>
        </w:rPr>
        <w:t>.</w:t>
      </w:r>
    </w:p>
    <w:p w:rsidR="004856AB" w:rsidRPr="00AA117F" w:rsidRDefault="004856AB" w:rsidP="005025F5">
      <w:pPr>
        <w:pStyle w:val="ONUME"/>
        <w:rPr>
          <w:b/>
          <w:caps/>
          <w:szCs w:val="22"/>
        </w:rPr>
      </w:pPr>
      <w:r w:rsidRPr="00AA117F">
        <w:rPr>
          <w:b/>
          <w:caps/>
          <w:szCs w:val="22"/>
        </w:rPr>
        <w:t>Risk and Return</w:t>
      </w:r>
    </w:p>
    <w:p w:rsidR="00AA117F" w:rsidRPr="002C02EA" w:rsidRDefault="00A87990" w:rsidP="00CB67E8">
      <w:pPr>
        <w:pStyle w:val="ONUME"/>
        <w:rPr>
          <w:sz w:val="18"/>
          <w:szCs w:val="18"/>
        </w:rPr>
      </w:pPr>
      <w:r>
        <w:t>17.</w:t>
      </w:r>
      <w:r>
        <w:tab/>
      </w:r>
      <w:r w:rsidR="007D0D8A">
        <w:t xml:space="preserve">The chart shown in </w:t>
      </w:r>
      <w:r w:rsidR="001F13FE">
        <w:t>Chart 1</w:t>
      </w:r>
      <w:r w:rsidR="00A46899" w:rsidRPr="00AA117F">
        <w:t xml:space="preserve"> is based on similar charts provided by Zanders and WIPO’s principal banking partners and</w:t>
      </w:r>
      <w:r w:rsidR="00E6791B" w:rsidRPr="00AA117F">
        <w:t xml:space="preserve"> shows the relationship between risk</w:t>
      </w:r>
      <w:r w:rsidR="00F67053" w:rsidRPr="00AA117F">
        <w:t xml:space="preserve"> and return. As can be clearly seen</w:t>
      </w:r>
      <w:r w:rsidR="00A46899" w:rsidRPr="00AA117F">
        <w:t>,</w:t>
      </w:r>
      <w:r w:rsidR="00F67053" w:rsidRPr="00AA117F">
        <w:t xml:space="preserve"> bank deposits and</w:t>
      </w:r>
      <w:r w:rsidR="002465F0">
        <w:t xml:space="preserve"> short to medium-term</w:t>
      </w:r>
      <w:r w:rsidR="00F67053" w:rsidRPr="00AA117F">
        <w:t xml:space="preserve"> Swiss government bonds are currently</w:t>
      </w:r>
      <w:r w:rsidR="00690580" w:rsidRPr="00AA117F">
        <w:t xml:space="preserve"> providing negative returns</w:t>
      </w:r>
      <w:r w:rsidR="00F67053" w:rsidRPr="00AA117F">
        <w:t>.  Many market commentators believe that negative returns will continue to exist for up to five years and currently Swiss government bonds only provide a positive return if held for more than 12 years</w:t>
      </w:r>
      <w:r w:rsidR="00A46899" w:rsidRPr="00AA117F">
        <w:t xml:space="preserve"> (long-term bonds)</w:t>
      </w:r>
      <w:r w:rsidR="00F67053" w:rsidRPr="00AA117F">
        <w:t>.  Faced with this situation, many investors, including</w:t>
      </w:r>
      <w:r w:rsidR="00BD19F1" w:rsidRPr="00AA117F">
        <w:t xml:space="preserve"> those</w:t>
      </w:r>
      <w:r w:rsidR="00F67053" w:rsidRPr="00AA117F">
        <w:t xml:space="preserve"> within the public sector, have moved along the risk axis, </w:t>
      </w:r>
      <w:r w:rsidR="00BD19F1" w:rsidRPr="00AA117F">
        <w:t>investing in asset classes which bring additional risk</w:t>
      </w:r>
      <w:r w:rsidR="00F67053" w:rsidRPr="00AA117F">
        <w:t>, in order to achieve a positive return on investments.</w:t>
      </w:r>
    </w:p>
    <w:p w:rsidR="00702487" w:rsidRPr="00AA117F" w:rsidRDefault="00F76A29" w:rsidP="00A314DC">
      <w:pPr>
        <w:pStyle w:val="ONUME"/>
        <w:keepNext/>
        <w:keepLines/>
        <w:jc w:val="center"/>
        <w:rPr>
          <w:b/>
          <w:szCs w:val="22"/>
        </w:rPr>
      </w:pPr>
      <w:r w:rsidRPr="00584493">
        <w:rPr>
          <w:noProof/>
          <w:lang w:eastAsia="en-US"/>
        </w:rPr>
        <w:drawing>
          <wp:anchor distT="0" distB="0" distL="114300" distR="114300" simplePos="0" relativeHeight="251660288" behindDoc="0" locked="0" layoutInCell="1" allowOverlap="1" wp14:anchorId="0A9E1B96" wp14:editId="6E9508BB">
            <wp:simplePos x="0" y="0"/>
            <wp:positionH relativeFrom="column">
              <wp:posOffset>509270</wp:posOffset>
            </wp:positionH>
            <wp:positionV relativeFrom="paragraph">
              <wp:posOffset>184002</wp:posOffset>
            </wp:positionV>
            <wp:extent cx="4606160" cy="3343423"/>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10013" cy="33462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13FE">
        <w:rPr>
          <w:b/>
          <w:szCs w:val="22"/>
        </w:rPr>
        <w:t>Chart 1</w:t>
      </w:r>
    </w:p>
    <w:p w:rsidR="00702487" w:rsidRDefault="00702487" w:rsidP="00A314DC">
      <w:pPr>
        <w:pStyle w:val="ONUME"/>
        <w:keepNext/>
        <w:keepLines/>
        <w:jc w:val="center"/>
        <w:rPr>
          <w:sz w:val="18"/>
          <w:szCs w:val="18"/>
        </w:rPr>
      </w:pPr>
    </w:p>
    <w:p w:rsidR="00F76A29" w:rsidRDefault="00F76A29" w:rsidP="00A314DC">
      <w:pPr>
        <w:pStyle w:val="ONUME"/>
        <w:keepNext/>
        <w:keepLines/>
        <w:jc w:val="center"/>
        <w:rPr>
          <w:sz w:val="18"/>
          <w:szCs w:val="18"/>
        </w:rPr>
      </w:pPr>
    </w:p>
    <w:p w:rsidR="00F76A29" w:rsidRDefault="00F76A29" w:rsidP="00A314DC">
      <w:pPr>
        <w:pStyle w:val="ONUME"/>
        <w:keepNext/>
        <w:keepLines/>
        <w:jc w:val="center"/>
        <w:rPr>
          <w:sz w:val="18"/>
          <w:szCs w:val="18"/>
        </w:rPr>
      </w:pPr>
    </w:p>
    <w:p w:rsidR="00F76A29" w:rsidRDefault="00F76A29" w:rsidP="00A314DC">
      <w:pPr>
        <w:pStyle w:val="ONUME"/>
        <w:keepNext/>
        <w:keepLines/>
        <w:jc w:val="center"/>
        <w:rPr>
          <w:sz w:val="18"/>
          <w:szCs w:val="18"/>
        </w:rPr>
      </w:pPr>
    </w:p>
    <w:p w:rsidR="00F76A29" w:rsidRDefault="00F76A29" w:rsidP="00A314DC">
      <w:pPr>
        <w:pStyle w:val="ONUME"/>
        <w:keepNext/>
        <w:keepLines/>
        <w:jc w:val="center"/>
        <w:rPr>
          <w:sz w:val="18"/>
          <w:szCs w:val="18"/>
        </w:rPr>
      </w:pPr>
    </w:p>
    <w:p w:rsidR="00F76A29" w:rsidRDefault="00F76A29" w:rsidP="00A314DC">
      <w:pPr>
        <w:pStyle w:val="ONUME"/>
        <w:keepNext/>
        <w:keepLines/>
        <w:jc w:val="center"/>
        <w:rPr>
          <w:sz w:val="18"/>
          <w:szCs w:val="18"/>
        </w:rPr>
      </w:pPr>
    </w:p>
    <w:p w:rsidR="00F76A29" w:rsidRDefault="00F76A29" w:rsidP="00A314DC">
      <w:pPr>
        <w:pStyle w:val="ONUME"/>
        <w:keepNext/>
        <w:keepLines/>
        <w:jc w:val="center"/>
        <w:rPr>
          <w:sz w:val="18"/>
          <w:szCs w:val="18"/>
        </w:rPr>
      </w:pPr>
    </w:p>
    <w:p w:rsidR="00F76A29" w:rsidRDefault="00F76A29" w:rsidP="00A314DC">
      <w:pPr>
        <w:pStyle w:val="ONUME"/>
        <w:keepNext/>
        <w:keepLines/>
        <w:jc w:val="center"/>
        <w:rPr>
          <w:sz w:val="18"/>
          <w:szCs w:val="18"/>
        </w:rPr>
      </w:pPr>
    </w:p>
    <w:p w:rsidR="00F76A29" w:rsidRDefault="00F76A29" w:rsidP="00A314DC">
      <w:pPr>
        <w:pStyle w:val="ONUME"/>
        <w:keepNext/>
        <w:keepLines/>
        <w:jc w:val="center"/>
        <w:rPr>
          <w:sz w:val="18"/>
          <w:szCs w:val="18"/>
        </w:rPr>
      </w:pPr>
    </w:p>
    <w:p w:rsidR="00F76A29" w:rsidRDefault="00F76A29" w:rsidP="00A314DC">
      <w:pPr>
        <w:pStyle w:val="ONUME"/>
        <w:keepNext/>
        <w:keepLines/>
        <w:jc w:val="center"/>
        <w:rPr>
          <w:sz w:val="18"/>
          <w:szCs w:val="18"/>
        </w:rPr>
      </w:pPr>
    </w:p>
    <w:p w:rsidR="00F76A29" w:rsidRDefault="00F76A29" w:rsidP="00A314DC">
      <w:pPr>
        <w:pStyle w:val="ONUME"/>
        <w:keepNext/>
        <w:keepLines/>
        <w:jc w:val="center"/>
        <w:rPr>
          <w:sz w:val="18"/>
          <w:szCs w:val="18"/>
        </w:rPr>
      </w:pPr>
    </w:p>
    <w:p w:rsidR="00F76A29" w:rsidRDefault="00F76A29" w:rsidP="00A314DC">
      <w:pPr>
        <w:pStyle w:val="ONUME"/>
        <w:keepNext/>
        <w:keepLines/>
        <w:rPr>
          <w:sz w:val="18"/>
          <w:szCs w:val="18"/>
        </w:rPr>
      </w:pPr>
    </w:p>
    <w:p w:rsidR="007D0D8A" w:rsidRPr="007D0D8A" w:rsidRDefault="007D0D8A" w:rsidP="00690580">
      <w:pPr>
        <w:pStyle w:val="ONUME"/>
        <w:rPr>
          <w:i/>
          <w:sz w:val="18"/>
          <w:szCs w:val="18"/>
        </w:rPr>
      </w:pPr>
      <w:r w:rsidRPr="007D0D8A">
        <w:rPr>
          <w:i/>
          <w:sz w:val="18"/>
          <w:szCs w:val="18"/>
        </w:rPr>
        <w:t xml:space="preserve">This table shows the </w:t>
      </w:r>
      <w:r>
        <w:rPr>
          <w:i/>
          <w:sz w:val="18"/>
          <w:szCs w:val="18"/>
        </w:rPr>
        <w:t>relative positions of asset classes in terms of their risk/return relationship.  The table is not to scale.</w:t>
      </w:r>
    </w:p>
    <w:p w:rsidR="00F67053" w:rsidRPr="00AA117F" w:rsidRDefault="00A87990" w:rsidP="005025F5">
      <w:pPr>
        <w:pStyle w:val="ONUME"/>
        <w:rPr>
          <w:szCs w:val="22"/>
        </w:rPr>
      </w:pPr>
      <w:r>
        <w:rPr>
          <w:szCs w:val="22"/>
        </w:rPr>
        <w:t>18.</w:t>
      </w:r>
      <w:r>
        <w:rPr>
          <w:szCs w:val="22"/>
        </w:rPr>
        <w:tab/>
      </w:r>
      <w:r w:rsidR="00F67053" w:rsidRPr="00AA117F">
        <w:rPr>
          <w:szCs w:val="22"/>
        </w:rPr>
        <w:t>Although this strategy</w:t>
      </w:r>
      <w:r w:rsidR="00BD19F1" w:rsidRPr="00AA117F">
        <w:rPr>
          <w:szCs w:val="22"/>
        </w:rPr>
        <w:t xml:space="preserve"> obviously</w:t>
      </w:r>
      <w:r w:rsidR="00F67053" w:rsidRPr="00AA117F">
        <w:rPr>
          <w:szCs w:val="22"/>
        </w:rPr>
        <w:t xml:space="preserve"> brings an increased level of risk</w:t>
      </w:r>
      <w:r w:rsidR="00871970" w:rsidRPr="00AA117F">
        <w:rPr>
          <w:szCs w:val="22"/>
        </w:rPr>
        <w:t xml:space="preserve"> to a portfolio of investments</w:t>
      </w:r>
      <w:r w:rsidR="00F67053" w:rsidRPr="00AA117F">
        <w:rPr>
          <w:szCs w:val="22"/>
        </w:rPr>
        <w:t xml:space="preserve">, the alternative </w:t>
      </w:r>
      <w:r w:rsidR="00BD19F1" w:rsidRPr="00AA117F">
        <w:rPr>
          <w:szCs w:val="22"/>
        </w:rPr>
        <w:t>of investing</w:t>
      </w:r>
      <w:r w:rsidR="00F67053" w:rsidRPr="00AA117F">
        <w:rPr>
          <w:szCs w:val="22"/>
        </w:rPr>
        <w:t xml:space="preserve"> in bank deposits and Swiss government bonds will guarantee the erosion of such monies</w:t>
      </w:r>
      <w:r w:rsidR="00BD19F1" w:rsidRPr="00AA117F">
        <w:rPr>
          <w:szCs w:val="22"/>
        </w:rPr>
        <w:t xml:space="preserve"> for as long as negative rates prevail.  Such</w:t>
      </w:r>
      <w:r w:rsidR="00F67053" w:rsidRPr="00AA117F">
        <w:rPr>
          <w:szCs w:val="22"/>
        </w:rPr>
        <w:t xml:space="preserve"> interest rat</w:t>
      </w:r>
      <w:r w:rsidR="00F70A16">
        <w:rPr>
          <w:szCs w:val="22"/>
        </w:rPr>
        <w:t xml:space="preserve">es are currently </w:t>
      </w:r>
      <w:r w:rsidR="00F70A16" w:rsidRPr="00F70A16">
        <w:rPr>
          <w:szCs w:val="22"/>
          <w:vertAlign w:val="superscript"/>
        </w:rPr>
        <w:t>__</w:t>
      </w:r>
      <w:r w:rsidR="00C16463">
        <w:rPr>
          <w:szCs w:val="22"/>
          <w:vertAlign w:val="superscript"/>
        </w:rPr>
        <w:t xml:space="preserve"> </w:t>
      </w:r>
      <w:r w:rsidR="00F67053" w:rsidRPr="00AA117F">
        <w:rPr>
          <w:szCs w:val="22"/>
        </w:rPr>
        <w:t>0.75% and could deteriorate further.</w:t>
      </w:r>
    </w:p>
    <w:p w:rsidR="007B20FC" w:rsidRPr="00AA117F" w:rsidRDefault="00A87990" w:rsidP="007B20FC">
      <w:pPr>
        <w:pStyle w:val="ONUME"/>
        <w:rPr>
          <w:szCs w:val="22"/>
        </w:rPr>
      </w:pPr>
      <w:r>
        <w:rPr>
          <w:szCs w:val="22"/>
        </w:rPr>
        <w:t>19.</w:t>
      </w:r>
      <w:r>
        <w:rPr>
          <w:szCs w:val="22"/>
        </w:rPr>
        <w:tab/>
      </w:r>
      <w:r w:rsidR="007B20FC" w:rsidRPr="00AA117F">
        <w:rPr>
          <w:szCs w:val="22"/>
        </w:rPr>
        <w:t>In deciding to move along the risk axis, typical considerations for the investor are as follows:</w:t>
      </w:r>
    </w:p>
    <w:p w:rsidR="007B20FC" w:rsidRPr="00AA117F" w:rsidRDefault="007B20FC" w:rsidP="00A314DC">
      <w:pPr>
        <w:pStyle w:val="ONUME"/>
        <w:numPr>
          <w:ilvl w:val="0"/>
          <w:numId w:val="4"/>
        </w:numPr>
        <w:tabs>
          <w:tab w:val="left" w:pos="1134"/>
        </w:tabs>
        <w:ind w:left="567" w:firstLine="0"/>
        <w:rPr>
          <w:szCs w:val="22"/>
        </w:rPr>
      </w:pPr>
      <w:r w:rsidRPr="00AA117F">
        <w:rPr>
          <w:szCs w:val="22"/>
        </w:rPr>
        <w:t>The impact of the length of the time horizon on the ability to take risk – generally the longer the time horizon over which investments can be made and held, the greater the risk level that can be accepted;</w:t>
      </w:r>
    </w:p>
    <w:p w:rsidR="007B20FC" w:rsidRPr="00AA117F" w:rsidRDefault="007B20FC" w:rsidP="00677206">
      <w:pPr>
        <w:pStyle w:val="ONUME"/>
        <w:numPr>
          <w:ilvl w:val="0"/>
          <w:numId w:val="4"/>
        </w:numPr>
        <w:tabs>
          <w:tab w:val="left" w:pos="1134"/>
        </w:tabs>
        <w:ind w:left="567" w:firstLine="0"/>
        <w:rPr>
          <w:szCs w:val="22"/>
        </w:rPr>
      </w:pPr>
      <w:r w:rsidRPr="00AA117F">
        <w:rPr>
          <w:szCs w:val="22"/>
        </w:rPr>
        <w:lastRenderedPageBreak/>
        <w:t xml:space="preserve">The impact of the length of the time horizon on the asset allocation – if cash is required in the immediate future, it should be held in asset classes which can </w:t>
      </w:r>
      <w:r w:rsidR="00BD19F1" w:rsidRPr="00AA117F">
        <w:rPr>
          <w:szCs w:val="22"/>
        </w:rPr>
        <w:t xml:space="preserve">be </w:t>
      </w:r>
      <w:r w:rsidRPr="00AA117F">
        <w:rPr>
          <w:szCs w:val="22"/>
        </w:rPr>
        <w:t>realize</w:t>
      </w:r>
      <w:r w:rsidR="00BD19F1" w:rsidRPr="00AA117F">
        <w:rPr>
          <w:szCs w:val="22"/>
        </w:rPr>
        <w:t>d into</w:t>
      </w:r>
      <w:r w:rsidRPr="00AA117F">
        <w:rPr>
          <w:szCs w:val="22"/>
        </w:rPr>
        <w:t xml:space="preserve"> cash quickly and at </w:t>
      </w:r>
      <w:r w:rsidR="00847040" w:rsidRPr="00AA117F">
        <w:rPr>
          <w:szCs w:val="22"/>
        </w:rPr>
        <w:t xml:space="preserve">little or </w:t>
      </w:r>
      <w:r w:rsidRPr="00AA117F">
        <w:rPr>
          <w:szCs w:val="22"/>
        </w:rPr>
        <w:t>no cost.  Similarly, if cash is not required for several years, it can be invested in assets which</w:t>
      </w:r>
      <w:r w:rsidR="00EB4586" w:rsidRPr="00AA117F">
        <w:rPr>
          <w:szCs w:val="22"/>
        </w:rPr>
        <w:t xml:space="preserve"> either take some time to be converted into cash, such as direct investments in real estate, or</w:t>
      </w:r>
      <w:r w:rsidR="00871970" w:rsidRPr="00AA117F">
        <w:rPr>
          <w:szCs w:val="22"/>
        </w:rPr>
        <w:t xml:space="preserve"> which</w:t>
      </w:r>
      <w:r w:rsidR="00EB4586" w:rsidRPr="00AA117F">
        <w:rPr>
          <w:szCs w:val="22"/>
        </w:rPr>
        <w:t xml:space="preserve"> should only be liquidated when market conditions are appropriate, such as holdings in equities</w:t>
      </w:r>
      <w:r w:rsidRPr="00AA117F">
        <w:rPr>
          <w:szCs w:val="22"/>
        </w:rPr>
        <w:t>.</w:t>
      </w:r>
    </w:p>
    <w:p w:rsidR="007B20FC" w:rsidRPr="00AA117F" w:rsidRDefault="007B20FC" w:rsidP="00677206">
      <w:pPr>
        <w:pStyle w:val="ONUME"/>
        <w:numPr>
          <w:ilvl w:val="0"/>
          <w:numId w:val="4"/>
        </w:numPr>
        <w:tabs>
          <w:tab w:val="left" w:pos="1134"/>
        </w:tabs>
        <w:ind w:left="567" w:firstLine="0"/>
        <w:rPr>
          <w:szCs w:val="22"/>
        </w:rPr>
      </w:pPr>
      <w:r w:rsidRPr="00AA117F">
        <w:rPr>
          <w:szCs w:val="22"/>
        </w:rPr>
        <w:t>Willingness and ability to bea</w:t>
      </w:r>
      <w:r w:rsidR="00EB4586" w:rsidRPr="00AA117F">
        <w:rPr>
          <w:szCs w:val="22"/>
        </w:rPr>
        <w:t>r portfolio value fluctuations (volatility)</w:t>
      </w:r>
      <w:r w:rsidR="00657A95" w:rsidRPr="00AA117F">
        <w:rPr>
          <w:szCs w:val="22"/>
        </w:rPr>
        <w:t xml:space="preserve"> -</w:t>
      </w:r>
      <w:r w:rsidRPr="00AA117F">
        <w:rPr>
          <w:szCs w:val="22"/>
        </w:rPr>
        <w:t xml:space="preserve"> the value of investments can fall as well as rise over time.  This is true not only of those asset classes which are considered to be “riskier” such as equities but also of less “risky” investments such as government bonds.  In </w:t>
      </w:r>
      <w:r w:rsidR="005328D8" w:rsidRPr="00AA117F">
        <w:rPr>
          <w:szCs w:val="22"/>
        </w:rPr>
        <w:t>the current market, Swiss franc</w:t>
      </w:r>
      <w:r w:rsidRPr="00AA117F">
        <w:rPr>
          <w:szCs w:val="22"/>
        </w:rPr>
        <w:t xml:space="preserve"> bank deposits would also show fall</w:t>
      </w:r>
      <w:r w:rsidR="005328D8" w:rsidRPr="00AA117F">
        <w:rPr>
          <w:szCs w:val="22"/>
        </w:rPr>
        <w:t>s</w:t>
      </w:r>
      <w:r w:rsidRPr="00AA117F">
        <w:rPr>
          <w:szCs w:val="22"/>
        </w:rPr>
        <w:t xml:space="preserve"> in value.  “Riskier” investments</w:t>
      </w:r>
      <w:r w:rsidR="00EB4586" w:rsidRPr="00AA117F">
        <w:rPr>
          <w:szCs w:val="22"/>
        </w:rPr>
        <w:t xml:space="preserve"> tend to be accompanied by higher levels of </w:t>
      </w:r>
      <w:r w:rsidR="00657A95" w:rsidRPr="00AA117F">
        <w:rPr>
          <w:szCs w:val="22"/>
        </w:rPr>
        <w:t>volatility</w:t>
      </w:r>
      <w:r w:rsidR="00EB4586" w:rsidRPr="00AA117F">
        <w:rPr>
          <w:szCs w:val="22"/>
        </w:rPr>
        <w:t>.  F</w:t>
      </w:r>
      <w:r w:rsidRPr="00AA117F">
        <w:rPr>
          <w:szCs w:val="22"/>
        </w:rPr>
        <w:t>luctuations</w:t>
      </w:r>
      <w:r w:rsidR="00EB4586" w:rsidRPr="00AA117F">
        <w:rPr>
          <w:szCs w:val="22"/>
        </w:rPr>
        <w:t xml:space="preserve"> in value would</w:t>
      </w:r>
      <w:r w:rsidRPr="00AA117F">
        <w:rPr>
          <w:szCs w:val="22"/>
        </w:rPr>
        <w:t xml:space="preserve"> have to be recorded in the financial accounts of the Organization and</w:t>
      </w:r>
      <w:r w:rsidR="00EB4586" w:rsidRPr="00AA117F">
        <w:rPr>
          <w:szCs w:val="22"/>
        </w:rPr>
        <w:t xml:space="preserve"> this would mean that</w:t>
      </w:r>
      <w:r w:rsidR="00871970" w:rsidRPr="00AA117F">
        <w:rPr>
          <w:szCs w:val="22"/>
        </w:rPr>
        <w:t xml:space="preserve"> unreali</w:t>
      </w:r>
      <w:r w:rsidR="00677206">
        <w:rPr>
          <w:szCs w:val="22"/>
        </w:rPr>
        <w:t>z</w:t>
      </w:r>
      <w:r w:rsidR="00871970" w:rsidRPr="00AA117F">
        <w:rPr>
          <w:szCs w:val="22"/>
        </w:rPr>
        <w:t>ed</w:t>
      </w:r>
      <w:r w:rsidR="00EB4586" w:rsidRPr="00AA117F">
        <w:rPr>
          <w:szCs w:val="22"/>
        </w:rPr>
        <w:t xml:space="preserve"> inv</w:t>
      </w:r>
      <w:r w:rsidR="00657A95" w:rsidRPr="00AA117F">
        <w:rPr>
          <w:szCs w:val="22"/>
        </w:rPr>
        <w:t>estment losses</w:t>
      </w:r>
      <w:r w:rsidR="00083D5D" w:rsidRPr="00AA117F">
        <w:rPr>
          <w:szCs w:val="22"/>
        </w:rPr>
        <w:t xml:space="preserve"> and gains</w:t>
      </w:r>
      <w:r w:rsidR="00657A95" w:rsidRPr="00AA117F">
        <w:rPr>
          <w:szCs w:val="22"/>
        </w:rPr>
        <w:t xml:space="preserve"> would be included</w:t>
      </w:r>
      <w:r w:rsidR="00EB4586" w:rsidRPr="00AA117F">
        <w:rPr>
          <w:szCs w:val="22"/>
        </w:rPr>
        <w:t xml:space="preserve"> in e</w:t>
      </w:r>
      <w:r w:rsidR="00871970" w:rsidRPr="00AA117F">
        <w:rPr>
          <w:szCs w:val="22"/>
        </w:rPr>
        <w:t>ither the results for the year or booked against reserves depending on the type of investment held</w:t>
      </w:r>
      <w:r w:rsidRPr="00AA117F">
        <w:rPr>
          <w:szCs w:val="22"/>
        </w:rPr>
        <w:t>.</w:t>
      </w:r>
      <w:r w:rsidR="00871970" w:rsidRPr="00AA117F">
        <w:rPr>
          <w:szCs w:val="22"/>
        </w:rPr>
        <w:t xml:space="preserve">  Realized losses</w:t>
      </w:r>
      <w:r w:rsidR="00083D5D" w:rsidRPr="00AA117F">
        <w:rPr>
          <w:szCs w:val="22"/>
        </w:rPr>
        <w:t xml:space="preserve"> and gains</w:t>
      </w:r>
      <w:r w:rsidR="00871970" w:rsidRPr="00AA117F">
        <w:rPr>
          <w:szCs w:val="22"/>
        </w:rPr>
        <w:t xml:space="preserve"> would obviously be included in the results for the year.</w:t>
      </w:r>
    </w:p>
    <w:p w:rsidR="00F67053" w:rsidRPr="00AA117F" w:rsidRDefault="00A87990" w:rsidP="005025F5">
      <w:pPr>
        <w:pStyle w:val="ONUME"/>
        <w:rPr>
          <w:szCs w:val="22"/>
        </w:rPr>
      </w:pPr>
      <w:r>
        <w:rPr>
          <w:szCs w:val="22"/>
        </w:rPr>
        <w:t>20.</w:t>
      </w:r>
      <w:r>
        <w:rPr>
          <w:szCs w:val="22"/>
        </w:rPr>
        <w:tab/>
      </w:r>
      <w:r w:rsidR="0059310A" w:rsidRPr="00AA117F">
        <w:rPr>
          <w:szCs w:val="22"/>
        </w:rPr>
        <w:t>I</w:t>
      </w:r>
      <w:r w:rsidR="00F67053" w:rsidRPr="00AA117F">
        <w:rPr>
          <w:szCs w:val="22"/>
        </w:rPr>
        <w:t>t is i</w:t>
      </w:r>
      <w:r w:rsidR="00E6791B" w:rsidRPr="00AA117F">
        <w:rPr>
          <w:szCs w:val="22"/>
        </w:rPr>
        <w:t>mportant to note that the trade-</w:t>
      </w:r>
      <w:r w:rsidR="00F67053" w:rsidRPr="00AA117F">
        <w:rPr>
          <w:szCs w:val="22"/>
        </w:rPr>
        <w:t>off between risk and return within a portfolio of investments is n</w:t>
      </w:r>
      <w:r w:rsidR="0059310A" w:rsidRPr="00AA117F">
        <w:rPr>
          <w:szCs w:val="22"/>
        </w:rPr>
        <w:t>ot only dependent on each asset’s</w:t>
      </w:r>
      <w:r w:rsidR="00F67053" w:rsidRPr="00AA117F">
        <w:rPr>
          <w:szCs w:val="22"/>
        </w:rPr>
        <w:t xml:space="preserve"> risk and return profile but also on the correlation </w:t>
      </w:r>
      <w:r w:rsidR="000F07E1" w:rsidRPr="00AA117F">
        <w:rPr>
          <w:szCs w:val="22"/>
        </w:rPr>
        <w:t>o</w:t>
      </w:r>
      <w:r w:rsidR="00D936CA" w:rsidRPr="00AA117F">
        <w:rPr>
          <w:szCs w:val="22"/>
        </w:rPr>
        <w:t>f returns between assets.  If</w:t>
      </w:r>
      <w:r w:rsidR="000F07E1" w:rsidRPr="00AA117F">
        <w:rPr>
          <w:szCs w:val="22"/>
        </w:rPr>
        <w:t xml:space="preserve"> the correlation be</w:t>
      </w:r>
      <w:r w:rsidR="00D936CA" w:rsidRPr="00AA117F">
        <w:rPr>
          <w:szCs w:val="22"/>
        </w:rPr>
        <w:t>tween the various assets held can be</w:t>
      </w:r>
      <w:r w:rsidR="000F07E1" w:rsidRPr="00AA117F">
        <w:rPr>
          <w:szCs w:val="22"/>
        </w:rPr>
        <w:t xml:space="preserve"> minimized,</w:t>
      </w:r>
      <w:r w:rsidR="007B20FC" w:rsidRPr="00AA117F">
        <w:rPr>
          <w:szCs w:val="22"/>
        </w:rPr>
        <w:t xml:space="preserve"> the</w:t>
      </w:r>
      <w:r w:rsidR="000F07E1" w:rsidRPr="00AA117F">
        <w:rPr>
          <w:szCs w:val="22"/>
        </w:rPr>
        <w:t xml:space="preserve"> returns from the</w:t>
      </w:r>
      <w:r w:rsidR="007B20FC" w:rsidRPr="00AA117F">
        <w:rPr>
          <w:szCs w:val="22"/>
        </w:rPr>
        <w:t xml:space="preserve"> different</w:t>
      </w:r>
      <w:r w:rsidR="000F07E1" w:rsidRPr="00AA117F">
        <w:rPr>
          <w:szCs w:val="22"/>
        </w:rPr>
        <w:t xml:space="preserve"> assets will not be affected in the same way</w:t>
      </w:r>
      <w:r w:rsidR="00871970" w:rsidRPr="00AA117F">
        <w:rPr>
          <w:szCs w:val="22"/>
        </w:rPr>
        <w:t xml:space="preserve"> or to the same extent</w:t>
      </w:r>
      <w:r w:rsidR="000F07E1" w:rsidRPr="00AA117F">
        <w:rPr>
          <w:szCs w:val="22"/>
        </w:rPr>
        <w:t xml:space="preserve"> by a market event.  In a well</w:t>
      </w:r>
      <w:r w:rsidR="00FB5385">
        <w:rPr>
          <w:szCs w:val="22"/>
        </w:rPr>
        <w:t>-</w:t>
      </w:r>
      <w:r w:rsidR="000F07E1" w:rsidRPr="00AA117F">
        <w:rPr>
          <w:szCs w:val="22"/>
        </w:rPr>
        <w:t>diversified portfolio, as the return of one asset class falls, the return of another asset class rises to partly or wholly compensate.  It is therefore important to invest in a range of asset classes, ensuring sufficient diversification and building what is known as an optimal portfolio.</w:t>
      </w:r>
      <w:r w:rsidR="00083D5D" w:rsidRPr="00AA117F">
        <w:rPr>
          <w:szCs w:val="22"/>
        </w:rPr>
        <w:t xml:space="preserve">  </w:t>
      </w:r>
      <w:r w:rsidR="00023218">
        <w:rPr>
          <w:szCs w:val="22"/>
        </w:rPr>
        <w:t>Annex 3 shows how a portfolio can be diversified and the impact of this upon returns over a period of several years</w:t>
      </w:r>
      <w:r w:rsidR="00C0585C">
        <w:rPr>
          <w:szCs w:val="22"/>
        </w:rPr>
        <w:t xml:space="preserve"> </w:t>
      </w:r>
      <w:r w:rsidR="00244178">
        <w:rPr>
          <w:szCs w:val="22"/>
        </w:rPr>
        <w:t>(</w:t>
      </w:r>
      <w:r w:rsidR="00C0585C">
        <w:rPr>
          <w:szCs w:val="22"/>
        </w:rPr>
        <w:t xml:space="preserve">historical returns </w:t>
      </w:r>
      <w:r w:rsidR="008506E8">
        <w:rPr>
          <w:szCs w:val="22"/>
        </w:rPr>
        <w:t xml:space="preserve">from </w:t>
      </w:r>
      <w:r w:rsidR="00C0585C">
        <w:rPr>
          <w:szCs w:val="22"/>
        </w:rPr>
        <w:t>January 2005 to December 2014 and expected returns for the period 2015-2020)</w:t>
      </w:r>
      <w:r w:rsidR="00087374">
        <w:rPr>
          <w:szCs w:val="22"/>
        </w:rPr>
        <w:t>.</w:t>
      </w:r>
      <w:r w:rsidR="00C0585C">
        <w:rPr>
          <w:szCs w:val="22"/>
        </w:rPr>
        <w:t xml:space="preserve">  The degree of risk accompanying these returns is also shown</w:t>
      </w:r>
      <w:r w:rsidR="00023218">
        <w:rPr>
          <w:szCs w:val="22"/>
        </w:rPr>
        <w:t>.  The column headed “Portfolio” is indicative of</w:t>
      </w:r>
      <w:r w:rsidR="00087374">
        <w:rPr>
          <w:szCs w:val="22"/>
        </w:rPr>
        <w:t xml:space="preserve"> what WIPO’s investment position will be once the Organization’s deposits with the AFF come to an end and are credited to accounts held with commercial banking partners.  </w:t>
      </w:r>
      <w:r w:rsidR="008506E8">
        <w:rPr>
          <w:szCs w:val="22"/>
        </w:rPr>
        <w:t>T</w:t>
      </w:r>
      <w:r w:rsidR="00087374">
        <w:rPr>
          <w:szCs w:val="22"/>
        </w:rPr>
        <w:t>he column</w:t>
      </w:r>
      <w:r w:rsidR="00023218">
        <w:rPr>
          <w:szCs w:val="22"/>
        </w:rPr>
        <w:t xml:space="preserve"> headed “Strategy C” reflects a typical Swiss</w:t>
      </w:r>
      <w:r w:rsidR="00023218">
        <w:rPr>
          <w:szCs w:val="22"/>
        </w:rPr>
        <w:noBreakHyphen/>
        <w:t>based pension fund which has accepted a moderate level of risk</w:t>
      </w:r>
      <w:r w:rsidR="008506E8">
        <w:rPr>
          <w:szCs w:val="22"/>
        </w:rPr>
        <w:t xml:space="preserve"> w</w:t>
      </w:r>
      <w:r w:rsidR="004E5FC5">
        <w:rPr>
          <w:szCs w:val="22"/>
        </w:rPr>
        <w:t xml:space="preserve">hilst building a well-diversified portfolio.  The work involved in constructing an optimal portfolio </w:t>
      </w:r>
      <w:r w:rsidR="00083D5D" w:rsidRPr="00AA117F">
        <w:rPr>
          <w:szCs w:val="22"/>
        </w:rPr>
        <w:t>requires comprehensive investment expertise</w:t>
      </w:r>
      <w:r w:rsidR="00FB5385">
        <w:rPr>
          <w:szCs w:val="22"/>
        </w:rPr>
        <w:t xml:space="preserve"> and experience</w:t>
      </w:r>
      <w:r w:rsidR="00023218">
        <w:rPr>
          <w:szCs w:val="22"/>
        </w:rPr>
        <w:t>,</w:t>
      </w:r>
      <w:r w:rsidR="00266D91">
        <w:rPr>
          <w:szCs w:val="22"/>
        </w:rPr>
        <w:t xml:space="preserve"> together with</w:t>
      </w:r>
      <w:r w:rsidR="003A25A3">
        <w:rPr>
          <w:szCs w:val="22"/>
        </w:rPr>
        <w:t xml:space="preserve"> robust performance monitoring and </w:t>
      </w:r>
      <w:r w:rsidR="00933B4D">
        <w:rPr>
          <w:szCs w:val="22"/>
        </w:rPr>
        <w:t xml:space="preserve">comprehensive </w:t>
      </w:r>
      <w:r w:rsidR="003A25A3">
        <w:rPr>
          <w:szCs w:val="22"/>
        </w:rPr>
        <w:t>ana</w:t>
      </w:r>
      <w:r w:rsidR="00023218">
        <w:rPr>
          <w:szCs w:val="22"/>
        </w:rPr>
        <w:t>l</w:t>
      </w:r>
      <w:r w:rsidR="003A25A3">
        <w:rPr>
          <w:szCs w:val="22"/>
        </w:rPr>
        <w:t xml:space="preserve">ysis processes </w:t>
      </w:r>
      <w:r w:rsidR="00023218">
        <w:rPr>
          <w:szCs w:val="22"/>
        </w:rPr>
        <w:t>which</w:t>
      </w:r>
      <w:r w:rsidR="003A25A3">
        <w:rPr>
          <w:szCs w:val="22"/>
        </w:rPr>
        <w:t xml:space="preserve"> ensure</w:t>
      </w:r>
      <w:r w:rsidR="00023218">
        <w:rPr>
          <w:szCs w:val="22"/>
        </w:rPr>
        <w:t xml:space="preserve"> that</w:t>
      </w:r>
      <w:r w:rsidR="00B66C0B">
        <w:rPr>
          <w:szCs w:val="22"/>
        </w:rPr>
        <w:t xml:space="preserve"> regular</w:t>
      </w:r>
      <w:r w:rsidR="003A25A3">
        <w:rPr>
          <w:szCs w:val="22"/>
        </w:rPr>
        <w:t xml:space="preserve"> adjustments</w:t>
      </w:r>
      <w:r w:rsidR="00B66C0B">
        <w:rPr>
          <w:szCs w:val="22"/>
        </w:rPr>
        <w:t xml:space="preserve"> are made in order to maintain the optimal diversification within the portfolio</w:t>
      </w:r>
      <w:r w:rsidR="003A25A3">
        <w:rPr>
          <w:szCs w:val="22"/>
        </w:rPr>
        <w:t>.</w:t>
      </w:r>
    </w:p>
    <w:p w:rsidR="004856AB" w:rsidRPr="00AA117F" w:rsidRDefault="00A87990" w:rsidP="003E300A">
      <w:pPr>
        <w:pStyle w:val="ONUME"/>
        <w:rPr>
          <w:szCs w:val="22"/>
        </w:rPr>
      </w:pPr>
      <w:r>
        <w:rPr>
          <w:szCs w:val="22"/>
        </w:rPr>
        <w:t>21.</w:t>
      </w:r>
      <w:r>
        <w:rPr>
          <w:szCs w:val="22"/>
        </w:rPr>
        <w:tab/>
      </w:r>
      <w:r w:rsidR="00D936CA" w:rsidRPr="00AA117F">
        <w:rPr>
          <w:szCs w:val="22"/>
        </w:rPr>
        <w:t>The proposal is to build</w:t>
      </w:r>
      <w:r w:rsidR="002465F0">
        <w:rPr>
          <w:szCs w:val="22"/>
        </w:rPr>
        <w:t xml:space="preserve"> externally </w:t>
      </w:r>
      <w:r w:rsidR="00871970" w:rsidRPr="00AA117F">
        <w:rPr>
          <w:szCs w:val="22"/>
        </w:rPr>
        <w:t>managed</w:t>
      </w:r>
      <w:r w:rsidR="00D936CA" w:rsidRPr="00AA117F">
        <w:rPr>
          <w:szCs w:val="22"/>
        </w:rPr>
        <w:t xml:space="preserve"> portfolios</w:t>
      </w:r>
      <w:r w:rsidR="00550931" w:rsidRPr="00AA117F">
        <w:rPr>
          <w:szCs w:val="22"/>
        </w:rPr>
        <w:t xml:space="preserve"> for both WIPO’s</w:t>
      </w:r>
      <w:r w:rsidR="00D936CA" w:rsidRPr="00AA117F">
        <w:rPr>
          <w:szCs w:val="22"/>
        </w:rPr>
        <w:t xml:space="preserve"> core cash and</w:t>
      </w:r>
      <w:r w:rsidR="00550931" w:rsidRPr="00AA117F">
        <w:rPr>
          <w:szCs w:val="22"/>
        </w:rPr>
        <w:t xml:space="preserve"> strategic </w:t>
      </w:r>
      <w:r w:rsidR="00D936CA" w:rsidRPr="00AA117F">
        <w:rPr>
          <w:szCs w:val="22"/>
        </w:rPr>
        <w:t>cash</w:t>
      </w:r>
      <w:r w:rsidR="00550931" w:rsidRPr="00AA117F">
        <w:rPr>
          <w:szCs w:val="22"/>
        </w:rPr>
        <w:t xml:space="preserve">.  The managers would be selected by means of a </w:t>
      </w:r>
      <w:r w:rsidR="00871970" w:rsidRPr="00AA117F">
        <w:rPr>
          <w:szCs w:val="22"/>
        </w:rPr>
        <w:t>RFP and the two portfolios would each</w:t>
      </w:r>
      <w:r w:rsidR="00550931" w:rsidRPr="00AA117F">
        <w:rPr>
          <w:szCs w:val="22"/>
        </w:rPr>
        <w:t xml:space="preserve"> be divided between at least two fund managers</w:t>
      </w:r>
      <w:r w:rsidR="00871970" w:rsidRPr="00AA117F">
        <w:rPr>
          <w:szCs w:val="22"/>
        </w:rPr>
        <w:t xml:space="preserve"> with </w:t>
      </w:r>
      <w:proofErr w:type="gramStart"/>
      <w:r w:rsidR="00871970" w:rsidRPr="00AA117F">
        <w:rPr>
          <w:szCs w:val="22"/>
        </w:rPr>
        <w:t>both active or</w:t>
      </w:r>
      <w:proofErr w:type="gramEnd"/>
      <w:r w:rsidR="00871970" w:rsidRPr="00AA117F">
        <w:rPr>
          <w:szCs w:val="22"/>
        </w:rPr>
        <w:t xml:space="preserve"> passive fund management as possible options</w:t>
      </w:r>
      <w:r w:rsidR="00550931" w:rsidRPr="00AA117F">
        <w:rPr>
          <w:szCs w:val="22"/>
        </w:rPr>
        <w:t xml:space="preserve">.  </w:t>
      </w:r>
      <w:r w:rsidR="007D6C4F">
        <w:rPr>
          <w:szCs w:val="22"/>
        </w:rPr>
        <w:t xml:space="preserve">The RFP documentation would stipulate that returns should be net of management fees.  </w:t>
      </w:r>
      <w:r w:rsidR="00550931" w:rsidRPr="00AA117F">
        <w:rPr>
          <w:szCs w:val="22"/>
        </w:rPr>
        <w:t>Reporting re</w:t>
      </w:r>
      <w:r w:rsidR="00EA3CE5" w:rsidRPr="00AA117F">
        <w:rPr>
          <w:szCs w:val="22"/>
        </w:rPr>
        <w:t xml:space="preserve">quirements would be stipulated </w:t>
      </w:r>
      <w:r w:rsidR="00550931" w:rsidRPr="00AA117F">
        <w:rPr>
          <w:szCs w:val="22"/>
        </w:rPr>
        <w:t>with</w:t>
      </w:r>
      <w:r w:rsidR="007B20FC" w:rsidRPr="00AA117F">
        <w:rPr>
          <w:szCs w:val="22"/>
        </w:rPr>
        <w:t>in</w:t>
      </w:r>
      <w:r w:rsidR="00550931" w:rsidRPr="00AA117F">
        <w:rPr>
          <w:szCs w:val="22"/>
        </w:rPr>
        <w:t xml:space="preserve"> the RFP documentation and a global custodian (to be selected by RFP also)</w:t>
      </w:r>
      <w:r w:rsidR="00EA3CE5" w:rsidRPr="00AA117F">
        <w:rPr>
          <w:szCs w:val="22"/>
        </w:rPr>
        <w:t xml:space="preserve"> </w:t>
      </w:r>
      <w:r w:rsidR="001D3C2D">
        <w:rPr>
          <w:szCs w:val="22"/>
        </w:rPr>
        <w:t>would</w:t>
      </w:r>
      <w:r w:rsidR="003A25A3" w:rsidRPr="00AA117F">
        <w:rPr>
          <w:szCs w:val="22"/>
        </w:rPr>
        <w:t xml:space="preserve"> </w:t>
      </w:r>
      <w:r w:rsidR="00EA3CE5" w:rsidRPr="00AA117F">
        <w:rPr>
          <w:szCs w:val="22"/>
        </w:rPr>
        <w:t xml:space="preserve">be put in place.  The custodian would </w:t>
      </w:r>
      <w:r w:rsidR="003A25A3">
        <w:rPr>
          <w:szCs w:val="22"/>
        </w:rPr>
        <w:t xml:space="preserve">typically </w:t>
      </w:r>
      <w:r w:rsidR="00EA3CE5" w:rsidRPr="00AA117F">
        <w:rPr>
          <w:szCs w:val="22"/>
        </w:rPr>
        <w:t>hold the investments on WIPO’s behalf and play a pro-active role in monitoring the investment actions and performance of the fund managers.</w:t>
      </w:r>
    </w:p>
    <w:p w:rsidR="00871970" w:rsidRDefault="00A87990" w:rsidP="00C85D7D">
      <w:pPr>
        <w:pStyle w:val="ONUME"/>
        <w:rPr>
          <w:szCs w:val="22"/>
        </w:rPr>
      </w:pPr>
      <w:r>
        <w:rPr>
          <w:szCs w:val="22"/>
        </w:rPr>
        <w:t>22.</w:t>
      </w:r>
      <w:r>
        <w:rPr>
          <w:szCs w:val="22"/>
        </w:rPr>
        <w:tab/>
      </w:r>
      <w:r w:rsidR="00871970" w:rsidRPr="00AA117F">
        <w:rPr>
          <w:szCs w:val="22"/>
        </w:rPr>
        <w:t xml:space="preserve">Operating cash would be managed in-house.  Reports on the performance achieved for operating cash and by external fund managers on core and strategic cash would be reviewed on a regular basis by the Investment Advisory Committee.  The two investment policies (one covering operating and core cash and </w:t>
      </w:r>
      <w:proofErr w:type="gramStart"/>
      <w:r w:rsidR="00871970" w:rsidRPr="00AA117F">
        <w:rPr>
          <w:szCs w:val="22"/>
        </w:rPr>
        <w:t>a second</w:t>
      </w:r>
      <w:proofErr w:type="gramEnd"/>
      <w:r w:rsidR="00871970" w:rsidRPr="00AA117F">
        <w:rPr>
          <w:szCs w:val="22"/>
        </w:rPr>
        <w:t xml:space="preserve"> o</w:t>
      </w:r>
      <w:r w:rsidR="00083D5D" w:rsidRPr="00AA117F">
        <w:rPr>
          <w:szCs w:val="22"/>
        </w:rPr>
        <w:t>ne covering strategic cash) would</w:t>
      </w:r>
      <w:r w:rsidR="00871970" w:rsidRPr="00AA117F">
        <w:rPr>
          <w:szCs w:val="22"/>
        </w:rPr>
        <w:t xml:space="preserve"> follow</w:t>
      </w:r>
      <w:r w:rsidR="003F715C" w:rsidRPr="00AA117F">
        <w:rPr>
          <w:szCs w:val="22"/>
        </w:rPr>
        <w:t xml:space="preserve"> the format indicated in Annex </w:t>
      </w:r>
      <w:r w:rsidR="007D6C4F">
        <w:rPr>
          <w:szCs w:val="22"/>
        </w:rPr>
        <w:t>4</w:t>
      </w:r>
      <w:r w:rsidR="00871970" w:rsidRPr="00AA117F">
        <w:rPr>
          <w:szCs w:val="22"/>
        </w:rPr>
        <w:t>.</w:t>
      </w:r>
    </w:p>
    <w:p w:rsidR="007D6C4F" w:rsidRPr="00AA117F" w:rsidRDefault="007D6C4F" w:rsidP="003E300A">
      <w:pPr>
        <w:pStyle w:val="ONUME"/>
        <w:rPr>
          <w:szCs w:val="22"/>
        </w:rPr>
      </w:pPr>
      <w:r>
        <w:rPr>
          <w:szCs w:val="22"/>
        </w:rPr>
        <w:t>23.</w:t>
      </w:r>
      <w:r>
        <w:rPr>
          <w:szCs w:val="22"/>
        </w:rPr>
        <w:tab/>
        <w:t>The management of operating cash in-house and the need to liaise with external fund managers will necessitate resources within the Secretariat.  WIPO has contacted several other agencies on the subject of staffing a treasury function and the preliminary indications are that at least one full-time professional member of staff will be required.</w:t>
      </w:r>
    </w:p>
    <w:p w:rsidR="00BF24CD" w:rsidRPr="00AA117F" w:rsidRDefault="00A87990" w:rsidP="003E300A">
      <w:pPr>
        <w:pStyle w:val="ONUME"/>
        <w:rPr>
          <w:szCs w:val="22"/>
        </w:rPr>
      </w:pPr>
      <w:r>
        <w:rPr>
          <w:szCs w:val="22"/>
        </w:rPr>
        <w:lastRenderedPageBreak/>
        <w:t>2</w:t>
      </w:r>
      <w:r w:rsidR="007D6C4F">
        <w:rPr>
          <w:szCs w:val="22"/>
        </w:rPr>
        <w:t>4</w:t>
      </w:r>
      <w:r>
        <w:rPr>
          <w:szCs w:val="22"/>
        </w:rPr>
        <w:t>.</w:t>
      </w:r>
      <w:r>
        <w:rPr>
          <w:szCs w:val="22"/>
        </w:rPr>
        <w:tab/>
      </w:r>
      <w:r w:rsidR="00BF24CD" w:rsidRPr="00AA117F">
        <w:rPr>
          <w:szCs w:val="22"/>
        </w:rPr>
        <w:t>The following decision paragraph is proposed.</w:t>
      </w:r>
    </w:p>
    <w:p w:rsidR="00BF24CD" w:rsidRPr="00AA117F" w:rsidRDefault="00E33C24" w:rsidP="0035607C">
      <w:pPr>
        <w:pStyle w:val="ONUME"/>
        <w:tabs>
          <w:tab w:val="left" w:pos="1701"/>
        </w:tabs>
        <w:ind w:left="1134"/>
        <w:rPr>
          <w:i/>
          <w:szCs w:val="22"/>
        </w:rPr>
      </w:pPr>
      <w:r>
        <w:rPr>
          <w:i/>
          <w:szCs w:val="22"/>
        </w:rPr>
        <w:t>2</w:t>
      </w:r>
      <w:r w:rsidR="007D6C4F">
        <w:rPr>
          <w:i/>
          <w:szCs w:val="22"/>
        </w:rPr>
        <w:t>5</w:t>
      </w:r>
      <w:r>
        <w:rPr>
          <w:i/>
          <w:szCs w:val="22"/>
        </w:rPr>
        <w:t>.</w:t>
      </w:r>
      <w:r>
        <w:rPr>
          <w:i/>
          <w:szCs w:val="22"/>
        </w:rPr>
        <w:tab/>
      </w:r>
      <w:r w:rsidR="00BF24CD" w:rsidRPr="00AA117F">
        <w:rPr>
          <w:i/>
          <w:szCs w:val="22"/>
        </w:rPr>
        <w:t>The Program and Budget Committee, recognizing the need for two investment policies (one covering operating and core cash and a second one covering strategic cash), recommended that two such policies should be prepared for approval at its next session and that the two policies should include the following:</w:t>
      </w:r>
    </w:p>
    <w:p w:rsidR="00BF24CD" w:rsidRPr="00AA117F" w:rsidRDefault="007439B0" w:rsidP="0035607C">
      <w:pPr>
        <w:pStyle w:val="ONUME"/>
        <w:numPr>
          <w:ilvl w:val="0"/>
          <w:numId w:val="13"/>
        </w:numPr>
        <w:tabs>
          <w:tab w:val="left" w:pos="2268"/>
          <w:tab w:val="num" w:pos="6597"/>
          <w:tab w:val="left" w:pos="6663"/>
        </w:tabs>
        <w:ind w:left="1701" w:firstLine="0"/>
        <w:rPr>
          <w:i/>
          <w:szCs w:val="22"/>
        </w:rPr>
      </w:pPr>
      <w:r>
        <w:rPr>
          <w:i/>
          <w:szCs w:val="22"/>
        </w:rPr>
        <w:t>t</w:t>
      </w:r>
      <w:r w:rsidR="00083D5D" w:rsidRPr="00AA117F">
        <w:rPr>
          <w:i/>
          <w:szCs w:val="22"/>
        </w:rPr>
        <w:t>he definition of</w:t>
      </w:r>
      <w:r w:rsidR="00BF24CD" w:rsidRPr="00AA117F">
        <w:rPr>
          <w:i/>
          <w:szCs w:val="22"/>
        </w:rPr>
        <w:t xml:space="preserve"> short-term investments as those maturing within one year;</w:t>
      </w:r>
    </w:p>
    <w:p w:rsidR="00BF24CD" w:rsidRPr="00AA117F" w:rsidRDefault="007439B0" w:rsidP="0035607C">
      <w:pPr>
        <w:pStyle w:val="ONUME"/>
        <w:numPr>
          <w:ilvl w:val="0"/>
          <w:numId w:val="13"/>
        </w:numPr>
        <w:tabs>
          <w:tab w:val="left" w:pos="2268"/>
          <w:tab w:val="num" w:pos="6597"/>
          <w:tab w:val="left" w:pos="6663"/>
        </w:tabs>
        <w:ind w:left="1701" w:firstLine="0"/>
        <w:rPr>
          <w:i/>
          <w:szCs w:val="22"/>
        </w:rPr>
      </w:pPr>
      <w:r>
        <w:rPr>
          <w:i/>
          <w:szCs w:val="22"/>
        </w:rPr>
        <w:t>m</w:t>
      </w:r>
      <w:r w:rsidR="00BF24CD" w:rsidRPr="00AA117F">
        <w:rPr>
          <w:i/>
          <w:szCs w:val="22"/>
        </w:rPr>
        <w:t>inimum credit ratings fo</w:t>
      </w:r>
      <w:r w:rsidR="00083D5D" w:rsidRPr="00AA117F">
        <w:rPr>
          <w:i/>
          <w:szCs w:val="22"/>
        </w:rPr>
        <w:t xml:space="preserve">r short-term investments to be </w:t>
      </w:r>
      <w:r w:rsidR="00083D5D" w:rsidRPr="00AA117F">
        <w:rPr>
          <w:i/>
          <w:szCs w:val="22"/>
        </w:rPr>
        <w:br/>
        <w:t xml:space="preserve">A-2/P-2 for banks and government bonds, </w:t>
      </w:r>
      <w:r w:rsidR="00882AEF" w:rsidRPr="00AA117F">
        <w:rPr>
          <w:i/>
          <w:szCs w:val="22"/>
        </w:rPr>
        <w:t>A3-P3 for corporate bonds;</w:t>
      </w:r>
    </w:p>
    <w:p w:rsidR="00BF24CD" w:rsidRPr="00AA117F" w:rsidRDefault="007439B0" w:rsidP="0035607C">
      <w:pPr>
        <w:pStyle w:val="ONUME"/>
        <w:numPr>
          <w:ilvl w:val="0"/>
          <w:numId w:val="13"/>
        </w:numPr>
        <w:tabs>
          <w:tab w:val="left" w:pos="2268"/>
          <w:tab w:val="num" w:pos="6597"/>
          <w:tab w:val="left" w:pos="6663"/>
        </w:tabs>
        <w:ind w:left="1701" w:firstLine="0"/>
        <w:rPr>
          <w:i/>
          <w:szCs w:val="22"/>
        </w:rPr>
      </w:pPr>
      <w:r>
        <w:rPr>
          <w:i/>
          <w:szCs w:val="22"/>
        </w:rPr>
        <w:t>r</w:t>
      </w:r>
      <w:r w:rsidR="00BF24CD" w:rsidRPr="00AA117F">
        <w:rPr>
          <w:i/>
          <w:szCs w:val="22"/>
        </w:rPr>
        <w:t xml:space="preserve">evised minimum credit ratings for medium </w:t>
      </w:r>
      <w:r w:rsidR="00882AEF" w:rsidRPr="00AA117F">
        <w:rPr>
          <w:i/>
          <w:szCs w:val="22"/>
        </w:rPr>
        <w:t>and long-term investments to be A-/A3 for banks and government bonds, BBB</w:t>
      </w:r>
      <w:r w:rsidR="009E4013">
        <w:rPr>
          <w:i/>
          <w:szCs w:val="22"/>
        </w:rPr>
        <w:t>-</w:t>
      </w:r>
      <w:r w:rsidR="00882AEF" w:rsidRPr="00AA117F">
        <w:rPr>
          <w:i/>
          <w:szCs w:val="22"/>
        </w:rPr>
        <w:t>/Baa</w:t>
      </w:r>
      <w:r w:rsidR="009E4013">
        <w:rPr>
          <w:i/>
          <w:szCs w:val="22"/>
        </w:rPr>
        <w:t>3</w:t>
      </w:r>
      <w:r w:rsidR="00882AEF" w:rsidRPr="00AA117F">
        <w:rPr>
          <w:i/>
          <w:szCs w:val="22"/>
        </w:rPr>
        <w:t xml:space="preserve"> for corporate bonds;</w:t>
      </w:r>
    </w:p>
    <w:p w:rsidR="00BF24CD" w:rsidRPr="00AA117F" w:rsidRDefault="007439B0" w:rsidP="0035607C">
      <w:pPr>
        <w:pStyle w:val="ONUME"/>
        <w:numPr>
          <w:ilvl w:val="0"/>
          <w:numId w:val="13"/>
        </w:numPr>
        <w:tabs>
          <w:tab w:val="left" w:pos="2268"/>
          <w:tab w:val="num" w:pos="6597"/>
          <w:tab w:val="left" w:pos="6663"/>
        </w:tabs>
        <w:ind w:left="1701" w:firstLine="0"/>
        <w:rPr>
          <w:i/>
          <w:szCs w:val="22"/>
        </w:rPr>
      </w:pPr>
      <w:r>
        <w:rPr>
          <w:i/>
          <w:szCs w:val="22"/>
        </w:rPr>
        <w:t>a</w:t>
      </w:r>
      <w:r w:rsidR="00BF24CD" w:rsidRPr="00AA117F">
        <w:rPr>
          <w:i/>
          <w:szCs w:val="22"/>
        </w:rPr>
        <w:t xml:space="preserve"> reduction in the minimum number of financial institutions amongst which ope</w:t>
      </w:r>
      <w:r w:rsidR="007D0D8A">
        <w:rPr>
          <w:i/>
          <w:szCs w:val="22"/>
        </w:rPr>
        <w:t>rating cash can be held, to four institutions</w:t>
      </w:r>
      <w:r w:rsidR="00BF24CD" w:rsidRPr="00AA117F">
        <w:rPr>
          <w:i/>
          <w:szCs w:val="22"/>
        </w:rPr>
        <w:t>;</w:t>
      </w:r>
    </w:p>
    <w:p w:rsidR="00BF24CD" w:rsidRPr="00AA117F" w:rsidRDefault="007439B0" w:rsidP="0035607C">
      <w:pPr>
        <w:pStyle w:val="ONUME"/>
        <w:numPr>
          <w:ilvl w:val="0"/>
          <w:numId w:val="13"/>
        </w:numPr>
        <w:tabs>
          <w:tab w:val="left" w:pos="2268"/>
          <w:tab w:val="num" w:pos="6597"/>
          <w:tab w:val="left" w:pos="6663"/>
        </w:tabs>
        <w:ind w:left="1701" w:firstLine="0"/>
        <w:rPr>
          <w:i/>
          <w:szCs w:val="22"/>
        </w:rPr>
      </w:pPr>
      <w:r>
        <w:rPr>
          <w:i/>
          <w:szCs w:val="22"/>
        </w:rPr>
        <w:t>t</w:t>
      </w:r>
      <w:r w:rsidR="00BF24CD" w:rsidRPr="00AA117F">
        <w:rPr>
          <w:i/>
          <w:szCs w:val="22"/>
        </w:rPr>
        <w:t>he use of external fund managers to manage core and strategic cash;</w:t>
      </w:r>
    </w:p>
    <w:p w:rsidR="00882AEF" w:rsidRPr="00AA117F" w:rsidRDefault="007439B0" w:rsidP="0035607C">
      <w:pPr>
        <w:pStyle w:val="ONUME"/>
        <w:numPr>
          <w:ilvl w:val="0"/>
          <w:numId w:val="13"/>
        </w:numPr>
        <w:tabs>
          <w:tab w:val="left" w:pos="2268"/>
          <w:tab w:val="num" w:pos="6597"/>
          <w:tab w:val="left" w:pos="6663"/>
        </w:tabs>
        <w:ind w:left="1701" w:firstLine="0"/>
        <w:rPr>
          <w:i/>
          <w:szCs w:val="22"/>
        </w:rPr>
      </w:pPr>
      <w:r>
        <w:rPr>
          <w:i/>
          <w:szCs w:val="22"/>
        </w:rPr>
        <w:t>t</w:t>
      </w:r>
      <w:r w:rsidR="00B84421">
        <w:rPr>
          <w:i/>
          <w:szCs w:val="22"/>
        </w:rPr>
        <w:t>he</w:t>
      </w:r>
      <w:r w:rsidR="00FB5385">
        <w:rPr>
          <w:i/>
          <w:szCs w:val="22"/>
        </w:rPr>
        <w:t xml:space="preserve"> payment of both of the scheduled</w:t>
      </w:r>
      <w:r w:rsidR="00B84421">
        <w:rPr>
          <w:i/>
          <w:szCs w:val="22"/>
        </w:rPr>
        <w:t xml:space="preserve"> </w:t>
      </w:r>
      <w:r w:rsidR="00882AEF" w:rsidRPr="00AA117F">
        <w:rPr>
          <w:i/>
          <w:szCs w:val="22"/>
        </w:rPr>
        <w:t>loan repayments related to the New Building which are due in November 2015 and January 2016;</w:t>
      </w:r>
    </w:p>
    <w:p w:rsidR="00BF24CD" w:rsidRPr="00AA117F" w:rsidRDefault="007439B0" w:rsidP="0035607C">
      <w:pPr>
        <w:pStyle w:val="ONUME"/>
        <w:numPr>
          <w:ilvl w:val="0"/>
          <w:numId w:val="13"/>
        </w:numPr>
        <w:tabs>
          <w:tab w:val="left" w:pos="2268"/>
          <w:tab w:val="num" w:pos="6597"/>
          <w:tab w:val="left" w:pos="6663"/>
        </w:tabs>
        <w:ind w:left="1701" w:firstLine="0"/>
        <w:rPr>
          <w:i/>
          <w:szCs w:val="22"/>
        </w:rPr>
      </w:pPr>
      <w:r>
        <w:rPr>
          <w:i/>
          <w:szCs w:val="22"/>
        </w:rPr>
        <w:t>a</w:t>
      </w:r>
      <w:r w:rsidR="00BF24CD" w:rsidRPr="00AA117F">
        <w:rPr>
          <w:i/>
          <w:szCs w:val="22"/>
        </w:rPr>
        <w:t xml:space="preserve"> revised list of acceptable asset classes as follows:</w:t>
      </w:r>
    </w:p>
    <w:p w:rsidR="00BF24CD" w:rsidRDefault="00BF24CD" w:rsidP="00A314DC">
      <w:pPr>
        <w:pStyle w:val="ONUME"/>
        <w:numPr>
          <w:ilvl w:val="0"/>
          <w:numId w:val="14"/>
        </w:numPr>
        <w:tabs>
          <w:tab w:val="left" w:pos="2835"/>
          <w:tab w:val="left" w:pos="6379"/>
        </w:tabs>
        <w:ind w:left="2268" w:firstLine="0"/>
        <w:rPr>
          <w:i/>
          <w:szCs w:val="22"/>
          <w:u w:val="single"/>
        </w:rPr>
      </w:pPr>
      <w:r w:rsidRPr="00AA117F">
        <w:rPr>
          <w:i/>
          <w:szCs w:val="22"/>
          <w:u w:val="single"/>
        </w:rPr>
        <w:t>Within the investment policy applic</w:t>
      </w:r>
      <w:r w:rsidR="00D321FB" w:rsidRPr="00AA117F">
        <w:rPr>
          <w:i/>
          <w:szCs w:val="22"/>
          <w:u w:val="single"/>
        </w:rPr>
        <w:t>able to operating and core cash:</w:t>
      </w:r>
    </w:p>
    <w:p w:rsidR="007D0D8A" w:rsidRPr="002A056B" w:rsidRDefault="007D0D8A" w:rsidP="00A314DC">
      <w:pPr>
        <w:pStyle w:val="ONUME"/>
        <w:tabs>
          <w:tab w:val="left" w:pos="3969"/>
          <w:tab w:val="left" w:pos="6946"/>
        </w:tabs>
        <w:ind w:left="3402"/>
        <w:rPr>
          <w:i/>
          <w:szCs w:val="22"/>
        </w:rPr>
      </w:pPr>
      <w:r w:rsidRPr="002A056B">
        <w:rPr>
          <w:i/>
          <w:szCs w:val="22"/>
        </w:rPr>
        <w:t>I.</w:t>
      </w:r>
      <w:r w:rsidRPr="002A056B">
        <w:rPr>
          <w:i/>
          <w:szCs w:val="22"/>
        </w:rPr>
        <w:tab/>
        <w:t>Cash or equivalent:</w:t>
      </w:r>
    </w:p>
    <w:p w:rsidR="007D0D8A" w:rsidRPr="002A056B" w:rsidRDefault="007D0D8A" w:rsidP="0035607C">
      <w:pPr>
        <w:pStyle w:val="ONUME"/>
        <w:tabs>
          <w:tab w:val="left" w:pos="4536"/>
          <w:tab w:val="left" w:pos="5103"/>
          <w:tab w:val="left" w:pos="6946"/>
        </w:tabs>
        <w:ind w:left="3969"/>
        <w:rPr>
          <w:i/>
          <w:szCs w:val="22"/>
        </w:rPr>
      </w:pPr>
      <w:r w:rsidRPr="002A056B">
        <w:rPr>
          <w:i/>
          <w:szCs w:val="22"/>
        </w:rPr>
        <w:t>(a)</w:t>
      </w:r>
      <w:r w:rsidRPr="002A056B">
        <w:rPr>
          <w:i/>
          <w:szCs w:val="22"/>
        </w:rPr>
        <w:tab/>
        <w:t>Call, savings or deposit accounts</w:t>
      </w:r>
    </w:p>
    <w:p w:rsidR="007D0D8A" w:rsidRPr="002A056B" w:rsidRDefault="007D0D8A" w:rsidP="0035607C">
      <w:pPr>
        <w:pStyle w:val="ONUME"/>
        <w:tabs>
          <w:tab w:val="left" w:pos="4536"/>
          <w:tab w:val="left" w:pos="5103"/>
          <w:tab w:val="left" w:pos="6946"/>
        </w:tabs>
        <w:ind w:left="3969"/>
        <w:rPr>
          <w:i/>
          <w:szCs w:val="22"/>
        </w:rPr>
      </w:pPr>
      <w:r w:rsidRPr="002A056B">
        <w:rPr>
          <w:i/>
          <w:szCs w:val="22"/>
        </w:rPr>
        <w:t>(b)</w:t>
      </w:r>
      <w:r w:rsidRPr="002A056B">
        <w:rPr>
          <w:i/>
          <w:szCs w:val="22"/>
        </w:rPr>
        <w:tab/>
        <w:t>Certificates of deposit/time deposits</w:t>
      </w:r>
    </w:p>
    <w:p w:rsidR="007D0D8A" w:rsidRPr="002A056B" w:rsidRDefault="007D0D8A" w:rsidP="0035607C">
      <w:pPr>
        <w:pStyle w:val="ONUME"/>
        <w:tabs>
          <w:tab w:val="left" w:pos="4536"/>
          <w:tab w:val="left" w:pos="5103"/>
          <w:tab w:val="left" w:pos="6946"/>
        </w:tabs>
        <w:ind w:left="3969"/>
        <w:rPr>
          <w:i/>
          <w:szCs w:val="22"/>
        </w:rPr>
      </w:pPr>
      <w:r w:rsidRPr="002A056B">
        <w:rPr>
          <w:i/>
          <w:szCs w:val="22"/>
        </w:rPr>
        <w:t>(c)</w:t>
      </w:r>
      <w:r w:rsidRPr="002A056B">
        <w:rPr>
          <w:i/>
          <w:szCs w:val="22"/>
        </w:rPr>
        <w:tab/>
        <w:t>Structured deposits</w:t>
      </w:r>
    </w:p>
    <w:p w:rsidR="007D0D8A" w:rsidRPr="002A056B" w:rsidRDefault="007D0D8A" w:rsidP="0035607C">
      <w:pPr>
        <w:pStyle w:val="ONUME"/>
        <w:tabs>
          <w:tab w:val="left" w:pos="4536"/>
          <w:tab w:val="left" w:pos="5103"/>
          <w:tab w:val="left" w:pos="6946"/>
        </w:tabs>
        <w:ind w:left="3969"/>
        <w:rPr>
          <w:i/>
          <w:szCs w:val="22"/>
        </w:rPr>
      </w:pPr>
      <w:r w:rsidRPr="002A056B">
        <w:rPr>
          <w:i/>
          <w:szCs w:val="22"/>
        </w:rPr>
        <w:t>(d)</w:t>
      </w:r>
      <w:r w:rsidRPr="002A056B">
        <w:rPr>
          <w:i/>
          <w:szCs w:val="22"/>
        </w:rPr>
        <w:tab/>
        <w:t>Cross-currency deposits</w:t>
      </w:r>
    </w:p>
    <w:p w:rsidR="007D0D8A" w:rsidRPr="002A056B" w:rsidRDefault="007D0D8A" w:rsidP="00A314DC">
      <w:pPr>
        <w:pStyle w:val="ONUME"/>
        <w:tabs>
          <w:tab w:val="left" w:pos="3969"/>
          <w:tab w:val="left" w:pos="4536"/>
          <w:tab w:val="left" w:pos="6946"/>
        </w:tabs>
        <w:ind w:left="3402"/>
        <w:rPr>
          <w:i/>
          <w:szCs w:val="22"/>
        </w:rPr>
      </w:pPr>
      <w:r w:rsidRPr="002A056B">
        <w:rPr>
          <w:i/>
          <w:szCs w:val="22"/>
        </w:rPr>
        <w:t>II.</w:t>
      </w:r>
      <w:r w:rsidRPr="002A056B">
        <w:rPr>
          <w:i/>
          <w:szCs w:val="22"/>
        </w:rPr>
        <w:tab/>
        <w:t>Money market investments:</w:t>
      </w:r>
    </w:p>
    <w:p w:rsidR="007D0D8A" w:rsidRPr="002A056B" w:rsidRDefault="007D0D8A" w:rsidP="0035607C">
      <w:pPr>
        <w:pStyle w:val="ONUME"/>
        <w:tabs>
          <w:tab w:val="left" w:pos="4536"/>
          <w:tab w:val="left" w:pos="5103"/>
          <w:tab w:val="left" w:pos="6946"/>
        </w:tabs>
        <w:ind w:left="3969"/>
        <w:rPr>
          <w:i/>
          <w:szCs w:val="22"/>
        </w:rPr>
      </w:pPr>
      <w:r w:rsidRPr="002A056B">
        <w:rPr>
          <w:i/>
          <w:szCs w:val="22"/>
        </w:rPr>
        <w:t>(a)</w:t>
      </w:r>
      <w:r w:rsidRPr="002A056B">
        <w:rPr>
          <w:i/>
          <w:szCs w:val="22"/>
        </w:rPr>
        <w:tab/>
        <w:t>Commercial paper</w:t>
      </w:r>
    </w:p>
    <w:p w:rsidR="007D0D8A" w:rsidRPr="002A056B" w:rsidRDefault="007D0D8A" w:rsidP="0035607C">
      <w:pPr>
        <w:pStyle w:val="ONUME"/>
        <w:tabs>
          <w:tab w:val="left" w:pos="4536"/>
          <w:tab w:val="left" w:pos="5103"/>
          <w:tab w:val="left" w:pos="6946"/>
        </w:tabs>
        <w:ind w:left="3969"/>
        <w:rPr>
          <w:i/>
          <w:szCs w:val="22"/>
        </w:rPr>
      </w:pPr>
      <w:r w:rsidRPr="002A056B">
        <w:rPr>
          <w:i/>
          <w:szCs w:val="22"/>
        </w:rPr>
        <w:t>(b)</w:t>
      </w:r>
      <w:r w:rsidRPr="002A056B">
        <w:rPr>
          <w:i/>
          <w:szCs w:val="22"/>
        </w:rPr>
        <w:tab/>
        <w:t>Repurchase/reverse repurchase agreements</w:t>
      </w:r>
    </w:p>
    <w:p w:rsidR="007D0D8A" w:rsidRPr="002A056B" w:rsidRDefault="007D0D8A" w:rsidP="0035607C">
      <w:pPr>
        <w:pStyle w:val="ONUME"/>
        <w:tabs>
          <w:tab w:val="left" w:pos="4536"/>
          <w:tab w:val="left" w:pos="5103"/>
          <w:tab w:val="left" w:pos="6946"/>
        </w:tabs>
        <w:ind w:left="3969"/>
        <w:rPr>
          <w:i/>
          <w:szCs w:val="22"/>
        </w:rPr>
      </w:pPr>
      <w:r w:rsidRPr="002A056B">
        <w:rPr>
          <w:i/>
          <w:szCs w:val="22"/>
        </w:rPr>
        <w:t>(c)</w:t>
      </w:r>
      <w:r w:rsidRPr="002A056B">
        <w:rPr>
          <w:i/>
          <w:szCs w:val="22"/>
        </w:rPr>
        <w:tab/>
        <w:t>Banker’s acceptance</w:t>
      </w:r>
    </w:p>
    <w:p w:rsidR="007D0D8A" w:rsidRPr="002A056B" w:rsidRDefault="007D0D8A" w:rsidP="00A314DC">
      <w:pPr>
        <w:pStyle w:val="ONUME"/>
        <w:tabs>
          <w:tab w:val="left" w:pos="3969"/>
          <w:tab w:val="left" w:pos="4536"/>
          <w:tab w:val="left" w:pos="6946"/>
        </w:tabs>
        <w:ind w:left="3402"/>
        <w:rPr>
          <w:i/>
          <w:szCs w:val="22"/>
        </w:rPr>
      </w:pPr>
      <w:r w:rsidRPr="002A056B">
        <w:rPr>
          <w:i/>
          <w:szCs w:val="22"/>
        </w:rPr>
        <w:t>III.</w:t>
      </w:r>
      <w:r w:rsidRPr="002A056B">
        <w:rPr>
          <w:i/>
          <w:szCs w:val="22"/>
        </w:rPr>
        <w:tab/>
        <w:t>Bonds, notes or other obligations (short, medium or long-term) and other fixed income products:</w:t>
      </w:r>
    </w:p>
    <w:p w:rsidR="007D0D8A" w:rsidRPr="002A056B" w:rsidRDefault="007D0D8A" w:rsidP="00A314DC">
      <w:pPr>
        <w:pStyle w:val="ONUME"/>
        <w:tabs>
          <w:tab w:val="left" w:pos="4536"/>
          <w:tab w:val="left" w:pos="5103"/>
          <w:tab w:val="left" w:pos="6946"/>
        </w:tabs>
        <w:ind w:left="3969"/>
        <w:rPr>
          <w:i/>
          <w:szCs w:val="22"/>
        </w:rPr>
      </w:pPr>
      <w:r w:rsidRPr="002A056B">
        <w:rPr>
          <w:i/>
          <w:szCs w:val="22"/>
        </w:rPr>
        <w:t>(a)</w:t>
      </w:r>
      <w:r w:rsidRPr="002A056B">
        <w:rPr>
          <w:i/>
          <w:szCs w:val="22"/>
        </w:rPr>
        <w:tab/>
        <w:t>Government bonds</w:t>
      </w:r>
    </w:p>
    <w:p w:rsidR="007D0D8A" w:rsidRPr="002A056B" w:rsidRDefault="007D0D8A" w:rsidP="0035607C">
      <w:pPr>
        <w:pStyle w:val="ONUME"/>
        <w:tabs>
          <w:tab w:val="left" w:pos="4536"/>
          <w:tab w:val="left" w:pos="5103"/>
          <w:tab w:val="left" w:pos="6946"/>
        </w:tabs>
        <w:ind w:left="3969"/>
        <w:rPr>
          <w:i/>
          <w:szCs w:val="22"/>
        </w:rPr>
      </w:pPr>
      <w:r w:rsidRPr="002A056B">
        <w:rPr>
          <w:i/>
          <w:szCs w:val="22"/>
        </w:rPr>
        <w:t>(b)</w:t>
      </w:r>
      <w:r w:rsidRPr="002A056B">
        <w:rPr>
          <w:i/>
          <w:szCs w:val="22"/>
        </w:rPr>
        <w:tab/>
        <w:t>Sub-sovereign bonds – provincial, municipal or territorial bonds for example</w:t>
      </w:r>
    </w:p>
    <w:p w:rsidR="007D0D8A" w:rsidRPr="002A056B" w:rsidRDefault="007D0D8A" w:rsidP="0035607C">
      <w:pPr>
        <w:pStyle w:val="ONUME"/>
        <w:tabs>
          <w:tab w:val="left" w:pos="4536"/>
          <w:tab w:val="left" w:pos="5103"/>
          <w:tab w:val="left" w:pos="6946"/>
        </w:tabs>
        <w:ind w:left="3969"/>
        <w:rPr>
          <w:i/>
          <w:szCs w:val="22"/>
        </w:rPr>
      </w:pPr>
      <w:r w:rsidRPr="002A056B">
        <w:rPr>
          <w:i/>
          <w:szCs w:val="22"/>
        </w:rPr>
        <w:t>(c)</w:t>
      </w:r>
      <w:r w:rsidRPr="002A056B">
        <w:rPr>
          <w:i/>
          <w:szCs w:val="22"/>
        </w:rPr>
        <w:tab/>
        <w:t>Supranational bonds</w:t>
      </w:r>
    </w:p>
    <w:p w:rsidR="007D0D8A" w:rsidRPr="002A056B" w:rsidRDefault="007D0D8A" w:rsidP="0035607C">
      <w:pPr>
        <w:pStyle w:val="ONUME"/>
        <w:tabs>
          <w:tab w:val="left" w:pos="4536"/>
          <w:tab w:val="left" w:pos="5103"/>
          <w:tab w:val="left" w:pos="6946"/>
        </w:tabs>
        <w:ind w:left="3969"/>
        <w:rPr>
          <w:i/>
          <w:szCs w:val="22"/>
        </w:rPr>
      </w:pPr>
      <w:r w:rsidRPr="002A056B">
        <w:rPr>
          <w:i/>
          <w:szCs w:val="22"/>
        </w:rPr>
        <w:t>(d)</w:t>
      </w:r>
      <w:r w:rsidRPr="002A056B">
        <w:rPr>
          <w:i/>
          <w:szCs w:val="22"/>
        </w:rPr>
        <w:tab/>
        <w:t>Corporate bonds</w:t>
      </w:r>
    </w:p>
    <w:p w:rsidR="007D0D8A" w:rsidRPr="002A056B" w:rsidRDefault="007D0D8A" w:rsidP="0035607C">
      <w:pPr>
        <w:pStyle w:val="ONUME"/>
        <w:tabs>
          <w:tab w:val="left" w:pos="4536"/>
          <w:tab w:val="left" w:pos="5103"/>
          <w:tab w:val="left" w:pos="6946"/>
        </w:tabs>
        <w:ind w:left="3969"/>
        <w:rPr>
          <w:i/>
          <w:szCs w:val="22"/>
        </w:rPr>
      </w:pPr>
      <w:r w:rsidRPr="002A056B">
        <w:rPr>
          <w:i/>
          <w:szCs w:val="22"/>
        </w:rPr>
        <w:t>(e)</w:t>
      </w:r>
      <w:r w:rsidRPr="002A056B">
        <w:rPr>
          <w:i/>
          <w:szCs w:val="22"/>
        </w:rPr>
        <w:tab/>
        <w:t>Private placements</w:t>
      </w:r>
    </w:p>
    <w:p w:rsidR="007D0D8A" w:rsidRPr="002A056B" w:rsidRDefault="007D0D8A" w:rsidP="00A314DC">
      <w:pPr>
        <w:pStyle w:val="ONUME"/>
        <w:tabs>
          <w:tab w:val="left" w:pos="3969"/>
          <w:tab w:val="left" w:pos="5103"/>
          <w:tab w:val="left" w:pos="6946"/>
        </w:tabs>
        <w:ind w:left="3402"/>
        <w:rPr>
          <w:i/>
          <w:szCs w:val="22"/>
        </w:rPr>
      </w:pPr>
      <w:r w:rsidRPr="002A056B">
        <w:rPr>
          <w:i/>
          <w:szCs w:val="22"/>
        </w:rPr>
        <w:lastRenderedPageBreak/>
        <w:t>IV.</w:t>
      </w:r>
      <w:r w:rsidRPr="002A056B">
        <w:rPr>
          <w:i/>
          <w:szCs w:val="22"/>
        </w:rPr>
        <w:tab/>
        <w:t>Real Estate Investment Trusts (REITs)</w:t>
      </w:r>
    </w:p>
    <w:p w:rsidR="00BF24CD" w:rsidRPr="00F8608F" w:rsidRDefault="00BF24CD" w:rsidP="00A314DC">
      <w:pPr>
        <w:pStyle w:val="ONUME"/>
        <w:numPr>
          <w:ilvl w:val="0"/>
          <w:numId w:val="14"/>
        </w:numPr>
        <w:tabs>
          <w:tab w:val="left" w:pos="2835"/>
          <w:tab w:val="left" w:pos="4536"/>
          <w:tab w:val="left" w:pos="6379"/>
        </w:tabs>
        <w:ind w:left="2268" w:firstLine="0"/>
        <w:rPr>
          <w:i/>
          <w:szCs w:val="22"/>
          <w:u w:val="single"/>
        </w:rPr>
      </w:pPr>
      <w:r w:rsidRPr="00F8608F">
        <w:rPr>
          <w:i/>
          <w:szCs w:val="22"/>
          <w:u w:val="single"/>
        </w:rPr>
        <w:t>With</w:t>
      </w:r>
      <w:r w:rsidR="00882AEF" w:rsidRPr="00F8608F">
        <w:rPr>
          <w:i/>
          <w:szCs w:val="22"/>
          <w:u w:val="single"/>
        </w:rPr>
        <w:t>in</w:t>
      </w:r>
      <w:r w:rsidRPr="00F8608F">
        <w:rPr>
          <w:i/>
          <w:szCs w:val="22"/>
          <w:u w:val="single"/>
        </w:rPr>
        <w:t xml:space="preserve"> the investment poli</w:t>
      </w:r>
      <w:r w:rsidR="00882AEF" w:rsidRPr="00F8608F">
        <w:rPr>
          <w:i/>
          <w:szCs w:val="22"/>
          <w:u w:val="single"/>
        </w:rPr>
        <w:t>cy applicable to strategic cash</w:t>
      </w:r>
      <w:r w:rsidR="00D321FB" w:rsidRPr="00F8608F">
        <w:rPr>
          <w:i/>
          <w:szCs w:val="22"/>
          <w:u w:val="single"/>
        </w:rPr>
        <w:t>:</w:t>
      </w:r>
    </w:p>
    <w:p w:rsidR="00882AEF" w:rsidRPr="00AA117F" w:rsidRDefault="00882AEF" w:rsidP="0035607C">
      <w:pPr>
        <w:pStyle w:val="ONUME"/>
        <w:numPr>
          <w:ilvl w:val="0"/>
          <w:numId w:val="17"/>
        </w:numPr>
        <w:tabs>
          <w:tab w:val="left" w:pos="4536"/>
          <w:tab w:val="left" w:pos="5103"/>
          <w:tab w:val="left" w:pos="6946"/>
        </w:tabs>
        <w:ind w:left="3969" w:firstLine="0"/>
        <w:rPr>
          <w:i/>
          <w:szCs w:val="22"/>
        </w:rPr>
      </w:pPr>
      <w:r w:rsidRPr="00AA117F">
        <w:rPr>
          <w:i/>
          <w:szCs w:val="22"/>
        </w:rPr>
        <w:t>All asset classes stipulated for use with operating and core cash</w:t>
      </w:r>
      <w:r w:rsidR="003F715C" w:rsidRPr="00AA117F">
        <w:rPr>
          <w:i/>
          <w:szCs w:val="22"/>
        </w:rPr>
        <w:t>;</w:t>
      </w:r>
    </w:p>
    <w:p w:rsidR="00BF24CD" w:rsidRPr="00AA117F" w:rsidRDefault="00BF24CD" w:rsidP="0035607C">
      <w:pPr>
        <w:pStyle w:val="ONUME"/>
        <w:numPr>
          <w:ilvl w:val="0"/>
          <w:numId w:val="17"/>
        </w:numPr>
        <w:tabs>
          <w:tab w:val="left" w:pos="4536"/>
          <w:tab w:val="left" w:pos="5103"/>
          <w:tab w:val="left" w:pos="6946"/>
        </w:tabs>
        <w:ind w:left="3969" w:firstLine="0"/>
        <w:rPr>
          <w:i/>
          <w:szCs w:val="22"/>
        </w:rPr>
      </w:pPr>
      <w:r w:rsidRPr="00AA117F">
        <w:rPr>
          <w:i/>
          <w:szCs w:val="22"/>
        </w:rPr>
        <w:t xml:space="preserve">Direct </w:t>
      </w:r>
      <w:r w:rsidR="00F8608F">
        <w:rPr>
          <w:i/>
          <w:szCs w:val="22"/>
        </w:rPr>
        <w:t>real estate h</w:t>
      </w:r>
      <w:r w:rsidRPr="00AA117F">
        <w:rPr>
          <w:i/>
          <w:szCs w:val="22"/>
        </w:rPr>
        <w:t>oldings</w:t>
      </w:r>
      <w:r w:rsidR="003F715C" w:rsidRPr="00AA117F">
        <w:rPr>
          <w:i/>
          <w:szCs w:val="22"/>
        </w:rPr>
        <w:t>;</w:t>
      </w:r>
    </w:p>
    <w:p w:rsidR="00BF24CD" w:rsidRPr="00AA117F" w:rsidRDefault="00BF24CD" w:rsidP="0035607C">
      <w:pPr>
        <w:pStyle w:val="ONUME"/>
        <w:numPr>
          <w:ilvl w:val="0"/>
          <w:numId w:val="17"/>
        </w:numPr>
        <w:tabs>
          <w:tab w:val="left" w:pos="4536"/>
          <w:tab w:val="left" w:pos="5103"/>
          <w:tab w:val="left" w:pos="6946"/>
        </w:tabs>
        <w:ind w:left="3969" w:firstLine="0"/>
        <w:rPr>
          <w:i/>
          <w:szCs w:val="22"/>
        </w:rPr>
      </w:pPr>
      <w:r w:rsidRPr="00AA117F">
        <w:rPr>
          <w:i/>
          <w:szCs w:val="22"/>
        </w:rPr>
        <w:t>Equities and equity funds</w:t>
      </w:r>
      <w:r w:rsidR="003F715C" w:rsidRPr="00AA117F">
        <w:rPr>
          <w:i/>
          <w:szCs w:val="22"/>
        </w:rPr>
        <w:t>;</w:t>
      </w:r>
    </w:p>
    <w:p w:rsidR="007439B0" w:rsidRPr="007439B0" w:rsidRDefault="00BF24CD" w:rsidP="0035607C">
      <w:pPr>
        <w:pStyle w:val="ONUME"/>
        <w:numPr>
          <w:ilvl w:val="0"/>
          <w:numId w:val="17"/>
        </w:numPr>
        <w:tabs>
          <w:tab w:val="left" w:pos="4536"/>
          <w:tab w:val="left" w:pos="5103"/>
          <w:tab w:val="left" w:pos="6946"/>
        </w:tabs>
        <w:ind w:left="3969" w:firstLine="0"/>
        <w:rPr>
          <w:i/>
        </w:rPr>
      </w:pPr>
      <w:r w:rsidRPr="00AA117F">
        <w:rPr>
          <w:i/>
          <w:szCs w:val="22"/>
        </w:rPr>
        <w:t>Hedge funds</w:t>
      </w:r>
      <w:r w:rsidR="003F715C" w:rsidRPr="00AA117F">
        <w:rPr>
          <w:i/>
          <w:szCs w:val="22"/>
        </w:rPr>
        <w:t>.</w:t>
      </w:r>
    </w:p>
    <w:p w:rsidR="007439B0" w:rsidRPr="007439B0" w:rsidRDefault="007439B0" w:rsidP="007439B0">
      <w:pPr>
        <w:ind w:left="5534"/>
      </w:pPr>
    </w:p>
    <w:p w:rsidR="007439B0" w:rsidRPr="007439B0" w:rsidRDefault="007439B0" w:rsidP="007439B0">
      <w:pPr>
        <w:ind w:left="5534"/>
      </w:pPr>
      <w:r w:rsidRPr="007439B0">
        <w:t>[Annexes follow]</w:t>
      </w:r>
    </w:p>
    <w:p w:rsidR="003E300A" w:rsidRPr="00657AE4" w:rsidRDefault="003E300A" w:rsidP="00BF24CD">
      <w:pPr>
        <w:pStyle w:val="Endofdocument-Annex"/>
        <w:rPr>
          <w:sz w:val="18"/>
          <w:szCs w:val="18"/>
        </w:rPr>
        <w:sectPr w:rsidR="003E300A" w:rsidRPr="00657AE4" w:rsidSect="000978CE">
          <w:headerReference w:type="default" r:id="rId13"/>
          <w:endnotePr>
            <w:numFmt w:val="decimal"/>
          </w:endnotePr>
          <w:pgSz w:w="11907" w:h="16840" w:code="9"/>
          <w:pgMar w:top="567" w:right="1134" w:bottom="1191" w:left="1418" w:header="510" w:footer="1021" w:gutter="0"/>
          <w:cols w:space="720"/>
          <w:titlePg/>
          <w:docGrid w:linePitch="299"/>
        </w:sectPr>
      </w:pPr>
    </w:p>
    <w:p w:rsidR="00882AEF" w:rsidRPr="00657AE4" w:rsidRDefault="006A4E51" w:rsidP="00B22D9B">
      <w:pPr>
        <w:pStyle w:val="ONUME"/>
        <w:ind w:left="-284" w:right="538"/>
        <w:jc w:val="center"/>
        <w:rPr>
          <w:b/>
          <w:sz w:val="18"/>
          <w:szCs w:val="18"/>
        </w:rPr>
      </w:pPr>
      <w:r w:rsidRPr="00657AE4">
        <w:rPr>
          <w:noProof/>
          <w:sz w:val="18"/>
          <w:szCs w:val="18"/>
          <w:lang w:eastAsia="en-US"/>
        </w:rPr>
        <w:lastRenderedPageBreak/>
        <w:drawing>
          <wp:inline distT="0" distB="0" distL="0" distR="0" wp14:anchorId="1CA271DA" wp14:editId="1EF672F1">
            <wp:extent cx="9067800" cy="5076825"/>
            <wp:effectExtent l="0" t="0" r="1905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A4E51" w:rsidRPr="00244178" w:rsidRDefault="00F8608F" w:rsidP="00F8608F">
      <w:pPr>
        <w:pStyle w:val="ONUME"/>
        <w:jc w:val="center"/>
        <w:rPr>
          <w:i/>
          <w:sz w:val="20"/>
        </w:rPr>
      </w:pPr>
      <w:r w:rsidRPr="00244178">
        <w:rPr>
          <w:i/>
          <w:sz w:val="20"/>
        </w:rPr>
        <w:t>This graph has been reproduced with kind permission of the Finance and Management Faculty, Institute of Chartered Accountants in England and Wales</w:t>
      </w:r>
    </w:p>
    <w:p w:rsidR="006A4E51" w:rsidRPr="00A314DC" w:rsidRDefault="00B22D9B" w:rsidP="00A314DC">
      <w:pPr>
        <w:pStyle w:val="ONUME"/>
        <w:ind w:left="10206" w:firstLine="567"/>
        <w:rPr>
          <w:szCs w:val="22"/>
        </w:rPr>
      </w:pPr>
      <w:r w:rsidRPr="00A314DC">
        <w:rPr>
          <w:szCs w:val="22"/>
        </w:rPr>
        <w:t>[A</w:t>
      </w:r>
      <w:r>
        <w:rPr>
          <w:szCs w:val="22"/>
        </w:rPr>
        <w:t>nnex</w:t>
      </w:r>
      <w:r w:rsidRPr="00A314DC">
        <w:rPr>
          <w:szCs w:val="22"/>
        </w:rPr>
        <w:t xml:space="preserve"> II </w:t>
      </w:r>
      <w:r>
        <w:rPr>
          <w:szCs w:val="22"/>
        </w:rPr>
        <w:t>follows]</w:t>
      </w:r>
    </w:p>
    <w:p w:rsidR="006A4E51" w:rsidRPr="00657AE4" w:rsidRDefault="006A4E51" w:rsidP="006A4E51">
      <w:pPr>
        <w:pStyle w:val="ONUME"/>
        <w:jc w:val="both"/>
        <w:rPr>
          <w:b/>
          <w:sz w:val="18"/>
          <w:szCs w:val="18"/>
        </w:rPr>
      </w:pPr>
      <w:r w:rsidRPr="00657AE4">
        <w:rPr>
          <w:b/>
          <w:noProof/>
          <w:sz w:val="18"/>
          <w:szCs w:val="18"/>
          <w:lang w:eastAsia="en-US"/>
        </w:rPr>
        <w:lastRenderedPageBreak/>
        <w:drawing>
          <wp:anchor distT="0" distB="0" distL="114300" distR="114300" simplePos="0" relativeHeight="251658240" behindDoc="0" locked="0" layoutInCell="1" allowOverlap="1" wp14:anchorId="6FA44A9C" wp14:editId="0CCF3252">
            <wp:simplePos x="0" y="0"/>
            <wp:positionH relativeFrom="column">
              <wp:posOffset>63500</wp:posOffset>
            </wp:positionH>
            <wp:positionV relativeFrom="paragraph">
              <wp:posOffset>46990</wp:posOffset>
            </wp:positionV>
            <wp:extent cx="8535035" cy="547878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35035" cy="5478780"/>
                    </a:xfrm>
                    <a:prstGeom prst="rect">
                      <a:avLst/>
                    </a:prstGeom>
                    <a:noFill/>
                  </pic:spPr>
                </pic:pic>
              </a:graphicData>
            </a:graphic>
            <wp14:sizeRelH relativeFrom="margin">
              <wp14:pctWidth>0</wp14:pctWidth>
            </wp14:sizeRelH>
            <wp14:sizeRelV relativeFrom="margin">
              <wp14:pctHeight>0</wp14:pctHeight>
            </wp14:sizeRelV>
          </wp:anchor>
        </w:drawing>
      </w:r>
    </w:p>
    <w:p w:rsidR="006A4E51" w:rsidRPr="00657AE4" w:rsidRDefault="006A4E51" w:rsidP="003E300A">
      <w:pPr>
        <w:pStyle w:val="ONUME"/>
        <w:rPr>
          <w:b/>
          <w:sz w:val="18"/>
          <w:szCs w:val="18"/>
        </w:rPr>
      </w:pPr>
    </w:p>
    <w:p w:rsidR="006A4E51" w:rsidRPr="00657AE4" w:rsidRDefault="006A4E51" w:rsidP="003E300A">
      <w:pPr>
        <w:pStyle w:val="ONUME"/>
        <w:rPr>
          <w:b/>
          <w:sz w:val="18"/>
          <w:szCs w:val="18"/>
        </w:rPr>
      </w:pPr>
    </w:p>
    <w:p w:rsidR="006A4E51" w:rsidRPr="00657AE4" w:rsidRDefault="006A4E51" w:rsidP="003E300A">
      <w:pPr>
        <w:pStyle w:val="ONUME"/>
        <w:rPr>
          <w:b/>
          <w:sz w:val="18"/>
          <w:szCs w:val="18"/>
        </w:rPr>
      </w:pPr>
    </w:p>
    <w:p w:rsidR="006A4E51" w:rsidRPr="00657AE4" w:rsidRDefault="006A4E51" w:rsidP="003E300A">
      <w:pPr>
        <w:pStyle w:val="ONUME"/>
        <w:rPr>
          <w:b/>
          <w:sz w:val="18"/>
          <w:szCs w:val="18"/>
        </w:rPr>
      </w:pPr>
    </w:p>
    <w:p w:rsidR="006A4E51" w:rsidRPr="00657AE4" w:rsidRDefault="006A4E51" w:rsidP="003E300A">
      <w:pPr>
        <w:pStyle w:val="ONUME"/>
        <w:rPr>
          <w:b/>
          <w:sz w:val="18"/>
          <w:szCs w:val="18"/>
        </w:rPr>
      </w:pPr>
    </w:p>
    <w:p w:rsidR="006A4E51" w:rsidRPr="00657AE4" w:rsidRDefault="006A4E51" w:rsidP="003E300A">
      <w:pPr>
        <w:pStyle w:val="ONUME"/>
        <w:rPr>
          <w:b/>
          <w:sz w:val="18"/>
          <w:szCs w:val="18"/>
        </w:rPr>
      </w:pPr>
    </w:p>
    <w:p w:rsidR="006A4E51" w:rsidRPr="00657AE4" w:rsidRDefault="006A4E51" w:rsidP="003E300A">
      <w:pPr>
        <w:pStyle w:val="ONUME"/>
        <w:rPr>
          <w:b/>
          <w:sz w:val="18"/>
          <w:szCs w:val="18"/>
        </w:rPr>
      </w:pPr>
    </w:p>
    <w:p w:rsidR="006A4E51" w:rsidRPr="00657AE4" w:rsidRDefault="006A4E51" w:rsidP="003E300A">
      <w:pPr>
        <w:pStyle w:val="ONUME"/>
        <w:rPr>
          <w:b/>
          <w:sz w:val="18"/>
          <w:szCs w:val="18"/>
        </w:rPr>
      </w:pPr>
    </w:p>
    <w:p w:rsidR="006A4E51" w:rsidRPr="00657AE4" w:rsidRDefault="006A4E51" w:rsidP="003E300A">
      <w:pPr>
        <w:pStyle w:val="ONUME"/>
        <w:rPr>
          <w:b/>
          <w:sz w:val="18"/>
          <w:szCs w:val="18"/>
        </w:rPr>
      </w:pPr>
    </w:p>
    <w:p w:rsidR="006A4E51" w:rsidRPr="00657AE4" w:rsidRDefault="006A4E51" w:rsidP="003E300A">
      <w:pPr>
        <w:pStyle w:val="ONUME"/>
        <w:rPr>
          <w:b/>
          <w:sz w:val="18"/>
          <w:szCs w:val="18"/>
        </w:rPr>
      </w:pPr>
    </w:p>
    <w:p w:rsidR="006A4E51" w:rsidRPr="00657AE4" w:rsidRDefault="006A4E51" w:rsidP="003E300A">
      <w:pPr>
        <w:pStyle w:val="ONUME"/>
        <w:rPr>
          <w:b/>
          <w:sz w:val="18"/>
          <w:szCs w:val="18"/>
        </w:rPr>
      </w:pPr>
    </w:p>
    <w:p w:rsidR="006A4E51" w:rsidRPr="00657AE4" w:rsidRDefault="006A4E51" w:rsidP="003E300A">
      <w:pPr>
        <w:pStyle w:val="ONUME"/>
        <w:rPr>
          <w:b/>
          <w:sz w:val="18"/>
          <w:szCs w:val="18"/>
        </w:rPr>
      </w:pPr>
    </w:p>
    <w:p w:rsidR="006A4E51" w:rsidRPr="00657AE4" w:rsidRDefault="006A4E51" w:rsidP="003E300A">
      <w:pPr>
        <w:pStyle w:val="ONUME"/>
        <w:rPr>
          <w:b/>
          <w:sz w:val="18"/>
          <w:szCs w:val="18"/>
        </w:rPr>
      </w:pPr>
    </w:p>
    <w:p w:rsidR="006A4E51" w:rsidRPr="00657AE4" w:rsidRDefault="006A4E51" w:rsidP="003E300A">
      <w:pPr>
        <w:pStyle w:val="ONUME"/>
        <w:rPr>
          <w:b/>
          <w:sz w:val="18"/>
          <w:szCs w:val="18"/>
        </w:rPr>
      </w:pPr>
    </w:p>
    <w:p w:rsidR="006A4E51" w:rsidRPr="00657AE4" w:rsidRDefault="006A4E51" w:rsidP="003E300A">
      <w:pPr>
        <w:pStyle w:val="ONUME"/>
        <w:rPr>
          <w:b/>
          <w:sz w:val="18"/>
          <w:szCs w:val="18"/>
        </w:rPr>
      </w:pPr>
    </w:p>
    <w:p w:rsidR="006A4E51" w:rsidRDefault="006A4E51" w:rsidP="003E300A">
      <w:pPr>
        <w:pStyle w:val="ONUME"/>
        <w:rPr>
          <w:b/>
          <w:sz w:val="18"/>
          <w:szCs w:val="18"/>
        </w:rPr>
      </w:pPr>
    </w:p>
    <w:p w:rsidR="00B22D9B" w:rsidRDefault="00B22D9B" w:rsidP="003E300A">
      <w:pPr>
        <w:pStyle w:val="ONUME"/>
        <w:rPr>
          <w:b/>
          <w:sz w:val="18"/>
          <w:szCs w:val="18"/>
        </w:rPr>
      </w:pPr>
    </w:p>
    <w:p w:rsidR="00B22D9B" w:rsidRDefault="00B22D9B" w:rsidP="003E300A">
      <w:pPr>
        <w:pStyle w:val="ONUME"/>
        <w:rPr>
          <w:b/>
          <w:sz w:val="18"/>
          <w:szCs w:val="18"/>
        </w:rPr>
      </w:pPr>
    </w:p>
    <w:p w:rsidR="00B22D9B" w:rsidRDefault="00B22D9B" w:rsidP="003E300A">
      <w:pPr>
        <w:pStyle w:val="ONUME"/>
        <w:rPr>
          <w:b/>
          <w:sz w:val="18"/>
          <w:szCs w:val="18"/>
        </w:rPr>
      </w:pPr>
    </w:p>
    <w:p w:rsidR="00B22D9B" w:rsidRDefault="00B22D9B" w:rsidP="003E300A">
      <w:pPr>
        <w:pStyle w:val="ONUME"/>
        <w:rPr>
          <w:b/>
          <w:sz w:val="18"/>
          <w:szCs w:val="18"/>
        </w:rPr>
      </w:pPr>
    </w:p>
    <w:p w:rsidR="00E24FE5" w:rsidRPr="00A314DC" w:rsidRDefault="00B22D9B" w:rsidP="00A314DC">
      <w:pPr>
        <w:pStyle w:val="ONUME"/>
        <w:ind w:left="10206" w:firstLine="567"/>
        <w:rPr>
          <w:szCs w:val="22"/>
        </w:rPr>
        <w:sectPr w:rsidR="00E24FE5" w:rsidRPr="00A314DC" w:rsidSect="00A314DC">
          <w:headerReference w:type="default" r:id="rId16"/>
          <w:headerReference w:type="first" r:id="rId17"/>
          <w:endnotePr>
            <w:numFmt w:val="decimal"/>
          </w:endnotePr>
          <w:pgSz w:w="16840" w:h="11907" w:orient="landscape" w:code="9"/>
          <w:pgMar w:top="993" w:right="567" w:bottom="1134" w:left="1418" w:header="510" w:footer="1021" w:gutter="0"/>
          <w:cols w:space="720"/>
          <w:titlePg/>
          <w:docGrid w:linePitch="299"/>
        </w:sectPr>
      </w:pPr>
      <w:r w:rsidRPr="00A314DC">
        <w:rPr>
          <w:szCs w:val="22"/>
        </w:rPr>
        <w:t>[Annex III follows]</w:t>
      </w:r>
    </w:p>
    <w:p w:rsidR="00862D0A" w:rsidRDefault="00862D0A" w:rsidP="003E300A">
      <w:pPr>
        <w:pStyle w:val="ONUME"/>
        <w:rPr>
          <w:b/>
          <w:szCs w:val="22"/>
        </w:rPr>
      </w:pPr>
      <w:r>
        <w:rPr>
          <w:b/>
          <w:szCs w:val="22"/>
        </w:rPr>
        <w:lastRenderedPageBreak/>
        <w:t>BUILDING AN OPTIMAL PORTFOLIO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gridCol w:w="2694"/>
        <w:gridCol w:w="2976"/>
        <w:gridCol w:w="2977"/>
      </w:tblGrid>
      <w:tr w:rsidR="00DA3947" w:rsidRPr="00DA3947" w:rsidTr="00A314DC">
        <w:trPr>
          <w:trHeight w:hRule="exact" w:val="714"/>
        </w:trPr>
        <w:tc>
          <w:tcPr>
            <w:tcW w:w="3652" w:type="dxa"/>
            <w:shd w:val="pct10" w:color="auto" w:fill="auto"/>
          </w:tcPr>
          <w:p w:rsidR="00862D0A" w:rsidRPr="00A314DC" w:rsidRDefault="00862D0A" w:rsidP="003E300A">
            <w:pPr>
              <w:pStyle w:val="ONUME"/>
              <w:rPr>
                <w:b/>
                <w:sz w:val="20"/>
              </w:rPr>
            </w:pPr>
            <w:r w:rsidRPr="00A314DC">
              <w:rPr>
                <w:b/>
                <w:sz w:val="20"/>
              </w:rPr>
              <w:t>Asset category</w:t>
            </w:r>
          </w:p>
        </w:tc>
        <w:tc>
          <w:tcPr>
            <w:tcW w:w="1559" w:type="dxa"/>
            <w:shd w:val="pct10" w:color="auto" w:fill="auto"/>
          </w:tcPr>
          <w:p w:rsidR="00862D0A" w:rsidRPr="00A314DC" w:rsidRDefault="00862D0A" w:rsidP="00A314DC">
            <w:pPr>
              <w:pStyle w:val="ONUME"/>
              <w:jc w:val="right"/>
              <w:rPr>
                <w:b/>
                <w:sz w:val="20"/>
              </w:rPr>
            </w:pPr>
            <w:r w:rsidRPr="00A314DC">
              <w:rPr>
                <w:b/>
                <w:sz w:val="20"/>
              </w:rPr>
              <w:t>Portfolio</w:t>
            </w:r>
          </w:p>
          <w:p w:rsidR="00862D0A" w:rsidRPr="00A314DC" w:rsidRDefault="00862D0A" w:rsidP="00A314DC">
            <w:pPr>
              <w:pStyle w:val="ONUME"/>
              <w:jc w:val="right"/>
              <w:rPr>
                <w:b/>
                <w:sz w:val="20"/>
              </w:rPr>
            </w:pPr>
            <w:r w:rsidRPr="00A314DC">
              <w:rPr>
                <w:b/>
                <w:sz w:val="20"/>
              </w:rPr>
              <w:t>%</w:t>
            </w:r>
          </w:p>
        </w:tc>
        <w:tc>
          <w:tcPr>
            <w:tcW w:w="2694" w:type="dxa"/>
            <w:shd w:val="pct10" w:color="auto" w:fill="auto"/>
          </w:tcPr>
          <w:p w:rsidR="00862D0A" w:rsidRPr="00A314DC" w:rsidRDefault="00EB0008" w:rsidP="00A314DC">
            <w:pPr>
              <w:pStyle w:val="ONUME"/>
              <w:jc w:val="right"/>
              <w:rPr>
                <w:b/>
                <w:sz w:val="20"/>
              </w:rPr>
            </w:pPr>
            <w:r w:rsidRPr="00A314DC">
              <w:rPr>
                <w:b/>
                <w:sz w:val="20"/>
              </w:rPr>
              <w:t>Strategy A</w:t>
            </w:r>
          </w:p>
          <w:p w:rsidR="00EB0008" w:rsidRPr="00A314DC" w:rsidRDefault="00EB0008" w:rsidP="00A314DC">
            <w:pPr>
              <w:pStyle w:val="ONUME"/>
              <w:jc w:val="right"/>
              <w:rPr>
                <w:b/>
                <w:sz w:val="20"/>
              </w:rPr>
            </w:pPr>
            <w:r w:rsidRPr="00A314DC">
              <w:rPr>
                <w:b/>
                <w:sz w:val="20"/>
              </w:rPr>
              <w:t>%</w:t>
            </w:r>
          </w:p>
        </w:tc>
        <w:tc>
          <w:tcPr>
            <w:tcW w:w="2976" w:type="dxa"/>
            <w:shd w:val="pct10" w:color="auto" w:fill="auto"/>
          </w:tcPr>
          <w:p w:rsidR="00EB0008" w:rsidRPr="00A314DC" w:rsidRDefault="00EB0008" w:rsidP="00A314DC">
            <w:pPr>
              <w:pStyle w:val="ONUME"/>
              <w:jc w:val="right"/>
              <w:rPr>
                <w:b/>
                <w:sz w:val="20"/>
              </w:rPr>
            </w:pPr>
            <w:r w:rsidRPr="00A314DC">
              <w:rPr>
                <w:b/>
                <w:sz w:val="20"/>
              </w:rPr>
              <w:t>Strategy B</w:t>
            </w:r>
          </w:p>
          <w:p w:rsidR="00862D0A" w:rsidRPr="00A314DC" w:rsidRDefault="00EB0008" w:rsidP="00A314DC">
            <w:pPr>
              <w:pStyle w:val="ONUME"/>
              <w:jc w:val="right"/>
              <w:rPr>
                <w:b/>
                <w:sz w:val="20"/>
              </w:rPr>
            </w:pPr>
            <w:r w:rsidRPr="00A314DC">
              <w:rPr>
                <w:b/>
                <w:sz w:val="20"/>
              </w:rPr>
              <w:t>%</w:t>
            </w:r>
          </w:p>
        </w:tc>
        <w:tc>
          <w:tcPr>
            <w:tcW w:w="2977" w:type="dxa"/>
            <w:shd w:val="pct10" w:color="auto" w:fill="auto"/>
          </w:tcPr>
          <w:p w:rsidR="00EB0008" w:rsidRPr="00A314DC" w:rsidRDefault="00EB0008" w:rsidP="00A314DC">
            <w:pPr>
              <w:pStyle w:val="ONUME"/>
              <w:jc w:val="right"/>
              <w:rPr>
                <w:b/>
                <w:sz w:val="20"/>
              </w:rPr>
            </w:pPr>
            <w:r w:rsidRPr="00A314DC">
              <w:rPr>
                <w:b/>
                <w:sz w:val="20"/>
              </w:rPr>
              <w:t>Strategy C</w:t>
            </w:r>
          </w:p>
          <w:p w:rsidR="00862D0A" w:rsidRPr="00A314DC" w:rsidRDefault="00EB0008" w:rsidP="00A314DC">
            <w:pPr>
              <w:pStyle w:val="ONUME"/>
              <w:jc w:val="right"/>
              <w:rPr>
                <w:b/>
                <w:sz w:val="20"/>
              </w:rPr>
            </w:pPr>
            <w:r w:rsidRPr="00A314DC">
              <w:rPr>
                <w:b/>
                <w:sz w:val="20"/>
              </w:rPr>
              <w:t>%</w:t>
            </w:r>
          </w:p>
        </w:tc>
      </w:tr>
      <w:tr w:rsidR="006961AE" w:rsidRPr="00DA3947" w:rsidTr="00A314DC">
        <w:tc>
          <w:tcPr>
            <w:tcW w:w="3652" w:type="dxa"/>
            <w:shd w:val="clear" w:color="auto" w:fill="auto"/>
          </w:tcPr>
          <w:p w:rsidR="00862D0A" w:rsidRPr="00A314DC" w:rsidRDefault="00CE73A1" w:rsidP="003E300A">
            <w:pPr>
              <w:pStyle w:val="ONUME"/>
              <w:rPr>
                <w:sz w:val="20"/>
              </w:rPr>
            </w:pPr>
            <w:r w:rsidRPr="00A314DC">
              <w:rPr>
                <w:sz w:val="20"/>
              </w:rPr>
              <w:t>Money market in CHF</w:t>
            </w:r>
          </w:p>
        </w:tc>
        <w:tc>
          <w:tcPr>
            <w:tcW w:w="1559" w:type="dxa"/>
            <w:shd w:val="clear" w:color="auto" w:fill="auto"/>
          </w:tcPr>
          <w:p w:rsidR="00862D0A" w:rsidRPr="00A314DC" w:rsidRDefault="00526131" w:rsidP="00A314DC">
            <w:pPr>
              <w:pStyle w:val="ONUME"/>
              <w:jc w:val="right"/>
              <w:rPr>
                <w:sz w:val="20"/>
              </w:rPr>
            </w:pPr>
            <w:r w:rsidRPr="00A314DC">
              <w:rPr>
                <w:sz w:val="20"/>
              </w:rPr>
              <w:t>100</w:t>
            </w:r>
          </w:p>
        </w:tc>
        <w:tc>
          <w:tcPr>
            <w:tcW w:w="2694" w:type="dxa"/>
            <w:shd w:val="clear" w:color="auto" w:fill="auto"/>
          </w:tcPr>
          <w:p w:rsidR="00862D0A" w:rsidRPr="00A314DC" w:rsidRDefault="00526131" w:rsidP="00A314DC">
            <w:pPr>
              <w:pStyle w:val="ONUME"/>
              <w:jc w:val="right"/>
              <w:rPr>
                <w:sz w:val="20"/>
              </w:rPr>
            </w:pPr>
            <w:r w:rsidRPr="00A314DC">
              <w:rPr>
                <w:sz w:val="20"/>
              </w:rPr>
              <w:t>50</w:t>
            </w:r>
          </w:p>
        </w:tc>
        <w:tc>
          <w:tcPr>
            <w:tcW w:w="2976" w:type="dxa"/>
            <w:shd w:val="clear" w:color="auto" w:fill="auto"/>
          </w:tcPr>
          <w:p w:rsidR="00862D0A" w:rsidRPr="00A314DC" w:rsidRDefault="00526131" w:rsidP="00A314DC">
            <w:pPr>
              <w:pStyle w:val="ONUME"/>
              <w:jc w:val="right"/>
              <w:rPr>
                <w:sz w:val="20"/>
              </w:rPr>
            </w:pPr>
            <w:r w:rsidRPr="00A314DC">
              <w:rPr>
                <w:sz w:val="20"/>
              </w:rPr>
              <w:t>50</w:t>
            </w:r>
          </w:p>
        </w:tc>
        <w:tc>
          <w:tcPr>
            <w:tcW w:w="2977" w:type="dxa"/>
            <w:shd w:val="clear" w:color="auto" w:fill="auto"/>
          </w:tcPr>
          <w:p w:rsidR="00862D0A" w:rsidRPr="00A314DC" w:rsidRDefault="00526131" w:rsidP="00A314DC">
            <w:pPr>
              <w:pStyle w:val="ONUME"/>
              <w:jc w:val="right"/>
              <w:rPr>
                <w:sz w:val="20"/>
              </w:rPr>
            </w:pPr>
            <w:r w:rsidRPr="00A314DC">
              <w:rPr>
                <w:sz w:val="20"/>
              </w:rPr>
              <w:t>10</w:t>
            </w:r>
          </w:p>
        </w:tc>
      </w:tr>
      <w:tr w:rsidR="006961AE" w:rsidRPr="00DA3947" w:rsidTr="00A314DC">
        <w:tc>
          <w:tcPr>
            <w:tcW w:w="3652" w:type="dxa"/>
            <w:shd w:val="clear" w:color="auto" w:fill="auto"/>
          </w:tcPr>
          <w:p w:rsidR="00862D0A" w:rsidRPr="00A314DC" w:rsidRDefault="00CE73A1" w:rsidP="003E300A">
            <w:pPr>
              <w:pStyle w:val="ONUME"/>
              <w:rPr>
                <w:sz w:val="20"/>
              </w:rPr>
            </w:pPr>
            <w:r w:rsidRPr="00A314DC">
              <w:rPr>
                <w:sz w:val="20"/>
              </w:rPr>
              <w:t>CHF bonds</w:t>
            </w:r>
          </w:p>
        </w:tc>
        <w:tc>
          <w:tcPr>
            <w:tcW w:w="1559" w:type="dxa"/>
            <w:shd w:val="clear" w:color="auto" w:fill="auto"/>
          </w:tcPr>
          <w:p w:rsidR="00862D0A" w:rsidRPr="00A314DC" w:rsidRDefault="00526131" w:rsidP="00A314DC">
            <w:pPr>
              <w:pStyle w:val="ONUME"/>
              <w:jc w:val="right"/>
              <w:rPr>
                <w:sz w:val="20"/>
              </w:rPr>
            </w:pPr>
            <w:r w:rsidRPr="00A314DC">
              <w:rPr>
                <w:sz w:val="20"/>
              </w:rPr>
              <w:t>0</w:t>
            </w:r>
          </w:p>
        </w:tc>
        <w:tc>
          <w:tcPr>
            <w:tcW w:w="2694" w:type="dxa"/>
            <w:shd w:val="clear" w:color="auto" w:fill="auto"/>
          </w:tcPr>
          <w:p w:rsidR="00862D0A" w:rsidRPr="00A314DC" w:rsidRDefault="00526131" w:rsidP="00A314DC">
            <w:pPr>
              <w:pStyle w:val="ONUME"/>
              <w:jc w:val="right"/>
              <w:rPr>
                <w:sz w:val="20"/>
              </w:rPr>
            </w:pPr>
            <w:r w:rsidRPr="00A314DC">
              <w:rPr>
                <w:sz w:val="20"/>
              </w:rPr>
              <w:t>50</w:t>
            </w:r>
          </w:p>
        </w:tc>
        <w:tc>
          <w:tcPr>
            <w:tcW w:w="2976" w:type="dxa"/>
            <w:shd w:val="clear" w:color="auto" w:fill="auto"/>
          </w:tcPr>
          <w:p w:rsidR="00862D0A" w:rsidRPr="00A314DC" w:rsidRDefault="00526131" w:rsidP="00A314DC">
            <w:pPr>
              <w:pStyle w:val="ONUME"/>
              <w:jc w:val="right"/>
              <w:rPr>
                <w:sz w:val="20"/>
              </w:rPr>
            </w:pPr>
            <w:r w:rsidRPr="00A314DC">
              <w:rPr>
                <w:sz w:val="20"/>
              </w:rPr>
              <w:t>25</w:t>
            </w:r>
          </w:p>
        </w:tc>
        <w:tc>
          <w:tcPr>
            <w:tcW w:w="2977" w:type="dxa"/>
            <w:shd w:val="clear" w:color="auto" w:fill="auto"/>
          </w:tcPr>
          <w:p w:rsidR="00862D0A" w:rsidRPr="00A314DC" w:rsidRDefault="00526131" w:rsidP="00A314DC">
            <w:pPr>
              <w:pStyle w:val="ONUME"/>
              <w:jc w:val="right"/>
              <w:rPr>
                <w:sz w:val="20"/>
              </w:rPr>
            </w:pPr>
            <w:r w:rsidRPr="00A314DC">
              <w:rPr>
                <w:sz w:val="20"/>
              </w:rPr>
              <w:t>25</w:t>
            </w:r>
          </w:p>
        </w:tc>
      </w:tr>
      <w:tr w:rsidR="006961AE" w:rsidRPr="00DA3947" w:rsidTr="00A314DC">
        <w:tc>
          <w:tcPr>
            <w:tcW w:w="3652" w:type="dxa"/>
            <w:shd w:val="clear" w:color="auto" w:fill="auto"/>
          </w:tcPr>
          <w:p w:rsidR="00862D0A" w:rsidRPr="00A314DC" w:rsidRDefault="00CE73A1" w:rsidP="00C85D7D">
            <w:pPr>
              <w:pStyle w:val="ONUME"/>
              <w:rPr>
                <w:sz w:val="20"/>
              </w:rPr>
            </w:pPr>
            <w:proofErr w:type="spellStart"/>
            <w:r w:rsidRPr="00A314DC">
              <w:rPr>
                <w:sz w:val="20"/>
              </w:rPr>
              <w:t>Fgn</w:t>
            </w:r>
            <w:proofErr w:type="spellEnd"/>
            <w:r w:rsidRPr="00A314DC">
              <w:rPr>
                <w:sz w:val="20"/>
              </w:rPr>
              <w:t xml:space="preserve"> cur. Corp. bonds</w:t>
            </w:r>
            <w:r w:rsidR="0022611D" w:rsidRPr="00A314DC">
              <w:rPr>
                <w:sz w:val="20"/>
              </w:rPr>
              <w:t xml:space="preserve"> </w:t>
            </w:r>
            <w:r w:rsidRPr="00A314DC">
              <w:rPr>
                <w:sz w:val="20"/>
              </w:rPr>
              <w:t>(hedged in CHF)</w:t>
            </w:r>
          </w:p>
        </w:tc>
        <w:tc>
          <w:tcPr>
            <w:tcW w:w="1559" w:type="dxa"/>
            <w:shd w:val="clear" w:color="auto" w:fill="auto"/>
          </w:tcPr>
          <w:p w:rsidR="00862D0A" w:rsidRPr="00A314DC" w:rsidRDefault="00526131" w:rsidP="00A314DC">
            <w:pPr>
              <w:pStyle w:val="ONUME"/>
              <w:jc w:val="right"/>
              <w:rPr>
                <w:sz w:val="20"/>
              </w:rPr>
            </w:pPr>
            <w:r w:rsidRPr="00A314DC">
              <w:rPr>
                <w:sz w:val="20"/>
              </w:rPr>
              <w:t>0</w:t>
            </w:r>
          </w:p>
        </w:tc>
        <w:tc>
          <w:tcPr>
            <w:tcW w:w="2694" w:type="dxa"/>
            <w:shd w:val="clear" w:color="auto" w:fill="auto"/>
          </w:tcPr>
          <w:p w:rsidR="00862D0A" w:rsidRPr="00A314DC" w:rsidRDefault="00526131" w:rsidP="00A314DC">
            <w:pPr>
              <w:pStyle w:val="ONUME"/>
              <w:jc w:val="right"/>
              <w:rPr>
                <w:sz w:val="20"/>
              </w:rPr>
            </w:pPr>
            <w:r w:rsidRPr="00A314DC">
              <w:rPr>
                <w:sz w:val="20"/>
              </w:rPr>
              <w:t>0</w:t>
            </w:r>
          </w:p>
        </w:tc>
        <w:tc>
          <w:tcPr>
            <w:tcW w:w="2976" w:type="dxa"/>
            <w:shd w:val="clear" w:color="auto" w:fill="auto"/>
          </w:tcPr>
          <w:p w:rsidR="00862D0A" w:rsidRPr="00A314DC" w:rsidRDefault="00526131" w:rsidP="00A314DC">
            <w:pPr>
              <w:pStyle w:val="ONUME"/>
              <w:jc w:val="right"/>
              <w:rPr>
                <w:sz w:val="20"/>
              </w:rPr>
            </w:pPr>
            <w:r w:rsidRPr="00A314DC">
              <w:rPr>
                <w:sz w:val="20"/>
              </w:rPr>
              <w:t>25</w:t>
            </w:r>
          </w:p>
        </w:tc>
        <w:tc>
          <w:tcPr>
            <w:tcW w:w="2977" w:type="dxa"/>
            <w:shd w:val="clear" w:color="auto" w:fill="auto"/>
          </w:tcPr>
          <w:p w:rsidR="00862D0A" w:rsidRPr="00A314DC" w:rsidRDefault="00526131" w:rsidP="00A314DC">
            <w:pPr>
              <w:pStyle w:val="ONUME"/>
              <w:jc w:val="right"/>
              <w:rPr>
                <w:sz w:val="20"/>
              </w:rPr>
            </w:pPr>
            <w:r w:rsidRPr="00A314DC">
              <w:rPr>
                <w:sz w:val="20"/>
              </w:rPr>
              <w:t>20</w:t>
            </w:r>
          </w:p>
        </w:tc>
      </w:tr>
      <w:tr w:rsidR="006961AE" w:rsidRPr="00DA3947" w:rsidTr="00A314DC">
        <w:tc>
          <w:tcPr>
            <w:tcW w:w="3652" w:type="dxa"/>
            <w:shd w:val="clear" w:color="auto" w:fill="auto"/>
          </w:tcPr>
          <w:p w:rsidR="00862D0A" w:rsidRPr="00A314DC" w:rsidRDefault="00CE73A1" w:rsidP="003E300A">
            <w:pPr>
              <w:pStyle w:val="ONUME"/>
              <w:rPr>
                <w:b/>
                <w:sz w:val="20"/>
              </w:rPr>
            </w:pPr>
            <w:r w:rsidRPr="00A314DC">
              <w:rPr>
                <w:b/>
                <w:sz w:val="20"/>
              </w:rPr>
              <w:t>Total nominal values</w:t>
            </w:r>
          </w:p>
        </w:tc>
        <w:tc>
          <w:tcPr>
            <w:tcW w:w="1559" w:type="dxa"/>
            <w:shd w:val="clear" w:color="auto" w:fill="auto"/>
          </w:tcPr>
          <w:p w:rsidR="00862D0A" w:rsidRPr="00A314DC" w:rsidRDefault="00526131" w:rsidP="00A314DC">
            <w:pPr>
              <w:pStyle w:val="ONUME"/>
              <w:jc w:val="right"/>
              <w:rPr>
                <w:b/>
                <w:sz w:val="20"/>
              </w:rPr>
            </w:pPr>
            <w:r w:rsidRPr="00A314DC">
              <w:rPr>
                <w:b/>
                <w:sz w:val="20"/>
              </w:rPr>
              <w:t>100</w:t>
            </w:r>
          </w:p>
        </w:tc>
        <w:tc>
          <w:tcPr>
            <w:tcW w:w="2694" w:type="dxa"/>
            <w:shd w:val="clear" w:color="auto" w:fill="auto"/>
          </w:tcPr>
          <w:p w:rsidR="00862D0A" w:rsidRPr="00A314DC" w:rsidRDefault="00526131" w:rsidP="00A314DC">
            <w:pPr>
              <w:pStyle w:val="ONUME"/>
              <w:jc w:val="right"/>
              <w:rPr>
                <w:b/>
                <w:sz w:val="20"/>
              </w:rPr>
            </w:pPr>
            <w:r w:rsidRPr="00A314DC">
              <w:rPr>
                <w:b/>
                <w:sz w:val="20"/>
              </w:rPr>
              <w:t>100</w:t>
            </w:r>
          </w:p>
        </w:tc>
        <w:tc>
          <w:tcPr>
            <w:tcW w:w="2976" w:type="dxa"/>
            <w:shd w:val="clear" w:color="auto" w:fill="auto"/>
          </w:tcPr>
          <w:p w:rsidR="00862D0A" w:rsidRPr="00A314DC" w:rsidRDefault="00526131" w:rsidP="00A314DC">
            <w:pPr>
              <w:pStyle w:val="ONUME"/>
              <w:jc w:val="right"/>
              <w:rPr>
                <w:b/>
                <w:sz w:val="20"/>
              </w:rPr>
            </w:pPr>
            <w:r w:rsidRPr="00A314DC">
              <w:rPr>
                <w:b/>
                <w:sz w:val="20"/>
              </w:rPr>
              <w:t>100</w:t>
            </w:r>
          </w:p>
        </w:tc>
        <w:tc>
          <w:tcPr>
            <w:tcW w:w="2977" w:type="dxa"/>
            <w:shd w:val="clear" w:color="auto" w:fill="auto"/>
          </w:tcPr>
          <w:p w:rsidR="00862D0A" w:rsidRPr="00A314DC" w:rsidRDefault="00526131" w:rsidP="00A314DC">
            <w:pPr>
              <w:pStyle w:val="ONUME"/>
              <w:jc w:val="right"/>
              <w:rPr>
                <w:b/>
                <w:sz w:val="20"/>
              </w:rPr>
            </w:pPr>
            <w:r w:rsidRPr="00A314DC">
              <w:rPr>
                <w:b/>
                <w:sz w:val="20"/>
              </w:rPr>
              <w:t>55</w:t>
            </w:r>
          </w:p>
        </w:tc>
      </w:tr>
      <w:tr w:rsidR="00526131" w:rsidRPr="00DA3947" w:rsidTr="00A314DC">
        <w:tc>
          <w:tcPr>
            <w:tcW w:w="3652" w:type="dxa"/>
            <w:shd w:val="clear" w:color="auto" w:fill="auto"/>
          </w:tcPr>
          <w:p w:rsidR="00526131" w:rsidRPr="00A314DC" w:rsidRDefault="00526131" w:rsidP="003E300A">
            <w:pPr>
              <w:pStyle w:val="ONUME"/>
              <w:rPr>
                <w:sz w:val="20"/>
              </w:rPr>
            </w:pPr>
            <w:r w:rsidRPr="00A314DC">
              <w:rPr>
                <w:sz w:val="20"/>
              </w:rPr>
              <w:t>Equities Switzerland</w:t>
            </w:r>
          </w:p>
        </w:tc>
        <w:tc>
          <w:tcPr>
            <w:tcW w:w="1559" w:type="dxa"/>
            <w:shd w:val="clear" w:color="auto" w:fill="auto"/>
          </w:tcPr>
          <w:p w:rsidR="00526131" w:rsidRPr="00A314DC" w:rsidRDefault="00526131" w:rsidP="00A314DC">
            <w:pPr>
              <w:pStyle w:val="ONUME"/>
              <w:jc w:val="right"/>
              <w:rPr>
                <w:sz w:val="20"/>
              </w:rPr>
            </w:pPr>
            <w:r w:rsidRPr="00A314DC">
              <w:rPr>
                <w:sz w:val="20"/>
              </w:rPr>
              <w:t>0</w:t>
            </w:r>
          </w:p>
        </w:tc>
        <w:tc>
          <w:tcPr>
            <w:tcW w:w="2694" w:type="dxa"/>
            <w:shd w:val="clear" w:color="auto" w:fill="auto"/>
          </w:tcPr>
          <w:p w:rsidR="00526131" w:rsidRPr="00A314DC" w:rsidRDefault="00526131" w:rsidP="00A314DC">
            <w:pPr>
              <w:pStyle w:val="ONUME"/>
              <w:jc w:val="right"/>
              <w:rPr>
                <w:sz w:val="20"/>
              </w:rPr>
            </w:pPr>
            <w:r w:rsidRPr="00A314DC">
              <w:rPr>
                <w:sz w:val="20"/>
              </w:rPr>
              <w:t>0</w:t>
            </w:r>
          </w:p>
        </w:tc>
        <w:tc>
          <w:tcPr>
            <w:tcW w:w="2976" w:type="dxa"/>
            <w:shd w:val="clear" w:color="auto" w:fill="auto"/>
          </w:tcPr>
          <w:p w:rsidR="00526131" w:rsidRPr="00A314DC" w:rsidRDefault="00526131" w:rsidP="00A314DC">
            <w:pPr>
              <w:pStyle w:val="ONUME"/>
              <w:jc w:val="right"/>
              <w:rPr>
                <w:sz w:val="20"/>
              </w:rPr>
            </w:pPr>
            <w:r w:rsidRPr="00A314DC">
              <w:rPr>
                <w:sz w:val="20"/>
              </w:rPr>
              <w:t>0</w:t>
            </w:r>
          </w:p>
        </w:tc>
        <w:tc>
          <w:tcPr>
            <w:tcW w:w="2977" w:type="dxa"/>
            <w:shd w:val="clear" w:color="auto" w:fill="auto"/>
          </w:tcPr>
          <w:p w:rsidR="00526131" w:rsidRPr="00A314DC" w:rsidRDefault="00526131" w:rsidP="00A314DC">
            <w:pPr>
              <w:pStyle w:val="ONUME"/>
              <w:jc w:val="right"/>
              <w:rPr>
                <w:sz w:val="20"/>
              </w:rPr>
            </w:pPr>
            <w:r w:rsidRPr="00A314DC">
              <w:rPr>
                <w:sz w:val="20"/>
              </w:rPr>
              <w:t>10</w:t>
            </w:r>
          </w:p>
        </w:tc>
      </w:tr>
      <w:tr w:rsidR="00526131" w:rsidRPr="00DA3947" w:rsidTr="00A314DC">
        <w:tc>
          <w:tcPr>
            <w:tcW w:w="3652" w:type="dxa"/>
            <w:shd w:val="clear" w:color="auto" w:fill="auto"/>
          </w:tcPr>
          <w:p w:rsidR="00526131" w:rsidRPr="00A314DC" w:rsidRDefault="00526131" w:rsidP="003E300A">
            <w:pPr>
              <w:pStyle w:val="ONUME"/>
              <w:rPr>
                <w:sz w:val="20"/>
              </w:rPr>
            </w:pPr>
            <w:r w:rsidRPr="00A314DC">
              <w:rPr>
                <w:sz w:val="20"/>
              </w:rPr>
              <w:t>Foreign equities</w:t>
            </w:r>
          </w:p>
        </w:tc>
        <w:tc>
          <w:tcPr>
            <w:tcW w:w="1559" w:type="dxa"/>
            <w:shd w:val="clear" w:color="auto" w:fill="auto"/>
          </w:tcPr>
          <w:p w:rsidR="00526131" w:rsidRPr="00A314DC" w:rsidRDefault="00526131" w:rsidP="00A314DC">
            <w:pPr>
              <w:pStyle w:val="ONUME"/>
              <w:jc w:val="right"/>
              <w:rPr>
                <w:sz w:val="20"/>
              </w:rPr>
            </w:pPr>
            <w:r w:rsidRPr="00A314DC">
              <w:rPr>
                <w:sz w:val="20"/>
              </w:rPr>
              <w:t>0</w:t>
            </w:r>
          </w:p>
        </w:tc>
        <w:tc>
          <w:tcPr>
            <w:tcW w:w="2694" w:type="dxa"/>
            <w:shd w:val="clear" w:color="auto" w:fill="auto"/>
          </w:tcPr>
          <w:p w:rsidR="00526131" w:rsidRPr="00A314DC" w:rsidRDefault="00526131" w:rsidP="00A314DC">
            <w:pPr>
              <w:pStyle w:val="ONUME"/>
              <w:jc w:val="right"/>
              <w:rPr>
                <w:sz w:val="20"/>
              </w:rPr>
            </w:pPr>
            <w:r w:rsidRPr="00A314DC">
              <w:rPr>
                <w:sz w:val="20"/>
              </w:rPr>
              <w:t>0</w:t>
            </w:r>
          </w:p>
        </w:tc>
        <w:tc>
          <w:tcPr>
            <w:tcW w:w="2976" w:type="dxa"/>
            <w:shd w:val="clear" w:color="auto" w:fill="auto"/>
          </w:tcPr>
          <w:p w:rsidR="00526131" w:rsidRPr="00A314DC" w:rsidRDefault="00526131" w:rsidP="00A314DC">
            <w:pPr>
              <w:pStyle w:val="ONUME"/>
              <w:jc w:val="right"/>
              <w:rPr>
                <w:sz w:val="20"/>
              </w:rPr>
            </w:pPr>
            <w:r w:rsidRPr="00A314DC">
              <w:rPr>
                <w:sz w:val="20"/>
              </w:rPr>
              <w:t>0</w:t>
            </w:r>
          </w:p>
        </w:tc>
        <w:tc>
          <w:tcPr>
            <w:tcW w:w="2977" w:type="dxa"/>
            <w:shd w:val="clear" w:color="auto" w:fill="auto"/>
          </w:tcPr>
          <w:p w:rsidR="00526131" w:rsidRPr="00A314DC" w:rsidRDefault="00526131" w:rsidP="00A314DC">
            <w:pPr>
              <w:pStyle w:val="ONUME"/>
              <w:jc w:val="right"/>
              <w:rPr>
                <w:sz w:val="20"/>
              </w:rPr>
            </w:pPr>
            <w:r w:rsidRPr="00A314DC">
              <w:rPr>
                <w:sz w:val="20"/>
              </w:rPr>
              <w:t>15</w:t>
            </w:r>
          </w:p>
        </w:tc>
      </w:tr>
      <w:tr w:rsidR="00526131" w:rsidRPr="00DA3947" w:rsidTr="00A314DC">
        <w:tc>
          <w:tcPr>
            <w:tcW w:w="3652" w:type="dxa"/>
            <w:shd w:val="clear" w:color="auto" w:fill="auto"/>
          </w:tcPr>
          <w:p w:rsidR="00526131" w:rsidRPr="00A314DC" w:rsidRDefault="00526131" w:rsidP="003E300A">
            <w:pPr>
              <w:pStyle w:val="ONUME"/>
              <w:rPr>
                <w:b/>
                <w:sz w:val="20"/>
              </w:rPr>
            </w:pPr>
            <w:r w:rsidRPr="00A314DC">
              <w:rPr>
                <w:b/>
                <w:sz w:val="20"/>
              </w:rPr>
              <w:t>Total equities</w:t>
            </w:r>
          </w:p>
        </w:tc>
        <w:tc>
          <w:tcPr>
            <w:tcW w:w="1559" w:type="dxa"/>
            <w:shd w:val="clear" w:color="auto" w:fill="auto"/>
          </w:tcPr>
          <w:p w:rsidR="00526131" w:rsidRPr="00A314DC" w:rsidRDefault="00526131" w:rsidP="00A314DC">
            <w:pPr>
              <w:pStyle w:val="ONUME"/>
              <w:jc w:val="right"/>
              <w:rPr>
                <w:b/>
                <w:sz w:val="20"/>
              </w:rPr>
            </w:pPr>
            <w:r w:rsidRPr="00A314DC">
              <w:rPr>
                <w:b/>
                <w:sz w:val="20"/>
              </w:rPr>
              <w:t>0</w:t>
            </w:r>
          </w:p>
        </w:tc>
        <w:tc>
          <w:tcPr>
            <w:tcW w:w="2694" w:type="dxa"/>
            <w:shd w:val="clear" w:color="auto" w:fill="auto"/>
          </w:tcPr>
          <w:p w:rsidR="00526131" w:rsidRPr="00A314DC" w:rsidRDefault="00526131" w:rsidP="00A314DC">
            <w:pPr>
              <w:pStyle w:val="ONUME"/>
              <w:jc w:val="right"/>
              <w:rPr>
                <w:sz w:val="20"/>
              </w:rPr>
            </w:pPr>
            <w:r w:rsidRPr="00A314DC">
              <w:rPr>
                <w:b/>
                <w:sz w:val="20"/>
              </w:rPr>
              <w:t>0</w:t>
            </w:r>
          </w:p>
        </w:tc>
        <w:tc>
          <w:tcPr>
            <w:tcW w:w="2976" w:type="dxa"/>
            <w:shd w:val="clear" w:color="auto" w:fill="auto"/>
          </w:tcPr>
          <w:p w:rsidR="00526131" w:rsidRPr="00A314DC" w:rsidRDefault="00526131" w:rsidP="00A314DC">
            <w:pPr>
              <w:pStyle w:val="ONUME"/>
              <w:jc w:val="right"/>
              <w:rPr>
                <w:sz w:val="20"/>
              </w:rPr>
            </w:pPr>
            <w:r w:rsidRPr="00A314DC">
              <w:rPr>
                <w:b/>
                <w:sz w:val="20"/>
              </w:rPr>
              <w:t>0</w:t>
            </w:r>
          </w:p>
        </w:tc>
        <w:tc>
          <w:tcPr>
            <w:tcW w:w="2977" w:type="dxa"/>
            <w:shd w:val="clear" w:color="auto" w:fill="auto"/>
          </w:tcPr>
          <w:p w:rsidR="00526131" w:rsidRPr="00A314DC" w:rsidRDefault="00526131" w:rsidP="00A314DC">
            <w:pPr>
              <w:pStyle w:val="ONUME"/>
              <w:jc w:val="right"/>
              <w:rPr>
                <w:b/>
                <w:sz w:val="20"/>
              </w:rPr>
            </w:pPr>
            <w:r w:rsidRPr="00A314DC">
              <w:rPr>
                <w:b/>
                <w:sz w:val="20"/>
              </w:rPr>
              <w:t>25</w:t>
            </w:r>
          </w:p>
        </w:tc>
      </w:tr>
      <w:tr w:rsidR="00DA3947" w:rsidRPr="00DA3947" w:rsidTr="00A314DC">
        <w:tc>
          <w:tcPr>
            <w:tcW w:w="3652" w:type="dxa"/>
            <w:shd w:val="clear" w:color="auto" w:fill="auto"/>
          </w:tcPr>
          <w:p w:rsidR="00526131" w:rsidRPr="00A314DC" w:rsidRDefault="00526131" w:rsidP="003E300A">
            <w:pPr>
              <w:pStyle w:val="ONUME"/>
              <w:rPr>
                <w:sz w:val="20"/>
              </w:rPr>
            </w:pPr>
            <w:r w:rsidRPr="00A314DC">
              <w:rPr>
                <w:sz w:val="20"/>
              </w:rPr>
              <w:t>Real estate CH (funds)</w:t>
            </w:r>
          </w:p>
        </w:tc>
        <w:tc>
          <w:tcPr>
            <w:tcW w:w="1559" w:type="dxa"/>
            <w:shd w:val="clear" w:color="auto" w:fill="auto"/>
          </w:tcPr>
          <w:p w:rsidR="00526131" w:rsidRPr="00A314DC" w:rsidRDefault="00526131" w:rsidP="00A314DC">
            <w:pPr>
              <w:pStyle w:val="ONUME"/>
              <w:jc w:val="right"/>
              <w:rPr>
                <w:sz w:val="20"/>
              </w:rPr>
            </w:pPr>
            <w:r w:rsidRPr="00A314DC">
              <w:rPr>
                <w:sz w:val="20"/>
              </w:rPr>
              <w:t>0</w:t>
            </w:r>
          </w:p>
        </w:tc>
        <w:tc>
          <w:tcPr>
            <w:tcW w:w="2694" w:type="dxa"/>
            <w:shd w:val="clear" w:color="auto" w:fill="auto"/>
          </w:tcPr>
          <w:p w:rsidR="00526131" w:rsidRPr="00A314DC" w:rsidRDefault="00526131" w:rsidP="00A314DC">
            <w:pPr>
              <w:pStyle w:val="ONUME"/>
              <w:jc w:val="right"/>
              <w:rPr>
                <w:sz w:val="20"/>
              </w:rPr>
            </w:pPr>
            <w:r w:rsidRPr="00A314DC">
              <w:rPr>
                <w:sz w:val="20"/>
              </w:rPr>
              <w:t>0</w:t>
            </w:r>
          </w:p>
        </w:tc>
        <w:tc>
          <w:tcPr>
            <w:tcW w:w="2976" w:type="dxa"/>
            <w:shd w:val="clear" w:color="auto" w:fill="auto"/>
          </w:tcPr>
          <w:p w:rsidR="00526131" w:rsidRPr="00A314DC" w:rsidRDefault="00526131" w:rsidP="00A314DC">
            <w:pPr>
              <w:pStyle w:val="ONUME"/>
              <w:jc w:val="right"/>
              <w:rPr>
                <w:sz w:val="20"/>
              </w:rPr>
            </w:pPr>
            <w:r w:rsidRPr="00A314DC">
              <w:rPr>
                <w:sz w:val="20"/>
              </w:rPr>
              <w:t>0</w:t>
            </w:r>
          </w:p>
        </w:tc>
        <w:tc>
          <w:tcPr>
            <w:tcW w:w="2977" w:type="dxa"/>
            <w:shd w:val="clear" w:color="auto" w:fill="auto"/>
          </w:tcPr>
          <w:p w:rsidR="00526131" w:rsidRPr="00A314DC" w:rsidRDefault="00526131" w:rsidP="00A314DC">
            <w:pPr>
              <w:pStyle w:val="ONUME"/>
              <w:jc w:val="right"/>
              <w:rPr>
                <w:sz w:val="20"/>
              </w:rPr>
            </w:pPr>
            <w:r w:rsidRPr="00A314DC">
              <w:rPr>
                <w:sz w:val="20"/>
              </w:rPr>
              <w:t>10</w:t>
            </w:r>
          </w:p>
        </w:tc>
      </w:tr>
      <w:tr w:rsidR="00DA3947" w:rsidRPr="00DA3947" w:rsidTr="00A314DC">
        <w:tc>
          <w:tcPr>
            <w:tcW w:w="3652" w:type="dxa"/>
            <w:shd w:val="clear" w:color="auto" w:fill="auto"/>
          </w:tcPr>
          <w:p w:rsidR="00526131" w:rsidRPr="00A314DC" w:rsidRDefault="00526131" w:rsidP="003E300A">
            <w:pPr>
              <w:pStyle w:val="ONUME"/>
              <w:rPr>
                <w:b/>
                <w:sz w:val="20"/>
              </w:rPr>
            </w:pPr>
            <w:r w:rsidRPr="00A314DC">
              <w:rPr>
                <w:b/>
                <w:sz w:val="20"/>
              </w:rPr>
              <w:t>Total real estate</w:t>
            </w:r>
          </w:p>
        </w:tc>
        <w:tc>
          <w:tcPr>
            <w:tcW w:w="1559" w:type="dxa"/>
            <w:shd w:val="clear" w:color="auto" w:fill="auto"/>
          </w:tcPr>
          <w:p w:rsidR="00526131" w:rsidRPr="00A314DC" w:rsidRDefault="00526131" w:rsidP="00A314DC">
            <w:pPr>
              <w:pStyle w:val="ONUME"/>
              <w:jc w:val="right"/>
              <w:rPr>
                <w:b/>
                <w:sz w:val="20"/>
              </w:rPr>
            </w:pPr>
            <w:r w:rsidRPr="00A314DC">
              <w:rPr>
                <w:b/>
                <w:sz w:val="20"/>
              </w:rPr>
              <w:t>0</w:t>
            </w:r>
          </w:p>
        </w:tc>
        <w:tc>
          <w:tcPr>
            <w:tcW w:w="2694" w:type="dxa"/>
            <w:shd w:val="clear" w:color="auto" w:fill="auto"/>
          </w:tcPr>
          <w:p w:rsidR="00526131" w:rsidRPr="00A314DC" w:rsidRDefault="00526131" w:rsidP="00A314DC">
            <w:pPr>
              <w:pStyle w:val="ONUME"/>
              <w:jc w:val="right"/>
              <w:rPr>
                <w:sz w:val="20"/>
              </w:rPr>
            </w:pPr>
            <w:r w:rsidRPr="00A314DC">
              <w:rPr>
                <w:b/>
                <w:sz w:val="20"/>
              </w:rPr>
              <w:t>0</w:t>
            </w:r>
          </w:p>
        </w:tc>
        <w:tc>
          <w:tcPr>
            <w:tcW w:w="2976" w:type="dxa"/>
            <w:shd w:val="clear" w:color="auto" w:fill="auto"/>
          </w:tcPr>
          <w:p w:rsidR="00526131" w:rsidRPr="00A314DC" w:rsidRDefault="00526131" w:rsidP="00A314DC">
            <w:pPr>
              <w:pStyle w:val="ONUME"/>
              <w:jc w:val="right"/>
              <w:rPr>
                <w:sz w:val="20"/>
              </w:rPr>
            </w:pPr>
            <w:r w:rsidRPr="00A314DC">
              <w:rPr>
                <w:b/>
                <w:sz w:val="20"/>
              </w:rPr>
              <w:t>0</w:t>
            </w:r>
          </w:p>
        </w:tc>
        <w:tc>
          <w:tcPr>
            <w:tcW w:w="2977" w:type="dxa"/>
            <w:shd w:val="clear" w:color="auto" w:fill="auto"/>
          </w:tcPr>
          <w:p w:rsidR="00526131" w:rsidRPr="00A314DC" w:rsidRDefault="00526131" w:rsidP="00A314DC">
            <w:pPr>
              <w:pStyle w:val="ONUME"/>
              <w:jc w:val="right"/>
              <w:rPr>
                <w:b/>
                <w:sz w:val="20"/>
              </w:rPr>
            </w:pPr>
            <w:r w:rsidRPr="00A314DC">
              <w:rPr>
                <w:b/>
                <w:sz w:val="20"/>
              </w:rPr>
              <w:t>10</w:t>
            </w:r>
          </w:p>
        </w:tc>
      </w:tr>
      <w:tr w:rsidR="00DA3947" w:rsidRPr="00DA3947" w:rsidTr="00A314DC">
        <w:tc>
          <w:tcPr>
            <w:tcW w:w="3652" w:type="dxa"/>
            <w:shd w:val="clear" w:color="auto" w:fill="auto"/>
          </w:tcPr>
          <w:p w:rsidR="00526131" w:rsidRPr="00A314DC" w:rsidRDefault="00526131" w:rsidP="003E300A">
            <w:pPr>
              <w:pStyle w:val="ONUME"/>
              <w:rPr>
                <w:sz w:val="20"/>
              </w:rPr>
            </w:pPr>
            <w:r w:rsidRPr="00A314DC">
              <w:rPr>
                <w:sz w:val="20"/>
              </w:rPr>
              <w:t>Insurance-linked securities (hedged in CHF)</w:t>
            </w:r>
          </w:p>
        </w:tc>
        <w:tc>
          <w:tcPr>
            <w:tcW w:w="1559" w:type="dxa"/>
            <w:shd w:val="clear" w:color="auto" w:fill="auto"/>
          </w:tcPr>
          <w:p w:rsidR="00526131" w:rsidRPr="00A314DC" w:rsidRDefault="00526131" w:rsidP="00A314DC">
            <w:pPr>
              <w:pStyle w:val="ONUME"/>
              <w:jc w:val="right"/>
              <w:rPr>
                <w:sz w:val="20"/>
              </w:rPr>
            </w:pPr>
            <w:r w:rsidRPr="00A314DC">
              <w:rPr>
                <w:sz w:val="20"/>
              </w:rPr>
              <w:t>0</w:t>
            </w:r>
          </w:p>
        </w:tc>
        <w:tc>
          <w:tcPr>
            <w:tcW w:w="2694" w:type="dxa"/>
            <w:shd w:val="clear" w:color="auto" w:fill="auto"/>
          </w:tcPr>
          <w:p w:rsidR="00526131" w:rsidRPr="00A314DC" w:rsidRDefault="00526131" w:rsidP="00A314DC">
            <w:pPr>
              <w:pStyle w:val="ONUME"/>
              <w:jc w:val="right"/>
              <w:rPr>
                <w:sz w:val="20"/>
              </w:rPr>
            </w:pPr>
            <w:r w:rsidRPr="00A314DC">
              <w:rPr>
                <w:sz w:val="20"/>
              </w:rPr>
              <w:t>0</w:t>
            </w:r>
          </w:p>
        </w:tc>
        <w:tc>
          <w:tcPr>
            <w:tcW w:w="2976" w:type="dxa"/>
            <w:shd w:val="clear" w:color="auto" w:fill="auto"/>
          </w:tcPr>
          <w:p w:rsidR="00526131" w:rsidRPr="00A314DC" w:rsidRDefault="00526131" w:rsidP="00A314DC">
            <w:pPr>
              <w:pStyle w:val="ONUME"/>
              <w:jc w:val="right"/>
              <w:rPr>
                <w:sz w:val="20"/>
              </w:rPr>
            </w:pPr>
            <w:r w:rsidRPr="00A314DC">
              <w:rPr>
                <w:sz w:val="20"/>
              </w:rPr>
              <w:t>0</w:t>
            </w:r>
          </w:p>
        </w:tc>
        <w:tc>
          <w:tcPr>
            <w:tcW w:w="2977" w:type="dxa"/>
            <w:shd w:val="clear" w:color="auto" w:fill="auto"/>
          </w:tcPr>
          <w:p w:rsidR="00526131" w:rsidRPr="00A314DC" w:rsidRDefault="00526131" w:rsidP="00A314DC">
            <w:pPr>
              <w:pStyle w:val="ONUME"/>
              <w:jc w:val="right"/>
              <w:rPr>
                <w:sz w:val="20"/>
              </w:rPr>
            </w:pPr>
            <w:r w:rsidRPr="00A314DC">
              <w:rPr>
                <w:sz w:val="20"/>
              </w:rPr>
              <w:t>5</w:t>
            </w:r>
          </w:p>
        </w:tc>
      </w:tr>
      <w:tr w:rsidR="00526131" w:rsidRPr="00DA3947" w:rsidTr="00A314DC">
        <w:tc>
          <w:tcPr>
            <w:tcW w:w="3652" w:type="dxa"/>
            <w:shd w:val="clear" w:color="auto" w:fill="auto"/>
          </w:tcPr>
          <w:p w:rsidR="00526131" w:rsidRPr="00A314DC" w:rsidRDefault="00526131" w:rsidP="003E300A">
            <w:pPr>
              <w:pStyle w:val="ONUME"/>
              <w:rPr>
                <w:sz w:val="20"/>
              </w:rPr>
            </w:pPr>
            <w:r w:rsidRPr="00A314DC">
              <w:rPr>
                <w:sz w:val="20"/>
              </w:rPr>
              <w:t>Hedge funds (hedged in CHF)</w:t>
            </w:r>
          </w:p>
        </w:tc>
        <w:tc>
          <w:tcPr>
            <w:tcW w:w="1559" w:type="dxa"/>
            <w:shd w:val="clear" w:color="auto" w:fill="auto"/>
          </w:tcPr>
          <w:p w:rsidR="00526131" w:rsidRPr="00A314DC" w:rsidRDefault="00526131" w:rsidP="00A314DC">
            <w:pPr>
              <w:pStyle w:val="ONUME"/>
              <w:jc w:val="right"/>
              <w:rPr>
                <w:sz w:val="20"/>
              </w:rPr>
            </w:pPr>
            <w:r w:rsidRPr="00A314DC">
              <w:rPr>
                <w:sz w:val="20"/>
              </w:rPr>
              <w:t>0</w:t>
            </w:r>
          </w:p>
        </w:tc>
        <w:tc>
          <w:tcPr>
            <w:tcW w:w="2694" w:type="dxa"/>
            <w:shd w:val="clear" w:color="auto" w:fill="auto"/>
          </w:tcPr>
          <w:p w:rsidR="00526131" w:rsidRPr="00A314DC" w:rsidRDefault="00526131" w:rsidP="00A314DC">
            <w:pPr>
              <w:pStyle w:val="ONUME"/>
              <w:jc w:val="right"/>
              <w:rPr>
                <w:sz w:val="20"/>
              </w:rPr>
            </w:pPr>
            <w:r w:rsidRPr="00A314DC">
              <w:rPr>
                <w:sz w:val="20"/>
              </w:rPr>
              <w:t>0</w:t>
            </w:r>
          </w:p>
        </w:tc>
        <w:tc>
          <w:tcPr>
            <w:tcW w:w="2976" w:type="dxa"/>
            <w:shd w:val="clear" w:color="auto" w:fill="auto"/>
          </w:tcPr>
          <w:p w:rsidR="00526131" w:rsidRPr="00A314DC" w:rsidRDefault="00526131" w:rsidP="00A314DC">
            <w:pPr>
              <w:pStyle w:val="ONUME"/>
              <w:jc w:val="right"/>
              <w:rPr>
                <w:sz w:val="20"/>
              </w:rPr>
            </w:pPr>
            <w:r w:rsidRPr="00A314DC">
              <w:rPr>
                <w:sz w:val="20"/>
              </w:rPr>
              <w:t>0</w:t>
            </w:r>
          </w:p>
        </w:tc>
        <w:tc>
          <w:tcPr>
            <w:tcW w:w="2977" w:type="dxa"/>
            <w:shd w:val="clear" w:color="auto" w:fill="auto"/>
          </w:tcPr>
          <w:p w:rsidR="00526131" w:rsidRPr="00A314DC" w:rsidRDefault="00526131" w:rsidP="00A314DC">
            <w:pPr>
              <w:pStyle w:val="ONUME"/>
              <w:jc w:val="right"/>
              <w:rPr>
                <w:sz w:val="20"/>
              </w:rPr>
            </w:pPr>
            <w:r w:rsidRPr="00A314DC">
              <w:rPr>
                <w:sz w:val="20"/>
              </w:rPr>
              <w:t>5</w:t>
            </w:r>
          </w:p>
        </w:tc>
      </w:tr>
      <w:tr w:rsidR="00526131" w:rsidRPr="00DA3947" w:rsidTr="00A314DC">
        <w:tc>
          <w:tcPr>
            <w:tcW w:w="3652" w:type="dxa"/>
            <w:shd w:val="clear" w:color="auto" w:fill="auto"/>
          </w:tcPr>
          <w:p w:rsidR="00526131" w:rsidRPr="00A314DC" w:rsidRDefault="00526131" w:rsidP="003E300A">
            <w:pPr>
              <w:pStyle w:val="ONUME"/>
              <w:rPr>
                <w:b/>
                <w:sz w:val="20"/>
              </w:rPr>
            </w:pPr>
            <w:r w:rsidRPr="00A314DC">
              <w:rPr>
                <w:b/>
                <w:sz w:val="20"/>
              </w:rPr>
              <w:t>Total alternative investments</w:t>
            </w:r>
          </w:p>
        </w:tc>
        <w:tc>
          <w:tcPr>
            <w:tcW w:w="1559" w:type="dxa"/>
            <w:shd w:val="clear" w:color="auto" w:fill="auto"/>
          </w:tcPr>
          <w:p w:rsidR="00526131" w:rsidRPr="00A314DC" w:rsidRDefault="00526131" w:rsidP="00A314DC">
            <w:pPr>
              <w:pStyle w:val="ONUME"/>
              <w:jc w:val="right"/>
              <w:rPr>
                <w:b/>
                <w:sz w:val="20"/>
              </w:rPr>
            </w:pPr>
            <w:r w:rsidRPr="00A314DC">
              <w:rPr>
                <w:b/>
                <w:sz w:val="20"/>
              </w:rPr>
              <w:t>0</w:t>
            </w:r>
          </w:p>
        </w:tc>
        <w:tc>
          <w:tcPr>
            <w:tcW w:w="2694" w:type="dxa"/>
            <w:shd w:val="clear" w:color="auto" w:fill="auto"/>
          </w:tcPr>
          <w:p w:rsidR="00526131" w:rsidRPr="00A314DC" w:rsidRDefault="00526131" w:rsidP="00A314DC">
            <w:pPr>
              <w:pStyle w:val="ONUME"/>
              <w:jc w:val="right"/>
              <w:rPr>
                <w:b/>
                <w:sz w:val="20"/>
              </w:rPr>
            </w:pPr>
            <w:r w:rsidRPr="00A314DC">
              <w:rPr>
                <w:b/>
                <w:sz w:val="20"/>
              </w:rPr>
              <w:t>0</w:t>
            </w:r>
          </w:p>
        </w:tc>
        <w:tc>
          <w:tcPr>
            <w:tcW w:w="2976" w:type="dxa"/>
            <w:shd w:val="clear" w:color="auto" w:fill="auto"/>
          </w:tcPr>
          <w:p w:rsidR="00526131" w:rsidRPr="00A314DC" w:rsidRDefault="00526131" w:rsidP="00A314DC">
            <w:pPr>
              <w:pStyle w:val="ONUME"/>
              <w:jc w:val="right"/>
              <w:rPr>
                <w:b/>
                <w:sz w:val="20"/>
              </w:rPr>
            </w:pPr>
            <w:r w:rsidRPr="00A314DC">
              <w:rPr>
                <w:b/>
                <w:sz w:val="20"/>
              </w:rPr>
              <w:t>0</w:t>
            </w:r>
          </w:p>
        </w:tc>
        <w:tc>
          <w:tcPr>
            <w:tcW w:w="2977" w:type="dxa"/>
            <w:shd w:val="clear" w:color="auto" w:fill="auto"/>
          </w:tcPr>
          <w:p w:rsidR="00526131" w:rsidRPr="00A314DC" w:rsidRDefault="00526131" w:rsidP="00A314DC">
            <w:pPr>
              <w:pStyle w:val="ONUME"/>
              <w:jc w:val="right"/>
              <w:rPr>
                <w:b/>
                <w:sz w:val="20"/>
              </w:rPr>
            </w:pPr>
            <w:r w:rsidRPr="00A314DC">
              <w:rPr>
                <w:b/>
                <w:sz w:val="20"/>
              </w:rPr>
              <w:t>10</w:t>
            </w:r>
          </w:p>
        </w:tc>
      </w:tr>
      <w:tr w:rsidR="00526131" w:rsidRPr="00DA3947" w:rsidTr="00A314DC">
        <w:tc>
          <w:tcPr>
            <w:tcW w:w="3652" w:type="dxa"/>
            <w:shd w:val="clear" w:color="auto" w:fill="auto"/>
          </w:tcPr>
          <w:p w:rsidR="00526131" w:rsidRPr="00A314DC" w:rsidRDefault="00526131" w:rsidP="003E300A">
            <w:pPr>
              <w:pStyle w:val="ONUME"/>
              <w:rPr>
                <w:b/>
                <w:sz w:val="20"/>
              </w:rPr>
            </w:pPr>
            <w:r w:rsidRPr="00A314DC">
              <w:rPr>
                <w:b/>
                <w:sz w:val="20"/>
              </w:rPr>
              <w:t>Total tangible assets</w:t>
            </w:r>
          </w:p>
        </w:tc>
        <w:tc>
          <w:tcPr>
            <w:tcW w:w="1559" w:type="dxa"/>
            <w:shd w:val="clear" w:color="auto" w:fill="auto"/>
          </w:tcPr>
          <w:p w:rsidR="00526131" w:rsidRPr="00A314DC" w:rsidRDefault="00526131" w:rsidP="00A314DC">
            <w:pPr>
              <w:pStyle w:val="ONUME"/>
              <w:jc w:val="right"/>
              <w:rPr>
                <w:b/>
                <w:sz w:val="20"/>
              </w:rPr>
            </w:pPr>
            <w:r w:rsidRPr="00A314DC">
              <w:rPr>
                <w:b/>
                <w:sz w:val="20"/>
              </w:rPr>
              <w:t>0</w:t>
            </w:r>
          </w:p>
        </w:tc>
        <w:tc>
          <w:tcPr>
            <w:tcW w:w="2694" w:type="dxa"/>
            <w:shd w:val="clear" w:color="auto" w:fill="auto"/>
          </w:tcPr>
          <w:p w:rsidR="00526131" w:rsidRPr="00A314DC" w:rsidRDefault="00526131" w:rsidP="00A314DC">
            <w:pPr>
              <w:pStyle w:val="ONUME"/>
              <w:jc w:val="right"/>
              <w:rPr>
                <w:b/>
                <w:sz w:val="20"/>
              </w:rPr>
            </w:pPr>
            <w:r w:rsidRPr="00A314DC">
              <w:rPr>
                <w:b/>
                <w:sz w:val="20"/>
              </w:rPr>
              <w:t>0</w:t>
            </w:r>
          </w:p>
        </w:tc>
        <w:tc>
          <w:tcPr>
            <w:tcW w:w="2976" w:type="dxa"/>
            <w:shd w:val="clear" w:color="auto" w:fill="auto"/>
          </w:tcPr>
          <w:p w:rsidR="00526131" w:rsidRPr="00A314DC" w:rsidRDefault="00526131" w:rsidP="00A314DC">
            <w:pPr>
              <w:pStyle w:val="ONUME"/>
              <w:jc w:val="right"/>
              <w:rPr>
                <w:b/>
                <w:sz w:val="20"/>
              </w:rPr>
            </w:pPr>
            <w:r w:rsidRPr="00A314DC">
              <w:rPr>
                <w:b/>
                <w:sz w:val="20"/>
              </w:rPr>
              <w:t>0</w:t>
            </w:r>
          </w:p>
        </w:tc>
        <w:tc>
          <w:tcPr>
            <w:tcW w:w="2977" w:type="dxa"/>
            <w:shd w:val="clear" w:color="auto" w:fill="auto"/>
          </w:tcPr>
          <w:p w:rsidR="00526131" w:rsidRPr="00A314DC" w:rsidRDefault="00526131" w:rsidP="00A314DC">
            <w:pPr>
              <w:pStyle w:val="ONUME"/>
              <w:jc w:val="right"/>
              <w:rPr>
                <w:b/>
                <w:sz w:val="20"/>
              </w:rPr>
            </w:pPr>
            <w:r w:rsidRPr="00A314DC">
              <w:rPr>
                <w:b/>
                <w:sz w:val="20"/>
              </w:rPr>
              <w:t>45</w:t>
            </w:r>
          </w:p>
        </w:tc>
      </w:tr>
      <w:tr w:rsidR="00526131" w:rsidRPr="00DA3947" w:rsidTr="00A314DC">
        <w:tc>
          <w:tcPr>
            <w:tcW w:w="3652" w:type="dxa"/>
            <w:shd w:val="pct10" w:color="auto" w:fill="auto"/>
          </w:tcPr>
          <w:p w:rsidR="00526131" w:rsidRPr="00A314DC" w:rsidRDefault="00526131" w:rsidP="003E300A">
            <w:pPr>
              <w:pStyle w:val="ONUME"/>
              <w:rPr>
                <w:b/>
                <w:color w:val="FFFFFF" w:themeColor="background1"/>
                <w:sz w:val="20"/>
              </w:rPr>
            </w:pPr>
            <w:r w:rsidRPr="00A314DC">
              <w:rPr>
                <w:b/>
                <w:sz w:val="20"/>
              </w:rPr>
              <w:t>Total</w:t>
            </w:r>
          </w:p>
        </w:tc>
        <w:tc>
          <w:tcPr>
            <w:tcW w:w="1559" w:type="dxa"/>
            <w:shd w:val="pct10" w:color="auto" w:fill="auto"/>
          </w:tcPr>
          <w:p w:rsidR="00526131" w:rsidRPr="00A314DC" w:rsidRDefault="00526131" w:rsidP="00A314DC">
            <w:pPr>
              <w:pStyle w:val="ONUME"/>
              <w:jc w:val="right"/>
              <w:rPr>
                <w:b/>
                <w:sz w:val="20"/>
              </w:rPr>
            </w:pPr>
            <w:r w:rsidRPr="00A314DC">
              <w:rPr>
                <w:b/>
                <w:sz w:val="20"/>
              </w:rPr>
              <w:t>100</w:t>
            </w:r>
          </w:p>
        </w:tc>
        <w:tc>
          <w:tcPr>
            <w:tcW w:w="2694" w:type="dxa"/>
            <w:shd w:val="pct10" w:color="auto" w:fill="auto"/>
          </w:tcPr>
          <w:p w:rsidR="00526131" w:rsidRPr="00A314DC" w:rsidRDefault="00526131" w:rsidP="00A314DC">
            <w:pPr>
              <w:pStyle w:val="ONUME"/>
              <w:jc w:val="right"/>
              <w:rPr>
                <w:b/>
                <w:sz w:val="20"/>
              </w:rPr>
            </w:pPr>
            <w:r w:rsidRPr="00A314DC">
              <w:rPr>
                <w:b/>
                <w:sz w:val="20"/>
              </w:rPr>
              <w:t>100</w:t>
            </w:r>
          </w:p>
        </w:tc>
        <w:tc>
          <w:tcPr>
            <w:tcW w:w="2976" w:type="dxa"/>
            <w:shd w:val="pct10" w:color="auto" w:fill="auto"/>
          </w:tcPr>
          <w:p w:rsidR="00526131" w:rsidRPr="00A314DC" w:rsidRDefault="00526131" w:rsidP="00A314DC">
            <w:pPr>
              <w:pStyle w:val="ONUME"/>
              <w:jc w:val="right"/>
              <w:rPr>
                <w:b/>
                <w:sz w:val="20"/>
              </w:rPr>
            </w:pPr>
            <w:r w:rsidRPr="00A314DC">
              <w:rPr>
                <w:b/>
                <w:sz w:val="20"/>
              </w:rPr>
              <w:t>100</w:t>
            </w:r>
          </w:p>
        </w:tc>
        <w:tc>
          <w:tcPr>
            <w:tcW w:w="2977" w:type="dxa"/>
            <w:shd w:val="pct10" w:color="auto" w:fill="auto"/>
          </w:tcPr>
          <w:p w:rsidR="00526131" w:rsidRPr="00A314DC" w:rsidRDefault="00526131" w:rsidP="00A314DC">
            <w:pPr>
              <w:pStyle w:val="ONUME"/>
              <w:jc w:val="right"/>
              <w:rPr>
                <w:b/>
                <w:sz w:val="20"/>
              </w:rPr>
            </w:pPr>
            <w:r w:rsidRPr="00A314DC">
              <w:rPr>
                <w:b/>
                <w:sz w:val="20"/>
              </w:rPr>
              <w:t>100</w:t>
            </w:r>
          </w:p>
        </w:tc>
      </w:tr>
      <w:tr w:rsidR="00526131" w:rsidRPr="00DA3947" w:rsidTr="00A314DC">
        <w:tc>
          <w:tcPr>
            <w:tcW w:w="3652" w:type="dxa"/>
            <w:shd w:val="clear" w:color="auto" w:fill="auto"/>
          </w:tcPr>
          <w:p w:rsidR="00526131" w:rsidRPr="00A314DC" w:rsidRDefault="00526131" w:rsidP="003E300A">
            <w:pPr>
              <w:pStyle w:val="ONUME"/>
              <w:rPr>
                <w:b/>
                <w:sz w:val="20"/>
              </w:rPr>
            </w:pPr>
            <w:r w:rsidRPr="00A314DC">
              <w:rPr>
                <w:b/>
                <w:sz w:val="20"/>
              </w:rPr>
              <w:t>Foreign currency exposure</w:t>
            </w:r>
          </w:p>
        </w:tc>
        <w:tc>
          <w:tcPr>
            <w:tcW w:w="1559" w:type="dxa"/>
            <w:shd w:val="clear" w:color="auto" w:fill="auto"/>
          </w:tcPr>
          <w:p w:rsidR="00526131" w:rsidRPr="00A314DC" w:rsidRDefault="00526131" w:rsidP="00A314DC">
            <w:pPr>
              <w:pStyle w:val="ONUME"/>
              <w:jc w:val="right"/>
              <w:rPr>
                <w:b/>
                <w:sz w:val="20"/>
              </w:rPr>
            </w:pPr>
            <w:r w:rsidRPr="00A314DC">
              <w:rPr>
                <w:b/>
                <w:sz w:val="20"/>
              </w:rPr>
              <w:t>0</w:t>
            </w:r>
          </w:p>
        </w:tc>
        <w:tc>
          <w:tcPr>
            <w:tcW w:w="2694" w:type="dxa"/>
            <w:shd w:val="clear" w:color="auto" w:fill="auto"/>
          </w:tcPr>
          <w:p w:rsidR="00526131" w:rsidRPr="00A314DC" w:rsidRDefault="00526131" w:rsidP="00A314DC">
            <w:pPr>
              <w:pStyle w:val="ONUME"/>
              <w:jc w:val="right"/>
              <w:rPr>
                <w:b/>
                <w:sz w:val="20"/>
              </w:rPr>
            </w:pPr>
            <w:r w:rsidRPr="00A314DC">
              <w:rPr>
                <w:b/>
                <w:sz w:val="20"/>
              </w:rPr>
              <w:t>0</w:t>
            </w:r>
          </w:p>
        </w:tc>
        <w:tc>
          <w:tcPr>
            <w:tcW w:w="2976" w:type="dxa"/>
            <w:shd w:val="clear" w:color="auto" w:fill="auto"/>
          </w:tcPr>
          <w:p w:rsidR="00526131" w:rsidRPr="00A314DC" w:rsidRDefault="00526131" w:rsidP="00A314DC">
            <w:pPr>
              <w:pStyle w:val="ONUME"/>
              <w:jc w:val="right"/>
              <w:rPr>
                <w:b/>
                <w:sz w:val="20"/>
              </w:rPr>
            </w:pPr>
            <w:r w:rsidRPr="00A314DC">
              <w:rPr>
                <w:b/>
                <w:sz w:val="20"/>
              </w:rPr>
              <w:t>0</w:t>
            </w:r>
          </w:p>
        </w:tc>
        <w:tc>
          <w:tcPr>
            <w:tcW w:w="2977" w:type="dxa"/>
            <w:shd w:val="clear" w:color="auto" w:fill="auto"/>
          </w:tcPr>
          <w:p w:rsidR="00526131" w:rsidRPr="00A314DC" w:rsidRDefault="00526131" w:rsidP="00A314DC">
            <w:pPr>
              <w:pStyle w:val="ONUME"/>
              <w:jc w:val="right"/>
              <w:rPr>
                <w:b/>
                <w:sz w:val="20"/>
              </w:rPr>
            </w:pPr>
            <w:r w:rsidRPr="00A314DC">
              <w:rPr>
                <w:b/>
                <w:sz w:val="20"/>
              </w:rPr>
              <w:t>15</w:t>
            </w:r>
          </w:p>
        </w:tc>
      </w:tr>
    </w:tbl>
    <w:p w:rsidR="00862D0A" w:rsidRDefault="004C13C2" w:rsidP="003E300A">
      <w:pPr>
        <w:pStyle w:val="ONUME"/>
        <w:rPr>
          <w:sz w:val="20"/>
        </w:rPr>
      </w:pPr>
      <w:r>
        <w:rPr>
          <w:noProof/>
          <w:sz w:val="20"/>
          <w:lang w:eastAsia="en-US"/>
        </w:rPr>
        <mc:AlternateContent>
          <mc:Choice Requires="wps">
            <w:drawing>
              <wp:anchor distT="0" distB="0" distL="114300" distR="114300" simplePos="0" relativeHeight="251659264" behindDoc="0" locked="0" layoutInCell="1" allowOverlap="1" wp14:anchorId="3C889C26" wp14:editId="5FDB258C">
                <wp:simplePos x="0" y="0"/>
                <wp:positionH relativeFrom="column">
                  <wp:posOffset>80645</wp:posOffset>
                </wp:positionH>
                <wp:positionV relativeFrom="paragraph">
                  <wp:posOffset>192405</wp:posOffset>
                </wp:positionV>
                <wp:extent cx="5600700" cy="0"/>
                <wp:effectExtent l="0" t="133350" r="0" b="133350"/>
                <wp:wrapNone/>
                <wp:docPr id="7" name="Straight Arrow Connector 7"/>
                <wp:cNvGraphicFramePr/>
                <a:graphic xmlns:a="http://schemas.openxmlformats.org/drawingml/2006/main">
                  <a:graphicData uri="http://schemas.microsoft.com/office/word/2010/wordprocessingShape">
                    <wps:wsp>
                      <wps:cNvCnPr/>
                      <wps:spPr>
                        <a:xfrm>
                          <a:off x="0" y="0"/>
                          <a:ext cx="5600700" cy="0"/>
                        </a:xfrm>
                        <a:prstGeom prst="straightConnector1">
                          <a:avLst/>
                        </a:prstGeom>
                        <a:ln w="317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6.35pt;margin-top:15.15pt;width:44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" strokecolor="black [3213]" strokeweight="2.5pt">
                <v:stroke endarrow="open"/>
              </v:shape>
            </w:pict>
          </mc:Fallback>
        </mc:AlternateContent>
      </w:r>
    </w:p>
    <w:p w:rsidR="00DC4916" w:rsidRDefault="004C13C2">
      <w:pPr>
        <w:pStyle w:val="ONUME"/>
        <w:ind w:firstLine="2552"/>
        <w:rPr>
          <w:sz w:val="20"/>
        </w:rPr>
      </w:pPr>
      <w:r>
        <w:rPr>
          <w:sz w:val="20"/>
        </w:rPr>
        <w:t>Increasing diversification</w:t>
      </w:r>
      <w:r w:rsidR="00DC4916">
        <w:rPr>
          <w:sz w:val="20"/>
        </w:rPr>
        <w:br w:type="page"/>
      </w:r>
    </w:p>
    <w:tbl>
      <w:tblPr>
        <w:tblStyle w:val="TableGrid"/>
        <w:tblW w:w="0" w:type="auto"/>
        <w:jc w:val="center"/>
        <w:tblLayout w:type="fixed"/>
        <w:tblLook w:val="04A0" w:firstRow="1" w:lastRow="0" w:firstColumn="1" w:lastColumn="0" w:noHBand="0" w:noVBand="1"/>
      </w:tblPr>
      <w:tblGrid>
        <w:gridCol w:w="5353"/>
        <w:gridCol w:w="1134"/>
        <w:gridCol w:w="1985"/>
        <w:gridCol w:w="2126"/>
        <w:gridCol w:w="2268"/>
      </w:tblGrid>
      <w:tr w:rsidR="0022611D" w:rsidRPr="00DA3947" w:rsidTr="002D5273">
        <w:trPr>
          <w:trHeight w:val="359"/>
          <w:jc w:val="center"/>
        </w:trPr>
        <w:tc>
          <w:tcPr>
            <w:tcW w:w="5353" w:type="dxa"/>
            <w:tcBorders>
              <w:top w:val="nil"/>
              <w:left w:val="nil"/>
              <w:bottom w:val="nil"/>
              <w:right w:val="nil"/>
            </w:tcBorders>
            <w:shd w:val="pct10" w:color="auto" w:fill="auto"/>
          </w:tcPr>
          <w:p w:rsidR="0022611D" w:rsidRPr="00A314DC" w:rsidRDefault="0022611D" w:rsidP="003E300A">
            <w:pPr>
              <w:pStyle w:val="ONUME"/>
              <w:rPr>
                <w:b/>
                <w:sz w:val="20"/>
              </w:rPr>
            </w:pPr>
            <w:r w:rsidRPr="00A314DC">
              <w:rPr>
                <w:b/>
                <w:sz w:val="20"/>
              </w:rPr>
              <w:lastRenderedPageBreak/>
              <w:t>Risk-return figures of portfolio structures</w:t>
            </w:r>
          </w:p>
        </w:tc>
        <w:tc>
          <w:tcPr>
            <w:tcW w:w="1134" w:type="dxa"/>
            <w:tcBorders>
              <w:top w:val="nil"/>
              <w:left w:val="nil"/>
              <w:bottom w:val="nil"/>
              <w:right w:val="nil"/>
            </w:tcBorders>
            <w:shd w:val="pct10" w:color="auto" w:fill="auto"/>
          </w:tcPr>
          <w:p w:rsidR="0022611D" w:rsidRPr="00A314DC" w:rsidRDefault="0022611D" w:rsidP="003E300A">
            <w:pPr>
              <w:pStyle w:val="ONUME"/>
              <w:rPr>
                <w:b/>
                <w:sz w:val="20"/>
              </w:rPr>
            </w:pPr>
            <w:r w:rsidRPr="00A314DC">
              <w:rPr>
                <w:b/>
                <w:sz w:val="20"/>
              </w:rPr>
              <w:t>Portfolio</w:t>
            </w:r>
          </w:p>
        </w:tc>
        <w:tc>
          <w:tcPr>
            <w:tcW w:w="1985" w:type="dxa"/>
            <w:tcBorders>
              <w:top w:val="nil"/>
              <w:left w:val="nil"/>
              <w:bottom w:val="nil"/>
              <w:right w:val="nil"/>
            </w:tcBorders>
            <w:shd w:val="pct10" w:color="auto" w:fill="auto"/>
          </w:tcPr>
          <w:p w:rsidR="0022611D" w:rsidRPr="00A314DC" w:rsidRDefault="0022611D" w:rsidP="003E300A">
            <w:pPr>
              <w:pStyle w:val="ONUME"/>
              <w:rPr>
                <w:b/>
                <w:sz w:val="20"/>
              </w:rPr>
            </w:pPr>
            <w:r w:rsidRPr="00A314DC">
              <w:rPr>
                <w:b/>
                <w:sz w:val="20"/>
              </w:rPr>
              <w:t>Strategy A</w:t>
            </w:r>
          </w:p>
        </w:tc>
        <w:tc>
          <w:tcPr>
            <w:tcW w:w="2126" w:type="dxa"/>
            <w:tcBorders>
              <w:top w:val="nil"/>
              <w:left w:val="nil"/>
              <w:bottom w:val="nil"/>
              <w:right w:val="nil"/>
            </w:tcBorders>
            <w:shd w:val="pct10" w:color="auto" w:fill="auto"/>
          </w:tcPr>
          <w:p w:rsidR="0022611D" w:rsidRPr="00A314DC" w:rsidRDefault="0022611D" w:rsidP="003E300A">
            <w:pPr>
              <w:pStyle w:val="ONUME"/>
              <w:rPr>
                <w:b/>
                <w:sz w:val="20"/>
              </w:rPr>
            </w:pPr>
            <w:r w:rsidRPr="00A314DC">
              <w:rPr>
                <w:b/>
                <w:sz w:val="20"/>
              </w:rPr>
              <w:t>Strategy B</w:t>
            </w:r>
          </w:p>
        </w:tc>
        <w:tc>
          <w:tcPr>
            <w:tcW w:w="2268" w:type="dxa"/>
            <w:tcBorders>
              <w:top w:val="nil"/>
              <w:left w:val="nil"/>
              <w:bottom w:val="nil"/>
              <w:right w:val="nil"/>
            </w:tcBorders>
            <w:shd w:val="pct10" w:color="auto" w:fill="auto"/>
          </w:tcPr>
          <w:p w:rsidR="0022611D" w:rsidRPr="00A314DC" w:rsidRDefault="0022611D" w:rsidP="003E300A">
            <w:pPr>
              <w:pStyle w:val="ONUME"/>
              <w:rPr>
                <w:b/>
                <w:sz w:val="20"/>
              </w:rPr>
            </w:pPr>
            <w:r w:rsidRPr="00A314DC">
              <w:rPr>
                <w:b/>
                <w:sz w:val="20"/>
              </w:rPr>
              <w:t>Strategy C</w:t>
            </w:r>
          </w:p>
        </w:tc>
      </w:tr>
      <w:tr w:rsidR="0022611D" w:rsidRPr="00DA3947" w:rsidTr="002D5273">
        <w:trPr>
          <w:trHeight w:val="172"/>
          <w:jc w:val="center"/>
        </w:trPr>
        <w:tc>
          <w:tcPr>
            <w:tcW w:w="5353" w:type="dxa"/>
            <w:tcBorders>
              <w:top w:val="nil"/>
              <w:left w:val="nil"/>
              <w:bottom w:val="nil"/>
              <w:right w:val="nil"/>
            </w:tcBorders>
            <w:shd w:val="clear" w:color="auto" w:fill="auto"/>
          </w:tcPr>
          <w:p w:rsidR="0022611D" w:rsidRPr="00A314DC" w:rsidRDefault="0022611D" w:rsidP="003E300A">
            <w:pPr>
              <w:pStyle w:val="ONUME"/>
              <w:rPr>
                <w:b/>
                <w:sz w:val="20"/>
              </w:rPr>
            </w:pPr>
            <w:r w:rsidRPr="00A314DC">
              <w:rPr>
                <w:b/>
                <w:sz w:val="20"/>
              </w:rPr>
              <w:t>Medium-term scenarios (2015-2020)</w:t>
            </w:r>
          </w:p>
        </w:tc>
        <w:tc>
          <w:tcPr>
            <w:tcW w:w="1134" w:type="dxa"/>
            <w:tcBorders>
              <w:top w:val="nil"/>
              <w:left w:val="nil"/>
              <w:bottom w:val="nil"/>
              <w:right w:val="nil"/>
            </w:tcBorders>
            <w:shd w:val="clear" w:color="auto" w:fill="auto"/>
            <w:vAlign w:val="bottom"/>
          </w:tcPr>
          <w:p w:rsidR="0022611D" w:rsidRPr="00A314DC" w:rsidRDefault="0022611D" w:rsidP="00A314DC">
            <w:pPr>
              <w:pStyle w:val="ONUME"/>
              <w:jc w:val="center"/>
              <w:rPr>
                <w:sz w:val="20"/>
              </w:rPr>
            </w:pPr>
          </w:p>
        </w:tc>
        <w:tc>
          <w:tcPr>
            <w:tcW w:w="1985" w:type="dxa"/>
            <w:tcBorders>
              <w:top w:val="nil"/>
              <w:left w:val="nil"/>
              <w:bottom w:val="nil"/>
              <w:right w:val="nil"/>
            </w:tcBorders>
            <w:shd w:val="clear" w:color="auto" w:fill="auto"/>
            <w:vAlign w:val="bottom"/>
          </w:tcPr>
          <w:p w:rsidR="0022611D" w:rsidRPr="00A314DC" w:rsidRDefault="0022611D" w:rsidP="00A314DC">
            <w:pPr>
              <w:pStyle w:val="ONUME"/>
              <w:jc w:val="center"/>
              <w:rPr>
                <w:sz w:val="20"/>
              </w:rPr>
            </w:pPr>
          </w:p>
        </w:tc>
        <w:tc>
          <w:tcPr>
            <w:tcW w:w="2126" w:type="dxa"/>
            <w:tcBorders>
              <w:top w:val="nil"/>
              <w:left w:val="nil"/>
              <w:bottom w:val="nil"/>
              <w:right w:val="nil"/>
            </w:tcBorders>
            <w:shd w:val="clear" w:color="auto" w:fill="auto"/>
            <w:vAlign w:val="bottom"/>
          </w:tcPr>
          <w:p w:rsidR="0022611D" w:rsidRPr="00A314DC" w:rsidRDefault="0022611D" w:rsidP="00A314DC">
            <w:pPr>
              <w:pStyle w:val="ONUME"/>
              <w:jc w:val="center"/>
              <w:rPr>
                <w:sz w:val="20"/>
              </w:rPr>
            </w:pPr>
          </w:p>
        </w:tc>
        <w:tc>
          <w:tcPr>
            <w:tcW w:w="2268" w:type="dxa"/>
            <w:tcBorders>
              <w:top w:val="nil"/>
              <w:left w:val="nil"/>
              <w:bottom w:val="nil"/>
              <w:right w:val="nil"/>
            </w:tcBorders>
            <w:shd w:val="clear" w:color="auto" w:fill="auto"/>
            <w:vAlign w:val="bottom"/>
          </w:tcPr>
          <w:p w:rsidR="0022611D" w:rsidRPr="00A314DC" w:rsidRDefault="0022611D" w:rsidP="00A314DC">
            <w:pPr>
              <w:pStyle w:val="ONUME"/>
              <w:jc w:val="center"/>
              <w:rPr>
                <w:sz w:val="20"/>
              </w:rPr>
            </w:pPr>
          </w:p>
        </w:tc>
      </w:tr>
      <w:tr w:rsidR="0022611D" w:rsidRPr="00DA3947" w:rsidTr="002D5273">
        <w:trPr>
          <w:trHeight w:val="315"/>
          <w:jc w:val="center"/>
        </w:trPr>
        <w:tc>
          <w:tcPr>
            <w:tcW w:w="5353" w:type="dxa"/>
            <w:tcBorders>
              <w:top w:val="nil"/>
              <w:left w:val="nil"/>
              <w:bottom w:val="nil"/>
              <w:right w:val="nil"/>
            </w:tcBorders>
            <w:shd w:val="clear" w:color="auto" w:fill="auto"/>
          </w:tcPr>
          <w:p w:rsidR="0022611D" w:rsidRPr="00A314DC" w:rsidRDefault="0022611D" w:rsidP="00A314DC">
            <w:pPr>
              <w:pStyle w:val="ONUME"/>
              <w:ind w:firstLine="426"/>
              <w:rPr>
                <w:sz w:val="20"/>
              </w:rPr>
            </w:pPr>
            <w:r w:rsidRPr="00A314DC">
              <w:rPr>
                <w:sz w:val="20"/>
              </w:rPr>
              <w:t>Return potential “base scenario”</w:t>
            </w:r>
          </w:p>
        </w:tc>
        <w:tc>
          <w:tcPr>
            <w:tcW w:w="1134" w:type="dxa"/>
            <w:tcBorders>
              <w:top w:val="nil"/>
              <w:left w:val="nil"/>
              <w:bottom w:val="nil"/>
              <w:right w:val="nil"/>
            </w:tcBorders>
            <w:shd w:val="clear" w:color="auto" w:fill="auto"/>
            <w:vAlign w:val="bottom"/>
          </w:tcPr>
          <w:p w:rsidR="0022611D" w:rsidRPr="00A314DC" w:rsidRDefault="003901B2" w:rsidP="00A314DC">
            <w:pPr>
              <w:pStyle w:val="ONUME"/>
              <w:jc w:val="center"/>
              <w:rPr>
                <w:sz w:val="20"/>
              </w:rPr>
            </w:pPr>
            <w:r>
              <w:rPr>
                <w:sz w:val="20"/>
              </w:rPr>
              <w:t>-0.5%</w:t>
            </w:r>
          </w:p>
        </w:tc>
        <w:tc>
          <w:tcPr>
            <w:tcW w:w="1985" w:type="dxa"/>
            <w:tcBorders>
              <w:top w:val="nil"/>
              <w:left w:val="nil"/>
              <w:bottom w:val="nil"/>
              <w:right w:val="nil"/>
            </w:tcBorders>
            <w:shd w:val="clear" w:color="auto" w:fill="auto"/>
            <w:vAlign w:val="bottom"/>
          </w:tcPr>
          <w:p w:rsidR="0022611D" w:rsidRPr="00A314DC" w:rsidRDefault="00FB1D7D" w:rsidP="00A314DC">
            <w:pPr>
              <w:pStyle w:val="ONUME"/>
              <w:jc w:val="center"/>
              <w:rPr>
                <w:sz w:val="20"/>
              </w:rPr>
            </w:pPr>
            <w:r>
              <w:rPr>
                <w:sz w:val="20"/>
              </w:rPr>
              <w:t>-0.1%</w:t>
            </w:r>
          </w:p>
        </w:tc>
        <w:tc>
          <w:tcPr>
            <w:tcW w:w="2126" w:type="dxa"/>
            <w:tcBorders>
              <w:top w:val="nil"/>
              <w:left w:val="nil"/>
              <w:bottom w:val="nil"/>
              <w:right w:val="nil"/>
            </w:tcBorders>
            <w:shd w:val="clear" w:color="auto" w:fill="auto"/>
            <w:vAlign w:val="bottom"/>
          </w:tcPr>
          <w:p w:rsidR="0022611D" w:rsidRPr="00A314DC" w:rsidRDefault="00FB1D7D" w:rsidP="00A314DC">
            <w:pPr>
              <w:pStyle w:val="ONUME"/>
              <w:jc w:val="center"/>
              <w:rPr>
                <w:sz w:val="20"/>
              </w:rPr>
            </w:pPr>
            <w:r>
              <w:rPr>
                <w:sz w:val="20"/>
              </w:rPr>
              <w:t>0.4%</w:t>
            </w:r>
          </w:p>
        </w:tc>
        <w:tc>
          <w:tcPr>
            <w:tcW w:w="2268" w:type="dxa"/>
            <w:tcBorders>
              <w:top w:val="nil"/>
              <w:left w:val="nil"/>
              <w:bottom w:val="nil"/>
              <w:right w:val="nil"/>
            </w:tcBorders>
            <w:shd w:val="clear" w:color="auto" w:fill="auto"/>
            <w:vAlign w:val="bottom"/>
          </w:tcPr>
          <w:p w:rsidR="0022611D" w:rsidRPr="00A314DC" w:rsidRDefault="00F7198D" w:rsidP="00A314DC">
            <w:pPr>
              <w:pStyle w:val="ONUME"/>
              <w:jc w:val="center"/>
              <w:rPr>
                <w:sz w:val="20"/>
              </w:rPr>
            </w:pPr>
            <w:r>
              <w:rPr>
                <w:sz w:val="20"/>
              </w:rPr>
              <w:t>3.1%</w:t>
            </w:r>
          </w:p>
        </w:tc>
      </w:tr>
      <w:tr w:rsidR="0022611D" w:rsidRPr="00DA3947" w:rsidTr="002D5273">
        <w:trPr>
          <w:jc w:val="center"/>
        </w:trPr>
        <w:tc>
          <w:tcPr>
            <w:tcW w:w="5353" w:type="dxa"/>
            <w:tcBorders>
              <w:top w:val="nil"/>
              <w:left w:val="nil"/>
              <w:bottom w:val="nil"/>
              <w:right w:val="nil"/>
            </w:tcBorders>
            <w:shd w:val="clear" w:color="auto" w:fill="auto"/>
          </w:tcPr>
          <w:p w:rsidR="0022611D" w:rsidRPr="00A314DC" w:rsidRDefault="0022611D" w:rsidP="00A314DC">
            <w:pPr>
              <w:pStyle w:val="ONUME"/>
              <w:ind w:firstLine="426"/>
              <w:rPr>
                <w:sz w:val="20"/>
              </w:rPr>
            </w:pPr>
            <w:r w:rsidRPr="00A314DC">
              <w:rPr>
                <w:sz w:val="20"/>
              </w:rPr>
              <w:t>Return potential “strong economic growth”</w:t>
            </w:r>
          </w:p>
        </w:tc>
        <w:tc>
          <w:tcPr>
            <w:tcW w:w="1134" w:type="dxa"/>
            <w:tcBorders>
              <w:top w:val="nil"/>
              <w:left w:val="nil"/>
              <w:bottom w:val="nil"/>
              <w:right w:val="nil"/>
            </w:tcBorders>
            <w:shd w:val="clear" w:color="auto" w:fill="auto"/>
            <w:vAlign w:val="bottom"/>
          </w:tcPr>
          <w:p w:rsidR="0022611D" w:rsidRPr="00A314DC" w:rsidRDefault="00FB1D7D" w:rsidP="00A314DC">
            <w:pPr>
              <w:pStyle w:val="ONUME"/>
              <w:jc w:val="center"/>
              <w:rPr>
                <w:sz w:val="20"/>
              </w:rPr>
            </w:pPr>
            <w:r>
              <w:rPr>
                <w:sz w:val="20"/>
              </w:rPr>
              <w:t>0.2</w:t>
            </w:r>
            <w:r w:rsidR="0031126F">
              <w:rPr>
                <w:sz w:val="20"/>
              </w:rPr>
              <w:t>%</w:t>
            </w:r>
          </w:p>
        </w:tc>
        <w:tc>
          <w:tcPr>
            <w:tcW w:w="1985" w:type="dxa"/>
            <w:tcBorders>
              <w:top w:val="nil"/>
              <w:left w:val="nil"/>
              <w:bottom w:val="nil"/>
              <w:right w:val="nil"/>
            </w:tcBorders>
            <w:shd w:val="clear" w:color="auto" w:fill="auto"/>
            <w:vAlign w:val="bottom"/>
          </w:tcPr>
          <w:p w:rsidR="0022611D" w:rsidRPr="00A314DC" w:rsidRDefault="00FB1D7D" w:rsidP="00A314DC">
            <w:pPr>
              <w:pStyle w:val="ONUME"/>
              <w:jc w:val="center"/>
              <w:rPr>
                <w:sz w:val="20"/>
              </w:rPr>
            </w:pPr>
            <w:r>
              <w:rPr>
                <w:sz w:val="20"/>
              </w:rPr>
              <w:t>-0.1%</w:t>
            </w:r>
          </w:p>
        </w:tc>
        <w:tc>
          <w:tcPr>
            <w:tcW w:w="2126" w:type="dxa"/>
            <w:tcBorders>
              <w:top w:val="nil"/>
              <w:left w:val="nil"/>
              <w:bottom w:val="nil"/>
              <w:right w:val="nil"/>
            </w:tcBorders>
            <w:shd w:val="clear" w:color="auto" w:fill="auto"/>
            <w:vAlign w:val="bottom"/>
          </w:tcPr>
          <w:p w:rsidR="0022611D" w:rsidRPr="00A314DC" w:rsidRDefault="00FB1D7D" w:rsidP="00A314DC">
            <w:pPr>
              <w:pStyle w:val="ONUME"/>
              <w:jc w:val="center"/>
              <w:rPr>
                <w:sz w:val="20"/>
              </w:rPr>
            </w:pPr>
            <w:r>
              <w:rPr>
                <w:sz w:val="20"/>
              </w:rPr>
              <w:t>0.8%</w:t>
            </w:r>
          </w:p>
        </w:tc>
        <w:tc>
          <w:tcPr>
            <w:tcW w:w="2268" w:type="dxa"/>
            <w:tcBorders>
              <w:top w:val="nil"/>
              <w:left w:val="nil"/>
              <w:bottom w:val="nil"/>
              <w:right w:val="nil"/>
            </w:tcBorders>
            <w:shd w:val="clear" w:color="auto" w:fill="auto"/>
            <w:vAlign w:val="bottom"/>
          </w:tcPr>
          <w:p w:rsidR="0022611D" w:rsidRPr="00A314DC" w:rsidRDefault="00F7198D" w:rsidP="00A314DC">
            <w:pPr>
              <w:pStyle w:val="ONUME"/>
              <w:jc w:val="center"/>
              <w:rPr>
                <w:sz w:val="20"/>
              </w:rPr>
            </w:pPr>
            <w:r>
              <w:rPr>
                <w:sz w:val="20"/>
              </w:rPr>
              <w:t>3.7%</w:t>
            </w:r>
          </w:p>
        </w:tc>
      </w:tr>
      <w:tr w:rsidR="0022611D" w:rsidRPr="00DA3947" w:rsidTr="002D5273">
        <w:trPr>
          <w:jc w:val="center"/>
        </w:trPr>
        <w:tc>
          <w:tcPr>
            <w:tcW w:w="5353" w:type="dxa"/>
            <w:tcBorders>
              <w:top w:val="nil"/>
              <w:left w:val="nil"/>
              <w:bottom w:val="nil"/>
              <w:right w:val="nil"/>
            </w:tcBorders>
            <w:shd w:val="clear" w:color="auto" w:fill="auto"/>
          </w:tcPr>
          <w:p w:rsidR="0022611D" w:rsidRPr="00A314DC" w:rsidRDefault="0022611D" w:rsidP="00A314DC">
            <w:pPr>
              <w:pStyle w:val="ONUME"/>
              <w:ind w:firstLine="426"/>
              <w:rPr>
                <w:sz w:val="20"/>
              </w:rPr>
            </w:pPr>
            <w:r w:rsidRPr="00A314DC">
              <w:rPr>
                <w:sz w:val="20"/>
              </w:rPr>
              <w:t>Return potential “weak economic growth”</w:t>
            </w:r>
          </w:p>
        </w:tc>
        <w:tc>
          <w:tcPr>
            <w:tcW w:w="1134" w:type="dxa"/>
            <w:tcBorders>
              <w:top w:val="nil"/>
              <w:left w:val="nil"/>
              <w:bottom w:val="nil"/>
              <w:right w:val="nil"/>
            </w:tcBorders>
            <w:shd w:val="clear" w:color="auto" w:fill="auto"/>
            <w:vAlign w:val="bottom"/>
          </w:tcPr>
          <w:p w:rsidR="0022611D" w:rsidRPr="00A314DC" w:rsidRDefault="00FB1D7D" w:rsidP="00A314DC">
            <w:pPr>
              <w:pStyle w:val="ONUME"/>
              <w:jc w:val="center"/>
              <w:rPr>
                <w:sz w:val="20"/>
              </w:rPr>
            </w:pPr>
            <w:r>
              <w:rPr>
                <w:sz w:val="20"/>
              </w:rPr>
              <w:t>-0.6%</w:t>
            </w:r>
          </w:p>
        </w:tc>
        <w:tc>
          <w:tcPr>
            <w:tcW w:w="1985" w:type="dxa"/>
            <w:tcBorders>
              <w:top w:val="nil"/>
              <w:left w:val="nil"/>
              <w:bottom w:val="nil"/>
              <w:right w:val="nil"/>
            </w:tcBorders>
            <w:shd w:val="clear" w:color="auto" w:fill="auto"/>
            <w:vAlign w:val="bottom"/>
          </w:tcPr>
          <w:p w:rsidR="0022611D" w:rsidRPr="00A314DC" w:rsidRDefault="00FB1D7D" w:rsidP="00A314DC">
            <w:pPr>
              <w:pStyle w:val="ONUME"/>
              <w:jc w:val="center"/>
              <w:rPr>
                <w:sz w:val="20"/>
              </w:rPr>
            </w:pPr>
            <w:r>
              <w:rPr>
                <w:sz w:val="20"/>
              </w:rPr>
              <w:t>0.1%</w:t>
            </w:r>
          </w:p>
        </w:tc>
        <w:tc>
          <w:tcPr>
            <w:tcW w:w="2126" w:type="dxa"/>
            <w:tcBorders>
              <w:top w:val="nil"/>
              <w:left w:val="nil"/>
              <w:bottom w:val="nil"/>
              <w:right w:val="nil"/>
            </w:tcBorders>
            <w:shd w:val="clear" w:color="auto" w:fill="auto"/>
            <w:vAlign w:val="bottom"/>
          </w:tcPr>
          <w:p w:rsidR="0022611D" w:rsidRPr="00A314DC" w:rsidRDefault="00FB1D7D" w:rsidP="00A314DC">
            <w:pPr>
              <w:pStyle w:val="ONUME"/>
              <w:jc w:val="center"/>
              <w:rPr>
                <w:sz w:val="20"/>
              </w:rPr>
            </w:pPr>
            <w:r>
              <w:rPr>
                <w:sz w:val="20"/>
              </w:rPr>
              <w:t>0.5%</w:t>
            </w:r>
          </w:p>
        </w:tc>
        <w:tc>
          <w:tcPr>
            <w:tcW w:w="2268" w:type="dxa"/>
            <w:tcBorders>
              <w:top w:val="nil"/>
              <w:left w:val="nil"/>
              <w:bottom w:val="nil"/>
              <w:right w:val="nil"/>
            </w:tcBorders>
            <w:shd w:val="clear" w:color="auto" w:fill="auto"/>
            <w:vAlign w:val="bottom"/>
          </w:tcPr>
          <w:p w:rsidR="0022611D" w:rsidRPr="00A314DC" w:rsidRDefault="00F7198D" w:rsidP="00A314DC">
            <w:pPr>
              <w:pStyle w:val="ONUME"/>
              <w:jc w:val="center"/>
              <w:rPr>
                <w:sz w:val="20"/>
              </w:rPr>
            </w:pPr>
            <w:r>
              <w:rPr>
                <w:sz w:val="20"/>
              </w:rPr>
              <w:t>2.2%</w:t>
            </w:r>
          </w:p>
        </w:tc>
      </w:tr>
      <w:tr w:rsidR="0022611D" w:rsidRPr="00DA3947" w:rsidTr="002D5273">
        <w:trPr>
          <w:jc w:val="center"/>
        </w:trPr>
        <w:tc>
          <w:tcPr>
            <w:tcW w:w="5353" w:type="dxa"/>
            <w:tcBorders>
              <w:top w:val="nil"/>
              <w:left w:val="nil"/>
              <w:bottom w:val="nil"/>
              <w:right w:val="nil"/>
            </w:tcBorders>
            <w:shd w:val="clear" w:color="auto" w:fill="auto"/>
          </w:tcPr>
          <w:p w:rsidR="0022611D" w:rsidRPr="00A314DC" w:rsidRDefault="0022611D" w:rsidP="003E300A">
            <w:pPr>
              <w:pStyle w:val="ONUME"/>
              <w:rPr>
                <w:b/>
                <w:sz w:val="20"/>
              </w:rPr>
            </w:pPr>
            <w:r w:rsidRPr="00A314DC">
              <w:rPr>
                <w:b/>
                <w:sz w:val="20"/>
              </w:rPr>
              <w:t>Long-term scenarios</w:t>
            </w:r>
          </w:p>
        </w:tc>
        <w:tc>
          <w:tcPr>
            <w:tcW w:w="1134" w:type="dxa"/>
            <w:tcBorders>
              <w:top w:val="nil"/>
              <w:left w:val="nil"/>
              <w:bottom w:val="nil"/>
              <w:right w:val="nil"/>
            </w:tcBorders>
            <w:shd w:val="clear" w:color="auto" w:fill="auto"/>
            <w:vAlign w:val="bottom"/>
          </w:tcPr>
          <w:p w:rsidR="0022611D" w:rsidRPr="00A314DC" w:rsidRDefault="0022611D" w:rsidP="00A314DC">
            <w:pPr>
              <w:pStyle w:val="ONUME"/>
              <w:jc w:val="center"/>
              <w:rPr>
                <w:b/>
                <w:sz w:val="20"/>
              </w:rPr>
            </w:pPr>
          </w:p>
        </w:tc>
        <w:tc>
          <w:tcPr>
            <w:tcW w:w="1985" w:type="dxa"/>
            <w:tcBorders>
              <w:top w:val="nil"/>
              <w:left w:val="nil"/>
              <w:bottom w:val="nil"/>
              <w:right w:val="nil"/>
            </w:tcBorders>
            <w:shd w:val="clear" w:color="auto" w:fill="auto"/>
            <w:vAlign w:val="bottom"/>
          </w:tcPr>
          <w:p w:rsidR="0022611D" w:rsidRPr="00A314DC" w:rsidRDefault="0022611D" w:rsidP="00A314DC">
            <w:pPr>
              <w:pStyle w:val="ONUME"/>
              <w:jc w:val="center"/>
              <w:rPr>
                <w:b/>
                <w:sz w:val="20"/>
              </w:rPr>
            </w:pPr>
          </w:p>
        </w:tc>
        <w:tc>
          <w:tcPr>
            <w:tcW w:w="2126" w:type="dxa"/>
            <w:tcBorders>
              <w:top w:val="nil"/>
              <w:left w:val="nil"/>
              <w:bottom w:val="nil"/>
              <w:right w:val="nil"/>
            </w:tcBorders>
            <w:shd w:val="clear" w:color="auto" w:fill="auto"/>
            <w:vAlign w:val="bottom"/>
          </w:tcPr>
          <w:p w:rsidR="0022611D" w:rsidRPr="00A314DC" w:rsidRDefault="0022611D" w:rsidP="00A314DC">
            <w:pPr>
              <w:pStyle w:val="ONUME"/>
              <w:jc w:val="center"/>
              <w:rPr>
                <w:b/>
                <w:sz w:val="20"/>
              </w:rPr>
            </w:pPr>
          </w:p>
        </w:tc>
        <w:tc>
          <w:tcPr>
            <w:tcW w:w="2268" w:type="dxa"/>
            <w:tcBorders>
              <w:top w:val="nil"/>
              <w:left w:val="nil"/>
              <w:bottom w:val="nil"/>
              <w:right w:val="nil"/>
            </w:tcBorders>
            <w:shd w:val="clear" w:color="auto" w:fill="auto"/>
            <w:vAlign w:val="bottom"/>
          </w:tcPr>
          <w:p w:rsidR="0022611D" w:rsidRPr="00A314DC" w:rsidRDefault="0022611D" w:rsidP="00A314DC">
            <w:pPr>
              <w:pStyle w:val="ONUME"/>
              <w:jc w:val="center"/>
              <w:rPr>
                <w:b/>
                <w:sz w:val="20"/>
              </w:rPr>
            </w:pPr>
          </w:p>
        </w:tc>
      </w:tr>
      <w:tr w:rsidR="0022611D" w:rsidRPr="00DA3947" w:rsidTr="002D5273">
        <w:trPr>
          <w:jc w:val="center"/>
        </w:trPr>
        <w:tc>
          <w:tcPr>
            <w:tcW w:w="5353" w:type="dxa"/>
            <w:tcBorders>
              <w:top w:val="nil"/>
              <w:left w:val="nil"/>
              <w:bottom w:val="nil"/>
              <w:right w:val="nil"/>
            </w:tcBorders>
            <w:shd w:val="clear" w:color="auto" w:fill="auto"/>
          </w:tcPr>
          <w:p w:rsidR="0022611D" w:rsidRPr="00A314DC" w:rsidRDefault="0022611D" w:rsidP="00A314DC">
            <w:pPr>
              <w:pStyle w:val="ONUME"/>
              <w:ind w:firstLine="426"/>
              <w:rPr>
                <w:b/>
                <w:sz w:val="20"/>
              </w:rPr>
            </w:pPr>
            <w:r w:rsidRPr="00A314DC">
              <w:rPr>
                <w:b/>
                <w:sz w:val="20"/>
              </w:rPr>
              <w:t>Expected return</w:t>
            </w:r>
          </w:p>
        </w:tc>
        <w:tc>
          <w:tcPr>
            <w:tcW w:w="1134" w:type="dxa"/>
            <w:tcBorders>
              <w:top w:val="nil"/>
              <w:left w:val="nil"/>
              <w:bottom w:val="nil"/>
              <w:right w:val="nil"/>
            </w:tcBorders>
            <w:shd w:val="clear" w:color="auto" w:fill="auto"/>
            <w:vAlign w:val="bottom"/>
          </w:tcPr>
          <w:p w:rsidR="0022611D" w:rsidRPr="00A314DC" w:rsidRDefault="00FB1D7D" w:rsidP="00A314DC">
            <w:pPr>
              <w:pStyle w:val="ONUME"/>
              <w:jc w:val="center"/>
              <w:rPr>
                <w:b/>
                <w:sz w:val="20"/>
              </w:rPr>
            </w:pPr>
            <w:r w:rsidRPr="00A314DC">
              <w:rPr>
                <w:b/>
                <w:sz w:val="20"/>
              </w:rPr>
              <w:t>-0.5%</w:t>
            </w:r>
          </w:p>
        </w:tc>
        <w:tc>
          <w:tcPr>
            <w:tcW w:w="1985" w:type="dxa"/>
            <w:tcBorders>
              <w:top w:val="nil"/>
              <w:left w:val="nil"/>
              <w:bottom w:val="nil"/>
              <w:right w:val="nil"/>
            </w:tcBorders>
            <w:shd w:val="clear" w:color="auto" w:fill="auto"/>
            <w:vAlign w:val="bottom"/>
          </w:tcPr>
          <w:p w:rsidR="0022611D" w:rsidRPr="00A314DC" w:rsidRDefault="00FB1D7D" w:rsidP="00A314DC">
            <w:pPr>
              <w:pStyle w:val="ONUME"/>
              <w:jc w:val="center"/>
              <w:rPr>
                <w:b/>
                <w:sz w:val="20"/>
              </w:rPr>
            </w:pPr>
            <w:r>
              <w:rPr>
                <w:b/>
                <w:sz w:val="20"/>
              </w:rPr>
              <w:t>-0.3%</w:t>
            </w:r>
          </w:p>
        </w:tc>
        <w:tc>
          <w:tcPr>
            <w:tcW w:w="2126" w:type="dxa"/>
            <w:tcBorders>
              <w:top w:val="nil"/>
              <w:left w:val="nil"/>
              <w:bottom w:val="nil"/>
              <w:right w:val="nil"/>
            </w:tcBorders>
            <w:shd w:val="clear" w:color="auto" w:fill="auto"/>
            <w:vAlign w:val="bottom"/>
          </w:tcPr>
          <w:p w:rsidR="0022611D" w:rsidRPr="00A314DC" w:rsidRDefault="00FB1D7D" w:rsidP="00A314DC">
            <w:pPr>
              <w:pStyle w:val="ONUME"/>
              <w:jc w:val="center"/>
              <w:rPr>
                <w:b/>
                <w:sz w:val="20"/>
              </w:rPr>
            </w:pPr>
            <w:r>
              <w:rPr>
                <w:b/>
                <w:sz w:val="20"/>
              </w:rPr>
              <w:t>0.3%</w:t>
            </w:r>
          </w:p>
        </w:tc>
        <w:tc>
          <w:tcPr>
            <w:tcW w:w="2268" w:type="dxa"/>
            <w:tcBorders>
              <w:top w:val="nil"/>
              <w:left w:val="nil"/>
              <w:bottom w:val="nil"/>
              <w:right w:val="nil"/>
            </w:tcBorders>
            <w:shd w:val="clear" w:color="auto" w:fill="auto"/>
            <w:vAlign w:val="bottom"/>
          </w:tcPr>
          <w:p w:rsidR="0022611D" w:rsidRPr="00A314DC" w:rsidRDefault="00F7198D" w:rsidP="00A314DC">
            <w:pPr>
              <w:pStyle w:val="ONUME"/>
              <w:jc w:val="center"/>
              <w:rPr>
                <w:b/>
                <w:sz w:val="20"/>
              </w:rPr>
            </w:pPr>
            <w:r>
              <w:rPr>
                <w:b/>
                <w:sz w:val="20"/>
              </w:rPr>
              <w:t>2.3%</w:t>
            </w:r>
          </w:p>
        </w:tc>
      </w:tr>
      <w:tr w:rsidR="0022611D" w:rsidRPr="00DA3947" w:rsidTr="002D5273">
        <w:trPr>
          <w:jc w:val="center"/>
        </w:trPr>
        <w:tc>
          <w:tcPr>
            <w:tcW w:w="5353" w:type="dxa"/>
            <w:tcBorders>
              <w:top w:val="nil"/>
              <w:left w:val="nil"/>
              <w:bottom w:val="nil"/>
              <w:right w:val="nil"/>
            </w:tcBorders>
            <w:shd w:val="clear" w:color="auto" w:fill="auto"/>
          </w:tcPr>
          <w:p w:rsidR="0022611D" w:rsidRPr="00A314DC" w:rsidRDefault="0022611D" w:rsidP="00A314DC">
            <w:pPr>
              <w:pStyle w:val="ONUME"/>
              <w:ind w:firstLine="426"/>
              <w:rPr>
                <w:sz w:val="20"/>
              </w:rPr>
            </w:pPr>
            <w:r w:rsidRPr="00A314DC">
              <w:rPr>
                <w:sz w:val="20"/>
              </w:rPr>
              <w:t>Historical returns (Jan</w:t>
            </w:r>
            <w:r w:rsidR="004465F3">
              <w:rPr>
                <w:sz w:val="20"/>
              </w:rPr>
              <w:t>. ‘05</w:t>
            </w:r>
            <w:r w:rsidRPr="00A314DC">
              <w:rPr>
                <w:sz w:val="20"/>
              </w:rPr>
              <w:t xml:space="preserve"> – Dec</w:t>
            </w:r>
            <w:r w:rsidR="004465F3">
              <w:rPr>
                <w:sz w:val="20"/>
              </w:rPr>
              <w:t>. ‘</w:t>
            </w:r>
            <w:r w:rsidRPr="00A314DC">
              <w:rPr>
                <w:sz w:val="20"/>
              </w:rPr>
              <w:t>14)</w:t>
            </w:r>
          </w:p>
        </w:tc>
        <w:tc>
          <w:tcPr>
            <w:tcW w:w="1134" w:type="dxa"/>
            <w:tcBorders>
              <w:top w:val="nil"/>
              <w:left w:val="nil"/>
              <w:bottom w:val="nil"/>
              <w:right w:val="nil"/>
            </w:tcBorders>
            <w:shd w:val="clear" w:color="auto" w:fill="auto"/>
            <w:vAlign w:val="bottom"/>
          </w:tcPr>
          <w:p w:rsidR="0022611D" w:rsidRPr="00A314DC" w:rsidRDefault="00FB1D7D" w:rsidP="00A314DC">
            <w:pPr>
              <w:pStyle w:val="ONUME"/>
              <w:jc w:val="center"/>
              <w:rPr>
                <w:sz w:val="20"/>
              </w:rPr>
            </w:pPr>
            <w:r>
              <w:rPr>
                <w:sz w:val="20"/>
              </w:rPr>
              <w:t>0.8%</w:t>
            </w:r>
          </w:p>
        </w:tc>
        <w:tc>
          <w:tcPr>
            <w:tcW w:w="1985" w:type="dxa"/>
            <w:tcBorders>
              <w:top w:val="nil"/>
              <w:left w:val="nil"/>
              <w:bottom w:val="nil"/>
              <w:right w:val="nil"/>
            </w:tcBorders>
            <w:shd w:val="clear" w:color="auto" w:fill="auto"/>
            <w:vAlign w:val="bottom"/>
          </w:tcPr>
          <w:p w:rsidR="0022611D" w:rsidRPr="00A314DC" w:rsidRDefault="00FB1D7D" w:rsidP="00A314DC">
            <w:pPr>
              <w:pStyle w:val="ONUME"/>
              <w:jc w:val="center"/>
              <w:rPr>
                <w:sz w:val="20"/>
              </w:rPr>
            </w:pPr>
            <w:r>
              <w:rPr>
                <w:sz w:val="20"/>
              </w:rPr>
              <w:t>1.9%</w:t>
            </w:r>
          </w:p>
        </w:tc>
        <w:tc>
          <w:tcPr>
            <w:tcW w:w="2126" w:type="dxa"/>
            <w:tcBorders>
              <w:top w:val="nil"/>
              <w:left w:val="nil"/>
              <w:bottom w:val="nil"/>
              <w:right w:val="nil"/>
            </w:tcBorders>
            <w:shd w:val="clear" w:color="auto" w:fill="auto"/>
            <w:vAlign w:val="bottom"/>
          </w:tcPr>
          <w:p w:rsidR="0022611D" w:rsidRPr="00A314DC" w:rsidRDefault="00FB1D7D" w:rsidP="00A314DC">
            <w:pPr>
              <w:pStyle w:val="ONUME"/>
              <w:jc w:val="center"/>
              <w:rPr>
                <w:sz w:val="20"/>
              </w:rPr>
            </w:pPr>
            <w:r>
              <w:rPr>
                <w:sz w:val="20"/>
              </w:rPr>
              <w:t>2.0%</w:t>
            </w:r>
          </w:p>
        </w:tc>
        <w:tc>
          <w:tcPr>
            <w:tcW w:w="2268" w:type="dxa"/>
            <w:tcBorders>
              <w:top w:val="nil"/>
              <w:left w:val="nil"/>
              <w:bottom w:val="nil"/>
              <w:right w:val="nil"/>
            </w:tcBorders>
            <w:shd w:val="clear" w:color="auto" w:fill="auto"/>
            <w:vAlign w:val="bottom"/>
          </w:tcPr>
          <w:p w:rsidR="0022611D" w:rsidRPr="00A314DC" w:rsidRDefault="00F7198D" w:rsidP="00A314DC">
            <w:pPr>
              <w:pStyle w:val="ONUME"/>
              <w:jc w:val="center"/>
              <w:rPr>
                <w:sz w:val="20"/>
              </w:rPr>
            </w:pPr>
            <w:r>
              <w:rPr>
                <w:sz w:val="20"/>
              </w:rPr>
              <w:t>4.1%</w:t>
            </w:r>
          </w:p>
        </w:tc>
      </w:tr>
      <w:tr w:rsidR="00D156CF" w:rsidRPr="00D156CF" w:rsidTr="002D5273">
        <w:trPr>
          <w:trHeight w:val="311"/>
          <w:jc w:val="center"/>
        </w:trPr>
        <w:tc>
          <w:tcPr>
            <w:tcW w:w="5353" w:type="dxa"/>
            <w:tcBorders>
              <w:top w:val="nil"/>
              <w:left w:val="nil"/>
              <w:bottom w:val="nil"/>
              <w:right w:val="nil"/>
            </w:tcBorders>
            <w:shd w:val="pct10" w:color="auto" w:fill="auto"/>
          </w:tcPr>
          <w:p w:rsidR="00DA3947" w:rsidRPr="00A314DC" w:rsidRDefault="00DA3947" w:rsidP="003E300A">
            <w:pPr>
              <w:pStyle w:val="ONUME"/>
              <w:rPr>
                <w:b/>
                <w:sz w:val="20"/>
              </w:rPr>
            </w:pPr>
            <w:r w:rsidRPr="00A314DC">
              <w:rPr>
                <w:b/>
                <w:sz w:val="20"/>
              </w:rPr>
              <w:t>Risk (annual volatility) (Jan. ’05-Dec.’14)</w:t>
            </w:r>
          </w:p>
        </w:tc>
        <w:tc>
          <w:tcPr>
            <w:tcW w:w="1134" w:type="dxa"/>
            <w:tcBorders>
              <w:top w:val="nil"/>
              <w:left w:val="nil"/>
              <w:bottom w:val="nil"/>
              <w:right w:val="nil"/>
            </w:tcBorders>
            <w:shd w:val="pct10" w:color="auto" w:fill="auto"/>
          </w:tcPr>
          <w:p w:rsidR="00DA3947" w:rsidRPr="00A314DC" w:rsidRDefault="00FB1D7D" w:rsidP="00A314DC">
            <w:pPr>
              <w:pStyle w:val="ONUME"/>
              <w:jc w:val="center"/>
              <w:rPr>
                <w:b/>
                <w:sz w:val="20"/>
              </w:rPr>
            </w:pPr>
            <w:r w:rsidRPr="00A314DC">
              <w:rPr>
                <w:b/>
                <w:sz w:val="20"/>
              </w:rPr>
              <w:t>0.3%</w:t>
            </w:r>
          </w:p>
        </w:tc>
        <w:tc>
          <w:tcPr>
            <w:tcW w:w="1985" w:type="dxa"/>
            <w:tcBorders>
              <w:top w:val="nil"/>
              <w:left w:val="nil"/>
              <w:bottom w:val="nil"/>
              <w:right w:val="nil"/>
            </w:tcBorders>
            <w:shd w:val="pct10" w:color="auto" w:fill="auto"/>
          </w:tcPr>
          <w:p w:rsidR="00DA3947" w:rsidRPr="00A314DC" w:rsidRDefault="00FB1D7D" w:rsidP="00A314DC">
            <w:pPr>
              <w:pStyle w:val="ONUME"/>
              <w:jc w:val="center"/>
              <w:rPr>
                <w:b/>
                <w:sz w:val="20"/>
              </w:rPr>
            </w:pPr>
            <w:r w:rsidRPr="00A314DC">
              <w:rPr>
                <w:b/>
                <w:sz w:val="20"/>
              </w:rPr>
              <w:t>1.2%</w:t>
            </w:r>
          </w:p>
        </w:tc>
        <w:tc>
          <w:tcPr>
            <w:tcW w:w="2126" w:type="dxa"/>
            <w:tcBorders>
              <w:top w:val="nil"/>
              <w:left w:val="nil"/>
              <w:bottom w:val="nil"/>
              <w:right w:val="nil"/>
            </w:tcBorders>
            <w:shd w:val="pct10" w:color="auto" w:fill="auto"/>
          </w:tcPr>
          <w:p w:rsidR="00DA3947" w:rsidRPr="00A314DC" w:rsidRDefault="00FB1D7D" w:rsidP="00A314DC">
            <w:pPr>
              <w:pStyle w:val="ONUME"/>
              <w:jc w:val="center"/>
              <w:rPr>
                <w:b/>
                <w:sz w:val="20"/>
              </w:rPr>
            </w:pPr>
            <w:r w:rsidRPr="00A314DC">
              <w:rPr>
                <w:b/>
                <w:sz w:val="20"/>
              </w:rPr>
              <w:t>1.6%</w:t>
            </w:r>
          </w:p>
        </w:tc>
        <w:tc>
          <w:tcPr>
            <w:tcW w:w="2268" w:type="dxa"/>
            <w:tcBorders>
              <w:top w:val="nil"/>
              <w:left w:val="nil"/>
              <w:bottom w:val="nil"/>
              <w:right w:val="nil"/>
            </w:tcBorders>
            <w:shd w:val="pct10" w:color="auto" w:fill="auto"/>
          </w:tcPr>
          <w:p w:rsidR="00DA3947" w:rsidRPr="00A314DC" w:rsidRDefault="00F7198D" w:rsidP="00A314DC">
            <w:pPr>
              <w:pStyle w:val="ONUME"/>
              <w:jc w:val="center"/>
              <w:rPr>
                <w:b/>
                <w:sz w:val="20"/>
              </w:rPr>
            </w:pPr>
            <w:r w:rsidRPr="00D156CF">
              <w:rPr>
                <w:b/>
                <w:sz w:val="20"/>
              </w:rPr>
              <w:t>4.5%</w:t>
            </w:r>
          </w:p>
        </w:tc>
      </w:tr>
    </w:tbl>
    <w:p w:rsidR="00D156CF" w:rsidRDefault="00D156CF" w:rsidP="004465F3">
      <w:pPr>
        <w:pStyle w:val="ONUME"/>
        <w:spacing w:after="0"/>
        <w:rPr>
          <w:i/>
          <w:sz w:val="20"/>
        </w:rPr>
      </w:pPr>
    </w:p>
    <w:tbl>
      <w:tblPr>
        <w:tblStyle w:val="TableGrid"/>
        <w:tblW w:w="0" w:type="auto"/>
        <w:jc w:val="center"/>
        <w:tblLayout w:type="fixed"/>
        <w:tblLook w:val="04A0" w:firstRow="1" w:lastRow="0" w:firstColumn="1" w:lastColumn="0" w:noHBand="0" w:noVBand="1"/>
      </w:tblPr>
      <w:tblGrid>
        <w:gridCol w:w="6487"/>
        <w:gridCol w:w="1985"/>
        <w:gridCol w:w="2126"/>
        <w:gridCol w:w="2268"/>
      </w:tblGrid>
      <w:tr w:rsidR="000918E0" w:rsidRPr="00C43976" w:rsidTr="002D5273">
        <w:trPr>
          <w:trHeight w:val="336"/>
          <w:jc w:val="center"/>
        </w:trPr>
        <w:tc>
          <w:tcPr>
            <w:tcW w:w="6487" w:type="dxa"/>
            <w:tcBorders>
              <w:top w:val="nil"/>
              <w:left w:val="nil"/>
              <w:bottom w:val="nil"/>
              <w:right w:val="nil"/>
            </w:tcBorders>
            <w:shd w:val="pct10" w:color="auto" w:fill="auto"/>
          </w:tcPr>
          <w:p w:rsidR="000918E0" w:rsidRPr="00A314DC" w:rsidRDefault="000918E0" w:rsidP="00A314DC">
            <w:pPr>
              <w:pStyle w:val="ONUME"/>
              <w:jc w:val="center"/>
              <w:rPr>
                <w:b/>
                <w:sz w:val="20"/>
              </w:rPr>
            </w:pPr>
          </w:p>
        </w:tc>
        <w:tc>
          <w:tcPr>
            <w:tcW w:w="1985" w:type="dxa"/>
            <w:tcBorders>
              <w:top w:val="nil"/>
              <w:left w:val="nil"/>
              <w:bottom w:val="nil"/>
              <w:right w:val="nil"/>
            </w:tcBorders>
            <w:shd w:val="pct10" w:color="auto" w:fill="auto"/>
          </w:tcPr>
          <w:p w:rsidR="000918E0" w:rsidRPr="00A314DC" w:rsidRDefault="000918E0" w:rsidP="00831DC4">
            <w:pPr>
              <w:pStyle w:val="ONUME"/>
              <w:rPr>
                <w:b/>
                <w:sz w:val="20"/>
              </w:rPr>
            </w:pPr>
            <w:r w:rsidRPr="00A314DC">
              <w:rPr>
                <w:b/>
                <w:sz w:val="20"/>
              </w:rPr>
              <w:t>Strategy A</w:t>
            </w:r>
          </w:p>
        </w:tc>
        <w:tc>
          <w:tcPr>
            <w:tcW w:w="2126" w:type="dxa"/>
            <w:tcBorders>
              <w:top w:val="nil"/>
              <w:left w:val="nil"/>
              <w:bottom w:val="nil"/>
              <w:right w:val="nil"/>
            </w:tcBorders>
            <w:shd w:val="pct10" w:color="auto" w:fill="auto"/>
          </w:tcPr>
          <w:p w:rsidR="000918E0" w:rsidRPr="00A314DC" w:rsidRDefault="000918E0" w:rsidP="00831DC4">
            <w:pPr>
              <w:pStyle w:val="ONUME"/>
              <w:rPr>
                <w:b/>
                <w:sz w:val="20"/>
              </w:rPr>
            </w:pPr>
            <w:r w:rsidRPr="00A314DC">
              <w:rPr>
                <w:b/>
                <w:sz w:val="20"/>
              </w:rPr>
              <w:t>Strategy B</w:t>
            </w:r>
          </w:p>
        </w:tc>
        <w:tc>
          <w:tcPr>
            <w:tcW w:w="2268" w:type="dxa"/>
            <w:tcBorders>
              <w:top w:val="nil"/>
              <w:left w:val="nil"/>
              <w:bottom w:val="nil"/>
              <w:right w:val="nil"/>
            </w:tcBorders>
            <w:shd w:val="pct10" w:color="auto" w:fill="auto"/>
          </w:tcPr>
          <w:p w:rsidR="000918E0" w:rsidRPr="00A314DC" w:rsidRDefault="000918E0" w:rsidP="00831DC4">
            <w:pPr>
              <w:pStyle w:val="ONUME"/>
              <w:rPr>
                <w:b/>
                <w:sz w:val="20"/>
              </w:rPr>
            </w:pPr>
            <w:r w:rsidRPr="00A314DC">
              <w:rPr>
                <w:b/>
                <w:sz w:val="20"/>
              </w:rPr>
              <w:t>Strategy C</w:t>
            </w:r>
          </w:p>
        </w:tc>
      </w:tr>
      <w:tr w:rsidR="000918E0" w:rsidRPr="00C43976" w:rsidTr="002D5273">
        <w:trPr>
          <w:trHeight w:val="172"/>
          <w:jc w:val="center"/>
        </w:trPr>
        <w:tc>
          <w:tcPr>
            <w:tcW w:w="6487" w:type="dxa"/>
            <w:tcBorders>
              <w:top w:val="nil"/>
              <w:left w:val="nil"/>
              <w:bottom w:val="nil"/>
              <w:right w:val="nil"/>
            </w:tcBorders>
            <w:shd w:val="clear" w:color="auto" w:fill="auto"/>
          </w:tcPr>
          <w:p w:rsidR="000918E0" w:rsidRPr="00A314DC" w:rsidRDefault="000918E0">
            <w:pPr>
              <w:pStyle w:val="ONUME"/>
              <w:rPr>
                <w:sz w:val="20"/>
              </w:rPr>
            </w:pPr>
            <w:r w:rsidRPr="00C43976">
              <w:rPr>
                <w:sz w:val="20"/>
              </w:rPr>
              <w:t>Best calendar year</w:t>
            </w:r>
          </w:p>
        </w:tc>
        <w:tc>
          <w:tcPr>
            <w:tcW w:w="1985" w:type="dxa"/>
            <w:tcBorders>
              <w:top w:val="nil"/>
              <w:left w:val="nil"/>
              <w:bottom w:val="nil"/>
              <w:right w:val="nil"/>
            </w:tcBorders>
            <w:shd w:val="clear" w:color="auto" w:fill="auto"/>
          </w:tcPr>
          <w:p w:rsidR="000918E0" w:rsidRPr="00A314DC" w:rsidRDefault="00DC4916" w:rsidP="00A314DC">
            <w:pPr>
              <w:pStyle w:val="ONUME"/>
              <w:jc w:val="center"/>
              <w:rPr>
                <w:sz w:val="20"/>
              </w:rPr>
            </w:pPr>
            <w:r>
              <w:rPr>
                <w:sz w:val="20"/>
              </w:rPr>
              <w:t>3.4%</w:t>
            </w:r>
          </w:p>
        </w:tc>
        <w:tc>
          <w:tcPr>
            <w:tcW w:w="2126" w:type="dxa"/>
            <w:tcBorders>
              <w:top w:val="nil"/>
              <w:left w:val="nil"/>
              <w:bottom w:val="nil"/>
              <w:right w:val="nil"/>
            </w:tcBorders>
            <w:shd w:val="clear" w:color="auto" w:fill="auto"/>
          </w:tcPr>
          <w:p w:rsidR="000918E0" w:rsidRPr="00A314DC" w:rsidRDefault="003B3FB5" w:rsidP="00A314DC">
            <w:pPr>
              <w:pStyle w:val="ONUME"/>
              <w:jc w:val="center"/>
              <w:rPr>
                <w:sz w:val="20"/>
              </w:rPr>
            </w:pPr>
            <w:r>
              <w:rPr>
                <w:sz w:val="20"/>
              </w:rPr>
              <w:t>5.7%</w:t>
            </w:r>
          </w:p>
        </w:tc>
        <w:tc>
          <w:tcPr>
            <w:tcW w:w="2268" w:type="dxa"/>
            <w:tcBorders>
              <w:top w:val="nil"/>
              <w:left w:val="nil"/>
              <w:bottom w:val="nil"/>
              <w:right w:val="nil"/>
            </w:tcBorders>
            <w:shd w:val="clear" w:color="auto" w:fill="auto"/>
          </w:tcPr>
          <w:p w:rsidR="000918E0" w:rsidRPr="00A314DC" w:rsidRDefault="003B3FB5" w:rsidP="00A314DC">
            <w:pPr>
              <w:pStyle w:val="ONUME"/>
              <w:jc w:val="center"/>
              <w:rPr>
                <w:sz w:val="20"/>
              </w:rPr>
            </w:pPr>
            <w:r>
              <w:rPr>
                <w:sz w:val="20"/>
              </w:rPr>
              <w:t>15.0%</w:t>
            </w:r>
          </w:p>
        </w:tc>
      </w:tr>
      <w:tr w:rsidR="000918E0" w:rsidRPr="00C43976" w:rsidTr="002D5273">
        <w:trPr>
          <w:jc w:val="center"/>
        </w:trPr>
        <w:tc>
          <w:tcPr>
            <w:tcW w:w="6487" w:type="dxa"/>
            <w:tcBorders>
              <w:top w:val="nil"/>
              <w:left w:val="nil"/>
              <w:bottom w:val="nil"/>
              <w:right w:val="nil"/>
            </w:tcBorders>
            <w:shd w:val="clear" w:color="auto" w:fill="auto"/>
          </w:tcPr>
          <w:p w:rsidR="000918E0" w:rsidRPr="00A314DC" w:rsidRDefault="000918E0">
            <w:pPr>
              <w:pStyle w:val="ONUME"/>
              <w:rPr>
                <w:sz w:val="20"/>
              </w:rPr>
            </w:pPr>
            <w:r>
              <w:rPr>
                <w:sz w:val="20"/>
              </w:rPr>
              <w:t>Average</w:t>
            </w:r>
          </w:p>
        </w:tc>
        <w:tc>
          <w:tcPr>
            <w:tcW w:w="1985" w:type="dxa"/>
            <w:tcBorders>
              <w:top w:val="nil"/>
              <w:left w:val="nil"/>
              <w:bottom w:val="nil"/>
              <w:right w:val="nil"/>
            </w:tcBorders>
            <w:shd w:val="clear" w:color="auto" w:fill="auto"/>
          </w:tcPr>
          <w:p w:rsidR="000918E0" w:rsidRPr="00A314DC" w:rsidRDefault="00DC4916" w:rsidP="00A314DC">
            <w:pPr>
              <w:pStyle w:val="ONUME"/>
              <w:jc w:val="center"/>
              <w:rPr>
                <w:sz w:val="20"/>
              </w:rPr>
            </w:pPr>
            <w:r>
              <w:rPr>
                <w:sz w:val="20"/>
              </w:rPr>
              <w:t>1.9%</w:t>
            </w:r>
          </w:p>
        </w:tc>
        <w:tc>
          <w:tcPr>
            <w:tcW w:w="2126" w:type="dxa"/>
            <w:tcBorders>
              <w:top w:val="nil"/>
              <w:left w:val="nil"/>
              <w:bottom w:val="nil"/>
              <w:right w:val="nil"/>
            </w:tcBorders>
            <w:shd w:val="clear" w:color="auto" w:fill="auto"/>
          </w:tcPr>
          <w:p w:rsidR="000918E0" w:rsidRPr="00A314DC" w:rsidRDefault="003B3FB5" w:rsidP="00A314DC">
            <w:pPr>
              <w:pStyle w:val="ONUME"/>
              <w:jc w:val="center"/>
              <w:rPr>
                <w:sz w:val="20"/>
              </w:rPr>
            </w:pPr>
            <w:r>
              <w:rPr>
                <w:sz w:val="20"/>
              </w:rPr>
              <w:t>2.0%</w:t>
            </w:r>
          </w:p>
        </w:tc>
        <w:tc>
          <w:tcPr>
            <w:tcW w:w="2268" w:type="dxa"/>
            <w:tcBorders>
              <w:top w:val="nil"/>
              <w:left w:val="nil"/>
              <w:bottom w:val="nil"/>
              <w:right w:val="nil"/>
            </w:tcBorders>
            <w:shd w:val="clear" w:color="auto" w:fill="auto"/>
          </w:tcPr>
          <w:p w:rsidR="000918E0" w:rsidRPr="00A314DC" w:rsidRDefault="003B3FB5" w:rsidP="00A314DC">
            <w:pPr>
              <w:pStyle w:val="ONUME"/>
              <w:jc w:val="center"/>
              <w:rPr>
                <w:sz w:val="20"/>
              </w:rPr>
            </w:pPr>
            <w:r>
              <w:rPr>
                <w:sz w:val="20"/>
              </w:rPr>
              <w:t>4.1%</w:t>
            </w:r>
          </w:p>
        </w:tc>
      </w:tr>
      <w:tr w:rsidR="000918E0" w:rsidRPr="00C43976" w:rsidTr="002D5273">
        <w:trPr>
          <w:jc w:val="center"/>
        </w:trPr>
        <w:tc>
          <w:tcPr>
            <w:tcW w:w="6487" w:type="dxa"/>
            <w:tcBorders>
              <w:top w:val="nil"/>
              <w:left w:val="nil"/>
              <w:bottom w:val="nil"/>
              <w:right w:val="nil"/>
            </w:tcBorders>
            <w:shd w:val="clear" w:color="auto" w:fill="auto"/>
          </w:tcPr>
          <w:p w:rsidR="000918E0" w:rsidRPr="00A314DC" w:rsidRDefault="000918E0">
            <w:pPr>
              <w:pStyle w:val="ONUME"/>
              <w:rPr>
                <w:sz w:val="20"/>
              </w:rPr>
            </w:pPr>
            <w:r>
              <w:rPr>
                <w:sz w:val="20"/>
              </w:rPr>
              <w:t>Worst calendar year</w:t>
            </w:r>
          </w:p>
        </w:tc>
        <w:tc>
          <w:tcPr>
            <w:tcW w:w="1985" w:type="dxa"/>
            <w:tcBorders>
              <w:top w:val="nil"/>
              <w:left w:val="nil"/>
              <w:bottom w:val="nil"/>
              <w:right w:val="nil"/>
            </w:tcBorders>
            <w:shd w:val="clear" w:color="auto" w:fill="auto"/>
          </w:tcPr>
          <w:p w:rsidR="000918E0" w:rsidRPr="00A314DC" w:rsidRDefault="00DC4916" w:rsidP="00A314DC">
            <w:pPr>
              <w:pStyle w:val="ONUME"/>
              <w:jc w:val="center"/>
              <w:rPr>
                <w:sz w:val="20"/>
              </w:rPr>
            </w:pPr>
            <w:r>
              <w:rPr>
                <w:sz w:val="20"/>
              </w:rPr>
              <w:t>0.1%</w:t>
            </w:r>
          </w:p>
        </w:tc>
        <w:tc>
          <w:tcPr>
            <w:tcW w:w="2126" w:type="dxa"/>
            <w:tcBorders>
              <w:top w:val="nil"/>
              <w:left w:val="nil"/>
              <w:bottom w:val="nil"/>
              <w:right w:val="nil"/>
            </w:tcBorders>
            <w:shd w:val="clear" w:color="auto" w:fill="auto"/>
          </w:tcPr>
          <w:p w:rsidR="000918E0" w:rsidRPr="00A314DC" w:rsidRDefault="003B3FB5" w:rsidP="00A314DC">
            <w:pPr>
              <w:pStyle w:val="ONUME"/>
              <w:jc w:val="center"/>
              <w:rPr>
                <w:sz w:val="20"/>
              </w:rPr>
            </w:pPr>
            <w:r>
              <w:rPr>
                <w:sz w:val="20"/>
              </w:rPr>
              <w:t>-0.1%</w:t>
            </w:r>
          </w:p>
        </w:tc>
        <w:tc>
          <w:tcPr>
            <w:tcW w:w="2268" w:type="dxa"/>
            <w:tcBorders>
              <w:top w:val="nil"/>
              <w:left w:val="nil"/>
              <w:bottom w:val="nil"/>
              <w:right w:val="nil"/>
            </w:tcBorders>
            <w:shd w:val="clear" w:color="auto" w:fill="auto"/>
          </w:tcPr>
          <w:p w:rsidR="000918E0" w:rsidRPr="00A314DC" w:rsidRDefault="003B3FB5" w:rsidP="00A314DC">
            <w:pPr>
              <w:pStyle w:val="ONUME"/>
              <w:jc w:val="center"/>
              <w:rPr>
                <w:sz w:val="20"/>
              </w:rPr>
            </w:pPr>
            <w:r>
              <w:rPr>
                <w:sz w:val="20"/>
              </w:rPr>
              <w:t>-13.1%</w:t>
            </w:r>
          </w:p>
        </w:tc>
      </w:tr>
      <w:tr w:rsidR="000918E0" w:rsidRPr="00C43976" w:rsidTr="002D5273">
        <w:trPr>
          <w:trHeight w:val="376"/>
          <w:jc w:val="center"/>
        </w:trPr>
        <w:tc>
          <w:tcPr>
            <w:tcW w:w="6487" w:type="dxa"/>
            <w:tcBorders>
              <w:top w:val="nil"/>
              <w:left w:val="nil"/>
              <w:bottom w:val="nil"/>
              <w:right w:val="nil"/>
            </w:tcBorders>
            <w:shd w:val="clear" w:color="auto" w:fill="auto"/>
          </w:tcPr>
          <w:p w:rsidR="000918E0" w:rsidRPr="00A314DC" w:rsidRDefault="000918E0" w:rsidP="001F6705">
            <w:pPr>
              <w:pStyle w:val="ONUME"/>
              <w:rPr>
                <w:sz w:val="20"/>
              </w:rPr>
            </w:pPr>
            <w:r>
              <w:rPr>
                <w:sz w:val="20"/>
              </w:rPr>
              <w:t>Best-rolling 12-month period</w:t>
            </w:r>
          </w:p>
        </w:tc>
        <w:tc>
          <w:tcPr>
            <w:tcW w:w="1985" w:type="dxa"/>
            <w:tcBorders>
              <w:top w:val="nil"/>
              <w:left w:val="nil"/>
              <w:bottom w:val="nil"/>
              <w:right w:val="nil"/>
            </w:tcBorders>
            <w:shd w:val="clear" w:color="auto" w:fill="auto"/>
          </w:tcPr>
          <w:p w:rsidR="000918E0" w:rsidRPr="00A314DC" w:rsidRDefault="00DC4916" w:rsidP="00A314DC">
            <w:pPr>
              <w:pStyle w:val="ONUME"/>
              <w:jc w:val="center"/>
              <w:rPr>
                <w:sz w:val="20"/>
              </w:rPr>
            </w:pPr>
            <w:r>
              <w:rPr>
                <w:sz w:val="20"/>
              </w:rPr>
              <w:t>5.6%</w:t>
            </w:r>
          </w:p>
        </w:tc>
        <w:tc>
          <w:tcPr>
            <w:tcW w:w="2126" w:type="dxa"/>
            <w:tcBorders>
              <w:top w:val="nil"/>
              <w:left w:val="nil"/>
              <w:bottom w:val="nil"/>
              <w:right w:val="nil"/>
            </w:tcBorders>
            <w:shd w:val="clear" w:color="auto" w:fill="auto"/>
          </w:tcPr>
          <w:p w:rsidR="000918E0" w:rsidRPr="00A314DC" w:rsidRDefault="003B3FB5" w:rsidP="00A314DC">
            <w:pPr>
              <w:pStyle w:val="ONUME"/>
              <w:jc w:val="center"/>
              <w:rPr>
                <w:sz w:val="20"/>
              </w:rPr>
            </w:pPr>
            <w:r>
              <w:rPr>
                <w:sz w:val="20"/>
              </w:rPr>
              <w:t>8.1%</w:t>
            </w:r>
          </w:p>
        </w:tc>
        <w:tc>
          <w:tcPr>
            <w:tcW w:w="2268" w:type="dxa"/>
            <w:tcBorders>
              <w:top w:val="nil"/>
              <w:left w:val="nil"/>
              <w:bottom w:val="nil"/>
              <w:right w:val="nil"/>
            </w:tcBorders>
            <w:shd w:val="clear" w:color="auto" w:fill="auto"/>
          </w:tcPr>
          <w:p w:rsidR="000918E0" w:rsidRPr="00A314DC" w:rsidRDefault="003B3FB5" w:rsidP="00A314DC">
            <w:pPr>
              <w:pStyle w:val="ONUME"/>
              <w:jc w:val="center"/>
              <w:rPr>
                <w:sz w:val="20"/>
              </w:rPr>
            </w:pPr>
            <w:r>
              <w:rPr>
                <w:sz w:val="20"/>
              </w:rPr>
              <w:t>19.9%</w:t>
            </w:r>
          </w:p>
        </w:tc>
      </w:tr>
      <w:tr w:rsidR="000918E0" w:rsidRPr="00C43976" w:rsidTr="002D5273">
        <w:trPr>
          <w:trHeight w:val="339"/>
          <w:jc w:val="center"/>
        </w:trPr>
        <w:tc>
          <w:tcPr>
            <w:tcW w:w="6487" w:type="dxa"/>
            <w:tcBorders>
              <w:top w:val="nil"/>
              <w:left w:val="nil"/>
              <w:bottom w:val="nil"/>
              <w:right w:val="nil"/>
            </w:tcBorders>
            <w:shd w:val="clear" w:color="auto" w:fill="auto"/>
          </w:tcPr>
          <w:p w:rsidR="000918E0" w:rsidRPr="00A314DC" w:rsidRDefault="000918E0">
            <w:pPr>
              <w:pStyle w:val="ONUME"/>
              <w:rPr>
                <w:sz w:val="20"/>
              </w:rPr>
            </w:pPr>
            <w:r w:rsidRPr="004465F3">
              <w:rPr>
                <w:sz w:val="20"/>
              </w:rPr>
              <w:t>Worst-rolling 12-month period</w:t>
            </w:r>
          </w:p>
        </w:tc>
        <w:tc>
          <w:tcPr>
            <w:tcW w:w="1985" w:type="dxa"/>
            <w:tcBorders>
              <w:top w:val="nil"/>
              <w:left w:val="nil"/>
              <w:bottom w:val="nil"/>
              <w:right w:val="nil"/>
            </w:tcBorders>
            <w:shd w:val="clear" w:color="auto" w:fill="auto"/>
          </w:tcPr>
          <w:p w:rsidR="000918E0" w:rsidRPr="00A314DC" w:rsidRDefault="003B3FB5" w:rsidP="00A314DC">
            <w:pPr>
              <w:pStyle w:val="ONUME"/>
              <w:jc w:val="center"/>
              <w:rPr>
                <w:sz w:val="20"/>
              </w:rPr>
            </w:pPr>
            <w:r>
              <w:rPr>
                <w:sz w:val="20"/>
              </w:rPr>
              <w:t>-1.0</w:t>
            </w:r>
            <w:r w:rsidR="00DC4916" w:rsidRPr="00A314DC">
              <w:rPr>
                <w:sz w:val="20"/>
              </w:rPr>
              <w:t>%</w:t>
            </w:r>
          </w:p>
        </w:tc>
        <w:tc>
          <w:tcPr>
            <w:tcW w:w="2126" w:type="dxa"/>
            <w:tcBorders>
              <w:top w:val="nil"/>
              <w:left w:val="nil"/>
              <w:bottom w:val="nil"/>
              <w:right w:val="nil"/>
            </w:tcBorders>
            <w:shd w:val="clear" w:color="auto" w:fill="auto"/>
          </w:tcPr>
          <w:p w:rsidR="000918E0" w:rsidRPr="00A314DC" w:rsidRDefault="003B3FB5" w:rsidP="00A314DC">
            <w:pPr>
              <w:pStyle w:val="ONUME"/>
              <w:jc w:val="center"/>
              <w:rPr>
                <w:sz w:val="20"/>
              </w:rPr>
            </w:pPr>
            <w:r w:rsidRPr="00A314DC">
              <w:rPr>
                <w:sz w:val="20"/>
              </w:rPr>
              <w:t>-1.6%</w:t>
            </w:r>
          </w:p>
        </w:tc>
        <w:tc>
          <w:tcPr>
            <w:tcW w:w="2268" w:type="dxa"/>
            <w:tcBorders>
              <w:top w:val="nil"/>
              <w:left w:val="nil"/>
              <w:bottom w:val="nil"/>
              <w:right w:val="nil"/>
            </w:tcBorders>
            <w:shd w:val="clear" w:color="auto" w:fill="auto"/>
          </w:tcPr>
          <w:p w:rsidR="000918E0" w:rsidRPr="00A314DC" w:rsidRDefault="003B3FB5" w:rsidP="00A314DC">
            <w:pPr>
              <w:pStyle w:val="ONUME"/>
              <w:jc w:val="center"/>
              <w:rPr>
                <w:sz w:val="20"/>
              </w:rPr>
            </w:pPr>
            <w:r w:rsidRPr="00A314DC">
              <w:rPr>
                <w:sz w:val="20"/>
              </w:rPr>
              <w:t>-14.3%</w:t>
            </w:r>
          </w:p>
        </w:tc>
      </w:tr>
      <w:tr w:rsidR="000918E0" w:rsidRPr="00C43976" w:rsidTr="002D5273">
        <w:trPr>
          <w:trHeight w:val="175"/>
          <w:jc w:val="center"/>
        </w:trPr>
        <w:tc>
          <w:tcPr>
            <w:tcW w:w="6487" w:type="dxa"/>
            <w:tcBorders>
              <w:top w:val="nil"/>
              <w:left w:val="nil"/>
              <w:bottom w:val="nil"/>
              <w:right w:val="nil"/>
            </w:tcBorders>
            <w:shd w:val="clear" w:color="auto" w:fill="auto"/>
          </w:tcPr>
          <w:p w:rsidR="000918E0" w:rsidRPr="00A314DC" w:rsidRDefault="000918E0" w:rsidP="00A314DC">
            <w:pPr>
              <w:pStyle w:val="ONUME"/>
              <w:ind w:firstLine="426"/>
              <w:jc w:val="center"/>
              <w:rPr>
                <w:b/>
                <w:sz w:val="20"/>
              </w:rPr>
            </w:pPr>
            <w:r>
              <w:rPr>
                <w:b/>
                <w:sz w:val="20"/>
              </w:rPr>
              <w:t>Historical scenarios</w:t>
            </w:r>
          </w:p>
        </w:tc>
        <w:tc>
          <w:tcPr>
            <w:tcW w:w="1985" w:type="dxa"/>
            <w:tcBorders>
              <w:top w:val="nil"/>
              <w:left w:val="nil"/>
              <w:bottom w:val="nil"/>
              <w:right w:val="nil"/>
            </w:tcBorders>
            <w:shd w:val="clear" w:color="auto" w:fill="auto"/>
          </w:tcPr>
          <w:p w:rsidR="000918E0" w:rsidRPr="00A314DC" w:rsidRDefault="000918E0" w:rsidP="00A314DC">
            <w:pPr>
              <w:pStyle w:val="ONUME"/>
              <w:jc w:val="center"/>
              <w:rPr>
                <w:b/>
                <w:sz w:val="20"/>
              </w:rPr>
            </w:pPr>
          </w:p>
        </w:tc>
        <w:tc>
          <w:tcPr>
            <w:tcW w:w="2126" w:type="dxa"/>
            <w:tcBorders>
              <w:top w:val="nil"/>
              <w:left w:val="nil"/>
              <w:bottom w:val="nil"/>
              <w:right w:val="nil"/>
            </w:tcBorders>
            <w:shd w:val="clear" w:color="auto" w:fill="auto"/>
          </w:tcPr>
          <w:p w:rsidR="000918E0" w:rsidRPr="00A314DC" w:rsidRDefault="000918E0" w:rsidP="00A314DC">
            <w:pPr>
              <w:pStyle w:val="ONUME"/>
              <w:jc w:val="center"/>
              <w:rPr>
                <w:b/>
                <w:sz w:val="20"/>
              </w:rPr>
            </w:pPr>
          </w:p>
        </w:tc>
        <w:tc>
          <w:tcPr>
            <w:tcW w:w="2268" w:type="dxa"/>
            <w:tcBorders>
              <w:top w:val="nil"/>
              <w:left w:val="nil"/>
              <w:bottom w:val="nil"/>
              <w:right w:val="nil"/>
            </w:tcBorders>
            <w:shd w:val="clear" w:color="auto" w:fill="auto"/>
          </w:tcPr>
          <w:p w:rsidR="000918E0" w:rsidRPr="00A314DC" w:rsidRDefault="000918E0" w:rsidP="00A314DC">
            <w:pPr>
              <w:pStyle w:val="ONUME"/>
              <w:jc w:val="center"/>
              <w:rPr>
                <w:b/>
                <w:sz w:val="20"/>
              </w:rPr>
            </w:pPr>
          </w:p>
        </w:tc>
      </w:tr>
      <w:tr w:rsidR="000918E0" w:rsidRPr="00C43976" w:rsidTr="002D5273">
        <w:trPr>
          <w:trHeight w:val="294"/>
          <w:jc w:val="center"/>
        </w:trPr>
        <w:tc>
          <w:tcPr>
            <w:tcW w:w="6487" w:type="dxa"/>
            <w:tcBorders>
              <w:top w:val="nil"/>
              <w:left w:val="nil"/>
              <w:bottom w:val="nil"/>
              <w:right w:val="nil"/>
            </w:tcBorders>
            <w:shd w:val="clear" w:color="auto" w:fill="auto"/>
          </w:tcPr>
          <w:p w:rsidR="000918E0" w:rsidRPr="00A314DC" w:rsidRDefault="000918E0">
            <w:pPr>
              <w:pStyle w:val="ONUME"/>
              <w:rPr>
                <w:sz w:val="20"/>
              </w:rPr>
            </w:pPr>
            <w:r>
              <w:rPr>
                <w:sz w:val="20"/>
              </w:rPr>
              <w:t>Financial crisis (June 2007 – Feb. 2009)</w:t>
            </w:r>
          </w:p>
        </w:tc>
        <w:tc>
          <w:tcPr>
            <w:tcW w:w="1985" w:type="dxa"/>
            <w:tcBorders>
              <w:top w:val="nil"/>
              <w:left w:val="nil"/>
              <w:bottom w:val="nil"/>
              <w:right w:val="nil"/>
            </w:tcBorders>
            <w:shd w:val="clear" w:color="auto" w:fill="auto"/>
          </w:tcPr>
          <w:p w:rsidR="000918E0" w:rsidRPr="00A314DC" w:rsidRDefault="003B3FB5" w:rsidP="00A314DC">
            <w:pPr>
              <w:pStyle w:val="ONUME"/>
              <w:jc w:val="center"/>
              <w:rPr>
                <w:sz w:val="20"/>
              </w:rPr>
            </w:pPr>
            <w:r>
              <w:rPr>
                <w:sz w:val="20"/>
              </w:rPr>
              <w:t>5.3%</w:t>
            </w:r>
          </w:p>
        </w:tc>
        <w:tc>
          <w:tcPr>
            <w:tcW w:w="2126" w:type="dxa"/>
            <w:tcBorders>
              <w:top w:val="nil"/>
              <w:left w:val="nil"/>
              <w:bottom w:val="nil"/>
              <w:right w:val="nil"/>
            </w:tcBorders>
            <w:shd w:val="clear" w:color="auto" w:fill="auto"/>
          </w:tcPr>
          <w:p w:rsidR="000918E0" w:rsidRPr="00A314DC" w:rsidRDefault="003B3FB5" w:rsidP="00A314DC">
            <w:pPr>
              <w:pStyle w:val="ONUME"/>
              <w:jc w:val="center"/>
              <w:rPr>
                <w:sz w:val="20"/>
              </w:rPr>
            </w:pPr>
            <w:r>
              <w:rPr>
                <w:sz w:val="20"/>
              </w:rPr>
              <w:t>1.8%</w:t>
            </w:r>
          </w:p>
        </w:tc>
        <w:tc>
          <w:tcPr>
            <w:tcW w:w="2268" w:type="dxa"/>
            <w:tcBorders>
              <w:top w:val="nil"/>
              <w:left w:val="nil"/>
              <w:bottom w:val="nil"/>
              <w:right w:val="nil"/>
            </w:tcBorders>
            <w:shd w:val="clear" w:color="auto" w:fill="auto"/>
          </w:tcPr>
          <w:p w:rsidR="000918E0" w:rsidRPr="00A314DC" w:rsidRDefault="003B3FB5" w:rsidP="00A314DC">
            <w:pPr>
              <w:pStyle w:val="ONUME"/>
              <w:jc w:val="center"/>
              <w:rPr>
                <w:sz w:val="20"/>
              </w:rPr>
            </w:pPr>
            <w:r>
              <w:rPr>
                <w:sz w:val="20"/>
              </w:rPr>
              <w:t>-15.2%</w:t>
            </w:r>
          </w:p>
        </w:tc>
      </w:tr>
      <w:tr w:rsidR="000918E0" w:rsidRPr="00C43976" w:rsidTr="00806CCC">
        <w:trPr>
          <w:trHeight w:val="131"/>
          <w:jc w:val="center"/>
        </w:trPr>
        <w:tc>
          <w:tcPr>
            <w:tcW w:w="6487" w:type="dxa"/>
            <w:tcBorders>
              <w:top w:val="nil"/>
              <w:left w:val="nil"/>
              <w:bottom w:val="nil"/>
              <w:right w:val="nil"/>
            </w:tcBorders>
            <w:shd w:val="clear" w:color="auto" w:fill="auto"/>
          </w:tcPr>
          <w:p w:rsidR="000918E0" w:rsidRPr="00A314DC" w:rsidRDefault="003B3FB5" w:rsidP="00307FF0">
            <w:pPr>
              <w:pStyle w:val="ONUME"/>
              <w:rPr>
                <w:sz w:val="20"/>
              </w:rPr>
            </w:pPr>
            <w:r w:rsidRPr="00A314DC">
              <w:rPr>
                <w:sz w:val="20"/>
              </w:rPr>
              <w:t>Bond-</w:t>
            </w:r>
            <w:proofErr w:type="spellStart"/>
            <w:r w:rsidRPr="00A314DC">
              <w:rPr>
                <w:sz w:val="20"/>
              </w:rPr>
              <w:t>Rallye</w:t>
            </w:r>
            <w:proofErr w:type="spellEnd"/>
            <w:r w:rsidRPr="00A314DC">
              <w:rPr>
                <w:sz w:val="20"/>
              </w:rPr>
              <w:t xml:space="preserve"> (July 2008 – </w:t>
            </w:r>
            <w:r w:rsidR="00307FF0">
              <w:rPr>
                <w:sz w:val="20"/>
              </w:rPr>
              <w:t>Aug. 2010</w:t>
            </w:r>
            <w:r w:rsidRPr="00A314DC">
              <w:rPr>
                <w:sz w:val="20"/>
              </w:rPr>
              <w:t>)</w:t>
            </w:r>
          </w:p>
        </w:tc>
        <w:tc>
          <w:tcPr>
            <w:tcW w:w="1985" w:type="dxa"/>
            <w:tcBorders>
              <w:top w:val="nil"/>
              <w:left w:val="nil"/>
              <w:bottom w:val="nil"/>
              <w:right w:val="nil"/>
            </w:tcBorders>
            <w:shd w:val="clear" w:color="auto" w:fill="auto"/>
          </w:tcPr>
          <w:p w:rsidR="000918E0" w:rsidRPr="00A314DC" w:rsidRDefault="003B3FB5">
            <w:pPr>
              <w:pStyle w:val="ONUME"/>
              <w:jc w:val="center"/>
              <w:rPr>
                <w:sz w:val="20"/>
              </w:rPr>
            </w:pPr>
            <w:r w:rsidRPr="00A314DC">
              <w:rPr>
                <w:sz w:val="20"/>
              </w:rPr>
              <w:t>9.1%</w:t>
            </w:r>
          </w:p>
        </w:tc>
        <w:tc>
          <w:tcPr>
            <w:tcW w:w="2126" w:type="dxa"/>
            <w:tcBorders>
              <w:top w:val="nil"/>
              <w:left w:val="nil"/>
              <w:bottom w:val="nil"/>
              <w:right w:val="nil"/>
            </w:tcBorders>
            <w:shd w:val="clear" w:color="auto" w:fill="auto"/>
          </w:tcPr>
          <w:p w:rsidR="000918E0" w:rsidRPr="00A314DC" w:rsidRDefault="003B3FB5">
            <w:pPr>
              <w:pStyle w:val="ONUME"/>
              <w:jc w:val="center"/>
              <w:rPr>
                <w:sz w:val="20"/>
              </w:rPr>
            </w:pPr>
            <w:r w:rsidRPr="00A314DC">
              <w:rPr>
                <w:sz w:val="20"/>
              </w:rPr>
              <w:t>9.7%</w:t>
            </w:r>
          </w:p>
        </w:tc>
        <w:tc>
          <w:tcPr>
            <w:tcW w:w="2268" w:type="dxa"/>
            <w:tcBorders>
              <w:top w:val="nil"/>
              <w:left w:val="nil"/>
              <w:bottom w:val="nil"/>
              <w:right w:val="nil"/>
            </w:tcBorders>
            <w:shd w:val="clear" w:color="auto" w:fill="auto"/>
          </w:tcPr>
          <w:p w:rsidR="000918E0" w:rsidRPr="00A314DC" w:rsidRDefault="003B3FB5">
            <w:pPr>
              <w:pStyle w:val="ONUME"/>
              <w:jc w:val="center"/>
              <w:rPr>
                <w:sz w:val="20"/>
              </w:rPr>
            </w:pPr>
            <w:r w:rsidRPr="00A314DC">
              <w:rPr>
                <w:sz w:val="20"/>
              </w:rPr>
              <w:t>6.7%</w:t>
            </w:r>
          </w:p>
        </w:tc>
      </w:tr>
      <w:tr w:rsidR="000918E0" w:rsidRPr="00C43976" w:rsidTr="00806CCC">
        <w:trPr>
          <w:trHeight w:val="237"/>
          <w:jc w:val="center"/>
        </w:trPr>
        <w:tc>
          <w:tcPr>
            <w:tcW w:w="6487" w:type="dxa"/>
            <w:tcBorders>
              <w:top w:val="nil"/>
              <w:left w:val="nil"/>
              <w:bottom w:val="single" w:sz="4" w:space="0" w:color="auto"/>
              <w:right w:val="nil"/>
            </w:tcBorders>
            <w:shd w:val="clear" w:color="auto" w:fill="auto"/>
          </w:tcPr>
          <w:p w:rsidR="000918E0" w:rsidRPr="00A314DC" w:rsidRDefault="003B3FB5">
            <w:pPr>
              <w:pStyle w:val="ONUME"/>
              <w:rPr>
                <w:sz w:val="20"/>
              </w:rPr>
            </w:pPr>
            <w:r w:rsidRPr="00A314DC">
              <w:rPr>
                <w:sz w:val="20"/>
              </w:rPr>
              <w:t>EUR crisis (April 2011 -  Sept. 2012)</w:t>
            </w:r>
          </w:p>
        </w:tc>
        <w:tc>
          <w:tcPr>
            <w:tcW w:w="1985" w:type="dxa"/>
            <w:tcBorders>
              <w:top w:val="nil"/>
              <w:left w:val="nil"/>
              <w:bottom w:val="single" w:sz="4" w:space="0" w:color="auto"/>
              <w:right w:val="nil"/>
            </w:tcBorders>
            <w:shd w:val="clear" w:color="auto" w:fill="auto"/>
          </w:tcPr>
          <w:p w:rsidR="000918E0" w:rsidRPr="00A314DC" w:rsidRDefault="003B3FB5">
            <w:pPr>
              <w:pStyle w:val="ONUME"/>
              <w:jc w:val="center"/>
              <w:rPr>
                <w:sz w:val="20"/>
              </w:rPr>
            </w:pPr>
            <w:r w:rsidRPr="00A314DC">
              <w:rPr>
                <w:sz w:val="20"/>
              </w:rPr>
              <w:t>4.1%</w:t>
            </w:r>
          </w:p>
        </w:tc>
        <w:tc>
          <w:tcPr>
            <w:tcW w:w="2126" w:type="dxa"/>
            <w:tcBorders>
              <w:top w:val="nil"/>
              <w:left w:val="nil"/>
              <w:bottom w:val="single" w:sz="4" w:space="0" w:color="auto"/>
              <w:right w:val="nil"/>
            </w:tcBorders>
            <w:shd w:val="clear" w:color="auto" w:fill="auto"/>
          </w:tcPr>
          <w:p w:rsidR="000918E0" w:rsidRPr="00A314DC" w:rsidRDefault="003B3FB5">
            <w:pPr>
              <w:pStyle w:val="ONUME"/>
              <w:jc w:val="center"/>
              <w:rPr>
                <w:sz w:val="20"/>
              </w:rPr>
            </w:pPr>
            <w:r w:rsidRPr="00A314DC">
              <w:rPr>
                <w:sz w:val="20"/>
              </w:rPr>
              <w:t>5.1%</w:t>
            </w:r>
          </w:p>
        </w:tc>
        <w:tc>
          <w:tcPr>
            <w:tcW w:w="2268" w:type="dxa"/>
            <w:tcBorders>
              <w:top w:val="nil"/>
              <w:left w:val="nil"/>
              <w:bottom w:val="single" w:sz="4" w:space="0" w:color="auto"/>
              <w:right w:val="nil"/>
            </w:tcBorders>
            <w:shd w:val="clear" w:color="auto" w:fill="auto"/>
          </w:tcPr>
          <w:p w:rsidR="000918E0" w:rsidRPr="00A314DC" w:rsidRDefault="003B3FB5">
            <w:pPr>
              <w:pStyle w:val="ONUME"/>
              <w:jc w:val="center"/>
              <w:rPr>
                <w:sz w:val="20"/>
              </w:rPr>
            </w:pPr>
            <w:r w:rsidRPr="00A314DC">
              <w:rPr>
                <w:sz w:val="20"/>
              </w:rPr>
              <w:t>6.7%</w:t>
            </w:r>
          </w:p>
        </w:tc>
      </w:tr>
    </w:tbl>
    <w:p w:rsidR="00755C90" w:rsidRPr="00A314DC" w:rsidRDefault="00806CCC" w:rsidP="00806CCC">
      <w:pPr>
        <w:pStyle w:val="ONUME"/>
        <w:tabs>
          <w:tab w:val="left" w:pos="993"/>
          <w:tab w:val="left" w:pos="8222"/>
        </w:tabs>
        <w:rPr>
          <w:i/>
          <w:sz w:val="20"/>
        </w:rPr>
      </w:pPr>
      <w:r w:rsidRPr="00806CCC">
        <w:rPr>
          <w:sz w:val="20"/>
        </w:rPr>
        <w:tab/>
        <w:t>Base:  Jan. ’05 – Dec. ’</w:t>
      </w:r>
      <w:r>
        <w:rPr>
          <w:sz w:val="20"/>
        </w:rPr>
        <w:t>14</w:t>
      </w:r>
      <w:r>
        <w:rPr>
          <w:sz w:val="20"/>
        </w:rPr>
        <w:tab/>
      </w:r>
      <w:r w:rsidR="00755C90" w:rsidRPr="00A314DC">
        <w:rPr>
          <w:i/>
          <w:sz w:val="20"/>
        </w:rPr>
        <w:t>Information reproduced with kind permission of Credit Suisse</w:t>
      </w:r>
    </w:p>
    <w:p w:rsidR="003B5CCF" w:rsidRDefault="003B5CCF" w:rsidP="00A314DC">
      <w:pPr>
        <w:pStyle w:val="Endofdocument-Annex"/>
      </w:pPr>
      <w:r>
        <w:t>[Annex IV follows]</w:t>
      </w:r>
    </w:p>
    <w:p w:rsidR="003B5CCF" w:rsidRDefault="003B5CCF" w:rsidP="00A314DC">
      <w:pPr>
        <w:pStyle w:val="Endofdocument-Annex"/>
      </w:pPr>
    </w:p>
    <w:p w:rsidR="003B5CCF" w:rsidRDefault="003B5CCF" w:rsidP="00A314DC">
      <w:pPr>
        <w:pStyle w:val="Endofdocument-Annex"/>
        <w:sectPr w:rsidR="003B5CCF" w:rsidSect="00A314DC">
          <w:headerReference w:type="default" r:id="rId18"/>
          <w:headerReference w:type="first" r:id="rId19"/>
          <w:endnotePr>
            <w:numFmt w:val="decimal"/>
          </w:endnotePr>
          <w:pgSz w:w="16840" w:h="11907" w:orient="landscape" w:code="9"/>
          <w:pgMar w:top="1077" w:right="567" w:bottom="680" w:left="1418" w:header="510" w:footer="1021" w:gutter="0"/>
          <w:cols w:space="720"/>
          <w:titlePg/>
          <w:docGrid w:linePitch="299"/>
        </w:sectPr>
      </w:pPr>
    </w:p>
    <w:p w:rsidR="003E300A" w:rsidRPr="00AA117F" w:rsidRDefault="003E300A" w:rsidP="003E300A">
      <w:pPr>
        <w:pStyle w:val="ONUME"/>
        <w:rPr>
          <w:b/>
          <w:szCs w:val="22"/>
        </w:rPr>
      </w:pPr>
      <w:r w:rsidRPr="00AA117F">
        <w:rPr>
          <w:b/>
          <w:szCs w:val="22"/>
        </w:rPr>
        <w:lastRenderedPageBreak/>
        <w:t>INVES</w:t>
      </w:r>
      <w:r w:rsidR="00882AEF" w:rsidRPr="00AA117F">
        <w:rPr>
          <w:b/>
          <w:szCs w:val="22"/>
        </w:rPr>
        <w:t>T</w:t>
      </w:r>
      <w:r w:rsidRPr="00AA117F">
        <w:rPr>
          <w:b/>
          <w:szCs w:val="22"/>
        </w:rPr>
        <w:t>MENT POLICY TEMPLATE</w:t>
      </w:r>
    </w:p>
    <w:p w:rsidR="003E300A" w:rsidRPr="00AA117F" w:rsidRDefault="003E300A" w:rsidP="003E300A">
      <w:pPr>
        <w:pStyle w:val="ONUME"/>
        <w:rPr>
          <w:szCs w:val="22"/>
        </w:rPr>
      </w:pPr>
      <w:r w:rsidRPr="00AA117F">
        <w:rPr>
          <w:szCs w:val="22"/>
        </w:rPr>
        <w:t xml:space="preserve">The </w:t>
      </w:r>
      <w:r w:rsidR="003A25A3">
        <w:rPr>
          <w:szCs w:val="22"/>
        </w:rPr>
        <w:t xml:space="preserve">external independent </w:t>
      </w:r>
      <w:proofErr w:type="gramStart"/>
      <w:r w:rsidRPr="00AA117F">
        <w:rPr>
          <w:szCs w:val="22"/>
        </w:rPr>
        <w:t>treasury</w:t>
      </w:r>
      <w:proofErr w:type="gramEnd"/>
      <w:r w:rsidRPr="00AA117F">
        <w:rPr>
          <w:szCs w:val="22"/>
        </w:rPr>
        <w:t xml:space="preserve"> consultant</w:t>
      </w:r>
      <w:r w:rsidR="004E5FC5">
        <w:rPr>
          <w:szCs w:val="22"/>
        </w:rPr>
        <w:t xml:space="preserve">s, Zanders </w:t>
      </w:r>
      <w:r w:rsidRPr="00AA117F">
        <w:rPr>
          <w:szCs w:val="22"/>
        </w:rPr>
        <w:t>have advised that the elements typically found within an investment policy</w:t>
      </w:r>
      <w:r w:rsidR="003A25A3">
        <w:rPr>
          <w:szCs w:val="22"/>
        </w:rPr>
        <w:t xml:space="preserve">, based on best-practice, </w:t>
      </w:r>
      <w:r w:rsidRPr="00AA117F">
        <w:rPr>
          <w:szCs w:val="22"/>
        </w:rPr>
        <w:t>are as follows:</w:t>
      </w:r>
    </w:p>
    <w:p w:rsidR="003E300A" w:rsidRPr="00AA117F" w:rsidRDefault="003E300A" w:rsidP="001150C9">
      <w:pPr>
        <w:pStyle w:val="ONUME"/>
        <w:numPr>
          <w:ilvl w:val="0"/>
          <w:numId w:val="7"/>
        </w:numPr>
        <w:rPr>
          <w:szCs w:val="22"/>
        </w:rPr>
      </w:pPr>
      <w:r w:rsidRPr="00AA117F">
        <w:rPr>
          <w:szCs w:val="22"/>
        </w:rPr>
        <w:t>Description of the Investor</w:t>
      </w:r>
    </w:p>
    <w:p w:rsidR="003E300A" w:rsidRPr="00AA117F" w:rsidRDefault="003E300A" w:rsidP="00A12BE5">
      <w:pPr>
        <w:pStyle w:val="ONUME"/>
        <w:numPr>
          <w:ilvl w:val="0"/>
          <w:numId w:val="7"/>
        </w:numPr>
        <w:rPr>
          <w:szCs w:val="22"/>
        </w:rPr>
      </w:pPr>
      <w:r w:rsidRPr="00AA117F">
        <w:rPr>
          <w:szCs w:val="22"/>
        </w:rPr>
        <w:t>Policy Purpose</w:t>
      </w:r>
    </w:p>
    <w:p w:rsidR="003E300A" w:rsidRPr="009479A1" w:rsidRDefault="003E300A" w:rsidP="002D5273">
      <w:pPr>
        <w:pStyle w:val="ONUME"/>
        <w:rPr>
          <w:i/>
          <w:szCs w:val="22"/>
        </w:rPr>
      </w:pPr>
      <w:r w:rsidRPr="009479A1">
        <w:rPr>
          <w:i/>
          <w:szCs w:val="22"/>
        </w:rPr>
        <w:t>These</w:t>
      </w:r>
      <w:r w:rsidR="006A4E51" w:rsidRPr="009479A1">
        <w:rPr>
          <w:i/>
          <w:szCs w:val="22"/>
        </w:rPr>
        <w:t xml:space="preserve"> two</w:t>
      </w:r>
      <w:r w:rsidRPr="009479A1">
        <w:rPr>
          <w:i/>
          <w:szCs w:val="22"/>
        </w:rPr>
        <w:t xml:space="preserve"> sections would explain that WIPO is a specialized agency of the UN, provide a brief description of its activities and explain which investments are covered by the policy (whether those relating to operating and core cash or </w:t>
      </w:r>
      <w:r w:rsidR="00561A0B" w:rsidRPr="009479A1">
        <w:rPr>
          <w:i/>
          <w:szCs w:val="22"/>
        </w:rPr>
        <w:t>those for stra</w:t>
      </w:r>
      <w:r w:rsidR="00D936CA" w:rsidRPr="009479A1">
        <w:rPr>
          <w:i/>
          <w:szCs w:val="22"/>
        </w:rPr>
        <w:t>tegic cash</w:t>
      </w:r>
      <w:r w:rsidR="00561A0B" w:rsidRPr="009479A1">
        <w:rPr>
          <w:i/>
          <w:szCs w:val="22"/>
        </w:rPr>
        <w:t>).</w:t>
      </w:r>
    </w:p>
    <w:p w:rsidR="00561A0B" w:rsidRPr="00AA117F" w:rsidRDefault="00561A0B" w:rsidP="00A12BE5">
      <w:pPr>
        <w:pStyle w:val="ONUME"/>
        <w:numPr>
          <w:ilvl w:val="0"/>
          <w:numId w:val="7"/>
        </w:numPr>
        <w:rPr>
          <w:szCs w:val="22"/>
        </w:rPr>
      </w:pPr>
      <w:r w:rsidRPr="00AA117F">
        <w:rPr>
          <w:szCs w:val="22"/>
        </w:rPr>
        <w:t>Definition of parties involved in the investment management process</w:t>
      </w:r>
    </w:p>
    <w:p w:rsidR="00561A0B" w:rsidRPr="009479A1" w:rsidRDefault="00561A0B" w:rsidP="00561A0B">
      <w:pPr>
        <w:pStyle w:val="ONUME"/>
        <w:rPr>
          <w:i/>
          <w:szCs w:val="22"/>
        </w:rPr>
      </w:pPr>
      <w:r w:rsidRPr="009479A1">
        <w:rPr>
          <w:i/>
          <w:szCs w:val="22"/>
        </w:rPr>
        <w:t>This would cover the Investment Advisory Committee, the Treasury section of the Finance Division, the Controller, external investment managers and potentially the custodian bank</w:t>
      </w:r>
      <w:r w:rsidR="00A822E9" w:rsidRPr="009479A1">
        <w:rPr>
          <w:i/>
          <w:szCs w:val="22"/>
        </w:rPr>
        <w:t>.</w:t>
      </w:r>
    </w:p>
    <w:p w:rsidR="00A822E9" w:rsidRPr="00AA117F" w:rsidRDefault="00B312A9" w:rsidP="00A12BE5">
      <w:pPr>
        <w:pStyle w:val="ONUME"/>
        <w:numPr>
          <w:ilvl w:val="0"/>
          <w:numId w:val="7"/>
        </w:numPr>
        <w:rPr>
          <w:szCs w:val="22"/>
        </w:rPr>
      </w:pPr>
      <w:r>
        <w:rPr>
          <w:szCs w:val="22"/>
        </w:rPr>
        <w:t>T</w:t>
      </w:r>
      <w:r w:rsidR="00A822E9" w:rsidRPr="00AA117F">
        <w:rPr>
          <w:szCs w:val="22"/>
        </w:rPr>
        <w:t>he investment responsibilities of the parties</w:t>
      </w:r>
      <w:r w:rsidR="00A12BE5">
        <w:rPr>
          <w:szCs w:val="22"/>
        </w:rPr>
        <w:t xml:space="preserve"> involved (as defined</w:t>
      </w:r>
      <w:r>
        <w:rPr>
          <w:szCs w:val="22"/>
        </w:rPr>
        <w:t xml:space="preserve"> under point</w:t>
      </w:r>
      <w:r w:rsidR="00A822E9" w:rsidRPr="00AA117F">
        <w:rPr>
          <w:szCs w:val="22"/>
        </w:rPr>
        <w:t xml:space="preserve"> 3).  This would cover such items as:</w:t>
      </w:r>
    </w:p>
    <w:p w:rsidR="00A822E9" w:rsidRPr="00AA117F" w:rsidRDefault="00A822E9" w:rsidP="002D5273">
      <w:pPr>
        <w:pStyle w:val="ONUME"/>
        <w:numPr>
          <w:ilvl w:val="0"/>
          <w:numId w:val="8"/>
        </w:numPr>
        <w:ind w:left="1134" w:hanging="567"/>
        <w:rPr>
          <w:szCs w:val="22"/>
        </w:rPr>
      </w:pPr>
      <w:r w:rsidRPr="00AA117F">
        <w:rPr>
          <w:szCs w:val="22"/>
        </w:rPr>
        <w:t>Execution and monitoring of the investment policy;</w:t>
      </w:r>
    </w:p>
    <w:p w:rsidR="00A822E9" w:rsidRPr="00AA117F" w:rsidRDefault="00A822E9" w:rsidP="002D5273">
      <w:pPr>
        <w:pStyle w:val="ONUME"/>
        <w:numPr>
          <w:ilvl w:val="0"/>
          <w:numId w:val="8"/>
        </w:numPr>
        <w:ind w:left="1134" w:hanging="567"/>
        <w:rPr>
          <w:szCs w:val="22"/>
        </w:rPr>
      </w:pPr>
      <w:r w:rsidRPr="00AA117F">
        <w:rPr>
          <w:szCs w:val="22"/>
        </w:rPr>
        <w:t>Process for reviewing and updating the investment policy;</w:t>
      </w:r>
    </w:p>
    <w:p w:rsidR="00A822E9" w:rsidRPr="00AA117F" w:rsidRDefault="00A822E9" w:rsidP="002D5273">
      <w:pPr>
        <w:pStyle w:val="ONUME"/>
        <w:numPr>
          <w:ilvl w:val="0"/>
          <w:numId w:val="8"/>
        </w:numPr>
        <w:ind w:left="1134" w:hanging="567"/>
        <w:rPr>
          <w:szCs w:val="22"/>
        </w:rPr>
      </w:pPr>
      <w:r w:rsidRPr="00AA117F">
        <w:rPr>
          <w:szCs w:val="22"/>
        </w:rPr>
        <w:t>Responsibilities for engaging and discharging external investment managers and the custodian bank;</w:t>
      </w:r>
    </w:p>
    <w:p w:rsidR="00A822E9" w:rsidRPr="00AA117F" w:rsidRDefault="00A822E9" w:rsidP="002D5273">
      <w:pPr>
        <w:pStyle w:val="ONUME"/>
        <w:numPr>
          <w:ilvl w:val="0"/>
          <w:numId w:val="8"/>
        </w:numPr>
        <w:ind w:left="1134" w:hanging="567"/>
        <w:rPr>
          <w:szCs w:val="22"/>
        </w:rPr>
      </w:pPr>
      <w:r w:rsidRPr="00AA117F">
        <w:rPr>
          <w:szCs w:val="22"/>
        </w:rPr>
        <w:t>Responsibilities for monitoring external investment managers and the custodian bank</w:t>
      </w:r>
    </w:p>
    <w:p w:rsidR="00A822E9" w:rsidRPr="00AA117F" w:rsidRDefault="00A822E9" w:rsidP="002D5273">
      <w:pPr>
        <w:pStyle w:val="ONUME"/>
        <w:numPr>
          <w:ilvl w:val="0"/>
          <w:numId w:val="8"/>
        </w:numPr>
        <w:ind w:left="1134" w:hanging="567"/>
        <w:rPr>
          <w:szCs w:val="22"/>
        </w:rPr>
      </w:pPr>
      <w:r w:rsidRPr="00AA117F">
        <w:rPr>
          <w:szCs w:val="22"/>
        </w:rPr>
        <w:t>Responsibilities for internally managed investments;</w:t>
      </w:r>
    </w:p>
    <w:p w:rsidR="00A822E9" w:rsidRPr="00AA117F" w:rsidRDefault="00A822E9" w:rsidP="002D5273">
      <w:pPr>
        <w:pStyle w:val="ONUME"/>
        <w:numPr>
          <w:ilvl w:val="0"/>
          <w:numId w:val="8"/>
        </w:numPr>
        <w:ind w:left="1134" w:hanging="567"/>
        <w:rPr>
          <w:szCs w:val="22"/>
        </w:rPr>
      </w:pPr>
      <w:r w:rsidRPr="00AA117F">
        <w:rPr>
          <w:szCs w:val="22"/>
        </w:rPr>
        <w:t>Reporting</w:t>
      </w:r>
    </w:p>
    <w:p w:rsidR="00A822E9" w:rsidRPr="00AA117F" w:rsidRDefault="00A822E9" w:rsidP="00A12BE5">
      <w:pPr>
        <w:pStyle w:val="ONUME"/>
        <w:numPr>
          <w:ilvl w:val="0"/>
          <w:numId w:val="7"/>
        </w:numPr>
        <w:rPr>
          <w:szCs w:val="22"/>
        </w:rPr>
      </w:pPr>
      <w:r w:rsidRPr="00AA117F">
        <w:rPr>
          <w:szCs w:val="22"/>
        </w:rPr>
        <w:t>Statement of investment goals, objectives and constraints</w:t>
      </w:r>
    </w:p>
    <w:p w:rsidR="00A822E9" w:rsidRPr="009479A1" w:rsidRDefault="00D936CA" w:rsidP="00A822E9">
      <w:pPr>
        <w:pStyle w:val="ONUME"/>
        <w:rPr>
          <w:i/>
          <w:szCs w:val="22"/>
        </w:rPr>
      </w:pPr>
      <w:r w:rsidRPr="009479A1">
        <w:rPr>
          <w:i/>
          <w:szCs w:val="22"/>
        </w:rPr>
        <w:t>H</w:t>
      </w:r>
      <w:r w:rsidR="00A822E9" w:rsidRPr="009479A1">
        <w:rPr>
          <w:i/>
          <w:szCs w:val="22"/>
        </w:rPr>
        <w:t>ere</w:t>
      </w:r>
      <w:r w:rsidRPr="009479A1">
        <w:rPr>
          <w:i/>
          <w:szCs w:val="22"/>
        </w:rPr>
        <w:t>, there</w:t>
      </w:r>
      <w:r w:rsidR="00A822E9" w:rsidRPr="009479A1">
        <w:rPr>
          <w:i/>
          <w:szCs w:val="22"/>
        </w:rPr>
        <w:t xml:space="preserve"> should be a detailed description of the specific investment needs for the</w:t>
      </w:r>
      <w:r w:rsidR="006A4E51" w:rsidRPr="009479A1">
        <w:rPr>
          <w:i/>
          <w:szCs w:val="22"/>
        </w:rPr>
        <w:t xml:space="preserve"> different</w:t>
      </w:r>
      <w:r w:rsidR="00A822E9" w:rsidRPr="009479A1">
        <w:rPr>
          <w:i/>
          <w:szCs w:val="22"/>
        </w:rPr>
        <w:t xml:space="preserve"> types of cash holding identified</w:t>
      </w:r>
      <w:r w:rsidR="006A4E51" w:rsidRPr="009479A1">
        <w:rPr>
          <w:i/>
          <w:szCs w:val="22"/>
        </w:rPr>
        <w:t xml:space="preserve"> (operating, core or strategic)</w:t>
      </w:r>
      <w:r w:rsidRPr="009479A1">
        <w:rPr>
          <w:i/>
          <w:szCs w:val="22"/>
        </w:rPr>
        <w:t>,</w:t>
      </w:r>
      <w:r w:rsidR="00A822E9" w:rsidRPr="009479A1">
        <w:rPr>
          <w:i/>
          <w:szCs w:val="22"/>
        </w:rPr>
        <w:t xml:space="preserve"> together with details of the time horizons that apply to </w:t>
      </w:r>
      <w:r w:rsidR="006A4E51" w:rsidRPr="009479A1">
        <w:rPr>
          <w:i/>
          <w:szCs w:val="22"/>
        </w:rPr>
        <w:t>each</w:t>
      </w:r>
      <w:r w:rsidR="003F715C" w:rsidRPr="009479A1">
        <w:rPr>
          <w:i/>
          <w:szCs w:val="22"/>
        </w:rPr>
        <w:t xml:space="preserve"> cash type</w:t>
      </w:r>
      <w:r w:rsidR="00A822E9" w:rsidRPr="009479A1">
        <w:rPr>
          <w:i/>
          <w:szCs w:val="22"/>
        </w:rPr>
        <w:t>.  This</w:t>
      </w:r>
      <w:r w:rsidRPr="009479A1">
        <w:rPr>
          <w:i/>
          <w:szCs w:val="22"/>
        </w:rPr>
        <w:t xml:space="preserve"> section</w:t>
      </w:r>
      <w:r w:rsidR="00A822E9" w:rsidRPr="009479A1">
        <w:rPr>
          <w:i/>
          <w:szCs w:val="22"/>
        </w:rPr>
        <w:t xml:space="preserve"> should also include specific statements about returns and</w:t>
      </w:r>
      <w:r w:rsidR="006A4E51" w:rsidRPr="009479A1">
        <w:rPr>
          <w:i/>
          <w:szCs w:val="22"/>
        </w:rPr>
        <w:t xml:space="preserve"> risk tolerance.</w:t>
      </w:r>
    </w:p>
    <w:p w:rsidR="00A822E9" w:rsidRPr="00AA117F" w:rsidRDefault="00A822E9" w:rsidP="00A12BE5">
      <w:pPr>
        <w:pStyle w:val="ONUME"/>
        <w:numPr>
          <w:ilvl w:val="0"/>
          <w:numId w:val="7"/>
        </w:numPr>
        <w:rPr>
          <w:szCs w:val="22"/>
        </w:rPr>
      </w:pPr>
      <w:r w:rsidRPr="00AA117F">
        <w:rPr>
          <w:szCs w:val="22"/>
        </w:rPr>
        <w:t>Eligible asset classes with their respective credit rating levels</w:t>
      </w:r>
    </w:p>
    <w:p w:rsidR="00A822E9" w:rsidRPr="00AA117F" w:rsidRDefault="00A822E9" w:rsidP="00A12BE5">
      <w:pPr>
        <w:pStyle w:val="ONUME"/>
        <w:numPr>
          <w:ilvl w:val="0"/>
          <w:numId w:val="7"/>
        </w:numPr>
        <w:rPr>
          <w:szCs w:val="22"/>
        </w:rPr>
      </w:pPr>
      <w:r w:rsidRPr="00AA117F">
        <w:rPr>
          <w:szCs w:val="22"/>
        </w:rPr>
        <w:t>Definition of performance measures and benchmarks to be used in performance evaluation</w:t>
      </w:r>
    </w:p>
    <w:p w:rsidR="00561A0B" w:rsidRPr="00AA117F" w:rsidRDefault="00A822E9" w:rsidP="00A12BE5">
      <w:pPr>
        <w:pStyle w:val="ONUME"/>
        <w:numPr>
          <w:ilvl w:val="0"/>
          <w:numId w:val="7"/>
        </w:numPr>
        <w:rPr>
          <w:szCs w:val="22"/>
        </w:rPr>
      </w:pPr>
      <w:r w:rsidRPr="00AA117F">
        <w:rPr>
          <w:szCs w:val="22"/>
        </w:rPr>
        <w:t>Investment strategies and styles</w:t>
      </w:r>
    </w:p>
    <w:p w:rsidR="00D9575E" w:rsidRPr="009479A1" w:rsidRDefault="00A822E9" w:rsidP="006A4E51">
      <w:pPr>
        <w:pStyle w:val="ONUME"/>
        <w:rPr>
          <w:i/>
          <w:szCs w:val="22"/>
        </w:rPr>
      </w:pPr>
      <w:r w:rsidRPr="009479A1">
        <w:rPr>
          <w:i/>
          <w:szCs w:val="22"/>
        </w:rPr>
        <w:t>In this section, consideration should be given to whether the investment strategy is to be active or passive (this refers</w:t>
      </w:r>
      <w:r w:rsidR="00CD0DD1" w:rsidRPr="009479A1">
        <w:rPr>
          <w:i/>
          <w:szCs w:val="22"/>
        </w:rPr>
        <w:t xml:space="preserve"> </w:t>
      </w:r>
      <w:r w:rsidRPr="009479A1">
        <w:rPr>
          <w:i/>
          <w:szCs w:val="22"/>
        </w:rPr>
        <w:t xml:space="preserve">to the strategies </w:t>
      </w:r>
      <w:r w:rsidR="00D31DBD" w:rsidRPr="009479A1">
        <w:rPr>
          <w:i/>
          <w:szCs w:val="22"/>
        </w:rPr>
        <w:t>employed by external investment managers</w:t>
      </w:r>
      <w:r w:rsidR="006A4E51" w:rsidRPr="009479A1">
        <w:rPr>
          <w:i/>
          <w:szCs w:val="22"/>
        </w:rPr>
        <w:t>).</w:t>
      </w:r>
    </w:p>
    <w:p w:rsidR="00D31DBD" w:rsidRPr="009479A1" w:rsidRDefault="00D31DBD" w:rsidP="00D9575E">
      <w:pPr>
        <w:pStyle w:val="ONUME"/>
        <w:rPr>
          <w:i/>
          <w:szCs w:val="22"/>
        </w:rPr>
      </w:pPr>
      <w:r w:rsidRPr="009479A1">
        <w:rPr>
          <w:i/>
          <w:szCs w:val="22"/>
        </w:rPr>
        <w:t>Portfolio rebalancing guidelines based on the feedback step of the portfolio management process</w:t>
      </w:r>
      <w:r w:rsidR="00D9575E" w:rsidRPr="009479A1">
        <w:rPr>
          <w:i/>
          <w:szCs w:val="22"/>
        </w:rPr>
        <w:t xml:space="preserve"> (see 4 (f) above)</w:t>
      </w:r>
      <w:r w:rsidRPr="009479A1">
        <w:rPr>
          <w:i/>
          <w:szCs w:val="22"/>
        </w:rPr>
        <w:t>.</w:t>
      </w:r>
    </w:p>
    <w:p w:rsidR="00BF24CD" w:rsidRPr="00AA117F" w:rsidRDefault="00D31DBD" w:rsidP="00D31DBD">
      <w:pPr>
        <w:pStyle w:val="ONUME"/>
        <w:rPr>
          <w:szCs w:val="22"/>
        </w:rPr>
      </w:pPr>
      <w:r w:rsidRPr="009479A1">
        <w:rPr>
          <w:i/>
          <w:szCs w:val="22"/>
        </w:rPr>
        <w:t>This section should explain how the monitoring process will be acted upon/portfolios will be rebalanced where a risk to</w:t>
      </w:r>
      <w:r w:rsidR="00362A51" w:rsidRPr="009479A1">
        <w:rPr>
          <w:i/>
          <w:szCs w:val="22"/>
        </w:rPr>
        <w:t>lerance limit has been exceeded.</w:t>
      </w:r>
    </w:p>
    <w:p w:rsidR="00D31DBD" w:rsidRDefault="00D31DBD" w:rsidP="00A314DC">
      <w:pPr>
        <w:pStyle w:val="ONUME"/>
        <w:spacing w:after="0"/>
        <w:rPr>
          <w:szCs w:val="22"/>
        </w:rPr>
      </w:pPr>
    </w:p>
    <w:p w:rsidR="001358BB" w:rsidRPr="00A314DC" w:rsidRDefault="001358BB" w:rsidP="00A314DC">
      <w:pPr>
        <w:pStyle w:val="Endofdocument-Annex"/>
      </w:pPr>
      <w:r>
        <w:t>[End of Annex</w:t>
      </w:r>
      <w:r w:rsidR="002D5273">
        <w:t xml:space="preserve"> IV</w:t>
      </w:r>
      <w:r>
        <w:t xml:space="preserve"> and of document]</w:t>
      </w:r>
    </w:p>
    <w:sectPr w:rsidR="001358BB" w:rsidRPr="00A314DC" w:rsidSect="002D5273">
      <w:headerReference w:type="default" r:id="rId20"/>
      <w:headerReference w:type="first" r:id="rId21"/>
      <w:endnotePr>
        <w:numFmt w:val="decimal"/>
      </w:endnotePr>
      <w:pgSz w:w="11907" w:h="16840" w:code="9"/>
      <w:pgMar w:top="567" w:right="1134" w:bottom="709"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374" w:rsidRPr="00657AE4" w:rsidRDefault="00087374">
      <w:pPr>
        <w:rPr>
          <w:sz w:val="18"/>
          <w:szCs w:val="18"/>
        </w:rPr>
      </w:pPr>
      <w:r w:rsidRPr="00657AE4">
        <w:rPr>
          <w:sz w:val="18"/>
          <w:szCs w:val="18"/>
        </w:rPr>
        <w:separator/>
      </w:r>
    </w:p>
  </w:endnote>
  <w:endnote w:type="continuationSeparator" w:id="0">
    <w:p w:rsidR="00087374" w:rsidRPr="00657AE4" w:rsidRDefault="00087374" w:rsidP="003B38C1">
      <w:pPr>
        <w:rPr>
          <w:sz w:val="18"/>
          <w:szCs w:val="18"/>
        </w:rPr>
      </w:pPr>
      <w:r w:rsidRPr="00657AE4">
        <w:rPr>
          <w:sz w:val="18"/>
          <w:szCs w:val="18"/>
        </w:rPr>
        <w:separator/>
      </w:r>
    </w:p>
    <w:p w:rsidR="00087374" w:rsidRPr="00657AE4" w:rsidRDefault="00087374" w:rsidP="003B38C1">
      <w:pPr>
        <w:spacing w:after="60"/>
        <w:rPr>
          <w:sz w:val="14"/>
          <w:szCs w:val="14"/>
        </w:rPr>
      </w:pPr>
      <w:r w:rsidRPr="00657AE4">
        <w:rPr>
          <w:sz w:val="14"/>
          <w:szCs w:val="14"/>
        </w:rPr>
        <w:t>[Endnote continued from previous page]</w:t>
      </w:r>
    </w:p>
  </w:endnote>
  <w:endnote w:type="continuationNotice" w:id="1">
    <w:p w:rsidR="00087374" w:rsidRPr="00657AE4" w:rsidRDefault="00087374" w:rsidP="003B38C1">
      <w:pPr>
        <w:spacing w:before="60"/>
        <w:jc w:val="right"/>
        <w:rPr>
          <w:sz w:val="14"/>
          <w:szCs w:val="14"/>
        </w:rPr>
      </w:pPr>
      <w:r w:rsidRPr="00657AE4">
        <w:rPr>
          <w:sz w:val="14"/>
          <w:szCs w:val="14"/>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374" w:rsidRPr="00657AE4" w:rsidRDefault="00087374">
      <w:pPr>
        <w:rPr>
          <w:sz w:val="18"/>
          <w:szCs w:val="18"/>
        </w:rPr>
      </w:pPr>
      <w:r w:rsidRPr="00657AE4">
        <w:rPr>
          <w:sz w:val="18"/>
          <w:szCs w:val="18"/>
        </w:rPr>
        <w:separator/>
      </w:r>
    </w:p>
  </w:footnote>
  <w:footnote w:type="continuationSeparator" w:id="0">
    <w:p w:rsidR="00087374" w:rsidRPr="00657AE4" w:rsidRDefault="00087374" w:rsidP="008B60B2">
      <w:pPr>
        <w:rPr>
          <w:sz w:val="18"/>
          <w:szCs w:val="18"/>
        </w:rPr>
      </w:pPr>
      <w:r w:rsidRPr="00657AE4">
        <w:rPr>
          <w:sz w:val="18"/>
          <w:szCs w:val="18"/>
        </w:rPr>
        <w:separator/>
      </w:r>
    </w:p>
    <w:p w:rsidR="00087374" w:rsidRPr="00657AE4" w:rsidRDefault="00087374" w:rsidP="008B60B2">
      <w:pPr>
        <w:spacing w:after="60"/>
        <w:rPr>
          <w:sz w:val="14"/>
          <w:szCs w:val="14"/>
        </w:rPr>
      </w:pPr>
      <w:r w:rsidRPr="00657AE4">
        <w:rPr>
          <w:sz w:val="14"/>
          <w:szCs w:val="14"/>
        </w:rPr>
        <w:t>[Footnote continued from previous page]</w:t>
      </w:r>
    </w:p>
  </w:footnote>
  <w:footnote w:type="continuationNotice" w:id="1">
    <w:p w:rsidR="00087374" w:rsidRPr="00657AE4" w:rsidRDefault="00087374" w:rsidP="008B60B2">
      <w:pPr>
        <w:spacing w:before="60"/>
        <w:jc w:val="right"/>
        <w:rPr>
          <w:sz w:val="14"/>
          <w:szCs w:val="14"/>
        </w:rPr>
      </w:pPr>
      <w:r w:rsidRPr="00657AE4">
        <w:rPr>
          <w:sz w:val="14"/>
          <w:szCs w:val="14"/>
        </w:rPr>
        <w:t>[Footnote continued on next page]</w:t>
      </w:r>
    </w:p>
  </w:footnote>
  <w:footnote w:id="2">
    <w:p w:rsidR="00087374" w:rsidRPr="007C733A" w:rsidRDefault="00087374">
      <w:pPr>
        <w:pStyle w:val="FootnoteText"/>
      </w:pPr>
      <w:r>
        <w:rPr>
          <w:rStyle w:val="FootnoteReference"/>
        </w:rPr>
        <w:footnoteRef/>
      </w:r>
      <w:r>
        <w:t xml:space="preserve"> </w:t>
      </w:r>
      <w:r w:rsidRPr="007C733A">
        <w:t>Details of credit ratings shown in Annex 2</w:t>
      </w:r>
    </w:p>
  </w:footnote>
  <w:footnote w:id="3">
    <w:p w:rsidR="00087374" w:rsidRPr="00C16463" w:rsidRDefault="00087374">
      <w:pPr>
        <w:pStyle w:val="FootnoteText"/>
      </w:pPr>
      <w:r>
        <w:rPr>
          <w:rStyle w:val="FootnoteReference"/>
        </w:rPr>
        <w:footnoteRef/>
      </w:r>
      <w:r w:rsidRPr="00C16463">
        <w:t xml:space="preserve">  Active management refers to a portfolio management strategy where the manager makes specific investments with the goal of outperforming an investment benchmark index.  With passive management, investors expect a return that closely replicates the investment weighting and returns of a benchmark index and will often invest in an index fund</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374" w:rsidRPr="00AA117F" w:rsidRDefault="00087374" w:rsidP="00477D6B">
    <w:pPr>
      <w:jc w:val="right"/>
      <w:rPr>
        <w:szCs w:val="22"/>
      </w:rPr>
    </w:pPr>
    <w:bookmarkStart w:id="6" w:name="Code2"/>
    <w:bookmarkEnd w:id="6"/>
    <w:r w:rsidRPr="00AA117F">
      <w:rPr>
        <w:szCs w:val="22"/>
      </w:rPr>
      <w:t>WO/PBC/23/7</w:t>
    </w:r>
  </w:p>
  <w:p w:rsidR="00087374" w:rsidRPr="00AA117F" w:rsidRDefault="00087374" w:rsidP="00477D6B">
    <w:pPr>
      <w:jc w:val="right"/>
      <w:rPr>
        <w:szCs w:val="22"/>
      </w:rPr>
    </w:pPr>
    <w:proofErr w:type="gramStart"/>
    <w:r w:rsidRPr="00AA117F">
      <w:rPr>
        <w:szCs w:val="22"/>
      </w:rPr>
      <w:t>page</w:t>
    </w:r>
    <w:proofErr w:type="gramEnd"/>
    <w:r w:rsidRPr="00AA117F">
      <w:rPr>
        <w:szCs w:val="22"/>
      </w:rPr>
      <w:t xml:space="preserve"> </w:t>
    </w:r>
    <w:r w:rsidRPr="00AA117F">
      <w:rPr>
        <w:szCs w:val="22"/>
      </w:rPr>
      <w:fldChar w:fldCharType="begin"/>
    </w:r>
    <w:r w:rsidRPr="00AA117F">
      <w:rPr>
        <w:szCs w:val="22"/>
      </w:rPr>
      <w:instrText xml:space="preserve"> PAGE  \* MERGEFORMAT </w:instrText>
    </w:r>
    <w:r w:rsidRPr="00AA117F">
      <w:rPr>
        <w:szCs w:val="22"/>
      </w:rPr>
      <w:fldChar w:fldCharType="separate"/>
    </w:r>
    <w:r w:rsidR="009C6A12">
      <w:rPr>
        <w:noProof/>
        <w:szCs w:val="22"/>
      </w:rPr>
      <w:t>7</w:t>
    </w:r>
    <w:r w:rsidRPr="00AA117F">
      <w:rPr>
        <w:szCs w:val="22"/>
      </w:rPr>
      <w:fldChar w:fldCharType="end"/>
    </w:r>
  </w:p>
  <w:p w:rsidR="00087374" w:rsidRPr="00A314DC" w:rsidRDefault="00087374" w:rsidP="00477D6B">
    <w:pPr>
      <w:jc w:val="right"/>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606386088"/>
      <w:docPartObj>
        <w:docPartGallery w:val="Page Numbers (Top of Page)"/>
        <w:docPartUnique/>
      </w:docPartObj>
    </w:sdtPr>
    <w:sdtEndPr>
      <w:rPr>
        <w:noProof/>
        <w:sz w:val="22"/>
        <w:szCs w:val="22"/>
      </w:rPr>
    </w:sdtEndPr>
    <w:sdtContent>
      <w:p w:rsidR="00087374" w:rsidRPr="00AA117F" w:rsidRDefault="00087374">
        <w:pPr>
          <w:pStyle w:val="Header"/>
          <w:jc w:val="right"/>
          <w:rPr>
            <w:szCs w:val="22"/>
          </w:rPr>
        </w:pPr>
        <w:r w:rsidRPr="00AA117F">
          <w:rPr>
            <w:szCs w:val="22"/>
          </w:rPr>
          <w:t>WO/PBC/23/7</w:t>
        </w:r>
      </w:p>
      <w:p w:rsidR="00087374" w:rsidRPr="00AA117F" w:rsidRDefault="00087374">
        <w:pPr>
          <w:pStyle w:val="Header"/>
          <w:jc w:val="right"/>
          <w:rPr>
            <w:szCs w:val="22"/>
          </w:rPr>
        </w:pPr>
        <w:r>
          <w:rPr>
            <w:szCs w:val="22"/>
          </w:rPr>
          <w:t>ANNEX II</w:t>
        </w:r>
      </w:p>
    </w:sdtContent>
  </w:sdt>
  <w:p w:rsidR="00087374" w:rsidRPr="00657AE4" w:rsidRDefault="00087374" w:rsidP="00477D6B">
    <w:pPr>
      <w:jc w:val="right"/>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374" w:rsidRPr="00AA117F" w:rsidRDefault="00087374" w:rsidP="003E300A">
    <w:pPr>
      <w:pStyle w:val="Header"/>
      <w:jc w:val="right"/>
      <w:rPr>
        <w:szCs w:val="22"/>
      </w:rPr>
    </w:pPr>
    <w:r w:rsidRPr="00AA117F">
      <w:rPr>
        <w:szCs w:val="22"/>
      </w:rPr>
      <w:t>WO/PBC/23/7</w:t>
    </w:r>
  </w:p>
  <w:p w:rsidR="00087374" w:rsidRPr="00AA117F" w:rsidRDefault="00087374" w:rsidP="003E300A">
    <w:pPr>
      <w:pStyle w:val="Header"/>
      <w:jc w:val="right"/>
      <w:rPr>
        <w:szCs w:val="22"/>
      </w:rPr>
    </w:pPr>
    <w:r>
      <w:rPr>
        <w:szCs w:val="22"/>
      </w:rPr>
      <w:t>ANNEX</w:t>
    </w:r>
    <w:r w:rsidRPr="00AA117F">
      <w:rPr>
        <w:szCs w:val="22"/>
      </w:rPr>
      <w:t xml:space="preserve"> I</w:t>
    </w:r>
  </w:p>
  <w:p w:rsidR="00087374" w:rsidRPr="00657AE4" w:rsidRDefault="00087374" w:rsidP="003E300A">
    <w:pPr>
      <w:pStyle w:val="Header"/>
      <w:jc w:val="right"/>
      <w:rPr>
        <w:sz w:val="18"/>
        <w:szCs w:val="18"/>
      </w:rPr>
    </w:pPr>
  </w:p>
  <w:p w:rsidR="00087374" w:rsidRPr="00657AE4" w:rsidRDefault="00087374" w:rsidP="003E300A">
    <w:pPr>
      <w:pStyle w:val="Header"/>
      <w:jc w:val="right"/>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944993190"/>
      <w:docPartObj>
        <w:docPartGallery w:val="Page Numbers (Top of Page)"/>
        <w:docPartUnique/>
      </w:docPartObj>
    </w:sdtPr>
    <w:sdtEndPr>
      <w:rPr>
        <w:noProof/>
        <w:sz w:val="22"/>
        <w:szCs w:val="22"/>
      </w:rPr>
    </w:sdtEndPr>
    <w:sdtContent>
      <w:p w:rsidR="00087374" w:rsidRPr="00B312A9" w:rsidRDefault="00087374">
        <w:pPr>
          <w:pStyle w:val="Header"/>
          <w:jc w:val="right"/>
          <w:rPr>
            <w:szCs w:val="22"/>
            <w:lang w:val="fr-FR"/>
          </w:rPr>
        </w:pPr>
        <w:r w:rsidRPr="00B312A9">
          <w:rPr>
            <w:szCs w:val="22"/>
            <w:lang w:val="fr-FR"/>
          </w:rPr>
          <w:t>WO/PBC/23/7</w:t>
        </w:r>
      </w:p>
      <w:p w:rsidR="00087374" w:rsidRPr="00CC30FA" w:rsidRDefault="00087374">
        <w:pPr>
          <w:pStyle w:val="Header"/>
          <w:jc w:val="right"/>
          <w:rPr>
            <w:szCs w:val="22"/>
            <w:lang w:val="fr-FR"/>
          </w:rPr>
        </w:pPr>
        <w:proofErr w:type="spellStart"/>
        <w:r w:rsidRPr="00CC30FA">
          <w:rPr>
            <w:szCs w:val="22"/>
            <w:lang w:val="fr-FR"/>
          </w:rPr>
          <w:t>Annex</w:t>
        </w:r>
        <w:proofErr w:type="spellEnd"/>
        <w:r w:rsidRPr="00CC30FA">
          <w:rPr>
            <w:szCs w:val="22"/>
            <w:lang w:val="fr-FR"/>
          </w:rPr>
          <w:t xml:space="preserve"> III, page 2</w:t>
        </w:r>
      </w:p>
    </w:sdtContent>
  </w:sdt>
  <w:p w:rsidR="00087374" w:rsidRDefault="00087374" w:rsidP="00477D6B">
    <w:pPr>
      <w:jc w:val="right"/>
      <w:rPr>
        <w:sz w:val="18"/>
        <w:szCs w:val="18"/>
        <w:lang w:val="fr-FR"/>
      </w:rPr>
    </w:pPr>
  </w:p>
  <w:p w:rsidR="00087374" w:rsidRPr="00CC30FA" w:rsidRDefault="00087374" w:rsidP="00477D6B">
    <w:pPr>
      <w:jc w:val="right"/>
      <w:rPr>
        <w:sz w:val="18"/>
        <w:szCs w:val="18"/>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374" w:rsidRPr="00AA117F" w:rsidRDefault="00087374" w:rsidP="003E300A">
    <w:pPr>
      <w:pStyle w:val="Header"/>
      <w:jc w:val="right"/>
      <w:rPr>
        <w:szCs w:val="22"/>
      </w:rPr>
    </w:pPr>
    <w:r w:rsidRPr="00AA117F">
      <w:rPr>
        <w:szCs w:val="22"/>
      </w:rPr>
      <w:t>WO/PBC/23/7</w:t>
    </w:r>
  </w:p>
  <w:p w:rsidR="00087374" w:rsidRPr="00AA117F" w:rsidRDefault="00087374" w:rsidP="003E300A">
    <w:pPr>
      <w:pStyle w:val="Header"/>
      <w:jc w:val="right"/>
      <w:rPr>
        <w:szCs w:val="22"/>
      </w:rPr>
    </w:pPr>
    <w:r>
      <w:rPr>
        <w:szCs w:val="22"/>
      </w:rPr>
      <w:t>ANNEX</w:t>
    </w:r>
    <w:r w:rsidRPr="00AA117F">
      <w:rPr>
        <w:szCs w:val="22"/>
      </w:rPr>
      <w:t xml:space="preserve"> II</w:t>
    </w:r>
    <w:r>
      <w:rPr>
        <w:szCs w:val="22"/>
      </w:rPr>
      <w:t>I</w:t>
    </w:r>
  </w:p>
  <w:p w:rsidR="00087374" w:rsidRPr="00657AE4" w:rsidRDefault="00087374" w:rsidP="003E300A">
    <w:pPr>
      <w:pStyle w:val="Header"/>
      <w:jc w:val="right"/>
      <w:rPr>
        <w:sz w:val="18"/>
        <w:szCs w:val="18"/>
      </w:rPr>
    </w:pPr>
  </w:p>
  <w:p w:rsidR="00087374" w:rsidRPr="00657AE4" w:rsidRDefault="00087374" w:rsidP="003E300A">
    <w:pPr>
      <w:pStyle w:val="Header"/>
      <w:jc w:val="right"/>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562567264"/>
      <w:docPartObj>
        <w:docPartGallery w:val="Page Numbers (Top of Page)"/>
        <w:docPartUnique/>
      </w:docPartObj>
    </w:sdtPr>
    <w:sdtEndPr>
      <w:rPr>
        <w:noProof/>
        <w:sz w:val="22"/>
        <w:szCs w:val="22"/>
      </w:rPr>
    </w:sdtEndPr>
    <w:sdtContent>
      <w:p w:rsidR="00087374" w:rsidRPr="002D5273" w:rsidRDefault="00087374">
        <w:pPr>
          <w:pStyle w:val="Header"/>
          <w:jc w:val="right"/>
          <w:rPr>
            <w:szCs w:val="22"/>
            <w:lang w:val="fr-FR"/>
          </w:rPr>
        </w:pPr>
        <w:r w:rsidRPr="002D5273">
          <w:rPr>
            <w:szCs w:val="22"/>
            <w:lang w:val="fr-FR"/>
          </w:rPr>
          <w:t>WO/PBC/23/7</w:t>
        </w:r>
      </w:p>
      <w:p w:rsidR="00087374" w:rsidRPr="002D5273" w:rsidRDefault="00087374">
        <w:pPr>
          <w:pStyle w:val="Header"/>
          <w:jc w:val="right"/>
          <w:rPr>
            <w:szCs w:val="22"/>
            <w:lang w:val="fr-FR"/>
          </w:rPr>
        </w:pPr>
        <w:proofErr w:type="spellStart"/>
        <w:r w:rsidRPr="002D5273">
          <w:rPr>
            <w:szCs w:val="22"/>
            <w:lang w:val="fr-FR"/>
          </w:rPr>
          <w:t>Annex</w:t>
        </w:r>
        <w:proofErr w:type="spellEnd"/>
        <w:r w:rsidRPr="002D5273">
          <w:rPr>
            <w:szCs w:val="22"/>
            <w:lang w:val="fr-FR"/>
          </w:rPr>
          <w:t xml:space="preserve"> IV, page 2</w:t>
        </w:r>
      </w:p>
    </w:sdtContent>
  </w:sdt>
  <w:p w:rsidR="00087374" w:rsidRPr="002D5273" w:rsidRDefault="00087374" w:rsidP="00477D6B">
    <w:pPr>
      <w:jc w:val="right"/>
      <w:rPr>
        <w:sz w:val="18"/>
        <w:szCs w:val="18"/>
        <w:lang w:val="fr-FR"/>
      </w:rPr>
    </w:pPr>
  </w:p>
  <w:p w:rsidR="00087374" w:rsidRPr="002D5273" w:rsidRDefault="00087374" w:rsidP="00477D6B">
    <w:pPr>
      <w:jc w:val="right"/>
      <w:rPr>
        <w:sz w:val="18"/>
        <w:szCs w:val="18"/>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374" w:rsidRPr="00AA117F" w:rsidRDefault="00087374" w:rsidP="003E300A">
    <w:pPr>
      <w:pStyle w:val="Header"/>
      <w:jc w:val="right"/>
      <w:rPr>
        <w:szCs w:val="22"/>
      </w:rPr>
    </w:pPr>
    <w:r w:rsidRPr="00AA117F">
      <w:rPr>
        <w:szCs w:val="22"/>
      </w:rPr>
      <w:t>WO/PBC/23/7</w:t>
    </w:r>
  </w:p>
  <w:p w:rsidR="00087374" w:rsidRPr="00AA117F" w:rsidRDefault="00087374" w:rsidP="003E300A">
    <w:pPr>
      <w:pStyle w:val="Header"/>
      <w:jc w:val="right"/>
      <w:rPr>
        <w:szCs w:val="22"/>
      </w:rPr>
    </w:pPr>
    <w:r>
      <w:rPr>
        <w:szCs w:val="22"/>
      </w:rPr>
      <w:t>ANNEX</w:t>
    </w:r>
    <w:r w:rsidRPr="00AA117F">
      <w:rPr>
        <w:szCs w:val="22"/>
      </w:rPr>
      <w:t xml:space="preserve"> </w:t>
    </w:r>
    <w:r>
      <w:rPr>
        <w:szCs w:val="22"/>
      </w:rPr>
      <w:t>IV</w:t>
    </w:r>
  </w:p>
  <w:p w:rsidR="00087374" w:rsidRPr="00657AE4" w:rsidRDefault="00087374" w:rsidP="003E300A">
    <w:pPr>
      <w:pStyle w:val="Header"/>
      <w:jc w:val="right"/>
      <w:rPr>
        <w:sz w:val="18"/>
        <w:szCs w:val="18"/>
      </w:rPr>
    </w:pPr>
  </w:p>
  <w:p w:rsidR="00087374" w:rsidRPr="00657AE4" w:rsidRDefault="00087374" w:rsidP="003E300A">
    <w:pPr>
      <w:pStyle w:val="Header"/>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5C720F22"/>
    <w:lvl w:ilvl="0">
      <w:start w:val="1"/>
      <w:numFmt w:val="decimal"/>
      <w:lvlRestart w:val="0"/>
      <w:lvlText w:val="%1."/>
      <w:lvlJc w:val="left"/>
      <w:pPr>
        <w:tabs>
          <w:tab w:val="num" w:pos="567"/>
        </w:tabs>
        <w:ind w:left="0" w:firstLine="0"/>
      </w:pPr>
      <w:rPr>
        <w:rFonts w:hint="default"/>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1B46845"/>
    <w:multiLevelType w:val="hybridMultilevel"/>
    <w:tmpl w:val="F2EE3D32"/>
    <w:lvl w:ilvl="0" w:tplc="B2087C9A">
      <w:start w:val="1"/>
      <w:numFmt w:val="lowerLetter"/>
      <w:lvlText w:val="(%1)"/>
      <w:lvlJc w:val="left"/>
      <w:pPr>
        <w:ind w:left="7243" w:hanging="360"/>
      </w:pPr>
      <w:rPr>
        <w:rFonts w:hint="default"/>
      </w:rPr>
    </w:lvl>
    <w:lvl w:ilvl="1" w:tplc="04090019" w:tentative="1">
      <w:start w:val="1"/>
      <w:numFmt w:val="lowerLetter"/>
      <w:lvlText w:val="%2."/>
      <w:lvlJc w:val="left"/>
      <w:pPr>
        <w:ind w:left="7963" w:hanging="360"/>
      </w:pPr>
    </w:lvl>
    <w:lvl w:ilvl="2" w:tplc="0409001B" w:tentative="1">
      <w:start w:val="1"/>
      <w:numFmt w:val="lowerRoman"/>
      <w:lvlText w:val="%3."/>
      <w:lvlJc w:val="right"/>
      <w:pPr>
        <w:ind w:left="8683" w:hanging="180"/>
      </w:pPr>
    </w:lvl>
    <w:lvl w:ilvl="3" w:tplc="0409000F" w:tentative="1">
      <w:start w:val="1"/>
      <w:numFmt w:val="decimal"/>
      <w:lvlText w:val="%4."/>
      <w:lvlJc w:val="left"/>
      <w:pPr>
        <w:ind w:left="9403" w:hanging="360"/>
      </w:pPr>
    </w:lvl>
    <w:lvl w:ilvl="4" w:tplc="04090019" w:tentative="1">
      <w:start w:val="1"/>
      <w:numFmt w:val="lowerLetter"/>
      <w:lvlText w:val="%5."/>
      <w:lvlJc w:val="left"/>
      <w:pPr>
        <w:ind w:left="10123" w:hanging="360"/>
      </w:pPr>
    </w:lvl>
    <w:lvl w:ilvl="5" w:tplc="0409001B" w:tentative="1">
      <w:start w:val="1"/>
      <w:numFmt w:val="lowerRoman"/>
      <w:lvlText w:val="%6."/>
      <w:lvlJc w:val="right"/>
      <w:pPr>
        <w:ind w:left="10843" w:hanging="180"/>
      </w:pPr>
    </w:lvl>
    <w:lvl w:ilvl="6" w:tplc="0409000F" w:tentative="1">
      <w:start w:val="1"/>
      <w:numFmt w:val="decimal"/>
      <w:lvlText w:val="%7."/>
      <w:lvlJc w:val="left"/>
      <w:pPr>
        <w:ind w:left="11563" w:hanging="360"/>
      </w:pPr>
    </w:lvl>
    <w:lvl w:ilvl="7" w:tplc="04090019" w:tentative="1">
      <w:start w:val="1"/>
      <w:numFmt w:val="lowerLetter"/>
      <w:lvlText w:val="%8."/>
      <w:lvlJc w:val="left"/>
      <w:pPr>
        <w:ind w:left="12283" w:hanging="360"/>
      </w:pPr>
    </w:lvl>
    <w:lvl w:ilvl="8" w:tplc="0409001B" w:tentative="1">
      <w:start w:val="1"/>
      <w:numFmt w:val="lowerRoman"/>
      <w:lvlText w:val="%9."/>
      <w:lvlJc w:val="right"/>
      <w:pPr>
        <w:ind w:left="13003" w:hanging="180"/>
      </w:pPr>
    </w:lvl>
  </w:abstractNum>
  <w:abstractNum w:abstractNumId="2">
    <w:nsid w:val="12D36459"/>
    <w:multiLevelType w:val="hybridMultilevel"/>
    <w:tmpl w:val="EF448362"/>
    <w:lvl w:ilvl="0" w:tplc="04090017">
      <w:start w:val="1"/>
      <w:numFmt w:val="lowerLetter"/>
      <w:lvlText w:val="%1)"/>
      <w:lvlJc w:val="left"/>
      <w:pPr>
        <w:ind w:left="7243" w:hanging="360"/>
      </w:pPr>
    </w:lvl>
    <w:lvl w:ilvl="1" w:tplc="04090019" w:tentative="1">
      <w:start w:val="1"/>
      <w:numFmt w:val="lowerLetter"/>
      <w:lvlText w:val="%2."/>
      <w:lvlJc w:val="left"/>
      <w:pPr>
        <w:ind w:left="7963" w:hanging="360"/>
      </w:pPr>
    </w:lvl>
    <w:lvl w:ilvl="2" w:tplc="0409001B" w:tentative="1">
      <w:start w:val="1"/>
      <w:numFmt w:val="lowerRoman"/>
      <w:lvlText w:val="%3."/>
      <w:lvlJc w:val="right"/>
      <w:pPr>
        <w:ind w:left="8683" w:hanging="180"/>
      </w:pPr>
    </w:lvl>
    <w:lvl w:ilvl="3" w:tplc="0409000F" w:tentative="1">
      <w:start w:val="1"/>
      <w:numFmt w:val="decimal"/>
      <w:lvlText w:val="%4."/>
      <w:lvlJc w:val="left"/>
      <w:pPr>
        <w:ind w:left="9403" w:hanging="360"/>
      </w:pPr>
    </w:lvl>
    <w:lvl w:ilvl="4" w:tplc="04090019" w:tentative="1">
      <w:start w:val="1"/>
      <w:numFmt w:val="lowerLetter"/>
      <w:lvlText w:val="%5."/>
      <w:lvlJc w:val="left"/>
      <w:pPr>
        <w:ind w:left="10123" w:hanging="360"/>
      </w:pPr>
    </w:lvl>
    <w:lvl w:ilvl="5" w:tplc="0409001B" w:tentative="1">
      <w:start w:val="1"/>
      <w:numFmt w:val="lowerRoman"/>
      <w:lvlText w:val="%6."/>
      <w:lvlJc w:val="right"/>
      <w:pPr>
        <w:ind w:left="10843" w:hanging="180"/>
      </w:pPr>
    </w:lvl>
    <w:lvl w:ilvl="6" w:tplc="0409000F" w:tentative="1">
      <w:start w:val="1"/>
      <w:numFmt w:val="decimal"/>
      <w:lvlText w:val="%7."/>
      <w:lvlJc w:val="left"/>
      <w:pPr>
        <w:ind w:left="11563" w:hanging="360"/>
      </w:pPr>
    </w:lvl>
    <w:lvl w:ilvl="7" w:tplc="04090019" w:tentative="1">
      <w:start w:val="1"/>
      <w:numFmt w:val="lowerLetter"/>
      <w:lvlText w:val="%8."/>
      <w:lvlJc w:val="left"/>
      <w:pPr>
        <w:ind w:left="12283" w:hanging="360"/>
      </w:pPr>
    </w:lvl>
    <w:lvl w:ilvl="8" w:tplc="0409001B" w:tentative="1">
      <w:start w:val="1"/>
      <w:numFmt w:val="lowerRoman"/>
      <w:lvlText w:val="%9."/>
      <w:lvlJc w:val="right"/>
      <w:pPr>
        <w:ind w:left="13003" w:hanging="180"/>
      </w:pPr>
    </w:lvl>
  </w:abstractNum>
  <w:abstractNum w:abstractNumId="3">
    <w:nsid w:val="145F3252"/>
    <w:multiLevelType w:val="hybridMultilevel"/>
    <w:tmpl w:val="6AEC7D84"/>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B635B1"/>
    <w:multiLevelType w:val="hybridMultilevel"/>
    <w:tmpl w:val="2F7E5D5C"/>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F440D3"/>
    <w:multiLevelType w:val="hybridMultilevel"/>
    <w:tmpl w:val="59C8CCA4"/>
    <w:lvl w:ilvl="0" w:tplc="13D6574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23F7623"/>
    <w:multiLevelType w:val="hybridMultilevel"/>
    <w:tmpl w:val="EB40781C"/>
    <w:lvl w:ilvl="0" w:tplc="B2087C9A">
      <w:start w:val="1"/>
      <w:numFmt w:val="lowerLetter"/>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8">
    <w:nsid w:val="22E14A96"/>
    <w:multiLevelType w:val="hybridMultilevel"/>
    <w:tmpl w:val="5FD25C50"/>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B62DD9"/>
    <w:multiLevelType w:val="hybridMultilevel"/>
    <w:tmpl w:val="13AADF9E"/>
    <w:lvl w:ilvl="0" w:tplc="04090015">
      <w:start w:val="1"/>
      <w:numFmt w:val="upperLetter"/>
      <w:lvlText w:val="%1."/>
      <w:lvlJc w:val="left"/>
      <w:pPr>
        <w:ind w:left="7033" w:hanging="360"/>
      </w:pPr>
      <w:rPr>
        <w:rFonts w:hint="default"/>
      </w:rPr>
    </w:lvl>
    <w:lvl w:ilvl="1" w:tplc="04090019" w:tentative="1">
      <w:start w:val="1"/>
      <w:numFmt w:val="lowerLetter"/>
      <w:lvlText w:val="%2."/>
      <w:lvlJc w:val="left"/>
      <w:pPr>
        <w:ind w:left="7753" w:hanging="360"/>
      </w:pPr>
    </w:lvl>
    <w:lvl w:ilvl="2" w:tplc="0409001B" w:tentative="1">
      <w:start w:val="1"/>
      <w:numFmt w:val="lowerRoman"/>
      <w:lvlText w:val="%3."/>
      <w:lvlJc w:val="right"/>
      <w:pPr>
        <w:ind w:left="8473" w:hanging="180"/>
      </w:pPr>
    </w:lvl>
    <w:lvl w:ilvl="3" w:tplc="0409000F" w:tentative="1">
      <w:start w:val="1"/>
      <w:numFmt w:val="decimal"/>
      <w:lvlText w:val="%4."/>
      <w:lvlJc w:val="left"/>
      <w:pPr>
        <w:ind w:left="9193" w:hanging="360"/>
      </w:pPr>
    </w:lvl>
    <w:lvl w:ilvl="4" w:tplc="04090019" w:tentative="1">
      <w:start w:val="1"/>
      <w:numFmt w:val="lowerLetter"/>
      <w:lvlText w:val="%5."/>
      <w:lvlJc w:val="left"/>
      <w:pPr>
        <w:ind w:left="9913" w:hanging="360"/>
      </w:pPr>
    </w:lvl>
    <w:lvl w:ilvl="5" w:tplc="0409001B" w:tentative="1">
      <w:start w:val="1"/>
      <w:numFmt w:val="lowerRoman"/>
      <w:lvlText w:val="%6."/>
      <w:lvlJc w:val="right"/>
      <w:pPr>
        <w:ind w:left="10633" w:hanging="180"/>
      </w:pPr>
    </w:lvl>
    <w:lvl w:ilvl="6" w:tplc="0409000F" w:tentative="1">
      <w:start w:val="1"/>
      <w:numFmt w:val="decimal"/>
      <w:lvlText w:val="%7."/>
      <w:lvlJc w:val="left"/>
      <w:pPr>
        <w:ind w:left="11353" w:hanging="360"/>
      </w:pPr>
    </w:lvl>
    <w:lvl w:ilvl="7" w:tplc="04090019" w:tentative="1">
      <w:start w:val="1"/>
      <w:numFmt w:val="lowerLetter"/>
      <w:lvlText w:val="%8."/>
      <w:lvlJc w:val="left"/>
      <w:pPr>
        <w:ind w:left="12073" w:hanging="360"/>
      </w:pPr>
    </w:lvl>
    <w:lvl w:ilvl="8" w:tplc="0409001B" w:tentative="1">
      <w:start w:val="1"/>
      <w:numFmt w:val="lowerRoman"/>
      <w:lvlText w:val="%9."/>
      <w:lvlJc w:val="right"/>
      <w:pPr>
        <w:ind w:left="12793" w:hanging="180"/>
      </w:pPr>
    </w:lvl>
  </w:abstractNum>
  <w:abstractNum w:abstractNumId="10">
    <w:nsid w:val="31106E65"/>
    <w:multiLevelType w:val="hybridMultilevel"/>
    <w:tmpl w:val="BB66B222"/>
    <w:lvl w:ilvl="0" w:tplc="62C6C150">
      <w:start w:val="1"/>
      <w:numFmt w:val="lowerRoman"/>
      <w:pStyle w:val="Style2"/>
      <w:lvlText w:val="(%1)"/>
      <w:lvlJc w:val="left"/>
      <w:pPr>
        <w:ind w:left="6598" w:hanging="360"/>
      </w:pPr>
      <w:rPr>
        <w:rFonts w:hint="default"/>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11">
    <w:nsid w:val="3258131B"/>
    <w:multiLevelType w:val="hybridMultilevel"/>
    <w:tmpl w:val="24C60240"/>
    <w:lvl w:ilvl="0" w:tplc="BBA4294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13">
      <w:start w:val="1"/>
      <w:numFmt w:val="upperRoman"/>
      <w:lvlText w:val="%7."/>
      <w:lvlJc w:val="righ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183E58"/>
    <w:multiLevelType w:val="hybridMultilevel"/>
    <w:tmpl w:val="B0E4B9C4"/>
    <w:lvl w:ilvl="0" w:tplc="04090001">
      <w:start w:val="1"/>
      <w:numFmt w:val="bullet"/>
      <w:lvlText w:val=""/>
      <w:lvlJc w:val="left"/>
      <w:pPr>
        <w:ind w:left="6969" w:hanging="360"/>
      </w:pPr>
      <w:rPr>
        <w:rFonts w:ascii="Symbol" w:hAnsi="Symbol" w:hint="default"/>
      </w:rPr>
    </w:lvl>
    <w:lvl w:ilvl="1" w:tplc="04090003" w:tentative="1">
      <w:start w:val="1"/>
      <w:numFmt w:val="bullet"/>
      <w:lvlText w:val="o"/>
      <w:lvlJc w:val="left"/>
      <w:pPr>
        <w:ind w:left="7689" w:hanging="360"/>
      </w:pPr>
      <w:rPr>
        <w:rFonts w:ascii="Courier New" w:hAnsi="Courier New" w:cs="Courier New" w:hint="default"/>
      </w:rPr>
    </w:lvl>
    <w:lvl w:ilvl="2" w:tplc="04090005" w:tentative="1">
      <w:start w:val="1"/>
      <w:numFmt w:val="bullet"/>
      <w:lvlText w:val=""/>
      <w:lvlJc w:val="left"/>
      <w:pPr>
        <w:ind w:left="8409" w:hanging="360"/>
      </w:pPr>
      <w:rPr>
        <w:rFonts w:ascii="Wingdings" w:hAnsi="Wingdings" w:hint="default"/>
      </w:rPr>
    </w:lvl>
    <w:lvl w:ilvl="3" w:tplc="04090001" w:tentative="1">
      <w:start w:val="1"/>
      <w:numFmt w:val="bullet"/>
      <w:lvlText w:val=""/>
      <w:lvlJc w:val="left"/>
      <w:pPr>
        <w:ind w:left="9129" w:hanging="360"/>
      </w:pPr>
      <w:rPr>
        <w:rFonts w:ascii="Symbol" w:hAnsi="Symbol" w:hint="default"/>
      </w:rPr>
    </w:lvl>
    <w:lvl w:ilvl="4" w:tplc="04090003" w:tentative="1">
      <w:start w:val="1"/>
      <w:numFmt w:val="bullet"/>
      <w:lvlText w:val="o"/>
      <w:lvlJc w:val="left"/>
      <w:pPr>
        <w:ind w:left="9849" w:hanging="360"/>
      </w:pPr>
      <w:rPr>
        <w:rFonts w:ascii="Courier New" w:hAnsi="Courier New" w:cs="Courier New" w:hint="default"/>
      </w:rPr>
    </w:lvl>
    <w:lvl w:ilvl="5" w:tplc="04090005" w:tentative="1">
      <w:start w:val="1"/>
      <w:numFmt w:val="bullet"/>
      <w:lvlText w:val=""/>
      <w:lvlJc w:val="left"/>
      <w:pPr>
        <w:ind w:left="10569" w:hanging="360"/>
      </w:pPr>
      <w:rPr>
        <w:rFonts w:ascii="Wingdings" w:hAnsi="Wingdings" w:hint="default"/>
      </w:rPr>
    </w:lvl>
    <w:lvl w:ilvl="6" w:tplc="04090001" w:tentative="1">
      <w:start w:val="1"/>
      <w:numFmt w:val="bullet"/>
      <w:lvlText w:val=""/>
      <w:lvlJc w:val="left"/>
      <w:pPr>
        <w:ind w:left="11289" w:hanging="360"/>
      </w:pPr>
      <w:rPr>
        <w:rFonts w:ascii="Symbol" w:hAnsi="Symbol" w:hint="default"/>
      </w:rPr>
    </w:lvl>
    <w:lvl w:ilvl="7" w:tplc="04090003" w:tentative="1">
      <w:start w:val="1"/>
      <w:numFmt w:val="bullet"/>
      <w:lvlText w:val="o"/>
      <w:lvlJc w:val="left"/>
      <w:pPr>
        <w:ind w:left="12009" w:hanging="360"/>
      </w:pPr>
      <w:rPr>
        <w:rFonts w:ascii="Courier New" w:hAnsi="Courier New" w:cs="Courier New" w:hint="default"/>
      </w:rPr>
    </w:lvl>
    <w:lvl w:ilvl="8" w:tplc="04090005" w:tentative="1">
      <w:start w:val="1"/>
      <w:numFmt w:val="bullet"/>
      <w:lvlText w:val=""/>
      <w:lvlJc w:val="left"/>
      <w:pPr>
        <w:ind w:left="12729" w:hanging="360"/>
      </w:pPr>
      <w:rPr>
        <w:rFonts w:ascii="Wingdings" w:hAnsi="Wingdings" w:hint="default"/>
      </w:rPr>
    </w:lvl>
  </w:abstractNum>
  <w:abstractNum w:abstractNumId="13">
    <w:nsid w:val="37FF7993"/>
    <w:multiLevelType w:val="hybridMultilevel"/>
    <w:tmpl w:val="2F7E5D5C"/>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3635DC"/>
    <w:multiLevelType w:val="hybridMultilevel"/>
    <w:tmpl w:val="5E1E1CD0"/>
    <w:lvl w:ilvl="0" w:tplc="96F6DDBA">
      <w:start w:val="1"/>
      <w:numFmt w:val="lowerLetter"/>
      <w:lvlText w:val="(%1)"/>
      <w:lvlJc w:val="left"/>
      <w:pPr>
        <w:ind w:left="6613" w:hanging="360"/>
      </w:pPr>
      <w:rPr>
        <w:rFonts w:hint="default"/>
        <w:i w:val="0"/>
      </w:rPr>
    </w:lvl>
    <w:lvl w:ilvl="1" w:tplc="04090019" w:tentative="1">
      <w:start w:val="1"/>
      <w:numFmt w:val="lowerLetter"/>
      <w:lvlText w:val="%2."/>
      <w:lvlJc w:val="left"/>
      <w:pPr>
        <w:ind w:left="7333" w:hanging="360"/>
      </w:pPr>
    </w:lvl>
    <w:lvl w:ilvl="2" w:tplc="0409001B" w:tentative="1">
      <w:start w:val="1"/>
      <w:numFmt w:val="lowerRoman"/>
      <w:lvlText w:val="%3."/>
      <w:lvlJc w:val="right"/>
      <w:pPr>
        <w:ind w:left="8053" w:hanging="180"/>
      </w:pPr>
    </w:lvl>
    <w:lvl w:ilvl="3" w:tplc="0409000F" w:tentative="1">
      <w:start w:val="1"/>
      <w:numFmt w:val="decimal"/>
      <w:lvlText w:val="%4."/>
      <w:lvlJc w:val="left"/>
      <w:pPr>
        <w:ind w:left="8773" w:hanging="360"/>
      </w:pPr>
    </w:lvl>
    <w:lvl w:ilvl="4" w:tplc="04090019" w:tentative="1">
      <w:start w:val="1"/>
      <w:numFmt w:val="lowerLetter"/>
      <w:lvlText w:val="%5."/>
      <w:lvlJc w:val="left"/>
      <w:pPr>
        <w:ind w:left="9493" w:hanging="360"/>
      </w:pPr>
    </w:lvl>
    <w:lvl w:ilvl="5" w:tplc="0409001B" w:tentative="1">
      <w:start w:val="1"/>
      <w:numFmt w:val="lowerRoman"/>
      <w:lvlText w:val="%6."/>
      <w:lvlJc w:val="right"/>
      <w:pPr>
        <w:ind w:left="10213" w:hanging="180"/>
      </w:pPr>
    </w:lvl>
    <w:lvl w:ilvl="6" w:tplc="0409000F" w:tentative="1">
      <w:start w:val="1"/>
      <w:numFmt w:val="decimal"/>
      <w:lvlText w:val="%7."/>
      <w:lvlJc w:val="left"/>
      <w:pPr>
        <w:ind w:left="10933" w:hanging="360"/>
      </w:pPr>
    </w:lvl>
    <w:lvl w:ilvl="7" w:tplc="04090019" w:tentative="1">
      <w:start w:val="1"/>
      <w:numFmt w:val="lowerLetter"/>
      <w:lvlText w:val="%8."/>
      <w:lvlJc w:val="left"/>
      <w:pPr>
        <w:ind w:left="11653" w:hanging="360"/>
      </w:pPr>
    </w:lvl>
    <w:lvl w:ilvl="8" w:tplc="0409001B" w:tentative="1">
      <w:start w:val="1"/>
      <w:numFmt w:val="lowerRoman"/>
      <w:lvlText w:val="%9."/>
      <w:lvlJc w:val="right"/>
      <w:pPr>
        <w:ind w:left="12373" w:hanging="180"/>
      </w:pPr>
    </w:lvl>
  </w:abstractNum>
  <w:abstractNum w:abstractNumId="15">
    <w:nsid w:val="456C0710"/>
    <w:multiLevelType w:val="hybridMultilevel"/>
    <w:tmpl w:val="D17E74F0"/>
    <w:lvl w:ilvl="0" w:tplc="230CFB9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5C5BF3"/>
    <w:multiLevelType w:val="hybridMultilevel"/>
    <w:tmpl w:val="8A704BC8"/>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CB4525"/>
    <w:multiLevelType w:val="hybridMultilevel"/>
    <w:tmpl w:val="74F8C27C"/>
    <w:lvl w:ilvl="0" w:tplc="230CFB90">
      <w:start w:val="1"/>
      <w:numFmt w:val="lowerRoman"/>
      <w:lvlText w:val="(%1)"/>
      <w:lvlJc w:val="left"/>
      <w:pPr>
        <w:ind w:left="6249" w:hanging="360"/>
      </w:pPr>
      <w:rPr>
        <w:rFonts w:hint="default"/>
      </w:rPr>
    </w:lvl>
    <w:lvl w:ilvl="1" w:tplc="04090019" w:tentative="1">
      <w:start w:val="1"/>
      <w:numFmt w:val="lowerLetter"/>
      <w:lvlText w:val="%2."/>
      <w:lvlJc w:val="left"/>
      <w:pPr>
        <w:ind w:left="6969" w:hanging="360"/>
      </w:pPr>
    </w:lvl>
    <w:lvl w:ilvl="2" w:tplc="0409001B" w:tentative="1">
      <w:start w:val="1"/>
      <w:numFmt w:val="lowerRoman"/>
      <w:lvlText w:val="%3."/>
      <w:lvlJc w:val="right"/>
      <w:pPr>
        <w:ind w:left="7689" w:hanging="180"/>
      </w:pPr>
    </w:lvl>
    <w:lvl w:ilvl="3" w:tplc="0409000F" w:tentative="1">
      <w:start w:val="1"/>
      <w:numFmt w:val="decimal"/>
      <w:lvlText w:val="%4."/>
      <w:lvlJc w:val="left"/>
      <w:pPr>
        <w:ind w:left="8409" w:hanging="360"/>
      </w:pPr>
    </w:lvl>
    <w:lvl w:ilvl="4" w:tplc="04090019" w:tentative="1">
      <w:start w:val="1"/>
      <w:numFmt w:val="lowerLetter"/>
      <w:lvlText w:val="%5."/>
      <w:lvlJc w:val="left"/>
      <w:pPr>
        <w:ind w:left="9129" w:hanging="360"/>
      </w:pPr>
    </w:lvl>
    <w:lvl w:ilvl="5" w:tplc="0409001B" w:tentative="1">
      <w:start w:val="1"/>
      <w:numFmt w:val="lowerRoman"/>
      <w:lvlText w:val="%6."/>
      <w:lvlJc w:val="right"/>
      <w:pPr>
        <w:ind w:left="9849" w:hanging="180"/>
      </w:pPr>
    </w:lvl>
    <w:lvl w:ilvl="6" w:tplc="0409000F" w:tentative="1">
      <w:start w:val="1"/>
      <w:numFmt w:val="decimal"/>
      <w:lvlText w:val="%7."/>
      <w:lvlJc w:val="left"/>
      <w:pPr>
        <w:ind w:left="10569" w:hanging="360"/>
      </w:pPr>
    </w:lvl>
    <w:lvl w:ilvl="7" w:tplc="04090019" w:tentative="1">
      <w:start w:val="1"/>
      <w:numFmt w:val="lowerLetter"/>
      <w:lvlText w:val="%8."/>
      <w:lvlJc w:val="left"/>
      <w:pPr>
        <w:ind w:left="11289" w:hanging="360"/>
      </w:pPr>
    </w:lvl>
    <w:lvl w:ilvl="8" w:tplc="0409001B" w:tentative="1">
      <w:start w:val="1"/>
      <w:numFmt w:val="lowerRoman"/>
      <w:lvlText w:val="%9."/>
      <w:lvlJc w:val="right"/>
      <w:pPr>
        <w:ind w:left="12009" w:hanging="180"/>
      </w:pPr>
    </w:lvl>
  </w:abstractNum>
  <w:abstractNum w:abstractNumId="19">
    <w:nsid w:val="58324D33"/>
    <w:multiLevelType w:val="hybridMultilevel"/>
    <w:tmpl w:val="D17E74F0"/>
    <w:lvl w:ilvl="0" w:tplc="230CFB9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D57DAA"/>
    <w:multiLevelType w:val="hybridMultilevel"/>
    <w:tmpl w:val="EB40781C"/>
    <w:lvl w:ilvl="0" w:tplc="B2087C9A">
      <w:start w:val="1"/>
      <w:numFmt w:val="lowerLetter"/>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21">
    <w:nsid w:val="7F303ADE"/>
    <w:multiLevelType w:val="hybridMultilevel"/>
    <w:tmpl w:val="EB40781C"/>
    <w:lvl w:ilvl="0" w:tplc="B2087C9A">
      <w:start w:val="1"/>
      <w:numFmt w:val="lowerLetter"/>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6"/>
  </w:num>
  <w:num w:numId="2">
    <w:abstractNumId w:val="0"/>
  </w:num>
  <w:num w:numId="3">
    <w:abstractNumId w:val="6"/>
  </w:num>
  <w:num w:numId="4">
    <w:abstractNumId w:val="3"/>
  </w:num>
  <w:num w:numId="5">
    <w:abstractNumId w:val="17"/>
  </w:num>
  <w:num w:numId="6">
    <w:abstractNumId w:val="19"/>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1"/>
  </w:num>
  <w:num w:numId="10">
    <w:abstractNumId w:val="21"/>
  </w:num>
  <w:num w:numId="11">
    <w:abstractNumId w:val="4"/>
  </w:num>
  <w:num w:numId="12">
    <w:abstractNumId w:val="13"/>
  </w:num>
  <w:num w:numId="13">
    <w:abstractNumId w:val="18"/>
  </w:num>
  <w:num w:numId="14">
    <w:abstractNumId w:val="9"/>
  </w:num>
  <w:num w:numId="15">
    <w:abstractNumId w:val="12"/>
  </w:num>
  <w:num w:numId="16">
    <w:abstractNumId w:val="2"/>
  </w:num>
  <w:num w:numId="17">
    <w:abstractNumId w:val="1"/>
  </w:num>
  <w:num w:numId="18">
    <w:abstractNumId w:val="10"/>
  </w:num>
  <w:num w:numId="19">
    <w:abstractNumId w:val="14"/>
  </w:num>
  <w:num w:numId="20">
    <w:abstractNumId w:val="5"/>
  </w:num>
  <w:num w:numId="21">
    <w:abstractNumId w:val="15"/>
  </w:num>
  <w:num w:numId="22">
    <w:abstractNumId w:val="7"/>
  </w:num>
  <w:num w:numId="23">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44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B22"/>
    <w:rsid w:val="00022EBE"/>
    <w:rsid w:val="00023218"/>
    <w:rsid w:val="00030202"/>
    <w:rsid w:val="00033BE7"/>
    <w:rsid w:val="0003716F"/>
    <w:rsid w:val="00043CAA"/>
    <w:rsid w:val="00044161"/>
    <w:rsid w:val="00056083"/>
    <w:rsid w:val="00057C24"/>
    <w:rsid w:val="00075432"/>
    <w:rsid w:val="00075A67"/>
    <w:rsid w:val="00083D5D"/>
    <w:rsid w:val="00087374"/>
    <w:rsid w:val="000918E0"/>
    <w:rsid w:val="000968ED"/>
    <w:rsid w:val="000978CE"/>
    <w:rsid w:val="000A2992"/>
    <w:rsid w:val="000A5E2F"/>
    <w:rsid w:val="000F07E1"/>
    <w:rsid w:val="000F2D7A"/>
    <w:rsid w:val="000F3B85"/>
    <w:rsid w:val="000F5E56"/>
    <w:rsid w:val="001141EF"/>
    <w:rsid w:val="001150C9"/>
    <w:rsid w:val="0011638C"/>
    <w:rsid w:val="00132BDD"/>
    <w:rsid w:val="001358BB"/>
    <w:rsid w:val="001362EE"/>
    <w:rsid w:val="00144205"/>
    <w:rsid w:val="001614B4"/>
    <w:rsid w:val="0016667F"/>
    <w:rsid w:val="0017355D"/>
    <w:rsid w:val="001832A6"/>
    <w:rsid w:val="00183640"/>
    <w:rsid w:val="0018569C"/>
    <w:rsid w:val="001D272B"/>
    <w:rsid w:val="001D3C2D"/>
    <w:rsid w:val="001F13FE"/>
    <w:rsid w:val="001F3B22"/>
    <w:rsid w:val="001F6705"/>
    <w:rsid w:val="002229FF"/>
    <w:rsid w:val="0022611D"/>
    <w:rsid w:val="002276CB"/>
    <w:rsid w:val="00244178"/>
    <w:rsid w:val="002465F0"/>
    <w:rsid w:val="0025354E"/>
    <w:rsid w:val="00253A97"/>
    <w:rsid w:val="0025429D"/>
    <w:rsid w:val="002634C4"/>
    <w:rsid w:val="00266D91"/>
    <w:rsid w:val="00285750"/>
    <w:rsid w:val="00292375"/>
    <w:rsid w:val="002928D3"/>
    <w:rsid w:val="002A056B"/>
    <w:rsid w:val="002C02EA"/>
    <w:rsid w:val="002D5273"/>
    <w:rsid w:val="002E737E"/>
    <w:rsid w:val="002F1FE6"/>
    <w:rsid w:val="002F4E68"/>
    <w:rsid w:val="003057AD"/>
    <w:rsid w:val="00307FF0"/>
    <w:rsid w:val="0031126F"/>
    <w:rsid w:val="00312356"/>
    <w:rsid w:val="00312D8A"/>
    <w:rsid w:val="00312F7F"/>
    <w:rsid w:val="00326029"/>
    <w:rsid w:val="00351C0A"/>
    <w:rsid w:val="0035607C"/>
    <w:rsid w:val="00361450"/>
    <w:rsid w:val="00362A51"/>
    <w:rsid w:val="003673CF"/>
    <w:rsid w:val="003845C1"/>
    <w:rsid w:val="003901B2"/>
    <w:rsid w:val="00397D6E"/>
    <w:rsid w:val="003A25A3"/>
    <w:rsid w:val="003A6F89"/>
    <w:rsid w:val="003B38C1"/>
    <w:rsid w:val="003B3FB5"/>
    <w:rsid w:val="003B5CCF"/>
    <w:rsid w:val="003C7605"/>
    <w:rsid w:val="003D27AD"/>
    <w:rsid w:val="003D4A8F"/>
    <w:rsid w:val="003E300A"/>
    <w:rsid w:val="003F715C"/>
    <w:rsid w:val="00401266"/>
    <w:rsid w:val="00405F2A"/>
    <w:rsid w:val="004060D7"/>
    <w:rsid w:val="00407887"/>
    <w:rsid w:val="00423E3E"/>
    <w:rsid w:val="00427AF4"/>
    <w:rsid w:val="00430625"/>
    <w:rsid w:val="004465F3"/>
    <w:rsid w:val="004647DA"/>
    <w:rsid w:val="00471563"/>
    <w:rsid w:val="00471B80"/>
    <w:rsid w:val="00474062"/>
    <w:rsid w:val="00476D2E"/>
    <w:rsid w:val="00477D6B"/>
    <w:rsid w:val="004856AB"/>
    <w:rsid w:val="00491705"/>
    <w:rsid w:val="004A02E2"/>
    <w:rsid w:val="004B00BF"/>
    <w:rsid w:val="004B6BDF"/>
    <w:rsid w:val="004B798F"/>
    <w:rsid w:val="004C13C2"/>
    <w:rsid w:val="004E5FC5"/>
    <w:rsid w:val="004F618C"/>
    <w:rsid w:val="005019FF"/>
    <w:rsid w:val="005025F5"/>
    <w:rsid w:val="00504F51"/>
    <w:rsid w:val="00526131"/>
    <w:rsid w:val="0053057A"/>
    <w:rsid w:val="005328D8"/>
    <w:rsid w:val="005346B5"/>
    <w:rsid w:val="00550931"/>
    <w:rsid w:val="00560A29"/>
    <w:rsid w:val="00561A0B"/>
    <w:rsid w:val="00584493"/>
    <w:rsid w:val="0059310A"/>
    <w:rsid w:val="00596824"/>
    <w:rsid w:val="005B7C8F"/>
    <w:rsid w:val="005C2EB8"/>
    <w:rsid w:val="005C6649"/>
    <w:rsid w:val="005D2A72"/>
    <w:rsid w:val="005D6332"/>
    <w:rsid w:val="005F2D4B"/>
    <w:rsid w:val="00605827"/>
    <w:rsid w:val="00646050"/>
    <w:rsid w:val="00657A95"/>
    <w:rsid w:val="00657AE4"/>
    <w:rsid w:val="006713CA"/>
    <w:rsid w:val="006726B7"/>
    <w:rsid w:val="00676C5C"/>
    <w:rsid w:val="00677206"/>
    <w:rsid w:val="00690580"/>
    <w:rsid w:val="006960CC"/>
    <w:rsid w:val="006961AE"/>
    <w:rsid w:val="006A1D35"/>
    <w:rsid w:val="006A4E51"/>
    <w:rsid w:val="006B07BD"/>
    <w:rsid w:val="006B1AC0"/>
    <w:rsid w:val="006E77DB"/>
    <w:rsid w:val="006F054D"/>
    <w:rsid w:val="00702487"/>
    <w:rsid w:val="007439B0"/>
    <w:rsid w:val="00755C90"/>
    <w:rsid w:val="0075765A"/>
    <w:rsid w:val="007619D8"/>
    <w:rsid w:val="00772BEF"/>
    <w:rsid w:val="007848E2"/>
    <w:rsid w:val="00786274"/>
    <w:rsid w:val="007A7CA1"/>
    <w:rsid w:val="007B20FC"/>
    <w:rsid w:val="007C5F21"/>
    <w:rsid w:val="007C733A"/>
    <w:rsid w:val="007D0D8A"/>
    <w:rsid w:val="007D1613"/>
    <w:rsid w:val="007D6C4F"/>
    <w:rsid w:val="007D7ACA"/>
    <w:rsid w:val="007E1A1F"/>
    <w:rsid w:val="007F2EAE"/>
    <w:rsid w:val="00806CCC"/>
    <w:rsid w:val="00807C43"/>
    <w:rsid w:val="008145E1"/>
    <w:rsid w:val="008157F8"/>
    <w:rsid w:val="00831DC4"/>
    <w:rsid w:val="00833DAA"/>
    <w:rsid w:val="00842A4F"/>
    <w:rsid w:val="00847040"/>
    <w:rsid w:val="008506E8"/>
    <w:rsid w:val="008609A1"/>
    <w:rsid w:val="008626F9"/>
    <w:rsid w:val="00862D0A"/>
    <w:rsid w:val="00865FDE"/>
    <w:rsid w:val="00871970"/>
    <w:rsid w:val="00882483"/>
    <w:rsid w:val="00882AEF"/>
    <w:rsid w:val="00882F77"/>
    <w:rsid w:val="00895F28"/>
    <w:rsid w:val="008979F7"/>
    <w:rsid w:val="008B2CC1"/>
    <w:rsid w:val="008B60B2"/>
    <w:rsid w:val="008C201A"/>
    <w:rsid w:val="008D2E57"/>
    <w:rsid w:val="0090731E"/>
    <w:rsid w:val="00916EE2"/>
    <w:rsid w:val="00917771"/>
    <w:rsid w:val="0092251C"/>
    <w:rsid w:val="009228F3"/>
    <w:rsid w:val="00931EE8"/>
    <w:rsid w:val="00933B4D"/>
    <w:rsid w:val="00933F0A"/>
    <w:rsid w:val="00947634"/>
    <w:rsid w:val="009479A1"/>
    <w:rsid w:val="00956948"/>
    <w:rsid w:val="00961C18"/>
    <w:rsid w:val="00966A22"/>
    <w:rsid w:val="0096722F"/>
    <w:rsid w:val="00973002"/>
    <w:rsid w:val="00980843"/>
    <w:rsid w:val="009B27D2"/>
    <w:rsid w:val="009C6A12"/>
    <w:rsid w:val="009C72A4"/>
    <w:rsid w:val="009E102B"/>
    <w:rsid w:val="009E2791"/>
    <w:rsid w:val="009E3F6F"/>
    <w:rsid w:val="009E4013"/>
    <w:rsid w:val="009F3748"/>
    <w:rsid w:val="009F499F"/>
    <w:rsid w:val="009F73AB"/>
    <w:rsid w:val="009F747C"/>
    <w:rsid w:val="00A0425F"/>
    <w:rsid w:val="00A1045A"/>
    <w:rsid w:val="00A12BE5"/>
    <w:rsid w:val="00A22A97"/>
    <w:rsid w:val="00A30F86"/>
    <w:rsid w:val="00A314DC"/>
    <w:rsid w:val="00A323B1"/>
    <w:rsid w:val="00A42DAF"/>
    <w:rsid w:val="00A45BD8"/>
    <w:rsid w:val="00A46899"/>
    <w:rsid w:val="00A51019"/>
    <w:rsid w:val="00A71265"/>
    <w:rsid w:val="00A822E9"/>
    <w:rsid w:val="00A869B7"/>
    <w:rsid w:val="00A87990"/>
    <w:rsid w:val="00A936DA"/>
    <w:rsid w:val="00A979D8"/>
    <w:rsid w:val="00AA117F"/>
    <w:rsid w:val="00AC205C"/>
    <w:rsid w:val="00AF0A6B"/>
    <w:rsid w:val="00AF3A8B"/>
    <w:rsid w:val="00B0550B"/>
    <w:rsid w:val="00B05A69"/>
    <w:rsid w:val="00B15E23"/>
    <w:rsid w:val="00B22D9B"/>
    <w:rsid w:val="00B312A9"/>
    <w:rsid w:val="00B422F8"/>
    <w:rsid w:val="00B66C0B"/>
    <w:rsid w:val="00B84421"/>
    <w:rsid w:val="00B9734B"/>
    <w:rsid w:val="00BD19F1"/>
    <w:rsid w:val="00BD3B77"/>
    <w:rsid w:val="00BD45DB"/>
    <w:rsid w:val="00BF24CD"/>
    <w:rsid w:val="00BF7567"/>
    <w:rsid w:val="00C0585C"/>
    <w:rsid w:val="00C06AB5"/>
    <w:rsid w:val="00C11BFE"/>
    <w:rsid w:val="00C16463"/>
    <w:rsid w:val="00C43976"/>
    <w:rsid w:val="00C60436"/>
    <w:rsid w:val="00C634C8"/>
    <w:rsid w:val="00C817AA"/>
    <w:rsid w:val="00C85D7D"/>
    <w:rsid w:val="00C9444B"/>
    <w:rsid w:val="00C94673"/>
    <w:rsid w:val="00CA0A10"/>
    <w:rsid w:val="00CA3209"/>
    <w:rsid w:val="00CB4989"/>
    <w:rsid w:val="00CB67E8"/>
    <w:rsid w:val="00CC30FA"/>
    <w:rsid w:val="00CD0DD1"/>
    <w:rsid w:val="00CD675C"/>
    <w:rsid w:val="00CD6ED6"/>
    <w:rsid w:val="00CE70AE"/>
    <w:rsid w:val="00CE73A1"/>
    <w:rsid w:val="00D02B32"/>
    <w:rsid w:val="00D06370"/>
    <w:rsid w:val="00D156CF"/>
    <w:rsid w:val="00D30FA4"/>
    <w:rsid w:val="00D31DBD"/>
    <w:rsid w:val="00D321FB"/>
    <w:rsid w:val="00D3548C"/>
    <w:rsid w:val="00D45252"/>
    <w:rsid w:val="00D633C0"/>
    <w:rsid w:val="00D71B4D"/>
    <w:rsid w:val="00D71CD9"/>
    <w:rsid w:val="00D936CA"/>
    <w:rsid w:val="00D93D55"/>
    <w:rsid w:val="00D956E9"/>
    <w:rsid w:val="00D9575E"/>
    <w:rsid w:val="00DA3947"/>
    <w:rsid w:val="00DB74EE"/>
    <w:rsid w:val="00DC4916"/>
    <w:rsid w:val="00DF17B2"/>
    <w:rsid w:val="00E05C3E"/>
    <w:rsid w:val="00E24FE5"/>
    <w:rsid w:val="00E335FE"/>
    <w:rsid w:val="00E33C24"/>
    <w:rsid w:val="00E52461"/>
    <w:rsid w:val="00E6791B"/>
    <w:rsid w:val="00E82939"/>
    <w:rsid w:val="00E9276B"/>
    <w:rsid w:val="00EA3CE5"/>
    <w:rsid w:val="00EB0008"/>
    <w:rsid w:val="00EB4586"/>
    <w:rsid w:val="00EC4E49"/>
    <w:rsid w:val="00EC5205"/>
    <w:rsid w:val="00ED2034"/>
    <w:rsid w:val="00ED5296"/>
    <w:rsid w:val="00ED77FB"/>
    <w:rsid w:val="00EE45FA"/>
    <w:rsid w:val="00F00B61"/>
    <w:rsid w:val="00F072F2"/>
    <w:rsid w:val="00F66152"/>
    <w:rsid w:val="00F67053"/>
    <w:rsid w:val="00F70A16"/>
    <w:rsid w:val="00F7198D"/>
    <w:rsid w:val="00F76A29"/>
    <w:rsid w:val="00F8608F"/>
    <w:rsid w:val="00F923D5"/>
    <w:rsid w:val="00FB1D7D"/>
    <w:rsid w:val="00FB3F67"/>
    <w:rsid w:val="00FB5385"/>
    <w:rsid w:val="00FB64CA"/>
    <w:rsid w:val="00FD53D5"/>
    <w:rsid w:val="00FE05C6"/>
    <w:rsid w:val="00FE7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97D6E"/>
    <w:rPr>
      <w:rFonts w:ascii="Tahoma" w:hAnsi="Tahoma" w:cs="Tahoma"/>
      <w:sz w:val="16"/>
      <w:szCs w:val="16"/>
    </w:rPr>
  </w:style>
  <w:style w:type="character" w:customStyle="1" w:styleId="BalloonTextChar">
    <w:name w:val="Balloon Text Char"/>
    <w:basedOn w:val="DefaultParagraphFont"/>
    <w:link w:val="BalloonText"/>
    <w:rsid w:val="00397D6E"/>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D71CD9"/>
    <w:rPr>
      <w:rFonts w:ascii="Arial" w:eastAsia="SimSun" w:hAnsi="Arial" w:cs="Arial"/>
      <w:sz w:val="22"/>
      <w:lang w:eastAsia="zh-CN"/>
    </w:rPr>
  </w:style>
  <w:style w:type="character" w:styleId="FootnoteReference">
    <w:name w:val="footnote reference"/>
    <w:basedOn w:val="DefaultParagraphFont"/>
    <w:rsid w:val="004060D7"/>
    <w:rPr>
      <w:vertAlign w:val="superscript"/>
    </w:rPr>
  </w:style>
  <w:style w:type="table" w:styleId="TableGrid">
    <w:name w:val="Table Grid"/>
    <w:basedOn w:val="TableNormal"/>
    <w:rsid w:val="00132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1C0A"/>
    <w:pPr>
      <w:ind w:left="720"/>
      <w:contextualSpacing/>
    </w:pPr>
  </w:style>
  <w:style w:type="character" w:customStyle="1" w:styleId="ONUMEChar">
    <w:name w:val="ONUM E Char"/>
    <w:link w:val="ONUME"/>
    <w:rsid w:val="007439B0"/>
    <w:rPr>
      <w:rFonts w:ascii="Arial" w:eastAsia="SimSun" w:hAnsi="Arial" w:cs="Arial"/>
      <w:sz w:val="22"/>
      <w:lang w:eastAsia="zh-CN"/>
    </w:rPr>
  </w:style>
  <w:style w:type="character" w:styleId="EndnoteReference">
    <w:name w:val="endnote reference"/>
    <w:basedOn w:val="DefaultParagraphFont"/>
    <w:rsid w:val="007C733A"/>
    <w:rPr>
      <w:vertAlign w:val="superscript"/>
    </w:rPr>
  </w:style>
  <w:style w:type="character" w:styleId="CommentReference">
    <w:name w:val="annotation reference"/>
    <w:basedOn w:val="DefaultParagraphFont"/>
    <w:rsid w:val="00B422F8"/>
    <w:rPr>
      <w:sz w:val="16"/>
      <w:szCs w:val="16"/>
    </w:rPr>
  </w:style>
  <w:style w:type="paragraph" w:styleId="CommentSubject">
    <w:name w:val="annotation subject"/>
    <w:basedOn w:val="CommentText"/>
    <w:next w:val="CommentText"/>
    <w:link w:val="CommentSubjectChar"/>
    <w:rsid w:val="00B422F8"/>
    <w:rPr>
      <w:b/>
      <w:bCs/>
      <w:sz w:val="20"/>
    </w:rPr>
  </w:style>
  <w:style w:type="character" w:customStyle="1" w:styleId="CommentTextChar">
    <w:name w:val="Comment Text Char"/>
    <w:basedOn w:val="DefaultParagraphFont"/>
    <w:link w:val="CommentText"/>
    <w:semiHidden/>
    <w:rsid w:val="00B422F8"/>
    <w:rPr>
      <w:rFonts w:ascii="Arial" w:eastAsia="SimSun" w:hAnsi="Arial" w:cs="Arial"/>
      <w:sz w:val="18"/>
      <w:lang w:eastAsia="zh-CN"/>
    </w:rPr>
  </w:style>
  <w:style w:type="character" w:customStyle="1" w:styleId="CommentSubjectChar">
    <w:name w:val="Comment Subject Char"/>
    <w:basedOn w:val="CommentTextChar"/>
    <w:link w:val="CommentSubject"/>
    <w:rsid w:val="00B422F8"/>
    <w:rPr>
      <w:rFonts w:ascii="Arial" w:eastAsia="SimSun" w:hAnsi="Arial" w:cs="Arial"/>
      <w:b/>
      <w:bCs/>
      <w:sz w:val="18"/>
      <w:lang w:eastAsia="zh-CN"/>
    </w:rPr>
  </w:style>
  <w:style w:type="paragraph" w:customStyle="1" w:styleId="Style2">
    <w:name w:val="Style2"/>
    <w:basedOn w:val="Normal"/>
    <w:rsid w:val="00AF3A8B"/>
    <w:pPr>
      <w:numPr>
        <w:numId w:val="18"/>
      </w:numPr>
    </w:pPr>
  </w:style>
  <w:style w:type="paragraph" w:styleId="Revision">
    <w:name w:val="Revision"/>
    <w:hidden/>
    <w:uiPriority w:val="99"/>
    <w:semiHidden/>
    <w:rsid w:val="00292375"/>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97D6E"/>
    <w:rPr>
      <w:rFonts w:ascii="Tahoma" w:hAnsi="Tahoma" w:cs="Tahoma"/>
      <w:sz w:val="16"/>
      <w:szCs w:val="16"/>
    </w:rPr>
  </w:style>
  <w:style w:type="character" w:customStyle="1" w:styleId="BalloonTextChar">
    <w:name w:val="Balloon Text Char"/>
    <w:basedOn w:val="DefaultParagraphFont"/>
    <w:link w:val="BalloonText"/>
    <w:rsid w:val="00397D6E"/>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D71CD9"/>
    <w:rPr>
      <w:rFonts w:ascii="Arial" w:eastAsia="SimSun" w:hAnsi="Arial" w:cs="Arial"/>
      <w:sz w:val="22"/>
      <w:lang w:eastAsia="zh-CN"/>
    </w:rPr>
  </w:style>
  <w:style w:type="character" w:styleId="FootnoteReference">
    <w:name w:val="footnote reference"/>
    <w:basedOn w:val="DefaultParagraphFont"/>
    <w:rsid w:val="004060D7"/>
    <w:rPr>
      <w:vertAlign w:val="superscript"/>
    </w:rPr>
  </w:style>
  <w:style w:type="table" w:styleId="TableGrid">
    <w:name w:val="Table Grid"/>
    <w:basedOn w:val="TableNormal"/>
    <w:rsid w:val="00132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1C0A"/>
    <w:pPr>
      <w:ind w:left="720"/>
      <w:contextualSpacing/>
    </w:pPr>
  </w:style>
  <w:style w:type="character" w:customStyle="1" w:styleId="ONUMEChar">
    <w:name w:val="ONUM E Char"/>
    <w:link w:val="ONUME"/>
    <w:rsid w:val="007439B0"/>
    <w:rPr>
      <w:rFonts w:ascii="Arial" w:eastAsia="SimSun" w:hAnsi="Arial" w:cs="Arial"/>
      <w:sz w:val="22"/>
      <w:lang w:eastAsia="zh-CN"/>
    </w:rPr>
  </w:style>
  <w:style w:type="character" w:styleId="EndnoteReference">
    <w:name w:val="endnote reference"/>
    <w:basedOn w:val="DefaultParagraphFont"/>
    <w:rsid w:val="007C733A"/>
    <w:rPr>
      <w:vertAlign w:val="superscript"/>
    </w:rPr>
  </w:style>
  <w:style w:type="character" w:styleId="CommentReference">
    <w:name w:val="annotation reference"/>
    <w:basedOn w:val="DefaultParagraphFont"/>
    <w:rsid w:val="00B422F8"/>
    <w:rPr>
      <w:sz w:val="16"/>
      <w:szCs w:val="16"/>
    </w:rPr>
  </w:style>
  <w:style w:type="paragraph" w:styleId="CommentSubject">
    <w:name w:val="annotation subject"/>
    <w:basedOn w:val="CommentText"/>
    <w:next w:val="CommentText"/>
    <w:link w:val="CommentSubjectChar"/>
    <w:rsid w:val="00B422F8"/>
    <w:rPr>
      <w:b/>
      <w:bCs/>
      <w:sz w:val="20"/>
    </w:rPr>
  </w:style>
  <w:style w:type="character" w:customStyle="1" w:styleId="CommentTextChar">
    <w:name w:val="Comment Text Char"/>
    <w:basedOn w:val="DefaultParagraphFont"/>
    <w:link w:val="CommentText"/>
    <w:semiHidden/>
    <w:rsid w:val="00B422F8"/>
    <w:rPr>
      <w:rFonts w:ascii="Arial" w:eastAsia="SimSun" w:hAnsi="Arial" w:cs="Arial"/>
      <w:sz w:val="18"/>
      <w:lang w:eastAsia="zh-CN"/>
    </w:rPr>
  </w:style>
  <w:style w:type="character" w:customStyle="1" w:styleId="CommentSubjectChar">
    <w:name w:val="Comment Subject Char"/>
    <w:basedOn w:val="CommentTextChar"/>
    <w:link w:val="CommentSubject"/>
    <w:rsid w:val="00B422F8"/>
    <w:rPr>
      <w:rFonts w:ascii="Arial" w:eastAsia="SimSun" w:hAnsi="Arial" w:cs="Arial"/>
      <w:b/>
      <w:bCs/>
      <w:sz w:val="18"/>
      <w:lang w:eastAsia="zh-CN"/>
    </w:rPr>
  </w:style>
  <w:style w:type="paragraph" w:customStyle="1" w:styleId="Style2">
    <w:name w:val="Style2"/>
    <w:basedOn w:val="Normal"/>
    <w:rsid w:val="00AF3A8B"/>
    <w:pPr>
      <w:numPr>
        <w:numId w:val="18"/>
      </w:numPr>
    </w:pPr>
  </w:style>
  <w:style w:type="paragraph" w:styleId="Revision">
    <w:name w:val="Revision"/>
    <w:hidden/>
    <w:uiPriority w:val="99"/>
    <w:semiHidden/>
    <w:rsid w:val="0029237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775602">
      <w:bodyDiv w:val="1"/>
      <w:marLeft w:val="0"/>
      <w:marRight w:val="0"/>
      <w:marTop w:val="0"/>
      <w:marBottom w:val="0"/>
      <w:divBdr>
        <w:top w:val="none" w:sz="0" w:space="0" w:color="auto"/>
        <w:left w:val="none" w:sz="0" w:space="0" w:color="auto"/>
        <w:bottom w:val="none" w:sz="0" w:space="0" w:color="auto"/>
        <w:right w:val="none" w:sz="0" w:space="0" w:color="auto"/>
      </w:divBdr>
    </w:div>
    <w:div w:id="8699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3%20(E).dot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0356123311376187E-2"/>
          <c:y val="0.13105751197358836"/>
          <c:w val="0.96964391049057008"/>
          <c:h val="0.65233363880837614"/>
        </c:manualLayout>
      </c:layout>
      <c:barChart>
        <c:barDir val="col"/>
        <c:grouping val="stacked"/>
        <c:varyColors val="0"/>
        <c:ser>
          <c:idx val="0"/>
          <c:order val="0"/>
          <c:invertIfNegative val="0"/>
          <c:cat>
            <c:strRef>
              <c:f>Sheet1!$B$3:$Z$3</c:f>
              <c:strCache>
                <c:ptCount val="25"/>
                <c:pt idx="0">
                  <c:v>AUSTRALIA</c:v>
                </c:pt>
                <c:pt idx="1">
                  <c:v>AUSTRIA</c:v>
                </c:pt>
                <c:pt idx="2">
                  <c:v>BELGIUM</c:v>
                </c:pt>
                <c:pt idx="3">
                  <c:v>CANADA</c:v>
                </c:pt>
                <c:pt idx="4">
                  <c:v>CHILE</c:v>
                </c:pt>
                <c:pt idx="5">
                  <c:v>DENMARK</c:v>
                </c:pt>
                <c:pt idx="6">
                  <c:v>FINLAND</c:v>
                </c:pt>
                <c:pt idx="7">
                  <c:v>FRANCE</c:v>
                </c:pt>
                <c:pt idx="8">
                  <c:v>GERMANY</c:v>
                </c:pt>
                <c:pt idx="9">
                  <c:v>HUNGARY</c:v>
                </c:pt>
                <c:pt idx="10">
                  <c:v>IRELAND</c:v>
                </c:pt>
                <c:pt idx="11">
                  <c:v>ITALY</c:v>
                </c:pt>
                <c:pt idx="12">
                  <c:v>JAPAN</c:v>
                </c:pt>
                <c:pt idx="13">
                  <c:v>MEXICO</c:v>
                </c:pt>
                <c:pt idx="14">
                  <c:v>NETHERLANDS</c:v>
                </c:pt>
                <c:pt idx="15">
                  <c:v>NEW ZEALAND</c:v>
                </c:pt>
                <c:pt idx="16">
                  <c:v>NORWAY</c:v>
                </c:pt>
                <c:pt idx="17">
                  <c:v>POLAND</c:v>
                </c:pt>
                <c:pt idx="18">
                  <c:v>PORTUGAL</c:v>
                </c:pt>
                <c:pt idx="19">
                  <c:v>SLOVENIA</c:v>
                </c:pt>
                <c:pt idx="20">
                  <c:v>SPAIN</c:v>
                </c:pt>
                <c:pt idx="21">
                  <c:v>SWEDEN</c:v>
                </c:pt>
                <c:pt idx="22">
                  <c:v>SWITZERLAND</c:v>
                </c:pt>
                <c:pt idx="23">
                  <c:v>UK </c:v>
                </c:pt>
                <c:pt idx="24">
                  <c:v>USA</c:v>
                </c:pt>
              </c:strCache>
            </c:strRef>
          </c:cat>
          <c:val>
            <c:numRef>
              <c:f>Sheet1!$B$4:$Z$4</c:f>
              <c:numCache>
                <c:formatCode>General</c:formatCode>
                <c:ptCount val="25"/>
                <c:pt idx="0">
                  <c:v>2.4</c:v>
                </c:pt>
                <c:pt idx="1">
                  <c:v>0.05</c:v>
                </c:pt>
                <c:pt idx="2">
                  <c:v>0.05</c:v>
                </c:pt>
                <c:pt idx="3">
                  <c:v>0.9</c:v>
                </c:pt>
                <c:pt idx="4">
                  <c:v>3.2</c:v>
                </c:pt>
                <c:pt idx="5">
                  <c:v>-0.4</c:v>
                </c:pt>
                <c:pt idx="6">
                  <c:v>0.05</c:v>
                </c:pt>
                <c:pt idx="7">
                  <c:v>0.05</c:v>
                </c:pt>
                <c:pt idx="8">
                  <c:v>0.05</c:v>
                </c:pt>
                <c:pt idx="9">
                  <c:v>1.9</c:v>
                </c:pt>
                <c:pt idx="10">
                  <c:v>0.05</c:v>
                </c:pt>
                <c:pt idx="11">
                  <c:v>0.05</c:v>
                </c:pt>
                <c:pt idx="12">
                  <c:v>0</c:v>
                </c:pt>
                <c:pt idx="13">
                  <c:v>3.3</c:v>
                </c:pt>
                <c:pt idx="14">
                  <c:v>0.05</c:v>
                </c:pt>
                <c:pt idx="15">
                  <c:v>3.6</c:v>
                </c:pt>
                <c:pt idx="16">
                  <c:v>1.4</c:v>
                </c:pt>
                <c:pt idx="17">
                  <c:v>1.9</c:v>
                </c:pt>
                <c:pt idx="18">
                  <c:v>0.05</c:v>
                </c:pt>
                <c:pt idx="19">
                  <c:v>0.05</c:v>
                </c:pt>
                <c:pt idx="20">
                  <c:v>0.05</c:v>
                </c:pt>
                <c:pt idx="21">
                  <c:v>-0.05</c:v>
                </c:pt>
                <c:pt idx="22">
                  <c:v>-0.9</c:v>
                </c:pt>
                <c:pt idx="23">
                  <c:v>0.5</c:v>
                </c:pt>
                <c:pt idx="24">
                  <c:v>0.2</c:v>
                </c:pt>
              </c:numCache>
            </c:numRef>
          </c:val>
        </c:ser>
        <c:dLbls>
          <c:showLegendKey val="0"/>
          <c:showVal val="0"/>
          <c:showCatName val="0"/>
          <c:showSerName val="0"/>
          <c:showPercent val="0"/>
          <c:showBubbleSize val="0"/>
        </c:dLbls>
        <c:gapWidth val="150"/>
        <c:overlap val="100"/>
        <c:axId val="219536000"/>
        <c:axId val="219805952"/>
      </c:barChart>
      <c:catAx>
        <c:axId val="219536000"/>
        <c:scaling>
          <c:orientation val="minMax"/>
        </c:scaling>
        <c:delete val="0"/>
        <c:axPos val="b"/>
        <c:title>
          <c:tx>
            <c:rich>
              <a:bodyPr/>
              <a:lstStyle/>
              <a:p>
                <a:pPr>
                  <a:defRPr/>
                </a:pPr>
                <a:r>
                  <a:rPr lang="en-US" sz="1400">
                    <a:latin typeface="Arial" panose="020B0604020202020204" pitchFamily="34" charset="0"/>
                    <a:cs typeface="Arial" panose="020B0604020202020204" pitchFamily="34" charset="0"/>
                  </a:rPr>
                  <a:t>WORLD</a:t>
                </a:r>
                <a:r>
                  <a:rPr lang="en-US" sz="1400" baseline="0">
                    <a:latin typeface="Arial" panose="020B0604020202020204" pitchFamily="34" charset="0"/>
                    <a:cs typeface="Arial" panose="020B0604020202020204" pitchFamily="34" charset="0"/>
                  </a:rPr>
                  <a:t> INTEREST  RATES (FEBRUARY 2015)</a:t>
                </a:r>
                <a:endParaRPr lang="en-US" sz="1400">
                  <a:latin typeface="Arial" panose="020B0604020202020204" pitchFamily="34" charset="0"/>
                  <a:cs typeface="Arial" panose="020B0604020202020204" pitchFamily="34" charset="0"/>
                </a:endParaRPr>
              </a:p>
            </c:rich>
          </c:tx>
          <c:layout>
            <c:manualLayout>
              <c:xMode val="edge"/>
              <c:yMode val="edge"/>
              <c:x val="0.31537333695357045"/>
              <c:y val="4.0798976371160318E-2"/>
            </c:manualLayout>
          </c:layout>
          <c:overlay val="0"/>
        </c:title>
        <c:majorTickMark val="out"/>
        <c:minorTickMark val="none"/>
        <c:tickLblPos val="low"/>
        <c:txPr>
          <a:bodyPr rot="-5400000" vert="horz" anchor="t" anchorCtr="0"/>
          <a:lstStyle/>
          <a:p>
            <a:pPr>
              <a:defRPr/>
            </a:pPr>
            <a:endParaRPr lang="en-US"/>
          </a:p>
        </c:txPr>
        <c:crossAx val="219805952"/>
        <c:crosses val="autoZero"/>
        <c:auto val="1"/>
        <c:lblAlgn val="ctr"/>
        <c:lblOffset val="5"/>
        <c:tickLblSkip val="1"/>
        <c:noMultiLvlLbl val="0"/>
      </c:catAx>
      <c:valAx>
        <c:axId val="219805952"/>
        <c:scaling>
          <c:orientation val="minMax"/>
        </c:scaling>
        <c:delete val="0"/>
        <c:axPos val="l"/>
        <c:majorGridlines/>
        <c:numFmt formatCode="General" sourceLinked="1"/>
        <c:majorTickMark val="out"/>
        <c:minorTickMark val="none"/>
        <c:tickLblPos val="nextTo"/>
        <c:crossAx val="219536000"/>
        <c:crosses val="autoZero"/>
        <c:crossBetween val="between"/>
      </c:valAx>
      <c:spPr>
        <a:noFill/>
        <a:ln w="25400">
          <a:noFill/>
        </a:ln>
      </c:spPr>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6A550-5F23-4258-A191-0404973DD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23 (E)</Template>
  <TotalTime>27</TotalTime>
  <Pages>15</Pages>
  <Words>4918</Words>
  <Characters>26084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WO/PBC/23/</vt:lpstr>
    </vt:vector>
  </TitlesOfParts>
  <Company>WIPO</Company>
  <LinksUpToDate>false</LinksUpToDate>
  <CharactersWithSpaces>30941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WO/PBC/23/</dc:title>
  <dc:creator>MITON GENOUD Anne</dc:creator>
  <cp:lastModifiedBy>NETTER Iza</cp:lastModifiedBy>
  <cp:revision>13</cp:revision>
  <cp:lastPrinted>2015-06-04T10:27:00Z</cp:lastPrinted>
  <dcterms:created xsi:type="dcterms:W3CDTF">2015-06-01T07:33:00Z</dcterms:created>
  <dcterms:modified xsi:type="dcterms:W3CDTF">2015-06-04T10:31:00Z</dcterms:modified>
</cp:coreProperties>
</file>