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E9276B" w:rsidP="00916EE2">
            <w:r>
              <w:rPr>
                <w:noProof/>
                <w:lang w:eastAsia="en-US"/>
              </w:rPr>
              <w:drawing>
                <wp:inline distT="0" distB="0" distL="0" distR="0" wp14:anchorId="31ACDAC0" wp14:editId="4F50B95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97D6E" w:rsidP="00916EE2">
            <w:pPr>
              <w:jc w:val="right"/>
              <w:rPr>
                <w:rFonts w:ascii="Arial Black" w:hAnsi="Arial Black"/>
                <w:caps/>
                <w:sz w:val="15"/>
              </w:rPr>
            </w:pPr>
            <w:r>
              <w:rPr>
                <w:rFonts w:ascii="Arial Black" w:hAnsi="Arial Black"/>
                <w:caps/>
                <w:sz w:val="15"/>
              </w:rPr>
              <w:t>wo/pbc/23/</w:t>
            </w:r>
            <w:bookmarkStart w:id="1" w:name="Code"/>
            <w:bookmarkEnd w:id="1"/>
            <w:r w:rsidR="00BB6025">
              <w:rPr>
                <w:rFonts w:ascii="Arial Black" w:hAnsi="Arial Black"/>
                <w:caps/>
                <w:sz w:val="15"/>
              </w:rPr>
              <w:t>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BB602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15E4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515E4B">
              <w:rPr>
                <w:rFonts w:ascii="Arial Black" w:hAnsi="Arial Black"/>
                <w:caps/>
                <w:sz w:val="15"/>
              </w:rPr>
              <w:t>MAY 11</w:t>
            </w:r>
            <w:r w:rsidR="00BB6025">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276B" w:rsidRPr="00E9276B" w:rsidRDefault="00E9276B" w:rsidP="00E9276B">
      <w:pPr>
        <w:rPr>
          <w:b/>
          <w:sz w:val="28"/>
          <w:szCs w:val="28"/>
        </w:rPr>
      </w:pPr>
      <w:r w:rsidRPr="00E9276B">
        <w:rPr>
          <w:b/>
          <w:sz w:val="28"/>
          <w:szCs w:val="28"/>
        </w:rPr>
        <w:t>Program and Budget Committee</w:t>
      </w:r>
    </w:p>
    <w:p w:rsidR="003845C1" w:rsidRDefault="003845C1" w:rsidP="003845C1"/>
    <w:p w:rsidR="003845C1" w:rsidRDefault="003845C1" w:rsidP="003845C1"/>
    <w:p w:rsidR="00E9276B" w:rsidRPr="00E9276B" w:rsidRDefault="00E9276B" w:rsidP="00E9276B">
      <w:pPr>
        <w:rPr>
          <w:b/>
          <w:sz w:val="24"/>
          <w:szCs w:val="24"/>
        </w:rPr>
      </w:pPr>
      <w:r w:rsidRPr="00E9276B">
        <w:rPr>
          <w:b/>
          <w:sz w:val="24"/>
          <w:szCs w:val="24"/>
        </w:rPr>
        <w:t xml:space="preserve">Twenty-Third </w:t>
      </w:r>
      <w:proofErr w:type="gramStart"/>
      <w:r w:rsidRPr="00E9276B">
        <w:rPr>
          <w:b/>
          <w:sz w:val="24"/>
          <w:szCs w:val="24"/>
        </w:rPr>
        <w:t>Session</w:t>
      </w:r>
      <w:proofErr w:type="gramEnd"/>
    </w:p>
    <w:p w:rsidR="00E9276B" w:rsidRPr="00E9276B" w:rsidRDefault="00E9276B" w:rsidP="00E9276B">
      <w:pPr>
        <w:rPr>
          <w:b/>
          <w:sz w:val="24"/>
          <w:szCs w:val="24"/>
        </w:rPr>
      </w:pPr>
      <w:r w:rsidRPr="00E9276B">
        <w:rPr>
          <w:b/>
          <w:sz w:val="24"/>
          <w:szCs w:val="24"/>
        </w:rPr>
        <w:t>Geneva, July 13 to 17, 2015</w:t>
      </w:r>
    </w:p>
    <w:p w:rsidR="008B2CC1" w:rsidRPr="008B2CC1" w:rsidRDefault="008B2CC1" w:rsidP="008B2CC1"/>
    <w:p w:rsidR="008B2CC1" w:rsidRPr="008B2CC1" w:rsidRDefault="008B2CC1" w:rsidP="008B2CC1"/>
    <w:p w:rsidR="008B2CC1" w:rsidRPr="008B2CC1" w:rsidRDefault="008B2CC1" w:rsidP="008B2CC1"/>
    <w:p w:rsidR="00BB6025" w:rsidRDefault="00BB6025" w:rsidP="008B2CC1">
      <w:pPr>
        <w:rPr>
          <w:caps/>
          <w:sz w:val="24"/>
        </w:rPr>
      </w:pPr>
      <w:bookmarkStart w:id="4" w:name="TitleOfDoc"/>
      <w:bookmarkEnd w:id="4"/>
      <w:r>
        <w:rPr>
          <w:caps/>
          <w:sz w:val="24"/>
        </w:rPr>
        <w:t xml:space="preserve">JOINT INSPECTION UNIT REPORT “REVIEW OF MANAGEMENT AND ADMINISTRATION IN THE WORLD INTELLECTUAL PROPERTY ORGANIZATION (WIPO)” (JIU/REP/2014/2):  </w:t>
      </w:r>
      <w:r w:rsidR="00822AB0">
        <w:rPr>
          <w:caps/>
          <w:sz w:val="24"/>
        </w:rPr>
        <w:t>PROGRESS REPORT ON THE IMPLEMENTATION OF RECOMMENDATIONS</w:t>
      </w:r>
    </w:p>
    <w:p w:rsidR="008B2CC1" w:rsidRPr="008B2CC1" w:rsidRDefault="008B2CC1" w:rsidP="008B2CC1"/>
    <w:p w:rsidR="008B2CC1" w:rsidRPr="008B2CC1" w:rsidRDefault="00BB6025"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Pr="002C463D" w:rsidRDefault="002928D3" w:rsidP="0053057A"/>
    <w:p w:rsidR="00205BEA" w:rsidRDefault="00205BEA" w:rsidP="00205BEA">
      <w:pPr>
        <w:pStyle w:val="ONUME"/>
      </w:pPr>
      <w:r w:rsidRPr="002C463D">
        <w:t>The Joint Inspection Unit (JIU) undertook a review of the management and administration of WIPO in 2014, as part of a series of reviews of participating organizations. The report was p</w:t>
      </w:r>
      <w:r w:rsidR="002C463D">
        <w:t>resented to Member States in 2014 (</w:t>
      </w:r>
      <w:r w:rsidR="00F0308D">
        <w:t>document WO/PBC/22/20)</w:t>
      </w:r>
      <w:r w:rsidR="00FF61F0">
        <w:t>.  The Program and Budget Committee (PBC) took note of (</w:t>
      </w:r>
      <w:proofErr w:type="spellStart"/>
      <w:r w:rsidR="00FF61F0">
        <w:t>i</w:t>
      </w:r>
      <w:proofErr w:type="spellEnd"/>
      <w:r w:rsidR="00FF61F0">
        <w:t>) the actions taken by the Director General to send letters to the Chairs of the WIPO General Assembly and the Coordination Committee, drawing their attention to the recommendations addressed to the legislative bodies of WIPO by the JIU, as well as (ii)</w:t>
      </w:r>
      <w:r w:rsidR="00811E7B">
        <w:t> </w:t>
      </w:r>
      <w:r w:rsidR="00FF61F0">
        <w:t>of the progress made on the implementation of the recommendations addressed to the Director General.</w:t>
      </w:r>
    </w:p>
    <w:p w:rsidR="00FF61F0" w:rsidRDefault="00FF61F0" w:rsidP="00205BEA">
      <w:pPr>
        <w:pStyle w:val="ONUME"/>
      </w:pPr>
      <w:r>
        <w:t>In accordance with the PBC’s request, the Secretariat presents this follow-up report on the implementation of the JIU Management and Administration Report (MAR) recommendations and any other actions taken in response to the report.</w:t>
      </w:r>
    </w:p>
    <w:p w:rsidR="00A05199" w:rsidRDefault="00FF61F0" w:rsidP="00205BEA">
      <w:pPr>
        <w:pStyle w:val="ONUME"/>
      </w:pPr>
      <w:r>
        <w:t>The table below provides the details of the updated status of</w:t>
      </w:r>
      <w:r w:rsidR="00A05199">
        <w:t xml:space="preserve"> the actions taken by</w:t>
      </w:r>
      <w:r>
        <w:t xml:space="preserve"> WIPO</w:t>
      </w:r>
      <w:r w:rsidR="00A05199">
        <w:t xml:space="preserve"> in</w:t>
      </w:r>
      <w:r>
        <w:t xml:space="preserve"> response to the JIU recommendations, indicating that</w:t>
      </w:r>
      <w:r w:rsidR="00811E7B">
        <w:t>:</w:t>
      </w:r>
    </w:p>
    <w:p w:rsidR="00A05199" w:rsidRDefault="00A05199" w:rsidP="00A05199">
      <w:pPr>
        <w:pStyle w:val="ONUME"/>
        <w:numPr>
          <w:ilvl w:val="1"/>
          <w:numId w:val="5"/>
        </w:numPr>
      </w:pPr>
      <w:r>
        <w:t xml:space="preserve">Out of eight recommendations addressed to the Director General, </w:t>
      </w:r>
      <w:r w:rsidR="009B2D83">
        <w:t>seven</w:t>
      </w:r>
      <w:r>
        <w:t xml:space="preserve"> have been fully implemented (recommendations 2, 3, 4, 5, 8, </w:t>
      </w:r>
      <w:r w:rsidR="009B2D83">
        <w:t xml:space="preserve">9, </w:t>
      </w:r>
      <w:r>
        <w:t xml:space="preserve">and </w:t>
      </w:r>
      <w:r w:rsidR="009B2D83">
        <w:t>10</w:t>
      </w:r>
      <w:r>
        <w:t xml:space="preserve">), and </w:t>
      </w:r>
      <w:r w:rsidR="009B2D83">
        <w:t>one (recommendation</w:t>
      </w:r>
      <w:r w:rsidR="00811E7B">
        <w:t> </w:t>
      </w:r>
      <w:r w:rsidR="009B2D83">
        <w:t>7) remains subject to a legislative body recommendation (recommendation 6)</w:t>
      </w:r>
      <w:r>
        <w:t>;</w:t>
      </w:r>
      <w:r w:rsidR="00CF4E91">
        <w:t xml:space="preserve">  and</w:t>
      </w:r>
    </w:p>
    <w:p w:rsidR="00EC6D92" w:rsidRPr="002C463D" w:rsidRDefault="00A05199" w:rsidP="00811E7B">
      <w:pPr>
        <w:pStyle w:val="ONUME"/>
        <w:numPr>
          <w:ilvl w:val="1"/>
          <w:numId w:val="5"/>
        </w:numPr>
      </w:pPr>
      <w:r>
        <w:t>Two recommendations addressed to the legislative bodies of WIPO, i.e</w:t>
      </w:r>
      <w:r w:rsidR="00811E7B">
        <w:t>. </w:t>
      </w:r>
      <w:r>
        <w:t>the</w:t>
      </w:r>
      <w:r w:rsidR="00811E7B">
        <w:t> </w:t>
      </w:r>
      <w:r>
        <w:t xml:space="preserve">General Assembly (recommendation 1) and the Coordination Committee (recommendation 6) </w:t>
      </w:r>
      <w:proofErr w:type="gramStart"/>
      <w:r>
        <w:t>remain</w:t>
      </w:r>
      <w:proofErr w:type="gramEnd"/>
      <w:r>
        <w:t xml:space="preserve"> under consideration by these bodies</w:t>
      </w:r>
      <w:r w:rsidR="00205BEA" w:rsidRPr="002C463D">
        <w:t>.</w:t>
      </w:r>
    </w:p>
    <w:p w:rsidR="00205BEA" w:rsidRDefault="00205BEA" w:rsidP="00205BEA">
      <w:pPr>
        <w:pStyle w:val="ONUME"/>
      </w:pPr>
      <w:r w:rsidRPr="002C463D">
        <w:lastRenderedPageBreak/>
        <w:t>WIPO</w:t>
      </w:r>
      <w:r w:rsidR="00A05199">
        <w:t xml:space="preserve"> will continue to report on the outstanding recommendations within the context of its regular reporting on the progress of implementation of JIU </w:t>
      </w:r>
      <w:r w:rsidRPr="002C463D">
        <w:t>recommendations</w:t>
      </w:r>
      <w:r w:rsidR="00A05199">
        <w:t>.</w:t>
      </w:r>
    </w:p>
    <w:p w:rsidR="00811E7B" w:rsidRPr="002C463D" w:rsidRDefault="00811E7B" w:rsidP="00811E7B">
      <w:pPr>
        <w:pStyle w:val="ONUME"/>
        <w:numPr>
          <w:ilvl w:val="0"/>
          <w:numId w:val="0"/>
        </w:numPr>
      </w:pPr>
    </w:p>
    <w:tbl>
      <w:tblPr>
        <w:tblStyle w:val="TableGrid"/>
        <w:tblW w:w="0" w:type="auto"/>
        <w:tblLook w:val="04A0" w:firstRow="1" w:lastRow="0" w:firstColumn="1" w:lastColumn="0" w:noHBand="0" w:noVBand="1"/>
      </w:tblPr>
      <w:tblGrid>
        <w:gridCol w:w="1951"/>
        <w:gridCol w:w="1701"/>
        <w:gridCol w:w="1287"/>
        <w:gridCol w:w="1548"/>
        <w:gridCol w:w="3084"/>
      </w:tblGrid>
      <w:tr w:rsidR="0053155A" w:rsidTr="00EC6D92">
        <w:trPr>
          <w:trHeight w:val="435"/>
          <w:tblHeader/>
        </w:trPr>
        <w:tc>
          <w:tcPr>
            <w:tcW w:w="1951" w:type="dxa"/>
            <w:vMerge w:val="restart"/>
            <w:tcBorders>
              <w:top w:val="single" w:sz="4" w:space="0" w:color="auto"/>
              <w:left w:val="single" w:sz="4" w:space="0" w:color="auto"/>
              <w:right w:val="single" w:sz="4" w:space="0" w:color="auto"/>
            </w:tcBorders>
            <w:shd w:val="clear" w:color="auto" w:fill="B6DDE8" w:themeFill="accent5" w:themeFillTint="66"/>
            <w:tcMar>
              <w:top w:w="113" w:type="dxa"/>
            </w:tcMar>
            <w:vAlign w:val="bottom"/>
          </w:tcPr>
          <w:p w:rsidR="0053155A" w:rsidRDefault="0053155A" w:rsidP="006B7BE1">
            <w:pPr>
              <w:pStyle w:val="ONUME"/>
              <w:numPr>
                <w:ilvl w:val="0"/>
                <w:numId w:val="0"/>
              </w:numPr>
              <w:jc w:val="center"/>
            </w:pPr>
            <w:r w:rsidRPr="006E5611">
              <w:rPr>
                <w:b/>
                <w:sz w:val="18"/>
                <w:szCs w:val="18"/>
              </w:rPr>
              <w:t>Recommendations</w:t>
            </w:r>
          </w:p>
        </w:tc>
        <w:tc>
          <w:tcPr>
            <w:tcW w:w="1701" w:type="dxa"/>
            <w:vMerge w:val="restart"/>
            <w:tcBorders>
              <w:top w:val="single" w:sz="4" w:space="0" w:color="auto"/>
              <w:left w:val="single" w:sz="4" w:space="0" w:color="auto"/>
              <w:right w:val="single" w:sz="4" w:space="0" w:color="auto"/>
            </w:tcBorders>
            <w:shd w:val="clear" w:color="auto" w:fill="B6DDE8" w:themeFill="accent5" w:themeFillTint="66"/>
            <w:tcMar>
              <w:top w:w="113" w:type="dxa"/>
            </w:tcMar>
            <w:vAlign w:val="bottom"/>
          </w:tcPr>
          <w:p w:rsidR="0053155A" w:rsidRPr="00D51C8D" w:rsidRDefault="0053155A" w:rsidP="006B7BE1">
            <w:pPr>
              <w:pStyle w:val="ONUME"/>
              <w:numPr>
                <w:ilvl w:val="0"/>
                <w:numId w:val="0"/>
              </w:numPr>
              <w:jc w:val="center"/>
              <w:rPr>
                <w:b/>
                <w:sz w:val="18"/>
                <w:szCs w:val="18"/>
              </w:rPr>
            </w:pPr>
            <w:r w:rsidRPr="00D51C8D">
              <w:rPr>
                <w:b/>
                <w:sz w:val="18"/>
                <w:szCs w:val="18"/>
              </w:rPr>
              <w:t>Responsible Officer</w:t>
            </w:r>
          </w:p>
        </w:tc>
        <w:tc>
          <w:tcPr>
            <w:tcW w:w="2835" w:type="dxa"/>
            <w:gridSpan w:val="2"/>
            <w:tcBorders>
              <w:left w:val="single" w:sz="4" w:space="0" w:color="auto"/>
              <w:right w:val="single" w:sz="4" w:space="0" w:color="auto"/>
            </w:tcBorders>
            <w:shd w:val="clear" w:color="auto" w:fill="B6DDE8" w:themeFill="accent5" w:themeFillTint="66"/>
            <w:tcMar>
              <w:top w:w="113" w:type="dxa"/>
            </w:tcMar>
            <w:vAlign w:val="bottom"/>
          </w:tcPr>
          <w:p w:rsidR="0053155A" w:rsidRDefault="0053155A" w:rsidP="0053155A">
            <w:pPr>
              <w:pStyle w:val="ONUME"/>
              <w:numPr>
                <w:ilvl w:val="0"/>
                <w:numId w:val="0"/>
              </w:numPr>
              <w:jc w:val="center"/>
            </w:pPr>
            <w:r w:rsidRPr="00157CCC">
              <w:rPr>
                <w:b/>
                <w:sz w:val="18"/>
                <w:szCs w:val="18"/>
              </w:rPr>
              <w:t>Acceptance Status</w:t>
            </w:r>
          </w:p>
        </w:tc>
        <w:tc>
          <w:tcPr>
            <w:tcW w:w="3084" w:type="dxa"/>
            <w:vMerge w:val="restart"/>
            <w:tcBorders>
              <w:top w:val="single" w:sz="4" w:space="0" w:color="auto"/>
              <w:left w:val="single" w:sz="4" w:space="0" w:color="auto"/>
              <w:right w:val="single" w:sz="4" w:space="0" w:color="auto"/>
            </w:tcBorders>
            <w:shd w:val="clear" w:color="auto" w:fill="B6DDE8" w:themeFill="accent5" w:themeFillTint="66"/>
            <w:tcMar>
              <w:top w:w="85" w:type="dxa"/>
            </w:tcMar>
            <w:vAlign w:val="bottom"/>
          </w:tcPr>
          <w:p w:rsidR="0053155A" w:rsidRDefault="0053155A" w:rsidP="006B7BE1">
            <w:pPr>
              <w:pStyle w:val="ONUME"/>
              <w:numPr>
                <w:ilvl w:val="0"/>
                <w:numId w:val="0"/>
              </w:numPr>
              <w:jc w:val="center"/>
            </w:pPr>
            <w:r>
              <w:rPr>
                <w:b/>
                <w:sz w:val="18"/>
                <w:szCs w:val="18"/>
              </w:rPr>
              <w:t>Management/Focal Point Assessment</w:t>
            </w:r>
          </w:p>
        </w:tc>
      </w:tr>
      <w:tr w:rsidR="0053155A" w:rsidTr="00EC6D92">
        <w:trPr>
          <w:trHeight w:val="20"/>
          <w:tblHeader/>
        </w:trPr>
        <w:tc>
          <w:tcPr>
            <w:tcW w:w="1951" w:type="dxa"/>
            <w:vMerge/>
            <w:tcBorders>
              <w:left w:val="single" w:sz="4" w:space="0" w:color="auto"/>
              <w:right w:val="single" w:sz="4" w:space="0" w:color="auto"/>
            </w:tcBorders>
            <w:shd w:val="clear" w:color="auto" w:fill="B6DDE8" w:themeFill="accent5" w:themeFillTint="66"/>
            <w:tcMar>
              <w:top w:w="113" w:type="dxa"/>
            </w:tcMar>
            <w:vAlign w:val="bottom"/>
          </w:tcPr>
          <w:p w:rsidR="0053155A" w:rsidRPr="006E5611" w:rsidRDefault="0053155A" w:rsidP="006B7BE1">
            <w:pPr>
              <w:pStyle w:val="ONUME"/>
              <w:numPr>
                <w:ilvl w:val="0"/>
                <w:numId w:val="0"/>
              </w:numPr>
              <w:jc w:val="center"/>
              <w:rPr>
                <w:b/>
                <w:sz w:val="18"/>
                <w:szCs w:val="18"/>
              </w:rPr>
            </w:pPr>
          </w:p>
        </w:tc>
        <w:tc>
          <w:tcPr>
            <w:tcW w:w="1701" w:type="dxa"/>
            <w:vMerge/>
            <w:tcBorders>
              <w:left w:val="single" w:sz="4" w:space="0" w:color="auto"/>
              <w:right w:val="single" w:sz="4" w:space="0" w:color="auto"/>
            </w:tcBorders>
            <w:shd w:val="clear" w:color="auto" w:fill="B6DDE8" w:themeFill="accent5" w:themeFillTint="66"/>
            <w:tcMar>
              <w:top w:w="113" w:type="dxa"/>
            </w:tcMar>
            <w:vAlign w:val="bottom"/>
          </w:tcPr>
          <w:p w:rsidR="0053155A" w:rsidRPr="00D51C8D" w:rsidRDefault="0053155A" w:rsidP="006B7BE1">
            <w:pPr>
              <w:pStyle w:val="ONUME"/>
              <w:numPr>
                <w:ilvl w:val="0"/>
                <w:numId w:val="0"/>
              </w:numPr>
              <w:jc w:val="center"/>
              <w:rPr>
                <w:b/>
                <w:sz w:val="18"/>
                <w:szCs w:val="18"/>
              </w:rPr>
            </w:pPr>
          </w:p>
        </w:tc>
        <w:tc>
          <w:tcPr>
            <w:tcW w:w="1287" w:type="dxa"/>
            <w:tcBorders>
              <w:left w:val="single" w:sz="4" w:space="0" w:color="auto"/>
              <w:right w:val="single" w:sz="4" w:space="0" w:color="auto"/>
            </w:tcBorders>
            <w:shd w:val="clear" w:color="auto" w:fill="B6DDE8" w:themeFill="accent5" w:themeFillTint="66"/>
            <w:tcMar>
              <w:top w:w="113" w:type="dxa"/>
            </w:tcMar>
            <w:vAlign w:val="bottom"/>
          </w:tcPr>
          <w:p w:rsidR="0053155A" w:rsidRPr="00157CCC" w:rsidRDefault="0053155A" w:rsidP="006B7BE1">
            <w:pPr>
              <w:pStyle w:val="ONUME"/>
              <w:numPr>
                <w:ilvl w:val="0"/>
                <w:numId w:val="0"/>
              </w:numPr>
              <w:jc w:val="center"/>
              <w:rPr>
                <w:b/>
                <w:sz w:val="18"/>
                <w:szCs w:val="18"/>
              </w:rPr>
            </w:pPr>
            <w:r>
              <w:rPr>
                <w:b/>
                <w:sz w:val="18"/>
                <w:szCs w:val="18"/>
              </w:rPr>
              <w:t>Acceptance</w:t>
            </w:r>
          </w:p>
        </w:tc>
        <w:tc>
          <w:tcPr>
            <w:tcW w:w="1548" w:type="dxa"/>
            <w:tcBorders>
              <w:left w:val="single" w:sz="4" w:space="0" w:color="auto"/>
              <w:right w:val="single" w:sz="4" w:space="0" w:color="auto"/>
            </w:tcBorders>
            <w:shd w:val="clear" w:color="auto" w:fill="B6DDE8" w:themeFill="accent5" w:themeFillTint="66"/>
            <w:tcMar>
              <w:top w:w="113" w:type="dxa"/>
            </w:tcMar>
            <w:vAlign w:val="bottom"/>
          </w:tcPr>
          <w:p w:rsidR="0053155A" w:rsidRPr="00157CCC" w:rsidRDefault="0053155A" w:rsidP="006B7BE1">
            <w:pPr>
              <w:pStyle w:val="ONUME"/>
              <w:numPr>
                <w:ilvl w:val="0"/>
                <w:numId w:val="0"/>
              </w:numPr>
              <w:jc w:val="center"/>
              <w:rPr>
                <w:b/>
                <w:sz w:val="18"/>
                <w:szCs w:val="18"/>
              </w:rPr>
            </w:pPr>
            <w:r>
              <w:rPr>
                <w:b/>
                <w:sz w:val="18"/>
                <w:szCs w:val="18"/>
              </w:rPr>
              <w:t>Implementation</w:t>
            </w:r>
          </w:p>
        </w:tc>
        <w:tc>
          <w:tcPr>
            <w:tcW w:w="3084" w:type="dxa"/>
            <w:vMerge/>
            <w:tcBorders>
              <w:left w:val="single" w:sz="4" w:space="0" w:color="auto"/>
              <w:right w:val="single" w:sz="4" w:space="0" w:color="auto"/>
            </w:tcBorders>
            <w:shd w:val="clear" w:color="auto" w:fill="B6DDE8" w:themeFill="accent5" w:themeFillTint="66"/>
            <w:tcMar>
              <w:top w:w="113" w:type="dxa"/>
            </w:tcMar>
            <w:vAlign w:val="bottom"/>
          </w:tcPr>
          <w:p w:rsidR="0053155A" w:rsidRDefault="0053155A" w:rsidP="006B7BE1">
            <w:pPr>
              <w:pStyle w:val="ONUME"/>
              <w:numPr>
                <w:ilvl w:val="0"/>
                <w:numId w:val="0"/>
              </w:numPr>
              <w:jc w:val="center"/>
              <w:rPr>
                <w:b/>
                <w:sz w:val="18"/>
                <w:szCs w:val="18"/>
              </w:rPr>
            </w:pPr>
          </w:p>
        </w:tc>
      </w:tr>
      <w:tr w:rsidR="00EC6D92" w:rsidTr="00EC6D92">
        <w:tc>
          <w:tcPr>
            <w:tcW w:w="1951" w:type="dxa"/>
            <w:tcBorders>
              <w:top w:val="single" w:sz="4" w:space="0" w:color="auto"/>
            </w:tcBorders>
            <w:tcMar>
              <w:top w:w="113" w:type="dxa"/>
            </w:tcMar>
          </w:tcPr>
          <w:p w:rsidR="00D51C8D" w:rsidRPr="00846812" w:rsidRDefault="00846812" w:rsidP="00D166D7">
            <w:pPr>
              <w:pStyle w:val="ONUME"/>
              <w:numPr>
                <w:ilvl w:val="0"/>
                <w:numId w:val="0"/>
              </w:numPr>
              <w:rPr>
                <w:sz w:val="18"/>
                <w:szCs w:val="18"/>
              </w:rPr>
            </w:pPr>
            <w:r>
              <w:rPr>
                <w:sz w:val="18"/>
                <w:szCs w:val="18"/>
              </w:rPr>
              <w:t xml:space="preserve">Rec. 1.  </w:t>
            </w:r>
            <w:r w:rsidRPr="00846812">
              <w:rPr>
                <w:sz w:val="18"/>
                <w:szCs w:val="18"/>
              </w:rPr>
              <w:t>The WIPO General Assembly should review the WIPO governance framework as well as current practices with a view to strengthen the capacity of the governing bodies to guide and monitor the work of the organization. In doing so, Member States may wish to consider in their</w:t>
            </w:r>
            <w:r>
              <w:rPr>
                <w:sz w:val="18"/>
                <w:szCs w:val="18"/>
              </w:rPr>
              <w:t xml:space="preserve"> deliberations the options suggested in this report</w:t>
            </w:r>
            <w:r w:rsidR="002F4C82">
              <w:rPr>
                <w:sz w:val="18"/>
                <w:szCs w:val="18"/>
              </w:rPr>
              <w:t>.</w:t>
            </w:r>
          </w:p>
        </w:tc>
        <w:tc>
          <w:tcPr>
            <w:tcW w:w="1701" w:type="dxa"/>
            <w:tcBorders>
              <w:top w:val="single" w:sz="4" w:space="0" w:color="auto"/>
            </w:tcBorders>
            <w:tcMar>
              <w:top w:w="113" w:type="dxa"/>
            </w:tcMar>
          </w:tcPr>
          <w:p w:rsidR="00D51C8D" w:rsidRDefault="008579C3" w:rsidP="00D166D7">
            <w:pPr>
              <w:pStyle w:val="ONUME"/>
              <w:numPr>
                <w:ilvl w:val="0"/>
                <w:numId w:val="0"/>
              </w:numPr>
            </w:pPr>
            <w:r>
              <w:rPr>
                <w:rFonts w:eastAsia="Calibri"/>
                <w:sz w:val="18"/>
                <w:szCs w:val="18"/>
              </w:rPr>
              <w:t>Assistant Director General and Chief of Staff</w:t>
            </w:r>
          </w:p>
        </w:tc>
        <w:tc>
          <w:tcPr>
            <w:tcW w:w="1287" w:type="dxa"/>
            <w:shd w:val="clear" w:color="auto" w:fill="auto"/>
            <w:tcMar>
              <w:top w:w="113" w:type="dxa"/>
            </w:tcMar>
          </w:tcPr>
          <w:p w:rsidR="00D51C8D" w:rsidRPr="00D51C8D" w:rsidRDefault="008579C3" w:rsidP="00D166D7">
            <w:pPr>
              <w:pStyle w:val="ONUME"/>
              <w:numPr>
                <w:ilvl w:val="0"/>
                <w:numId w:val="0"/>
              </w:numPr>
              <w:rPr>
                <w:sz w:val="18"/>
                <w:szCs w:val="18"/>
              </w:rPr>
            </w:pPr>
            <w:r>
              <w:rPr>
                <w:sz w:val="18"/>
                <w:szCs w:val="18"/>
              </w:rPr>
              <w:t>Under consideration</w:t>
            </w:r>
          </w:p>
        </w:tc>
        <w:tc>
          <w:tcPr>
            <w:tcW w:w="1548" w:type="dxa"/>
            <w:shd w:val="clear" w:color="auto" w:fill="auto"/>
            <w:tcMar>
              <w:top w:w="113" w:type="dxa"/>
            </w:tcMar>
          </w:tcPr>
          <w:p w:rsidR="00D51C8D" w:rsidRPr="00D51C8D" w:rsidRDefault="00D51C8D" w:rsidP="00D166D7">
            <w:pPr>
              <w:pStyle w:val="ONUME"/>
              <w:numPr>
                <w:ilvl w:val="0"/>
                <w:numId w:val="0"/>
              </w:numPr>
              <w:rPr>
                <w:b/>
                <w:sz w:val="18"/>
                <w:szCs w:val="18"/>
              </w:rPr>
            </w:pPr>
          </w:p>
        </w:tc>
        <w:tc>
          <w:tcPr>
            <w:tcW w:w="3084" w:type="dxa"/>
            <w:tcBorders>
              <w:top w:val="single" w:sz="4" w:space="0" w:color="auto"/>
            </w:tcBorders>
            <w:tcMar>
              <w:top w:w="113" w:type="dxa"/>
            </w:tcMar>
          </w:tcPr>
          <w:p w:rsidR="00D51C8D" w:rsidRDefault="008579C3" w:rsidP="00D166D7">
            <w:pPr>
              <w:pStyle w:val="ONUME"/>
              <w:numPr>
                <w:ilvl w:val="0"/>
                <w:numId w:val="0"/>
              </w:numPr>
            </w:pPr>
            <w:r w:rsidRPr="00512658">
              <w:rPr>
                <w:rFonts w:eastAsia="Calibri"/>
                <w:sz w:val="18"/>
                <w:szCs w:val="18"/>
              </w:rPr>
              <w:t>A letter was sent on May 30, 2014, from the Director General of WIPO to the Chair of the WIPO General Assembly, drawing the Chair’s at</w:t>
            </w:r>
            <w:r w:rsidR="00EC6D92">
              <w:rPr>
                <w:rFonts w:eastAsia="Calibri"/>
                <w:sz w:val="18"/>
                <w:szCs w:val="18"/>
              </w:rPr>
              <w:t xml:space="preserve">tention to this recommendation. </w:t>
            </w:r>
            <w:r w:rsidRPr="00512658">
              <w:rPr>
                <w:rFonts w:eastAsia="Calibri"/>
                <w:sz w:val="18"/>
                <w:szCs w:val="18"/>
              </w:rPr>
              <w:t xml:space="preserve"> Governance was discussed during the 22</w:t>
            </w:r>
            <w:r w:rsidRPr="00512658">
              <w:rPr>
                <w:rFonts w:eastAsia="Calibri"/>
                <w:sz w:val="18"/>
                <w:szCs w:val="18"/>
                <w:vertAlign w:val="superscript"/>
              </w:rPr>
              <w:t>nd</w:t>
            </w:r>
            <w:r w:rsidRPr="00512658">
              <w:rPr>
                <w:rFonts w:eastAsia="Calibri"/>
                <w:sz w:val="18"/>
                <w:szCs w:val="18"/>
              </w:rPr>
              <w:t xml:space="preserve"> session of the PBC in September 2014, as well as at the Assemblies meeting of the same year.  The decision of the Member States was to place this item on the agenda of the next (2015 summer) session of the PBC.</w:t>
            </w:r>
          </w:p>
        </w:tc>
      </w:tr>
      <w:tr w:rsidR="00D51C8D" w:rsidTr="00EC6D92">
        <w:trPr>
          <w:trHeight w:val="2953"/>
        </w:trPr>
        <w:tc>
          <w:tcPr>
            <w:tcW w:w="1951" w:type="dxa"/>
            <w:tcMar>
              <w:top w:w="113" w:type="dxa"/>
            </w:tcMar>
          </w:tcPr>
          <w:p w:rsidR="00D51C8D" w:rsidRDefault="008579C3" w:rsidP="008579C3">
            <w:pPr>
              <w:pStyle w:val="ONUME"/>
              <w:numPr>
                <w:ilvl w:val="0"/>
                <w:numId w:val="0"/>
              </w:numPr>
            </w:pPr>
            <w:r>
              <w:rPr>
                <w:sz w:val="18"/>
                <w:szCs w:val="18"/>
              </w:rPr>
              <w:t xml:space="preserve">Rec. 2.  </w:t>
            </w:r>
            <w:r w:rsidRPr="00FB6E76">
              <w:rPr>
                <w:sz w:val="18"/>
                <w:szCs w:val="18"/>
              </w:rPr>
              <w:t>The Director General should ensure that clear and updated terms of reference are made available for all WIPO organizational units and include them in relevant Office Instructions, in particular each time an internal re</w:t>
            </w:r>
            <w:r>
              <w:rPr>
                <w:sz w:val="18"/>
                <w:szCs w:val="18"/>
              </w:rPr>
              <w:noBreakHyphen/>
            </w:r>
            <w:r w:rsidRPr="00FB6E76">
              <w:rPr>
                <w:sz w:val="18"/>
                <w:szCs w:val="18"/>
              </w:rPr>
              <w:t>organization is carried out</w:t>
            </w:r>
            <w:r w:rsidR="002F4C82">
              <w:rPr>
                <w:sz w:val="18"/>
                <w:szCs w:val="18"/>
              </w:rPr>
              <w:t>.</w:t>
            </w:r>
          </w:p>
        </w:tc>
        <w:tc>
          <w:tcPr>
            <w:tcW w:w="1701" w:type="dxa"/>
            <w:tcMar>
              <w:top w:w="113" w:type="dxa"/>
            </w:tcMar>
          </w:tcPr>
          <w:p w:rsidR="00D51C8D" w:rsidRDefault="008579C3" w:rsidP="00D166D7">
            <w:pPr>
              <w:pStyle w:val="ONUME"/>
              <w:numPr>
                <w:ilvl w:val="0"/>
                <w:numId w:val="0"/>
              </w:numPr>
            </w:pPr>
            <w:r>
              <w:rPr>
                <w:sz w:val="18"/>
                <w:szCs w:val="18"/>
              </w:rPr>
              <w:t>Director, Human Resources Management Department</w:t>
            </w:r>
          </w:p>
        </w:tc>
        <w:tc>
          <w:tcPr>
            <w:tcW w:w="1287" w:type="dxa"/>
            <w:tcMar>
              <w:top w:w="113" w:type="dxa"/>
            </w:tcMar>
          </w:tcPr>
          <w:p w:rsidR="00D51C8D" w:rsidRPr="008579C3" w:rsidRDefault="008579C3" w:rsidP="00D166D7">
            <w:pPr>
              <w:pStyle w:val="ONUME"/>
              <w:numPr>
                <w:ilvl w:val="0"/>
                <w:numId w:val="0"/>
              </w:numPr>
              <w:rPr>
                <w:sz w:val="18"/>
                <w:szCs w:val="18"/>
              </w:rPr>
            </w:pPr>
            <w:r w:rsidRPr="008579C3">
              <w:rPr>
                <w:sz w:val="18"/>
                <w:szCs w:val="18"/>
              </w:rPr>
              <w:t>Accepted</w:t>
            </w:r>
          </w:p>
        </w:tc>
        <w:tc>
          <w:tcPr>
            <w:tcW w:w="1548" w:type="dxa"/>
            <w:tcMar>
              <w:top w:w="113" w:type="dxa"/>
            </w:tcMar>
          </w:tcPr>
          <w:p w:rsidR="00D51C8D" w:rsidRPr="008579C3" w:rsidRDefault="008579C3" w:rsidP="00D166D7">
            <w:pPr>
              <w:pStyle w:val="ONUME"/>
              <w:numPr>
                <w:ilvl w:val="0"/>
                <w:numId w:val="0"/>
              </w:numPr>
              <w:rPr>
                <w:sz w:val="18"/>
                <w:szCs w:val="18"/>
              </w:rPr>
            </w:pPr>
            <w:r w:rsidRPr="008579C3">
              <w:rPr>
                <w:sz w:val="18"/>
                <w:szCs w:val="18"/>
              </w:rPr>
              <w:t>Implemented</w:t>
            </w:r>
          </w:p>
        </w:tc>
        <w:tc>
          <w:tcPr>
            <w:tcW w:w="3084" w:type="dxa"/>
            <w:tcMar>
              <w:top w:w="113" w:type="dxa"/>
            </w:tcMar>
          </w:tcPr>
          <w:p w:rsidR="00D51C8D" w:rsidRDefault="008579C3" w:rsidP="008579C3">
            <w:pPr>
              <w:pStyle w:val="ONUME"/>
              <w:numPr>
                <w:ilvl w:val="0"/>
                <w:numId w:val="0"/>
              </w:numPr>
            </w:pPr>
            <w:r>
              <w:rPr>
                <w:sz w:val="18"/>
                <w:szCs w:val="18"/>
              </w:rPr>
              <w:t>F</w:t>
            </w:r>
            <w:r w:rsidRPr="00FB6E76">
              <w:rPr>
                <w:sz w:val="18"/>
                <w:szCs w:val="18"/>
              </w:rPr>
              <w:t xml:space="preserve">ollowing the appointment of the new Senior Management Team, this recommendation </w:t>
            </w:r>
            <w:r>
              <w:rPr>
                <w:sz w:val="18"/>
                <w:szCs w:val="18"/>
              </w:rPr>
              <w:t xml:space="preserve">has been </w:t>
            </w:r>
            <w:r w:rsidRPr="00FB6E76">
              <w:rPr>
                <w:sz w:val="18"/>
                <w:szCs w:val="18"/>
              </w:rPr>
              <w:t>implemented</w:t>
            </w:r>
            <w:r>
              <w:rPr>
                <w:sz w:val="18"/>
                <w:szCs w:val="18"/>
              </w:rPr>
              <w:t>.</w:t>
            </w:r>
          </w:p>
        </w:tc>
      </w:tr>
      <w:tr w:rsidR="00D51C8D" w:rsidTr="00EC6D92">
        <w:tc>
          <w:tcPr>
            <w:tcW w:w="1951" w:type="dxa"/>
            <w:tcMar>
              <w:top w:w="113" w:type="dxa"/>
            </w:tcMar>
          </w:tcPr>
          <w:p w:rsidR="00D51C8D" w:rsidRDefault="008579C3" w:rsidP="00D166D7">
            <w:pPr>
              <w:pStyle w:val="ONUME"/>
              <w:numPr>
                <w:ilvl w:val="0"/>
                <w:numId w:val="0"/>
              </w:numPr>
            </w:pPr>
            <w:r w:rsidRPr="00512658">
              <w:rPr>
                <w:rFonts w:eastAsia="Calibri"/>
                <w:sz w:val="18"/>
                <w:szCs w:val="18"/>
              </w:rPr>
              <w:t>Rec. 3.  The Director General should issue comprehensive terms of reference for the management committees by the end of 2014 and circulate them to the relevant WIPO governing bodies</w:t>
            </w:r>
            <w:r w:rsidR="002F4C82">
              <w:rPr>
                <w:rFonts w:eastAsia="Calibri"/>
                <w:sz w:val="18"/>
                <w:szCs w:val="18"/>
              </w:rPr>
              <w:t>.</w:t>
            </w:r>
          </w:p>
        </w:tc>
        <w:tc>
          <w:tcPr>
            <w:tcW w:w="1701" w:type="dxa"/>
            <w:tcMar>
              <w:top w:w="113" w:type="dxa"/>
            </w:tcMar>
          </w:tcPr>
          <w:p w:rsidR="00D51C8D" w:rsidRDefault="002F4C82" w:rsidP="00D166D7">
            <w:pPr>
              <w:pStyle w:val="ONUME"/>
              <w:numPr>
                <w:ilvl w:val="0"/>
                <w:numId w:val="0"/>
              </w:numPr>
            </w:pPr>
            <w:r>
              <w:rPr>
                <w:rFonts w:eastAsia="Calibri"/>
                <w:sz w:val="18"/>
                <w:szCs w:val="18"/>
              </w:rPr>
              <w:t>Assistant Director General and Chief of Staff</w:t>
            </w:r>
          </w:p>
        </w:tc>
        <w:tc>
          <w:tcPr>
            <w:tcW w:w="1287" w:type="dxa"/>
            <w:tcMar>
              <w:top w:w="113" w:type="dxa"/>
            </w:tcMar>
          </w:tcPr>
          <w:p w:rsidR="00D51C8D" w:rsidRPr="002F4C82" w:rsidRDefault="002F4C82" w:rsidP="00D166D7">
            <w:pPr>
              <w:pStyle w:val="ONUME"/>
              <w:numPr>
                <w:ilvl w:val="0"/>
                <w:numId w:val="0"/>
              </w:numPr>
              <w:rPr>
                <w:sz w:val="18"/>
                <w:szCs w:val="18"/>
              </w:rPr>
            </w:pPr>
            <w:r w:rsidRPr="002F4C82">
              <w:rPr>
                <w:sz w:val="18"/>
                <w:szCs w:val="18"/>
              </w:rPr>
              <w:t>Accepted</w:t>
            </w:r>
          </w:p>
        </w:tc>
        <w:tc>
          <w:tcPr>
            <w:tcW w:w="1548" w:type="dxa"/>
            <w:tcMar>
              <w:top w:w="113" w:type="dxa"/>
            </w:tcMar>
          </w:tcPr>
          <w:p w:rsidR="00D51C8D" w:rsidRPr="002F4C82" w:rsidRDefault="002F4C82" w:rsidP="00D166D7">
            <w:pPr>
              <w:pStyle w:val="ONUME"/>
              <w:numPr>
                <w:ilvl w:val="0"/>
                <w:numId w:val="0"/>
              </w:numPr>
              <w:rPr>
                <w:sz w:val="18"/>
                <w:szCs w:val="18"/>
              </w:rPr>
            </w:pPr>
            <w:r w:rsidRPr="002F4C82">
              <w:rPr>
                <w:sz w:val="18"/>
                <w:szCs w:val="18"/>
              </w:rPr>
              <w:t>Implemented</w:t>
            </w:r>
          </w:p>
        </w:tc>
        <w:tc>
          <w:tcPr>
            <w:tcW w:w="3084" w:type="dxa"/>
            <w:tcMar>
              <w:top w:w="113" w:type="dxa"/>
            </w:tcMar>
          </w:tcPr>
          <w:p w:rsidR="00D51C8D" w:rsidRDefault="002F4C82" w:rsidP="00EC6D92">
            <w:pPr>
              <w:pStyle w:val="ONUME"/>
              <w:numPr>
                <w:ilvl w:val="0"/>
                <w:numId w:val="0"/>
              </w:numPr>
            </w:pPr>
            <w:r w:rsidRPr="00512658">
              <w:rPr>
                <w:rFonts w:eastAsia="Calibri"/>
                <w:sz w:val="18"/>
                <w:szCs w:val="18"/>
              </w:rPr>
              <w:t xml:space="preserve">Terms of Reference for the referenced Senior Management Team and the Management Meetings </w:t>
            </w:r>
            <w:r w:rsidRPr="009A6D4B">
              <w:rPr>
                <w:rFonts w:eastAsia="Calibri"/>
                <w:sz w:val="18"/>
                <w:szCs w:val="18"/>
              </w:rPr>
              <w:t>were issued as Office Instructions on December 1</w:t>
            </w:r>
            <w:r w:rsidR="00EC6D92">
              <w:rPr>
                <w:rFonts w:eastAsia="Calibri"/>
                <w:sz w:val="18"/>
                <w:szCs w:val="18"/>
              </w:rPr>
              <w:t>, 2014.</w:t>
            </w:r>
            <w:r w:rsidRPr="00512658">
              <w:rPr>
                <w:rFonts w:eastAsia="Calibri"/>
                <w:sz w:val="18"/>
                <w:szCs w:val="18"/>
              </w:rPr>
              <w:t xml:space="preserve"> Comprehensive Terms of Reference for other internal management committees have already been provided to the JIU.</w:t>
            </w:r>
          </w:p>
        </w:tc>
      </w:tr>
      <w:tr w:rsidR="00D51C8D" w:rsidTr="001136B1">
        <w:tc>
          <w:tcPr>
            <w:tcW w:w="1951" w:type="dxa"/>
            <w:tcMar>
              <w:top w:w="113" w:type="dxa"/>
            </w:tcMar>
          </w:tcPr>
          <w:p w:rsidR="00D51C8D" w:rsidRDefault="002F4C82" w:rsidP="007E7164">
            <w:pPr>
              <w:pStyle w:val="ONUME"/>
              <w:keepNext/>
              <w:keepLines/>
              <w:numPr>
                <w:ilvl w:val="0"/>
                <w:numId w:val="0"/>
              </w:numPr>
            </w:pPr>
            <w:r>
              <w:rPr>
                <w:bCs/>
                <w:sz w:val="18"/>
                <w:szCs w:val="18"/>
              </w:rPr>
              <w:lastRenderedPageBreak/>
              <w:t xml:space="preserve">Rec. 4.  </w:t>
            </w:r>
            <w:r w:rsidRPr="00E92856">
              <w:rPr>
                <w:bCs/>
                <w:sz w:val="18"/>
                <w:szCs w:val="18"/>
              </w:rPr>
              <w:t xml:space="preserve">The Director General should request the </w:t>
            </w:r>
            <w:r w:rsidRPr="00E92856">
              <w:rPr>
                <w:sz w:val="18"/>
                <w:szCs w:val="18"/>
              </w:rPr>
              <w:t>Internal Oversight Division</w:t>
            </w:r>
            <w:r w:rsidRPr="00E92856">
              <w:rPr>
                <w:bCs/>
                <w:sz w:val="18"/>
                <w:szCs w:val="18"/>
              </w:rPr>
              <w:t xml:space="preserve"> to include in its </w:t>
            </w:r>
            <w:proofErr w:type="spellStart"/>
            <w:r w:rsidRPr="00E92856">
              <w:rPr>
                <w:bCs/>
                <w:sz w:val="18"/>
                <w:szCs w:val="18"/>
              </w:rPr>
              <w:t>workplan</w:t>
            </w:r>
            <w:proofErr w:type="spellEnd"/>
            <w:r w:rsidRPr="00E92856">
              <w:rPr>
                <w:bCs/>
                <w:sz w:val="18"/>
                <w:szCs w:val="18"/>
              </w:rPr>
              <w:t xml:space="preserve"> a series of evaluations of the Strategic Realignment Program (SRP) initiatives and their results to capture lessons learned, thus supporting WIPO management during the next phases of the reform process of the organization.</w:t>
            </w:r>
          </w:p>
        </w:tc>
        <w:tc>
          <w:tcPr>
            <w:tcW w:w="1701" w:type="dxa"/>
            <w:tcMar>
              <w:top w:w="113" w:type="dxa"/>
            </w:tcMar>
          </w:tcPr>
          <w:p w:rsidR="00D51C8D" w:rsidRDefault="002F4C82" w:rsidP="007E7164">
            <w:pPr>
              <w:pStyle w:val="ONUME"/>
              <w:keepNext/>
              <w:keepLines/>
              <w:numPr>
                <w:ilvl w:val="0"/>
                <w:numId w:val="0"/>
              </w:numPr>
            </w:pPr>
            <w:r>
              <w:rPr>
                <w:sz w:val="18"/>
                <w:szCs w:val="18"/>
              </w:rPr>
              <w:t>Director, Internal Oversight Division</w:t>
            </w:r>
          </w:p>
        </w:tc>
        <w:tc>
          <w:tcPr>
            <w:tcW w:w="1287" w:type="dxa"/>
            <w:tcMar>
              <w:top w:w="113" w:type="dxa"/>
            </w:tcMar>
          </w:tcPr>
          <w:p w:rsidR="00D51C8D" w:rsidRPr="002F4C82" w:rsidRDefault="002F4C82" w:rsidP="007E7164">
            <w:pPr>
              <w:pStyle w:val="ONUME"/>
              <w:keepNext/>
              <w:keepLines/>
              <w:numPr>
                <w:ilvl w:val="0"/>
                <w:numId w:val="0"/>
              </w:numPr>
              <w:rPr>
                <w:sz w:val="18"/>
                <w:szCs w:val="18"/>
              </w:rPr>
            </w:pPr>
            <w:r w:rsidRPr="002F4C82">
              <w:rPr>
                <w:sz w:val="18"/>
                <w:szCs w:val="18"/>
              </w:rPr>
              <w:t>Accepted</w:t>
            </w:r>
          </w:p>
        </w:tc>
        <w:tc>
          <w:tcPr>
            <w:tcW w:w="1548" w:type="dxa"/>
            <w:tcMar>
              <w:top w:w="113" w:type="dxa"/>
            </w:tcMar>
          </w:tcPr>
          <w:p w:rsidR="00D51C8D" w:rsidRPr="002F4C82" w:rsidRDefault="002F4C82" w:rsidP="007E7164">
            <w:pPr>
              <w:pStyle w:val="ONUME"/>
              <w:keepNext/>
              <w:keepLines/>
              <w:numPr>
                <w:ilvl w:val="0"/>
                <w:numId w:val="0"/>
              </w:numPr>
              <w:rPr>
                <w:sz w:val="18"/>
                <w:szCs w:val="18"/>
              </w:rPr>
            </w:pPr>
            <w:r w:rsidRPr="002F4C82">
              <w:rPr>
                <w:sz w:val="18"/>
                <w:szCs w:val="18"/>
              </w:rPr>
              <w:t>Implemented</w:t>
            </w:r>
          </w:p>
        </w:tc>
        <w:tc>
          <w:tcPr>
            <w:tcW w:w="3084" w:type="dxa"/>
            <w:tcMar>
              <w:top w:w="113" w:type="dxa"/>
              <w:bottom w:w="113" w:type="dxa"/>
            </w:tcMar>
          </w:tcPr>
          <w:p w:rsidR="00D51C8D" w:rsidRDefault="006C6549" w:rsidP="006C6549">
            <w:pPr>
              <w:pStyle w:val="ONUME"/>
              <w:keepNext/>
              <w:keepLines/>
              <w:numPr>
                <w:ilvl w:val="0"/>
                <w:numId w:val="0"/>
              </w:numPr>
              <w:spacing w:after="0"/>
            </w:pPr>
            <w:r>
              <w:rPr>
                <w:sz w:val="18"/>
                <w:szCs w:val="18"/>
              </w:rPr>
              <w:t xml:space="preserve">In early 2014, IOD completed the audit of results-based management specifically undertaken as a review of an SRP initiative under the core value “Accountability for results”.  IOD has also completed the evaluation of knowledge sharing in WIPO which considered closely another SRP core value, “Working as one” and one of its activities, “to strengthen internal communication”. </w:t>
            </w:r>
            <w:r w:rsidRPr="006C6549">
              <w:rPr>
                <w:sz w:val="18"/>
                <w:szCs w:val="18"/>
              </w:rPr>
              <w:t xml:space="preserve"> </w:t>
            </w:r>
            <w:r w:rsidRPr="006C6549">
              <w:rPr>
                <w:bCs/>
                <w:sz w:val="18"/>
                <w:szCs w:val="18"/>
              </w:rPr>
              <w:t>IOD also completed the evaluation of the rewards and recognition program (RRP) which relates to two SRP activities, “Revise regulatory framework for HR” and “Implement PMSDS” (an activity under “Accountability for results”)</w:t>
            </w:r>
            <w:r>
              <w:rPr>
                <w:bCs/>
                <w:sz w:val="18"/>
                <w:szCs w:val="18"/>
              </w:rPr>
              <w:t xml:space="preserve">.  </w:t>
            </w:r>
            <w:r w:rsidRPr="006C6549">
              <w:rPr>
                <w:sz w:val="18"/>
                <w:szCs w:val="18"/>
              </w:rPr>
              <w:t>Other audi</w:t>
            </w:r>
            <w:r>
              <w:rPr>
                <w:sz w:val="18"/>
                <w:szCs w:val="18"/>
              </w:rPr>
              <w:t>ts already undergone include an audit of the VSP and an audit on data migration for the ERP.  The External Auditors have carried out a performance audit of the ERP.</w:t>
            </w:r>
          </w:p>
        </w:tc>
      </w:tr>
      <w:tr w:rsidR="00D51C8D" w:rsidTr="001136B1">
        <w:trPr>
          <w:trHeight w:val="2277"/>
        </w:trPr>
        <w:tc>
          <w:tcPr>
            <w:tcW w:w="1951" w:type="dxa"/>
            <w:tcMar>
              <w:top w:w="113" w:type="dxa"/>
            </w:tcMar>
          </w:tcPr>
          <w:p w:rsidR="00D51C8D" w:rsidRDefault="002F4C82" w:rsidP="00D166D7">
            <w:pPr>
              <w:pStyle w:val="ONUME"/>
              <w:numPr>
                <w:ilvl w:val="0"/>
                <w:numId w:val="0"/>
              </w:numPr>
            </w:pPr>
            <w:r w:rsidRPr="008B504A">
              <w:rPr>
                <w:sz w:val="18"/>
                <w:szCs w:val="18"/>
              </w:rPr>
              <w:t>Rec. 5</w:t>
            </w:r>
            <w:r>
              <w:rPr>
                <w:sz w:val="18"/>
                <w:szCs w:val="18"/>
              </w:rPr>
              <w:t>.</w:t>
            </w:r>
            <w:r w:rsidRPr="008B504A">
              <w:rPr>
                <w:sz w:val="18"/>
                <w:szCs w:val="18"/>
              </w:rPr>
              <w:t xml:space="preserve">  </w:t>
            </w:r>
            <w:r w:rsidRPr="008B504A">
              <w:rPr>
                <w:bCs/>
                <w:sz w:val="18"/>
                <w:szCs w:val="18"/>
              </w:rPr>
              <w:t>The Director General should finalize, by the end of 2015, and regularly update the WIPO Risk Policy and all the elements of a comprehensive risk management framework.</w:t>
            </w:r>
          </w:p>
        </w:tc>
        <w:tc>
          <w:tcPr>
            <w:tcW w:w="1701" w:type="dxa"/>
            <w:tcMar>
              <w:top w:w="113" w:type="dxa"/>
            </w:tcMar>
          </w:tcPr>
          <w:p w:rsidR="00D51C8D" w:rsidRDefault="002F4C82" w:rsidP="00D166D7">
            <w:pPr>
              <w:pStyle w:val="ONUME"/>
              <w:numPr>
                <w:ilvl w:val="0"/>
                <w:numId w:val="0"/>
              </w:numPr>
            </w:pPr>
            <w:r w:rsidRPr="004510FA">
              <w:rPr>
                <w:sz w:val="18"/>
                <w:szCs w:val="18"/>
              </w:rPr>
              <w:t>Director, Program Planning and Finance (Controller)</w:t>
            </w:r>
          </w:p>
        </w:tc>
        <w:tc>
          <w:tcPr>
            <w:tcW w:w="1287" w:type="dxa"/>
            <w:tcMar>
              <w:top w:w="113" w:type="dxa"/>
            </w:tcMar>
          </w:tcPr>
          <w:p w:rsidR="00D51C8D" w:rsidRPr="002F4C82" w:rsidRDefault="002F4C82" w:rsidP="00D166D7">
            <w:pPr>
              <w:pStyle w:val="ONUME"/>
              <w:numPr>
                <w:ilvl w:val="0"/>
                <w:numId w:val="0"/>
              </w:numPr>
              <w:rPr>
                <w:sz w:val="18"/>
                <w:szCs w:val="18"/>
              </w:rPr>
            </w:pPr>
            <w:r w:rsidRPr="002F4C82">
              <w:rPr>
                <w:sz w:val="18"/>
                <w:szCs w:val="18"/>
              </w:rPr>
              <w:t>Accepted</w:t>
            </w:r>
          </w:p>
        </w:tc>
        <w:tc>
          <w:tcPr>
            <w:tcW w:w="1548" w:type="dxa"/>
            <w:tcMar>
              <w:top w:w="113" w:type="dxa"/>
            </w:tcMar>
          </w:tcPr>
          <w:p w:rsidR="00D51C8D" w:rsidRPr="002F4C82" w:rsidRDefault="002F4C82" w:rsidP="00D166D7">
            <w:pPr>
              <w:pStyle w:val="ONUME"/>
              <w:numPr>
                <w:ilvl w:val="0"/>
                <w:numId w:val="0"/>
              </w:numPr>
              <w:rPr>
                <w:sz w:val="18"/>
                <w:szCs w:val="18"/>
              </w:rPr>
            </w:pPr>
            <w:r w:rsidRPr="002F4C82">
              <w:rPr>
                <w:sz w:val="18"/>
                <w:szCs w:val="18"/>
              </w:rPr>
              <w:t>Implemented</w:t>
            </w:r>
          </w:p>
        </w:tc>
        <w:tc>
          <w:tcPr>
            <w:tcW w:w="3084" w:type="dxa"/>
            <w:tcMar>
              <w:top w:w="113" w:type="dxa"/>
            </w:tcMar>
          </w:tcPr>
          <w:p w:rsidR="00D51C8D" w:rsidRDefault="002F4C82" w:rsidP="006C6549">
            <w:pPr>
              <w:pStyle w:val="ONUME"/>
              <w:numPr>
                <w:ilvl w:val="0"/>
                <w:numId w:val="0"/>
              </w:numPr>
            </w:pPr>
            <w:r w:rsidRPr="008B504A">
              <w:rPr>
                <w:sz w:val="18"/>
                <w:szCs w:val="18"/>
              </w:rPr>
              <w:t>WIPO has all elements of a comprehensive risk management framework in place:  risk management group, risk appetite, risk policy, a risk and internal control manual, and risk is addressed as an integral part of the RBM process.</w:t>
            </w:r>
            <w:r>
              <w:rPr>
                <w:sz w:val="18"/>
                <w:szCs w:val="18"/>
              </w:rPr>
              <w:t xml:space="preserve">  </w:t>
            </w:r>
            <w:r w:rsidR="000A5901">
              <w:rPr>
                <w:sz w:val="18"/>
                <w:szCs w:val="18"/>
              </w:rPr>
              <w:t>WIPO’s Risk Appetite Statement was presented to and discussed by Member States (</w:t>
            </w:r>
            <w:r w:rsidR="000A5901" w:rsidRPr="000A5901">
              <w:rPr>
                <w:sz w:val="18"/>
                <w:szCs w:val="18"/>
              </w:rPr>
              <w:t>document WO/PBC/22/17</w:t>
            </w:r>
            <w:r w:rsidR="000A5901">
              <w:rPr>
                <w:sz w:val="18"/>
                <w:szCs w:val="18"/>
              </w:rPr>
              <w:t>) in September 2014, and the Organization’s r</w:t>
            </w:r>
            <w:r>
              <w:rPr>
                <w:sz w:val="18"/>
                <w:szCs w:val="18"/>
              </w:rPr>
              <w:t>isk management processes are now fully supported by an En</w:t>
            </w:r>
            <w:r w:rsidR="000A5901">
              <w:rPr>
                <w:sz w:val="18"/>
                <w:szCs w:val="18"/>
              </w:rPr>
              <w:t xml:space="preserve">terprise Risk Management system. </w:t>
            </w:r>
          </w:p>
        </w:tc>
      </w:tr>
      <w:tr w:rsidR="00D51C8D" w:rsidTr="001136B1">
        <w:tc>
          <w:tcPr>
            <w:tcW w:w="1951" w:type="dxa"/>
            <w:tcMar>
              <w:top w:w="113" w:type="dxa"/>
            </w:tcMar>
          </w:tcPr>
          <w:p w:rsidR="00D51C8D" w:rsidRDefault="002F4C82" w:rsidP="002F4C82">
            <w:r w:rsidRPr="00FB6E76">
              <w:rPr>
                <w:sz w:val="18"/>
                <w:szCs w:val="18"/>
              </w:rPr>
              <w:t xml:space="preserve">Rec. </w:t>
            </w:r>
            <w:proofErr w:type="gramStart"/>
            <w:r w:rsidRPr="00FB6E76">
              <w:rPr>
                <w:sz w:val="18"/>
                <w:szCs w:val="18"/>
              </w:rPr>
              <w:t>6  The</w:t>
            </w:r>
            <w:proofErr w:type="gramEnd"/>
            <w:r w:rsidRPr="00FB6E76">
              <w:rPr>
                <w:sz w:val="18"/>
                <w:szCs w:val="18"/>
              </w:rPr>
              <w:t xml:space="preserve"> Coordination Committee should revisit the present principles concerning geographical distribution in order to ensure broader geographical diversity within the WIPO professional workforce.</w:t>
            </w:r>
          </w:p>
        </w:tc>
        <w:tc>
          <w:tcPr>
            <w:tcW w:w="1701" w:type="dxa"/>
            <w:tcMar>
              <w:top w:w="113" w:type="dxa"/>
            </w:tcMar>
          </w:tcPr>
          <w:p w:rsidR="00D51C8D" w:rsidRDefault="002F4C82" w:rsidP="00D166D7">
            <w:pPr>
              <w:pStyle w:val="ONUME"/>
              <w:numPr>
                <w:ilvl w:val="0"/>
                <w:numId w:val="0"/>
              </w:numPr>
            </w:pPr>
            <w:r>
              <w:rPr>
                <w:sz w:val="18"/>
                <w:szCs w:val="18"/>
              </w:rPr>
              <w:t>Director, Human Resources Management Department</w:t>
            </w:r>
          </w:p>
        </w:tc>
        <w:tc>
          <w:tcPr>
            <w:tcW w:w="1287" w:type="dxa"/>
            <w:tcMar>
              <w:top w:w="113" w:type="dxa"/>
            </w:tcMar>
          </w:tcPr>
          <w:p w:rsidR="00D51C8D" w:rsidRPr="002F4C82" w:rsidRDefault="002F4C82" w:rsidP="00D166D7">
            <w:pPr>
              <w:pStyle w:val="ONUME"/>
              <w:numPr>
                <w:ilvl w:val="0"/>
                <w:numId w:val="0"/>
              </w:numPr>
              <w:rPr>
                <w:sz w:val="18"/>
                <w:szCs w:val="18"/>
              </w:rPr>
            </w:pPr>
            <w:r w:rsidRPr="002F4C82">
              <w:rPr>
                <w:sz w:val="18"/>
                <w:szCs w:val="18"/>
              </w:rPr>
              <w:t>Under consideration</w:t>
            </w:r>
          </w:p>
        </w:tc>
        <w:tc>
          <w:tcPr>
            <w:tcW w:w="1548" w:type="dxa"/>
            <w:tcMar>
              <w:top w:w="113" w:type="dxa"/>
            </w:tcMar>
          </w:tcPr>
          <w:p w:rsidR="00D51C8D" w:rsidRDefault="00D51C8D" w:rsidP="00D166D7">
            <w:pPr>
              <w:pStyle w:val="ONUME"/>
              <w:numPr>
                <w:ilvl w:val="0"/>
                <w:numId w:val="0"/>
              </w:numPr>
            </w:pPr>
          </w:p>
        </w:tc>
        <w:tc>
          <w:tcPr>
            <w:tcW w:w="3084" w:type="dxa"/>
            <w:tcMar>
              <w:top w:w="113" w:type="dxa"/>
              <w:bottom w:w="113" w:type="dxa"/>
            </w:tcMar>
          </w:tcPr>
          <w:p w:rsidR="00D51C8D" w:rsidRDefault="00FC341F" w:rsidP="00D166D7">
            <w:pPr>
              <w:pStyle w:val="ONUME"/>
              <w:numPr>
                <w:ilvl w:val="0"/>
                <w:numId w:val="0"/>
              </w:numPr>
            </w:pPr>
            <w:r w:rsidRPr="00FB6E76">
              <w:rPr>
                <w:sz w:val="18"/>
                <w:szCs w:val="18"/>
              </w:rPr>
              <w:t>A letter was sent on May 30, 2014, from the Director General of WIPO to the Chair of the WIPO Coordination Committee, drawing the Chair’s attention to this recommendation.</w:t>
            </w:r>
          </w:p>
        </w:tc>
      </w:tr>
      <w:tr w:rsidR="00D51C8D" w:rsidTr="00625389">
        <w:tc>
          <w:tcPr>
            <w:tcW w:w="1951" w:type="dxa"/>
            <w:tcMar>
              <w:top w:w="113" w:type="dxa"/>
            </w:tcMar>
          </w:tcPr>
          <w:p w:rsidR="00D51C8D" w:rsidRDefault="002F4C82" w:rsidP="00D166D7">
            <w:pPr>
              <w:pStyle w:val="ONUME"/>
              <w:numPr>
                <w:ilvl w:val="0"/>
                <w:numId w:val="0"/>
              </w:numPr>
            </w:pPr>
            <w:r w:rsidRPr="00FB6E76">
              <w:rPr>
                <w:sz w:val="18"/>
                <w:szCs w:val="18"/>
              </w:rPr>
              <w:t xml:space="preserve">Rec. </w:t>
            </w:r>
            <w:proofErr w:type="gramStart"/>
            <w:r w:rsidRPr="00FB6E76">
              <w:rPr>
                <w:sz w:val="18"/>
                <w:szCs w:val="18"/>
              </w:rPr>
              <w:t>7  Based</w:t>
            </w:r>
            <w:proofErr w:type="gramEnd"/>
            <w:r w:rsidRPr="00FB6E76">
              <w:rPr>
                <w:sz w:val="18"/>
                <w:szCs w:val="18"/>
              </w:rPr>
              <w:t xml:space="preserve"> on guidance provided by the Coordination Committee, the Director General should establish, by the end of 2015, a Plan of Action with </w:t>
            </w:r>
            <w:r w:rsidRPr="00FB6E76">
              <w:rPr>
                <w:sz w:val="18"/>
                <w:szCs w:val="18"/>
              </w:rPr>
              <w:lastRenderedPageBreak/>
              <w:t>specific measures and targets to broaden the geographical diversity within the professional workforce and report annually on its implementation.</w:t>
            </w:r>
          </w:p>
        </w:tc>
        <w:tc>
          <w:tcPr>
            <w:tcW w:w="1701" w:type="dxa"/>
            <w:tcMar>
              <w:top w:w="113" w:type="dxa"/>
            </w:tcMar>
          </w:tcPr>
          <w:p w:rsidR="00D51C8D" w:rsidRDefault="002F4C82" w:rsidP="00D166D7">
            <w:pPr>
              <w:pStyle w:val="ONUME"/>
              <w:numPr>
                <w:ilvl w:val="0"/>
                <w:numId w:val="0"/>
              </w:numPr>
            </w:pPr>
            <w:r>
              <w:rPr>
                <w:sz w:val="18"/>
                <w:szCs w:val="18"/>
              </w:rPr>
              <w:lastRenderedPageBreak/>
              <w:t>Director, Human Resources Management Department</w:t>
            </w:r>
          </w:p>
        </w:tc>
        <w:tc>
          <w:tcPr>
            <w:tcW w:w="1287" w:type="dxa"/>
            <w:tcMar>
              <w:top w:w="113" w:type="dxa"/>
            </w:tcMar>
          </w:tcPr>
          <w:p w:rsidR="00D51C8D" w:rsidRPr="002F4C82" w:rsidRDefault="002F4C82" w:rsidP="00D166D7">
            <w:pPr>
              <w:pStyle w:val="ONUME"/>
              <w:numPr>
                <w:ilvl w:val="0"/>
                <w:numId w:val="0"/>
              </w:numPr>
              <w:rPr>
                <w:sz w:val="18"/>
              </w:rPr>
            </w:pPr>
            <w:r w:rsidRPr="002F4C82">
              <w:rPr>
                <w:sz w:val="18"/>
              </w:rPr>
              <w:t>Accepted</w:t>
            </w:r>
          </w:p>
        </w:tc>
        <w:tc>
          <w:tcPr>
            <w:tcW w:w="1548" w:type="dxa"/>
            <w:tcMar>
              <w:top w:w="113" w:type="dxa"/>
            </w:tcMar>
          </w:tcPr>
          <w:p w:rsidR="00D51C8D" w:rsidRPr="002F4C82" w:rsidRDefault="002F4C82" w:rsidP="002F4C82">
            <w:pPr>
              <w:pStyle w:val="ONUME"/>
              <w:numPr>
                <w:ilvl w:val="0"/>
                <w:numId w:val="0"/>
              </w:numPr>
              <w:rPr>
                <w:sz w:val="18"/>
              </w:rPr>
            </w:pPr>
            <w:r w:rsidRPr="002F4C82">
              <w:rPr>
                <w:sz w:val="18"/>
              </w:rPr>
              <w:t>In progress</w:t>
            </w:r>
          </w:p>
        </w:tc>
        <w:tc>
          <w:tcPr>
            <w:tcW w:w="3084" w:type="dxa"/>
            <w:tcMar>
              <w:top w:w="113" w:type="dxa"/>
              <w:bottom w:w="113" w:type="dxa"/>
            </w:tcMar>
          </w:tcPr>
          <w:p w:rsidR="002F4C82" w:rsidRPr="002F4C82" w:rsidRDefault="00FC341F" w:rsidP="00515E4B">
            <w:pPr>
              <w:pStyle w:val="ONUME"/>
              <w:numPr>
                <w:ilvl w:val="0"/>
                <w:numId w:val="0"/>
              </w:numPr>
              <w:spacing w:after="0"/>
              <w:rPr>
                <w:sz w:val="18"/>
                <w:szCs w:val="18"/>
              </w:rPr>
            </w:pPr>
            <w:r w:rsidRPr="00FB6E76">
              <w:rPr>
                <w:sz w:val="18"/>
                <w:szCs w:val="18"/>
              </w:rPr>
              <w:t xml:space="preserve">A program of action will be established in consultation with Member States with a view to broadening the geographic diversity within the professional workforce. Outreach campaigns and increased interaction with Member States were initiated in October 2013 and </w:t>
            </w:r>
            <w:r w:rsidRPr="00FB6E76">
              <w:rPr>
                <w:sz w:val="18"/>
                <w:szCs w:val="18"/>
              </w:rPr>
              <w:lastRenderedPageBreak/>
              <w:t xml:space="preserve">will continue throughout 2014-2015 to increase the Organization’s geographical diversity. HRMD reports progress on WIPO’s geographical diversity </w:t>
            </w:r>
            <w:r w:rsidR="00515E4B">
              <w:rPr>
                <w:sz w:val="18"/>
                <w:szCs w:val="18"/>
              </w:rPr>
              <w:t>biannually</w:t>
            </w:r>
            <w:r w:rsidRPr="00FB6E76">
              <w:rPr>
                <w:sz w:val="18"/>
                <w:szCs w:val="18"/>
              </w:rPr>
              <w:t xml:space="preserve"> to all</w:t>
            </w:r>
            <w:proofErr w:type="gramStart"/>
            <w:r w:rsidRPr="00FB6E76">
              <w:rPr>
                <w:sz w:val="18"/>
                <w:szCs w:val="18"/>
              </w:rPr>
              <w:t>  Member</w:t>
            </w:r>
            <w:proofErr w:type="gramEnd"/>
            <w:r w:rsidRPr="00FB6E76">
              <w:rPr>
                <w:sz w:val="18"/>
                <w:szCs w:val="18"/>
              </w:rPr>
              <w:t xml:space="preserve"> States and annually to the WIPO Coordination Committee through its Annual Report on Human Resources. </w:t>
            </w:r>
            <w:r w:rsidR="002F4C82" w:rsidRPr="00FB6E76">
              <w:rPr>
                <w:sz w:val="18"/>
                <w:szCs w:val="18"/>
              </w:rPr>
              <w:t xml:space="preserve"> </w:t>
            </w:r>
          </w:p>
        </w:tc>
      </w:tr>
      <w:tr w:rsidR="002F4C82" w:rsidTr="001136B1">
        <w:tc>
          <w:tcPr>
            <w:tcW w:w="1951" w:type="dxa"/>
            <w:tcMar>
              <w:top w:w="113" w:type="dxa"/>
            </w:tcMar>
          </w:tcPr>
          <w:p w:rsidR="002F4C82" w:rsidRPr="00FB6E76" w:rsidRDefault="002F4C82" w:rsidP="00D166D7">
            <w:pPr>
              <w:pStyle w:val="ONUME"/>
              <w:numPr>
                <w:ilvl w:val="0"/>
                <w:numId w:val="0"/>
              </w:numPr>
              <w:rPr>
                <w:sz w:val="18"/>
                <w:szCs w:val="18"/>
              </w:rPr>
            </w:pPr>
            <w:r w:rsidRPr="00FB6E76">
              <w:rPr>
                <w:sz w:val="18"/>
                <w:szCs w:val="18"/>
              </w:rPr>
              <w:lastRenderedPageBreak/>
              <w:t>Rec. 8  The Director General should finalize the WIPO Gender Policy by the end of 2014, ensuring that it contains specific measures and targets to improve gender balance, in particular at senior management level, and report annually on its implementation.</w:t>
            </w:r>
          </w:p>
        </w:tc>
        <w:tc>
          <w:tcPr>
            <w:tcW w:w="1701" w:type="dxa"/>
            <w:tcMar>
              <w:top w:w="113" w:type="dxa"/>
            </w:tcMar>
          </w:tcPr>
          <w:p w:rsidR="002F4C82" w:rsidRDefault="002F4C82" w:rsidP="00D166D7">
            <w:pPr>
              <w:pStyle w:val="ONUME"/>
              <w:numPr>
                <w:ilvl w:val="0"/>
                <w:numId w:val="0"/>
              </w:numPr>
              <w:rPr>
                <w:sz w:val="18"/>
                <w:szCs w:val="18"/>
              </w:rPr>
            </w:pPr>
            <w:r>
              <w:rPr>
                <w:sz w:val="18"/>
                <w:szCs w:val="18"/>
              </w:rPr>
              <w:t>Director, Human Resources Management Department</w:t>
            </w:r>
          </w:p>
        </w:tc>
        <w:tc>
          <w:tcPr>
            <w:tcW w:w="1287" w:type="dxa"/>
            <w:tcMar>
              <w:top w:w="113" w:type="dxa"/>
            </w:tcMar>
          </w:tcPr>
          <w:p w:rsidR="002F4C82" w:rsidRPr="002F4C82" w:rsidRDefault="002F4C82" w:rsidP="00D166D7">
            <w:pPr>
              <w:pStyle w:val="ONUME"/>
              <w:numPr>
                <w:ilvl w:val="0"/>
                <w:numId w:val="0"/>
              </w:numPr>
              <w:rPr>
                <w:sz w:val="18"/>
              </w:rPr>
            </w:pPr>
            <w:r>
              <w:rPr>
                <w:sz w:val="18"/>
              </w:rPr>
              <w:t>Accepted</w:t>
            </w:r>
          </w:p>
        </w:tc>
        <w:tc>
          <w:tcPr>
            <w:tcW w:w="1548" w:type="dxa"/>
            <w:tcMar>
              <w:top w:w="113" w:type="dxa"/>
            </w:tcMar>
          </w:tcPr>
          <w:p w:rsidR="002F4C82" w:rsidRPr="002F4C82" w:rsidRDefault="002F4C82" w:rsidP="002F4C82">
            <w:pPr>
              <w:pStyle w:val="ONUME"/>
              <w:numPr>
                <w:ilvl w:val="0"/>
                <w:numId w:val="0"/>
              </w:numPr>
              <w:rPr>
                <w:sz w:val="18"/>
              </w:rPr>
            </w:pPr>
            <w:r>
              <w:rPr>
                <w:sz w:val="18"/>
              </w:rPr>
              <w:t>Implemented</w:t>
            </w:r>
          </w:p>
        </w:tc>
        <w:tc>
          <w:tcPr>
            <w:tcW w:w="3084" w:type="dxa"/>
            <w:tcMar>
              <w:top w:w="113" w:type="dxa"/>
              <w:bottom w:w="142" w:type="dxa"/>
            </w:tcMar>
          </w:tcPr>
          <w:p w:rsidR="002F4C82" w:rsidRPr="00FB6E76" w:rsidRDefault="00FC341F" w:rsidP="00515E4B">
            <w:pPr>
              <w:pStyle w:val="ONUME"/>
              <w:numPr>
                <w:ilvl w:val="0"/>
                <w:numId w:val="0"/>
              </w:numPr>
              <w:spacing w:after="0"/>
              <w:rPr>
                <w:sz w:val="18"/>
                <w:szCs w:val="18"/>
              </w:rPr>
            </w:pPr>
            <w:r>
              <w:rPr>
                <w:bCs/>
                <w:sz w:val="18"/>
                <w:szCs w:val="18"/>
              </w:rPr>
              <w:t xml:space="preserve">WIPO published its policy on Gender Equality in August 2014, in the form of an Office Instruction, which </w:t>
            </w:r>
            <w:r w:rsidRPr="00FB6E76">
              <w:rPr>
                <w:bCs/>
                <w:sz w:val="18"/>
                <w:szCs w:val="18"/>
              </w:rPr>
              <w:t>address</w:t>
            </w:r>
            <w:r>
              <w:rPr>
                <w:bCs/>
                <w:sz w:val="18"/>
                <w:szCs w:val="18"/>
              </w:rPr>
              <w:t xml:space="preserve">es </w:t>
            </w:r>
            <w:r w:rsidRPr="00FB6E76">
              <w:rPr>
                <w:bCs/>
                <w:sz w:val="18"/>
                <w:szCs w:val="18"/>
              </w:rPr>
              <w:t xml:space="preserve">both the </w:t>
            </w:r>
            <w:r w:rsidRPr="00FB6E76">
              <w:rPr>
                <w:sz w:val="18"/>
                <w:szCs w:val="18"/>
              </w:rPr>
              <w:t xml:space="preserve">mainstreaming of gender in the work of WIPO Programs and gender equality in the WIPO workplace with specific measures and targets for improving gender balance at all levels by 2020. </w:t>
            </w:r>
            <w:r w:rsidRPr="00FB6E76">
              <w:rPr>
                <w:bCs/>
                <w:sz w:val="18"/>
                <w:szCs w:val="18"/>
              </w:rPr>
              <w:t xml:space="preserve"> </w:t>
            </w:r>
            <w:r>
              <w:rPr>
                <w:bCs/>
                <w:sz w:val="18"/>
                <w:szCs w:val="18"/>
              </w:rPr>
              <w:t>An Action Plan was issued in parallel, setting out actions to be put in place between September 2014 – December 2015, together with specific timeframes and action owners for each.  P</w:t>
            </w:r>
            <w:r w:rsidRPr="00FB6E76">
              <w:rPr>
                <w:bCs/>
                <w:sz w:val="18"/>
                <w:szCs w:val="18"/>
              </w:rPr>
              <w:t>rogress on gender balance</w:t>
            </w:r>
            <w:r>
              <w:rPr>
                <w:bCs/>
                <w:sz w:val="18"/>
                <w:szCs w:val="18"/>
              </w:rPr>
              <w:t xml:space="preserve"> is reported </w:t>
            </w:r>
            <w:r w:rsidRPr="00FB6E76">
              <w:rPr>
                <w:bCs/>
                <w:sz w:val="18"/>
                <w:szCs w:val="18"/>
              </w:rPr>
              <w:t xml:space="preserve">biannually to </w:t>
            </w:r>
            <w:r w:rsidR="00515E4B">
              <w:rPr>
                <w:bCs/>
                <w:sz w:val="18"/>
                <w:szCs w:val="18"/>
              </w:rPr>
              <w:t>M</w:t>
            </w:r>
            <w:r w:rsidRPr="00FB6E76">
              <w:rPr>
                <w:bCs/>
                <w:sz w:val="18"/>
                <w:szCs w:val="18"/>
              </w:rPr>
              <w:t>ember States and annually to the WIPO Coordination Committee through its Annual Report on Human Resources.</w:t>
            </w:r>
          </w:p>
        </w:tc>
      </w:tr>
      <w:tr w:rsidR="001F0D37" w:rsidTr="001136B1">
        <w:tc>
          <w:tcPr>
            <w:tcW w:w="1951" w:type="dxa"/>
            <w:tcMar>
              <w:top w:w="113" w:type="dxa"/>
            </w:tcMar>
          </w:tcPr>
          <w:p w:rsidR="001F0D37" w:rsidRPr="001F0D37" w:rsidRDefault="001F0D37">
            <w:pPr>
              <w:rPr>
                <w:sz w:val="18"/>
                <w:szCs w:val="18"/>
              </w:rPr>
            </w:pPr>
            <w:r w:rsidRPr="001F0D37">
              <w:rPr>
                <w:sz w:val="18"/>
                <w:szCs w:val="18"/>
              </w:rPr>
              <w:t>Rec. 9.  The Director General should further formalize WIPO’s Information and Communication Technology (ICT) Strategy and present it to the General Assembly by the end of 2014.</w:t>
            </w:r>
          </w:p>
        </w:tc>
        <w:tc>
          <w:tcPr>
            <w:tcW w:w="1701" w:type="dxa"/>
            <w:tcMar>
              <w:top w:w="113" w:type="dxa"/>
            </w:tcMar>
          </w:tcPr>
          <w:p w:rsidR="001F0D37" w:rsidRPr="001F0D37" w:rsidRDefault="0055349E" w:rsidP="0055349E">
            <w:pPr>
              <w:rPr>
                <w:sz w:val="18"/>
                <w:szCs w:val="18"/>
              </w:rPr>
            </w:pPr>
            <w:r>
              <w:rPr>
                <w:sz w:val="18"/>
                <w:szCs w:val="18"/>
              </w:rPr>
              <w:t>Chief Information Officer, Information and Communication Technology Department</w:t>
            </w:r>
          </w:p>
        </w:tc>
        <w:tc>
          <w:tcPr>
            <w:tcW w:w="1287" w:type="dxa"/>
            <w:tcMar>
              <w:top w:w="113" w:type="dxa"/>
            </w:tcMar>
          </w:tcPr>
          <w:p w:rsidR="001F0D37" w:rsidRPr="001F0D37" w:rsidRDefault="001F0D37">
            <w:pPr>
              <w:rPr>
                <w:sz w:val="18"/>
                <w:szCs w:val="18"/>
              </w:rPr>
            </w:pPr>
            <w:r>
              <w:rPr>
                <w:sz w:val="18"/>
                <w:szCs w:val="18"/>
              </w:rPr>
              <w:t>Accepted</w:t>
            </w:r>
          </w:p>
        </w:tc>
        <w:tc>
          <w:tcPr>
            <w:tcW w:w="1548" w:type="dxa"/>
            <w:tcMar>
              <w:top w:w="113" w:type="dxa"/>
            </w:tcMar>
          </w:tcPr>
          <w:p w:rsidR="001F0D37" w:rsidRPr="001F0D37" w:rsidRDefault="001F0D37">
            <w:pPr>
              <w:rPr>
                <w:sz w:val="18"/>
                <w:szCs w:val="18"/>
              </w:rPr>
            </w:pPr>
            <w:r>
              <w:rPr>
                <w:sz w:val="18"/>
                <w:szCs w:val="18"/>
              </w:rPr>
              <w:t>Implemented</w:t>
            </w:r>
          </w:p>
        </w:tc>
        <w:tc>
          <w:tcPr>
            <w:tcW w:w="3084" w:type="dxa"/>
            <w:tcMar>
              <w:top w:w="113" w:type="dxa"/>
              <w:bottom w:w="142" w:type="dxa"/>
            </w:tcMar>
          </w:tcPr>
          <w:p w:rsidR="001F0D37" w:rsidRPr="001F0D37" w:rsidRDefault="001F0D37">
            <w:pPr>
              <w:rPr>
                <w:sz w:val="18"/>
                <w:szCs w:val="18"/>
              </w:rPr>
            </w:pPr>
            <w:r w:rsidRPr="001F0D37">
              <w:rPr>
                <w:sz w:val="18"/>
                <w:szCs w:val="18"/>
              </w:rPr>
              <w:t>The WIPO Information and Communication Technology (ICT) Strategy has been provided as part of the documentation of the 54th Session of the Assemblies of the Member States of WIPO (September 22 to September 30, 2014).</w:t>
            </w:r>
          </w:p>
        </w:tc>
      </w:tr>
      <w:tr w:rsidR="00625389" w:rsidTr="001136B1">
        <w:tc>
          <w:tcPr>
            <w:tcW w:w="1951" w:type="dxa"/>
            <w:tcMar>
              <w:top w:w="113" w:type="dxa"/>
            </w:tcMar>
          </w:tcPr>
          <w:p w:rsidR="00625389" w:rsidRPr="00FB6E76" w:rsidRDefault="00625389" w:rsidP="00625389">
            <w:pPr>
              <w:rPr>
                <w:sz w:val="18"/>
                <w:szCs w:val="18"/>
              </w:rPr>
            </w:pPr>
            <w:r>
              <w:rPr>
                <w:sz w:val="18"/>
                <w:szCs w:val="18"/>
              </w:rPr>
              <w:t xml:space="preserve">Rec. </w:t>
            </w:r>
            <w:proofErr w:type="gramStart"/>
            <w:r>
              <w:rPr>
                <w:sz w:val="18"/>
                <w:szCs w:val="18"/>
              </w:rPr>
              <w:t>10</w:t>
            </w:r>
            <w:r w:rsidR="0055349E">
              <w:rPr>
                <w:sz w:val="18"/>
                <w:szCs w:val="18"/>
              </w:rPr>
              <w:t xml:space="preserve"> </w:t>
            </w:r>
            <w:r>
              <w:rPr>
                <w:sz w:val="18"/>
                <w:szCs w:val="18"/>
              </w:rPr>
              <w:t xml:space="preserve"> </w:t>
            </w:r>
            <w:r w:rsidRPr="009F763C">
              <w:rPr>
                <w:sz w:val="18"/>
                <w:szCs w:val="18"/>
              </w:rPr>
              <w:t>The</w:t>
            </w:r>
            <w:proofErr w:type="gramEnd"/>
            <w:r w:rsidRPr="009F763C">
              <w:rPr>
                <w:sz w:val="18"/>
                <w:szCs w:val="18"/>
              </w:rPr>
              <w:t xml:space="preserve"> Director General should finalize a comprehensive Knowledge Management Strategy and present it to the General Assembly by the end of 2015.</w:t>
            </w:r>
          </w:p>
        </w:tc>
        <w:tc>
          <w:tcPr>
            <w:tcW w:w="1701" w:type="dxa"/>
            <w:tcMar>
              <w:top w:w="113" w:type="dxa"/>
            </w:tcMar>
          </w:tcPr>
          <w:p w:rsidR="00625389" w:rsidRDefault="00625389" w:rsidP="0007416F">
            <w:pPr>
              <w:pStyle w:val="ONUME"/>
              <w:numPr>
                <w:ilvl w:val="0"/>
                <w:numId w:val="0"/>
              </w:numPr>
              <w:rPr>
                <w:sz w:val="18"/>
                <w:szCs w:val="18"/>
              </w:rPr>
            </w:pPr>
            <w:r>
              <w:rPr>
                <w:rFonts w:eastAsia="Calibri"/>
                <w:sz w:val="18"/>
                <w:szCs w:val="18"/>
              </w:rPr>
              <w:t>Assistant Director General, Administration and Management Sector</w:t>
            </w:r>
          </w:p>
        </w:tc>
        <w:tc>
          <w:tcPr>
            <w:tcW w:w="1287" w:type="dxa"/>
            <w:tcMar>
              <w:top w:w="113" w:type="dxa"/>
            </w:tcMar>
          </w:tcPr>
          <w:p w:rsidR="00625389" w:rsidRDefault="00625389" w:rsidP="00D166D7">
            <w:pPr>
              <w:pStyle w:val="ONUME"/>
              <w:numPr>
                <w:ilvl w:val="0"/>
                <w:numId w:val="0"/>
              </w:numPr>
              <w:rPr>
                <w:sz w:val="18"/>
              </w:rPr>
            </w:pPr>
            <w:r>
              <w:rPr>
                <w:sz w:val="18"/>
              </w:rPr>
              <w:t>Accepted</w:t>
            </w:r>
          </w:p>
        </w:tc>
        <w:tc>
          <w:tcPr>
            <w:tcW w:w="1548" w:type="dxa"/>
            <w:tcMar>
              <w:top w:w="113" w:type="dxa"/>
            </w:tcMar>
          </w:tcPr>
          <w:p w:rsidR="00625389" w:rsidRDefault="000A5901" w:rsidP="002F4C82">
            <w:pPr>
              <w:pStyle w:val="ONUME"/>
              <w:numPr>
                <w:ilvl w:val="0"/>
                <w:numId w:val="0"/>
              </w:numPr>
              <w:rPr>
                <w:sz w:val="18"/>
              </w:rPr>
            </w:pPr>
            <w:r>
              <w:rPr>
                <w:sz w:val="18"/>
              </w:rPr>
              <w:t>Implemented</w:t>
            </w:r>
          </w:p>
        </w:tc>
        <w:tc>
          <w:tcPr>
            <w:tcW w:w="3084" w:type="dxa"/>
            <w:tcMar>
              <w:top w:w="113" w:type="dxa"/>
              <w:bottom w:w="142" w:type="dxa"/>
            </w:tcMar>
          </w:tcPr>
          <w:p w:rsidR="009330C7" w:rsidRPr="000A5901" w:rsidRDefault="006678F1" w:rsidP="00515E4B">
            <w:pPr>
              <w:rPr>
                <w:b/>
                <w:bCs/>
                <w:i/>
                <w:sz w:val="18"/>
                <w:szCs w:val="18"/>
              </w:rPr>
            </w:pPr>
            <w:r w:rsidRPr="006678F1">
              <w:rPr>
                <w:bCs/>
                <w:sz w:val="18"/>
                <w:szCs w:val="18"/>
              </w:rPr>
              <w:t xml:space="preserve">The </w:t>
            </w:r>
            <w:r w:rsidR="00515E4B">
              <w:rPr>
                <w:bCs/>
                <w:sz w:val="18"/>
                <w:szCs w:val="18"/>
              </w:rPr>
              <w:t>Knowledge Management Strategy</w:t>
            </w:r>
            <w:r w:rsidRPr="006678F1">
              <w:rPr>
                <w:bCs/>
                <w:sz w:val="18"/>
                <w:szCs w:val="18"/>
              </w:rPr>
              <w:t xml:space="preserve"> is available to Member States as part of the documentation of the 55</w:t>
            </w:r>
            <w:r w:rsidRPr="006678F1">
              <w:rPr>
                <w:bCs/>
                <w:sz w:val="18"/>
                <w:szCs w:val="18"/>
                <w:vertAlign w:val="superscript"/>
              </w:rPr>
              <w:t>th</w:t>
            </w:r>
            <w:r w:rsidRPr="006678F1">
              <w:rPr>
                <w:bCs/>
                <w:sz w:val="18"/>
                <w:szCs w:val="18"/>
              </w:rPr>
              <w:t xml:space="preserve"> Session of the Assemblies of the Member States of WIPO. </w:t>
            </w:r>
          </w:p>
        </w:tc>
      </w:tr>
    </w:tbl>
    <w:p w:rsidR="001136B1" w:rsidRDefault="001136B1" w:rsidP="002F4C82">
      <w:pPr>
        <w:pStyle w:val="ONUME"/>
        <w:numPr>
          <w:ilvl w:val="0"/>
          <w:numId w:val="0"/>
        </w:numPr>
      </w:pPr>
    </w:p>
    <w:p w:rsidR="006C6549" w:rsidRDefault="006C6549" w:rsidP="002F4C82">
      <w:pPr>
        <w:pStyle w:val="ONUME"/>
        <w:numPr>
          <w:ilvl w:val="0"/>
          <w:numId w:val="0"/>
        </w:numPr>
      </w:pPr>
    </w:p>
    <w:p w:rsidR="009868DF" w:rsidRDefault="009868DF" w:rsidP="002F4C82">
      <w:pPr>
        <w:pStyle w:val="ONUME"/>
        <w:numPr>
          <w:ilvl w:val="0"/>
          <w:numId w:val="0"/>
        </w:numPr>
      </w:pPr>
    </w:p>
    <w:p w:rsidR="009868DF" w:rsidRDefault="009868DF" w:rsidP="002F4C82">
      <w:pPr>
        <w:pStyle w:val="ONUME"/>
        <w:numPr>
          <w:ilvl w:val="0"/>
          <w:numId w:val="0"/>
        </w:numPr>
      </w:pPr>
    </w:p>
    <w:p w:rsidR="00205BEA" w:rsidRPr="006E738A" w:rsidRDefault="002F4C82" w:rsidP="002F4C82">
      <w:pPr>
        <w:pStyle w:val="ONUME"/>
      </w:pPr>
      <w:r>
        <w:lastRenderedPageBreak/>
        <w:t>T</w:t>
      </w:r>
      <w:r w:rsidRPr="006E738A">
        <w:t>he following decision paragraph is proposed.</w:t>
      </w:r>
    </w:p>
    <w:p w:rsidR="00205BEA" w:rsidRPr="009330C7" w:rsidRDefault="00205BEA" w:rsidP="007E7164">
      <w:pPr>
        <w:pStyle w:val="ONUME"/>
        <w:tabs>
          <w:tab w:val="left" w:pos="6096"/>
        </w:tabs>
        <w:ind w:left="5533"/>
        <w:rPr>
          <w:i/>
        </w:rPr>
      </w:pPr>
      <w:r w:rsidRPr="009330C7">
        <w:rPr>
          <w:i/>
        </w:rPr>
        <w:t>T</w:t>
      </w:r>
      <w:r w:rsidR="00811E7B">
        <w:rPr>
          <w:i/>
        </w:rPr>
        <w:t>he Program and Budget Committee:</w:t>
      </w:r>
    </w:p>
    <w:p w:rsidR="00205BEA" w:rsidRPr="009330C7" w:rsidRDefault="009330C7" w:rsidP="007E7164">
      <w:pPr>
        <w:pStyle w:val="ONUME"/>
        <w:numPr>
          <w:ilvl w:val="2"/>
          <w:numId w:val="5"/>
        </w:numPr>
        <w:tabs>
          <w:tab w:val="left" w:pos="6663"/>
        </w:tabs>
        <w:ind w:left="6096"/>
        <w:rPr>
          <w:i/>
        </w:rPr>
      </w:pPr>
      <w:r>
        <w:rPr>
          <w:i/>
        </w:rPr>
        <w:t xml:space="preserve">took note of the </w:t>
      </w:r>
      <w:r w:rsidRPr="009330C7">
        <w:rPr>
          <w:i/>
        </w:rPr>
        <w:t xml:space="preserve">Secretariat’s </w:t>
      </w:r>
      <w:r>
        <w:rPr>
          <w:i/>
        </w:rPr>
        <w:t>updated c</w:t>
      </w:r>
      <w:r w:rsidRPr="009330C7">
        <w:rPr>
          <w:i/>
        </w:rPr>
        <w:t>omments on the Joint Inspection Unit’s (JIU) Report “Review of Management and Administration in the World Intellectual Property Organization” (JIU/REP/2014/2)</w:t>
      </w:r>
      <w:r>
        <w:rPr>
          <w:i/>
        </w:rPr>
        <w:t xml:space="preserve"> as set out in document</w:t>
      </w:r>
      <w:r w:rsidR="00811E7B">
        <w:rPr>
          <w:i/>
        </w:rPr>
        <w:t xml:space="preserve"> WO/PBC/23/4</w:t>
      </w:r>
      <w:r>
        <w:rPr>
          <w:i/>
        </w:rPr>
        <w:t xml:space="preserve">, and noted that recommendations 2, 3, 4, 5, 8, </w:t>
      </w:r>
      <w:r w:rsidR="000A5901">
        <w:rPr>
          <w:i/>
        </w:rPr>
        <w:t>9 and 10</w:t>
      </w:r>
      <w:r>
        <w:rPr>
          <w:i/>
        </w:rPr>
        <w:t xml:space="preserve">, addressed to the Director General have been fully implemented; </w:t>
      </w:r>
      <w:r w:rsidR="000A5901">
        <w:rPr>
          <w:i/>
        </w:rPr>
        <w:t>and</w:t>
      </w:r>
    </w:p>
    <w:p w:rsidR="00205BEA" w:rsidRPr="009330C7" w:rsidRDefault="002C463D" w:rsidP="00EC6D92">
      <w:pPr>
        <w:pStyle w:val="ONUME"/>
        <w:keepNext/>
        <w:keepLines/>
        <w:numPr>
          <w:ilvl w:val="2"/>
          <w:numId w:val="5"/>
        </w:numPr>
        <w:tabs>
          <w:tab w:val="left" w:pos="6663"/>
        </w:tabs>
        <w:ind w:left="6096"/>
        <w:rPr>
          <w:i/>
        </w:rPr>
      </w:pPr>
      <w:proofErr w:type="gramStart"/>
      <w:r>
        <w:rPr>
          <w:i/>
        </w:rPr>
        <w:t>requested</w:t>
      </w:r>
      <w:proofErr w:type="gramEnd"/>
      <w:r>
        <w:rPr>
          <w:i/>
        </w:rPr>
        <w:t xml:space="preserve"> the Secretariat to continue to report on any outstanding recommendations in the future under the regular progress reports provided to Member States on the implementation of JIU recommendations</w:t>
      </w:r>
      <w:r w:rsidR="00205BEA" w:rsidRPr="009330C7">
        <w:rPr>
          <w:i/>
        </w:rPr>
        <w:t>.</w:t>
      </w:r>
    </w:p>
    <w:p w:rsidR="00B3708A" w:rsidRDefault="00B3708A" w:rsidP="00B3708A">
      <w:pPr>
        <w:pStyle w:val="Endofdocument-Annex"/>
      </w:pPr>
    </w:p>
    <w:p w:rsidR="00C324D7" w:rsidRDefault="00C324D7" w:rsidP="00B3708A">
      <w:pPr>
        <w:pStyle w:val="Endofdocument-Annex"/>
      </w:pPr>
    </w:p>
    <w:p w:rsidR="002928D3" w:rsidRDefault="00B3708A" w:rsidP="00C324D7">
      <w:pPr>
        <w:pStyle w:val="Endofdocument-Annex"/>
      </w:pPr>
      <w:r>
        <w:t>[End of document]</w:t>
      </w:r>
    </w:p>
    <w:sectPr w:rsidR="002928D3" w:rsidSect="00C324D7">
      <w:headerReference w:type="default" r:id="rId10"/>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025" w:rsidRDefault="00BB6025">
      <w:r>
        <w:separator/>
      </w:r>
    </w:p>
  </w:endnote>
  <w:endnote w:type="continuationSeparator" w:id="0">
    <w:p w:rsidR="00BB6025" w:rsidRDefault="00BB6025" w:rsidP="003B38C1">
      <w:r>
        <w:separator/>
      </w:r>
    </w:p>
    <w:p w:rsidR="00BB6025" w:rsidRPr="003B38C1" w:rsidRDefault="00BB6025" w:rsidP="003B38C1">
      <w:pPr>
        <w:spacing w:after="60"/>
        <w:rPr>
          <w:sz w:val="17"/>
        </w:rPr>
      </w:pPr>
      <w:r>
        <w:rPr>
          <w:sz w:val="17"/>
        </w:rPr>
        <w:t>[Endnote continued from previous page]</w:t>
      </w:r>
    </w:p>
  </w:endnote>
  <w:endnote w:type="continuationNotice" w:id="1">
    <w:p w:rsidR="00BB6025" w:rsidRPr="003B38C1" w:rsidRDefault="00BB60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025" w:rsidRDefault="00BB6025">
      <w:r>
        <w:separator/>
      </w:r>
    </w:p>
  </w:footnote>
  <w:footnote w:type="continuationSeparator" w:id="0">
    <w:p w:rsidR="00BB6025" w:rsidRDefault="00BB6025" w:rsidP="008B60B2">
      <w:r>
        <w:separator/>
      </w:r>
    </w:p>
    <w:p w:rsidR="00BB6025" w:rsidRPr="00ED77FB" w:rsidRDefault="00BB6025" w:rsidP="008B60B2">
      <w:pPr>
        <w:spacing w:after="60"/>
        <w:rPr>
          <w:sz w:val="17"/>
          <w:szCs w:val="17"/>
        </w:rPr>
      </w:pPr>
      <w:r w:rsidRPr="00ED77FB">
        <w:rPr>
          <w:sz w:val="17"/>
          <w:szCs w:val="17"/>
        </w:rPr>
        <w:t>[Footnote continued from previous page]</w:t>
      </w:r>
    </w:p>
  </w:footnote>
  <w:footnote w:type="continuationNotice" w:id="1">
    <w:p w:rsidR="00BB6025" w:rsidRPr="00ED77FB" w:rsidRDefault="00BB602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B6025" w:rsidP="00477D6B">
    <w:pPr>
      <w:jc w:val="right"/>
    </w:pPr>
    <w:bookmarkStart w:id="6" w:name="Code2"/>
    <w:bookmarkEnd w:id="6"/>
    <w:r>
      <w:t>WO/PBC/23/4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013E8">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EC6AA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97"/>
        </w:tabs>
        <w:ind w:left="6030"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604E4F"/>
    <w:multiLevelType w:val="hybridMultilevel"/>
    <w:tmpl w:val="D3A4B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025"/>
    <w:rsid w:val="000011AC"/>
    <w:rsid w:val="00043CAA"/>
    <w:rsid w:val="00060917"/>
    <w:rsid w:val="0007416F"/>
    <w:rsid w:val="00075432"/>
    <w:rsid w:val="00095860"/>
    <w:rsid w:val="000968ED"/>
    <w:rsid w:val="000A5901"/>
    <w:rsid w:val="000F5E56"/>
    <w:rsid w:val="0010450F"/>
    <w:rsid w:val="001136B1"/>
    <w:rsid w:val="001362EE"/>
    <w:rsid w:val="001832A6"/>
    <w:rsid w:val="001F0D37"/>
    <w:rsid w:val="00205BEA"/>
    <w:rsid w:val="002217C6"/>
    <w:rsid w:val="002634C4"/>
    <w:rsid w:val="002928D3"/>
    <w:rsid w:val="002C463D"/>
    <w:rsid w:val="002F1FE6"/>
    <w:rsid w:val="002F4C82"/>
    <w:rsid w:val="002F4E68"/>
    <w:rsid w:val="00312F7F"/>
    <w:rsid w:val="00361450"/>
    <w:rsid w:val="003673CF"/>
    <w:rsid w:val="003845C1"/>
    <w:rsid w:val="00397D6E"/>
    <w:rsid w:val="003A6F89"/>
    <w:rsid w:val="003B38C1"/>
    <w:rsid w:val="003F5A4E"/>
    <w:rsid w:val="004013E8"/>
    <w:rsid w:val="00423E3E"/>
    <w:rsid w:val="00427AF4"/>
    <w:rsid w:val="004647DA"/>
    <w:rsid w:val="00474062"/>
    <w:rsid w:val="00477D6B"/>
    <w:rsid w:val="005019FF"/>
    <w:rsid w:val="00515E4B"/>
    <w:rsid w:val="0053057A"/>
    <w:rsid w:val="0053155A"/>
    <w:rsid w:val="0055349E"/>
    <w:rsid w:val="00560A29"/>
    <w:rsid w:val="005C6649"/>
    <w:rsid w:val="00605827"/>
    <w:rsid w:val="00625389"/>
    <w:rsid w:val="00641841"/>
    <w:rsid w:val="00646050"/>
    <w:rsid w:val="006678F1"/>
    <w:rsid w:val="006713CA"/>
    <w:rsid w:val="00676C5C"/>
    <w:rsid w:val="006B7BE1"/>
    <w:rsid w:val="006C6549"/>
    <w:rsid w:val="006D3C6C"/>
    <w:rsid w:val="00730FAD"/>
    <w:rsid w:val="007D1613"/>
    <w:rsid w:val="007E7164"/>
    <w:rsid w:val="00811E7B"/>
    <w:rsid w:val="00822AB0"/>
    <w:rsid w:val="00846812"/>
    <w:rsid w:val="008579C3"/>
    <w:rsid w:val="008B2CC1"/>
    <w:rsid w:val="008B60B2"/>
    <w:rsid w:val="0090731E"/>
    <w:rsid w:val="00916EE2"/>
    <w:rsid w:val="009330C7"/>
    <w:rsid w:val="00966A22"/>
    <w:rsid w:val="0096722F"/>
    <w:rsid w:val="00980843"/>
    <w:rsid w:val="009868DF"/>
    <w:rsid w:val="009B2D83"/>
    <w:rsid w:val="009C699E"/>
    <w:rsid w:val="009E2791"/>
    <w:rsid w:val="009E3F6F"/>
    <w:rsid w:val="009F499F"/>
    <w:rsid w:val="00A05199"/>
    <w:rsid w:val="00A42DAF"/>
    <w:rsid w:val="00A45BD8"/>
    <w:rsid w:val="00A869B7"/>
    <w:rsid w:val="00AC205C"/>
    <w:rsid w:val="00AF0A6B"/>
    <w:rsid w:val="00B05A69"/>
    <w:rsid w:val="00B3708A"/>
    <w:rsid w:val="00B9734B"/>
    <w:rsid w:val="00BB6025"/>
    <w:rsid w:val="00C11BFE"/>
    <w:rsid w:val="00C324D7"/>
    <w:rsid w:val="00C647AB"/>
    <w:rsid w:val="00CA6D78"/>
    <w:rsid w:val="00CF4E91"/>
    <w:rsid w:val="00D166D7"/>
    <w:rsid w:val="00D45252"/>
    <w:rsid w:val="00D51C8D"/>
    <w:rsid w:val="00D71B4D"/>
    <w:rsid w:val="00D93D55"/>
    <w:rsid w:val="00DB18F6"/>
    <w:rsid w:val="00E335FE"/>
    <w:rsid w:val="00E628DA"/>
    <w:rsid w:val="00E9276B"/>
    <w:rsid w:val="00EC4E49"/>
    <w:rsid w:val="00EC6D92"/>
    <w:rsid w:val="00ED77FB"/>
    <w:rsid w:val="00EE45FA"/>
    <w:rsid w:val="00F0308D"/>
    <w:rsid w:val="00F66152"/>
    <w:rsid w:val="00FC341F"/>
    <w:rsid w:val="00FF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05BEA"/>
    <w:rPr>
      <w:rFonts w:ascii="Arial" w:eastAsia="SimSun" w:hAnsi="Arial" w:cs="Arial"/>
      <w:sz w:val="18"/>
      <w:lang w:eastAsia="zh-CN"/>
    </w:rPr>
  </w:style>
  <w:style w:type="character" w:styleId="FootnoteReference">
    <w:name w:val="footnote reference"/>
    <w:basedOn w:val="DefaultParagraphFont"/>
    <w:rsid w:val="00205BEA"/>
    <w:rPr>
      <w:vertAlign w:val="superscript"/>
    </w:rPr>
  </w:style>
  <w:style w:type="paragraph" w:styleId="ListParagraph">
    <w:name w:val="List Paragraph"/>
    <w:basedOn w:val="Normal"/>
    <w:uiPriority w:val="34"/>
    <w:qFormat/>
    <w:rsid w:val="00205BEA"/>
    <w:pPr>
      <w:ind w:left="720"/>
      <w:contextualSpacing/>
    </w:pPr>
  </w:style>
  <w:style w:type="table" w:styleId="TableGrid">
    <w:name w:val="Table Grid"/>
    <w:basedOn w:val="TableNormal"/>
    <w:rsid w:val="00D51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rsid w:val="00F0308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05BEA"/>
    <w:rPr>
      <w:rFonts w:ascii="Arial" w:eastAsia="SimSun" w:hAnsi="Arial" w:cs="Arial"/>
      <w:sz w:val="18"/>
      <w:lang w:eastAsia="zh-CN"/>
    </w:rPr>
  </w:style>
  <w:style w:type="character" w:styleId="FootnoteReference">
    <w:name w:val="footnote reference"/>
    <w:basedOn w:val="DefaultParagraphFont"/>
    <w:rsid w:val="00205BEA"/>
    <w:rPr>
      <w:vertAlign w:val="superscript"/>
    </w:rPr>
  </w:style>
  <w:style w:type="paragraph" w:styleId="ListParagraph">
    <w:name w:val="List Paragraph"/>
    <w:basedOn w:val="Normal"/>
    <w:uiPriority w:val="34"/>
    <w:qFormat/>
    <w:rsid w:val="00205BEA"/>
    <w:pPr>
      <w:ind w:left="720"/>
      <w:contextualSpacing/>
    </w:pPr>
  </w:style>
  <w:style w:type="table" w:styleId="TableGrid">
    <w:name w:val="Table Grid"/>
    <w:basedOn w:val="TableNormal"/>
    <w:rsid w:val="00D51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rsid w:val="00F0308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BB678-E55B-4684-9147-F1F16DCD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9</TotalTime>
  <Pages>5</Pages>
  <Words>1444</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DOYON Geneviève</dc:creator>
  <cp:lastModifiedBy>DOYON Geneviève</cp:lastModifiedBy>
  <cp:revision>7</cp:revision>
  <cp:lastPrinted>2015-05-06T09:51:00Z</cp:lastPrinted>
  <dcterms:created xsi:type="dcterms:W3CDTF">2015-05-01T13:34:00Z</dcterms:created>
  <dcterms:modified xsi:type="dcterms:W3CDTF">2015-05-13T05:55:00Z</dcterms:modified>
</cp:coreProperties>
</file>