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420210" w:rsidRPr="008B2CC1" w:rsidTr="00361450">
        <w:tc>
          <w:tcPr>
            <w:tcW w:w="4513" w:type="dxa"/>
            <w:tcBorders>
              <w:bottom w:val="single" w:sz="4" w:space="0" w:color="auto"/>
            </w:tcBorders>
            <w:tcMar>
              <w:bottom w:w="170" w:type="dxa"/>
            </w:tcMar>
          </w:tcPr>
          <w:p w:rsidR="00420210" w:rsidRPr="008B2CC1" w:rsidRDefault="00420210" w:rsidP="00916EE2"/>
        </w:tc>
        <w:tc>
          <w:tcPr>
            <w:tcW w:w="4337" w:type="dxa"/>
            <w:tcBorders>
              <w:bottom w:val="single" w:sz="4" w:space="0" w:color="auto"/>
            </w:tcBorders>
            <w:tcMar>
              <w:left w:w="0" w:type="dxa"/>
              <w:right w:w="0" w:type="dxa"/>
            </w:tcMar>
          </w:tcPr>
          <w:p w:rsidR="00420210" w:rsidRPr="008B2CC1" w:rsidRDefault="00420210" w:rsidP="00916EE2">
            <w:r>
              <w:rPr>
                <w:noProof/>
                <w:lang w:eastAsia="en-US"/>
              </w:rPr>
              <w:drawing>
                <wp:inline distT="0" distB="0" distL="0" distR="0" wp14:anchorId="54E85040" wp14:editId="6F5B7AA5">
                  <wp:extent cx="1857375" cy="1323975"/>
                  <wp:effectExtent l="0" t="0" r="9525" b="9525"/>
                  <wp:docPr id="8" name="Picture 8"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20210" w:rsidRPr="008B2CC1" w:rsidRDefault="00420210" w:rsidP="00916EE2">
            <w:pPr>
              <w:jc w:val="right"/>
            </w:pPr>
            <w:r w:rsidRPr="00605827">
              <w:rPr>
                <w:b/>
                <w:sz w:val="40"/>
                <w:szCs w:val="40"/>
              </w:rPr>
              <w:t>E</w:t>
            </w:r>
          </w:p>
        </w:tc>
      </w:tr>
      <w:tr w:rsidR="00420210"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420210" w:rsidRPr="0090731E" w:rsidRDefault="00420210" w:rsidP="00C078DE">
            <w:pPr>
              <w:jc w:val="right"/>
              <w:rPr>
                <w:rFonts w:ascii="Arial Black" w:hAnsi="Arial Black"/>
                <w:caps/>
                <w:sz w:val="15"/>
              </w:rPr>
            </w:pPr>
            <w:r>
              <w:rPr>
                <w:rFonts w:ascii="Arial Black" w:hAnsi="Arial Black"/>
                <w:caps/>
                <w:sz w:val="15"/>
              </w:rPr>
              <w:t>WO/PBC/22/28</w:t>
            </w:r>
            <w:bookmarkStart w:id="0" w:name="Code"/>
            <w:bookmarkEnd w:id="0"/>
            <w:r>
              <w:rPr>
                <w:rFonts w:ascii="Arial Black" w:hAnsi="Arial Black"/>
                <w:caps/>
                <w:sz w:val="15"/>
              </w:rPr>
              <w:t xml:space="preserve"> </w:t>
            </w:r>
            <w:r w:rsidRPr="0090731E">
              <w:rPr>
                <w:rFonts w:ascii="Arial Black" w:hAnsi="Arial Black"/>
                <w:caps/>
                <w:sz w:val="15"/>
              </w:rPr>
              <w:t xml:space="preserve">   </w:t>
            </w:r>
          </w:p>
        </w:tc>
      </w:tr>
      <w:tr w:rsidR="00420210" w:rsidRPr="001832A6" w:rsidTr="00916EE2">
        <w:trPr>
          <w:trHeight w:hRule="exact" w:val="170"/>
        </w:trPr>
        <w:tc>
          <w:tcPr>
            <w:tcW w:w="9356" w:type="dxa"/>
            <w:gridSpan w:val="3"/>
            <w:noWrap/>
            <w:tcMar>
              <w:left w:w="0" w:type="dxa"/>
              <w:right w:w="0" w:type="dxa"/>
            </w:tcMar>
            <w:vAlign w:val="bottom"/>
          </w:tcPr>
          <w:p w:rsidR="00420210" w:rsidRPr="0090731E" w:rsidRDefault="00420210" w:rsidP="00C078DE">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ENGLISH </w:t>
            </w:r>
            <w:r w:rsidRPr="0090731E">
              <w:rPr>
                <w:rFonts w:ascii="Arial Black" w:hAnsi="Arial Black"/>
                <w:caps/>
                <w:sz w:val="15"/>
              </w:rPr>
              <w:t xml:space="preserve"> </w:t>
            </w:r>
          </w:p>
        </w:tc>
      </w:tr>
      <w:tr w:rsidR="00420210" w:rsidRPr="001832A6" w:rsidTr="00916EE2">
        <w:trPr>
          <w:trHeight w:hRule="exact" w:val="198"/>
        </w:trPr>
        <w:tc>
          <w:tcPr>
            <w:tcW w:w="9356" w:type="dxa"/>
            <w:gridSpan w:val="3"/>
            <w:tcMar>
              <w:left w:w="0" w:type="dxa"/>
              <w:right w:w="0" w:type="dxa"/>
            </w:tcMar>
            <w:vAlign w:val="bottom"/>
          </w:tcPr>
          <w:p w:rsidR="00420210" w:rsidRPr="0090731E" w:rsidRDefault="00420210" w:rsidP="00C078DE">
            <w:pPr>
              <w:jc w:val="right"/>
              <w:rPr>
                <w:rFonts w:ascii="Arial Black" w:hAnsi="Arial Black"/>
                <w:caps/>
                <w:sz w:val="15"/>
              </w:rPr>
            </w:pPr>
            <w:r w:rsidRPr="0090731E">
              <w:rPr>
                <w:rFonts w:ascii="Arial Black" w:hAnsi="Arial Black"/>
                <w:caps/>
                <w:sz w:val="15"/>
              </w:rPr>
              <w:t>DATE</w:t>
            </w:r>
            <w:r w:rsidR="00011C4F">
              <w:rPr>
                <w:rFonts w:ascii="Arial Black" w:hAnsi="Arial Black"/>
                <w:caps/>
                <w:sz w:val="15"/>
              </w:rPr>
              <w:t>:  JULY 29</w:t>
            </w:r>
            <w:r>
              <w:rPr>
                <w:rFonts w:ascii="Arial Black" w:hAnsi="Arial Black"/>
                <w:caps/>
                <w:sz w:val="15"/>
              </w:rPr>
              <w:t xml:space="preserve">,2014 </w:t>
            </w:r>
            <w:r w:rsidRPr="0090731E">
              <w:rPr>
                <w:rFonts w:ascii="Arial Black" w:hAnsi="Arial Black"/>
                <w:caps/>
                <w:sz w:val="15"/>
              </w:rPr>
              <w:t xml:space="preserve"> </w:t>
            </w:r>
          </w:p>
        </w:tc>
      </w:tr>
    </w:tbl>
    <w:p w:rsidR="00420210" w:rsidRPr="008B2CC1" w:rsidRDefault="00420210" w:rsidP="008B2CC1"/>
    <w:p w:rsidR="00420210" w:rsidRPr="008B2CC1" w:rsidRDefault="00420210" w:rsidP="008B2CC1"/>
    <w:p w:rsidR="00420210" w:rsidRPr="008B2CC1" w:rsidRDefault="00420210" w:rsidP="008B2CC1"/>
    <w:p w:rsidR="00420210" w:rsidRPr="008B2CC1" w:rsidRDefault="00420210" w:rsidP="008B2CC1"/>
    <w:p w:rsidR="00420210" w:rsidRPr="008B2CC1" w:rsidRDefault="00420210" w:rsidP="008B2CC1"/>
    <w:p w:rsidR="00420210" w:rsidRPr="003845C1" w:rsidRDefault="00420210" w:rsidP="00A40716">
      <w:pPr>
        <w:rPr>
          <w:b/>
          <w:sz w:val="28"/>
          <w:szCs w:val="28"/>
        </w:rPr>
      </w:pPr>
      <w:r>
        <w:rPr>
          <w:b/>
          <w:sz w:val="28"/>
          <w:szCs w:val="28"/>
        </w:rPr>
        <w:t>Program and Budget Committee</w:t>
      </w:r>
    </w:p>
    <w:p w:rsidR="00420210" w:rsidRDefault="00420210" w:rsidP="003845C1"/>
    <w:p w:rsidR="00420210" w:rsidRDefault="00420210" w:rsidP="003845C1"/>
    <w:p w:rsidR="00420210" w:rsidRPr="003845C1" w:rsidRDefault="00420210" w:rsidP="00A40716">
      <w:pPr>
        <w:rPr>
          <w:b/>
          <w:sz w:val="24"/>
          <w:szCs w:val="24"/>
        </w:rPr>
      </w:pPr>
      <w:r>
        <w:rPr>
          <w:b/>
          <w:sz w:val="24"/>
          <w:szCs w:val="24"/>
        </w:rPr>
        <w:t>Twenty-Second Session</w:t>
      </w:r>
    </w:p>
    <w:p w:rsidR="00420210" w:rsidRPr="003845C1" w:rsidRDefault="00420210" w:rsidP="00A40716">
      <w:pPr>
        <w:rPr>
          <w:b/>
          <w:sz w:val="24"/>
          <w:szCs w:val="24"/>
        </w:rPr>
      </w:pPr>
      <w:r w:rsidRPr="00B479F1">
        <w:rPr>
          <w:b/>
          <w:sz w:val="24"/>
          <w:szCs w:val="24"/>
        </w:rPr>
        <w:t xml:space="preserve">Geneva, September </w:t>
      </w:r>
      <w:r>
        <w:rPr>
          <w:b/>
          <w:sz w:val="24"/>
          <w:szCs w:val="24"/>
        </w:rPr>
        <w:t>1</w:t>
      </w:r>
      <w:r w:rsidRPr="00B479F1">
        <w:rPr>
          <w:b/>
          <w:sz w:val="24"/>
          <w:szCs w:val="24"/>
        </w:rPr>
        <w:t xml:space="preserve"> to </w:t>
      </w:r>
      <w:r>
        <w:rPr>
          <w:b/>
          <w:sz w:val="24"/>
          <w:szCs w:val="24"/>
        </w:rPr>
        <w:t>5, 2014</w:t>
      </w:r>
    </w:p>
    <w:p w:rsidR="00420210" w:rsidRPr="008B2CC1" w:rsidRDefault="00420210" w:rsidP="008B2CC1"/>
    <w:p w:rsidR="00420210" w:rsidRPr="008B2CC1" w:rsidRDefault="00420210" w:rsidP="008B2CC1"/>
    <w:p w:rsidR="00420210" w:rsidRPr="008B2CC1" w:rsidRDefault="00420210" w:rsidP="008B2CC1"/>
    <w:p w:rsidR="00420210" w:rsidRPr="003845C1" w:rsidRDefault="00420210" w:rsidP="00C078DE">
      <w:pPr>
        <w:rPr>
          <w:caps/>
          <w:sz w:val="24"/>
        </w:rPr>
      </w:pPr>
      <w:r>
        <w:rPr>
          <w:caps/>
          <w:sz w:val="24"/>
        </w:rPr>
        <w:t>REVIEW OF WIPO’s FINANCIAL SITUATION and its policies related to reserves</w:t>
      </w:r>
    </w:p>
    <w:p w:rsidR="00420210" w:rsidRPr="003845C1" w:rsidRDefault="00420210" w:rsidP="008B2CC1">
      <w:pPr>
        <w:rPr>
          <w:caps/>
          <w:sz w:val="24"/>
        </w:rPr>
      </w:pPr>
    </w:p>
    <w:p w:rsidR="00420210" w:rsidRPr="00C078DE" w:rsidRDefault="00420210" w:rsidP="008B2CC1">
      <w:pPr>
        <w:rPr>
          <w:i/>
        </w:rPr>
      </w:pPr>
      <w:r w:rsidRPr="00C078DE">
        <w:rPr>
          <w:i/>
        </w:rPr>
        <w:t>Document prepared by the Secretariat</w:t>
      </w:r>
    </w:p>
    <w:p w:rsidR="00AC205C" w:rsidRDefault="00AC205C"/>
    <w:p w:rsidR="00420210" w:rsidRDefault="00420210"/>
    <w:p w:rsidR="000F5E56" w:rsidRDefault="000F5E56"/>
    <w:p w:rsidR="000F45B3" w:rsidRDefault="000F45B3"/>
    <w:p w:rsidR="002928D3" w:rsidRPr="00405DB2" w:rsidRDefault="00020B9C">
      <w:pPr>
        <w:rPr>
          <w:b/>
          <w:caps/>
        </w:rPr>
      </w:pPr>
      <w:r>
        <w:rPr>
          <w:b/>
          <w:caps/>
        </w:rPr>
        <w:t>introduction</w:t>
      </w:r>
    </w:p>
    <w:p w:rsidR="006466E1" w:rsidRDefault="006466E1"/>
    <w:p w:rsidR="000D3AE5" w:rsidRDefault="000D3AE5" w:rsidP="005C396F">
      <w:pPr>
        <w:pStyle w:val="ONUME"/>
      </w:pPr>
      <w:r>
        <w:t>This document is presented to facilitate a review of WIPO’s Reserves and the related policies</w:t>
      </w:r>
      <w:r w:rsidR="00011C4F">
        <w:t xml:space="preserve"> by Member States</w:t>
      </w:r>
      <w:r>
        <w:t>.</w:t>
      </w:r>
    </w:p>
    <w:p w:rsidR="008D7A02" w:rsidRDefault="00D06D5E" w:rsidP="005C396F">
      <w:pPr>
        <w:pStyle w:val="ONUME"/>
      </w:pPr>
      <w:r>
        <w:t xml:space="preserve">WIPO </w:t>
      </w:r>
      <w:r w:rsidR="002F01AD">
        <w:t xml:space="preserve">derives a high </w:t>
      </w:r>
      <w:r w:rsidR="008D7A02">
        <w:t>p</w:t>
      </w:r>
      <w:r w:rsidR="002F01AD">
        <w:t>rop</w:t>
      </w:r>
      <w:r w:rsidR="008D7A02">
        <w:t>ortion of its income from fees for services</w:t>
      </w:r>
      <w:r w:rsidR="002F01AD">
        <w:t xml:space="preserve"> that it renders</w:t>
      </w:r>
      <w:r w:rsidR="00382581">
        <w:t xml:space="preserve"> to the global economy</w:t>
      </w:r>
      <w:r w:rsidR="00635F44">
        <w:t xml:space="preserve">.  </w:t>
      </w:r>
      <w:r>
        <w:t>It therefor</w:t>
      </w:r>
      <w:r w:rsidR="00635F44">
        <w:t>e</w:t>
      </w:r>
      <w:r>
        <w:t xml:space="preserve"> </w:t>
      </w:r>
      <w:r w:rsidR="008D7A02">
        <w:t xml:space="preserve">faces </w:t>
      </w:r>
      <w:r w:rsidR="005C0221">
        <w:t xml:space="preserve">the </w:t>
      </w:r>
      <w:r w:rsidR="008D7A02">
        <w:t>risk that actual income</w:t>
      </w:r>
      <w:r w:rsidR="005C0221">
        <w:t xml:space="preserve"> could</w:t>
      </w:r>
      <w:r w:rsidR="008D7A02">
        <w:t xml:space="preserve"> fall short of the biennial forecast that forms the basis </w:t>
      </w:r>
      <w:r w:rsidR="00635F44">
        <w:t xml:space="preserve">for </w:t>
      </w:r>
      <w:r w:rsidR="008D7A02">
        <w:t>the biennial bu</w:t>
      </w:r>
      <w:r w:rsidR="00382581">
        <w:t xml:space="preserve">dget. </w:t>
      </w:r>
      <w:r w:rsidR="00635F44">
        <w:t xml:space="preserve"> </w:t>
      </w:r>
      <w:r w:rsidR="00382581">
        <w:t>This risk is</w:t>
      </w:r>
      <w:r w:rsidR="008D7A02">
        <w:t xml:space="preserve"> mitigated by a number of strategies. </w:t>
      </w:r>
      <w:r w:rsidR="00AD149E">
        <w:t xml:space="preserve"> </w:t>
      </w:r>
      <w:r w:rsidR="008D7A02">
        <w:t>Foremost among these are</w:t>
      </w:r>
      <w:r w:rsidR="00635F44">
        <w:t>:</w:t>
      </w:r>
      <w:r w:rsidR="008D7A02">
        <w:t xml:space="preserve"> </w:t>
      </w:r>
      <w:r w:rsidR="00AD149E">
        <w:t xml:space="preserve"> (</w:t>
      </w:r>
      <w:proofErr w:type="spellStart"/>
      <w:r w:rsidR="00382581">
        <w:t>i</w:t>
      </w:r>
      <w:proofErr w:type="spellEnd"/>
      <w:r w:rsidR="00382581">
        <w:t xml:space="preserve">) </w:t>
      </w:r>
      <w:r w:rsidR="008D7A02">
        <w:t>the establishment</w:t>
      </w:r>
      <w:r w:rsidR="00382581">
        <w:t xml:space="preserve"> and use</w:t>
      </w:r>
      <w:r w:rsidR="008D7A02">
        <w:t xml:space="preserve"> of a reliable and robust forecasting model </w:t>
      </w:r>
      <w:r w:rsidR="001C7A61">
        <w:t xml:space="preserve">that provides </w:t>
      </w:r>
      <w:r w:rsidR="00635F44">
        <w:t xml:space="preserve">predictability </w:t>
      </w:r>
      <w:r w:rsidR="00755984">
        <w:t>on</w:t>
      </w:r>
      <w:r w:rsidR="001C7A61">
        <w:t xml:space="preserve"> the </w:t>
      </w:r>
      <w:r w:rsidR="008D7A02">
        <w:t xml:space="preserve">income </w:t>
      </w:r>
      <w:r w:rsidR="001C7A61">
        <w:t xml:space="preserve">streams </w:t>
      </w:r>
      <w:r w:rsidR="00382581">
        <w:t>from the PCT,</w:t>
      </w:r>
      <w:r w:rsidR="008D7A02">
        <w:t xml:space="preserve"> Madrid</w:t>
      </w:r>
      <w:r w:rsidR="00382581">
        <w:t xml:space="preserve"> and Hague Systems,</w:t>
      </w:r>
      <w:r w:rsidR="008D7A02">
        <w:t xml:space="preserve"> which constitute over 90 per</w:t>
      </w:r>
      <w:r w:rsidR="00AD149E">
        <w:t xml:space="preserve"> </w:t>
      </w:r>
      <w:r w:rsidR="008D7A02">
        <w:t>cent of the overall income of the Or</w:t>
      </w:r>
      <w:r w:rsidR="001C7A61">
        <w:t>ganization</w:t>
      </w:r>
      <w:proofErr w:type="gramStart"/>
      <w:r w:rsidR="00635F44">
        <w:t xml:space="preserve">; </w:t>
      </w:r>
      <w:r w:rsidR="00AD149E">
        <w:t xml:space="preserve"> </w:t>
      </w:r>
      <w:r w:rsidR="001C7A61">
        <w:t>and</w:t>
      </w:r>
      <w:proofErr w:type="gramEnd"/>
      <w:r w:rsidR="008D7A02">
        <w:t xml:space="preserve"> </w:t>
      </w:r>
      <w:r w:rsidR="00AD149E">
        <w:t>(</w:t>
      </w:r>
      <w:r w:rsidR="00382581">
        <w:t xml:space="preserve">ii) the establishment of </w:t>
      </w:r>
      <w:r w:rsidR="008D7A02">
        <w:t>financial management po</w:t>
      </w:r>
      <w:r w:rsidR="00382581">
        <w:t>licies and processes that enable</w:t>
      </w:r>
      <w:r w:rsidR="008D7A02">
        <w:t xml:space="preserve"> the conti</w:t>
      </w:r>
      <w:r w:rsidR="00382581">
        <w:t xml:space="preserve">nuous monitoring </w:t>
      </w:r>
      <w:r>
        <w:t xml:space="preserve">and management </w:t>
      </w:r>
      <w:r w:rsidR="00382581">
        <w:t xml:space="preserve">of </w:t>
      </w:r>
      <w:r w:rsidR="00011C4F">
        <w:t>the Organization’s</w:t>
      </w:r>
      <w:r w:rsidR="008D7A02">
        <w:t xml:space="preserve"> financial situation</w:t>
      </w:r>
      <w:r>
        <w:t>.</w:t>
      </w:r>
    </w:p>
    <w:p w:rsidR="00E03F81" w:rsidRDefault="00DC6DAA" w:rsidP="005C396F">
      <w:pPr>
        <w:pStyle w:val="ONUME"/>
      </w:pPr>
      <w:r>
        <w:t>In financial</w:t>
      </w:r>
      <w:r w:rsidR="00BA7D66">
        <w:t xml:space="preserve"> management, the term “reserves”</w:t>
      </w:r>
      <w:r w:rsidR="00907639">
        <w:t xml:space="preserve"> </w:t>
      </w:r>
      <w:r>
        <w:t xml:space="preserve">is used to cover multiple concepts. </w:t>
      </w:r>
      <w:r w:rsidR="00AD149E">
        <w:t xml:space="preserve"> </w:t>
      </w:r>
      <w:r>
        <w:t xml:space="preserve">These could include, for example, funds set aside for special purposes with special rules established for their use, or provisions created to cover future liabilities. </w:t>
      </w:r>
      <w:r w:rsidR="00AD149E">
        <w:t xml:space="preserve"> </w:t>
      </w:r>
      <w:r w:rsidR="00A61175">
        <w:t>In financial accounting</w:t>
      </w:r>
      <w:r w:rsidR="009253C7">
        <w:t xml:space="preserve">, </w:t>
      </w:r>
      <w:r w:rsidR="00635F44">
        <w:t xml:space="preserve">reserves </w:t>
      </w:r>
      <w:r>
        <w:t>can be</w:t>
      </w:r>
      <w:r w:rsidR="009253C7">
        <w:t xml:space="preserve"> defined as the “</w:t>
      </w:r>
      <w:r w:rsidR="00061516">
        <w:t xml:space="preserve">net </w:t>
      </w:r>
      <w:r w:rsidR="00214B73">
        <w:t>a</w:t>
      </w:r>
      <w:r w:rsidR="00061516">
        <w:t>ssets</w:t>
      </w:r>
      <w:r w:rsidR="003A0EBA">
        <w:t>” of the o</w:t>
      </w:r>
      <w:r w:rsidR="00A61175">
        <w:t>rganization</w:t>
      </w:r>
      <w:r w:rsidR="009253C7">
        <w:t>.</w:t>
      </w:r>
      <w:r w:rsidR="00AD149E">
        <w:t xml:space="preserve"> </w:t>
      </w:r>
      <w:r w:rsidR="009253C7">
        <w:t xml:space="preserve"> </w:t>
      </w:r>
      <w:r w:rsidR="00A61175">
        <w:t>A financially well</w:t>
      </w:r>
      <w:r w:rsidR="00AD149E">
        <w:t>-</w:t>
      </w:r>
      <w:r w:rsidR="00A61175">
        <w:t xml:space="preserve">managed Organization would aim to have a </w:t>
      </w:r>
      <w:r w:rsidR="008A41CC">
        <w:t>“healthy” level</w:t>
      </w:r>
      <w:r w:rsidR="00A61175">
        <w:t xml:space="preserve"> of net assets. </w:t>
      </w:r>
      <w:r w:rsidR="00677E54">
        <w:t xml:space="preserve"> </w:t>
      </w:r>
      <w:r w:rsidR="00A61175">
        <w:t xml:space="preserve">The level would </w:t>
      </w:r>
      <w:r w:rsidR="008A41CC">
        <w:t xml:space="preserve">typically </w:t>
      </w:r>
      <w:r w:rsidR="00A61175">
        <w:t>be determined by a number of factor</w:t>
      </w:r>
      <w:r w:rsidR="00E44F18">
        <w:t xml:space="preserve">s such as </w:t>
      </w:r>
      <w:r w:rsidR="00061516">
        <w:t xml:space="preserve">the </w:t>
      </w:r>
      <w:r w:rsidR="00E44F18">
        <w:t>size</w:t>
      </w:r>
      <w:r w:rsidR="00061516">
        <w:t xml:space="preserve"> of the Organization</w:t>
      </w:r>
      <w:r w:rsidR="00E44F18">
        <w:t xml:space="preserve">, </w:t>
      </w:r>
      <w:r w:rsidR="00061516">
        <w:t xml:space="preserve">its </w:t>
      </w:r>
      <w:r w:rsidR="00E44F18">
        <w:t>financial structure, the nature of its operations and the characteristics of demand for its products and services.</w:t>
      </w:r>
      <w:r w:rsidR="002F01AD">
        <w:t xml:space="preserve">  </w:t>
      </w:r>
      <w:r w:rsidR="00A61175">
        <w:t>In addition to</w:t>
      </w:r>
      <w:r w:rsidR="005C0221">
        <w:t xml:space="preserve"> maintaining</w:t>
      </w:r>
      <w:r w:rsidR="003A0EBA">
        <w:t xml:space="preserve"> the reserves, o</w:t>
      </w:r>
      <w:r w:rsidR="00A61175">
        <w:t xml:space="preserve">rganizations, </w:t>
      </w:r>
      <w:r w:rsidR="008A41CC">
        <w:t>wh</w:t>
      </w:r>
      <w:r w:rsidR="005C0221">
        <w:t>ich</w:t>
      </w:r>
      <w:r w:rsidR="00A61175">
        <w:t xml:space="preserve"> do not have access to capital markets and </w:t>
      </w:r>
      <w:r w:rsidR="00E03F81">
        <w:t xml:space="preserve">can face liquidity risks in </w:t>
      </w:r>
      <w:r w:rsidR="00A61175">
        <w:t xml:space="preserve">the course of executing their operations, establish </w:t>
      </w:r>
      <w:r w:rsidR="003A0EBA">
        <w:t>working capital f</w:t>
      </w:r>
      <w:r w:rsidR="003735BD">
        <w:t>unds</w:t>
      </w:r>
      <w:r w:rsidR="00E44F18">
        <w:t xml:space="preserve"> to mitigate these risks.</w:t>
      </w:r>
      <w:r w:rsidR="00A367BE" w:rsidRPr="00A367BE">
        <w:t xml:space="preserve"> </w:t>
      </w:r>
      <w:r w:rsidR="00677E54">
        <w:t xml:space="preserve"> </w:t>
      </w:r>
      <w:r w:rsidR="00A367BE">
        <w:t>The approach to planning</w:t>
      </w:r>
      <w:r w:rsidR="00F627F3">
        <w:t>, managing, use and reporting of the reserves</w:t>
      </w:r>
      <w:r w:rsidR="00A367BE">
        <w:t xml:space="preserve"> is central to financial management of </w:t>
      </w:r>
      <w:r w:rsidR="008A41CC">
        <w:t>an</w:t>
      </w:r>
      <w:r w:rsidR="00A367BE">
        <w:t xml:space="preserve"> Organization.</w:t>
      </w:r>
      <w:r w:rsidR="00677E54">
        <w:t xml:space="preserve">  </w:t>
      </w:r>
      <w:r w:rsidR="003D1446">
        <w:t xml:space="preserve"> </w:t>
      </w:r>
    </w:p>
    <w:p w:rsidR="003D1446" w:rsidRDefault="00020B9C" w:rsidP="003D1446">
      <w:pPr>
        <w:rPr>
          <w:b/>
          <w:caps/>
        </w:rPr>
      </w:pPr>
      <w:r>
        <w:rPr>
          <w:b/>
          <w:caps/>
        </w:rPr>
        <w:lastRenderedPageBreak/>
        <w:t xml:space="preserve">WIPO’s </w:t>
      </w:r>
      <w:r w:rsidR="003A0EBA">
        <w:rPr>
          <w:b/>
          <w:caps/>
        </w:rPr>
        <w:t xml:space="preserve">policies on </w:t>
      </w:r>
      <w:r>
        <w:rPr>
          <w:b/>
          <w:caps/>
        </w:rPr>
        <w:t>RESERVES and working capital funds</w:t>
      </w:r>
    </w:p>
    <w:p w:rsidR="00020B9C" w:rsidRDefault="00020B9C" w:rsidP="00CE4B43">
      <w:pPr>
        <w:spacing w:line="260" w:lineRule="atLeast"/>
      </w:pPr>
    </w:p>
    <w:p w:rsidR="00020B9C" w:rsidRDefault="00020B9C" w:rsidP="00CE4B43">
      <w:pPr>
        <w:pStyle w:val="ONUME"/>
        <w:spacing w:after="120"/>
      </w:pPr>
      <w:r>
        <w:t>In WIPO’s case,</w:t>
      </w:r>
      <w:r w:rsidRPr="00956EB6">
        <w:t xml:space="preserve"> Reserve</w:t>
      </w:r>
      <w:r w:rsidR="00252E99">
        <w:t>s</w:t>
      </w:r>
      <w:r w:rsidR="00740201">
        <w:t xml:space="preserve"> and Working Capital F</w:t>
      </w:r>
      <w:r w:rsidRPr="00956EB6">
        <w:t>unds</w:t>
      </w:r>
      <w:r w:rsidR="00677E54">
        <w:t xml:space="preserve"> (RWCF)</w:t>
      </w:r>
      <w:r w:rsidRPr="00956EB6">
        <w:t xml:space="preserve"> are </w:t>
      </w:r>
      <w:r>
        <w:t xml:space="preserve">accounted for as </w:t>
      </w:r>
      <w:r w:rsidRPr="00956EB6">
        <w:t xml:space="preserve">the </w:t>
      </w:r>
      <w:r>
        <w:t>n</w:t>
      </w:r>
      <w:r w:rsidRPr="00956EB6">
        <w:t xml:space="preserve">et </w:t>
      </w:r>
      <w:r>
        <w:t>a</w:t>
      </w:r>
      <w:r w:rsidRPr="00956EB6">
        <w:t>ssets of the Organization</w:t>
      </w:r>
      <w:r>
        <w:t xml:space="preserve">, </w:t>
      </w:r>
      <w:r w:rsidRPr="0097645D">
        <w:rPr>
          <w:iCs/>
        </w:rPr>
        <w:t>i.e</w:t>
      </w:r>
      <w:r>
        <w:rPr>
          <w:i/>
        </w:rPr>
        <w:t>.</w:t>
      </w:r>
      <w:r>
        <w:t xml:space="preserve"> the difference between total assets and total liabilities</w:t>
      </w:r>
      <w:r w:rsidRPr="00956EB6">
        <w:t xml:space="preserve">.  </w:t>
      </w:r>
      <w:r>
        <w:t>WIPO’s Financial Regulations and Rules (FRR) define the two specific components of the Organization’s RWCF as</w:t>
      </w:r>
      <w:r w:rsidRPr="00A044C7">
        <w:t xml:space="preserve"> </w:t>
      </w:r>
      <w:r>
        <w:t>follows:</w:t>
      </w:r>
    </w:p>
    <w:p w:rsidR="00020B9C" w:rsidRDefault="00020B9C" w:rsidP="007E62D2">
      <w:pPr>
        <w:numPr>
          <w:ilvl w:val="0"/>
          <w:numId w:val="10"/>
        </w:numPr>
        <w:tabs>
          <w:tab w:val="clear" w:pos="720"/>
          <w:tab w:val="num" w:pos="-567"/>
        </w:tabs>
        <w:spacing w:after="120" w:line="260" w:lineRule="atLeast"/>
        <w:ind w:left="567" w:hanging="283"/>
      </w:pPr>
      <w:r w:rsidRPr="00402C82">
        <w:t>“</w:t>
      </w:r>
      <w:r w:rsidRPr="00A47D17">
        <w:rPr>
          <w:b/>
        </w:rPr>
        <w:t>Reserve funds</w:t>
      </w:r>
      <w:r w:rsidRPr="00402C82">
        <w:t>” shall mean funds established by the Assemblies of the Member States and of the Unions, each as far as it is concerned, in which surplus income from fees that exceed the amounts required to finance the program and budget appropriations should be deposited. Reserve funds shall be used in a manner decided by the Assemblies of the Member States and of the Unions,</w:t>
      </w:r>
      <w:r>
        <w:t xml:space="preserve"> each as far as it is concerned </w:t>
      </w:r>
      <w:r w:rsidR="00677E54">
        <w:rPr>
          <w:i/>
        </w:rPr>
        <w:t>(Financial Rule 101.3</w:t>
      </w:r>
      <w:r w:rsidRPr="00A044C7">
        <w:rPr>
          <w:i/>
        </w:rPr>
        <w:t>(n))</w:t>
      </w:r>
      <w:r>
        <w:t>;  and</w:t>
      </w:r>
    </w:p>
    <w:p w:rsidR="003A0EBA" w:rsidRDefault="00020B9C" w:rsidP="007E62D2">
      <w:pPr>
        <w:numPr>
          <w:ilvl w:val="0"/>
          <w:numId w:val="10"/>
        </w:numPr>
        <w:tabs>
          <w:tab w:val="clear" w:pos="720"/>
          <w:tab w:val="num" w:pos="567"/>
        </w:tabs>
        <w:spacing w:after="120" w:line="260" w:lineRule="atLeast"/>
        <w:ind w:left="567" w:hanging="283"/>
      </w:pPr>
      <w:r w:rsidRPr="00402C82">
        <w:t>“</w:t>
      </w:r>
      <w:r w:rsidRPr="00740201">
        <w:rPr>
          <w:b/>
        </w:rPr>
        <w:t>Working capital funds</w:t>
      </w:r>
      <w:r w:rsidRPr="00402C82">
        <w:t>” shall mean funds established for providing advance financing of appropriations should there be a temporary liquidity shortfall and for such other purposes as the Assemblies of Member States and of the Unions, each as far as it is concerned, shall decide</w:t>
      </w:r>
      <w:r>
        <w:t xml:space="preserve"> </w:t>
      </w:r>
      <w:r w:rsidR="00677E54">
        <w:rPr>
          <w:i/>
        </w:rPr>
        <w:t>(Financial Rule 101.3</w:t>
      </w:r>
      <w:r w:rsidRPr="00740201">
        <w:rPr>
          <w:i/>
        </w:rPr>
        <w:t>(q) and Regulation 4.3)</w:t>
      </w:r>
      <w:r>
        <w:t>.</w:t>
      </w:r>
    </w:p>
    <w:p w:rsidR="00F501E8" w:rsidRDefault="00B046E6" w:rsidP="005C396F">
      <w:pPr>
        <w:pStyle w:val="ONUME"/>
      </w:pPr>
      <w:r>
        <w:t xml:space="preserve">Historically, a complex system of reserves and working capital funds </w:t>
      </w:r>
      <w:r w:rsidR="00214B73">
        <w:t>ha</w:t>
      </w:r>
      <w:r w:rsidR="00EF3CF4">
        <w:t>d</w:t>
      </w:r>
      <w:r w:rsidR="00214B73">
        <w:t xml:space="preserve"> </w:t>
      </w:r>
      <w:r>
        <w:t xml:space="preserve">been established </w:t>
      </w:r>
      <w:r w:rsidR="00740201">
        <w:t xml:space="preserve">for the Unions </w:t>
      </w:r>
      <w:r>
        <w:t xml:space="preserve">during the life of WIPO and its predecessor Organizations, as part of </w:t>
      </w:r>
      <w:r w:rsidR="00061516">
        <w:t xml:space="preserve">the </w:t>
      </w:r>
      <w:r>
        <w:t xml:space="preserve">implementation of </w:t>
      </w:r>
      <w:r w:rsidR="00061516">
        <w:t xml:space="preserve">the </w:t>
      </w:r>
      <w:r>
        <w:t>international agreements and treaties</w:t>
      </w:r>
      <w:r w:rsidR="005D45A3">
        <w:t xml:space="preserve">. </w:t>
      </w:r>
      <w:r w:rsidR="00677E54">
        <w:t xml:space="preserve"> </w:t>
      </w:r>
      <w:r w:rsidR="005D45A3">
        <w:t xml:space="preserve">As the Unions </w:t>
      </w:r>
      <w:r w:rsidR="003C205B">
        <w:t xml:space="preserve">of WIPO </w:t>
      </w:r>
      <w:r w:rsidR="003A0EBA">
        <w:t>evolved, with differing</w:t>
      </w:r>
      <w:r w:rsidR="005D45A3">
        <w:t xml:space="preserve"> growth rates, the risks faced by the different Unions were not reflected dynamically in the level of the Union Reserves. </w:t>
      </w:r>
      <w:r w:rsidR="00677E54">
        <w:t xml:space="preserve"> </w:t>
      </w:r>
      <w:r w:rsidR="005D45A3">
        <w:t>Similarly, the Union Working Capital Funds, which were established at the time the Unions came into operation, remained static, not reflecting the changing liquidity requirements.</w:t>
      </w:r>
    </w:p>
    <w:p w:rsidR="008F7FA5" w:rsidRDefault="005D45A3" w:rsidP="005C396F">
      <w:pPr>
        <w:pStyle w:val="ONUME"/>
      </w:pPr>
      <w:r>
        <w:t xml:space="preserve">These </w:t>
      </w:r>
      <w:r w:rsidR="0046640B">
        <w:t xml:space="preserve">shortcomings were addressed, in the year 2000, </w:t>
      </w:r>
      <w:r>
        <w:t xml:space="preserve">by </w:t>
      </w:r>
      <w:r w:rsidR="003857EE">
        <w:t>Member States</w:t>
      </w:r>
      <w:r w:rsidR="006133EC">
        <w:t xml:space="preserve"> who considered and approved </w:t>
      </w:r>
      <w:r>
        <w:t xml:space="preserve">a proposal </w:t>
      </w:r>
      <w:r w:rsidR="00137D0C">
        <w:t>to maintain an</w:t>
      </w:r>
      <w:r>
        <w:t xml:space="preserve"> appropriate</w:t>
      </w:r>
      <w:r w:rsidR="00180956">
        <w:t xml:space="preserve"> (target)</w:t>
      </w:r>
      <w:r>
        <w:t xml:space="preserve"> level of reserve</w:t>
      </w:r>
      <w:r w:rsidR="002E63AC">
        <w:t>s</w:t>
      </w:r>
      <w:r w:rsidR="003C00EB">
        <w:t xml:space="preserve"> and working ca</w:t>
      </w:r>
      <w:r>
        <w:t>pital funds</w:t>
      </w:r>
      <w:r w:rsidR="00740201">
        <w:t xml:space="preserve"> that</w:t>
      </w:r>
      <w:r>
        <w:t xml:space="preserve"> better reflect</w:t>
      </w:r>
      <w:r w:rsidR="00740201">
        <w:t>ed</w:t>
      </w:r>
      <w:r w:rsidR="005C0221">
        <w:t xml:space="preserve"> the</w:t>
      </w:r>
      <w:r>
        <w:t xml:space="preserve"> risk and liquidity concerns specific to each Union</w:t>
      </w:r>
      <w:r w:rsidR="00061516">
        <w:t>.</w:t>
      </w:r>
      <w:r w:rsidR="00677E54">
        <w:t xml:space="preserve"> </w:t>
      </w:r>
      <w:r w:rsidR="003857EE">
        <w:t xml:space="preserve"> </w:t>
      </w:r>
      <w:r w:rsidR="00252E99">
        <w:t>Member States also approved the</w:t>
      </w:r>
      <w:r w:rsidR="008A41CC">
        <w:t xml:space="preserve"> establish</w:t>
      </w:r>
      <w:r w:rsidR="00252E99">
        <w:t>ment of</w:t>
      </w:r>
      <w:r w:rsidR="003857EE">
        <w:t xml:space="preserve"> a mechanism to adjust the combined level of reserves and working capital funds</w:t>
      </w:r>
      <w:r w:rsidR="00873B26">
        <w:t xml:space="preserve">, </w:t>
      </w:r>
      <w:r w:rsidR="008A41CC">
        <w:t xml:space="preserve">by Union, </w:t>
      </w:r>
      <w:r w:rsidR="00873B26">
        <w:t>while maintaining the separation between the R</w:t>
      </w:r>
      <w:r w:rsidR="00CE4B43">
        <w:t>eserves and Working Capital Funds</w:t>
      </w:r>
      <w:r w:rsidR="003857EE">
        <w:t xml:space="preserve">. </w:t>
      </w:r>
      <w:r w:rsidR="00677E54">
        <w:t xml:space="preserve"> </w:t>
      </w:r>
      <w:r w:rsidR="008C0CD0">
        <w:t>The Working Capital Fund, financed from assessed contributions, remain</w:t>
      </w:r>
      <w:r w:rsidR="005C0221">
        <w:t>s</w:t>
      </w:r>
      <w:r w:rsidR="008C0CD0">
        <w:t xml:space="preserve"> to this date,</w:t>
      </w:r>
      <w:r w:rsidR="005C0221">
        <w:t xml:space="preserve"> and is</w:t>
      </w:r>
      <w:r w:rsidR="008C0CD0">
        <w:t xml:space="preserve"> held in trust by WIPO for the Member States of the respective Unions</w:t>
      </w:r>
      <w:r w:rsidR="008F7FA5">
        <w:t>.</w:t>
      </w:r>
    </w:p>
    <w:p w:rsidR="00740201" w:rsidRDefault="00740201" w:rsidP="005C396F">
      <w:pPr>
        <w:pStyle w:val="ONUME"/>
      </w:pPr>
      <w:r>
        <w:t>T</w:t>
      </w:r>
      <w:r w:rsidR="00FE310A">
        <w:t xml:space="preserve">he </w:t>
      </w:r>
      <w:r w:rsidR="00EC1F49">
        <w:t xml:space="preserve">establishment of an appropriate level of </w:t>
      </w:r>
      <w:r w:rsidR="00FE310A">
        <w:t>R</w:t>
      </w:r>
      <w:r w:rsidR="00677E54">
        <w:t>WCF</w:t>
      </w:r>
      <w:r w:rsidR="00EC1F49">
        <w:t xml:space="preserve"> </w:t>
      </w:r>
      <w:r w:rsidR="005C0221">
        <w:t xml:space="preserve">acts as </w:t>
      </w:r>
      <w:r w:rsidR="00EC1F49">
        <w:t>mitigation</w:t>
      </w:r>
      <w:r w:rsidR="00FE310A">
        <w:t xml:space="preserve"> for the</w:t>
      </w:r>
      <w:r w:rsidR="006B79FD">
        <w:t xml:space="preserve"> most significant</w:t>
      </w:r>
      <w:r w:rsidR="00FE310A">
        <w:t xml:space="preserve"> risk</w:t>
      </w:r>
      <w:r w:rsidR="005C0221">
        <w:t>, namely,</w:t>
      </w:r>
      <w:r w:rsidR="00FE310A">
        <w:t xml:space="preserve"> that income estimated for a biennium d</w:t>
      </w:r>
      <w:r w:rsidR="00A60338">
        <w:t xml:space="preserve">oes </w:t>
      </w:r>
      <w:r w:rsidR="00FE310A">
        <w:t>not materiali</w:t>
      </w:r>
      <w:r w:rsidR="00A60338">
        <w:t>z</w:t>
      </w:r>
      <w:r w:rsidR="00FE310A">
        <w:t>e</w:t>
      </w:r>
      <w:r w:rsidR="006B79FD">
        <w:t>.</w:t>
      </w:r>
      <w:r w:rsidR="00677E54">
        <w:t xml:space="preserve"> </w:t>
      </w:r>
      <w:r w:rsidR="006B79FD">
        <w:t xml:space="preserve"> In this context</w:t>
      </w:r>
      <w:r w:rsidR="008F7FA5">
        <w:t>,</w:t>
      </w:r>
      <w:r w:rsidR="006B79FD">
        <w:t xml:space="preserve"> </w:t>
      </w:r>
      <w:r w:rsidR="002E63AC">
        <w:t xml:space="preserve">the proposed biennial expenditure was considered the most logical indicator for the purpose of estimating the level of protection </w:t>
      </w:r>
      <w:r w:rsidR="006133EC">
        <w:t xml:space="preserve">required </w:t>
      </w:r>
      <w:r w:rsidR="002E63AC">
        <w:t>against the risk</w:t>
      </w:r>
      <w:r w:rsidR="008A41CC">
        <w:t>.  It</w:t>
      </w:r>
      <w:r w:rsidR="002E63AC">
        <w:t xml:space="preserve"> was </w:t>
      </w:r>
      <w:r w:rsidR="008A41CC">
        <w:t xml:space="preserve">therefore </w:t>
      </w:r>
      <w:r w:rsidR="002E63AC">
        <w:t>decided to express the tota</w:t>
      </w:r>
      <w:r w:rsidR="00EC1F49">
        <w:t>l R</w:t>
      </w:r>
      <w:r w:rsidR="00677E54">
        <w:t>WCF</w:t>
      </w:r>
      <w:r w:rsidR="002E63AC">
        <w:t xml:space="preserve"> as a percentage of biennial expenditure (PBE f</w:t>
      </w:r>
      <w:r w:rsidR="00EC1F49">
        <w:t>actor) which then provides</w:t>
      </w:r>
      <w:r w:rsidR="002E63AC">
        <w:t xml:space="preserve"> information on how long </w:t>
      </w:r>
      <w:r w:rsidR="006133EC">
        <w:t xml:space="preserve">an </w:t>
      </w:r>
      <w:r w:rsidR="002E63AC">
        <w:t>operation could b</w:t>
      </w:r>
      <w:r w:rsidR="00EC1F49">
        <w:t>e funded for by drawing on the R</w:t>
      </w:r>
      <w:r w:rsidR="00677E54">
        <w:t>WCF</w:t>
      </w:r>
      <w:r w:rsidR="002E63AC">
        <w:t>.</w:t>
      </w:r>
    </w:p>
    <w:p w:rsidR="00343B6C" w:rsidRDefault="00F501E8" w:rsidP="005C396F">
      <w:pPr>
        <w:pStyle w:val="ONUME"/>
      </w:pPr>
      <w:r>
        <w:t xml:space="preserve">At the </w:t>
      </w:r>
      <w:r w:rsidR="008F7FA5">
        <w:t>t</w:t>
      </w:r>
      <w:r w:rsidR="00705726">
        <w:t>ime</w:t>
      </w:r>
      <w:r w:rsidR="00E4183E">
        <w:t xml:space="preserve"> that</w:t>
      </w:r>
      <w:r w:rsidR="00705726">
        <w:t xml:space="preserve"> the decision was taken on </w:t>
      </w:r>
      <w:r w:rsidR="00677E54">
        <w:t>RWCF</w:t>
      </w:r>
      <w:r w:rsidR="00705726">
        <w:t xml:space="preserve">, the </w:t>
      </w:r>
      <w:r w:rsidR="00EC1F49">
        <w:t>volatility of</w:t>
      </w:r>
      <w:r w:rsidR="008A41CC">
        <w:t xml:space="preserve"> demand and the relatively </w:t>
      </w:r>
      <w:r w:rsidR="00705726">
        <w:t>lower level of maturity in forecasting and planning of income had resulted in unforeseen b</w:t>
      </w:r>
      <w:r w:rsidR="008F7FA5">
        <w:t>udget surpluses which</w:t>
      </w:r>
      <w:r w:rsidR="00907639">
        <w:t>,</w:t>
      </w:r>
      <w:r w:rsidR="008F7FA5">
        <w:t xml:space="preserve"> by </w:t>
      </w:r>
      <w:r w:rsidR="00EF3CF4">
        <w:t xml:space="preserve">a </w:t>
      </w:r>
      <w:r w:rsidR="008F7FA5">
        <w:t xml:space="preserve">prior </w:t>
      </w:r>
      <w:r w:rsidR="00EC1F49">
        <w:t xml:space="preserve">(in </w:t>
      </w:r>
      <w:r w:rsidR="00EF3CF4">
        <w:t>the early nineties</w:t>
      </w:r>
      <w:r w:rsidR="00EC1F49">
        <w:t>)</w:t>
      </w:r>
      <w:r w:rsidR="00705726">
        <w:t xml:space="preserve"> decision</w:t>
      </w:r>
      <w:r w:rsidR="00EF3CF4">
        <w:t xml:space="preserve"> of Member States</w:t>
      </w:r>
      <w:r w:rsidR="00907639">
        <w:t>,</w:t>
      </w:r>
      <w:r w:rsidR="00705726">
        <w:t xml:space="preserve"> were </w:t>
      </w:r>
      <w:r w:rsidR="00C677B9">
        <w:t xml:space="preserve">being </w:t>
      </w:r>
      <w:r w:rsidR="00EC1F49">
        <w:t>credited to a Special Reserve Fund for Additional P</w:t>
      </w:r>
      <w:r w:rsidR="00705726">
        <w:t xml:space="preserve">remises and Computerization. </w:t>
      </w:r>
      <w:r w:rsidR="00677E54">
        <w:t xml:space="preserve"> </w:t>
      </w:r>
      <w:r w:rsidR="00705726">
        <w:t xml:space="preserve">While </w:t>
      </w:r>
      <w:r w:rsidR="00873B26">
        <w:t>M</w:t>
      </w:r>
      <w:r w:rsidR="00705726">
        <w:t>ember States had approved priority projects and activities to be financed by this fund, there were serious concerns that</w:t>
      </w:r>
      <w:r w:rsidR="00873B26">
        <w:t>, at a stage when the Organization’s capital investment needs were growing (along with the growth in the registration systems),</w:t>
      </w:r>
      <w:r w:rsidR="00705726">
        <w:t xml:space="preserve"> the </w:t>
      </w:r>
      <w:r w:rsidR="00180956">
        <w:t xml:space="preserve">practice of </w:t>
      </w:r>
      <w:r w:rsidR="00C105B5">
        <w:t>setting aside funds f</w:t>
      </w:r>
      <w:r w:rsidR="00BE5475">
        <w:t xml:space="preserve">or </w:t>
      </w:r>
      <w:r w:rsidR="00705726">
        <w:t>long term projects through the separate Special Re</w:t>
      </w:r>
      <w:r w:rsidR="00BE5475">
        <w:t xml:space="preserve">serves Fund </w:t>
      </w:r>
      <w:r w:rsidR="003C00EB">
        <w:t xml:space="preserve">required the maintenance of high </w:t>
      </w:r>
      <w:r w:rsidR="00705726">
        <w:t xml:space="preserve">liquidity levels </w:t>
      </w:r>
      <w:r w:rsidR="00BE5475">
        <w:t>and was inefficient</w:t>
      </w:r>
      <w:r w:rsidR="00705726">
        <w:t xml:space="preserve">. </w:t>
      </w:r>
      <w:r w:rsidR="00137D0C">
        <w:t xml:space="preserve"> Therefore, a</w:t>
      </w:r>
      <w:r w:rsidR="0046640B">
        <w:t xml:space="preserve">longside the proposal on the policy on reserves and working capital funds, the </w:t>
      </w:r>
      <w:r>
        <w:t>M</w:t>
      </w:r>
      <w:r w:rsidR="0046640B">
        <w:t xml:space="preserve">ember States also considered and approved </w:t>
      </w:r>
      <w:r>
        <w:t xml:space="preserve">a proposal to </w:t>
      </w:r>
      <w:r w:rsidR="00137D0C">
        <w:t xml:space="preserve">discontinue the Special Reserve Fund as a result of which surpluses or deficits for each Union would directly augment or reduce the </w:t>
      </w:r>
      <w:r w:rsidR="005C396F" w:rsidRPr="005C396F">
        <w:t>r</w:t>
      </w:r>
      <w:r w:rsidR="00137D0C" w:rsidRPr="005C396F">
        <w:t>es</w:t>
      </w:r>
      <w:r w:rsidR="005C396F" w:rsidRPr="005C396F">
        <w:t>erves and w</w:t>
      </w:r>
      <w:r w:rsidR="00BE5475" w:rsidRPr="005C396F">
        <w:t>orking capital funds</w:t>
      </w:r>
      <w:r w:rsidR="00180956">
        <w:t xml:space="preserve"> of each Union</w:t>
      </w:r>
      <w:r w:rsidR="00BE5475">
        <w:t>, instead of being credited to t</w:t>
      </w:r>
      <w:r w:rsidR="00180956">
        <w:t>he Special R</w:t>
      </w:r>
      <w:r w:rsidR="00EC1F49">
        <w:t xml:space="preserve">eserve Fund. </w:t>
      </w:r>
      <w:r w:rsidR="005C396F">
        <w:t xml:space="preserve"> </w:t>
      </w:r>
      <w:r w:rsidR="00EC1F49">
        <w:t>Furthermore, the</w:t>
      </w:r>
      <w:r w:rsidR="00180956">
        <w:t xml:space="preserve"> Member States</w:t>
      </w:r>
      <w:r w:rsidR="00BE5475">
        <w:t xml:space="preserve"> </w:t>
      </w:r>
      <w:r w:rsidR="00EC1F49">
        <w:t>decided to retain</w:t>
      </w:r>
      <w:r w:rsidR="00137D0C">
        <w:t xml:space="preserve"> the possibility of approving projects</w:t>
      </w:r>
      <w:r w:rsidR="00180956">
        <w:t xml:space="preserve"> and activities</w:t>
      </w:r>
      <w:r w:rsidR="003D555D">
        <w:t xml:space="preserve"> to be funded from available </w:t>
      </w:r>
      <w:r w:rsidR="00137D0C">
        <w:t>surpluses</w:t>
      </w:r>
      <w:r w:rsidR="003D555D">
        <w:t xml:space="preserve"> (</w:t>
      </w:r>
      <w:r w:rsidR="00AC4F8B">
        <w:t>above the target level for each Uni</w:t>
      </w:r>
      <w:r w:rsidR="003D555D">
        <w:t>on).</w:t>
      </w:r>
      <w:r w:rsidR="00AC4F8B">
        <w:t xml:space="preserve"> </w:t>
      </w:r>
      <w:r w:rsidR="00677E54">
        <w:t xml:space="preserve"> </w:t>
      </w:r>
      <w:r w:rsidR="00137D0C">
        <w:t xml:space="preserve">This was seen as a more </w:t>
      </w:r>
      <w:r w:rsidR="00137D0C">
        <w:lastRenderedPageBreak/>
        <w:t xml:space="preserve">efficient </w:t>
      </w:r>
      <w:r w:rsidR="00AC4F8B">
        <w:t>approach to</w:t>
      </w:r>
      <w:r w:rsidR="00137D0C">
        <w:t xml:space="preserve"> managing the fundi</w:t>
      </w:r>
      <w:r w:rsidR="00EC1F49">
        <w:t>ng of long term capital projects.</w:t>
      </w:r>
      <w:r w:rsidR="00907639">
        <w:t xml:space="preserve"> (Reference:</w:t>
      </w:r>
      <w:r w:rsidR="00677E54">
        <w:t xml:space="preserve"> </w:t>
      </w:r>
      <w:r w:rsidR="00907639">
        <w:t xml:space="preserve"> A/35/15, report of the 35</w:t>
      </w:r>
      <w:r w:rsidR="00907639" w:rsidRPr="00907639">
        <w:rPr>
          <w:vertAlign w:val="superscript"/>
        </w:rPr>
        <w:t>th</w:t>
      </w:r>
      <w:r w:rsidR="00907639">
        <w:t xml:space="preserve"> Assemblies)</w:t>
      </w:r>
      <w:r w:rsidR="00873B26">
        <w:t xml:space="preserve"> </w:t>
      </w:r>
    </w:p>
    <w:p w:rsidR="00487CA4" w:rsidRDefault="005C396F" w:rsidP="005C396F">
      <w:pPr>
        <w:pStyle w:val="ONUME"/>
      </w:pPr>
      <w:r>
        <w:t>T</w:t>
      </w:r>
      <w:r w:rsidR="00B9501A">
        <w:t xml:space="preserve">en years later, in 2010, after a review of the policies and practices in place, they were assessed as continuing to provide a solid foundation for effective financial management. </w:t>
      </w:r>
      <w:r w:rsidR="00677E54">
        <w:t xml:space="preserve"> </w:t>
      </w:r>
      <w:r w:rsidR="00B9501A">
        <w:t>However, against the backdrop of the economic and financial crisis, the importance of maintain</w:t>
      </w:r>
      <w:r w:rsidR="00BE5475">
        <w:t>ing</w:t>
      </w:r>
      <w:r w:rsidR="00B9501A">
        <w:t xml:space="preserve"> healthy reserves and the avoidance</w:t>
      </w:r>
      <w:r w:rsidR="00D714B4">
        <w:t xml:space="preserve"> of</w:t>
      </w:r>
      <w:r w:rsidR="00BE5475">
        <w:t xml:space="preserve"> deficits underscored</w:t>
      </w:r>
      <w:r w:rsidR="00B9501A">
        <w:t xml:space="preserve"> the need to ensure that the use of the reserves was subject to clear </w:t>
      </w:r>
      <w:r w:rsidR="00BE5475">
        <w:t xml:space="preserve">and well documented </w:t>
      </w:r>
      <w:r w:rsidR="00B9501A">
        <w:t xml:space="preserve">criteria and principles and a well-defined approval mechanism. </w:t>
      </w:r>
      <w:r w:rsidR="00677E54">
        <w:t xml:space="preserve"> </w:t>
      </w:r>
      <w:r w:rsidR="00B9501A">
        <w:t xml:space="preserve">Member States </w:t>
      </w:r>
      <w:r w:rsidR="00BE5475">
        <w:t xml:space="preserve">therefore </w:t>
      </w:r>
      <w:r w:rsidR="00B9501A">
        <w:t xml:space="preserve">considered </w:t>
      </w:r>
      <w:r w:rsidR="00AC0825">
        <w:t>and appro</w:t>
      </w:r>
      <w:r w:rsidR="00677E54">
        <w:t>ved the Policy on Reserves and P</w:t>
      </w:r>
      <w:r w:rsidR="00AC0825">
        <w:t xml:space="preserve">rinciples </w:t>
      </w:r>
      <w:r w:rsidR="00677E54">
        <w:t>Applied in R</w:t>
      </w:r>
      <w:r w:rsidR="00AC0825">
        <w:t>espe</w:t>
      </w:r>
      <w:r w:rsidR="00677E54">
        <w:t>ct of the Use of the R</w:t>
      </w:r>
      <w:r w:rsidR="00D714B4">
        <w:t>eserves (</w:t>
      </w:r>
      <w:r w:rsidR="00907639">
        <w:t xml:space="preserve">Reference: </w:t>
      </w:r>
      <w:r w:rsidR="00677E54">
        <w:t xml:space="preserve"> A/48/15, r</w:t>
      </w:r>
      <w:r w:rsidR="00907639">
        <w:t>eport of the</w:t>
      </w:r>
      <w:r w:rsidR="00AC0825">
        <w:t xml:space="preserve"> </w:t>
      </w:r>
      <w:r w:rsidR="00907639">
        <w:t>48</w:t>
      </w:r>
      <w:r w:rsidR="00907639" w:rsidRPr="00677E54">
        <w:rPr>
          <w:vertAlign w:val="superscript"/>
        </w:rPr>
        <w:t>th</w:t>
      </w:r>
      <w:r w:rsidR="00AC0825">
        <w:t xml:space="preserve"> Assemblies)</w:t>
      </w:r>
      <w:r w:rsidR="00677E54">
        <w:t>.</w:t>
      </w:r>
      <w:r w:rsidR="00487CA4">
        <w:t xml:space="preserve"> </w:t>
      </w:r>
    </w:p>
    <w:p w:rsidR="009D1366" w:rsidRDefault="00343B6C" w:rsidP="005C396F">
      <w:pPr>
        <w:pStyle w:val="ONUME"/>
      </w:pPr>
      <w:r>
        <w:t>The planning, utilization and reporting of the R</w:t>
      </w:r>
      <w:r w:rsidR="00416D42">
        <w:t>WCF</w:t>
      </w:r>
      <w:r>
        <w:t xml:space="preserve"> a</w:t>
      </w:r>
      <w:r w:rsidR="00971499">
        <w:t>re now governed by</w:t>
      </w:r>
      <w:r w:rsidR="00416D42">
        <w:t xml:space="preserve"> the WIPO</w:t>
      </w:r>
      <w:r w:rsidR="00971499">
        <w:t xml:space="preserve"> treaties, </w:t>
      </w:r>
      <w:r w:rsidR="00416D42">
        <w:t xml:space="preserve">WIPO </w:t>
      </w:r>
      <w:r w:rsidR="00971499">
        <w:t>reserves policies (2000 and 2010) and IPSAS (</w:t>
      </w:r>
      <w:r w:rsidR="00416D42">
        <w:t>WIPO’s</w:t>
      </w:r>
      <w:r w:rsidR="00971499">
        <w:t xml:space="preserve"> accounting standards). </w:t>
      </w:r>
      <w:r w:rsidR="00416D42">
        <w:t xml:space="preserve"> </w:t>
      </w:r>
      <w:r w:rsidR="00487CA4">
        <w:t>The current practices</w:t>
      </w:r>
      <w:r w:rsidR="00803370">
        <w:t xml:space="preserve"> related to </w:t>
      </w:r>
      <w:r w:rsidR="00971499">
        <w:t>the R</w:t>
      </w:r>
      <w:r w:rsidR="00416D42">
        <w:t>WCF</w:t>
      </w:r>
      <w:r w:rsidR="00487CA4">
        <w:t xml:space="preserve"> faithfully reflect t</w:t>
      </w:r>
      <w:r w:rsidR="00971499">
        <w:t>he Organization’s policies.</w:t>
      </w:r>
    </w:p>
    <w:p w:rsidR="00416D42" w:rsidRPr="00416D42" w:rsidRDefault="00416D42" w:rsidP="00416D42"/>
    <w:p w:rsidR="00D714B4" w:rsidRPr="00D714B4" w:rsidRDefault="00D714B4" w:rsidP="00405DB2">
      <w:pPr>
        <w:pStyle w:val="Heading1"/>
        <w:spacing w:before="0" w:after="0"/>
        <w:rPr>
          <w:lang w:val="fr-CH"/>
        </w:rPr>
      </w:pPr>
      <w:r w:rsidRPr="00D714B4">
        <w:rPr>
          <w:lang w:val="fr-CH"/>
        </w:rPr>
        <w:t>WIPO’</w:t>
      </w:r>
      <w:r w:rsidR="00F316D0">
        <w:rPr>
          <w:lang w:val="fr-CH"/>
        </w:rPr>
        <w:t xml:space="preserve">s </w:t>
      </w:r>
      <w:r w:rsidRPr="00D714B4">
        <w:rPr>
          <w:lang w:val="fr-CH"/>
        </w:rPr>
        <w:t xml:space="preserve"> financial position (Net assets)</w:t>
      </w:r>
      <w:r w:rsidR="00F316D0">
        <w:rPr>
          <w:lang w:val="fr-CH"/>
        </w:rPr>
        <w:t xml:space="preserve"> 2013</w:t>
      </w:r>
    </w:p>
    <w:p w:rsidR="00D714B4" w:rsidRDefault="00D714B4" w:rsidP="00405DB2">
      <w:pPr>
        <w:pStyle w:val="Heading1"/>
        <w:spacing w:before="0" w:after="0"/>
        <w:rPr>
          <w:lang w:val="fr-CH"/>
        </w:rPr>
      </w:pPr>
    </w:p>
    <w:p w:rsidR="00D714B4" w:rsidRDefault="005C396F" w:rsidP="005C396F">
      <w:pPr>
        <w:pStyle w:val="ONUME"/>
      </w:pPr>
      <w:r>
        <w:t>T</w:t>
      </w:r>
      <w:r w:rsidR="00D714B4">
        <w:t xml:space="preserve">he Net Assets at the end </w:t>
      </w:r>
      <w:r w:rsidR="00951BE7">
        <w:t xml:space="preserve">of the financial year 2013 were </w:t>
      </w:r>
      <w:r w:rsidR="00D714B4">
        <w:t xml:space="preserve">208.8 </w:t>
      </w:r>
      <w:r w:rsidR="00757B01">
        <w:t xml:space="preserve">million </w:t>
      </w:r>
      <w:r w:rsidR="00F0209A">
        <w:t xml:space="preserve">Swiss francs. </w:t>
      </w:r>
      <w:r w:rsidR="00416D42">
        <w:t xml:space="preserve"> </w:t>
      </w:r>
      <w:r w:rsidR="00F0209A">
        <w:t xml:space="preserve">Of </w:t>
      </w:r>
      <w:r w:rsidR="00DC6DAA">
        <w:t>these,</w:t>
      </w:r>
      <w:r w:rsidR="00F0209A">
        <w:t xml:space="preserve"> 15.1 </w:t>
      </w:r>
      <w:r w:rsidR="00757B01">
        <w:t xml:space="preserve">million </w:t>
      </w:r>
      <w:r w:rsidR="00DA6BD2">
        <w:t>Swiss francs are</w:t>
      </w:r>
      <w:r w:rsidR="00F0209A">
        <w:t xml:space="preserve"> Revaluation Reserves</w:t>
      </w:r>
      <w:r w:rsidR="00DA6BD2">
        <w:t xml:space="preserve"> arising out of revaluation (from historic to fair value) of the land owned by the Organization</w:t>
      </w:r>
      <w:r w:rsidR="00757B01">
        <w:t xml:space="preserve">; </w:t>
      </w:r>
      <w:r w:rsidR="00DA6BD2">
        <w:t xml:space="preserve">8.3 </w:t>
      </w:r>
      <w:r w:rsidR="00757B01">
        <w:t xml:space="preserve">million </w:t>
      </w:r>
      <w:r w:rsidR="00DA6BD2">
        <w:t>Swiss francs</w:t>
      </w:r>
      <w:r w:rsidR="00F316D0">
        <w:t xml:space="preserve"> are the Working Capital Funds</w:t>
      </w:r>
      <w:r w:rsidR="00757B01">
        <w:t>;</w:t>
      </w:r>
      <w:r w:rsidR="00F316D0">
        <w:t xml:space="preserve"> and 185</w:t>
      </w:r>
      <w:r w:rsidR="00D477CB">
        <w:t>.</w:t>
      </w:r>
      <w:r w:rsidR="00F316D0">
        <w:t xml:space="preserve">4 </w:t>
      </w:r>
      <w:r w:rsidR="00757B01">
        <w:t xml:space="preserve">million </w:t>
      </w:r>
      <w:r w:rsidR="00F316D0">
        <w:t xml:space="preserve">Swiss francs are accumulated surpluses. </w:t>
      </w:r>
      <w:r w:rsidR="00416D42">
        <w:t xml:space="preserve"> </w:t>
      </w:r>
      <w:r w:rsidR="00896CA1">
        <w:t>In accordance with the Organization’s policy</w:t>
      </w:r>
      <w:r w:rsidR="00AC6859">
        <w:t>,</w:t>
      </w:r>
      <w:r w:rsidR="00DA4D3B">
        <w:t xml:space="preserve"> </w:t>
      </w:r>
      <w:r w:rsidR="005C0221">
        <w:t>a</w:t>
      </w:r>
      <w:r w:rsidR="00896CA1">
        <w:t>ccumulated surplus funds in excess of the target level may be made avai</w:t>
      </w:r>
      <w:r w:rsidR="00951BE7">
        <w:t>lable to projects, by Assemblies decision.</w:t>
      </w:r>
      <w:r w:rsidR="007D556F">
        <w:t xml:space="preserve"> </w:t>
      </w:r>
    </w:p>
    <w:p w:rsidR="007D556F" w:rsidRDefault="005C396F" w:rsidP="005C396F">
      <w:pPr>
        <w:pStyle w:val="ONUME"/>
      </w:pPr>
      <w:r>
        <w:t>A</w:t>
      </w:r>
      <w:r w:rsidR="00550D24">
        <w:t>s at December 201</w:t>
      </w:r>
      <w:r w:rsidR="00951BE7">
        <w:t xml:space="preserve">3, the balance of accumulated </w:t>
      </w:r>
      <w:r w:rsidR="00AF1787">
        <w:t>surpluses includes funds which have been approved for special projects in compliance with the policy</w:t>
      </w:r>
      <w:r w:rsidR="00550D24">
        <w:t xml:space="preserve">. </w:t>
      </w:r>
      <w:r w:rsidR="00416D42">
        <w:t xml:space="preserve"> </w:t>
      </w:r>
      <w:r w:rsidR="00550D24">
        <w:t>This includes 24.</w:t>
      </w:r>
      <w:r w:rsidR="00F565FE">
        <w:t>8</w:t>
      </w:r>
      <w:r w:rsidR="00550D24">
        <w:t xml:space="preserve"> </w:t>
      </w:r>
      <w:r w:rsidR="00757B01">
        <w:t xml:space="preserve">million </w:t>
      </w:r>
      <w:r w:rsidR="00550D24">
        <w:t xml:space="preserve">Swiss francs for projects underway as at December 31, 2013 and 11.2 </w:t>
      </w:r>
      <w:r w:rsidR="00757B01">
        <w:t xml:space="preserve">million </w:t>
      </w:r>
      <w:r w:rsidR="00550D24">
        <w:t xml:space="preserve">Swiss francs for new projects to be started in 2014 under the Capital Master Plan. </w:t>
      </w:r>
      <w:r w:rsidR="00416D42">
        <w:t xml:space="preserve"> </w:t>
      </w:r>
      <w:r w:rsidR="007D556F">
        <w:t xml:space="preserve">There also remains a balance of 23.3 </w:t>
      </w:r>
      <w:r w:rsidR="00757B01">
        <w:t xml:space="preserve">million </w:t>
      </w:r>
      <w:r w:rsidR="007D556F">
        <w:t xml:space="preserve">Swiss </w:t>
      </w:r>
      <w:r w:rsidR="00757B01">
        <w:t xml:space="preserve">francs for the </w:t>
      </w:r>
      <w:r w:rsidR="007D556F">
        <w:t xml:space="preserve">construction projects. </w:t>
      </w:r>
      <w:r w:rsidR="00416D42">
        <w:t xml:space="preserve"> </w:t>
      </w:r>
      <w:r w:rsidR="007D556F">
        <w:t xml:space="preserve">These </w:t>
      </w:r>
      <w:r w:rsidR="00757B01">
        <w:t>l</w:t>
      </w:r>
      <w:r w:rsidR="00F14300">
        <w:t>a</w:t>
      </w:r>
      <w:r w:rsidR="00757B01">
        <w:t xml:space="preserve">tter </w:t>
      </w:r>
      <w:r w:rsidR="007D556F">
        <w:t xml:space="preserve">projects are not expected to affect the level of </w:t>
      </w:r>
      <w:r w:rsidR="00F14300">
        <w:t xml:space="preserve">net assets </w:t>
      </w:r>
      <w:r w:rsidR="007D556F">
        <w:t xml:space="preserve">as expenditure incurred during the construction phase will be capitalized as work in progress. </w:t>
      </w:r>
    </w:p>
    <w:p w:rsidR="00951BE7" w:rsidRDefault="00550D24" w:rsidP="005C396F">
      <w:pPr>
        <w:pStyle w:val="ONUME"/>
      </w:pPr>
      <w:r>
        <w:t>The following graph provides three different</w:t>
      </w:r>
      <w:r w:rsidR="00A11DBF">
        <w:t xml:space="preserve"> views of the Net Assets</w:t>
      </w:r>
      <w:r w:rsidR="0099534B">
        <w:t xml:space="preserve"> (RWCF)</w:t>
      </w:r>
      <w:r w:rsidR="00F565FE">
        <w:t xml:space="preserve"> as at December 31, 2013</w:t>
      </w:r>
      <w:r w:rsidR="00A11DBF">
        <w:t xml:space="preserve">, namely, the Financial Statements view, </w:t>
      </w:r>
      <w:r w:rsidR="005C0221">
        <w:t xml:space="preserve">the analytical view providing the long-term vs. current asset components of the Net assets and </w:t>
      </w:r>
      <w:r w:rsidR="00A11DBF">
        <w:t>the Reserves Policy View</w:t>
      </w:r>
      <w:r w:rsidR="005C0221">
        <w:t>.</w:t>
      </w:r>
      <w:r w:rsidR="00A11DBF">
        <w:t xml:space="preserve"> </w:t>
      </w:r>
    </w:p>
    <w:p w:rsidR="00550D24" w:rsidRPr="00011C4F" w:rsidRDefault="005E3D2A" w:rsidP="005D21A6">
      <w:pPr>
        <w:spacing w:after="120" w:line="260" w:lineRule="atLeast"/>
        <w:jc w:val="center"/>
        <w:rPr>
          <w:sz w:val="18"/>
        </w:rPr>
      </w:pPr>
      <w:r w:rsidRPr="005E3D2A">
        <w:rPr>
          <w:noProof/>
          <w:lang w:eastAsia="en-US"/>
        </w:rPr>
        <w:drawing>
          <wp:inline distT="0" distB="0" distL="0" distR="0" wp14:anchorId="237CEC27" wp14:editId="0A7C5057">
            <wp:extent cx="4302877" cy="30943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02877" cy="3094330"/>
                    </a:xfrm>
                    <a:prstGeom prst="rect">
                      <a:avLst/>
                    </a:prstGeom>
                    <a:noFill/>
                    <a:ln>
                      <a:noFill/>
                    </a:ln>
                  </pic:spPr>
                </pic:pic>
              </a:graphicData>
            </a:graphic>
          </wp:inline>
        </w:drawing>
      </w:r>
    </w:p>
    <w:p w:rsidR="00D714B4" w:rsidRDefault="00D714B4" w:rsidP="00D714B4">
      <w:pPr>
        <w:rPr>
          <w:lang w:val="en-GB"/>
        </w:rPr>
      </w:pPr>
    </w:p>
    <w:p w:rsidR="00B22BC7" w:rsidRPr="00416863" w:rsidRDefault="006E020E" w:rsidP="00405DB2">
      <w:pPr>
        <w:pStyle w:val="Heading1"/>
        <w:spacing w:before="0" w:after="0"/>
      </w:pPr>
      <w:r>
        <w:t>transition to IPSAS</w:t>
      </w:r>
      <w:r w:rsidR="00D12D20">
        <w:t xml:space="preserve"> – IMPACT ON NET ASSETS</w:t>
      </w:r>
    </w:p>
    <w:p w:rsidR="002928D3" w:rsidRPr="000F45B3" w:rsidRDefault="002928D3"/>
    <w:p w:rsidR="00C677B9" w:rsidRDefault="00C677B9" w:rsidP="005C396F">
      <w:pPr>
        <w:pStyle w:val="ONUME"/>
      </w:pPr>
      <w:r>
        <w:t>In 2010, the Organization adopted the International Public Sector Accounting Standards</w:t>
      </w:r>
      <w:r w:rsidR="00D717BE">
        <w:t xml:space="preserve"> (IPSAS). </w:t>
      </w:r>
      <w:r w:rsidR="00416D42">
        <w:t xml:space="preserve"> </w:t>
      </w:r>
      <w:r w:rsidR="00CC5F36">
        <w:t xml:space="preserve">The principal benefits of IPSAS for the stakeholders and users of financial statements is that they foster greater accountability and transparency and provide </w:t>
      </w:r>
      <w:r w:rsidR="00264590">
        <w:t>more</w:t>
      </w:r>
      <w:r w:rsidR="00CC5F36">
        <w:t xml:space="preserve"> reliabl</w:t>
      </w:r>
      <w:r w:rsidR="00264590">
        <w:t>e information</w:t>
      </w:r>
      <w:r w:rsidR="00CC5F36">
        <w:t xml:space="preserve">. </w:t>
      </w:r>
      <w:r w:rsidR="00416D42">
        <w:t xml:space="preserve"> </w:t>
      </w:r>
      <w:r w:rsidR="00CC5F36">
        <w:t>The key benefit</w:t>
      </w:r>
      <w:r w:rsidR="00264590">
        <w:t xml:space="preserve"> of </w:t>
      </w:r>
      <w:r w:rsidR="00AA69B7">
        <w:t xml:space="preserve">the </w:t>
      </w:r>
      <w:r w:rsidR="00264590">
        <w:t>adoption of IPSAS within</w:t>
      </w:r>
      <w:r w:rsidR="00CC5F36">
        <w:t xml:space="preserve"> the UN </w:t>
      </w:r>
      <w:r w:rsidR="00416D42">
        <w:t>S</w:t>
      </w:r>
      <w:r w:rsidR="00CC5F36">
        <w:t>ystem of agencies</w:t>
      </w:r>
      <w:r w:rsidR="00264590">
        <w:t>,</w:t>
      </w:r>
      <w:r w:rsidR="005C0221">
        <w:t xml:space="preserve"> with regard to governance,</w:t>
      </w:r>
      <w:r w:rsidR="00CC5F36">
        <w:t xml:space="preserve"> </w:t>
      </w:r>
      <w:r w:rsidR="00264590">
        <w:t>is that the</w:t>
      </w:r>
      <w:r w:rsidR="00CC5F36">
        <w:t xml:space="preserve"> assets, liabilities, revenues a</w:t>
      </w:r>
      <w:r w:rsidR="00264590">
        <w:t>n</w:t>
      </w:r>
      <w:r w:rsidR="00CC5F36">
        <w:t>d expenses</w:t>
      </w:r>
      <w:r w:rsidR="00264590">
        <w:t xml:space="preserve"> are now recognized in a more realistic and complete manner</w:t>
      </w:r>
      <w:r w:rsidR="00DB38C9">
        <w:t>.  Furthermore, the standards have ensured greater</w:t>
      </w:r>
      <w:r w:rsidR="00CC5F36">
        <w:t xml:space="preserve"> harmonization, compar</w:t>
      </w:r>
      <w:r w:rsidR="00AA69B7">
        <w:t>ability and consistency across o</w:t>
      </w:r>
      <w:r w:rsidR="00CC5F36">
        <w:t>rganizations.</w:t>
      </w:r>
    </w:p>
    <w:p w:rsidR="00DB38C9" w:rsidRDefault="00DB38C9" w:rsidP="005C396F">
      <w:pPr>
        <w:pStyle w:val="ONUME"/>
      </w:pPr>
      <w:r>
        <w:t>The most significant change from a financial accounti</w:t>
      </w:r>
      <w:r w:rsidR="00AA69B7">
        <w:t>ng perspective is that IPSAS requires organizations</w:t>
      </w:r>
      <w:r>
        <w:t xml:space="preserve"> to </w:t>
      </w:r>
      <w:r w:rsidR="00AA69B7">
        <w:t xml:space="preserve">move to </w:t>
      </w:r>
      <w:r>
        <w:t xml:space="preserve">a full accrual basis of accounting. </w:t>
      </w:r>
      <w:r w:rsidR="00187470">
        <w:t xml:space="preserve"> </w:t>
      </w:r>
      <w:r>
        <w:t xml:space="preserve">This has meant that transactions and events are recognized when they occur and in the financial statements of the periods to which they relate. </w:t>
      </w:r>
      <w:r w:rsidR="00187470">
        <w:t xml:space="preserve"> </w:t>
      </w:r>
      <w:r>
        <w:t>Thus expenses for goods and services are recognized in the statements when they are delivered and revenue is earned and recognized when the services are rendered.</w:t>
      </w:r>
    </w:p>
    <w:p w:rsidR="00DB38C9" w:rsidRDefault="00DB38C9" w:rsidP="005C396F">
      <w:pPr>
        <w:pStyle w:val="ONUME"/>
      </w:pPr>
      <w:r>
        <w:t xml:space="preserve">In WIPO, the most significant </w:t>
      </w:r>
      <w:r w:rsidR="00373BE3">
        <w:t>changes from the</w:t>
      </w:r>
      <w:r>
        <w:t xml:space="preserve"> transition to IPSAS </w:t>
      </w:r>
      <w:r w:rsidR="0029034D">
        <w:t xml:space="preserve">are a more complete recognition of land and buildings leading to an increase in assets on the statement of financial position, recognition of the full liability of post-employment benefits leading to significant employee benefit liabilities in the financial statements and the recognition of fee-income as revenue when services are performed leading to significant deferred revenue liabilities in the financial statements. </w:t>
      </w:r>
      <w:r w:rsidR="00187470">
        <w:t xml:space="preserve"> </w:t>
      </w:r>
      <w:r w:rsidR="00373BE3">
        <w:t xml:space="preserve">These </w:t>
      </w:r>
      <w:r w:rsidR="00AA69B7">
        <w:t xml:space="preserve">and other </w:t>
      </w:r>
      <w:r w:rsidR="00373BE3">
        <w:t xml:space="preserve">changes </w:t>
      </w:r>
      <w:r w:rsidR="00F14300">
        <w:t xml:space="preserve">have </w:t>
      </w:r>
      <w:r w:rsidR="00373BE3">
        <w:t xml:space="preserve">led to a change in the </w:t>
      </w:r>
      <w:r w:rsidR="00F14300">
        <w:t xml:space="preserve">level and </w:t>
      </w:r>
      <w:r w:rsidR="00373BE3">
        <w:t xml:space="preserve">composition of the net assets </w:t>
      </w:r>
      <w:r w:rsidR="00495117">
        <w:t>(R</w:t>
      </w:r>
      <w:r w:rsidR="00187470">
        <w:t>WCF</w:t>
      </w:r>
      <w:r w:rsidR="00495117">
        <w:t xml:space="preserve">) </w:t>
      </w:r>
      <w:r w:rsidR="00373BE3">
        <w:t>of the Organization when we moved to IPSAS on January 1, 201</w:t>
      </w:r>
      <w:r w:rsidR="00EE7C29">
        <w:t>0</w:t>
      </w:r>
      <w:r w:rsidR="00373BE3">
        <w:t xml:space="preserve">. </w:t>
      </w:r>
      <w:r w:rsidR="00187470">
        <w:t xml:space="preserve"> </w:t>
      </w:r>
      <w:r w:rsidR="00211873">
        <w:t>The summary of changes to the Net Assets (R</w:t>
      </w:r>
      <w:r w:rsidR="00187470">
        <w:t>WCF</w:t>
      </w:r>
      <w:r w:rsidR="00211873">
        <w:t xml:space="preserve">) and the evolution of the Net Assets </w:t>
      </w:r>
      <w:r w:rsidR="008B5182">
        <w:t>until December</w:t>
      </w:r>
      <w:r w:rsidR="00187470">
        <w:t> </w:t>
      </w:r>
      <w:r w:rsidR="008B5182">
        <w:t>31,</w:t>
      </w:r>
      <w:r w:rsidR="00187470">
        <w:t> </w:t>
      </w:r>
      <w:r w:rsidR="008B5182">
        <w:t xml:space="preserve">2013 </w:t>
      </w:r>
      <w:r w:rsidR="00211873">
        <w:t>are provided in Table 1</w:t>
      </w:r>
      <w:r w:rsidR="005D606A">
        <w:t xml:space="preserve">, </w:t>
      </w:r>
      <w:r w:rsidR="00211873">
        <w:t>Table 2</w:t>
      </w:r>
      <w:r w:rsidR="005D606A">
        <w:t xml:space="preserve"> and Table 3</w:t>
      </w:r>
      <w:r w:rsidR="00211873">
        <w:t xml:space="preserve"> below</w:t>
      </w:r>
      <w:r w:rsidR="005C396F">
        <w:t>.</w:t>
      </w:r>
    </w:p>
    <w:p w:rsidR="005D21A6" w:rsidRDefault="005D21A6" w:rsidP="00BD5996">
      <w:pPr>
        <w:keepNext/>
        <w:keepLines/>
      </w:pPr>
    </w:p>
    <w:p w:rsidR="005D606A" w:rsidRDefault="005D606A" w:rsidP="00BD5996">
      <w:pPr>
        <w:keepNext/>
        <w:keepLines/>
      </w:pPr>
      <w:r>
        <w:t>Table 1 – Evolution of Net Assets – Financial Statement Presentation</w:t>
      </w:r>
    </w:p>
    <w:p w:rsidR="00211873" w:rsidRDefault="005D606A">
      <w:r w:rsidRPr="005D606A">
        <w:rPr>
          <w:noProof/>
          <w:lang w:eastAsia="en-US"/>
        </w:rPr>
        <w:drawing>
          <wp:inline distT="0" distB="0" distL="0" distR="0" wp14:anchorId="5E22C79C" wp14:editId="775099BD">
            <wp:extent cx="5632704" cy="2773431"/>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6326" cy="2780138"/>
                    </a:xfrm>
                    <a:prstGeom prst="rect">
                      <a:avLst/>
                    </a:prstGeom>
                    <a:noFill/>
                    <a:ln>
                      <a:noFill/>
                    </a:ln>
                  </pic:spPr>
                </pic:pic>
              </a:graphicData>
            </a:graphic>
          </wp:inline>
        </w:drawing>
      </w:r>
    </w:p>
    <w:p w:rsidR="005D606A" w:rsidRDefault="005D606A" w:rsidP="005D21A6">
      <w:pPr>
        <w:keepNext/>
        <w:keepLines/>
      </w:pPr>
      <w:r>
        <w:t xml:space="preserve">Table </w:t>
      </w:r>
      <w:proofErr w:type="gramStart"/>
      <w:r>
        <w:t>2 – Evolution of Net Assets – Short-Term/Long-Term Analysis</w:t>
      </w:r>
      <w:proofErr w:type="gramEnd"/>
    </w:p>
    <w:p w:rsidR="00BD5996" w:rsidRPr="00BD5996" w:rsidRDefault="00BD5996" w:rsidP="005D21A6">
      <w:pPr>
        <w:keepNext/>
        <w:keepLines/>
        <w:rPr>
          <w:sz w:val="18"/>
        </w:rPr>
      </w:pPr>
    </w:p>
    <w:p w:rsidR="005D606A" w:rsidRDefault="005D606A" w:rsidP="005D21A6">
      <w:pPr>
        <w:keepNext/>
        <w:keepLines/>
      </w:pPr>
      <w:r w:rsidRPr="005D606A">
        <w:rPr>
          <w:noProof/>
          <w:lang w:eastAsia="en-US"/>
        </w:rPr>
        <w:drawing>
          <wp:inline distT="0" distB="0" distL="0" distR="0" wp14:anchorId="352A0924" wp14:editId="28AD83D8">
            <wp:extent cx="5757062" cy="26910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841" cy="2693717"/>
                    </a:xfrm>
                    <a:prstGeom prst="rect">
                      <a:avLst/>
                    </a:prstGeom>
                    <a:noFill/>
                    <a:ln>
                      <a:noFill/>
                    </a:ln>
                  </pic:spPr>
                </pic:pic>
              </a:graphicData>
            </a:graphic>
          </wp:inline>
        </w:drawing>
      </w:r>
    </w:p>
    <w:p w:rsidR="005D21A6" w:rsidRDefault="005D21A6" w:rsidP="005D21A6">
      <w:pPr>
        <w:keepNext/>
        <w:keepLines/>
      </w:pPr>
    </w:p>
    <w:p w:rsidR="005D606A" w:rsidRDefault="005D606A" w:rsidP="005D21A6">
      <w:pPr>
        <w:spacing w:after="240"/>
      </w:pPr>
      <w:r>
        <w:t xml:space="preserve">Table 3 – Evolution of Net Assets – </w:t>
      </w:r>
      <w:r w:rsidR="0099534B">
        <w:t>Policies</w:t>
      </w:r>
      <w:r>
        <w:t xml:space="preserve"> on Reserves Analysis</w:t>
      </w:r>
    </w:p>
    <w:p w:rsidR="005D606A" w:rsidRDefault="006108D9">
      <w:r w:rsidRPr="006108D9">
        <w:rPr>
          <w:noProof/>
          <w:lang w:eastAsia="en-US"/>
        </w:rPr>
        <w:drawing>
          <wp:inline distT="0" distB="0" distL="0" distR="0" wp14:anchorId="3C83C5E8" wp14:editId="264C2947">
            <wp:extent cx="5757062" cy="262415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7698" cy="2624440"/>
                    </a:xfrm>
                    <a:prstGeom prst="rect">
                      <a:avLst/>
                    </a:prstGeom>
                    <a:noFill/>
                    <a:ln>
                      <a:noFill/>
                    </a:ln>
                  </pic:spPr>
                </pic:pic>
              </a:graphicData>
            </a:graphic>
          </wp:inline>
        </w:drawing>
      </w:r>
    </w:p>
    <w:p w:rsidR="002C4E06" w:rsidRDefault="002C4E06" w:rsidP="002C4E06">
      <w:pPr>
        <w:rPr>
          <w:i/>
          <w:iCs/>
          <w:sz w:val="20"/>
        </w:rPr>
      </w:pPr>
      <w:r>
        <w:rPr>
          <w:i/>
          <w:iCs/>
          <w:sz w:val="20"/>
        </w:rPr>
        <w:t>Note:  Numbers for 31/12/2011 and 31/12/2012 are based on restated figures following the change in the accounting policy for the recognition of PCT revenue.</w:t>
      </w:r>
    </w:p>
    <w:p w:rsidR="002C4E06" w:rsidRDefault="002C4E06"/>
    <w:p w:rsidR="00211873" w:rsidRDefault="00187470" w:rsidP="005C396F">
      <w:pPr>
        <w:pStyle w:val="ONUME"/>
      </w:pPr>
      <w:r>
        <w:t>The Net A</w:t>
      </w:r>
      <w:r w:rsidR="008B5182">
        <w:t>ssets (R</w:t>
      </w:r>
      <w:r>
        <w:t>WCF</w:t>
      </w:r>
      <w:r w:rsidR="008B5182">
        <w:t xml:space="preserve">) saw a reduction of 20 million Swiss francs as a result of the transition to IPSAS on January 1, 2010. </w:t>
      </w:r>
      <w:r>
        <w:t xml:space="preserve"> </w:t>
      </w:r>
      <w:r w:rsidR="008B5182">
        <w:t>This reduced level was however above the target R</w:t>
      </w:r>
      <w:r w:rsidR="00D477CB">
        <w:t>WCF</w:t>
      </w:r>
      <w:r w:rsidR="008B5182">
        <w:t xml:space="preserve"> level. </w:t>
      </w:r>
      <w:r>
        <w:t xml:space="preserve"> </w:t>
      </w:r>
      <w:r w:rsidR="008B5182">
        <w:t xml:space="preserve">The </w:t>
      </w:r>
      <w:r w:rsidR="0012713E">
        <w:t>Net Asset</w:t>
      </w:r>
      <w:r w:rsidR="008B5182">
        <w:t xml:space="preserve"> level </w:t>
      </w:r>
      <w:r w:rsidR="0012713E">
        <w:t xml:space="preserve">has remained </w:t>
      </w:r>
      <w:r w:rsidR="00AB5805">
        <w:t xml:space="preserve">consistently </w:t>
      </w:r>
      <w:r w:rsidR="0012713E">
        <w:t xml:space="preserve">above target levels </w:t>
      </w:r>
      <w:r w:rsidR="00AB5805">
        <w:t>since</w:t>
      </w:r>
      <w:r w:rsidR="0012713E">
        <w:t xml:space="preserve">. </w:t>
      </w:r>
      <w:r>
        <w:t xml:space="preserve"> </w:t>
      </w:r>
      <w:r w:rsidR="00011C4F">
        <w:t xml:space="preserve">The </w:t>
      </w:r>
      <w:r w:rsidR="0012713E">
        <w:t>Annex</w:t>
      </w:r>
      <w:proofErr w:type="gramStart"/>
      <w:r>
        <w:t> </w:t>
      </w:r>
      <w:r w:rsidR="00011C4F">
        <w:t xml:space="preserve"> to</w:t>
      </w:r>
      <w:proofErr w:type="gramEnd"/>
      <w:r w:rsidR="00011C4F">
        <w:t xml:space="preserve"> this document </w:t>
      </w:r>
      <w:r w:rsidR="0012713E">
        <w:t>provides a historical evolution of the Financial Situation of WIPO including the Net</w:t>
      </w:r>
      <w:r w:rsidR="00BD5996">
        <w:t> </w:t>
      </w:r>
      <w:r w:rsidR="0012713E">
        <w:t>Assets</w:t>
      </w:r>
      <w:r w:rsidR="00BD5996">
        <w:t> </w:t>
      </w:r>
      <w:r w:rsidR="00D477CB">
        <w:t>(RWCF)</w:t>
      </w:r>
      <w:r w:rsidR="0012713E">
        <w:t>.</w:t>
      </w:r>
    </w:p>
    <w:p w:rsidR="00616A91" w:rsidRDefault="00616A91">
      <w:r>
        <w:br w:type="page"/>
      </w:r>
    </w:p>
    <w:p w:rsidR="00187470" w:rsidRDefault="00187470"/>
    <w:p w:rsidR="00D12D20" w:rsidRPr="00416863" w:rsidRDefault="00D12D20" w:rsidP="00D12D20">
      <w:pPr>
        <w:pStyle w:val="Heading1"/>
        <w:spacing w:before="0" w:after="0"/>
      </w:pPr>
      <w:r>
        <w:t>transition to IPSAS – IMPACT ON liquidity</w:t>
      </w:r>
      <w:r w:rsidR="00CD4DC3">
        <w:t xml:space="preserve"> ana</w:t>
      </w:r>
      <w:bookmarkStart w:id="1" w:name="_GoBack"/>
      <w:bookmarkEnd w:id="1"/>
      <w:r w:rsidR="00CD4DC3">
        <w:t>lysis</w:t>
      </w:r>
    </w:p>
    <w:p w:rsidR="00EE2D9F" w:rsidRDefault="00EE2D9F"/>
    <w:p w:rsidR="0012713E" w:rsidRDefault="006108D9" w:rsidP="005C396F">
      <w:pPr>
        <w:pStyle w:val="ONUME"/>
      </w:pPr>
      <w:r>
        <w:t xml:space="preserve">Some </w:t>
      </w:r>
      <w:r w:rsidR="00B21D39">
        <w:t xml:space="preserve">standard financial indicators for assessing the </w:t>
      </w:r>
      <w:r w:rsidR="005C0221">
        <w:t>l</w:t>
      </w:r>
      <w:r w:rsidR="00B21D39">
        <w:t xml:space="preserve">iquidity position of an Organization </w:t>
      </w:r>
      <w:r w:rsidR="00AA69B7">
        <w:t xml:space="preserve">and its ability to meet short-term obligations </w:t>
      </w:r>
      <w:r w:rsidR="00B21D39">
        <w:t xml:space="preserve">are the </w:t>
      </w:r>
      <w:r>
        <w:t>r</w:t>
      </w:r>
      <w:r w:rsidR="00B21D39">
        <w:t>atios</w:t>
      </w:r>
      <w:r w:rsidR="00D45219">
        <w:t xml:space="preserve"> as described briefly below:</w:t>
      </w:r>
    </w:p>
    <w:p w:rsidR="00EE2D9F" w:rsidRPr="006E020E" w:rsidRDefault="00EE2D9F" w:rsidP="007E62D2">
      <w:pPr>
        <w:pStyle w:val="ListParagraph"/>
        <w:numPr>
          <w:ilvl w:val="0"/>
          <w:numId w:val="11"/>
        </w:numPr>
        <w:tabs>
          <w:tab w:val="clear" w:pos="851"/>
        </w:tabs>
        <w:ind w:left="567" w:firstLine="0"/>
        <w:rPr>
          <w:lang w:val="fr-FR"/>
        </w:rPr>
      </w:pPr>
      <w:proofErr w:type="spellStart"/>
      <w:r w:rsidRPr="006E020E">
        <w:rPr>
          <w:lang w:val="fr-FR"/>
        </w:rPr>
        <w:t>Current</w:t>
      </w:r>
      <w:proofErr w:type="spellEnd"/>
      <w:r w:rsidRPr="006E020E">
        <w:rPr>
          <w:lang w:val="fr-FR"/>
        </w:rPr>
        <w:t xml:space="preserve"> ratio = </w:t>
      </w:r>
      <w:proofErr w:type="spellStart"/>
      <w:r w:rsidRPr="006E020E">
        <w:rPr>
          <w:lang w:val="fr-FR"/>
        </w:rPr>
        <w:t>Current</w:t>
      </w:r>
      <w:proofErr w:type="spellEnd"/>
      <w:r w:rsidRPr="006E020E">
        <w:rPr>
          <w:lang w:val="fr-FR"/>
        </w:rPr>
        <w:t xml:space="preserve"> assets ÷ Current liabilities</w:t>
      </w:r>
    </w:p>
    <w:p w:rsidR="00EE2D9F" w:rsidRPr="00B06111" w:rsidRDefault="00EE2D9F" w:rsidP="00187470">
      <w:pPr>
        <w:ind w:left="426"/>
      </w:pPr>
      <w:r w:rsidRPr="00B06111">
        <w:t xml:space="preserve">A simple guide to the ability of an organization to meet its short-term obligations is to link current assets and liabilities in what is commonly termed the current ratio. The application of this ratio provides a guide to the solvency </w:t>
      </w:r>
      <w:r>
        <w:t xml:space="preserve">of an organization at year end, and </w:t>
      </w:r>
      <w:r w:rsidRPr="00B06111">
        <w:t xml:space="preserve">an indication of the ability to meet short-term creditors without recourse to special borrowing. </w:t>
      </w:r>
    </w:p>
    <w:p w:rsidR="00EE2D9F" w:rsidRPr="006E020E" w:rsidRDefault="00EE2D9F" w:rsidP="007E62D2">
      <w:pPr>
        <w:pStyle w:val="ListParagraph"/>
        <w:numPr>
          <w:ilvl w:val="0"/>
          <w:numId w:val="11"/>
        </w:numPr>
        <w:tabs>
          <w:tab w:val="clear" w:pos="851"/>
        </w:tabs>
        <w:ind w:left="567" w:firstLine="0"/>
        <w:rPr>
          <w:lang w:val="fr-FR"/>
        </w:rPr>
      </w:pPr>
      <w:proofErr w:type="spellStart"/>
      <w:r w:rsidRPr="006E020E">
        <w:rPr>
          <w:lang w:val="fr-FR"/>
        </w:rPr>
        <w:t>Liquid</w:t>
      </w:r>
      <w:proofErr w:type="spellEnd"/>
      <w:r w:rsidRPr="006E020E">
        <w:rPr>
          <w:lang w:val="fr-FR"/>
        </w:rPr>
        <w:t xml:space="preserve"> ratio = </w:t>
      </w:r>
      <w:proofErr w:type="spellStart"/>
      <w:r w:rsidRPr="006E020E">
        <w:rPr>
          <w:lang w:val="fr-FR"/>
        </w:rPr>
        <w:t>Liquid</w:t>
      </w:r>
      <w:proofErr w:type="spellEnd"/>
      <w:r w:rsidRPr="006E020E">
        <w:rPr>
          <w:lang w:val="fr-FR"/>
        </w:rPr>
        <w:t xml:space="preserve"> assets ÷ Current liabilities</w:t>
      </w:r>
    </w:p>
    <w:p w:rsidR="00EE2D9F" w:rsidRPr="00B06111" w:rsidRDefault="00EE2D9F" w:rsidP="00187470">
      <w:pPr>
        <w:ind w:left="426"/>
      </w:pPr>
      <w:r w:rsidRPr="00B06111">
        <w:t>A stricter approach to the current ratio is to exclude the year-end inventory to arrive at what are called liquid assets – those being cash or near to cash. Inventory is excluded as it may prove difficult to turn quickly into cash. This is seen as a prudent approach to assess the ability of an organization to meet its short term liabilities.</w:t>
      </w:r>
    </w:p>
    <w:p w:rsidR="00EE2D9F" w:rsidRPr="006E020E" w:rsidRDefault="00EE2D9F" w:rsidP="007E62D2">
      <w:pPr>
        <w:pStyle w:val="ListParagraph"/>
        <w:numPr>
          <w:ilvl w:val="0"/>
          <w:numId w:val="11"/>
        </w:numPr>
        <w:tabs>
          <w:tab w:val="clear" w:pos="851"/>
        </w:tabs>
        <w:ind w:left="567" w:firstLine="0"/>
      </w:pPr>
      <w:r w:rsidRPr="006E020E">
        <w:t xml:space="preserve">Cash </w:t>
      </w:r>
      <w:r w:rsidRPr="005D21A6">
        <w:t>holding</w:t>
      </w:r>
      <w:r w:rsidRPr="006E020E">
        <w:t xml:space="preserve"> % = Cash ÷ Current assets</w:t>
      </w:r>
    </w:p>
    <w:p w:rsidR="00EE2D9F" w:rsidRPr="00B06111" w:rsidRDefault="00EE2D9F" w:rsidP="00187470">
      <w:pPr>
        <w:ind w:left="426"/>
      </w:pPr>
      <w:r w:rsidRPr="00B06111">
        <w:t>Various ratios can be used to gain some indication of the adequacy of an organization’s cash position. It is useful to have some idea of what proportion of current assets are being held in the form of cash and short-term investments. One simple ratio is the percentage of cash to total current assets</w:t>
      </w:r>
      <w:r>
        <w:t>, t</w:t>
      </w:r>
      <w:r w:rsidRPr="00B06111">
        <w:t xml:space="preserve">he more liquid an organization is, the </w:t>
      </w:r>
      <w:proofErr w:type="gramStart"/>
      <w:r w:rsidRPr="00B06111">
        <w:t>higher</w:t>
      </w:r>
      <w:r w:rsidR="003C37F8">
        <w:t xml:space="preserve"> </w:t>
      </w:r>
      <w:r w:rsidRPr="00B06111">
        <w:t>the</w:t>
      </w:r>
      <w:proofErr w:type="gramEnd"/>
      <w:r w:rsidRPr="00B06111">
        <w:t xml:space="preserve"> proportion of current as</w:t>
      </w:r>
      <w:r>
        <w:t>sets in cash or near-cash items.</w:t>
      </w:r>
    </w:p>
    <w:p w:rsidR="00EE2D9F" w:rsidRDefault="00EE2D9F" w:rsidP="00EE2D9F"/>
    <w:p w:rsidR="00211873" w:rsidRDefault="00E85465" w:rsidP="005C396F">
      <w:pPr>
        <w:pStyle w:val="ONUME"/>
      </w:pPr>
      <w:r w:rsidRPr="00EF0499">
        <w:t xml:space="preserve">The changes in recognition of assets and </w:t>
      </w:r>
      <w:r w:rsidR="003F7A72">
        <w:t>l</w:t>
      </w:r>
      <w:r w:rsidR="003F7A72" w:rsidRPr="00EF0499">
        <w:t xml:space="preserve">iabilities </w:t>
      </w:r>
      <w:r w:rsidR="003F7A72">
        <w:t xml:space="preserve">following the transition to IPSAS </w:t>
      </w:r>
      <w:r w:rsidRPr="00EF0499">
        <w:t>had an</w:t>
      </w:r>
      <w:r>
        <w:t>other</w:t>
      </w:r>
      <w:r w:rsidRPr="00EF0499">
        <w:t xml:space="preserve"> important effect </w:t>
      </w:r>
      <w:r>
        <w:t xml:space="preserve">– that of providing a more prudent view of the </w:t>
      </w:r>
      <w:r w:rsidRPr="00EF0499">
        <w:t xml:space="preserve">Organization’s </w:t>
      </w:r>
      <w:r w:rsidR="003F7A72">
        <w:t>l</w:t>
      </w:r>
      <w:r w:rsidR="003F7A72" w:rsidRPr="00EF0499">
        <w:t xml:space="preserve">iquidity </w:t>
      </w:r>
      <w:r w:rsidRPr="00EF0499">
        <w:t>position</w:t>
      </w:r>
      <w:r>
        <w:t xml:space="preserve"> and its ability to meet its short term liabilities</w:t>
      </w:r>
      <w:r w:rsidRPr="00EF0499">
        <w:t>.</w:t>
      </w:r>
      <w:r w:rsidR="00187470">
        <w:t xml:space="preserve"> </w:t>
      </w:r>
      <w:r w:rsidRPr="00EF0499">
        <w:t xml:space="preserve"> </w:t>
      </w:r>
      <w:r>
        <w:t>In WIPO’s case,</w:t>
      </w:r>
      <w:r w:rsidRPr="00EF0499">
        <w:t xml:space="preserve"> </w:t>
      </w:r>
      <w:r>
        <w:t>while t</w:t>
      </w:r>
      <w:r w:rsidRPr="00EF0499">
        <w:t>he transition to IPSAS resulted in a 13.0</w:t>
      </w:r>
      <w:r w:rsidR="003F7A72">
        <w:t xml:space="preserve"> million Swiss francs</w:t>
      </w:r>
      <w:r w:rsidRPr="00EF0499">
        <w:t xml:space="preserve"> in</w:t>
      </w:r>
      <w:r>
        <w:t>crease in current assets, current liabilities increased by</w:t>
      </w:r>
      <w:r w:rsidRPr="00EF0499">
        <w:t>151.3</w:t>
      </w:r>
      <w:r w:rsidR="00187470">
        <w:t xml:space="preserve"> </w:t>
      </w:r>
      <w:r w:rsidRPr="00EF0499">
        <w:t>m</w:t>
      </w:r>
      <w:r w:rsidR="00187470">
        <w:t>illion Swiss francs</w:t>
      </w:r>
      <w:r w:rsidRPr="00EF0499">
        <w:t>.</w:t>
      </w:r>
      <w:r w:rsidR="00187470">
        <w:t xml:space="preserve"> </w:t>
      </w:r>
      <w:r w:rsidRPr="00EF0499">
        <w:t xml:space="preserve"> </w:t>
      </w:r>
      <w:r>
        <w:t xml:space="preserve">As mentioned </w:t>
      </w:r>
      <w:r w:rsidR="005C0221">
        <w:t>previously</w:t>
      </w:r>
      <w:r>
        <w:t>, the</w:t>
      </w:r>
      <w:r w:rsidRPr="00EF0499">
        <w:t xml:space="preserve"> biggest adjustment was for PCT deferred revenue in current liabilities. </w:t>
      </w:r>
      <w:r w:rsidR="00187470">
        <w:t xml:space="preserve"> </w:t>
      </w:r>
      <w:r w:rsidR="00B21D39">
        <w:t>The changes in these ratios for the transition to I</w:t>
      </w:r>
      <w:r w:rsidR="00AA69B7">
        <w:t>PSAS and their evolution since</w:t>
      </w:r>
      <w:r w:rsidR="00B21D39">
        <w:t xml:space="preserve"> are set out in the table below:</w:t>
      </w:r>
    </w:p>
    <w:p w:rsidR="00211873" w:rsidRDefault="006108D9">
      <w:r w:rsidRPr="006108D9">
        <w:t xml:space="preserve"> </w:t>
      </w:r>
      <w:r w:rsidRPr="006108D9">
        <w:rPr>
          <w:noProof/>
          <w:lang w:eastAsia="en-US"/>
        </w:rPr>
        <w:drawing>
          <wp:inline distT="0" distB="0" distL="0" distR="0" wp14:anchorId="52D85405" wp14:editId="501C2BBE">
            <wp:extent cx="5890260" cy="354138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0260" cy="3541383"/>
                    </a:xfrm>
                    <a:prstGeom prst="rect">
                      <a:avLst/>
                    </a:prstGeom>
                    <a:noFill/>
                    <a:ln>
                      <a:noFill/>
                    </a:ln>
                  </pic:spPr>
                </pic:pic>
              </a:graphicData>
            </a:graphic>
          </wp:inline>
        </w:drawing>
      </w:r>
    </w:p>
    <w:p w:rsidR="005D21A6" w:rsidRDefault="005D21A6"/>
    <w:p w:rsidR="00FA6A36" w:rsidRDefault="00FA6A36" w:rsidP="005C396F">
      <w:pPr>
        <w:pStyle w:val="ONUME"/>
      </w:pPr>
      <w:r>
        <w:t xml:space="preserve">The transition to IPSAS on January 1, 2010 resulted in a significant reduction </w:t>
      </w:r>
      <w:r w:rsidR="005E383F">
        <w:t>in the Current and Li</w:t>
      </w:r>
      <w:r w:rsidR="008B5182">
        <w:t>quid ratios</w:t>
      </w:r>
      <w:r w:rsidR="00E85465">
        <w:t xml:space="preserve"> </w:t>
      </w:r>
      <w:r w:rsidR="005A01B3">
        <w:t xml:space="preserve">mainly </w:t>
      </w:r>
      <w:r w:rsidR="00E85465">
        <w:t>on account of the more complete recognition of current liabilities arising out of PCT fee income deferral.</w:t>
      </w:r>
      <w:r w:rsidR="00BD5996">
        <w:t xml:space="preserve"> </w:t>
      </w:r>
      <w:r w:rsidR="00E85465">
        <w:t xml:space="preserve"> </w:t>
      </w:r>
      <w:r w:rsidR="005A01B3">
        <w:t xml:space="preserve">During the period 2010 to 2013 no significant change was observed in the Organization’s ability to meet its short term obligations. </w:t>
      </w:r>
      <w:r w:rsidR="00BD5996">
        <w:t xml:space="preserve"> </w:t>
      </w:r>
      <w:r w:rsidR="005A01B3">
        <w:t xml:space="preserve">Cash </w:t>
      </w:r>
      <w:proofErr w:type="gramStart"/>
      <w:r w:rsidR="005A01B3">
        <w:t>Holding</w:t>
      </w:r>
      <w:proofErr w:type="gramEnd"/>
      <w:r w:rsidR="005A01B3">
        <w:t xml:space="preserve"> percentage saw a decline of 10 per</w:t>
      </w:r>
      <w:r w:rsidR="00BD5996">
        <w:t xml:space="preserve"> </w:t>
      </w:r>
      <w:r w:rsidR="005A01B3">
        <w:t xml:space="preserve">cent mainly on account of an increase in </w:t>
      </w:r>
      <w:r w:rsidR="0099534B">
        <w:t>a</w:t>
      </w:r>
      <w:r w:rsidR="005A01B3">
        <w:t xml:space="preserve">ccounts receivable due to changing payment patterns of PCT fees. </w:t>
      </w:r>
    </w:p>
    <w:p w:rsidR="00BD5996" w:rsidRDefault="00BD5996" w:rsidP="00DA57EE"/>
    <w:p w:rsidR="006E020E" w:rsidRDefault="0033761B" w:rsidP="006E020E">
      <w:pPr>
        <w:pStyle w:val="Heading1"/>
        <w:spacing w:before="0" w:after="0"/>
      </w:pPr>
      <w:r>
        <w:t xml:space="preserve">use of </w:t>
      </w:r>
      <w:r w:rsidR="006E020E">
        <w:t xml:space="preserve">the </w:t>
      </w:r>
      <w:r w:rsidR="00803370">
        <w:t>AVAILABLE reserves</w:t>
      </w:r>
      <w:r>
        <w:t xml:space="preserve"> to fund projects</w:t>
      </w:r>
    </w:p>
    <w:p w:rsidR="0012713E" w:rsidRDefault="00D12D20" w:rsidP="00CD4DC3">
      <w:pPr>
        <w:rPr>
          <w:caps/>
        </w:rPr>
      </w:pPr>
      <w:r>
        <w:t xml:space="preserve"> </w:t>
      </w:r>
    </w:p>
    <w:p w:rsidR="00142207" w:rsidRDefault="00BD5996" w:rsidP="005C396F">
      <w:pPr>
        <w:pStyle w:val="ONUME"/>
      </w:pPr>
      <w:r>
        <w:t xml:space="preserve">As stated in </w:t>
      </w:r>
      <w:r w:rsidRPr="00011C4F">
        <w:t>p</w:t>
      </w:r>
      <w:r w:rsidR="00CD4DC3" w:rsidRPr="00011C4F">
        <w:t>aragraph 1</w:t>
      </w:r>
      <w:r w:rsidR="00011C4F" w:rsidRPr="00011C4F">
        <w:t>2</w:t>
      </w:r>
      <w:r w:rsidR="00CD4DC3" w:rsidRPr="00011C4F">
        <w:t>,</w:t>
      </w:r>
      <w:r w:rsidR="00CD4DC3">
        <w:t xml:space="preserve"> </w:t>
      </w:r>
      <w:r w:rsidR="006327BE">
        <w:t>WIPO has</w:t>
      </w:r>
      <w:r w:rsidR="00D45219">
        <w:t xml:space="preserve"> a number of </w:t>
      </w:r>
      <w:r w:rsidR="00CD4DC3">
        <w:t xml:space="preserve">projects </w:t>
      </w:r>
      <w:r w:rsidR="00A30AF5">
        <w:t>funded from the reserves</w:t>
      </w:r>
      <w:r w:rsidR="009C57C0">
        <w:t xml:space="preserve">. In addition, the </w:t>
      </w:r>
      <w:r w:rsidR="003F7A72">
        <w:t>Member States</w:t>
      </w:r>
      <w:r w:rsidR="009C57C0">
        <w:t xml:space="preserve"> continue to decide on such projects</w:t>
      </w:r>
      <w:r w:rsidR="00230DFF">
        <w:t xml:space="preserve">. </w:t>
      </w:r>
      <w:r>
        <w:t xml:space="preserve"> </w:t>
      </w:r>
      <w:r w:rsidR="00230DFF">
        <w:t xml:space="preserve">The project proposals </w:t>
      </w:r>
      <w:r w:rsidR="00953027">
        <w:t>are</w:t>
      </w:r>
      <w:r w:rsidR="00771F27">
        <w:t xml:space="preserve"> developed </w:t>
      </w:r>
      <w:r w:rsidR="00230DFF">
        <w:t>and approval decision</w:t>
      </w:r>
      <w:r w:rsidR="00771F27">
        <w:t>s</w:t>
      </w:r>
      <w:r w:rsidR="00230DFF">
        <w:t xml:space="preserve"> </w:t>
      </w:r>
      <w:r w:rsidR="00953027">
        <w:t>are</w:t>
      </w:r>
      <w:r w:rsidR="00771F27">
        <w:t xml:space="preserve"> </w:t>
      </w:r>
      <w:r w:rsidR="00230DFF">
        <w:t>taken in full compliance with our policies on R</w:t>
      </w:r>
      <w:r>
        <w:t>WCF</w:t>
      </w:r>
      <w:r w:rsidR="00771F27">
        <w:t>.</w:t>
      </w:r>
    </w:p>
    <w:p w:rsidR="0043061F" w:rsidRPr="00011C4F" w:rsidRDefault="00C76A7B" w:rsidP="005C396F">
      <w:pPr>
        <w:pStyle w:val="ONUME"/>
      </w:pPr>
      <w:r>
        <w:t xml:space="preserve">The most important criterion considered in proposing such projects </w:t>
      </w:r>
      <w:r w:rsidR="00953027">
        <w:t>is</w:t>
      </w:r>
      <w:r>
        <w:t xml:space="preserve"> the availability of reserves above the target levels established. </w:t>
      </w:r>
      <w:r w:rsidR="00521475">
        <w:t xml:space="preserve"> </w:t>
      </w:r>
      <w:r w:rsidR="006327BE">
        <w:t xml:space="preserve">Projects funded or approved for funding from the reserves </w:t>
      </w:r>
      <w:r w:rsidR="002C347D">
        <w:t>must be</w:t>
      </w:r>
      <w:r w:rsidR="006327BE">
        <w:t xml:space="preserve"> capital projects</w:t>
      </w:r>
      <w:r w:rsidR="00953027">
        <w:t xml:space="preserve"> </w:t>
      </w:r>
      <w:r w:rsidR="0043061F">
        <w:t xml:space="preserve">or projects </w:t>
      </w:r>
      <w:r w:rsidR="00953027">
        <w:t>with a significant capital component</w:t>
      </w:r>
      <w:r w:rsidR="006327BE">
        <w:t xml:space="preserve">. </w:t>
      </w:r>
      <w:r w:rsidR="00521475">
        <w:t xml:space="preserve"> </w:t>
      </w:r>
      <w:r w:rsidR="00771F27">
        <w:t>As a result</w:t>
      </w:r>
      <w:r w:rsidR="0043061F">
        <w:t xml:space="preserve"> of undertaking such projects</w:t>
      </w:r>
      <w:r w:rsidR="00771F27">
        <w:t>,</w:t>
      </w:r>
      <w:r w:rsidR="0043061F">
        <w:t xml:space="preserve"> </w:t>
      </w:r>
      <w:r w:rsidR="00771F27">
        <w:t xml:space="preserve">while there </w:t>
      </w:r>
      <w:r w:rsidR="0043061F">
        <w:t xml:space="preserve">will </w:t>
      </w:r>
      <w:r w:rsidR="00771F27">
        <w:t>be a reduction in current assets</w:t>
      </w:r>
      <w:r w:rsidR="0043061F">
        <w:t xml:space="preserve"> to the extent th</w:t>
      </w:r>
      <w:r w:rsidR="007C3FF3">
        <w:t xml:space="preserve">ey are funded from </w:t>
      </w:r>
      <w:r w:rsidR="005C0221">
        <w:t>cash</w:t>
      </w:r>
      <w:r w:rsidR="007C3FF3">
        <w:t>,</w:t>
      </w:r>
      <w:r w:rsidR="00771F27">
        <w:t xml:space="preserve"> this reduction </w:t>
      </w:r>
      <w:r w:rsidR="0043061F">
        <w:t xml:space="preserve">will be partially or fully </w:t>
      </w:r>
      <w:r w:rsidR="00771F27">
        <w:t xml:space="preserve">offset by an increase in fixed assets. </w:t>
      </w:r>
      <w:r w:rsidR="00AB5805">
        <w:t xml:space="preserve"> As a result, the impact </w:t>
      </w:r>
      <w:r w:rsidR="00521475">
        <w:t>on Net A</w:t>
      </w:r>
      <w:r w:rsidR="0043061F">
        <w:t xml:space="preserve">ssets is minimal. </w:t>
      </w:r>
      <w:r w:rsidR="00521475">
        <w:t xml:space="preserve"> </w:t>
      </w:r>
      <w:r w:rsidR="001A1921">
        <w:t xml:space="preserve">The funding of projects from reserves however has an impact on the current, liquidity and cash ratios described in </w:t>
      </w:r>
      <w:r w:rsidR="00011C4F">
        <w:t>paragraph 18</w:t>
      </w:r>
      <w:r w:rsidR="001A1921" w:rsidRPr="00011C4F">
        <w:t>.</w:t>
      </w:r>
    </w:p>
    <w:p w:rsidR="001A1921" w:rsidRDefault="00CD3C3A" w:rsidP="005C396F">
      <w:pPr>
        <w:pStyle w:val="ONUME"/>
      </w:pPr>
      <w:r>
        <w:t>The Organization does not</w:t>
      </w:r>
      <w:r w:rsidR="00AB5805">
        <w:t xml:space="preserve"> </w:t>
      </w:r>
      <w:r>
        <w:t>face a liquidity risk exposure</w:t>
      </w:r>
      <w:r w:rsidR="00AB5805">
        <w:t xml:space="preserve"> at present</w:t>
      </w:r>
      <w:r>
        <w:t xml:space="preserve"> as it has substantial unrestricted cash resources which are replenished from the results of its operations. </w:t>
      </w:r>
      <w:r w:rsidR="00521475">
        <w:t xml:space="preserve"> </w:t>
      </w:r>
      <w:r w:rsidR="00AB5805">
        <w:t>Moreover, the</w:t>
      </w:r>
      <w:r w:rsidR="00D10B64">
        <w:t xml:space="preserve"> Organization’s current investment policy has been developed to ensure that its investments are held primarily in liquid short-term deposits. </w:t>
      </w:r>
      <w:r w:rsidR="00521475">
        <w:t xml:space="preserve"> </w:t>
      </w:r>
      <w:r w:rsidR="00CD4DC3">
        <w:t>WIPO would</w:t>
      </w:r>
      <w:r w:rsidR="00521475">
        <w:t>,</w:t>
      </w:r>
      <w:r>
        <w:t xml:space="preserve"> however</w:t>
      </w:r>
      <w:r w:rsidR="00CD4DC3">
        <w:t xml:space="preserve">, in the context of continuously strengthening financial </w:t>
      </w:r>
      <w:r w:rsidR="00AB5805">
        <w:t xml:space="preserve">risk </w:t>
      </w:r>
      <w:r w:rsidR="00CD4DC3">
        <w:t>management, benefit from undertaking an analysis</w:t>
      </w:r>
      <w:r w:rsidR="007C3FF3">
        <w:t>,</w:t>
      </w:r>
      <w:r w:rsidR="00CD4DC3">
        <w:t xml:space="preserve"> including a benchmarking comparison of liquidity ratios for similar Organizations</w:t>
      </w:r>
      <w:r w:rsidR="007C3FF3">
        <w:t>,</w:t>
      </w:r>
      <w:r w:rsidR="00CD4DC3">
        <w:t xml:space="preserve"> with a view to determining the target range </w:t>
      </w:r>
      <w:r w:rsidR="007C3FF3">
        <w:t xml:space="preserve">that should be reached </w:t>
      </w:r>
      <w:r w:rsidR="00CD4DC3">
        <w:t>for its current, liquid and cash ratios.</w:t>
      </w:r>
      <w:r w:rsidR="006B2B77">
        <w:t xml:space="preserve">  </w:t>
      </w:r>
    </w:p>
    <w:p w:rsidR="003C37F8" w:rsidRPr="003C37F8" w:rsidRDefault="003C37F8" w:rsidP="00521475">
      <w:pPr>
        <w:keepNext/>
        <w:keepLines/>
        <w:rPr>
          <w:u w:val="single"/>
        </w:rPr>
      </w:pPr>
      <w:r w:rsidRPr="003C37F8">
        <w:rPr>
          <w:u w:val="single"/>
        </w:rPr>
        <w:t>Policy Gap and Way Forward</w:t>
      </w:r>
    </w:p>
    <w:p w:rsidR="003C37F8" w:rsidRDefault="003C37F8" w:rsidP="00521475">
      <w:pPr>
        <w:keepNext/>
        <w:keepLines/>
      </w:pPr>
    </w:p>
    <w:p w:rsidR="001A1921" w:rsidRDefault="001A1921" w:rsidP="005C396F">
      <w:pPr>
        <w:pStyle w:val="ONUME"/>
      </w:pPr>
      <w:r>
        <w:t xml:space="preserve">WIPOs Reserves and Working Capital Funds Policies do not explicitly set out any liquidity requirements. This could be considered as a shortfall or gap in the current policy. </w:t>
      </w:r>
      <w:r w:rsidR="00521475">
        <w:t xml:space="preserve"> </w:t>
      </w:r>
      <w:r w:rsidR="00C76A7B">
        <w:t xml:space="preserve">WIPO’s External Auditors have recommended that WIPO may consider that expenditures from reserves be incurred </w:t>
      </w:r>
      <w:r w:rsidR="006327BE">
        <w:t xml:space="preserve">after ascertaining </w:t>
      </w:r>
      <w:r w:rsidR="005C0221">
        <w:t>their</w:t>
      </w:r>
      <w:r w:rsidR="006327BE">
        <w:t xml:space="preserve"> impact on the liquidity of the Organization. </w:t>
      </w:r>
      <w:r w:rsidR="00521475">
        <w:t xml:space="preserve"> </w:t>
      </w:r>
      <w:r w:rsidR="00127A34">
        <w:t>Th</w:t>
      </w:r>
      <w:r w:rsidR="009B56D7">
        <w:t>e implementation of this</w:t>
      </w:r>
      <w:r w:rsidR="00127A34">
        <w:t xml:space="preserve"> recommendation </w:t>
      </w:r>
      <w:r w:rsidR="009B56D7">
        <w:t>will</w:t>
      </w:r>
      <w:r w:rsidR="00127A34">
        <w:t xml:space="preserve"> need </w:t>
      </w:r>
      <w:r w:rsidR="009B56D7">
        <w:t xml:space="preserve">an </w:t>
      </w:r>
      <w:r w:rsidR="00127A34">
        <w:t xml:space="preserve">update </w:t>
      </w:r>
      <w:r w:rsidR="00803370">
        <w:t xml:space="preserve">to </w:t>
      </w:r>
      <w:r w:rsidR="00127A34">
        <w:t>the Policy on the use of the reserves to reflect liquidity considerations.</w:t>
      </w:r>
      <w:r w:rsidR="006327BE">
        <w:t xml:space="preserve"> </w:t>
      </w:r>
      <w:r>
        <w:t xml:space="preserve"> Any proposals for projects to be funded from the reserves would then need to be analyzed for their impact on liquidity targets</w:t>
      </w:r>
      <w:r w:rsidR="009B56D7">
        <w:t xml:space="preserve"> in addition to that on the level of reserves.</w:t>
      </w:r>
    </w:p>
    <w:p w:rsidR="00AE0A31" w:rsidRDefault="00AE0A31" w:rsidP="00AE0A31">
      <w:pPr>
        <w:pStyle w:val="ListParagraph"/>
        <w:numPr>
          <w:ilvl w:val="0"/>
          <w:numId w:val="0"/>
        </w:numPr>
        <w:tabs>
          <w:tab w:val="clear" w:pos="851"/>
          <w:tab w:val="clear" w:pos="1134"/>
        </w:tabs>
        <w:spacing w:before="0" w:after="0"/>
        <w:rPr>
          <w:caps/>
        </w:rPr>
      </w:pPr>
    </w:p>
    <w:p w:rsidR="00D90E06" w:rsidRPr="00416863" w:rsidRDefault="00D90E06" w:rsidP="00D90E06">
      <w:pPr>
        <w:pStyle w:val="Heading1"/>
        <w:spacing w:before="0" w:after="0"/>
      </w:pPr>
      <w:r>
        <w:t>Target level for net assets (REserves and working capital</w:t>
      </w:r>
      <w:r w:rsidR="00011C4F">
        <w:t xml:space="preserve"> FUNDS</w:t>
      </w:r>
      <w:r>
        <w:t>)</w:t>
      </w:r>
    </w:p>
    <w:p w:rsidR="00D90E06" w:rsidRDefault="00D90E06" w:rsidP="00D90E06">
      <w:pPr>
        <w:pStyle w:val="ListParagraph"/>
        <w:numPr>
          <w:ilvl w:val="0"/>
          <w:numId w:val="0"/>
        </w:numPr>
        <w:tabs>
          <w:tab w:val="clear" w:pos="851"/>
          <w:tab w:val="clear" w:pos="1134"/>
        </w:tabs>
        <w:spacing w:before="0" w:after="0"/>
        <w:ind w:left="360"/>
        <w:rPr>
          <w:caps/>
        </w:rPr>
      </w:pPr>
    </w:p>
    <w:p w:rsidR="00AC6859" w:rsidRDefault="00D90E06" w:rsidP="005C396F">
      <w:pPr>
        <w:pStyle w:val="ONUME"/>
      </w:pPr>
      <w:r>
        <w:t xml:space="preserve">The overall target for the Net Assets of the Organization remains in accordance with the policies on reserves and working capital funds. </w:t>
      </w:r>
      <w:r w:rsidR="00521475">
        <w:t xml:space="preserve"> </w:t>
      </w:r>
      <w:r>
        <w:t>The target</w:t>
      </w:r>
      <w:r w:rsidRPr="00CA279D">
        <w:t xml:space="preserve"> level of RWC</w:t>
      </w:r>
      <w:r>
        <w:t>F was established</w:t>
      </w:r>
      <w:r w:rsidRPr="00CA279D">
        <w:t xml:space="preserve"> as a percentage of estimated biennial expenditure (PBE factor) for the contribution-financed Unions, the PCT Union, the M</w:t>
      </w:r>
      <w:r>
        <w:t xml:space="preserve">adrid Union and the Hague Union.  The appropriate PBE factor was established at the level of Unions, with the aim of reflecting the risks and liquidity concerns specific to </w:t>
      </w:r>
      <w:r w:rsidR="005C0221">
        <w:t>each respective Union</w:t>
      </w:r>
      <w:r>
        <w:t>.  The level of RWCF for each Union is accordingly calculated as</w:t>
      </w:r>
      <w:r w:rsidRPr="00C23ACA">
        <w:rPr>
          <w:i/>
        </w:rPr>
        <w:t xml:space="preserve"> </w:t>
      </w:r>
      <w:r>
        <w:t xml:space="preserve">the </w:t>
      </w:r>
      <w:r w:rsidRPr="00C23ACA">
        <w:t xml:space="preserve">estimated biennial expenditure </w:t>
      </w:r>
      <w:r>
        <w:t>multiplied by</w:t>
      </w:r>
      <w:r w:rsidRPr="00C23ACA">
        <w:t xml:space="preserve"> </w:t>
      </w:r>
      <w:r>
        <w:t xml:space="preserve">the Union’s </w:t>
      </w:r>
      <w:r w:rsidRPr="00C23ACA">
        <w:t>PBE factor</w:t>
      </w:r>
      <w:r>
        <w:t xml:space="preserve">. </w:t>
      </w:r>
      <w:r w:rsidR="00521475">
        <w:t xml:space="preserve"> </w:t>
      </w:r>
      <w:r>
        <w:t>The approved</w:t>
      </w:r>
      <w:r w:rsidRPr="00C23ACA">
        <w:t xml:space="preserve"> PBE factor for the contribution-financed Unions </w:t>
      </w:r>
      <w:r>
        <w:t>is 50</w:t>
      </w:r>
      <w:r w:rsidR="00521475">
        <w:t xml:space="preserve"> per cent</w:t>
      </w:r>
      <w:r>
        <w:t>, the PCT Union</w:t>
      </w:r>
      <w:r w:rsidRPr="00C23ACA">
        <w:t xml:space="preserve"> 1</w:t>
      </w:r>
      <w:r>
        <w:t>5</w:t>
      </w:r>
      <w:r w:rsidR="00521475">
        <w:t xml:space="preserve"> per cent</w:t>
      </w:r>
      <w:r>
        <w:t xml:space="preserve">, the Madrid Union </w:t>
      </w:r>
      <w:r w:rsidRPr="00C23ACA">
        <w:t>25</w:t>
      </w:r>
      <w:r w:rsidR="00521475">
        <w:t xml:space="preserve"> per cent</w:t>
      </w:r>
      <w:r>
        <w:t xml:space="preserve"> and </w:t>
      </w:r>
      <w:proofErr w:type="gramStart"/>
      <w:r>
        <w:t>the</w:t>
      </w:r>
      <w:proofErr w:type="gramEnd"/>
      <w:r>
        <w:t xml:space="preserve"> Hague Union 15</w:t>
      </w:r>
      <w:r w:rsidR="00521475">
        <w:t xml:space="preserve"> per cent</w:t>
      </w:r>
      <w:r>
        <w:t xml:space="preserve">.  The PBE factor can be adjusted by specific decision of the Member States.  </w:t>
      </w:r>
    </w:p>
    <w:p w:rsidR="000F536E" w:rsidRDefault="00D90E06" w:rsidP="005C396F">
      <w:pPr>
        <w:pStyle w:val="ONUME"/>
      </w:pPr>
      <w:r>
        <w:t>The resultant target level of RCWF as a whole, based on the target</w:t>
      </w:r>
      <w:r w:rsidR="009B170D">
        <w:t>s by Union, is approximately</w:t>
      </w:r>
      <w:r w:rsidR="000F536E">
        <w:t xml:space="preserve"> 18.5</w:t>
      </w:r>
      <w:r>
        <w:t xml:space="preserve"> per</w:t>
      </w:r>
      <w:r w:rsidR="00521475">
        <w:t xml:space="preserve"> </w:t>
      </w:r>
      <w:r>
        <w:t>cent</w:t>
      </w:r>
      <w:r w:rsidR="0099534B">
        <w:t>, on the basis of the 2014/15 biennial budget</w:t>
      </w:r>
      <w:r>
        <w:t xml:space="preserve">.  </w:t>
      </w:r>
      <w:r w:rsidR="009B170D">
        <w:t xml:space="preserve">This corresponds to around </w:t>
      </w:r>
      <w:r w:rsidR="000F7AB9">
        <w:t>4 months of projected biennial expenditure. In 2006, the Swiss External Auditor recommended that WIPO raise its RCWF target to 25</w:t>
      </w:r>
      <w:r w:rsidR="00521475">
        <w:t xml:space="preserve"> per cent</w:t>
      </w:r>
      <w:r w:rsidR="000F7AB9">
        <w:t xml:space="preserve"> i.e. </w:t>
      </w:r>
      <w:r w:rsidR="00521475">
        <w:t>six</w:t>
      </w:r>
      <w:r w:rsidR="000F7AB9">
        <w:t xml:space="preserve"> months of projected biennial expenditure.  Furthermore, Member States have raised questions on whether the current target level is adequate. As illustrated by Table </w:t>
      </w:r>
      <w:r w:rsidR="006108D9">
        <w:t>3</w:t>
      </w:r>
      <w:r w:rsidR="000F7AB9">
        <w:t>, the actual levels of RCWF have been consistently above ta</w:t>
      </w:r>
      <w:r w:rsidR="000F536E">
        <w:t>rget.</w:t>
      </w:r>
    </w:p>
    <w:p w:rsidR="003C37F8" w:rsidRDefault="003C37F8" w:rsidP="00521475">
      <w:pPr>
        <w:keepNext/>
        <w:keepLines/>
        <w:spacing w:before="120"/>
        <w:rPr>
          <w:u w:val="single"/>
        </w:rPr>
      </w:pPr>
      <w:r>
        <w:rPr>
          <w:u w:val="single"/>
        </w:rPr>
        <w:t>Policy Gap</w:t>
      </w:r>
      <w:r w:rsidR="00011C4F">
        <w:rPr>
          <w:u w:val="single"/>
        </w:rPr>
        <w:t xml:space="preserve"> and W</w:t>
      </w:r>
      <w:r w:rsidRPr="003C37F8">
        <w:rPr>
          <w:u w:val="single"/>
        </w:rPr>
        <w:t xml:space="preserve">ay </w:t>
      </w:r>
      <w:r w:rsidR="00011C4F">
        <w:rPr>
          <w:u w:val="single"/>
        </w:rPr>
        <w:t>F</w:t>
      </w:r>
      <w:r w:rsidRPr="003C37F8">
        <w:rPr>
          <w:u w:val="single"/>
        </w:rPr>
        <w:t>orward</w:t>
      </w:r>
    </w:p>
    <w:p w:rsidR="0099534B" w:rsidRPr="003C37F8" w:rsidRDefault="0099534B" w:rsidP="00521475">
      <w:pPr>
        <w:pStyle w:val="ListParagraph"/>
        <w:numPr>
          <w:ilvl w:val="0"/>
          <w:numId w:val="0"/>
        </w:numPr>
        <w:spacing w:before="0" w:after="0"/>
        <w:rPr>
          <w:u w:val="single"/>
        </w:rPr>
      </w:pPr>
    </w:p>
    <w:p w:rsidR="00AC6859" w:rsidRDefault="00AC6859" w:rsidP="005C396F">
      <w:pPr>
        <w:pStyle w:val="ONUME"/>
      </w:pPr>
      <w:r>
        <w:t xml:space="preserve">The Reserves and Working Capital targets which were determined in the year 2000 have not been reviewed for over fourteen years. </w:t>
      </w:r>
      <w:r w:rsidR="00521475">
        <w:t xml:space="preserve"> </w:t>
      </w:r>
      <w:r>
        <w:t xml:space="preserve">The Organization has successfully navigated through the recent economic and financial crisis with no adverse impact on its financial situation. However, with the high dependence on a single Union (the PCT) and in the context of strengthening risk and financial management of the Organization, WIPO </w:t>
      </w:r>
      <w:r w:rsidR="003C37F8">
        <w:t xml:space="preserve">would benefit from examining the possibility of increasing the </w:t>
      </w:r>
      <w:r>
        <w:t>R</w:t>
      </w:r>
      <w:r w:rsidR="003C37F8">
        <w:t>WC</w:t>
      </w:r>
      <w:r>
        <w:t xml:space="preserve">F </w:t>
      </w:r>
      <w:r w:rsidR="000D7923">
        <w:t xml:space="preserve">target </w:t>
      </w:r>
      <w:r>
        <w:t>level gradually over two to three biennia.</w:t>
      </w:r>
    </w:p>
    <w:p w:rsidR="003C37F8" w:rsidRDefault="000F536E" w:rsidP="005C396F">
      <w:pPr>
        <w:pStyle w:val="ONUME"/>
      </w:pPr>
      <w:r>
        <w:t>It should be noted that the overall level of RWCF includes the Working Capital Fund</w:t>
      </w:r>
      <w:r w:rsidR="0099534B">
        <w:t>s</w:t>
      </w:r>
      <w:r>
        <w:t xml:space="preserve"> component in accordance with the Policy established by </w:t>
      </w:r>
      <w:r w:rsidR="0099534B">
        <w:t>M</w:t>
      </w:r>
      <w:r>
        <w:t xml:space="preserve">ember States in the year 2000. </w:t>
      </w:r>
      <w:r w:rsidR="00521475">
        <w:t xml:space="preserve"> </w:t>
      </w:r>
      <w:r>
        <w:t xml:space="preserve">As elaborated earlier, the working capital funds remain funds held in trust by WIPO for Member States. </w:t>
      </w:r>
      <w:r w:rsidR="00521475">
        <w:t xml:space="preserve"> </w:t>
      </w:r>
      <w:r>
        <w:t>The level of the working capital fund has remained static since 199</w:t>
      </w:r>
      <w:r w:rsidR="0099534B">
        <w:t>0.</w:t>
      </w:r>
      <w:r w:rsidR="00521475">
        <w:t xml:space="preserve">  </w:t>
      </w:r>
      <w:r>
        <w:t>The current amount of 8.3 million Swiss francs does not offer material protection against potential liquidity shortfalls as intended when the WCF was set up.</w:t>
      </w:r>
      <w:r w:rsidR="0099534B">
        <w:t xml:space="preserve"> </w:t>
      </w:r>
      <w:r w:rsidR="00521475">
        <w:t xml:space="preserve"> </w:t>
      </w:r>
      <w:r w:rsidR="003C37F8">
        <w:t xml:space="preserve">In reviewing the target levels of RWCF, since adjustments would be proposed to the combined level of RWCF, consideration would be given to the need </w:t>
      </w:r>
      <w:r w:rsidR="000D7923">
        <w:t xml:space="preserve">for </w:t>
      </w:r>
      <w:r w:rsidR="003C37F8">
        <w:t>and relevance of maintaining a separate working capital fund component.  Such consideration would include a review of treaty obligations in respect of working capital funds.</w:t>
      </w:r>
    </w:p>
    <w:p w:rsidR="007E62D2" w:rsidRDefault="007E62D2" w:rsidP="00521475">
      <w:pPr>
        <w:pStyle w:val="Heading1"/>
        <w:keepLines/>
        <w:spacing w:before="0" w:after="0"/>
      </w:pPr>
    </w:p>
    <w:p w:rsidR="0033761B" w:rsidRDefault="006B2B77" w:rsidP="00521475">
      <w:pPr>
        <w:pStyle w:val="Heading1"/>
        <w:keepLines/>
        <w:spacing w:before="0" w:after="0"/>
      </w:pPr>
      <w:r>
        <w:t>management and reporting</w:t>
      </w:r>
      <w:r w:rsidR="0033761B">
        <w:t xml:space="preserve"> of reserves and working capital funds </w:t>
      </w:r>
    </w:p>
    <w:p w:rsidR="00055709" w:rsidRDefault="00055709" w:rsidP="00521475">
      <w:pPr>
        <w:keepNext/>
        <w:keepLines/>
      </w:pPr>
    </w:p>
    <w:p w:rsidR="00055709" w:rsidRDefault="004D4A84" w:rsidP="005C396F">
      <w:pPr>
        <w:pStyle w:val="ONUME"/>
      </w:pPr>
      <w:r>
        <w:t>Financial reporting at WIPO is governed by IPSAS and the F</w:t>
      </w:r>
      <w:r w:rsidR="00521475">
        <w:t>RR</w:t>
      </w:r>
      <w:r>
        <w:t xml:space="preserve">. </w:t>
      </w:r>
      <w:r w:rsidR="00521475">
        <w:t xml:space="preserve"> </w:t>
      </w:r>
      <w:r w:rsidR="000F2AA7">
        <w:t>Reporting on R</w:t>
      </w:r>
      <w:r w:rsidR="00521475">
        <w:t>WCF</w:t>
      </w:r>
      <w:r w:rsidR="000F2AA7">
        <w:t xml:space="preserve"> is currently an integral part of the Financial Statements and the Financial Management Report</w:t>
      </w:r>
      <w:r w:rsidR="00521475">
        <w:t> (FMR)</w:t>
      </w:r>
      <w:r w:rsidR="000F2AA7">
        <w:t xml:space="preserve">. </w:t>
      </w:r>
      <w:r w:rsidR="00521475">
        <w:t xml:space="preserve"> </w:t>
      </w:r>
      <w:r w:rsidR="006108D9">
        <w:t>Detailed disclosures are p</w:t>
      </w:r>
      <w:r w:rsidR="00521475">
        <w:t>rovided in Note 21 of the 2013 Financial S</w:t>
      </w:r>
      <w:r w:rsidR="006108D9">
        <w:t>tatements, and a breakdown by Union in Table 1 of the 2012/13 F</w:t>
      </w:r>
      <w:r w:rsidR="00521475">
        <w:t>MR</w:t>
      </w:r>
      <w:r w:rsidR="006108D9">
        <w:t xml:space="preserve">. </w:t>
      </w:r>
      <w:r w:rsidR="00521475">
        <w:t xml:space="preserve"> </w:t>
      </w:r>
      <w:r w:rsidR="000F2AA7">
        <w:t>In addition</w:t>
      </w:r>
      <w:r w:rsidR="00521475">
        <w:t>,</w:t>
      </w:r>
      <w:r w:rsidR="000F2AA7">
        <w:t xml:space="preserve"> until 2</w:t>
      </w:r>
      <w:r w:rsidR="00521475">
        <w:t>013, a separate report on reserves u</w:t>
      </w:r>
      <w:r w:rsidR="000F2AA7">
        <w:t xml:space="preserve">tilization </w:t>
      </w:r>
      <w:r w:rsidR="00521475">
        <w:t>had been</w:t>
      </w:r>
      <w:r w:rsidR="000F2AA7">
        <w:t xml:space="preserve"> submitted to Member States.</w:t>
      </w:r>
      <w:r w:rsidR="00521475">
        <w:t xml:space="preserve"> </w:t>
      </w:r>
      <w:r w:rsidR="000F2AA7">
        <w:t xml:space="preserve"> In the current session of the PBC, the report on reserves utilization is included within the FMR (page</w:t>
      </w:r>
      <w:r w:rsidR="006108D9">
        <w:t xml:space="preserve"> </w:t>
      </w:r>
      <w:r w:rsidR="0099534B">
        <w:t>8</w:t>
      </w:r>
      <w:r w:rsidR="006108D9">
        <w:t>, table 1.3</w:t>
      </w:r>
      <w:r w:rsidR="000F2AA7">
        <w:t>).</w:t>
      </w:r>
    </w:p>
    <w:p w:rsidR="000F2AA7" w:rsidRDefault="00D10B64" w:rsidP="005C396F">
      <w:pPr>
        <w:pStyle w:val="ONUME"/>
      </w:pPr>
      <w:r>
        <w:t xml:space="preserve">The Secretariat has also </w:t>
      </w:r>
      <w:r w:rsidR="00521475">
        <w:t xml:space="preserve">prepared, </w:t>
      </w:r>
      <w:r>
        <w:t>for this session of the PBC</w:t>
      </w:r>
      <w:r w:rsidR="00521475">
        <w:t>,</w:t>
      </w:r>
      <w:r>
        <w:t xml:space="preserve"> a proposal to enhance and improve financial and performance reporting. </w:t>
      </w:r>
      <w:r w:rsidR="00521475">
        <w:t xml:space="preserve"> </w:t>
      </w:r>
      <w:r>
        <w:t>The follow up actions to this proposal</w:t>
      </w:r>
      <w:r w:rsidR="00521475">
        <w:t>,</w:t>
      </w:r>
      <w:r>
        <w:t xml:space="preserve"> as mandated by Member States</w:t>
      </w:r>
      <w:r w:rsidR="00521475">
        <w:t>,</w:t>
      </w:r>
      <w:r>
        <w:t xml:space="preserve"> would include a review and improvement to the reporting on </w:t>
      </w:r>
      <w:r w:rsidR="00521475">
        <w:t xml:space="preserve">the </w:t>
      </w:r>
      <w:r>
        <w:t>reserves.</w:t>
      </w:r>
    </w:p>
    <w:p w:rsidR="00D10B64" w:rsidRDefault="00832C4E" w:rsidP="005C396F">
      <w:pPr>
        <w:pStyle w:val="ONUME"/>
      </w:pPr>
      <w:r w:rsidRPr="00011C4F">
        <w:t>The External Audit</w:t>
      </w:r>
      <w:r w:rsidR="00011C4F">
        <w:t>or’s</w:t>
      </w:r>
      <w:r w:rsidRPr="00011C4F">
        <w:t xml:space="preserve"> report</w:t>
      </w:r>
      <w:r>
        <w:t xml:space="preserve"> </w:t>
      </w:r>
      <w:r w:rsidR="00011C4F">
        <w:t xml:space="preserve">in respect of the 2013 Financial Statements </w:t>
      </w:r>
      <w:r>
        <w:t>has recommended that WIPO may consider the creation of a separate reserve for financing projects in order to maintain a clear distinction between the target level of accumulated surplus set aside and the reserves allocated to finance special projects and reflect the same separately in the financial statements to provide a better understanding of the transactions related to the utilization of accumulated surplus/reserves.</w:t>
      </w:r>
      <w:r w:rsidR="00CD4FCC">
        <w:t xml:space="preserve"> </w:t>
      </w:r>
      <w:r w:rsidR="00521475">
        <w:t xml:space="preserve"> </w:t>
      </w:r>
    </w:p>
    <w:p w:rsidR="00D33647" w:rsidRDefault="000D7923" w:rsidP="00055709">
      <w:pPr>
        <w:rPr>
          <w:u w:val="single"/>
        </w:rPr>
      </w:pPr>
      <w:r>
        <w:rPr>
          <w:u w:val="single"/>
        </w:rPr>
        <w:t>Policy Implications and Way F</w:t>
      </w:r>
      <w:r w:rsidR="00D33647" w:rsidRPr="00D33647">
        <w:rPr>
          <w:u w:val="single"/>
        </w:rPr>
        <w:t>orward</w:t>
      </w:r>
    </w:p>
    <w:p w:rsidR="00D33647" w:rsidRDefault="00D33647" w:rsidP="00055709">
      <w:pPr>
        <w:rPr>
          <w:u w:val="single"/>
        </w:rPr>
      </w:pPr>
    </w:p>
    <w:p w:rsidR="00CE4B43" w:rsidRDefault="00D33647" w:rsidP="005C396F">
      <w:pPr>
        <w:pStyle w:val="ONUME"/>
      </w:pPr>
      <w:r>
        <w:t xml:space="preserve">As </w:t>
      </w:r>
      <w:r w:rsidR="000F536E">
        <w:t xml:space="preserve">stated </w:t>
      </w:r>
      <w:r w:rsidR="00011C4F">
        <w:t>in paragraph 8</w:t>
      </w:r>
      <w:r>
        <w:t>, WIPO</w:t>
      </w:r>
      <w:r w:rsidR="000F536E">
        <w:t>’s</w:t>
      </w:r>
      <w:r>
        <w:t xml:space="preserve"> </w:t>
      </w:r>
      <w:r w:rsidR="000F536E">
        <w:t>M</w:t>
      </w:r>
      <w:r>
        <w:t>ember States decided to discontinue the maintenance of a Separate Reserve for Additional premises and Computerization.</w:t>
      </w:r>
      <w:r w:rsidR="00521475">
        <w:t xml:space="preserve"> </w:t>
      </w:r>
      <w:r>
        <w:t xml:space="preserve"> WIPO’s current policy does not provide for the creation and maintenance of a separate reserve fund for financing projects. </w:t>
      </w:r>
      <w:r w:rsidR="00521475">
        <w:t xml:space="preserve"> </w:t>
      </w:r>
      <w:r>
        <w:t>The External Auditor’s</w:t>
      </w:r>
      <w:r w:rsidR="00051FCB">
        <w:t xml:space="preserve"> recommendation from the Audit of the 2013 Financial Statements</w:t>
      </w:r>
      <w:r>
        <w:t xml:space="preserve"> </w:t>
      </w:r>
      <w:r w:rsidR="00051FCB">
        <w:t xml:space="preserve">and its implications for liquidity and financial management would need to be </w:t>
      </w:r>
      <w:r w:rsidR="00521475">
        <w:t xml:space="preserve">fully </w:t>
      </w:r>
      <w:r w:rsidR="00051FCB">
        <w:t xml:space="preserve">analyzed and </w:t>
      </w:r>
      <w:r>
        <w:t xml:space="preserve">suitable </w:t>
      </w:r>
      <w:r w:rsidR="00011C4F">
        <w:t xml:space="preserve">guidelines </w:t>
      </w:r>
      <w:r w:rsidR="00051FCB">
        <w:t xml:space="preserve">reflected in the Organization’s </w:t>
      </w:r>
      <w:r w:rsidR="00011C4F">
        <w:t xml:space="preserve">relevant </w:t>
      </w:r>
      <w:r w:rsidR="00051FCB">
        <w:t>polic</w:t>
      </w:r>
      <w:r w:rsidR="00011C4F">
        <w:t>ies</w:t>
      </w:r>
      <w:r w:rsidR="000F536E">
        <w:t>, subject to Member States’ approval.</w:t>
      </w:r>
    </w:p>
    <w:p w:rsidR="00CE4B43" w:rsidRDefault="00CE4B43"/>
    <w:p w:rsidR="00985CD1" w:rsidRDefault="00985CD1" w:rsidP="005C396F">
      <w:pPr>
        <w:pStyle w:val="ONUME"/>
      </w:pPr>
      <w:r>
        <w:t>The following decision paragraph is proposed.</w:t>
      </w:r>
    </w:p>
    <w:p w:rsidR="00A834CC" w:rsidRPr="005C396F" w:rsidRDefault="005C396F" w:rsidP="005C396F">
      <w:pPr>
        <w:pStyle w:val="ListParagraph"/>
        <w:numPr>
          <w:ilvl w:val="0"/>
          <w:numId w:val="0"/>
        </w:numPr>
        <w:tabs>
          <w:tab w:val="left" w:pos="6096"/>
        </w:tabs>
        <w:spacing w:after="220" w:line="276" w:lineRule="auto"/>
        <w:ind w:left="5533"/>
        <w:rPr>
          <w:i/>
        </w:rPr>
      </w:pPr>
      <w:r>
        <w:rPr>
          <w:i/>
        </w:rPr>
        <w:t>34.</w:t>
      </w:r>
      <w:r>
        <w:rPr>
          <w:i/>
        </w:rPr>
        <w:tab/>
      </w:r>
      <w:r w:rsidR="00123C24" w:rsidRPr="005C396F">
        <w:rPr>
          <w:i/>
        </w:rPr>
        <w:t>The Program and Budget Committee</w:t>
      </w:r>
      <w:r>
        <w:rPr>
          <w:i/>
        </w:rPr>
        <w:t xml:space="preserve"> (PBC)</w:t>
      </w:r>
      <w:r w:rsidR="00051FCB" w:rsidRPr="005C396F">
        <w:rPr>
          <w:i/>
        </w:rPr>
        <w:t>, having reviewed the Financial Position (Net assets) of the Organization</w:t>
      </w:r>
      <w:r w:rsidR="00011C4F">
        <w:rPr>
          <w:i/>
        </w:rPr>
        <w:t xml:space="preserve"> and its evolution</w:t>
      </w:r>
      <w:r>
        <w:rPr>
          <w:i/>
        </w:rPr>
        <w:t xml:space="preserve">: </w:t>
      </w:r>
      <w:r w:rsidR="00051FCB" w:rsidRPr="005C396F">
        <w:rPr>
          <w:i/>
        </w:rPr>
        <w:t xml:space="preserve"> </w:t>
      </w:r>
    </w:p>
    <w:p w:rsidR="009D5612" w:rsidRDefault="009D5612" w:rsidP="005733D2">
      <w:pPr>
        <w:pStyle w:val="Style2"/>
        <w:tabs>
          <w:tab w:val="left" w:pos="6521"/>
        </w:tabs>
        <w:spacing w:after="220"/>
        <w:ind w:left="5954" w:firstLine="0"/>
        <w:rPr>
          <w:i/>
        </w:rPr>
      </w:pPr>
      <w:r>
        <w:rPr>
          <w:i/>
        </w:rPr>
        <w:t>r</w:t>
      </w:r>
      <w:r w:rsidR="00051FCB">
        <w:rPr>
          <w:i/>
        </w:rPr>
        <w:t xml:space="preserve">ecognized the need to undertake a </w:t>
      </w:r>
      <w:r w:rsidR="000D7923">
        <w:rPr>
          <w:i/>
        </w:rPr>
        <w:t>review of the p</w:t>
      </w:r>
      <w:r w:rsidR="00051FCB">
        <w:rPr>
          <w:i/>
        </w:rPr>
        <w:t>olic</w:t>
      </w:r>
      <w:r w:rsidR="000D7923">
        <w:rPr>
          <w:i/>
        </w:rPr>
        <w:t>ies</w:t>
      </w:r>
      <w:r w:rsidR="00051FCB">
        <w:rPr>
          <w:i/>
        </w:rPr>
        <w:t xml:space="preserve"> on </w:t>
      </w:r>
      <w:r w:rsidR="005C396F">
        <w:rPr>
          <w:i/>
        </w:rPr>
        <w:t>R</w:t>
      </w:r>
      <w:r w:rsidR="00051FCB">
        <w:rPr>
          <w:i/>
        </w:rPr>
        <w:t xml:space="preserve">eserves and </w:t>
      </w:r>
      <w:r w:rsidR="005C396F">
        <w:rPr>
          <w:i/>
        </w:rPr>
        <w:t>Working Capital F</w:t>
      </w:r>
      <w:r w:rsidR="00051FCB">
        <w:rPr>
          <w:i/>
        </w:rPr>
        <w:t>unds</w:t>
      </w:r>
      <w:r>
        <w:rPr>
          <w:i/>
        </w:rPr>
        <w:t xml:space="preserve">; </w:t>
      </w:r>
      <w:r w:rsidRPr="00405DB2">
        <w:rPr>
          <w:i/>
        </w:rPr>
        <w:t xml:space="preserve"> and</w:t>
      </w:r>
    </w:p>
    <w:p w:rsidR="00972EFC" w:rsidRPr="00D24A45" w:rsidRDefault="005C396F" w:rsidP="00972EFC">
      <w:pPr>
        <w:pStyle w:val="Style2"/>
        <w:numPr>
          <w:ilvl w:val="0"/>
          <w:numId w:val="0"/>
        </w:numPr>
        <w:tabs>
          <w:tab w:val="left" w:pos="6521"/>
        </w:tabs>
        <w:spacing w:after="220"/>
        <w:ind w:left="5954"/>
        <w:rPr>
          <w:i/>
        </w:rPr>
      </w:pPr>
      <w:r>
        <w:rPr>
          <w:i/>
        </w:rPr>
        <w:t>(ii)</w:t>
      </w:r>
      <w:r>
        <w:rPr>
          <w:i/>
        </w:rPr>
        <w:tab/>
      </w:r>
      <w:r w:rsidR="00051FCB" w:rsidRPr="00D24A45">
        <w:rPr>
          <w:i/>
        </w:rPr>
        <w:t>requested the Secretariat to submit to t</w:t>
      </w:r>
      <w:r w:rsidR="000F536E" w:rsidRPr="00D24A45">
        <w:rPr>
          <w:i/>
        </w:rPr>
        <w:t>he</w:t>
      </w:r>
      <w:r w:rsidR="00051FCB" w:rsidRPr="00D24A45">
        <w:rPr>
          <w:i/>
        </w:rPr>
        <w:t xml:space="preserve"> P</w:t>
      </w:r>
      <w:r>
        <w:rPr>
          <w:i/>
        </w:rPr>
        <w:t>BC</w:t>
      </w:r>
      <w:r w:rsidR="00051FCB" w:rsidRPr="00D24A45">
        <w:rPr>
          <w:i/>
        </w:rPr>
        <w:t xml:space="preserve"> a comprehensive </w:t>
      </w:r>
      <w:r w:rsidR="00D24A45" w:rsidRPr="00D24A45">
        <w:rPr>
          <w:i/>
        </w:rPr>
        <w:t xml:space="preserve">policy </w:t>
      </w:r>
      <w:r w:rsidR="00051FCB" w:rsidRPr="00D24A45">
        <w:rPr>
          <w:i/>
        </w:rPr>
        <w:t xml:space="preserve">proposal </w:t>
      </w:r>
      <w:r w:rsidR="00972EFC" w:rsidRPr="00D24A45">
        <w:rPr>
          <w:i/>
        </w:rPr>
        <w:t>that</w:t>
      </w:r>
      <w:r w:rsidR="00D24A45" w:rsidRPr="00D24A45">
        <w:rPr>
          <w:i/>
        </w:rPr>
        <w:t xml:space="preserve"> </w:t>
      </w:r>
      <w:r w:rsidR="00972EFC" w:rsidRPr="00D24A45">
        <w:rPr>
          <w:i/>
        </w:rPr>
        <w:t>includes</w:t>
      </w:r>
      <w:r w:rsidR="00D24A45" w:rsidRPr="00D24A45">
        <w:rPr>
          <w:i/>
        </w:rPr>
        <w:t xml:space="preserve"> target setting for the Net Assets, liquidity considerations</w:t>
      </w:r>
      <w:r w:rsidR="00011C4F">
        <w:rPr>
          <w:i/>
        </w:rPr>
        <w:t xml:space="preserve"> and the</w:t>
      </w:r>
      <w:r w:rsidR="00D24A45" w:rsidRPr="00D24A45">
        <w:rPr>
          <w:i/>
        </w:rPr>
        <w:t xml:space="preserve"> </w:t>
      </w:r>
      <w:r w:rsidR="00051FCB" w:rsidRPr="00D24A45">
        <w:rPr>
          <w:i/>
        </w:rPr>
        <w:t>management</w:t>
      </w:r>
      <w:r w:rsidR="000F536E" w:rsidRPr="00D24A45">
        <w:rPr>
          <w:i/>
        </w:rPr>
        <w:t>,</w:t>
      </w:r>
      <w:r w:rsidR="00D24A45" w:rsidRPr="00D24A45">
        <w:rPr>
          <w:i/>
        </w:rPr>
        <w:t xml:space="preserve"> </w:t>
      </w:r>
      <w:r w:rsidR="00051FCB" w:rsidRPr="00D24A45">
        <w:rPr>
          <w:i/>
        </w:rPr>
        <w:t>use an</w:t>
      </w:r>
      <w:r w:rsidR="00972EFC" w:rsidRPr="00D24A45">
        <w:rPr>
          <w:i/>
        </w:rPr>
        <w:t xml:space="preserve">d reporting of the </w:t>
      </w:r>
      <w:r w:rsidR="00D24A45" w:rsidRPr="00D24A45">
        <w:rPr>
          <w:i/>
        </w:rPr>
        <w:t>available surpluses above the target level, taking into</w:t>
      </w:r>
      <w:r w:rsidR="00972EFC" w:rsidRPr="00D24A45">
        <w:rPr>
          <w:i/>
        </w:rPr>
        <w:t xml:space="preserve"> consideration </w:t>
      </w:r>
      <w:r w:rsidR="00F073FB">
        <w:rPr>
          <w:i/>
        </w:rPr>
        <w:t xml:space="preserve">the Member States’ comments and guidance and </w:t>
      </w:r>
      <w:r w:rsidR="00972EFC" w:rsidRPr="00D24A45">
        <w:rPr>
          <w:i/>
        </w:rPr>
        <w:t>the recommendations of Audit and Oversight bodies in this respect</w:t>
      </w:r>
      <w:r w:rsidR="00D7126E" w:rsidRPr="00D24A45">
        <w:rPr>
          <w:i/>
        </w:rPr>
        <w:t>.</w:t>
      </w:r>
    </w:p>
    <w:p w:rsidR="00483352" w:rsidRDefault="00483352" w:rsidP="008B1BDA">
      <w:pPr>
        <w:spacing w:line="276" w:lineRule="auto"/>
        <w:ind w:left="5533"/>
      </w:pPr>
    </w:p>
    <w:p w:rsidR="00483352" w:rsidRDefault="00483352" w:rsidP="008B1BDA">
      <w:pPr>
        <w:spacing w:line="276" w:lineRule="auto"/>
        <w:ind w:left="5533"/>
      </w:pPr>
    </w:p>
    <w:p w:rsidR="00692655" w:rsidRDefault="00692655" w:rsidP="00483352">
      <w:pPr>
        <w:pStyle w:val="Endofdocument-Annex"/>
      </w:pPr>
      <w:r>
        <w:sym w:font="Symbol" w:char="F05B"/>
      </w:r>
      <w:r>
        <w:t>Annex</w:t>
      </w:r>
      <w:r w:rsidR="00011C4F">
        <w:t xml:space="preserve"> follows</w:t>
      </w:r>
      <w:r>
        <w:sym w:font="Symbol" w:char="F05D"/>
      </w:r>
    </w:p>
    <w:p w:rsidR="00483352" w:rsidRDefault="00483352" w:rsidP="008B1BDA">
      <w:pPr>
        <w:spacing w:line="276" w:lineRule="auto"/>
        <w:ind w:left="5533"/>
        <w:sectPr w:rsidR="00483352" w:rsidSect="00BD5996">
          <w:headerReference w:type="default" r:id="rId15"/>
          <w:footnotePr>
            <w:numRestart w:val="eachSect"/>
          </w:footnotePr>
          <w:endnotePr>
            <w:numFmt w:val="decimal"/>
          </w:endnotePr>
          <w:pgSz w:w="11907" w:h="16840" w:code="9"/>
          <w:pgMar w:top="510" w:right="1134" w:bottom="1247" w:left="1418" w:header="510" w:footer="1021" w:gutter="0"/>
          <w:pgNumType w:start="1"/>
          <w:cols w:space="720"/>
          <w:titlePg/>
          <w:docGrid w:linePitch="299"/>
        </w:sectPr>
      </w:pPr>
    </w:p>
    <w:p w:rsidR="00483352" w:rsidRPr="00C25574" w:rsidRDefault="00483352" w:rsidP="00C25574">
      <w:pPr>
        <w:jc w:val="center"/>
        <w:rPr>
          <w:b/>
        </w:rPr>
      </w:pPr>
      <w:r w:rsidRPr="00C25574">
        <w:rPr>
          <w:b/>
        </w:rPr>
        <w:t>EVOLUTION OF WIPO FINANCIAL SITUATION 1998-2013</w:t>
      </w:r>
    </w:p>
    <w:p w:rsidR="00483352" w:rsidRDefault="00483352"/>
    <w:p w:rsidR="00483352" w:rsidRDefault="00483352" w:rsidP="00C25574">
      <w:pPr>
        <w:jc w:val="center"/>
      </w:pPr>
      <w:r w:rsidRPr="00C25574">
        <w:rPr>
          <w:noProof/>
          <w:lang w:eastAsia="en-US"/>
        </w:rPr>
        <w:drawing>
          <wp:inline distT="0" distB="0" distL="0" distR="0" wp14:anchorId="2A461421" wp14:editId="5D7EFCCB">
            <wp:extent cx="8743486" cy="46196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52974" cy="4624638"/>
                    </a:xfrm>
                    <a:prstGeom prst="rect">
                      <a:avLst/>
                    </a:prstGeom>
                    <a:noFill/>
                    <a:ln>
                      <a:noFill/>
                    </a:ln>
                  </pic:spPr>
                </pic:pic>
              </a:graphicData>
            </a:graphic>
          </wp:inline>
        </w:drawing>
      </w:r>
    </w:p>
    <w:p w:rsidR="00483352" w:rsidRDefault="00483352" w:rsidP="00483352">
      <w:pPr>
        <w:spacing w:line="276" w:lineRule="auto"/>
      </w:pPr>
    </w:p>
    <w:p w:rsidR="00483352" w:rsidRDefault="00483352" w:rsidP="00483352">
      <w:pPr>
        <w:spacing w:line="276" w:lineRule="auto"/>
      </w:pPr>
    </w:p>
    <w:p w:rsidR="00483352" w:rsidRDefault="00483352" w:rsidP="00483352">
      <w:pPr>
        <w:spacing w:line="276" w:lineRule="auto"/>
        <w:ind w:left="9639"/>
      </w:pPr>
      <w:r>
        <w:t>[End of Annex and of document]</w:t>
      </w:r>
    </w:p>
    <w:sectPr w:rsidR="00483352" w:rsidSect="00550EF2">
      <w:headerReference w:type="first" r:id="rId17"/>
      <w:footnotePr>
        <w:numRestart w:val="eachSect"/>
      </w:footnotePr>
      <w:endnotePr>
        <w:numFmt w:val="decimal"/>
      </w:endnotePr>
      <w:pgSz w:w="16840" w:h="11907" w:orient="landscape" w:code="9"/>
      <w:pgMar w:top="1134" w:right="1134" w:bottom="1134"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7A8" w:rsidRDefault="009917A8">
      <w:r>
        <w:separator/>
      </w:r>
    </w:p>
  </w:endnote>
  <w:endnote w:type="continuationSeparator" w:id="0">
    <w:p w:rsidR="009917A8" w:rsidRDefault="009917A8" w:rsidP="003B38C1">
      <w:r>
        <w:separator/>
      </w:r>
    </w:p>
    <w:p w:rsidR="009917A8" w:rsidRPr="003B38C1" w:rsidRDefault="009917A8" w:rsidP="003B38C1">
      <w:pPr>
        <w:spacing w:after="60"/>
        <w:rPr>
          <w:sz w:val="17"/>
        </w:rPr>
      </w:pPr>
      <w:r>
        <w:rPr>
          <w:sz w:val="17"/>
        </w:rPr>
        <w:t>[Endnote continued from previous page]</w:t>
      </w:r>
    </w:p>
  </w:endnote>
  <w:endnote w:type="continuationNotice" w:id="1">
    <w:p w:rsidR="009917A8" w:rsidRPr="003B38C1" w:rsidRDefault="009917A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7A8" w:rsidRDefault="009917A8">
      <w:r>
        <w:separator/>
      </w:r>
    </w:p>
  </w:footnote>
  <w:footnote w:type="continuationSeparator" w:id="0">
    <w:p w:rsidR="009917A8" w:rsidRDefault="009917A8" w:rsidP="008B60B2">
      <w:r>
        <w:separator/>
      </w:r>
    </w:p>
    <w:p w:rsidR="009917A8" w:rsidRPr="00ED77FB" w:rsidRDefault="009917A8" w:rsidP="008B60B2">
      <w:pPr>
        <w:spacing w:after="60"/>
        <w:rPr>
          <w:sz w:val="17"/>
          <w:szCs w:val="17"/>
        </w:rPr>
      </w:pPr>
      <w:r w:rsidRPr="00ED77FB">
        <w:rPr>
          <w:sz w:val="17"/>
          <w:szCs w:val="17"/>
        </w:rPr>
        <w:t>[Footnote continued from previous page]</w:t>
      </w:r>
    </w:p>
  </w:footnote>
  <w:footnote w:type="continuationNotice" w:id="1">
    <w:p w:rsidR="009917A8" w:rsidRPr="00ED77FB" w:rsidRDefault="009917A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470" w:rsidRDefault="00187470" w:rsidP="00187470">
    <w:pPr>
      <w:pStyle w:val="Header"/>
      <w:jc w:val="right"/>
    </w:pPr>
    <w:r>
      <w:t>WO/PBC/22/28</w:t>
    </w:r>
  </w:p>
  <w:p w:rsidR="00187470" w:rsidRDefault="00187470" w:rsidP="00187470">
    <w:pPr>
      <w:pStyle w:val="Header"/>
      <w:jc w:val="right"/>
    </w:pPr>
    <w:proofErr w:type="gramStart"/>
    <w:r>
      <w:t>page</w:t>
    </w:r>
    <w:proofErr w:type="gramEnd"/>
    <w:r>
      <w:t xml:space="preserve"> </w:t>
    </w:r>
    <w:sdt>
      <w:sdtPr>
        <w:id w:val="154903483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564AD">
          <w:rPr>
            <w:noProof/>
          </w:rPr>
          <w:t>6</w:t>
        </w:r>
        <w:r>
          <w:rPr>
            <w:noProof/>
          </w:rPr>
          <w:fldChar w:fldCharType="end"/>
        </w:r>
      </w:sdtContent>
    </w:sdt>
  </w:p>
  <w:p w:rsidR="00990DD8" w:rsidRPr="00405DB2" w:rsidRDefault="00990DD8" w:rsidP="00477D6B">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352" w:rsidRDefault="00483352" w:rsidP="00483352">
    <w:pPr>
      <w:pStyle w:val="Header"/>
      <w:jc w:val="right"/>
    </w:pPr>
    <w:r>
      <w:t>WO/PBC/222/28</w:t>
    </w:r>
  </w:p>
  <w:p w:rsidR="00483352" w:rsidRDefault="00483352" w:rsidP="00483352">
    <w:pPr>
      <w:pStyle w:val="Header"/>
      <w:jc w:val="right"/>
    </w:pPr>
    <w:r>
      <w:t>ANNEX</w:t>
    </w:r>
  </w:p>
  <w:p w:rsidR="00483352" w:rsidRDefault="004833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3264DAD"/>
    <w:multiLevelType w:val="multilevel"/>
    <w:tmpl w:val="FDE0432C"/>
    <w:styleLink w:val="Styleletter"/>
    <w:lvl w:ilvl="0">
      <w:start w:val="1"/>
      <w:numFmt w:val="upperLetter"/>
      <w:lvlText w:val="%1)"/>
      <w:lvlJc w:val="left"/>
      <w:pPr>
        <w:ind w:left="360" w:hanging="360"/>
      </w:pPr>
      <w:rPr>
        <w:rFonts w:hint="default"/>
      </w:rPr>
    </w:lvl>
    <w:lvl w:ilvl="1">
      <w:start w:val="1"/>
      <w:numFmt w:val="none"/>
      <w:lvlText w:val="A."/>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21834749"/>
    <w:multiLevelType w:val="hybridMultilevel"/>
    <w:tmpl w:val="EDD49822"/>
    <w:lvl w:ilvl="0" w:tplc="B2087C9A">
      <w:start w:val="1"/>
      <w:numFmt w:val="lowerLetter"/>
      <w:pStyle w:val="ListParagraph"/>
      <w:lvlText w:val="(%1)"/>
      <w:lvlJc w:val="left"/>
      <w:pPr>
        <w:ind w:left="1800"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4">
    <w:nsid w:val="2950297A"/>
    <w:multiLevelType w:val="hybridMultilevel"/>
    <w:tmpl w:val="5B22A85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6">
    <w:nsid w:val="3D2C7B85"/>
    <w:multiLevelType w:val="hybridMultilevel"/>
    <w:tmpl w:val="A4CEE1E2"/>
    <w:lvl w:ilvl="0" w:tplc="3D7AFB14">
      <w:start w:val="1"/>
      <w:numFmt w:val="lowerRoman"/>
      <w:lvlText w:val="(%1)"/>
      <w:lvlJc w:val="right"/>
      <w:pPr>
        <w:ind w:left="720" w:hanging="72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D37993"/>
    <w:multiLevelType w:val="hybridMultilevel"/>
    <w:tmpl w:val="E044110E"/>
    <w:lvl w:ilvl="0" w:tplc="55EA75E4">
      <w:start w:val="1"/>
      <w:numFmt w:val="decimal"/>
      <w:pStyle w:val="TOC1"/>
      <w:lvlText w:val="%1."/>
      <w:legacy w:legacy="1" w:legacySpace="120" w:legacyIndent="720"/>
      <w:lvlJc w:val="left"/>
      <w:pPr>
        <w:ind w:left="2160" w:hanging="720"/>
      </w:pPr>
    </w:lvl>
    <w:lvl w:ilvl="1" w:tplc="A860E4DA">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3AA29EF"/>
    <w:multiLevelType w:val="multilevel"/>
    <w:tmpl w:val="0F34C252"/>
    <w:lvl w:ilvl="0">
      <w:start w:val="1"/>
      <w:numFmt w:val="upperLetter"/>
      <w:lvlText w:val="%1."/>
      <w:lvlJc w:val="left"/>
      <w:pPr>
        <w:ind w:left="360" w:hanging="360"/>
      </w:pPr>
      <w:rPr>
        <w:rFonts w:hint="default"/>
      </w:rPr>
    </w:lvl>
    <w:lvl w:ilvl="1">
      <w:start w:val="1"/>
      <w:numFmt w:val="upperLetter"/>
      <w:pStyle w:val="NumerotationLETTRES"/>
      <w:lvlText w:val="%2."/>
      <w:lvlJc w:val="left"/>
      <w:pPr>
        <w:ind w:left="0" w:firstLine="0"/>
      </w:pPr>
      <w:rPr>
        <w:rFonts w:hint="default"/>
      </w:rPr>
    </w:lvl>
    <w:lvl w:ilvl="2">
      <w:start w:val="1"/>
      <w:numFmt w:val="none"/>
      <w:lvlText w:val="1."/>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74E559A"/>
    <w:multiLevelType w:val="hybridMultilevel"/>
    <w:tmpl w:val="3E466784"/>
    <w:lvl w:ilvl="0" w:tplc="A8DCB1C4">
      <w:start w:val="1"/>
      <w:numFmt w:val="lowerRoman"/>
      <w:pStyle w:val="ListparagraphII"/>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7"/>
  </w:num>
  <w:num w:numId="2">
    <w:abstractNumId w:val="0"/>
  </w:num>
  <w:num w:numId="3">
    <w:abstractNumId w:val="2"/>
  </w:num>
  <w:num w:numId="4">
    <w:abstractNumId w:val="3"/>
  </w:num>
  <w:num w:numId="5">
    <w:abstractNumId w:val="10"/>
  </w:num>
  <w:num w:numId="6">
    <w:abstractNumId w:val="9"/>
  </w:num>
  <w:num w:numId="7">
    <w:abstractNumId w:val="1"/>
  </w:num>
  <w:num w:numId="8">
    <w:abstractNumId w:val="8"/>
  </w:num>
  <w:num w:numId="9">
    <w:abstractNumId w:val="5"/>
  </w:num>
  <w:num w:numId="10">
    <w:abstractNumId w:val="4"/>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6E1"/>
    <w:rsid w:val="000004D7"/>
    <w:rsid w:val="00007ACE"/>
    <w:rsid w:val="00011C4F"/>
    <w:rsid w:val="00015BAB"/>
    <w:rsid w:val="00020B9C"/>
    <w:rsid w:val="000404CE"/>
    <w:rsid w:val="00043401"/>
    <w:rsid w:val="00043CAA"/>
    <w:rsid w:val="00051ACB"/>
    <w:rsid w:val="00051FCB"/>
    <w:rsid w:val="00055709"/>
    <w:rsid w:val="000561D2"/>
    <w:rsid w:val="00061516"/>
    <w:rsid w:val="00061682"/>
    <w:rsid w:val="00075432"/>
    <w:rsid w:val="00093198"/>
    <w:rsid w:val="000968ED"/>
    <w:rsid w:val="000D3AE5"/>
    <w:rsid w:val="000D7923"/>
    <w:rsid w:val="000D7B9C"/>
    <w:rsid w:val="000E0FEB"/>
    <w:rsid w:val="000F2AA7"/>
    <w:rsid w:val="000F41A7"/>
    <w:rsid w:val="000F45B3"/>
    <w:rsid w:val="000F45C7"/>
    <w:rsid w:val="000F536E"/>
    <w:rsid w:val="000F5E56"/>
    <w:rsid w:val="000F7AB9"/>
    <w:rsid w:val="001111AF"/>
    <w:rsid w:val="00123C24"/>
    <w:rsid w:val="0012713E"/>
    <w:rsid w:val="00127A34"/>
    <w:rsid w:val="001362EE"/>
    <w:rsid w:val="001366D4"/>
    <w:rsid w:val="00137D0C"/>
    <w:rsid w:val="00142207"/>
    <w:rsid w:val="00142D7C"/>
    <w:rsid w:val="00157CB6"/>
    <w:rsid w:val="00170800"/>
    <w:rsid w:val="00180956"/>
    <w:rsid w:val="001832A6"/>
    <w:rsid w:val="00183CB8"/>
    <w:rsid w:val="00187470"/>
    <w:rsid w:val="001908BD"/>
    <w:rsid w:val="001953B3"/>
    <w:rsid w:val="001A04A8"/>
    <w:rsid w:val="001A1921"/>
    <w:rsid w:val="001B48C3"/>
    <w:rsid w:val="001B794B"/>
    <w:rsid w:val="001C33C0"/>
    <w:rsid w:val="001C6E0D"/>
    <w:rsid w:val="001C7A61"/>
    <w:rsid w:val="001E4F96"/>
    <w:rsid w:val="001E7D69"/>
    <w:rsid w:val="00203EC6"/>
    <w:rsid w:val="00211873"/>
    <w:rsid w:val="00214B73"/>
    <w:rsid w:val="0021717B"/>
    <w:rsid w:val="00230DFF"/>
    <w:rsid w:val="00252E99"/>
    <w:rsid w:val="00254558"/>
    <w:rsid w:val="00256842"/>
    <w:rsid w:val="002634C4"/>
    <w:rsid w:val="00264590"/>
    <w:rsid w:val="0026682B"/>
    <w:rsid w:val="002747CF"/>
    <w:rsid w:val="0029034D"/>
    <w:rsid w:val="002928D3"/>
    <w:rsid w:val="00293C49"/>
    <w:rsid w:val="002C086F"/>
    <w:rsid w:val="002C2F7E"/>
    <w:rsid w:val="002C347D"/>
    <w:rsid w:val="002C4E06"/>
    <w:rsid w:val="002D2A76"/>
    <w:rsid w:val="002D33A6"/>
    <w:rsid w:val="002E60BA"/>
    <w:rsid w:val="002E63AC"/>
    <w:rsid w:val="002F01AD"/>
    <w:rsid w:val="002F0323"/>
    <w:rsid w:val="002F1FE6"/>
    <w:rsid w:val="002F4E68"/>
    <w:rsid w:val="002F5160"/>
    <w:rsid w:val="00304FAF"/>
    <w:rsid w:val="00305800"/>
    <w:rsid w:val="00312F7F"/>
    <w:rsid w:val="00314DEB"/>
    <w:rsid w:val="00316527"/>
    <w:rsid w:val="0033761B"/>
    <w:rsid w:val="003409AA"/>
    <w:rsid w:val="00343B6C"/>
    <w:rsid w:val="00355F65"/>
    <w:rsid w:val="00361450"/>
    <w:rsid w:val="0036493A"/>
    <w:rsid w:val="003655A7"/>
    <w:rsid w:val="003673CF"/>
    <w:rsid w:val="003735BD"/>
    <w:rsid w:val="00373BE3"/>
    <w:rsid w:val="00382581"/>
    <w:rsid w:val="00383F28"/>
    <w:rsid w:val="003845C1"/>
    <w:rsid w:val="003857EE"/>
    <w:rsid w:val="00386E89"/>
    <w:rsid w:val="003A0EBA"/>
    <w:rsid w:val="003A5FF1"/>
    <w:rsid w:val="003A6F89"/>
    <w:rsid w:val="003B04A0"/>
    <w:rsid w:val="003B38C1"/>
    <w:rsid w:val="003B5CC5"/>
    <w:rsid w:val="003C00EB"/>
    <w:rsid w:val="003C205B"/>
    <w:rsid w:val="003C37F8"/>
    <w:rsid w:val="003D1446"/>
    <w:rsid w:val="003D555D"/>
    <w:rsid w:val="003D7738"/>
    <w:rsid w:val="003E589E"/>
    <w:rsid w:val="003F3AFA"/>
    <w:rsid w:val="003F7A72"/>
    <w:rsid w:val="00405DB2"/>
    <w:rsid w:val="00416863"/>
    <w:rsid w:val="00416D42"/>
    <w:rsid w:val="00420210"/>
    <w:rsid w:val="00423E3E"/>
    <w:rsid w:val="00427AF4"/>
    <w:rsid w:val="0043061F"/>
    <w:rsid w:val="00440B56"/>
    <w:rsid w:val="004412E7"/>
    <w:rsid w:val="00450A51"/>
    <w:rsid w:val="004530C4"/>
    <w:rsid w:val="0045765F"/>
    <w:rsid w:val="004647DA"/>
    <w:rsid w:val="0046640B"/>
    <w:rsid w:val="00474062"/>
    <w:rsid w:val="00477D6B"/>
    <w:rsid w:val="0048297C"/>
    <w:rsid w:val="00483352"/>
    <w:rsid w:val="00486198"/>
    <w:rsid w:val="0048656B"/>
    <w:rsid w:val="00487CA4"/>
    <w:rsid w:val="00490164"/>
    <w:rsid w:val="00494824"/>
    <w:rsid w:val="00495117"/>
    <w:rsid w:val="004A5B35"/>
    <w:rsid w:val="004B2D10"/>
    <w:rsid w:val="004B5622"/>
    <w:rsid w:val="004D4A84"/>
    <w:rsid w:val="004E6A9C"/>
    <w:rsid w:val="004F4084"/>
    <w:rsid w:val="004F42A6"/>
    <w:rsid w:val="005019FF"/>
    <w:rsid w:val="005023EF"/>
    <w:rsid w:val="00502A73"/>
    <w:rsid w:val="00510F2C"/>
    <w:rsid w:val="005176C1"/>
    <w:rsid w:val="00521475"/>
    <w:rsid w:val="00523CBD"/>
    <w:rsid w:val="00525644"/>
    <w:rsid w:val="0053057A"/>
    <w:rsid w:val="005305A4"/>
    <w:rsid w:val="00536DD5"/>
    <w:rsid w:val="00546544"/>
    <w:rsid w:val="00550D24"/>
    <w:rsid w:val="0055428B"/>
    <w:rsid w:val="00560A29"/>
    <w:rsid w:val="005644F9"/>
    <w:rsid w:val="0057100C"/>
    <w:rsid w:val="005733D2"/>
    <w:rsid w:val="00586199"/>
    <w:rsid w:val="005976A6"/>
    <w:rsid w:val="005A01B3"/>
    <w:rsid w:val="005A0675"/>
    <w:rsid w:val="005A33B0"/>
    <w:rsid w:val="005C0221"/>
    <w:rsid w:val="005C228B"/>
    <w:rsid w:val="005C396F"/>
    <w:rsid w:val="005C6649"/>
    <w:rsid w:val="005D21A6"/>
    <w:rsid w:val="005D3EF8"/>
    <w:rsid w:val="005D45A3"/>
    <w:rsid w:val="005D606A"/>
    <w:rsid w:val="005E383F"/>
    <w:rsid w:val="005E3D2A"/>
    <w:rsid w:val="005F124E"/>
    <w:rsid w:val="005F24AC"/>
    <w:rsid w:val="005F7CFA"/>
    <w:rsid w:val="00605827"/>
    <w:rsid w:val="00607690"/>
    <w:rsid w:val="006108D9"/>
    <w:rsid w:val="006133EC"/>
    <w:rsid w:val="00616A91"/>
    <w:rsid w:val="006241E3"/>
    <w:rsid w:val="00626F37"/>
    <w:rsid w:val="006327BE"/>
    <w:rsid w:val="00634D02"/>
    <w:rsid w:val="0063585E"/>
    <w:rsid w:val="00635F44"/>
    <w:rsid w:val="00646050"/>
    <w:rsid w:val="006466E1"/>
    <w:rsid w:val="006501E5"/>
    <w:rsid w:val="006526C0"/>
    <w:rsid w:val="006713CA"/>
    <w:rsid w:val="00676C5C"/>
    <w:rsid w:val="00676F37"/>
    <w:rsid w:val="00677E54"/>
    <w:rsid w:val="00691C85"/>
    <w:rsid w:val="00692655"/>
    <w:rsid w:val="006967B6"/>
    <w:rsid w:val="006A1082"/>
    <w:rsid w:val="006B2B77"/>
    <w:rsid w:val="006B37E5"/>
    <w:rsid w:val="006B7892"/>
    <w:rsid w:val="006B79FD"/>
    <w:rsid w:val="006C112C"/>
    <w:rsid w:val="006C49BF"/>
    <w:rsid w:val="006D2E3B"/>
    <w:rsid w:val="006D415B"/>
    <w:rsid w:val="006E020E"/>
    <w:rsid w:val="006E2A97"/>
    <w:rsid w:val="00705726"/>
    <w:rsid w:val="00730621"/>
    <w:rsid w:val="00736378"/>
    <w:rsid w:val="00740201"/>
    <w:rsid w:val="00755984"/>
    <w:rsid w:val="00757B01"/>
    <w:rsid w:val="00771F27"/>
    <w:rsid w:val="00772262"/>
    <w:rsid w:val="00777D74"/>
    <w:rsid w:val="00791E9A"/>
    <w:rsid w:val="007A3EE9"/>
    <w:rsid w:val="007C3FF3"/>
    <w:rsid w:val="007C4817"/>
    <w:rsid w:val="007D1613"/>
    <w:rsid w:val="007D1F48"/>
    <w:rsid w:val="007D556F"/>
    <w:rsid w:val="007D6C5A"/>
    <w:rsid w:val="007E077A"/>
    <w:rsid w:val="007E50A0"/>
    <w:rsid w:val="007E5702"/>
    <w:rsid w:val="007E62D2"/>
    <w:rsid w:val="007F3483"/>
    <w:rsid w:val="00803370"/>
    <w:rsid w:val="00811AA0"/>
    <w:rsid w:val="00817DB4"/>
    <w:rsid w:val="00820B8F"/>
    <w:rsid w:val="00825B5E"/>
    <w:rsid w:val="00831F01"/>
    <w:rsid w:val="00832C4E"/>
    <w:rsid w:val="008432B8"/>
    <w:rsid w:val="00846015"/>
    <w:rsid w:val="00847E60"/>
    <w:rsid w:val="008561FD"/>
    <w:rsid w:val="00863D52"/>
    <w:rsid w:val="00873B26"/>
    <w:rsid w:val="00875397"/>
    <w:rsid w:val="00896CA1"/>
    <w:rsid w:val="008A41CC"/>
    <w:rsid w:val="008A6900"/>
    <w:rsid w:val="008A7D14"/>
    <w:rsid w:val="008B1BDA"/>
    <w:rsid w:val="008B2CC1"/>
    <w:rsid w:val="008B5182"/>
    <w:rsid w:val="008B60B2"/>
    <w:rsid w:val="008C0CD0"/>
    <w:rsid w:val="008C4880"/>
    <w:rsid w:val="008D793B"/>
    <w:rsid w:val="008D7A02"/>
    <w:rsid w:val="008F7FA5"/>
    <w:rsid w:val="009017A3"/>
    <w:rsid w:val="00902ED7"/>
    <w:rsid w:val="00904CA4"/>
    <w:rsid w:val="00906D58"/>
    <w:rsid w:val="0090731E"/>
    <w:rsid w:val="00907639"/>
    <w:rsid w:val="00911F65"/>
    <w:rsid w:val="00916BD6"/>
    <w:rsid w:val="00916EE2"/>
    <w:rsid w:val="009253C7"/>
    <w:rsid w:val="009275CD"/>
    <w:rsid w:val="00935B3F"/>
    <w:rsid w:val="00951BE7"/>
    <w:rsid w:val="00952937"/>
    <w:rsid w:val="00953027"/>
    <w:rsid w:val="009638EB"/>
    <w:rsid w:val="00964B80"/>
    <w:rsid w:val="00966A22"/>
    <w:rsid w:val="0096722F"/>
    <w:rsid w:val="00971499"/>
    <w:rsid w:val="00972EFC"/>
    <w:rsid w:val="00980843"/>
    <w:rsid w:val="00985CD1"/>
    <w:rsid w:val="00990DD8"/>
    <w:rsid w:val="009917A8"/>
    <w:rsid w:val="00994FBD"/>
    <w:rsid w:val="0099534B"/>
    <w:rsid w:val="009A66B9"/>
    <w:rsid w:val="009A7A21"/>
    <w:rsid w:val="009B170D"/>
    <w:rsid w:val="009B535F"/>
    <w:rsid w:val="009B56D7"/>
    <w:rsid w:val="009C13B8"/>
    <w:rsid w:val="009C2BF7"/>
    <w:rsid w:val="009C4662"/>
    <w:rsid w:val="009C57C0"/>
    <w:rsid w:val="009D1366"/>
    <w:rsid w:val="009D5612"/>
    <w:rsid w:val="009D6246"/>
    <w:rsid w:val="009D6E39"/>
    <w:rsid w:val="009E2791"/>
    <w:rsid w:val="009E3F6F"/>
    <w:rsid w:val="009F1FDE"/>
    <w:rsid w:val="009F499F"/>
    <w:rsid w:val="00A035A7"/>
    <w:rsid w:val="00A037D4"/>
    <w:rsid w:val="00A03B59"/>
    <w:rsid w:val="00A066E3"/>
    <w:rsid w:val="00A07E83"/>
    <w:rsid w:val="00A10742"/>
    <w:rsid w:val="00A11DBF"/>
    <w:rsid w:val="00A217DC"/>
    <w:rsid w:val="00A30AF5"/>
    <w:rsid w:val="00A31593"/>
    <w:rsid w:val="00A367BE"/>
    <w:rsid w:val="00A40716"/>
    <w:rsid w:val="00A41E8B"/>
    <w:rsid w:val="00A42122"/>
    <w:rsid w:val="00A42DAF"/>
    <w:rsid w:val="00A45BD8"/>
    <w:rsid w:val="00A47EE1"/>
    <w:rsid w:val="00A55FBE"/>
    <w:rsid w:val="00A579F4"/>
    <w:rsid w:val="00A60338"/>
    <w:rsid w:val="00A61175"/>
    <w:rsid w:val="00A834CC"/>
    <w:rsid w:val="00A869B7"/>
    <w:rsid w:val="00AA2379"/>
    <w:rsid w:val="00AA69B7"/>
    <w:rsid w:val="00AB5266"/>
    <w:rsid w:val="00AB5805"/>
    <w:rsid w:val="00AC0825"/>
    <w:rsid w:val="00AC1664"/>
    <w:rsid w:val="00AC205C"/>
    <w:rsid w:val="00AC4F8B"/>
    <w:rsid w:val="00AC6859"/>
    <w:rsid w:val="00AD149E"/>
    <w:rsid w:val="00AD4BDF"/>
    <w:rsid w:val="00AD6650"/>
    <w:rsid w:val="00AE0A31"/>
    <w:rsid w:val="00AE15DB"/>
    <w:rsid w:val="00AE423B"/>
    <w:rsid w:val="00AF0A6B"/>
    <w:rsid w:val="00AF1787"/>
    <w:rsid w:val="00AF537B"/>
    <w:rsid w:val="00B046E6"/>
    <w:rsid w:val="00B05A69"/>
    <w:rsid w:val="00B15F35"/>
    <w:rsid w:val="00B21D39"/>
    <w:rsid w:val="00B22BC7"/>
    <w:rsid w:val="00B52236"/>
    <w:rsid w:val="00B5794C"/>
    <w:rsid w:val="00B657F9"/>
    <w:rsid w:val="00B9501A"/>
    <w:rsid w:val="00B9734B"/>
    <w:rsid w:val="00BA0561"/>
    <w:rsid w:val="00BA7D66"/>
    <w:rsid w:val="00BC1C84"/>
    <w:rsid w:val="00BD1A9C"/>
    <w:rsid w:val="00BD5996"/>
    <w:rsid w:val="00BE5475"/>
    <w:rsid w:val="00BF2A3E"/>
    <w:rsid w:val="00BF2EC9"/>
    <w:rsid w:val="00BF6202"/>
    <w:rsid w:val="00C01249"/>
    <w:rsid w:val="00C105B5"/>
    <w:rsid w:val="00C11BFE"/>
    <w:rsid w:val="00C121A6"/>
    <w:rsid w:val="00C154F8"/>
    <w:rsid w:val="00C2471B"/>
    <w:rsid w:val="00C432E9"/>
    <w:rsid w:val="00C43AF0"/>
    <w:rsid w:val="00C47A0A"/>
    <w:rsid w:val="00C55956"/>
    <w:rsid w:val="00C673E1"/>
    <w:rsid w:val="00C677B9"/>
    <w:rsid w:val="00C76A7B"/>
    <w:rsid w:val="00C81A71"/>
    <w:rsid w:val="00C85377"/>
    <w:rsid w:val="00C9114A"/>
    <w:rsid w:val="00C950E7"/>
    <w:rsid w:val="00CA4EAD"/>
    <w:rsid w:val="00CC5F36"/>
    <w:rsid w:val="00CD3C3A"/>
    <w:rsid w:val="00CD4DC3"/>
    <w:rsid w:val="00CD4FCC"/>
    <w:rsid w:val="00CE4B43"/>
    <w:rsid w:val="00CE6C73"/>
    <w:rsid w:val="00D06D5E"/>
    <w:rsid w:val="00D10B64"/>
    <w:rsid w:val="00D12D20"/>
    <w:rsid w:val="00D14E91"/>
    <w:rsid w:val="00D24A45"/>
    <w:rsid w:val="00D24F02"/>
    <w:rsid w:val="00D27656"/>
    <w:rsid w:val="00D33647"/>
    <w:rsid w:val="00D361B3"/>
    <w:rsid w:val="00D45219"/>
    <w:rsid w:val="00D45252"/>
    <w:rsid w:val="00D477CB"/>
    <w:rsid w:val="00D47FA6"/>
    <w:rsid w:val="00D55C73"/>
    <w:rsid w:val="00D7126E"/>
    <w:rsid w:val="00D714B4"/>
    <w:rsid w:val="00D717BE"/>
    <w:rsid w:val="00D71B4D"/>
    <w:rsid w:val="00D75846"/>
    <w:rsid w:val="00D85FF5"/>
    <w:rsid w:val="00D90E06"/>
    <w:rsid w:val="00D91A22"/>
    <w:rsid w:val="00D93D55"/>
    <w:rsid w:val="00D95060"/>
    <w:rsid w:val="00DA4D3B"/>
    <w:rsid w:val="00DA4FCA"/>
    <w:rsid w:val="00DA57EE"/>
    <w:rsid w:val="00DA6BD2"/>
    <w:rsid w:val="00DA7CC0"/>
    <w:rsid w:val="00DB38C9"/>
    <w:rsid w:val="00DB41EA"/>
    <w:rsid w:val="00DB5303"/>
    <w:rsid w:val="00DB7517"/>
    <w:rsid w:val="00DC20C0"/>
    <w:rsid w:val="00DC290D"/>
    <w:rsid w:val="00DC3A44"/>
    <w:rsid w:val="00DC6DAA"/>
    <w:rsid w:val="00DD036C"/>
    <w:rsid w:val="00DD0998"/>
    <w:rsid w:val="00DD2ED5"/>
    <w:rsid w:val="00DD4F47"/>
    <w:rsid w:val="00DE0CE2"/>
    <w:rsid w:val="00DE71FD"/>
    <w:rsid w:val="00DF1B2A"/>
    <w:rsid w:val="00DF2099"/>
    <w:rsid w:val="00E03F81"/>
    <w:rsid w:val="00E2304C"/>
    <w:rsid w:val="00E258ED"/>
    <w:rsid w:val="00E25FA0"/>
    <w:rsid w:val="00E335FE"/>
    <w:rsid w:val="00E33828"/>
    <w:rsid w:val="00E4183E"/>
    <w:rsid w:val="00E44F18"/>
    <w:rsid w:val="00E63A34"/>
    <w:rsid w:val="00E63FDD"/>
    <w:rsid w:val="00E674EC"/>
    <w:rsid w:val="00E72256"/>
    <w:rsid w:val="00E725DE"/>
    <w:rsid w:val="00E745F6"/>
    <w:rsid w:val="00E81060"/>
    <w:rsid w:val="00E81E47"/>
    <w:rsid w:val="00E85465"/>
    <w:rsid w:val="00E8619E"/>
    <w:rsid w:val="00E91280"/>
    <w:rsid w:val="00E95950"/>
    <w:rsid w:val="00EA4EAE"/>
    <w:rsid w:val="00EA6CDF"/>
    <w:rsid w:val="00EB2D49"/>
    <w:rsid w:val="00EB5372"/>
    <w:rsid w:val="00EC0402"/>
    <w:rsid w:val="00EC1F49"/>
    <w:rsid w:val="00EC4E49"/>
    <w:rsid w:val="00ED77FB"/>
    <w:rsid w:val="00ED7CB8"/>
    <w:rsid w:val="00EE2D9F"/>
    <w:rsid w:val="00EE45FA"/>
    <w:rsid w:val="00EE7C29"/>
    <w:rsid w:val="00EF0499"/>
    <w:rsid w:val="00EF3CF4"/>
    <w:rsid w:val="00EF3EBB"/>
    <w:rsid w:val="00F01B2A"/>
    <w:rsid w:val="00F0209A"/>
    <w:rsid w:val="00F042F3"/>
    <w:rsid w:val="00F073FB"/>
    <w:rsid w:val="00F14300"/>
    <w:rsid w:val="00F316D0"/>
    <w:rsid w:val="00F33CBA"/>
    <w:rsid w:val="00F45661"/>
    <w:rsid w:val="00F501E8"/>
    <w:rsid w:val="00F564AD"/>
    <w:rsid w:val="00F565FE"/>
    <w:rsid w:val="00F627F3"/>
    <w:rsid w:val="00F66152"/>
    <w:rsid w:val="00F7158D"/>
    <w:rsid w:val="00F76B22"/>
    <w:rsid w:val="00F92C6A"/>
    <w:rsid w:val="00FA1EE4"/>
    <w:rsid w:val="00FA6A36"/>
    <w:rsid w:val="00FB5590"/>
    <w:rsid w:val="00FC0C41"/>
    <w:rsid w:val="00FC4D21"/>
    <w:rsid w:val="00FD084A"/>
    <w:rsid w:val="00FD787B"/>
    <w:rsid w:val="00FE310A"/>
    <w:rsid w:val="00FF0DA2"/>
    <w:rsid w:val="00FF66A0"/>
    <w:rsid w:val="00FF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466E1"/>
    <w:rPr>
      <w:rFonts w:ascii="Tahoma" w:hAnsi="Tahoma" w:cs="Tahoma"/>
      <w:sz w:val="16"/>
      <w:szCs w:val="16"/>
    </w:rPr>
  </w:style>
  <w:style w:type="character" w:customStyle="1" w:styleId="BalloonTextChar">
    <w:name w:val="Balloon Text Char"/>
    <w:basedOn w:val="DefaultParagraphFont"/>
    <w:link w:val="BalloonText"/>
    <w:rsid w:val="006466E1"/>
    <w:rPr>
      <w:rFonts w:ascii="Tahoma" w:eastAsia="SimSun" w:hAnsi="Tahoma" w:cs="Tahoma"/>
      <w:sz w:val="16"/>
      <w:szCs w:val="16"/>
      <w:lang w:eastAsia="zh-CN"/>
    </w:rPr>
  </w:style>
  <w:style w:type="paragraph" w:styleId="ListParagraph">
    <w:name w:val="List Paragraph"/>
    <w:basedOn w:val="Normal"/>
    <w:link w:val="ListParagraphChar"/>
    <w:uiPriority w:val="34"/>
    <w:qFormat/>
    <w:rsid w:val="00A42122"/>
    <w:pPr>
      <w:numPr>
        <w:numId w:val="4"/>
      </w:numPr>
      <w:tabs>
        <w:tab w:val="left" w:pos="851"/>
        <w:tab w:val="left" w:pos="1134"/>
      </w:tabs>
      <w:spacing w:before="120" w:after="120"/>
    </w:pPr>
  </w:style>
  <w:style w:type="paragraph" w:customStyle="1" w:styleId="ListparagraphII">
    <w:name w:val="List paragraph II"/>
    <w:basedOn w:val="ListParagraph"/>
    <w:qFormat/>
    <w:rsid w:val="00E72256"/>
    <w:pPr>
      <w:numPr>
        <w:numId w:val="5"/>
      </w:numPr>
    </w:pPr>
  </w:style>
  <w:style w:type="character" w:styleId="CommentReference">
    <w:name w:val="annotation reference"/>
    <w:basedOn w:val="DefaultParagraphFont"/>
    <w:rsid w:val="00A31593"/>
    <w:rPr>
      <w:sz w:val="16"/>
      <w:szCs w:val="16"/>
    </w:rPr>
  </w:style>
  <w:style w:type="paragraph" w:styleId="CommentSubject">
    <w:name w:val="annotation subject"/>
    <w:basedOn w:val="CommentText"/>
    <w:next w:val="CommentText"/>
    <w:link w:val="CommentSubjectChar"/>
    <w:rsid w:val="00A31593"/>
    <w:rPr>
      <w:b/>
      <w:bCs/>
      <w:sz w:val="20"/>
    </w:rPr>
  </w:style>
  <w:style w:type="character" w:customStyle="1" w:styleId="CommentTextChar">
    <w:name w:val="Comment Text Char"/>
    <w:basedOn w:val="DefaultParagraphFont"/>
    <w:link w:val="CommentText"/>
    <w:rsid w:val="00A31593"/>
    <w:rPr>
      <w:rFonts w:ascii="Arial" w:eastAsia="SimSun" w:hAnsi="Arial" w:cs="Arial"/>
      <w:sz w:val="18"/>
      <w:lang w:eastAsia="zh-CN"/>
    </w:rPr>
  </w:style>
  <w:style w:type="character" w:customStyle="1" w:styleId="CommentSubjectChar">
    <w:name w:val="Comment Subject Char"/>
    <w:basedOn w:val="CommentTextChar"/>
    <w:link w:val="CommentSubject"/>
    <w:rsid w:val="00A31593"/>
    <w:rPr>
      <w:rFonts w:ascii="Arial" w:eastAsia="SimSun" w:hAnsi="Arial" w:cs="Arial"/>
      <w:b/>
      <w:bCs/>
      <w:sz w:val="18"/>
      <w:lang w:eastAsia="zh-CN"/>
    </w:rPr>
  </w:style>
  <w:style w:type="paragraph" w:customStyle="1" w:styleId="Stylenotes">
    <w:name w:val="Style notes"/>
    <w:basedOn w:val="Normal"/>
    <w:qFormat/>
    <w:rsid w:val="00E25FA0"/>
    <w:rPr>
      <w:i/>
      <w:color w:val="FF0000"/>
    </w:rPr>
  </w:style>
  <w:style w:type="numbering" w:customStyle="1" w:styleId="Styleletter">
    <w:name w:val="Style letter"/>
    <w:uiPriority w:val="99"/>
    <w:rsid w:val="00772262"/>
    <w:pPr>
      <w:numPr>
        <w:numId w:val="7"/>
      </w:numPr>
    </w:pPr>
  </w:style>
  <w:style w:type="paragraph" w:customStyle="1" w:styleId="NumerotationLETTRES">
    <w:name w:val="Numerotation LETTRES"/>
    <w:basedOn w:val="ListParagraph"/>
    <w:link w:val="NumerotationLETTRESChar"/>
    <w:qFormat/>
    <w:rsid w:val="004B2D10"/>
    <w:pPr>
      <w:numPr>
        <w:ilvl w:val="1"/>
        <w:numId w:val="6"/>
      </w:numPr>
      <w:tabs>
        <w:tab w:val="clear" w:pos="851"/>
        <w:tab w:val="clear" w:pos="1134"/>
      </w:tabs>
    </w:pPr>
    <w:rPr>
      <w:u w:val="single"/>
    </w:rPr>
  </w:style>
  <w:style w:type="character" w:customStyle="1" w:styleId="ListParagraphChar">
    <w:name w:val="List Paragraph Char"/>
    <w:basedOn w:val="DefaultParagraphFont"/>
    <w:link w:val="ListParagraph"/>
    <w:uiPriority w:val="34"/>
    <w:rsid w:val="00A42122"/>
    <w:rPr>
      <w:rFonts w:ascii="Arial" w:eastAsia="SimSun" w:hAnsi="Arial" w:cs="Arial"/>
      <w:sz w:val="22"/>
      <w:lang w:eastAsia="zh-CN"/>
    </w:rPr>
  </w:style>
  <w:style w:type="character" w:customStyle="1" w:styleId="NumerotationLETTRESChar">
    <w:name w:val="Numerotation LETTRES Char"/>
    <w:basedOn w:val="ListParagraphChar"/>
    <w:link w:val="NumerotationLETTRES"/>
    <w:rsid w:val="004B2D10"/>
    <w:rPr>
      <w:rFonts w:ascii="Arial" w:eastAsia="SimSun" w:hAnsi="Arial" w:cs="Arial"/>
      <w:sz w:val="22"/>
      <w:u w:val="single"/>
      <w:lang w:eastAsia="zh-CN"/>
    </w:rPr>
  </w:style>
  <w:style w:type="character" w:customStyle="1" w:styleId="BodyTextChar">
    <w:name w:val="Body Text Char"/>
    <w:link w:val="BodyText"/>
    <w:rsid w:val="00D95060"/>
    <w:rPr>
      <w:rFonts w:ascii="Arial" w:eastAsia="SimSun" w:hAnsi="Arial" w:cs="Arial"/>
      <w:sz w:val="22"/>
      <w:lang w:eastAsia="zh-CN"/>
    </w:rPr>
  </w:style>
  <w:style w:type="paragraph" w:customStyle="1" w:styleId="TOC1">
    <w:name w:val="TOC1"/>
    <w:basedOn w:val="Title"/>
    <w:rsid w:val="00D95060"/>
    <w:pPr>
      <w:numPr>
        <w:numId w:val="8"/>
      </w:numPr>
      <w:pBdr>
        <w:bottom w:val="none" w:sz="0" w:space="0" w:color="auto"/>
      </w:pBdr>
      <w:tabs>
        <w:tab w:val="left" w:pos="1080"/>
      </w:tabs>
      <w:overflowPunct w:val="0"/>
      <w:autoSpaceDE w:val="0"/>
      <w:autoSpaceDN w:val="0"/>
      <w:adjustRightInd w:val="0"/>
      <w:spacing w:after="0"/>
      <w:ind w:left="1437" w:hanging="360"/>
      <w:contextualSpacing w:val="0"/>
      <w:jc w:val="both"/>
    </w:pPr>
    <w:rPr>
      <w:rFonts w:ascii="Times New Roman" w:eastAsia="Times New Roman" w:hAnsi="Times New Roman" w:cs="Times New Roman"/>
      <w:b/>
      <w:color w:val="auto"/>
      <w:spacing w:val="0"/>
      <w:kern w:val="0"/>
      <w:sz w:val="24"/>
      <w:szCs w:val="20"/>
      <w:lang w:val="en-GB" w:eastAsia="en-US"/>
    </w:rPr>
  </w:style>
  <w:style w:type="paragraph" w:styleId="Title">
    <w:name w:val="Title"/>
    <w:basedOn w:val="Normal"/>
    <w:next w:val="Normal"/>
    <w:link w:val="TitleChar"/>
    <w:qFormat/>
    <w:rsid w:val="00D950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95060"/>
    <w:rPr>
      <w:rFonts w:asciiTheme="majorHAnsi" w:eastAsiaTheme="majorEastAsia" w:hAnsiTheme="majorHAnsi" w:cstheme="majorBidi"/>
      <w:color w:val="17365D" w:themeColor="text2" w:themeShade="BF"/>
      <w:spacing w:val="5"/>
      <w:kern w:val="28"/>
      <w:sz w:val="52"/>
      <w:szCs w:val="52"/>
      <w:lang w:eastAsia="zh-CN"/>
    </w:rPr>
  </w:style>
  <w:style w:type="character" w:styleId="FootnoteReference">
    <w:name w:val="footnote reference"/>
    <w:basedOn w:val="DefaultParagraphFont"/>
    <w:rsid w:val="00634D02"/>
    <w:rPr>
      <w:vertAlign w:val="superscript"/>
    </w:rPr>
  </w:style>
  <w:style w:type="character" w:styleId="PageNumber">
    <w:name w:val="page number"/>
    <w:basedOn w:val="DefaultParagraphFont"/>
    <w:rsid w:val="00634D02"/>
  </w:style>
  <w:style w:type="character" w:customStyle="1" w:styleId="HeaderChar">
    <w:name w:val="Header Char"/>
    <w:basedOn w:val="DefaultParagraphFont"/>
    <w:link w:val="Header"/>
    <w:uiPriority w:val="99"/>
    <w:rsid w:val="00F76B22"/>
    <w:rPr>
      <w:rFonts w:ascii="Arial" w:eastAsia="SimSun" w:hAnsi="Arial" w:cs="Arial"/>
      <w:sz w:val="22"/>
      <w:lang w:eastAsia="zh-CN"/>
    </w:rPr>
  </w:style>
  <w:style w:type="paragraph" w:customStyle="1" w:styleId="Style2">
    <w:name w:val="Style2"/>
    <w:basedOn w:val="Normal"/>
    <w:rsid w:val="009D5612"/>
    <w:pPr>
      <w:numPr>
        <w:numId w:val="9"/>
      </w:numPr>
    </w:pPr>
  </w:style>
  <w:style w:type="paragraph" w:customStyle="1" w:styleId="Default">
    <w:name w:val="Default"/>
    <w:rsid w:val="00502A7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655A7"/>
    <w:rPr>
      <w:rFonts w:ascii="Arial" w:eastAsia="SimSun" w:hAnsi="Arial" w:cs="Arial"/>
      <w:sz w:val="22"/>
      <w:lang w:eastAsia="zh-CN"/>
    </w:rPr>
  </w:style>
  <w:style w:type="paragraph" w:customStyle="1" w:styleId="CharCharCharChar">
    <w:name w:val="Char Char Char Char"/>
    <w:basedOn w:val="Normal"/>
    <w:rsid w:val="00020B9C"/>
    <w:pPr>
      <w:spacing w:after="160" w:line="240" w:lineRule="exact"/>
    </w:pPr>
    <w:rPr>
      <w:rFonts w:ascii="Verdana" w:eastAsia="Times New Roman" w:hAnsi="Verdana" w:cs="Times New Roman"/>
      <w:sz w:val="20"/>
      <w:lang w:val="en-GB" w:eastAsia="en-US"/>
    </w:rPr>
  </w:style>
  <w:style w:type="character" w:styleId="Hyperlink">
    <w:name w:val="Hyperlink"/>
    <w:rsid w:val="00020B9C"/>
    <w:rPr>
      <w:color w:val="003399"/>
      <w:u w:val="single"/>
    </w:rPr>
  </w:style>
  <w:style w:type="paragraph" w:styleId="Quote">
    <w:name w:val="Quote"/>
    <w:basedOn w:val="Normal"/>
    <w:next w:val="Normal"/>
    <w:link w:val="QuoteChar"/>
    <w:uiPriority w:val="29"/>
    <w:qFormat/>
    <w:rsid w:val="00EE2D9F"/>
    <w:pPr>
      <w:spacing w:before="200" w:after="200" w:line="276" w:lineRule="auto"/>
      <w:jc w:val="both"/>
    </w:pPr>
    <w:rPr>
      <w:rFonts w:asciiTheme="minorHAnsi" w:eastAsiaTheme="minorEastAsia" w:hAnsiTheme="minorHAnsi" w:cstheme="minorBidi"/>
      <w:i/>
      <w:iCs/>
      <w:color w:val="365F91" w:themeColor="accent1" w:themeShade="BF"/>
      <w:lang w:eastAsia="en-US"/>
    </w:rPr>
  </w:style>
  <w:style w:type="character" w:customStyle="1" w:styleId="QuoteChar">
    <w:name w:val="Quote Char"/>
    <w:basedOn w:val="DefaultParagraphFont"/>
    <w:link w:val="Quote"/>
    <w:uiPriority w:val="29"/>
    <w:rsid w:val="00EE2D9F"/>
    <w:rPr>
      <w:rFonts w:asciiTheme="minorHAnsi" w:eastAsiaTheme="minorEastAsia" w:hAnsiTheme="minorHAnsi" w:cstheme="minorBidi"/>
      <w:i/>
      <w:iCs/>
      <w:color w:val="365F91" w:themeColor="accent1" w:themeShade="BF"/>
      <w:sz w:val="22"/>
    </w:rPr>
  </w:style>
  <w:style w:type="paragraph" w:customStyle="1" w:styleId="CharCharCharChar0">
    <w:name w:val="Char Char Char Char"/>
    <w:basedOn w:val="Normal"/>
    <w:rsid w:val="00D90E06"/>
    <w:pPr>
      <w:spacing w:after="160" w:line="240" w:lineRule="exact"/>
    </w:pPr>
    <w:rPr>
      <w:rFonts w:ascii="Verdana" w:eastAsia="Times New Roman" w:hAnsi="Verdana" w:cs="Times New Roman"/>
      <w:sz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466E1"/>
    <w:rPr>
      <w:rFonts w:ascii="Tahoma" w:hAnsi="Tahoma" w:cs="Tahoma"/>
      <w:sz w:val="16"/>
      <w:szCs w:val="16"/>
    </w:rPr>
  </w:style>
  <w:style w:type="character" w:customStyle="1" w:styleId="BalloonTextChar">
    <w:name w:val="Balloon Text Char"/>
    <w:basedOn w:val="DefaultParagraphFont"/>
    <w:link w:val="BalloonText"/>
    <w:rsid w:val="006466E1"/>
    <w:rPr>
      <w:rFonts w:ascii="Tahoma" w:eastAsia="SimSun" w:hAnsi="Tahoma" w:cs="Tahoma"/>
      <w:sz w:val="16"/>
      <w:szCs w:val="16"/>
      <w:lang w:eastAsia="zh-CN"/>
    </w:rPr>
  </w:style>
  <w:style w:type="paragraph" w:styleId="ListParagraph">
    <w:name w:val="List Paragraph"/>
    <w:basedOn w:val="Normal"/>
    <w:link w:val="ListParagraphChar"/>
    <w:uiPriority w:val="34"/>
    <w:qFormat/>
    <w:rsid w:val="00A42122"/>
    <w:pPr>
      <w:numPr>
        <w:numId w:val="4"/>
      </w:numPr>
      <w:tabs>
        <w:tab w:val="left" w:pos="851"/>
        <w:tab w:val="left" w:pos="1134"/>
      </w:tabs>
      <w:spacing w:before="120" w:after="120"/>
    </w:pPr>
  </w:style>
  <w:style w:type="paragraph" w:customStyle="1" w:styleId="ListparagraphII">
    <w:name w:val="List paragraph II"/>
    <w:basedOn w:val="ListParagraph"/>
    <w:qFormat/>
    <w:rsid w:val="00E72256"/>
    <w:pPr>
      <w:numPr>
        <w:numId w:val="5"/>
      </w:numPr>
    </w:pPr>
  </w:style>
  <w:style w:type="character" w:styleId="CommentReference">
    <w:name w:val="annotation reference"/>
    <w:basedOn w:val="DefaultParagraphFont"/>
    <w:rsid w:val="00A31593"/>
    <w:rPr>
      <w:sz w:val="16"/>
      <w:szCs w:val="16"/>
    </w:rPr>
  </w:style>
  <w:style w:type="paragraph" w:styleId="CommentSubject">
    <w:name w:val="annotation subject"/>
    <w:basedOn w:val="CommentText"/>
    <w:next w:val="CommentText"/>
    <w:link w:val="CommentSubjectChar"/>
    <w:rsid w:val="00A31593"/>
    <w:rPr>
      <w:b/>
      <w:bCs/>
      <w:sz w:val="20"/>
    </w:rPr>
  </w:style>
  <w:style w:type="character" w:customStyle="1" w:styleId="CommentTextChar">
    <w:name w:val="Comment Text Char"/>
    <w:basedOn w:val="DefaultParagraphFont"/>
    <w:link w:val="CommentText"/>
    <w:rsid w:val="00A31593"/>
    <w:rPr>
      <w:rFonts w:ascii="Arial" w:eastAsia="SimSun" w:hAnsi="Arial" w:cs="Arial"/>
      <w:sz w:val="18"/>
      <w:lang w:eastAsia="zh-CN"/>
    </w:rPr>
  </w:style>
  <w:style w:type="character" w:customStyle="1" w:styleId="CommentSubjectChar">
    <w:name w:val="Comment Subject Char"/>
    <w:basedOn w:val="CommentTextChar"/>
    <w:link w:val="CommentSubject"/>
    <w:rsid w:val="00A31593"/>
    <w:rPr>
      <w:rFonts w:ascii="Arial" w:eastAsia="SimSun" w:hAnsi="Arial" w:cs="Arial"/>
      <w:b/>
      <w:bCs/>
      <w:sz w:val="18"/>
      <w:lang w:eastAsia="zh-CN"/>
    </w:rPr>
  </w:style>
  <w:style w:type="paragraph" w:customStyle="1" w:styleId="Stylenotes">
    <w:name w:val="Style notes"/>
    <w:basedOn w:val="Normal"/>
    <w:qFormat/>
    <w:rsid w:val="00E25FA0"/>
    <w:rPr>
      <w:i/>
      <w:color w:val="FF0000"/>
    </w:rPr>
  </w:style>
  <w:style w:type="numbering" w:customStyle="1" w:styleId="Styleletter">
    <w:name w:val="Style letter"/>
    <w:uiPriority w:val="99"/>
    <w:rsid w:val="00772262"/>
    <w:pPr>
      <w:numPr>
        <w:numId w:val="7"/>
      </w:numPr>
    </w:pPr>
  </w:style>
  <w:style w:type="paragraph" w:customStyle="1" w:styleId="NumerotationLETTRES">
    <w:name w:val="Numerotation LETTRES"/>
    <w:basedOn w:val="ListParagraph"/>
    <w:link w:val="NumerotationLETTRESChar"/>
    <w:qFormat/>
    <w:rsid w:val="004B2D10"/>
    <w:pPr>
      <w:numPr>
        <w:ilvl w:val="1"/>
        <w:numId w:val="6"/>
      </w:numPr>
      <w:tabs>
        <w:tab w:val="clear" w:pos="851"/>
        <w:tab w:val="clear" w:pos="1134"/>
      </w:tabs>
    </w:pPr>
    <w:rPr>
      <w:u w:val="single"/>
    </w:rPr>
  </w:style>
  <w:style w:type="character" w:customStyle="1" w:styleId="ListParagraphChar">
    <w:name w:val="List Paragraph Char"/>
    <w:basedOn w:val="DefaultParagraphFont"/>
    <w:link w:val="ListParagraph"/>
    <w:uiPriority w:val="34"/>
    <w:rsid w:val="00A42122"/>
    <w:rPr>
      <w:rFonts w:ascii="Arial" w:eastAsia="SimSun" w:hAnsi="Arial" w:cs="Arial"/>
      <w:sz w:val="22"/>
      <w:lang w:eastAsia="zh-CN"/>
    </w:rPr>
  </w:style>
  <w:style w:type="character" w:customStyle="1" w:styleId="NumerotationLETTRESChar">
    <w:name w:val="Numerotation LETTRES Char"/>
    <w:basedOn w:val="ListParagraphChar"/>
    <w:link w:val="NumerotationLETTRES"/>
    <w:rsid w:val="004B2D10"/>
    <w:rPr>
      <w:rFonts w:ascii="Arial" w:eastAsia="SimSun" w:hAnsi="Arial" w:cs="Arial"/>
      <w:sz w:val="22"/>
      <w:u w:val="single"/>
      <w:lang w:eastAsia="zh-CN"/>
    </w:rPr>
  </w:style>
  <w:style w:type="character" w:customStyle="1" w:styleId="BodyTextChar">
    <w:name w:val="Body Text Char"/>
    <w:link w:val="BodyText"/>
    <w:rsid w:val="00D95060"/>
    <w:rPr>
      <w:rFonts w:ascii="Arial" w:eastAsia="SimSun" w:hAnsi="Arial" w:cs="Arial"/>
      <w:sz w:val="22"/>
      <w:lang w:eastAsia="zh-CN"/>
    </w:rPr>
  </w:style>
  <w:style w:type="paragraph" w:customStyle="1" w:styleId="TOC1">
    <w:name w:val="TOC1"/>
    <w:basedOn w:val="Title"/>
    <w:rsid w:val="00D95060"/>
    <w:pPr>
      <w:numPr>
        <w:numId w:val="8"/>
      </w:numPr>
      <w:pBdr>
        <w:bottom w:val="none" w:sz="0" w:space="0" w:color="auto"/>
      </w:pBdr>
      <w:tabs>
        <w:tab w:val="left" w:pos="1080"/>
      </w:tabs>
      <w:overflowPunct w:val="0"/>
      <w:autoSpaceDE w:val="0"/>
      <w:autoSpaceDN w:val="0"/>
      <w:adjustRightInd w:val="0"/>
      <w:spacing w:after="0"/>
      <w:ind w:left="1437" w:hanging="360"/>
      <w:contextualSpacing w:val="0"/>
      <w:jc w:val="both"/>
    </w:pPr>
    <w:rPr>
      <w:rFonts w:ascii="Times New Roman" w:eastAsia="Times New Roman" w:hAnsi="Times New Roman" w:cs="Times New Roman"/>
      <w:b/>
      <w:color w:val="auto"/>
      <w:spacing w:val="0"/>
      <w:kern w:val="0"/>
      <w:sz w:val="24"/>
      <w:szCs w:val="20"/>
      <w:lang w:val="en-GB" w:eastAsia="en-US"/>
    </w:rPr>
  </w:style>
  <w:style w:type="paragraph" w:styleId="Title">
    <w:name w:val="Title"/>
    <w:basedOn w:val="Normal"/>
    <w:next w:val="Normal"/>
    <w:link w:val="TitleChar"/>
    <w:qFormat/>
    <w:rsid w:val="00D950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95060"/>
    <w:rPr>
      <w:rFonts w:asciiTheme="majorHAnsi" w:eastAsiaTheme="majorEastAsia" w:hAnsiTheme="majorHAnsi" w:cstheme="majorBidi"/>
      <w:color w:val="17365D" w:themeColor="text2" w:themeShade="BF"/>
      <w:spacing w:val="5"/>
      <w:kern w:val="28"/>
      <w:sz w:val="52"/>
      <w:szCs w:val="52"/>
      <w:lang w:eastAsia="zh-CN"/>
    </w:rPr>
  </w:style>
  <w:style w:type="character" w:styleId="FootnoteReference">
    <w:name w:val="footnote reference"/>
    <w:basedOn w:val="DefaultParagraphFont"/>
    <w:rsid w:val="00634D02"/>
    <w:rPr>
      <w:vertAlign w:val="superscript"/>
    </w:rPr>
  </w:style>
  <w:style w:type="character" w:styleId="PageNumber">
    <w:name w:val="page number"/>
    <w:basedOn w:val="DefaultParagraphFont"/>
    <w:rsid w:val="00634D02"/>
  </w:style>
  <w:style w:type="character" w:customStyle="1" w:styleId="HeaderChar">
    <w:name w:val="Header Char"/>
    <w:basedOn w:val="DefaultParagraphFont"/>
    <w:link w:val="Header"/>
    <w:uiPriority w:val="99"/>
    <w:rsid w:val="00F76B22"/>
    <w:rPr>
      <w:rFonts w:ascii="Arial" w:eastAsia="SimSun" w:hAnsi="Arial" w:cs="Arial"/>
      <w:sz w:val="22"/>
      <w:lang w:eastAsia="zh-CN"/>
    </w:rPr>
  </w:style>
  <w:style w:type="paragraph" w:customStyle="1" w:styleId="Style2">
    <w:name w:val="Style2"/>
    <w:basedOn w:val="Normal"/>
    <w:rsid w:val="009D5612"/>
    <w:pPr>
      <w:numPr>
        <w:numId w:val="9"/>
      </w:numPr>
    </w:pPr>
  </w:style>
  <w:style w:type="paragraph" w:customStyle="1" w:styleId="Default">
    <w:name w:val="Default"/>
    <w:rsid w:val="00502A73"/>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3655A7"/>
    <w:rPr>
      <w:rFonts w:ascii="Arial" w:eastAsia="SimSun" w:hAnsi="Arial" w:cs="Arial"/>
      <w:sz w:val="22"/>
      <w:lang w:eastAsia="zh-CN"/>
    </w:rPr>
  </w:style>
  <w:style w:type="paragraph" w:customStyle="1" w:styleId="CharCharCharChar">
    <w:name w:val="Char Char Char Char"/>
    <w:basedOn w:val="Normal"/>
    <w:rsid w:val="00020B9C"/>
    <w:pPr>
      <w:spacing w:after="160" w:line="240" w:lineRule="exact"/>
    </w:pPr>
    <w:rPr>
      <w:rFonts w:ascii="Verdana" w:eastAsia="Times New Roman" w:hAnsi="Verdana" w:cs="Times New Roman"/>
      <w:sz w:val="20"/>
      <w:lang w:val="en-GB" w:eastAsia="en-US"/>
    </w:rPr>
  </w:style>
  <w:style w:type="character" w:styleId="Hyperlink">
    <w:name w:val="Hyperlink"/>
    <w:rsid w:val="00020B9C"/>
    <w:rPr>
      <w:color w:val="003399"/>
      <w:u w:val="single"/>
    </w:rPr>
  </w:style>
  <w:style w:type="paragraph" w:styleId="Quote">
    <w:name w:val="Quote"/>
    <w:basedOn w:val="Normal"/>
    <w:next w:val="Normal"/>
    <w:link w:val="QuoteChar"/>
    <w:uiPriority w:val="29"/>
    <w:qFormat/>
    <w:rsid w:val="00EE2D9F"/>
    <w:pPr>
      <w:spacing w:before="200" w:after="200" w:line="276" w:lineRule="auto"/>
      <w:jc w:val="both"/>
    </w:pPr>
    <w:rPr>
      <w:rFonts w:asciiTheme="minorHAnsi" w:eastAsiaTheme="minorEastAsia" w:hAnsiTheme="minorHAnsi" w:cstheme="minorBidi"/>
      <w:i/>
      <w:iCs/>
      <w:color w:val="365F91" w:themeColor="accent1" w:themeShade="BF"/>
      <w:lang w:eastAsia="en-US"/>
    </w:rPr>
  </w:style>
  <w:style w:type="character" w:customStyle="1" w:styleId="QuoteChar">
    <w:name w:val="Quote Char"/>
    <w:basedOn w:val="DefaultParagraphFont"/>
    <w:link w:val="Quote"/>
    <w:uiPriority w:val="29"/>
    <w:rsid w:val="00EE2D9F"/>
    <w:rPr>
      <w:rFonts w:asciiTheme="minorHAnsi" w:eastAsiaTheme="minorEastAsia" w:hAnsiTheme="minorHAnsi" w:cstheme="minorBidi"/>
      <w:i/>
      <w:iCs/>
      <w:color w:val="365F91" w:themeColor="accent1" w:themeShade="BF"/>
      <w:sz w:val="22"/>
    </w:rPr>
  </w:style>
  <w:style w:type="paragraph" w:customStyle="1" w:styleId="CharCharCharChar0">
    <w:name w:val="Char Char Char Char"/>
    <w:basedOn w:val="Normal"/>
    <w:rsid w:val="00D90E06"/>
    <w:pPr>
      <w:spacing w:after="160" w:line="240" w:lineRule="exact"/>
    </w:pPr>
    <w:rPr>
      <w:rFonts w:ascii="Verdana" w:eastAsia="Times New Roman" w:hAnsi="Verdana" w:cs="Times New Roman"/>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511483">
      <w:bodyDiv w:val="1"/>
      <w:marLeft w:val="0"/>
      <w:marRight w:val="0"/>
      <w:marTop w:val="0"/>
      <w:marBottom w:val="0"/>
      <w:divBdr>
        <w:top w:val="none" w:sz="0" w:space="0" w:color="auto"/>
        <w:left w:val="none" w:sz="0" w:space="0" w:color="auto"/>
        <w:bottom w:val="none" w:sz="0" w:space="0" w:color="auto"/>
        <w:right w:val="none" w:sz="0" w:space="0" w:color="auto"/>
      </w:divBdr>
    </w:div>
    <w:div w:id="17215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4FE50-1F4B-49D9-BD2D-2029E960A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10</Pages>
  <Words>3520</Words>
  <Characters>18789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22265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MITON GENOUD Anne</dc:creator>
  <cp:lastModifiedBy>HOWARD Emily</cp:lastModifiedBy>
  <cp:revision>21</cp:revision>
  <cp:lastPrinted>2014-08-07T07:49:00Z</cp:lastPrinted>
  <dcterms:created xsi:type="dcterms:W3CDTF">2014-07-29T12:56:00Z</dcterms:created>
  <dcterms:modified xsi:type="dcterms:W3CDTF">2014-08-07T09:31:00Z</dcterms:modified>
</cp:coreProperties>
</file>